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CBE4F" w14:textId="77777777" w:rsidR="005E2829" w:rsidRDefault="005E2829" w:rsidP="00414DEF">
      <w:pPr>
        <w:pStyle w:val="Encabezado"/>
        <w:jc w:val="both"/>
        <w:rPr>
          <w:rFonts w:ascii="Verdana" w:hAnsi="Verdana"/>
          <w:sz w:val="16"/>
          <w:szCs w:val="16"/>
        </w:rPr>
      </w:pPr>
      <w:bookmarkStart w:id="0" w:name="_GoBack"/>
      <w:bookmarkEnd w:id="0"/>
    </w:p>
    <w:p w14:paraId="796F71F8" w14:textId="77777777" w:rsidR="00507D34" w:rsidRDefault="00507D34" w:rsidP="00414DEF">
      <w:pPr>
        <w:pStyle w:val="Encabezado"/>
        <w:jc w:val="both"/>
        <w:rPr>
          <w:rFonts w:ascii="Verdana" w:hAnsi="Verdana"/>
          <w:sz w:val="16"/>
          <w:szCs w:val="16"/>
        </w:rPr>
      </w:pPr>
    </w:p>
    <w:p w14:paraId="68DDAFCC" w14:textId="77777777" w:rsidR="0036712A" w:rsidRDefault="0036712A" w:rsidP="00414DEF">
      <w:pPr>
        <w:pStyle w:val="Encabezado"/>
        <w:jc w:val="both"/>
        <w:rPr>
          <w:rFonts w:ascii="Verdana" w:hAnsi="Verdana"/>
          <w:sz w:val="16"/>
          <w:szCs w:val="16"/>
        </w:rPr>
      </w:pPr>
    </w:p>
    <w:p w14:paraId="1BAE1069" w14:textId="77777777" w:rsidR="0036712A" w:rsidRDefault="0036712A" w:rsidP="00414DEF">
      <w:pPr>
        <w:pStyle w:val="Encabezado"/>
        <w:jc w:val="both"/>
        <w:rPr>
          <w:rFonts w:ascii="Verdana" w:hAnsi="Verdana"/>
          <w:sz w:val="16"/>
          <w:szCs w:val="16"/>
        </w:rPr>
      </w:pPr>
    </w:p>
    <w:p w14:paraId="7FB843D0" w14:textId="77777777" w:rsidR="0036712A" w:rsidRDefault="0036712A" w:rsidP="00414DEF">
      <w:pPr>
        <w:pStyle w:val="Encabezado"/>
        <w:jc w:val="both"/>
        <w:rPr>
          <w:rFonts w:ascii="Verdana" w:hAnsi="Verdana"/>
          <w:sz w:val="16"/>
          <w:szCs w:val="16"/>
        </w:rPr>
      </w:pPr>
    </w:p>
    <w:p w14:paraId="5B0E8131" w14:textId="77777777" w:rsidR="0036712A" w:rsidRDefault="0036712A" w:rsidP="00414DEF">
      <w:pPr>
        <w:pStyle w:val="Encabezado"/>
        <w:jc w:val="both"/>
        <w:rPr>
          <w:rFonts w:ascii="Verdana" w:hAnsi="Verdana"/>
          <w:sz w:val="16"/>
          <w:szCs w:val="16"/>
        </w:rPr>
      </w:pPr>
    </w:p>
    <w:p w14:paraId="567F0DBD" w14:textId="77777777" w:rsidR="0036712A" w:rsidRDefault="0036712A" w:rsidP="00414DEF">
      <w:pPr>
        <w:pStyle w:val="Encabezado"/>
        <w:jc w:val="both"/>
        <w:rPr>
          <w:rFonts w:ascii="Verdana" w:hAnsi="Verdana"/>
          <w:sz w:val="16"/>
          <w:szCs w:val="16"/>
        </w:rPr>
      </w:pPr>
    </w:p>
    <w:p w14:paraId="43742790" w14:textId="77777777" w:rsidR="00507D34" w:rsidRDefault="00507D34" w:rsidP="00414DEF">
      <w:pPr>
        <w:pStyle w:val="Encabezado"/>
        <w:jc w:val="both"/>
        <w:rPr>
          <w:rFonts w:ascii="Verdana" w:hAnsi="Verdana"/>
          <w:sz w:val="16"/>
          <w:szCs w:val="16"/>
        </w:rPr>
      </w:pPr>
    </w:p>
    <w:p w14:paraId="5A1E8B83" w14:textId="77777777" w:rsidR="00507D34" w:rsidRDefault="00507D34" w:rsidP="00414DEF">
      <w:pPr>
        <w:pStyle w:val="Encabezado"/>
        <w:jc w:val="both"/>
        <w:rPr>
          <w:rFonts w:ascii="Verdana" w:hAnsi="Verdana"/>
          <w:sz w:val="16"/>
          <w:szCs w:val="16"/>
        </w:rPr>
      </w:pPr>
    </w:p>
    <w:p w14:paraId="60DB1660" w14:textId="77777777" w:rsidR="00507D34" w:rsidRDefault="00507D34" w:rsidP="00414DEF">
      <w:pPr>
        <w:pStyle w:val="Encabezado"/>
        <w:jc w:val="both"/>
        <w:rPr>
          <w:rFonts w:ascii="Verdana" w:hAnsi="Verdana"/>
          <w:sz w:val="16"/>
          <w:szCs w:val="16"/>
        </w:rPr>
      </w:pPr>
    </w:p>
    <w:p w14:paraId="4FF64F65" w14:textId="77777777" w:rsidR="00507D34" w:rsidRDefault="00507D34" w:rsidP="00414DEF">
      <w:pPr>
        <w:pStyle w:val="Encabezado"/>
        <w:jc w:val="both"/>
        <w:rPr>
          <w:rFonts w:ascii="Verdana" w:hAnsi="Verdana"/>
          <w:sz w:val="16"/>
          <w:szCs w:val="16"/>
        </w:rPr>
      </w:pPr>
    </w:p>
    <w:p w14:paraId="4AF6D123" w14:textId="77777777" w:rsidR="00507D34" w:rsidRDefault="00507D34" w:rsidP="00414DEF">
      <w:pPr>
        <w:pStyle w:val="Encabezado"/>
        <w:jc w:val="both"/>
        <w:rPr>
          <w:rFonts w:ascii="Verdana" w:hAnsi="Verdana"/>
          <w:sz w:val="16"/>
          <w:szCs w:val="16"/>
        </w:rPr>
      </w:pPr>
    </w:p>
    <w:p w14:paraId="79C210F1" w14:textId="77777777" w:rsidR="00507D34" w:rsidRPr="009D729D" w:rsidRDefault="00507D34" w:rsidP="00414DEF">
      <w:pPr>
        <w:pStyle w:val="Encabezado"/>
        <w:jc w:val="both"/>
        <w:rPr>
          <w:rFonts w:ascii="Verdana" w:hAnsi="Verdana"/>
          <w:sz w:val="16"/>
          <w:szCs w:val="16"/>
        </w:rPr>
      </w:pPr>
    </w:p>
    <w:p w14:paraId="58DDDFF9" w14:textId="77777777" w:rsidR="005E2829" w:rsidRPr="008941C6" w:rsidRDefault="005E2829" w:rsidP="00414DEF">
      <w:pPr>
        <w:spacing w:line="240" w:lineRule="auto"/>
        <w:jc w:val="center"/>
        <w:rPr>
          <w:rFonts w:ascii="Verdana" w:hAnsi="Verdana"/>
          <w:sz w:val="20"/>
          <w:szCs w:val="20"/>
          <w:lang w:val="es-MX"/>
        </w:rPr>
      </w:pPr>
      <w:r w:rsidRPr="008941C6">
        <w:rPr>
          <w:rFonts w:ascii="Verdana" w:hAnsi="Verdana"/>
          <w:b/>
          <w:bCs/>
          <w:sz w:val="20"/>
          <w:szCs w:val="20"/>
          <w:lang w:val="es-MX"/>
        </w:rPr>
        <w:t>CORTE INTERAMERICANA DE DERECHOS HUMANOS</w:t>
      </w:r>
    </w:p>
    <w:p w14:paraId="52E63649" w14:textId="77777777" w:rsidR="005E2829" w:rsidRPr="008941C6" w:rsidRDefault="005E2829" w:rsidP="00414DEF">
      <w:pPr>
        <w:spacing w:line="240" w:lineRule="auto"/>
        <w:jc w:val="center"/>
        <w:rPr>
          <w:rFonts w:ascii="Verdana" w:hAnsi="Verdana"/>
          <w:sz w:val="20"/>
          <w:szCs w:val="20"/>
          <w:lang w:val="es-MX"/>
        </w:rPr>
      </w:pPr>
      <w:r w:rsidRPr="008941C6">
        <w:rPr>
          <w:rFonts w:ascii="Verdana" w:hAnsi="Verdana"/>
          <w:b/>
          <w:bCs/>
          <w:sz w:val="20"/>
          <w:szCs w:val="20"/>
          <w:lang w:val="es-MX"/>
        </w:rPr>
        <w:t xml:space="preserve">CASO CARRANZA ALARCÓN </w:t>
      </w:r>
      <w:r w:rsidRPr="00774CDD">
        <w:rPr>
          <w:rFonts w:ascii="Verdana" w:hAnsi="Verdana"/>
          <w:b/>
          <w:bCs/>
          <w:iCs/>
          <w:sz w:val="20"/>
          <w:szCs w:val="20"/>
          <w:lang w:val="es-MX"/>
        </w:rPr>
        <w:t>VS</w:t>
      </w:r>
      <w:r w:rsidRPr="00774CDD">
        <w:rPr>
          <w:rFonts w:ascii="Verdana" w:hAnsi="Verdana"/>
          <w:b/>
          <w:bCs/>
          <w:sz w:val="20"/>
          <w:szCs w:val="20"/>
          <w:lang w:val="es-MX"/>
        </w:rPr>
        <w:t xml:space="preserve">. </w:t>
      </w:r>
      <w:r w:rsidRPr="008941C6">
        <w:rPr>
          <w:rFonts w:ascii="Verdana" w:hAnsi="Verdana"/>
          <w:b/>
          <w:bCs/>
          <w:sz w:val="20"/>
          <w:szCs w:val="20"/>
          <w:lang w:val="es-MX"/>
        </w:rPr>
        <w:t>ECUADOR</w:t>
      </w:r>
    </w:p>
    <w:p w14:paraId="64BD7EC3" w14:textId="77777777" w:rsidR="005E2829" w:rsidRPr="008941C6" w:rsidRDefault="005E2829" w:rsidP="00414DEF">
      <w:pPr>
        <w:spacing w:line="240" w:lineRule="auto"/>
        <w:jc w:val="center"/>
        <w:rPr>
          <w:rFonts w:ascii="Verdana" w:hAnsi="Verdana"/>
          <w:sz w:val="20"/>
          <w:szCs w:val="20"/>
          <w:lang w:val="es-MX"/>
        </w:rPr>
      </w:pPr>
      <w:r w:rsidRPr="008941C6">
        <w:rPr>
          <w:rFonts w:ascii="Verdana" w:hAnsi="Verdana"/>
          <w:b/>
          <w:bCs/>
          <w:sz w:val="20"/>
          <w:szCs w:val="20"/>
          <w:lang w:val="es-MX"/>
        </w:rPr>
        <w:t xml:space="preserve">SENTENCIA DE </w:t>
      </w:r>
      <w:r>
        <w:rPr>
          <w:rFonts w:ascii="Verdana" w:hAnsi="Verdana"/>
          <w:b/>
          <w:bCs/>
          <w:sz w:val="20"/>
          <w:szCs w:val="20"/>
          <w:lang w:val="es-MX"/>
        </w:rPr>
        <w:t xml:space="preserve">3 DE FEBRERO </w:t>
      </w:r>
      <w:r w:rsidRPr="008941C6">
        <w:rPr>
          <w:rFonts w:ascii="Verdana" w:hAnsi="Verdana"/>
          <w:b/>
          <w:bCs/>
          <w:sz w:val="20"/>
          <w:szCs w:val="20"/>
          <w:lang w:val="es-MX"/>
        </w:rPr>
        <w:t>DE 20</w:t>
      </w:r>
      <w:r>
        <w:rPr>
          <w:rFonts w:ascii="Verdana" w:hAnsi="Verdana"/>
          <w:b/>
          <w:bCs/>
          <w:sz w:val="20"/>
          <w:szCs w:val="20"/>
          <w:lang w:val="es-MX"/>
        </w:rPr>
        <w:t>20</w:t>
      </w:r>
    </w:p>
    <w:p w14:paraId="54B4DC6D" w14:textId="77777777" w:rsidR="005E2829" w:rsidRPr="008941C6" w:rsidRDefault="005E2829" w:rsidP="00414DEF">
      <w:pPr>
        <w:spacing w:line="240" w:lineRule="auto"/>
        <w:jc w:val="center"/>
        <w:rPr>
          <w:rFonts w:ascii="Verdana" w:hAnsi="Verdana"/>
          <w:sz w:val="20"/>
          <w:szCs w:val="20"/>
          <w:lang w:val="es-MX"/>
        </w:rPr>
      </w:pPr>
      <w:r w:rsidRPr="008941C6">
        <w:rPr>
          <w:rFonts w:ascii="Verdana" w:hAnsi="Verdana"/>
          <w:b/>
          <w:bCs/>
          <w:i/>
          <w:iCs/>
          <w:sz w:val="20"/>
          <w:szCs w:val="20"/>
          <w:lang w:val="es-MX"/>
        </w:rPr>
        <w:t>(</w:t>
      </w:r>
      <w:r>
        <w:rPr>
          <w:rFonts w:ascii="Verdana" w:hAnsi="Verdana"/>
          <w:b/>
          <w:bCs/>
          <w:i/>
          <w:iCs/>
          <w:sz w:val="20"/>
          <w:szCs w:val="20"/>
          <w:lang w:val="es-MX"/>
        </w:rPr>
        <w:t xml:space="preserve">Excepciones preliminares, </w:t>
      </w:r>
      <w:r w:rsidRPr="008941C6">
        <w:rPr>
          <w:rFonts w:ascii="Verdana" w:hAnsi="Verdana"/>
          <w:b/>
          <w:bCs/>
          <w:i/>
          <w:iCs/>
          <w:sz w:val="20"/>
          <w:szCs w:val="20"/>
          <w:lang w:val="es-MX"/>
        </w:rPr>
        <w:t xml:space="preserve">Fondo, </w:t>
      </w:r>
      <w:r w:rsidRPr="005B649F">
        <w:rPr>
          <w:rFonts w:ascii="Verdana" w:hAnsi="Verdana"/>
          <w:b/>
          <w:bCs/>
          <w:i/>
          <w:iCs/>
          <w:sz w:val="20"/>
          <w:szCs w:val="20"/>
          <w:lang w:val="es-MX"/>
        </w:rPr>
        <w:t>Reparaciones</w:t>
      </w:r>
      <w:r w:rsidRPr="008941C6">
        <w:rPr>
          <w:rFonts w:ascii="Verdana" w:hAnsi="Verdana"/>
          <w:b/>
          <w:bCs/>
          <w:i/>
          <w:iCs/>
          <w:sz w:val="20"/>
          <w:szCs w:val="20"/>
          <w:lang w:val="es-MX"/>
        </w:rPr>
        <w:t xml:space="preserve"> y Costas)</w:t>
      </w:r>
    </w:p>
    <w:p w14:paraId="3979166B" w14:textId="77777777" w:rsidR="005E2829" w:rsidRDefault="005E2829" w:rsidP="00414DEF">
      <w:pPr>
        <w:spacing w:after="0" w:line="240" w:lineRule="auto"/>
        <w:rPr>
          <w:rFonts w:ascii="Verdana" w:hAnsi="Verdana"/>
          <w:sz w:val="20"/>
          <w:szCs w:val="20"/>
          <w:lang w:val="es-MX"/>
        </w:rPr>
      </w:pPr>
    </w:p>
    <w:p w14:paraId="2510D69A" w14:textId="77777777" w:rsidR="00507D34" w:rsidRDefault="00507D34" w:rsidP="00414DEF">
      <w:pPr>
        <w:spacing w:after="0" w:line="240" w:lineRule="auto"/>
        <w:rPr>
          <w:rFonts w:ascii="Verdana" w:hAnsi="Verdana"/>
          <w:sz w:val="20"/>
          <w:szCs w:val="20"/>
          <w:lang w:val="es-MX"/>
        </w:rPr>
      </w:pPr>
    </w:p>
    <w:p w14:paraId="12059EE6" w14:textId="77777777" w:rsidR="00507D34" w:rsidRDefault="00507D34" w:rsidP="00414DEF">
      <w:pPr>
        <w:spacing w:after="0" w:line="240" w:lineRule="auto"/>
        <w:rPr>
          <w:rFonts w:ascii="Verdana" w:hAnsi="Verdana"/>
          <w:sz w:val="20"/>
          <w:szCs w:val="20"/>
          <w:lang w:val="es-MX"/>
        </w:rPr>
      </w:pPr>
    </w:p>
    <w:p w14:paraId="7CADA5EF" w14:textId="77777777" w:rsidR="00507D34" w:rsidRPr="008941C6" w:rsidRDefault="00507D34" w:rsidP="00414DEF">
      <w:pPr>
        <w:spacing w:after="0" w:line="240" w:lineRule="auto"/>
        <w:rPr>
          <w:rFonts w:ascii="Verdana" w:hAnsi="Verdana"/>
          <w:sz w:val="20"/>
          <w:szCs w:val="20"/>
          <w:lang w:val="es-MX"/>
        </w:rPr>
      </w:pPr>
    </w:p>
    <w:p w14:paraId="755DD205" w14:textId="77777777" w:rsidR="005E2829" w:rsidRPr="008941C6" w:rsidRDefault="005E2829" w:rsidP="00414DEF">
      <w:pPr>
        <w:spacing w:after="0" w:line="240" w:lineRule="auto"/>
        <w:rPr>
          <w:rFonts w:ascii="Verdana" w:hAnsi="Verdana"/>
          <w:sz w:val="20"/>
          <w:szCs w:val="20"/>
          <w:lang w:val="es-MX"/>
        </w:rPr>
      </w:pPr>
    </w:p>
    <w:p w14:paraId="2B4F1123" w14:textId="043F4010" w:rsidR="005E2829" w:rsidRPr="008941C6" w:rsidRDefault="005E2829" w:rsidP="00414DEF">
      <w:pPr>
        <w:spacing w:after="0" w:line="240" w:lineRule="auto"/>
        <w:rPr>
          <w:rFonts w:ascii="Verdana" w:hAnsi="Verdana"/>
          <w:sz w:val="20"/>
          <w:szCs w:val="20"/>
          <w:lang w:val="es-MX"/>
        </w:rPr>
      </w:pPr>
      <w:r w:rsidRPr="008941C6">
        <w:rPr>
          <w:rFonts w:ascii="Verdana" w:hAnsi="Verdana"/>
          <w:sz w:val="20"/>
          <w:szCs w:val="20"/>
          <w:lang w:val="es-MX"/>
        </w:rPr>
        <w:t xml:space="preserve">En el caso </w:t>
      </w:r>
      <w:r w:rsidRPr="008941C6">
        <w:rPr>
          <w:rFonts w:ascii="Verdana" w:hAnsi="Verdana"/>
          <w:i/>
          <w:sz w:val="20"/>
          <w:szCs w:val="20"/>
          <w:lang w:val="es-MX"/>
        </w:rPr>
        <w:t>Carranza Alarcón</w:t>
      </w:r>
      <w:r w:rsidR="00E046D5">
        <w:rPr>
          <w:rFonts w:ascii="Verdana" w:hAnsi="Verdana"/>
          <w:i/>
          <w:sz w:val="20"/>
          <w:szCs w:val="20"/>
          <w:lang w:val="es-MX"/>
        </w:rPr>
        <w:t xml:space="preserve"> V</w:t>
      </w:r>
      <w:r>
        <w:rPr>
          <w:rFonts w:ascii="Verdana" w:hAnsi="Verdana"/>
          <w:i/>
          <w:sz w:val="20"/>
          <w:szCs w:val="20"/>
          <w:lang w:val="es-MX"/>
        </w:rPr>
        <w:t>s. Ecuador</w:t>
      </w:r>
      <w:r w:rsidRPr="008941C6">
        <w:rPr>
          <w:rFonts w:ascii="Verdana" w:hAnsi="Verdana"/>
          <w:sz w:val="20"/>
          <w:szCs w:val="20"/>
          <w:lang w:val="es-MX"/>
        </w:rPr>
        <w:t xml:space="preserve">, </w:t>
      </w:r>
    </w:p>
    <w:p w14:paraId="1351475B" w14:textId="77777777" w:rsidR="005E2829" w:rsidRDefault="005E2829" w:rsidP="00414DEF">
      <w:pPr>
        <w:spacing w:after="0" w:line="240" w:lineRule="auto"/>
        <w:jc w:val="both"/>
        <w:rPr>
          <w:rFonts w:ascii="Verdana" w:hAnsi="Verdana"/>
          <w:sz w:val="20"/>
          <w:szCs w:val="20"/>
          <w:lang w:val="es-MX"/>
        </w:rPr>
      </w:pPr>
    </w:p>
    <w:p w14:paraId="302B2728" w14:textId="77777777" w:rsidR="005E2829" w:rsidRDefault="005E2829" w:rsidP="00414DEF">
      <w:pPr>
        <w:spacing w:after="0" w:line="240" w:lineRule="auto"/>
        <w:jc w:val="both"/>
        <w:rPr>
          <w:rFonts w:ascii="Verdana" w:hAnsi="Verdana"/>
          <w:sz w:val="20"/>
          <w:szCs w:val="20"/>
          <w:lang w:val="es-MX"/>
        </w:rPr>
      </w:pPr>
      <w:r w:rsidRPr="008941C6">
        <w:rPr>
          <w:rFonts w:ascii="Verdana" w:hAnsi="Verdana"/>
          <w:sz w:val="20"/>
          <w:szCs w:val="20"/>
          <w:lang w:val="es-MX"/>
        </w:rPr>
        <w:t>la Corte Interamericana de Derechos Humanos (en adelante “la Corte Interamericana”, “la Corte” o “este Tribunal”)</w:t>
      </w:r>
      <w:r>
        <w:rPr>
          <w:rFonts w:ascii="Verdana" w:hAnsi="Verdana"/>
          <w:sz w:val="20"/>
          <w:szCs w:val="20"/>
          <w:lang w:val="es-MX"/>
        </w:rPr>
        <w:t>, integrada por los siguientes J</w:t>
      </w:r>
      <w:r w:rsidRPr="008941C6">
        <w:rPr>
          <w:rFonts w:ascii="Verdana" w:hAnsi="Verdana"/>
          <w:sz w:val="20"/>
          <w:szCs w:val="20"/>
          <w:lang w:val="es-MX"/>
        </w:rPr>
        <w:t>ueces</w:t>
      </w:r>
      <w:r>
        <w:rPr>
          <w:rStyle w:val="Refdenotaalpie"/>
          <w:rFonts w:ascii="Verdana" w:hAnsi="Verdana"/>
          <w:lang w:val="es-MX"/>
        </w:rPr>
        <w:footnoteReference w:customMarkFollows="1" w:id="1"/>
        <w:t>*:</w:t>
      </w:r>
    </w:p>
    <w:p w14:paraId="0289ECBF" w14:textId="77777777" w:rsidR="005E2829" w:rsidRDefault="005E2829" w:rsidP="00414DEF">
      <w:pPr>
        <w:spacing w:after="0" w:line="240" w:lineRule="auto"/>
        <w:jc w:val="both"/>
        <w:rPr>
          <w:rFonts w:ascii="Verdana" w:hAnsi="Verdana"/>
          <w:sz w:val="20"/>
          <w:szCs w:val="20"/>
          <w:lang w:val="es-MX"/>
        </w:rPr>
      </w:pPr>
    </w:p>
    <w:p w14:paraId="004C0C3F" w14:textId="77777777" w:rsidR="005E2829" w:rsidRPr="005B649F" w:rsidRDefault="005E2829" w:rsidP="00414DEF">
      <w:pPr>
        <w:spacing w:after="0" w:line="240" w:lineRule="auto"/>
        <w:jc w:val="both"/>
        <w:rPr>
          <w:rFonts w:ascii="Verdana" w:hAnsi="Verdana"/>
          <w:sz w:val="20"/>
          <w:szCs w:val="20"/>
          <w:lang w:val="es-MX"/>
        </w:rPr>
      </w:pPr>
      <w:r w:rsidRPr="005B649F">
        <w:rPr>
          <w:rFonts w:ascii="Verdana" w:hAnsi="Verdana"/>
          <w:sz w:val="20"/>
          <w:szCs w:val="20"/>
          <w:lang w:val="es-MX"/>
        </w:rPr>
        <w:t>Elizabeth Odio Benito, Presidenta;</w:t>
      </w:r>
    </w:p>
    <w:p w14:paraId="007E6A7D" w14:textId="77777777" w:rsidR="005E2829" w:rsidRPr="005B649F" w:rsidRDefault="005E2829" w:rsidP="00414DEF">
      <w:pPr>
        <w:spacing w:after="0" w:line="240" w:lineRule="auto"/>
        <w:jc w:val="both"/>
        <w:rPr>
          <w:rFonts w:ascii="Verdana" w:hAnsi="Verdana"/>
          <w:sz w:val="20"/>
          <w:szCs w:val="20"/>
          <w:lang w:val="es-MX"/>
        </w:rPr>
      </w:pPr>
      <w:r w:rsidRPr="005B649F">
        <w:rPr>
          <w:rFonts w:ascii="Verdana" w:hAnsi="Verdana"/>
          <w:sz w:val="20"/>
          <w:szCs w:val="20"/>
          <w:lang w:val="es-MX"/>
        </w:rPr>
        <w:t>Eduardo Vio Grossi, Juez;</w:t>
      </w:r>
    </w:p>
    <w:p w14:paraId="0CC7FE39" w14:textId="77777777" w:rsidR="005E2829" w:rsidRPr="005B649F" w:rsidRDefault="005E2829" w:rsidP="00414DEF">
      <w:pPr>
        <w:spacing w:after="0" w:line="240" w:lineRule="auto"/>
        <w:jc w:val="both"/>
        <w:rPr>
          <w:rFonts w:ascii="Verdana" w:hAnsi="Verdana"/>
          <w:sz w:val="20"/>
          <w:szCs w:val="20"/>
          <w:lang w:val="es-MX"/>
        </w:rPr>
      </w:pPr>
      <w:r w:rsidRPr="005B649F">
        <w:rPr>
          <w:rFonts w:ascii="Verdana" w:hAnsi="Verdana"/>
          <w:sz w:val="20"/>
          <w:szCs w:val="20"/>
          <w:lang w:val="es-MX"/>
        </w:rPr>
        <w:t>Humberto Antonio Sierra Porto, Juez;</w:t>
      </w:r>
    </w:p>
    <w:p w14:paraId="6F707880" w14:textId="77777777" w:rsidR="005E2829" w:rsidRPr="005B649F" w:rsidRDefault="005E2829" w:rsidP="00414DEF">
      <w:pPr>
        <w:spacing w:after="0" w:line="240" w:lineRule="auto"/>
        <w:jc w:val="both"/>
        <w:rPr>
          <w:rFonts w:ascii="Verdana" w:hAnsi="Verdana"/>
          <w:sz w:val="20"/>
          <w:szCs w:val="20"/>
        </w:rPr>
      </w:pPr>
      <w:r w:rsidRPr="005B649F">
        <w:rPr>
          <w:rFonts w:ascii="Verdana" w:hAnsi="Verdana"/>
          <w:sz w:val="20"/>
          <w:szCs w:val="20"/>
        </w:rPr>
        <w:t>Eduardo Ferrer Mac-</w:t>
      </w:r>
      <w:proofErr w:type="spellStart"/>
      <w:r w:rsidRPr="005B649F">
        <w:rPr>
          <w:rFonts w:ascii="Verdana" w:hAnsi="Verdana"/>
          <w:sz w:val="20"/>
          <w:szCs w:val="20"/>
        </w:rPr>
        <w:t>Gregor</w:t>
      </w:r>
      <w:proofErr w:type="spellEnd"/>
      <w:r w:rsidRPr="005B649F">
        <w:rPr>
          <w:rFonts w:ascii="Verdana" w:hAnsi="Verdana"/>
          <w:sz w:val="20"/>
          <w:szCs w:val="20"/>
        </w:rPr>
        <w:t xml:space="preserve"> </w:t>
      </w:r>
      <w:proofErr w:type="spellStart"/>
      <w:r w:rsidRPr="005B649F">
        <w:rPr>
          <w:rFonts w:ascii="Verdana" w:hAnsi="Verdana"/>
          <w:sz w:val="20"/>
          <w:szCs w:val="20"/>
        </w:rPr>
        <w:t>Poisot</w:t>
      </w:r>
      <w:proofErr w:type="spellEnd"/>
      <w:r w:rsidRPr="005B649F">
        <w:rPr>
          <w:rFonts w:ascii="Verdana" w:hAnsi="Verdana"/>
          <w:sz w:val="20"/>
          <w:szCs w:val="20"/>
        </w:rPr>
        <w:t>, Juez;</w:t>
      </w:r>
    </w:p>
    <w:p w14:paraId="48CBB567" w14:textId="77777777" w:rsidR="005E2829" w:rsidRPr="005B649F" w:rsidRDefault="005E2829" w:rsidP="00414DEF">
      <w:pPr>
        <w:spacing w:after="0" w:line="240" w:lineRule="auto"/>
        <w:jc w:val="both"/>
        <w:rPr>
          <w:rFonts w:ascii="Verdana" w:hAnsi="Verdana"/>
          <w:sz w:val="20"/>
          <w:szCs w:val="20"/>
        </w:rPr>
      </w:pPr>
      <w:r w:rsidRPr="005B649F">
        <w:rPr>
          <w:rFonts w:ascii="Verdana" w:hAnsi="Verdana"/>
          <w:sz w:val="20"/>
          <w:szCs w:val="20"/>
        </w:rPr>
        <w:t xml:space="preserve">Eugenio Raúl </w:t>
      </w:r>
      <w:proofErr w:type="spellStart"/>
      <w:r w:rsidRPr="005B649F">
        <w:rPr>
          <w:rFonts w:ascii="Verdana" w:hAnsi="Verdana"/>
          <w:sz w:val="20"/>
          <w:szCs w:val="20"/>
        </w:rPr>
        <w:t>Zaffaroni</w:t>
      </w:r>
      <w:proofErr w:type="spellEnd"/>
      <w:r w:rsidRPr="005B649F">
        <w:rPr>
          <w:rFonts w:ascii="Verdana" w:hAnsi="Verdana"/>
          <w:sz w:val="20"/>
          <w:szCs w:val="20"/>
        </w:rPr>
        <w:t xml:space="preserve">, Juez, y </w:t>
      </w:r>
    </w:p>
    <w:p w14:paraId="49FB12F3" w14:textId="77777777" w:rsidR="005E2829" w:rsidRPr="005B649F" w:rsidRDefault="005E2829" w:rsidP="00414DEF">
      <w:pPr>
        <w:spacing w:after="0" w:line="240" w:lineRule="auto"/>
        <w:jc w:val="both"/>
        <w:rPr>
          <w:rFonts w:ascii="Verdana" w:hAnsi="Verdana"/>
          <w:sz w:val="20"/>
          <w:szCs w:val="20"/>
          <w:lang w:val="es-MX"/>
        </w:rPr>
      </w:pPr>
      <w:r w:rsidRPr="005B649F">
        <w:rPr>
          <w:rFonts w:ascii="Verdana" w:hAnsi="Verdana"/>
          <w:sz w:val="20"/>
          <w:szCs w:val="20"/>
        </w:rPr>
        <w:t>Ricardo Pérez Manrique, Juez,</w:t>
      </w:r>
    </w:p>
    <w:p w14:paraId="4012C8A6" w14:textId="77777777" w:rsidR="005E2829" w:rsidRDefault="005E2829" w:rsidP="00414DEF">
      <w:pPr>
        <w:spacing w:after="0" w:line="240" w:lineRule="auto"/>
        <w:rPr>
          <w:rFonts w:ascii="Verdana" w:hAnsi="Verdana"/>
          <w:sz w:val="20"/>
          <w:szCs w:val="20"/>
          <w:lang w:val="es-MX"/>
        </w:rPr>
      </w:pPr>
    </w:p>
    <w:p w14:paraId="2BA85003" w14:textId="77777777" w:rsidR="005E2829" w:rsidRPr="008941C6" w:rsidRDefault="005E2829" w:rsidP="00414DEF">
      <w:pPr>
        <w:spacing w:after="0" w:line="240" w:lineRule="auto"/>
        <w:rPr>
          <w:rFonts w:ascii="Verdana" w:hAnsi="Verdana"/>
          <w:sz w:val="20"/>
          <w:szCs w:val="20"/>
          <w:lang w:val="es-MX"/>
        </w:rPr>
      </w:pPr>
      <w:proofErr w:type="gramStart"/>
      <w:r w:rsidRPr="008941C6">
        <w:rPr>
          <w:rFonts w:ascii="Verdana" w:hAnsi="Verdana"/>
          <w:sz w:val="20"/>
          <w:szCs w:val="20"/>
          <w:lang w:val="es-MX"/>
        </w:rPr>
        <w:t>presente</w:t>
      </w:r>
      <w:proofErr w:type="gramEnd"/>
      <w:r w:rsidRPr="008941C6">
        <w:rPr>
          <w:rFonts w:ascii="Verdana" w:hAnsi="Verdana"/>
          <w:sz w:val="20"/>
          <w:szCs w:val="20"/>
          <w:lang w:val="es-MX"/>
        </w:rPr>
        <w:t xml:space="preserve"> además, </w:t>
      </w:r>
    </w:p>
    <w:p w14:paraId="73125668" w14:textId="77777777" w:rsidR="005E2829" w:rsidRDefault="005E2829" w:rsidP="00414DEF">
      <w:pPr>
        <w:spacing w:after="0" w:line="240" w:lineRule="auto"/>
        <w:rPr>
          <w:rFonts w:ascii="Verdana" w:hAnsi="Verdana"/>
          <w:sz w:val="20"/>
          <w:szCs w:val="20"/>
          <w:lang w:val="es-MX"/>
        </w:rPr>
      </w:pPr>
    </w:p>
    <w:p w14:paraId="2189D363" w14:textId="77777777" w:rsidR="005E2829" w:rsidRPr="008941C6" w:rsidRDefault="005E2829" w:rsidP="00414DEF">
      <w:pPr>
        <w:spacing w:after="0" w:line="240" w:lineRule="auto"/>
        <w:rPr>
          <w:rFonts w:ascii="Verdana" w:hAnsi="Verdana"/>
          <w:sz w:val="20"/>
          <w:szCs w:val="20"/>
          <w:lang w:val="es-MX"/>
        </w:rPr>
      </w:pPr>
      <w:r w:rsidRPr="008941C6">
        <w:rPr>
          <w:rFonts w:ascii="Verdana" w:hAnsi="Verdana"/>
          <w:sz w:val="20"/>
          <w:szCs w:val="20"/>
          <w:lang w:val="es-MX"/>
        </w:rPr>
        <w:t xml:space="preserve">Pablo </w:t>
      </w:r>
      <w:r>
        <w:rPr>
          <w:rFonts w:ascii="Verdana" w:hAnsi="Verdana"/>
          <w:sz w:val="20"/>
          <w:szCs w:val="20"/>
          <w:lang w:val="es-MX"/>
        </w:rPr>
        <w:t>Saavedra Alessandri, Secretario,</w:t>
      </w:r>
      <w:r w:rsidRPr="008941C6">
        <w:rPr>
          <w:rFonts w:ascii="Verdana" w:hAnsi="Verdana"/>
          <w:sz w:val="20"/>
          <w:szCs w:val="20"/>
          <w:lang w:val="es-MX"/>
        </w:rPr>
        <w:t xml:space="preserve"> </w:t>
      </w:r>
    </w:p>
    <w:p w14:paraId="3F7F3D54" w14:textId="77777777" w:rsidR="005E2829" w:rsidRDefault="005E2829" w:rsidP="00414DEF">
      <w:pPr>
        <w:spacing w:after="0" w:line="240" w:lineRule="auto"/>
        <w:jc w:val="both"/>
        <w:rPr>
          <w:rFonts w:ascii="Verdana" w:hAnsi="Verdana"/>
          <w:sz w:val="20"/>
          <w:szCs w:val="20"/>
          <w:lang w:val="es-MX"/>
        </w:rPr>
      </w:pPr>
    </w:p>
    <w:p w14:paraId="2CC3AD7F" w14:textId="77777777" w:rsidR="00507D34" w:rsidRDefault="00507D34" w:rsidP="00414DEF">
      <w:pPr>
        <w:spacing w:after="0" w:line="240" w:lineRule="auto"/>
        <w:jc w:val="both"/>
        <w:rPr>
          <w:rFonts w:ascii="Verdana" w:hAnsi="Verdana"/>
          <w:sz w:val="20"/>
          <w:szCs w:val="20"/>
          <w:lang w:val="es-MX"/>
        </w:rPr>
      </w:pPr>
    </w:p>
    <w:p w14:paraId="69E3BBB9" w14:textId="77777777" w:rsidR="00507D34" w:rsidRDefault="00507D34" w:rsidP="00414DEF">
      <w:pPr>
        <w:spacing w:after="0" w:line="240" w:lineRule="auto"/>
        <w:jc w:val="both"/>
        <w:rPr>
          <w:rFonts w:ascii="Verdana" w:hAnsi="Verdana"/>
          <w:sz w:val="20"/>
          <w:szCs w:val="20"/>
          <w:lang w:val="es-MX"/>
        </w:rPr>
      </w:pPr>
    </w:p>
    <w:p w14:paraId="0F609A7B" w14:textId="77777777" w:rsidR="005E2829" w:rsidRPr="008941C6" w:rsidRDefault="005E2829" w:rsidP="00414DEF">
      <w:pPr>
        <w:spacing w:after="0" w:line="240" w:lineRule="auto"/>
        <w:jc w:val="both"/>
        <w:rPr>
          <w:rFonts w:ascii="Verdana" w:hAnsi="Verdana"/>
          <w:sz w:val="20"/>
          <w:szCs w:val="20"/>
          <w:lang w:val="es-MX"/>
        </w:rPr>
      </w:pPr>
      <w:r w:rsidRPr="008941C6">
        <w:rPr>
          <w:rFonts w:ascii="Verdana" w:hAnsi="Verdana"/>
          <w:sz w:val="20"/>
          <w:szCs w:val="20"/>
          <w:lang w:val="es-MX"/>
        </w:rPr>
        <w:t>de conformidad con los artículos 62.3 y 63.1 de la Convención Americana sobre Derechos Humanos (en adelante “la Convención Americana” o “la Convención”) y con los artículos 31, 32, 62, 65 y 67 del Reglamento de la Corte (en adelante “el Reglamento”, dicta la presente Sentencia, que se estructura en el siguiente orden:</w:t>
      </w:r>
    </w:p>
    <w:p w14:paraId="081327CB" w14:textId="77777777" w:rsidR="005E2829" w:rsidRDefault="005E2829" w:rsidP="00414DEF">
      <w:pPr>
        <w:spacing w:line="240" w:lineRule="auto"/>
        <w:jc w:val="both"/>
        <w:rPr>
          <w:lang w:val="es-MX"/>
        </w:rPr>
      </w:pPr>
    </w:p>
    <w:p w14:paraId="61EA58AE" w14:textId="77777777" w:rsidR="005E2829" w:rsidRDefault="005E2829" w:rsidP="00414DEF">
      <w:pPr>
        <w:spacing w:line="240" w:lineRule="auto"/>
        <w:jc w:val="both"/>
        <w:rPr>
          <w:lang w:val="es-MX"/>
        </w:rPr>
      </w:pPr>
      <w:r>
        <w:rPr>
          <w:lang w:val="es-MX"/>
        </w:rPr>
        <w:br w:type="page"/>
      </w:r>
    </w:p>
    <w:p w14:paraId="1CF840D6" w14:textId="77777777" w:rsidR="00992F9F" w:rsidRDefault="00992F9F" w:rsidP="00414DEF">
      <w:pPr>
        <w:spacing w:after="0" w:line="240" w:lineRule="auto"/>
        <w:ind w:right="97"/>
        <w:jc w:val="center"/>
        <w:rPr>
          <w:rFonts w:ascii="Verdana" w:eastAsia="Verdana" w:hAnsi="Verdana" w:cs="Verdana"/>
          <w:b/>
          <w:bCs/>
          <w:spacing w:val="1"/>
          <w:sz w:val="20"/>
          <w:szCs w:val="20"/>
          <w:lang w:val="es-MX"/>
        </w:rPr>
      </w:pPr>
    </w:p>
    <w:p w14:paraId="7659056A" w14:textId="77777777" w:rsidR="005E2829" w:rsidRPr="00E07388" w:rsidRDefault="005E2829" w:rsidP="00414DEF">
      <w:pPr>
        <w:spacing w:after="0" w:line="240" w:lineRule="auto"/>
        <w:ind w:right="97"/>
        <w:jc w:val="center"/>
        <w:rPr>
          <w:rFonts w:ascii="Verdana" w:eastAsia="Verdana" w:hAnsi="Verdana" w:cs="Verdana"/>
          <w:sz w:val="20"/>
          <w:szCs w:val="20"/>
          <w:lang w:val="es-MX"/>
        </w:rPr>
      </w:pPr>
      <w:r w:rsidRPr="00E07388">
        <w:rPr>
          <w:rFonts w:ascii="Verdana" w:eastAsia="Verdana" w:hAnsi="Verdana" w:cs="Verdana"/>
          <w:b/>
          <w:bCs/>
          <w:spacing w:val="1"/>
          <w:sz w:val="20"/>
          <w:szCs w:val="20"/>
          <w:lang w:val="es-MX"/>
        </w:rPr>
        <w:t>T</w:t>
      </w:r>
      <w:r w:rsidRPr="00E07388">
        <w:rPr>
          <w:rFonts w:ascii="Verdana" w:eastAsia="Verdana" w:hAnsi="Verdana" w:cs="Verdana"/>
          <w:b/>
          <w:bCs/>
          <w:spacing w:val="-1"/>
          <w:sz w:val="20"/>
          <w:szCs w:val="20"/>
          <w:lang w:val="es-MX"/>
        </w:rPr>
        <w:t>A</w:t>
      </w:r>
      <w:r w:rsidRPr="00E07388">
        <w:rPr>
          <w:rFonts w:ascii="Verdana" w:eastAsia="Verdana" w:hAnsi="Verdana" w:cs="Verdana"/>
          <w:b/>
          <w:bCs/>
          <w:sz w:val="20"/>
          <w:szCs w:val="20"/>
          <w:lang w:val="es-MX"/>
        </w:rPr>
        <w:t>B</w:t>
      </w:r>
      <w:r w:rsidRPr="00E07388">
        <w:rPr>
          <w:rFonts w:ascii="Verdana" w:eastAsia="Verdana" w:hAnsi="Verdana" w:cs="Verdana"/>
          <w:b/>
          <w:bCs/>
          <w:spacing w:val="2"/>
          <w:sz w:val="20"/>
          <w:szCs w:val="20"/>
          <w:lang w:val="es-MX"/>
        </w:rPr>
        <w:t>L</w:t>
      </w:r>
      <w:r w:rsidRPr="00E07388">
        <w:rPr>
          <w:rFonts w:ascii="Verdana" w:eastAsia="Verdana" w:hAnsi="Verdana" w:cs="Verdana"/>
          <w:b/>
          <w:bCs/>
          <w:sz w:val="20"/>
          <w:szCs w:val="20"/>
          <w:lang w:val="es-MX"/>
        </w:rPr>
        <w:t>A</w:t>
      </w:r>
      <w:r w:rsidRPr="00E07388">
        <w:rPr>
          <w:rFonts w:ascii="Verdana" w:eastAsia="Verdana" w:hAnsi="Verdana" w:cs="Verdana"/>
          <w:b/>
          <w:bCs/>
          <w:spacing w:val="-9"/>
          <w:sz w:val="20"/>
          <w:szCs w:val="20"/>
          <w:lang w:val="es-MX"/>
        </w:rPr>
        <w:t xml:space="preserve"> </w:t>
      </w:r>
      <w:r w:rsidRPr="00E07388">
        <w:rPr>
          <w:rFonts w:ascii="Verdana" w:eastAsia="Verdana" w:hAnsi="Verdana" w:cs="Verdana"/>
          <w:b/>
          <w:bCs/>
          <w:sz w:val="20"/>
          <w:szCs w:val="20"/>
          <w:lang w:val="es-MX"/>
        </w:rPr>
        <w:t>DE</w:t>
      </w:r>
      <w:r w:rsidRPr="00E07388">
        <w:rPr>
          <w:rFonts w:ascii="Verdana" w:eastAsia="Verdana" w:hAnsi="Verdana" w:cs="Verdana"/>
          <w:b/>
          <w:bCs/>
          <w:spacing w:val="-1"/>
          <w:sz w:val="20"/>
          <w:szCs w:val="20"/>
          <w:lang w:val="es-MX"/>
        </w:rPr>
        <w:t xml:space="preserve"> </w:t>
      </w:r>
      <w:r w:rsidRPr="00E07388">
        <w:rPr>
          <w:rFonts w:ascii="Verdana" w:eastAsia="Verdana" w:hAnsi="Verdana" w:cs="Verdana"/>
          <w:b/>
          <w:bCs/>
          <w:w w:val="99"/>
          <w:sz w:val="20"/>
          <w:szCs w:val="20"/>
          <w:lang w:val="es-MX"/>
        </w:rPr>
        <w:t>C</w:t>
      </w:r>
      <w:r w:rsidRPr="00E07388">
        <w:rPr>
          <w:rFonts w:ascii="Verdana" w:eastAsia="Verdana" w:hAnsi="Verdana" w:cs="Verdana"/>
          <w:b/>
          <w:bCs/>
          <w:spacing w:val="3"/>
          <w:w w:val="99"/>
          <w:sz w:val="20"/>
          <w:szCs w:val="20"/>
          <w:lang w:val="es-MX"/>
        </w:rPr>
        <w:t>O</w:t>
      </w:r>
      <w:r w:rsidRPr="00E07388">
        <w:rPr>
          <w:rFonts w:ascii="Verdana" w:eastAsia="Verdana" w:hAnsi="Verdana" w:cs="Verdana"/>
          <w:b/>
          <w:bCs/>
          <w:spacing w:val="-1"/>
          <w:w w:val="99"/>
          <w:sz w:val="20"/>
          <w:szCs w:val="20"/>
          <w:lang w:val="es-MX"/>
        </w:rPr>
        <w:t>N</w:t>
      </w:r>
      <w:r w:rsidRPr="00E07388">
        <w:rPr>
          <w:rFonts w:ascii="Verdana" w:eastAsia="Verdana" w:hAnsi="Verdana" w:cs="Verdana"/>
          <w:b/>
          <w:bCs/>
          <w:spacing w:val="1"/>
          <w:w w:val="99"/>
          <w:sz w:val="20"/>
          <w:szCs w:val="20"/>
          <w:lang w:val="es-MX"/>
        </w:rPr>
        <w:t>TE</w:t>
      </w:r>
      <w:r w:rsidRPr="00E07388">
        <w:rPr>
          <w:rFonts w:ascii="Verdana" w:eastAsia="Verdana" w:hAnsi="Verdana" w:cs="Verdana"/>
          <w:b/>
          <w:bCs/>
          <w:spacing w:val="-1"/>
          <w:w w:val="99"/>
          <w:sz w:val="20"/>
          <w:szCs w:val="20"/>
          <w:lang w:val="es-MX"/>
        </w:rPr>
        <w:t>N</w:t>
      </w:r>
      <w:r w:rsidRPr="00E07388">
        <w:rPr>
          <w:rFonts w:ascii="Verdana" w:eastAsia="Verdana" w:hAnsi="Verdana" w:cs="Verdana"/>
          <w:b/>
          <w:bCs/>
          <w:spacing w:val="1"/>
          <w:w w:val="99"/>
          <w:sz w:val="20"/>
          <w:szCs w:val="20"/>
          <w:lang w:val="es-MX"/>
        </w:rPr>
        <w:t>I</w:t>
      </w:r>
      <w:r w:rsidRPr="00E07388">
        <w:rPr>
          <w:rFonts w:ascii="Verdana" w:eastAsia="Verdana" w:hAnsi="Verdana" w:cs="Verdana"/>
          <w:b/>
          <w:bCs/>
          <w:spacing w:val="2"/>
          <w:w w:val="99"/>
          <w:sz w:val="20"/>
          <w:szCs w:val="20"/>
          <w:lang w:val="es-MX"/>
        </w:rPr>
        <w:t>D</w:t>
      </w:r>
      <w:r w:rsidRPr="00E07388">
        <w:rPr>
          <w:rFonts w:ascii="Verdana" w:eastAsia="Verdana" w:hAnsi="Verdana" w:cs="Verdana"/>
          <w:b/>
          <w:bCs/>
          <w:spacing w:val="1"/>
          <w:w w:val="99"/>
          <w:sz w:val="20"/>
          <w:szCs w:val="20"/>
          <w:lang w:val="es-MX"/>
        </w:rPr>
        <w:t>O</w:t>
      </w:r>
      <w:r w:rsidRPr="00E07388">
        <w:rPr>
          <w:rFonts w:ascii="Verdana" w:eastAsia="Verdana" w:hAnsi="Verdana" w:cs="Verdana"/>
          <w:b/>
          <w:bCs/>
          <w:w w:val="99"/>
          <w:sz w:val="20"/>
          <w:szCs w:val="20"/>
          <w:lang w:val="es-MX"/>
        </w:rPr>
        <w:t>S</w:t>
      </w:r>
    </w:p>
    <w:p w14:paraId="5031BD86" w14:textId="77777777" w:rsidR="005E2829" w:rsidRPr="00E07388" w:rsidRDefault="005E2829" w:rsidP="00414DEF">
      <w:pPr>
        <w:spacing w:after="0" w:line="240" w:lineRule="auto"/>
        <w:ind w:right="97"/>
        <w:jc w:val="both"/>
        <w:rPr>
          <w:rFonts w:ascii="Verdana" w:hAnsi="Verdana"/>
          <w:sz w:val="20"/>
          <w:szCs w:val="20"/>
          <w:lang w:val="es-MX"/>
        </w:rPr>
      </w:pPr>
    </w:p>
    <w:p w14:paraId="1190221B" w14:textId="69E720E0" w:rsidR="00414DEF" w:rsidRPr="00414DEF" w:rsidRDefault="005E2829">
      <w:pPr>
        <w:pStyle w:val="TDC1"/>
        <w:tabs>
          <w:tab w:val="right" w:leader="dot" w:pos="10010"/>
        </w:tabs>
        <w:rPr>
          <w:rFonts w:ascii="Verdana" w:eastAsiaTheme="minorEastAsia" w:hAnsi="Verdana"/>
          <w:noProof/>
          <w:sz w:val="20"/>
          <w:szCs w:val="20"/>
          <w:lang w:eastAsia="es-CR"/>
        </w:rPr>
      </w:pPr>
      <w:r w:rsidRPr="00414DEF">
        <w:rPr>
          <w:rFonts w:ascii="Verdana" w:hAnsi="Verdana"/>
          <w:sz w:val="20"/>
          <w:szCs w:val="20"/>
          <w:lang w:val="es-MX"/>
        </w:rPr>
        <w:fldChar w:fldCharType="begin"/>
      </w:r>
      <w:r w:rsidRPr="00414DEF">
        <w:rPr>
          <w:rFonts w:ascii="Verdana" w:hAnsi="Verdana"/>
          <w:sz w:val="20"/>
          <w:szCs w:val="20"/>
          <w:lang w:val="es-MX"/>
        </w:rPr>
        <w:instrText xml:space="preserve"> TOC \o \h \z \u </w:instrText>
      </w:r>
      <w:r w:rsidRPr="00414DEF">
        <w:rPr>
          <w:rFonts w:ascii="Verdana" w:hAnsi="Verdana"/>
          <w:sz w:val="20"/>
          <w:szCs w:val="20"/>
          <w:lang w:val="es-MX"/>
        </w:rPr>
        <w:fldChar w:fldCharType="separate"/>
      </w:r>
      <w:hyperlink w:anchor="_Toc34817776" w:history="1">
        <w:r w:rsidR="00414DEF" w:rsidRPr="00414DEF">
          <w:rPr>
            <w:rStyle w:val="Hipervnculo"/>
            <w:rFonts w:ascii="Verdana" w:eastAsia="Batang" w:hAnsi="Verdana" w:cs="Times"/>
            <w:b/>
            <w:noProof/>
            <w:sz w:val="20"/>
            <w:szCs w:val="20"/>
            <w:lang w:eastAsia="es-CR"/>
          </w:rPr>
          <w:t>I INTRODUCCIÓN DE LA CAUSA Y OBJETO DE LA CONTROVERSIA</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_Toc34817776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3</w:t>
        </w:r>
        <w:r w:rsidR="00414DEF" w:rsidRPr="00414DEF">
          <w:rPr>
            <w:rFonts w:ascii="Verdana" w:hAnsi="Verdana"/>
            <w:noProof/>
            <w:webHidden/>
            <w:sz w:val="20"/>
            <w:szCs w:val="20"/>
          </w:rPr>
          <w:fldChar w:fldCharType="end"/>
        </w:r>
      </w:hyperlink>
    </w:p>
    <w:p w14:paraId="7C562800" w14:textId="3B81A8E7" w:rsidR="00414DEF" w:rsidRPr="00414DEF" w:rsidRDefault="005F7D12">
      <w:pPr>
        <w:pStyle w:val="TDC1"/>
        <w:tabs>
          <w:tab w:val="right" w:leader="dot" w:pos="10010"/>
        </w:tabs>
        <w:rPr>
          <w:rFonts w:ascii="Verdana" w:eastAsiaTheme="minorEastAsia" w:hAnsi="Verdana"/>
          <w:noProof/>
          <w:sz w:val="20"/>
          <w:szCs w:val="20"/>
          <w:lang w:eastAsia="es-CR"/>
        </w:rPr>
      </w:pPr>
      <w:hyperlink w:anchor="_Toc34817777" w:history="1">
        <w:r w:rsidR="00414DEF" w:rsidRPr="00414DEF">
          <w:rPr>
            <w:rStyle w:val="Hipervnculo"/>
            <w:rFonts w:ascii="Verdana" w:eastAsia="Verdana" w:hAnsi="Verdana" w:cs="Verdana"/>
            <w:b/>
            <w:noProof/>
            <w:spacing w:val="-1"/>
            <w:sz w:val="20"/>
            <w:szCs w:val="20"/>
            <w:lang w:val="es-MX"/>
          </w:rPr>
          <w:t>II</w:t>
        </w:r>
      </w:hyperlink>
      <w:r w:rsidR="00414DEF" w:rsidRPr="00414DEF">
        <w:rPr>
          <w:rStyle w:val="Hipervnculo"/>
          <w:rFonts w:ascii="Verdana" w:hAnsi="Verdana"/>
          <w:noProof/>
          <w:sz w:val="20"/>
          <w:szCs w:val="20"/>
          <w:u w:val="none"/>
        </w:rPr>
        <w:t xml:space="preserve"> </w:t>
      </w:r>
      <w:hyperlink w:anchor="_Toc34817778" w:history="1">
        <w:r w:rsidR="00414DEF" w:rsidRPr="00414DEF">
          <w:rPr>
            <w:rStyle w:val="Hipervnculo"/>
            <w:rFonts w:ascii="Verdana" w:eastAsia="Verdana" w:hAnsi="Verdana" w:cs="Verdana"/>
            <w:b/>
            <w:noProof/>
            <w:spacing w:val="-1"/>
            <w:sz w:val="20"/>
            <w:szCs w:val="20"/>
            <w:lang w:val="es-MX"/>
          </w:rPr>
          <w:t>PROCEDIMIENTO ANTE LA CORTE</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_Toc34817778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4</w:t>
        </w:r>
        <w:r w:rsidR="00414DEF" w:rsidRPr="00414DEF">
          <w:rPr>
            <w:rFonts w:ascii="Verdana" w:hAnsi="Verdana"/>
            <w:noProof/>
            <w:webHidden/>
            <w:sz w:val="20"/>
            <w:szCs w:val="20"/>
          </w:rPr>
          <w:fldChar w:fldCharType="end"/>
        </w:r>
      </w:hyperlink>
    </w:p>
    <w:p w14:paraId="6FB607BD" w14:textId="4ECA9F76" w:rsidR="00414DEF" w:rsidRPr="00414DEF" w:rsidRDefault="005F7D12">
      <w:pPr>
        <w:pStyle w:val="TDC1"/>
        <w:tabs>
          <w:tab w:val="right" w:leader="dot" w:pos="10010"/>
        </w:tabs>
        <w:rPr>
          <w:rFonts w:ascii="Verdana" w:eastAsiaTheme="minorEastAsia" w:hAnsi="Verdana"/>
          <w:noProof/>
          <w:sz w:val="20"/>
          <w:szCs w:val="20"/>
          <w:lang w:eastAsia="es-CR"/>
        </w:rPr>
      </w:pPr>
      <w:hyperlink w:anchor="_Toc34817779" w:history="1">
        <w:r w:rsidR="00414DEF" w:rsidRPr="00414DEF">
          <w:rPr>
            <w:rStyle w:val="Hipervnculo"/>
            <w:rFonts w:ascii="Verdana" w:eastAsia="Verdana" w:hAnsi="Verdana" w:cs="Verdana"/>
            <w:b/>
            <w:bCs/>
            <w:noProof/>
            <w:spacing w:val="-1"/>
            <w:w w:val="99"/>
            <w:sz w:val="20"/>
            <w:szCs w:val="20"/>
            <w:lang w:val="es-MX"/>
          </w:rPr>
          <w:t>III</w:t>
        </w:r>
      </w:hyperlink>
      <w:r w:rsidR="00414DEF" w:rsidRPr="00414DEF">
        <w:rPr>
          <w:rStyle w:val="Hipervnculo"/>
          <w:rFonts w:ascii="Verdana" w:hAnsi="Verdana"/>
          <w:noProof/>
          <w:sz w:val="20"/>
          <w:szCs w:val="20"/>
          <w:u w:val="none"/>
        </w:rPr>
        <w:t xml:space="preserve"> </w:t>
      </w:r>
      <w:hyperlink w:anchor="_Toc34817780" w:history="1">
        <w:r w:rsidR="00414DEF" w:rsidRPr="00414DEF">
          <w:rPr>
            <w:rStyle w:val="Hipervnculo"/>
            <w:rFonts w:ascii="Verdana" w:eastAsia="Verdana" w:hAnsi="Verdana" w:cs="Verdana"/>
            <w:b/>
            <w:bCs/>
            <w:noProof/>
            <w:w w:val="99"/>
            <w:sz w:val="20"/>
            <w:szCs w:val="20"/>
            <w:lang w:val="es-MX"/>
          </w:rPr>
          <w:t>C</w:t>
        </w:r>
        <w:r w:rsidR="00414DEF" w:rsidRPr="00414DEF">
          <w:rPr>
            <w:rStyle w:val="Hipervnculo"/>
            <w:rFonts w:ascii="Verdana" w:eastAsia="Verdana" w:hAnsi="Verdana" w:cs="Verdana"/>
            <w:b/>
            <w:bCs/>
            <w:noProof/>
            <w:spacing w:val="1"/>
            <w:w w:val="99"/>
            <w:sz w:val="20"/>
            <w:szCs w:val="20"/>
            <w:lang w:val="es-MX"/>
          </w:rPr>
          <w:t>OM</w:t>
        </w:r>
        <w:r w:rsidR="00414DEF" w:rsidRPr="00414DEF">
          <w:rPr>
            <w:rStyle w:val="Hipervnculo"/>
            <w:rFonts w:ascii="Verdana" w:eastAsia="Verdana" w:hAnsi="Verdana" w:cs="Verdana"/>
            <w:b/>
            <w:bCs/>
            <w:noProof/>
            <w:w w:val="99"/>
            <w:sz w:val="20"/>
            <w:szCs w:val="20"/>
            <w:lang w:val="es-MX"/>
          </w:rPr>
          <w:t>P</w:t>
        </w:r>
        <w:r w:rsidR="00414DEF" w:rsidRPr="00414DEF">
          <w:rPr>
            <w:rStyle w:val="Hipervnculo"/>
            <w:rFonts w:ascii="Verdana" w:eastAsia="Verdana" w:hAnsi="Verdana" w:cs="Verdana"/>
            <w:b/>
            <w:bCs/>
            <w:noProof/>
            <w:spacing w:val="1"/>
            <w:w w:val="99"/>
            <w:sz w:val="20"/>
            <w:szCs w:val="20"/>
            <w:lang w:val="es-MX"/>
          </w:rPr>
          <w:t>ETE</w:t>
        </w:r>
        <w:r w:rsidR="00414DEF" w:rsidRPr="00414DEF">
          <w:rPr>
            <w:rStyle w:val="Hipervnculo"/>
            <w:rFonts w:ascii="Verdana" w:eastAsia="Verdana" w:hAnsi="Verdana" w:cs="Verdana"/>
            <w:b/>
            <w:bCs/>
            <w:noProof/>
            <w:spacing w:val="-1"/>
            <w:w w:val="99"/>
            <w:sz w:val="20"/>
            <w:szCs w:val="20"/>
            <w:lang w:val="es-MX"/>
          </w:rPr>
          <w:t>N</w:t>
        </w:r>
        <w:r w:rsidR="00414DEF" w:rsidRPr="00414DEF">
          <w:rPr>
            <w:rStyle w:val="Hipervnculo"/>
            <w:rFonts w:ascii="Verdana" w:eastAsia="Verdana" w:hAnsi="Verdana" w:cs="Verdana"/>
            <w:b/>
            <w:bCs/>
            <w:noProof/>
            <w:w w:val="99"/>
            <w:sz w:val="20"/>
            <w:szCs w:val="20"/>
            <w:lang w:val="es-MX"/>
          </w:rPr>
          <w:t>C</w:t>
        </w:r>
        <w:r w:rsidR="00414DEF" w:rsidRPr="00414DEF">
          <w:rPr>
            <w:rStyle w:val="Hipervnculo"/>
            <w:rFonts w:ascii="Verdana" w:eastAsia="Verdana" w:hAnsi="Verdana" w:cs="Verdana"/>
            <w:b/>
            <w:bCs/>
            <w:noProof/>
            <w:spacing w:val="1"/>
            <w:w w:val="99"/>
            <w:sz w:val="20"/>
            <w:szCs w:val="20"/>
            <w:lang w:val="es-MX"/>
          </w:rPr>
          <w:t>I</w:t>
        </w:r>
        <w:r w:rsidR="00414DEF" w:rsidRPr="00414DEF">
          <w:rPr>
            <w:rStyle w:val="Hipervnculo"/>
            <w:rFonts w:ascii="Verdana" w:eastAsia="Verdana" w:hAnsi="Verdana" w:cs="Verdana"/>
            <w:b/>
            <w:bCs/>
            <w:noProof/>
            <w:w w:val="99"/>
            <w:sz w:val="20"/>
            <w:szCs w:val="20"/>
            <w:lang w:val="es-MX"/>
          </w:rPr>
          <w:t>A</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_Toc34817780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5</w:t>
        </w:r>
        <w:r w:rsidR="00414DEF" w:rsidRPr="00414DEF">
          <w:rPr>
            <w:rFonts w:ascii="Verdana" w:hAnsi="Verdana"/>
            <w:noProof/>
            <w:webHidden/>
            <w:sz w:val="20"/>
            <w:szCs w:val="20"/>
          </w:rPr>
          <w:fldChar w:fldCharType="end"/>
        </w:r>
      </w:hyperlink>
    </w:p>
    <w:p w14:paraId="6C0069CA" w14:textId="13FD2403" w:rsidR="00414DEF" w:rsidRPr="00414DEF" w:rsidRDefault="005F7D12">
      <w:pPr>
        <w:pStyle w:val="TDC1"/>
        <w:tabs>
          <w:tab w:val="right" w:leader="dot" w:pos="10010"/>
        </w:tabs>
        <w:rPr>
          <w:rFonts w:ascii="Verdana" w:eastAsiaTheme="minorEastAsia" w:hAnsi="Verdana"/>
          <w:noProof/>
          <w:sz w:val="20"/>
          <w:szCs w:val="20"/>
          <w:lang w:eastAsia="es-CR"/>
        </w:rPr>
      </w:pPr>
      <w:hyperlink w:anchor="_Toc34817781" w:history="1">
        <w:r w:rsidR="00414DEF" w:rsidRPr="00414DEF">
          <w:rPr>
            <w:rStyle w:val="Hipervnculo"/>
            <w:rFonts w:ascii="Verdana" w:eastAsia="Verdana" w:hAnsi="Verdana" w:cs="Verdana"/>
            <w:b/>
            <w:noProof/>
            <w:sz w:val="20"/>
            <w:szCs w:val="20"/>
            <w:lang w:val="es-MX"/>
          </w:rPr>
          <w:t>IV</w:t>
        </w:r>
      </w:hyperlink>
      <w:r w:rsidR="00414DEF" w:rsidRPr="00414DEF">
        <w:rPr>
          <w:rStyle w:val="Hipervnculo"/>
          <w:rFonts w:ascii="Verdana" w:hAnsi="Verdana"/>
          <w:noProof/>
          <w:sz w:val="20"/>
          <w:szCs w:val="20"/>
          <w:u w:val="none"/>
        </w:rPr>
        <w:t xml:space="preserve"> </w:t>
      </w:r>
      <w:hyperlink w:anchor="_Toc34817782" w:history="1">
        <w:r w:rsidR="00414DEF" w:rsidRPr="00414DEF">
          <w:rPr>
            <w:rStyle w:val="Hipervnculo"/>
            <w:rFonts w:ascii="Verdana" w:eastAsia="Verdana" w:hAnsi="Verdana" w:cs="Verdana"/>
            <w:b/>
            <w:noProof/>
            <w:sz w:val="20"/>
            <w:szCs w:val="20"/>
            <w:lang w:val="es-MX"/>
          </w:rPr>
          <w:t>EXCEPCIONES PRELIMINARES</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_Toc34817782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5</w:t>
        </w:r>
        <w:r w:rsidR="00414DEF" w:rsidRPr="00414DEF">
          <w:rPr>
            <w:rFonts w:ascii="Verdana" w:hAnsi="Verdana"/>
            <w:noProof/>
            <w:webHidden/>
            <w:sz w:val="20"/>
            <w:szCs w:val="20"/>
          </w:rPr>
          <w:fldChar w:fldCharType="end"/>
        </w:r>
      </w:hyperlink>
    </w:p>
    <w:p w14:paraId="66E74C3D" w14:textId="57C5319A" w:rsidR="00414DEF" w:rsidRPr="00414DEF" w:rsidRDefault="005F7D12">
      <w:pPr>
        <w:pStyle w:val="TDC2"/>
        <w:tabs>
          <w:tab w:val="left" w:pos="880"/>
          <w:tab w:val="right" w:leader="dot" w:pos="10010"/>
        </w:tabs>
        <w:rPr>
          <w:rFonts w:ascii="Verdana" w:eastAsiaTheme="minorEastAsia" w:hAnsi="Verdana"/>
          <w:noProof/>
          <w:sz w:val="20"/>
          <w:szCs w:val="20"/>
          <w:lang w:eastAsia="es-CR"/>
        </w:rPr>
      </w:pPr>
      <w:hyperlink w:anchor="_Toc34817783" w:history="1">
        <w:r w:rsidR="00414DEF" w:rsidRPr="00414DEF">
          <w:rPr>
            <w:rStyle w:val="Hipervnculo"/>
            <w:rFonts w:ascii="Verdana" w:eastAsia="Verdana" w:hAnsi="Verdana" w:cs="Verdana"/>
            <w:b/>
            <w:i/>
            <w:noProof/>
            <w:spacing w:val="-1"/>
            <w:sz w:val="20"/>
            <w:szCs w:val="20"/>
            <w:lang w:val="es-MX"/>
          </w:rPr>
          <w:t>A) Excepción de falta de agotamiento de los recursos internos</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_Toc34817783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5</w:t>
        </w:r>
        <w:r w:rsidR="00414DEF" w:rsidRPr="00414DEF">
          <w:rPr>
            <w:rFonts w:ascii="Verdana" w:hAnsi="Verdana"/>
            <w:noProof/>
            <w:webHidden/>
            <w:sz w:val="20"/>
            <w:szCs w:val="20"/>
          </w:rPr>
          <w:fldChar w:fldCharType="end"/>
        </w:r>
      </w:hyperlink>
    </w:p>
    <w:p w14:paraId="5264A2B1" w14:textId="595E0E97" w:rsidR="00414DEF" w:rsidRPr="00414DEF" w:rsidRDefault="005F7D12">
      <w:pPr>
        <w:pStyle w:val="TDC2"/>
        <w:tabs>
          <w:tab w:val="left" w:pos="880"/>
          <w:tab w:val="right" w:leader="dot" w:pos="10010"/>
        </w:tabs>
        <w:rPr>
          <w:rFonts w:ascii="Verdana" w:eastAsiaTheme="minorEastAsia" w:hAnsi="Verdana"/>
          <w:noProof/>
          <w:sz w:val="20"/>
          <w:szCs w:val="20"/>
          <w:lang w:eastAsia="es-CR"/>
        </w:rPr>
      </w:pPr>
      <w:hyperlink w:anchor="_Toc34817784" w:history="1">
        <w:r w:rsidR="00414DEF" w:rsidRPr="00414DEF">
          <w:rPr>
            <w:rStyle w:val="Hipervnculo"/>
            <w:rFonts w:ascii="Verdana" w:hAnsi="Verdana"/>
            <w:b/>
            <w:i/>
            <w:noProof/>
            <w:sz w:val="20"/>
            <w:szCs w:val="20"/>
            <w:lang w:val="es-ES"/>
          </w:rPr>
          <w:t>B) Alegada violación del derecho de defensa</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_Toc34817784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7</w:t>
        </w:r>
        <w:r w:rsidR="00414DEF" w:rsidRPr="00414DEF">
          <w:rPr>
            <w:rFonts w:ascii="Verdana" w:hAnsi="Verdana"/>
            <w:noProof/>
            <w:webHidden/>
            <w:sz w:val="20"/>
            <w:szCs w:val="20"/>
          </w:rPr>
          <w:fldChar w:fldCharType="end"/>
        </w:r>
      </w:hyperlink>
    </w:p>
    <w:p w14:paraId="2A6B7231" w14:textId="479816DF" w:rsidR="00414DEF" w:rsidRPr="00414DEF" w:rsidRDefault="005F7D12">
      <w:pPr>
        <w:pStyle w:val="TDC1"/>
        <w:tabs>
          <w:tab w:val="right" w:leader="dot" w:pos="10010"/>
        </w:tabs>
        <w:rPr>
          <w:rFonts w:ascii="Verdana" w:eastAsiaTheme="minorEastAsia" w:hAnsi="Verdana"/>
          <w:noProof/>
          <w:sz w:val="20"/>
          <w:szCs w:val="20"/>
          <w:lang w:eastAsia="es-CR"/>
        </w:rPr>
      </w:pPr>
      <w:hyperlink w:anchor="_Toc34817785" w:history="1">
        <w:r w:rsidR="00414DEF" w:rsidRPr="00414DEF">
          <w:rPr>
            <w:rStyle w:val="Hipervnculo"/>
            <w:rFonts w:ascii="Verdana" w:eastAsia="Verdana" w:hAnsi="Verdana" w:cs="Verdana"/>
            <w:b/>
            <w:noProof/>
            <w:sz w:val="20"/>
            <w:szCs w:val="20"/>
            <w:lang w:val="es-MX"/>
          </w:rPr>
          <w:t>V</w:t>
        </w:r>
      </w:hyperlink>
      <w:r w:rsidR="00414DEF" w:rsidRPr="00414DEF">
        <w:rPr>
          <w:rStyle w:val="Hipervnculo"/>
          <w:rFonts w:ascii="Verdana" w:hAnsi="Verdana"/>
          <w:noProof/>
          <w:sz w:val="20"/>
          <w:szCs w:val="20"/>
          <w:u w:val="none"/>
        </w:rPr>
        <w:t xml:space="preserve"> </w:t>
      </w:r>
      <w:hyperlink w:anchor="_Toc34817786" w:history="1">
        <w:r w:rsidR="00414DEF" w:rsidRPr="00414DEF">
          <w:rPr>
            <w:rStyle w:val="Hipervnculo"/>
            <w:rFonts w:ascii="Verdana" w:eastAsia="Verdana" w:hAnsi="Verdana" w:cs="Verdana"/>
            <w:b/>
            <w:noProof/>
            <w:sz w:val="20"/>
            <w:szCs w:val="20"/>
            <w:lang w:val="es-MX"/>
          </w:rPr>
          <w:t>PRUEBA</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_Toc34817786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10</w:t>
        </w:r>
        <w:r w:rsidR="00414DEF" w:rsidRPr="00414DEF">
          <w:rPr>
            <w:rFonts w:ascii="Verdana" w:hAnsi="Verdana"/>
            <w:noProof/>
            <w:webHidden/>
            <w:sz w:val="20"/>
            <w:szCs w:val="20"/>
          </w:rPr>
          <w:fldChar w:fldCharType="end"/>
        </w:r>
      </w:hyperlink>
    </w:p>
    <w:p w14:paraId="1F507F60" w14:textId="422E71B2" w:rsidR="00414DEF" w:rsidRPr="00414DEF" w:rsidRDefault="005F7D12">
      <w:pPr>
        <w:pStyle w:val="TDC1"/>
        <w:tabs>
          <w:tab w:val="right" w:leader="dot" w:pos="10010"/>
        </w:tabs>
        <w:rPr>
          <w:rFonts w:ascii="Verdana" w:eastAsiaTheme="minorEastAsia" w:hAnsi="Verdana"/>
          <w:noProof/>
          <w:sz w:val="20"/>
          <w:szCs w:val="20"/>
          <w:lang w:eastAsia="es-CR"/>
        </w:rPr>
      </w:pPr>
      <w:hyperlink w:anchor="_Toc34817787" w:history="1">
        <w:r w:rsidR="00414DEF" w:rsidRPr="00414DEF">
          <w:rPr>
            <w:rStyle w:val="Hipervnculo"/>
            <w:rFonts w:ascii="Verdana" w:eastAsia="Verdana" w:hAnsi="Verdana" w:cs="Verdana"/>
            <w:b/>
            <w:noProof/>
            <w:sz w:val="20"/>
            <w:szCs w:val="20"/>
            <w:lang w:val="es-MX"/>
          </w:rPr>
          <w:t>VI</w:t>
        </w:r>
      </w:hyperlink>
      <w:r w:rsidR="00414DEF" w:rsidRPr="00414DEF">
        <w:rPr>
          <w:rStyle w:val="Hipervnculo"/>
          <w:rFonts w:ascii="Verdana" w:hAnsi="Verdana"/>
          <w:noProof/>
          <w:sz w:val="20"/>
          <w:szCs w:val="20"/>
          <w:u w:val="none"/>
        </w:rPr>
        <w:t xml:space="preserve"> </w:t>
      </w:r>
      <w:hyperlink w:anchor="_Toc34817788" w:history="1">
        <w:r w:rsidR="00414DEF" w:rsidRPr="00414DEF">
          <w:rPr>
            <w:rStyle w:val="Hipervnculo"/>
            <w:rFonts w:ascii="Verdana" w:eastAsia="Verdana" w:hAnsi="Verdana" w:cs="Verdana"/>
            <w:b/>
            <w:noProof/>
            <w:sz w:val="20"/>
            <w:szCs w:val="20"/>
            <w:lang w:val="es-MX"/>
          </w:rPr>
          <w:t>HECHOS</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_Toc34817788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10</w:t>
        </w:r>
        <w:r w:rsidR="00414DEF" w:rsidRPr="00414DEF">
          <w:rPr>
            <w:rFonts w:ascii="Verdana" w:hAnsi="Verdana"/>
            <w:noProof/>
            <w:webHidden/>
            <w:sz w:val="20"/>
            <w:szCs w:val="20"/>
          </w:rPr>
          <w:fldChar w:fldCharType="end"/>
        </w:r>
      </w:hyperlink>
    </w:p>
    <w:p w14:paraId="6E33420A" w14:textId="637D61F7" w:rsidR="00414DEF" w:rsidRPr="00414DEF" w:rsidRDefault="005F7D12">
      <w:pPr>
        <w:pStyle w:val="TDC2"/>
        <w:tabs>
          <w:tab w:val="left" w:pos="880"/>
          <w:tab w:val="right" w:leader="dot" w:pos="10010"/>
        </w:tabs>
        <w:rPr>
          <w:rFonts w:ascii="Verdana" w:eastAsiaTheme="minorEastAsia" w:hAnsi="Verdana"/>
          <w:noProof/>
          <w:sz w:val="20"/>
          <w:szCs w:val="20"/>
          <w:lang w:eastAsia="es-CR"/>
        </w:rPr>
      </w:pPr>
      <w:hyperlink w:anchor="_Toc34817789" w:history="1">
        <w:r w:rsidR="00414DEF" w:rsidRPr="00414DEF">
          <w:rPr>
            <w:rStyle w:val="Hipervnculo"/>
            <w:rFonts w:ascii="Verdana" w:hAnsi="Verdana"/>
            <w:b/>
            <w:bCs/>
            <w:i/>
            <w:noProof/>
            <w:sz w:val="20"/>
            <w:szCs w:val="20"/>
            <w:lang w:val="es-MX"/>
          </w:rPr>
          <w:t>A) Inicio de actuaciones y detención del señor Carranza</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_Toc34817789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10</w:t>
        </w:r>
        <w:r w:rsidR="00414DEF" w:rsidRPr="00414DEF">
          <w:rPr>
            <w:rFonts w:ascii="Verdana" w:hAnsi="Verdana"/>
            <w:noProof/>
            <w:webHidden/>
            <w:sz w:val="20"/>
            <w:szCs w:val="20"/>
          </w:rPr>
          <w:fldChar w:fldCharType="end"/>
        </w:r>
      </w:hyperlink>
    </w:p>
    <w:p w14:paraId="3F79745E" w14:textId="75A26514" w:rsidR="00414DEF" w:rsidRPr="00414DEF" w:rsidRDefault="005F7D12">
      <w:pPr>
        <w:pStyle w:val="TDC2"/>
        <w:tabs>
          <w:tab w:val="left" w:pos="880"/>
          <w:tab w:val="right" w:leader="dot" w:pos="10010"/>
        </w:tabs>
        <w:rPr>
          <w:rFonts w:ascii="Verdana" w:eastAsiaTheme="minorEastAsia" w:hAnsi="Verdana"/>
          <w:noProof/>
          <w:sz w:val="20"/>
          <w:szCs w:val="20"/>
          <w:lang w:eastAsia="es-CR"/>
        </w:rPr>
      </w:pPr>
      <w:hyperlink w:anchor="_Toc34817790" w:history="1">
        <w:r w:rsidR="00414DEF" w:rsidRPr="00414DEF">
          <w:rPr>
            <w:rStyle w:val="Hipervnculo"/>
            <w:rFonts w:ascii="Verdana" w:hAnsi="Verdana"/>
            <w:b/>
            <w:bCs/>
            <w:i/>
            <w:noProof/>
            <w:sz w:val="20"/>
            <w:szCs w:val="20"/>
            <w:lang w:val="es-MX"/>
          </w:rPr>
          <w:t>B) Continuación del proceso penal luego de la detención</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_Toc34817790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11</w:t>
        </w:r>
        <w:r w:rsidR="00414DEF" w:rsidRPr="00414DEF">
          <w:rPr>
            <w:rFonts w:ascii="Verdana" w:hAnsi="Verdana"/>
            <w:noProof/>
            <w:webHidden/>
            <w:sz w:val="20"/>
            <w:szCs w:val="20"/>
          </w:rPr>
          <w:fldChar w:fldCharType="end"/>
        </w:r>
      </w:hyperlink>
    </w:p>
    <w:p w14:paraId="31720202" w14:textId="6CA3F449" w:rsidR="00414DEF" w:rsidRPr="00414DEF" w:rsidRDefault="005F7D12">
      <w:pPr>
        <w:pStyle w:val="TDC2"/>
        <w:tabs>
          <w:tab w:val="left" w:pos="880"/>
          <w:tab w:val="right" w:leader="dot" w:pos="10010"/>
        </w:tabs>
        <w:rPr>
          <w:rFonts w:ascii="Verdana" w:eastAsiaTheme="minorEastAsia" w:hAnsi="Verdana"/>
          <w:noProof/>
          <w:sz w:val="20"/>
          <w:szCs w:val="20"/>
          <w:lang w:eastAsia="es-CR"/>
        </w:rPr>
      </w:pPr>
      <w:hyperlink w:anchor="_Toc34817791" w:history="1">
        <w:r w:rsidR="00414DEF" w:rsidRPr="00414DEF">
          <w:rPr>
            <w:rStyle w:val="Hipervnculo"/>
            <w:rFonts w:ascii="Verdana" w:hAnsi="Verdana"/>
            <w:b/>
            <w:i/>
            <w:noProof/>
            <w:sz w:val="20"/>
            <w:szCs w:val="20"/>
          </w:rPr>
          <w:t>C) Condena y cumplimiento de la pena</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_Toc34817791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13</w:t>
        </w:r>
        <w:r w:rsidR="00414DEF" w:rsidRPr="00414DEF">
          <w:rPr>
            <w:rFonts w:ascii="Verdana" w:hAnsi="Verdana"/>
            <w:noProof/>
            <w:webHidden/>
            <w:sz w:val="20"/>
            <w:szCs w:val="20"/>
          </w:rPr>
          <w:fldChar w:fldCharType="end"/>
        </w:r>
      </w:hyperlink>
    </w:p>
    <w:p w14:paraId="59E7C1C2" w14:textId="6259A5F9" w:rsidR="00414DEF" w:rsidRPr="00414DEF" w:rsidRDefault="005F7D12">
      <w:pPr>
        <w:pStyle w:val="TDC1"/>
        <w:tabs>
          <w:tab w:val="right" w:leader="dot" w:pos="10010"/>
        </w:tabs>
        <w:rPr>
          <w:rFonts w:ascii="Verdana" w:eastAsiaTheme="minorEastAsia" w:hAnsi="Verdana"/>
          <w:noProof/>
          <w:sz w:val="20"/>
          <w:szCs w:val="20"/>
          <w:lang w:eastAsia="es-CR"/>
        </w:rPr>
      </w:pPr>
      <w:hyperlink w:anchor="_Toc34817792" w:history="1">
        <w:r w:rsidR="00414DEF" w:rsidRPr="00414DEF">
          <w:rPr>
            <w:rStyle w:val="Hipervnculo"/>
            <w:rFonts w:ascii="Verdana" w:hAnsi="Verdana"/>
            <w:b/>
            <w:noProof/>
            <w:sz w:val="20"/>
            <w:szCs w:val="20"/>
          </w:rPr>
          <w:t>VII</w:t>
        </w:r>
      </w:hyperlink>
      <w:r w:rsidR="00414DEF" w:rsidRPr="00414DEF">
        <w:rPr>
          <w:rStyle w:val="Hipervnculo"/>
          <w:rFonts w:ascii="Verdana" w:hAnsi="Verdana"/>
          <w:noProof/>
          <w:sz w:val="20"/>
          <w:szCs w:val="20"/>
          <w:u w:val="none"/>
        </w:rPr>
        <w:t xml:space="preserve"> </w:t>
      </w:r>
      <w:hyperlink w:anchor="_Toc34817793" w:history="1">
        <w:r w:rsidR="00414DEF" w:rsidRPr="00414DEF">
          <w:rPr>
            <w:rStyle w:val="Hipervnculo"/>
            <w:rFonts w:ascii="Verdana" w:hAnsi="Verdana"/>
            <w:b/>
            <w:noProof/>
            <w:sz w:val="20"/>
            <w:szCs w:val="20"/>
          </w:rPr>
          <w:t>FONDO</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_Toc34817793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13</w:t>
        </w:r>
        <w:r w:rsidR="00414DEF" w:rsidRPr="00414DEF">
          <w:rPr>
            <w:rFonts w:ascii="Verdana" w:hAnsi="Verdana"/>
            <w:noProof/>
            <w:webHidden/>
            <w:sz w:val="20"/>
            <w:szCs w:val="20"/>
          </w:rPr>
          <w:fldChar w:fldCharType="end"/>
        </w:r>
      </w:hyperlink>
    </w:p>
    <w:p w14:paraId="2B0116F4" w14:textId="726D5102" w:rsidR="00414DEF" w:rsidRPr="00414DEF" w:rsidRDefault="005F7D12">
      <w:pPr>
        <w:pStyle w:val="TDC1"/>
        <w:tabs>
          <w:tab w:val="right" w:leader="dot" w:pos="10010"/>
        </w:tabs>
        <w:rPr>
          <w:rFonts w:ascii="Verdana" w:eastAsiaTheme="minorEastAsia" w:hAnsi="Verdana"/>
          <w:noProof/>
          <w:sz w:val="20"/>
          <w:szCs w:val="20"/>
          <w:lang w:eastAsia="es-CR"/>
        </w:rPr>
      </w:pPr>
      <w:hyperlink w:anchor="_Toc34817794" w:history="1">
        <w:r w:rsidR="00414DEF" w:rsidRPr="00414DEF">
          <w:rPr>
            <w:rStyle w:val="Hipervnculo"/>
            <w:rFonts w:ascii="Verdana" w:hAnsi="Verdana"/>
            <w:b/>
            <w:noProof/>
            <w:sz w:val="20"/>
            <w:szCs w:val="20"/>
            <w:lang w:val="es-ES"/>
          </w:rPr>
          <w:t>LIBERTAD PERSONAL Y GARANTÍAS JUDICIALES</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_Toc34817794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13</w:t>
        </w:r>
        <w:r w:rsidR="00414DEF" w:rsidRPr="00414DEF">
          <w:rPr>
            <w:rFonts w:ascii="Verdana" w:hAnsi="Verdana"/>
            <w:noProof/>
            <w:webHidden/>
            <w:sz w:val="20"/>
            <w:szCs w:val="20"/>
          </w:rPr>
          <w:fldChar w:fldCharType="end"/>
        </w:r>
      </w:hyperlink>
    </w:p>
    <w:p w14:paraId="63DA628F" w14:textId="63D4D272" w:rsidR="00414DEF" w:rsidRPr="00414DEF" w:rsidRDefault="005F7D12">
      <w:pPr>
        <w:pStyle w:val="TDC2"/>
        <w:tabs>
          <w:tab w:val="left" w:pos="880"/>
          <w:tab w:val="right" w:leader="dot" w:pos="10010"/>
        </w:tabs>
        <w:rPr>
          <w:rFonts w:ascii="Verdana" w:eastAsiaTheme="minorEastAsia" w:hAnsi="Verdana"/>
          <w:noProof/>
          <w:sz w:val="20"/>
          <w:szCs w:val="20"/>
          <w:lang w:eastAsia="es-CR"/>
        </w:rPr>
      </w:pPr>
      <w:hyperlink w:anchor="_Toc34817795" w:history="1">
        <w:r w:rsidR="00414DEF" w:rsidRPr="00414DEF">
          <w:rPr>
            <w:rStyle w:val="Hipervnculo"/>
            <w:rFonts w:ascii="Verdana" w:hAnsi="Verdana"/>
            <w:b/>
            <w:i/>
            <w:noProof/>
            <w:sz w:val="20"/>
            <w:szCs w:val="20"/>
            <w:lang w:val="es-ES"/>
          </w:rPr>
          <w:t>A) Alegatos de la Comisión y de las partes</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_Toc34817795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14</w:t>
        </w:r>
        <w:r w:rsidR="00414DEF" w:rsidRPr="00414DEF">
          <w:rPr>
            <w:rFonts w:ascii="Verdana" w:hAnsi="Verdana"/>
            <w:noProof/>
            <w:webHidden/>
            <w:sz w:val="20"/>
            <w:szCs w:val="20"/>
          </w:rPr>
          <w:fldChar w:fldCharType="end"/>
        </w:r>
      </w:hyperlink>
    </w:p>
    <w:p w14:paraId="4C03F292" w14:textId="1767CF35" w:rsidR="00414DEF" w:rsidRPr="00414DEF" w:rsidRDefault="005F7D12">
      <w:pPr>
        <w:pStyle w:val="TDC2"/>
        <w:tabs>
          <w:tab w:val="right" w:leader="dot" w:pos="10010"/>
        </w:tabs>
        <w:rPr>
          <w:rFonts w:ascii="Verdana" w:eastAsiaTheme="minorEastAsia" w:hAnsi="Verdana"/>
          <w:noProof/>
          <w:sz w:val="20"/>
          <w:szCs w:val="20"/>
          <w:lang w:eastAsia="es-CR"/>
        </w:rPr>
      </w:pPr>
      <w:hyperlink w:anchor="_Toc34817796" w:history="1">
        <w:r w:rsidR="00414DEF" w:rsidRPr="00414DEF">
          <w:rPr>
            <w:rStyle w:val="Hipervnculo"/>
            <w:rFonts w:ascii="Verdana" w:hAnsi="Verdana"/>
            <w:b/>
            <w:i/>
            <w:noProof/>
            <w:sz w:val="20"/>
            <w:szCs w:val="20"/>
            <w:lang w:val="es-ES"/>
          </w:rPr>
          <w:t>B) Consideraciones de la Corte</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_Toc34817796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15</w:t>
        </w:r>
        <w:r w:rsidR="00414DEF" w:rsidRPr="00414DEF">
          <w:rPr>
            <w:rFonts w:ascii="Verdana" w:hAnsi="Verdana"/>
            <w:noProof/>
            <w:webHidden/>
            <w:sz w:val="20"/>
            <w:szCs w:val="20"/>
          </w:rPr>
          <w:fldChar w:fldCharType="end"/>
        </w:r>
      </w:hyperlink>
    </w:p>
    <w:p w14:paraId="4E7DB716" w14:textId="7A1812CA" w:rsidR="00414DEF" w:rsidRPr="00414DEF" w:rsidRDefault="005F7D12">
      <w:pPr>
        <w:pStyle w:val="TDC3"/>
        <w:tabs>
          <w:tab w:val="right" w:leader="dot" w:pos="10010"/>
        </w:tabs>
        <w:rPr>
          <w:rFonts w:ascii="Verdana" w:eastAsiaTheme="minorEastAsia" w:hAnsi="Verdana"/>
          <w:noProof/>
          <w:sz w:val="20"/>
          <w:szCs w:val="20"/>
          <w:lang w:eastAsia="es-CR"/>
        </w:rPr>
      </w:pPr>
      <w:hyperlink w:anchor="_Toc34817797" w:history="1">
        <w:r w:rsidR="00414DEF" w:rsidRPr="00414DEF">
          <w:rPr>
            <w:rStyle w:val="Hipervnculo"/>
            <w:rFonts w:ascii="Verdana" w:hAnsi="Verdana"/>
            <w:i/>
            <w:noProof/>
            <w:sz w:val="20"/>
            <w:szCs w:val="20"/>
            <w:lang w:val="es-ES"/>
          </w:rPr>
          <w:t>B.1 Órdenes de detención y de prisión preventiva del señor Carranza</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_Toc34817797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18</w:t>
        </w:r>
        <w:r w:rsidR="00414DEF" w:rsidRPr="00414DEF">
          <w:rPr>
            <w:rFonts w:ascii="Verdana" w:hAnsi="Verdana"/>
            <w:noProof/>
            <w:webHidden/>
            <w:sz w:val="20"/>
            <w:szCs w:val="20"/>
          </w:rPr>
          <w:fldChar w:fldCharType="end"/>
        </w:r>
      </w:hyperlink>
    </w:p>
    <w:p w14:paraId="47E59DFC" w14:textId="73C59C35" w:rsidR="00414DEF" w:rsidRPr="00414DEF" w:rsidRDefault="005F7D12">
      <w:pPr>
        <w:pStyle w:val="TDC4"/>
        <w:tabs>
          <w:tab w:val="right" w:leader="dot" w:pos="10010"/>
        </w:tabs>
        <w:rPr>
          <w:rFonts w:ascii="Verdana" w:eastAsiaTheme="minorEastAsia" w:hAnsi="Verdana"/>
          <w:noProof/>
          <w:sz w:val="20"/>
          <w:szCs w:val="20"/>
          <w:lang w:eastAsia="es-CR"/>
        </w:rPr>
      </w:pPr>
      <w:hyperlink w:anchor="_Toc34817798" w:history="1">
        <w:r w:rsidR="00414DEF" w:rsidRPr="00414DEF">
          <w:rPr>
            <w:rStyle w:val="Hipervnculo"/>
            <w:rFonts w:ascii="Verdana" w:hAnsi="Verdana"/>
            <w:i/>
            <w:noProof/>
            <w:sz w:val="20"/>
            <w:szCs w:val="20"/>
            <w:lang w:val="es-ES"/>
          </w:rPr>
          <w:t>B.1.1 Detención inicial</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_Toc34817798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18</w:t>
        </w:r>
        <w:r w:rsidR="00414DEF" w:rsidRPr="00414DEF">
          <w:rPr>
            <w:rFonts w:ascii="Verdana" w:hAnsi="Verdana"/>
            <w:noProof/>
            <w:webHidden/>
            <w:sz w:val="20"/>
            <w:szCs w:val="20"/>
          </w:rPr>
          <w:fldChar w:fldCharType="end"/>
        </w:r>
      </w:hyperlink>
    </w:p>
    <w:p w14:paraId="4EEAA1F7" w14:textId="3769B627" w:rsidR="00414DEF" w:rsidRPr="00414DEF" w:rsidRDefault="005F7D12">
      <w:pPr>
        <w:pStyle w:val="TDC4"/>
        <w:tabs>
          <w:tab w:val="right" w:leader="dot" w:pos="10010"/>
        </w:tabs>
        <w:rPr>
          <w:rFonts w:ascii="Verdana" w:eastAsiaTheme="minorEastAsia" w:hAnsi="Verdana"/>
          <w:noProof/>
          <w:sz w:val="20"/>
          <w:szCs w:val="20"/>
          <w:lang w:eastAsia="es-CR"/>
        </w:rPr>
      </w:pPr>
      <w:hyperlink w:anchor="_Toc34817799" w:history="1">
        <w:r w:rsidR="00414DEF" w:rsidRPr="00414DEF">
          <w:rPr>
            <w:rStyle w:val="Hipervnculo"/>
            <w:rFonts w:ascii="Verdana" w:hAnsi="Verdana"/>
            <w:i/>
            <w:noProof/>
            <w:sz w:val="20"/>
            <w:szCs w:val="20"/>
            <w:lang w:val="es-ES"/>
          </w:rPr>
          <w:t>B.1.2 Prisión preventiva</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_Toc34817799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18</w:t>
        </w:r>
        <w:r w:rsidR="00414DEF" w:rsidRPr="00414DEF">
          <w:rPr>
            <w:rFonts w:ascii="Verdana" w:hAnsi="Verdana"/>
            <w:noProof/>
            <w:webHidden/>
            <w:sz w:val="20"/>
            <w:szCs w:val="20"/>
          </w:rPr>
          <w:fldChar w:fldCharType="end"/>
        </w:r>
      </w:hyperlink>
    </w:p>
    <w:p w14:paraId="1A545D45" w14:textId="0C294ADB" w:rsidR="00414DEF" w:rsidRPr="00414DEF" w:rsidRDefault="005F7D12">
      <w:pPr>
        <w:pStyle w:val="TDC3"/>
        <w:tabs>
          <w:tab w:val="right" w:leader="dot" w:pos="10010"/>
        </w:tabs>
        <w:rPr>
          <w:rFonts w:ascii="Verdana" w:eastAsiaTheme="minorEastAsia" w:hAnsi="Verdana"/>
          <w:noProof/>
          <w:sz w:val="20"/>
          <w:szCs w:val="20"/>
          <w:lang w:eastAsia="es-CR"/>
        </w:rPr>
      </w:pPr>
      <w:hyperlink w:anchor="_Toc34817800" w:history="1">
        <w:r w:rsidR="00414DEF" w:rsidRPr="00414DEF">
          <w:rPr>
            <w:rStyle w:val="Hipervnculo"/>
            <w:rFonts w:ascii="Verdana" w:hAnsi="Verdana"/>
            <w:i/>
            <w:noProof/>
            <w:sz w:val="20"/>
            <w:szCs w:val="20"/>
            <w:lang w:val="es-ES"/>
          </w:rPr>
          <w:t>B.2 Revisión de la prisión preventiva</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_Toc34817800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21</w:t>
        </w:r>
        <w:r w:rsidR="00414DEF" w:rsidRPr="00414DEF">
          <w:rPr>
            <w:rFonts w:ascii="Verdana" w:hAnsi="Verdana"/>
            <w:noProof/>
            <w:webHidden/>
            <w:sz w:val="20"/>
            <w:szCs w:val="20"/>
          </w:rPr>
          <w:fldChar w:fldCharType="end"/>
        </w:r>
      </w:hyperlink>
    </w:p>
    <w:p w14:paraId="318AE00E" w14:textId="783AAEC5" w:rsidR="00414DEF" w:rsidRPr="00414DEF" w:rsidRDefault="005F7D12">
      <w:pPr>
        <w:pStyle w:val="TDC3"/>
        <w:tabs>
          <w:tab w:val="right" w:leader="dot" w:pos="10010"/>
        </w:tabs>
        <w:rPr>
          <w:rFonts w:ascii="Verdana" w:eastAsiaTheme="minorEastAsia" w:hAnsi="Verdana"/>
          <w:noProof/>
          <w:sz w:val="20"/>
          <w:szCs w:val="20"/>
          <w:lang w:eastAsia="es-CR"/>
        </w:rPr>
      </w:pPr>
      <w:hyperlink w:anchor="_Toc34817801" w:history="1">
        <w:r w:rsidR="00414DEF" w:rsidRPr="00414DEF">
          <w:rPr>
            <w:rStyle w:val="Hipervnculo"/>
            <w:rFonts w:ascii="Verdana" w:hAnsi="Verdana"/>
            <w:i/>
            <w:noProof/>
            <w:sz w:val="20"/>
            <w:szCs w:val="20"/>
            <w:lang w:val="es-ES"/>
          </w:rPr>
          <w:t>B.3 Razonabilidad del tiempo de la privación preventiva de la libertad</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_Toc34817801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21</w:t>
        </w:r>
        <w:r w:rsidR="00414DEF" w:rsidRPr="00414DEF">
          <w:rPr>
            <w:rFonts w:ascii="Verdana" w:hAnsi="Verdana"/>
            <w:noProof/>
            <w:webHidden/>
            <w:sz w:val="20"/>
            <w:szCs w:val="20"/>
          </w:rPr>
          <w:fldChar w:fldCharType="end"/>
        </w:r>
      </w:hyperlink>
    </w:p>
    <w:p w14:paraId="37C25792" w14:textId="51AA1FEB" w:rsidR="00414DEF" w:rsidRPr="00414DEF" w:rsidRDefault="005F7D12">
      <w:pPr>
        <w:pStyle w:val="TDC3"/>
        <w:tabs>
          <w:tab w:val="right" w:leader="dot" w:pos="10010"/>
        </w:tabs>
        <w:rPr>
          <w:rFonts w:ascii="Verdana" w:eastAsiaTheme="minorEastAsia" w:hAnsi="Verdana"/>
          <w:noProof/>
          <w:sz w:val="20"/>
          <w:szCs w:val="20"/>
          <w:lang w:eastAsia="es-CR"/>
        </w:rPr>
      </w:pPr>
      <w:hyperlink w:anchor="_Toc34817802" w:history="1">
        <w:r w:rsidR="00414DEF" w:rsidRPr="00414DEF">
          <w:rPr>
            <w:rStyle w:val="Hipervnculo"/>
            <w:rFonts w:ascii="Verdana" w:hAnsi="Verdana"/>
            <w:i/>
            <w:noProof/>
            <w:sz w:val="20"/>
            <w:szCs w:val="20"/>
            <w:lang w:val="es-ES"/>
          </w:rPr>
          <w:t>B.4 Presunción de inocencia</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_Toc34817802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22</w:t>
        </w:r>
        <w:r w:rsidR="00414DEF" w:rsidRPr="00414DEF">
          <w:rPr>
            <w:rFonts w:ascii="Verdana" w:hAnsi="Verdana"/>
            <w:noProof/>
            <w:webHidden/>
            <w:sz w:val="20"/>
            <w:szCs w:val="20"/>
          </w:rPr>
          <w:fldChar w:fldCharType="end"/>
        </w:r>
      </w:hyperlink>
    </w:p>
    <w:p w14:paraId="35A657C1" w14:textId="7910100F" w:rsidR="00414DEF" w:rsidRPr="00414DEF" w:rsidRDefault="005F7D12">
      <w:pPr>
        <w:pStyle w:val="TDC3"/>
        <w:tabs>
          <w:tab w:val="right" w:leader="dot" w:pos="10010"/>
        </w:tabs>
        <w:rPr>
          <w:rFonts w:ascii="Verdana" w:eastAsiaTheme="minorEastAsia" w:hAnsi="Verdana"/>
          <w:noProof/>
          <w:sz w:val="20"/>
          <w:szCs w:val="20"/>
          <w:lang w:eastAsia="es-CR"/>
        </w:rPr>
      </w:pPr>
      <w:hyperlink w:anchor="_Toc34817803" w:history="1">
        <w:r w:rsidR="00414DEF" w:rsidRPr="00414DEF">
          <w:rPr>
            <w:rStyle w:val="Hipervnculo"/>
            <w:rFonts w:ascii="Verdana" w:hAnsi="Verdana"/>
            <w:i/>
            <w:noProof/>
            <w:sz w:val="20"/>
            <w:szCs w:val="20"/>
            <w:lang w:val="es-ES"/>
          </w:rPr>
          <w:t>B.5 Tiempo insumido en el proceso penal</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_Toc34817803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22</w:t>
        </w:r>
        <w:r w:rsidR="00414DEF" w:rsidRPr="00414DEF">
          <w:rPr>
            <w:rFonts w:ascii="Verdana" w:hAnsi="Verdana"/>
            <w:noProof/>
            <w:webHidden/>
            <w:sz w:val="20"/>
            <w:szCs w:val="20"/>
          </w:rPr>
          <w:fldChar w:fldCharType="end"/>
        </w:r>
      </w:hyperlink>
    </w:p>
    <w:p w14:paraId="4981472D" w14:textId="0ACCDE8F" w:rsidR="00414DEF" w:rsidRPr="00414DEF" w:rsidRDefault="005F7D12">
      <w:pPr>
        <w:pStyle w:val="TDC3"/>
        <w:tabs>
          <w:tab w:val="right" w:leader="dot" w:pos="10010"/>
        </w:tabs>
        <w:rPr>
          <w:rFonts w:ascii="Verdana" w:eastAsiaTheme="minorEastAsia" w:hAnsi="Verdana"/>
          <w:noProof/>
          <w:sz w:val="20"/>
          <w:szCs w:val="20"/>
          <w:lang w:eastAsia="es-CR"/>
        </w:rPr>
      </w:pPr>
      <w:hyperlink w:anchor="_Toc34817804" w:history="1">
        <w:r w:rsidR="00414DEF" w:rsidRPr="00414DEF">
          <w:rPr>
            <w:rStyle w:val="Hipervnculo"/>
            <w:rFonts w:ascii="Verdana" w:hAnsi="Verdana"/>
            <w:i/>
            <w:noProof/>
            <w:sz w:val="20"/>
            <w:szCs w:val="20"/>
            <w:lang w:val="es-ES"/>
          </w:rPr>
          <w:t>B.6 Conclusión</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_Toc34817804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23</w:t>
        </w:r>
        <w:r w:rsidR="00414DEF" w:rsidRPr="00414DEF">
          <w:rPr>
            <w:rFonts w:ascii="Verdana" w:hAnsi="Verdana"/>
            <w:noProof/>
            <w:webHidden/>
            <w:sz w:val="20"/>
            <w:szCs w:val="20"/>
          </w:rPr>
          <w:fldChar w:fldCharType="end"/>
        </w:r>
      </w:hyperlink>
    </w:p>
    <w:p w14:paraId="7C6B860F" w14:textId="6490ED9D" w:rsidR="00414DEF" w:rsidRPr="00414DEF" w:rsidRDefault="005F7D12">
      <w:pPr>
        <w:pStyle w:val="TDC1"/>
        <w:tabs>
          <w:tab w:val="right" w:leader="dot" w:pos="10010"/>
        </w:tabs>
        <w:rPr>
          <w:rFonts w:ascii="Verdana" w:eastAsiaTheme="minorEastAsia" w:hAnsi="Verdana"/>
          <w:noProof/>
          <w:sz w:val="20"/>
          <w:szCs w:val="20"/>
          <w:lang w:eastAsia="es-CR"/>
        </w:rPr>
      </w:pPr>
      <w:hyperlink w:anchor="_Toc34817805" w:history="1">
        <w:r w:rsidR="00414DEF" w:rsidRPr="00414DEF">
          <w:rPr>
            <w:rStyle w:val="Hipervnculo"/>
            <w:rFonts w:ascii="Verdana" w:hAnsi="Verdana"/>
            <w:b/>
            <w:noProof/>
            <w:sz w:val="20"/>
            <w:szCs w:val="20"/>
            <w:lang w:val="es-ES"/>
          </w:rPr>
          <w:t>VII</w:t>
        </w:r>
        <w:r w:rsidR="00414DEF" w:rsidRPr="00414DEF">
          <w:rPr>
            <w:rStyle w:val="Hipervnculo"/>
            <w:rFonts w:ascii="Verdana" w:hAnsi="Verdana"/>
            <w:b/>
            <w:noProof/>
            <w:sz w:val="20"/>
            <w:szCs w:val="20"/>
          </w:rPr>
          <w:t>I</w:t>
        </w:r>
      </w:hyperlink>
      <w:r w:rsidR="00414DEF" w:rsidRPr="00414DEF">
        <w:rPr>
          <w:rStyle w:val="Hipervnculo"/>
          <w:rFonts w:ascii="Verdana" w:hAnsi="Verdana"/>
          <w:noProof/>
          <w:sz w:val="20"/>
          <w:szCs w:val="20"/>
          <w:u w:val="none"/>
        </w:rPr>
        <w:t xml:space="preserve"> </w:t>
      </w:r>
      <w:hyperlink w:anchor="_Toc34817806" w:history="1">
        <w:r w:rsidR="00414DEF" w:rsidRPr="00414DEF">
          <w:rPr>
            <w:rStyle w:val="Hipervnculo"/>
            <w:rFonts w:ascii="Verdana" w:hAnsi="Verdana"/>
            <w:b/>
            <w:noProof/>
            <w:sz w:val="20"/>
            <w:szCs w:val="20"/>
          </w:rPr>
          <w:t>REPARACIONES</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_Toc34817806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24</w:t>
        </w:r>
        <w:r w:rsidR="00414DEF" w:rsidRPr="00414DEF">
          <w:rPr>
            <w:rFonts w:ascii="Verdana" w:hAnsi="Verdana"/>
            <w:noProof/>
            <w:webHidden/>
            <w:sz w:val="20"/>
            <w:szCs w:val="20"/>
          </w:rPr>
          <w:fldChar w:fldCharType="end"/>
        </w:r>
      </w:hyperlink>
    </w:p>
    <w:p w14:paraId="4402FAB0" w14:textId="26204FC6" w:rsidR="00414DEF" w:rsidRPr="00414DEF" w:rsidRDefault="005F7D12">
      <w:pPr>
        <w:pStyle w:val="TDC2"/>
        <w:tabs>
          <w:tab w:val="left" w:pos="880"/>
          <w:tab w:val="right" w:leader="dot" w:pos="10010"/>
        </w:tabs>
        <w:rPr>
          <w:rFonts w:ascii="Verdana" w:eastAsiaTheme="minorEastAsia" w:hAnsi="Verdana"/>
          <w:noProof/>
          <w:sz w:val="20"/>
          <w:szCs w:val="20"/>
          <w:lang w:eastAsia="es-CR"/>
        </w:rPr>
      </w:pPr>
      <w:hyperlink w:anchor="_Toc34817807" w:history="1">
        <w:r w:rsidR="00414DEF" w:rsidRPr="00414DEF">
          <w:rPr>
            <w:rStyle w:val="Hipervnculo"/>
            <w:rFonts w:ascii="Verdana" w:hAnsi="Verdana"/>
            <w:b/>
            <w:i/>
            <w:noProof/>
            <w:sz w:val="20"/>
            <w:szCs w:val="20"/>
          </w:rPr>
          <w:t>A) Parte lesionada</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_Toc34817807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24</w:t>
        </w:r>
        <w:r w:rsidR="00414DEF" w:rsidRPr="00414DEF">
          <w:rPr>
            <w:rFonts w:ascii="Verdana" w:hAnsi="Verdana"/>
            <w:noProof/>
            <w:webHidden/>
            <w:sz w:val="20"/>
            <w:szCs w:val="20"/>
          </w:rPr>
          <w:fldChar w:fldCharType="end"/>
        </w:r>
      </w:hyperlink>
    </w:p>
    <w:p w14:paraId="41581AEA" w14:textId="7EF2A9F3" w:rsidR="00414DEF" w:rsidRPr="00414DEF" w:rsidRDefault="005F7D12">
      <w:pPr>
        <w:pStyle w:val="TDC2"/>
        <w:tabs>
          <w:tab w:val="left" w:pos="880"/>
          <w:tab w:val="right" w:leader="dot" w:pos="10010"/>
        </w:tabs>
        <w:rPr>
          <w:rFonts w:ascii="Verdana" w:eastAsiaTheme="minorEastAsia" w:hAnsi="Verdana"/>
          <w:noProof/>
          <w:sz w:val="20"/>
          <w:szCs w:val="20"/>
          <w:lang w:eastAsia="es-CR"/>
        </w:rPr>
      </w:pPr>
      <w:hyperlink w:anchor="_Toc34817808" w:history="1">
        <w:r w:rsidR="00414DEF" w:rsidRPr="00414DEF">
          <w:rPr>
            <w:rStyle w:val="Hipervnculo"/>
            <w:rFonts w:ascii="Verdana" w:hAnsi="Verdana"/>
            <w:b/>
            <w:i/>
            <w:noProof/>
            <w:sz w:val="20"/>
            <w:szCs w:val="20"/>
          </w:rPr>
          <w:t>B) Medidas de satisfacción</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_Toc34817808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24</w:t>
        </w:r>
        <w:r w:rsidR="00414DEF" w:rsidRPr="00414DEF">
          <w:rPr>
            <w:rFonts w:ascii="Verdana" w:hAnsi="Verdana"/>
            <w:noProof/>
            <w:webHidden/>
            <w:sz w:val="20"/>
            <w:szCs w:val="20"/>
          </w:rPr>
          <w:fldChar w:fldCharType="end"/>
        </w:r>
      </w:hyperlink>
    </w:p>
    <w:p w14:paraId="6C0D48D7" w14:textId="3AB60378" w:rsidR="00414DEF" w:rsidRPr="00414DEF" w:rsidRDefault="005F7D12">
      <w:pPr>
        <w:pStyle w:val="TDC2"/>
        <w:tabs>
          <w:tab w:val="left" w:pos="880"/>
          <w:tab w:val="right" w:leader="dot" w:pos="10010"/>
        </w:tabs>
        <w:rPr>
          <w:rFonts w:ascii="Verdana" w:eastAsiaTheme="minorEastAsia" w:hAnsi="Verdana"/>
          <w:noProof/>
          <w:sz w:val="20"/>
          <w:szCs w:val="20"/>
          <w:lang w:eastAsia="es-CR"/>
        </w:rPr>
      </w:pPr>
      <w:hyperlink w:anchor="_Toc34817809" w:history="1">
        <w:r w:rsidR="00414DEF" w:rsidRPr="00414DEF">
          <w:rPr>
            <w:rStyle w:val="Hipervnculo"/>
            <w:rFonts w:ascii="Verdana" w:hAnsi="Verdana"/>
            <w:b/>
            <w:i/>
            <w:noProof/>
            <w:sz w:val="20"/>
            <w:szCs w:val="20"/>
          </w:rPr>
          <w:t>C) Solicitud de garantías de no repetición</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_Toc34817809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25</w:t>
        </w:r>
        <w:r w:rsidR="00414DEF" w:rsidRPr="00414DEF">
          <w:rPr>
            <w:rFonts w:ascii="Verdana" w:hAnsi="Verdana"/>
            <w:noProof/>
            <w:webHidden/>
            <w:sz w:val="20"/>
            <w:szCs w:val="20"/>
          </w:rPr>
          <w:fldChar w:fldCharType="end"/>
        </w:r>
      </w:hyperlink>
    </w:p>
    <w:p w14:paraId="54B04508" w14:textId="3C1FF1C0" w:rsidR="00414DEF" w:rsidRPr="00414DEF" w:rsidRDefault="005F7D12">
      <w:pPr>
        <w:pStyle w:val="TDC2"/>
        <w:tabs>
          <w:tab w:val="left" w:pos="880"/>
          <w:tab w:val="right" w:leader="dot" w:pos="10010"/>
        </w:tabs>
        <w:rPr>
          <w:rFonts w:ascii="Verdana" w:eastAsiaTheme="minorEastAsia" w:hAnsi="Verdana"/>
          <w:noProof/>
          <w:sz w:val="20"/>
          <w:szCs w:val="20"/>
          <w:lang w:eastAsia="es-CR"/>
        </w:rPr>
      </w:pPr>
      <w:hyperlink w:anchor="_Toc34817810" w:history="1">
        <w:r w:rsidR="00414DEF" w:rsidRPr="00414DEF">
          <w:rPr>
            <w:rStyle w:val="Hipervnculo"/>
            <w:rFonts w:ascii="Verdana" w:hAnsi="Verdana"/>
            <w:b/>
            <w:i/>
            <w:noProof/>
            <w:sz w:val="20"/>
            <w:szCs w:val="20"/>
          </w:rPr>
          <w:t>D) Indemnizaciones compensatorias</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_Toc34817810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25</w:t>
        </w:r>
        <w:r w:rsidR="00414DEF" w:rsidRPr="00414DEF">
          <w:rPr>
            <w:rFonts w:ascii="Verdana" w:hAnsi="Verdana"/>
            <w:noProof/>
            <w:webHidden/>
            <w:sz w:val="20"/>
            <w:szCs w:val="20"/>
          </w:rPr>
          <w:fldChar w:fldCharType="end"/>
        </w:r>
      </w:hyperlink>
    </w:p>
    <w:p w14:paraId="09553786" w14:textId="4005ACB8" w:rsidR="00414DEF" w:rsidRPr="00414DEF" w:rsidRDefault="005F7D12">
      <w:pPr>
        <w:pStyle w:val="TDC2"/>
        <w:tabs>
          <w:tab w:val="left" w:pos="880"/>
          <w:tab w:val="right" w:leader="dot" w:pos="10010"/>
        </w:tabs>
        <w:rPr>
          <w:rFonts w:ascii="Verdana" w:eastAsiaTheme="minorEastAsia" w:hAnsi="Verdana"/>
          <w:noProof/>
          <w:sz w:val="20"/>
          <w:szCs w:val="20"/>
          <w:lang w:eastAsia="es-CR"/>
        </w:rPr>
      </w:pPr>
      <w:hyperlink w:anchor="_Toc34817811" w:history="1">
        <w:r w:rsidR="00414DEF" w:rsidRPr="00414DEF">
          <w:rPr>
            <w:rStyle w:val="Hipervnculo"/>
            <w:rFonts w:ascii="Verdana" w:hAnsi="Verdana"/>
            <w:b/>
            <w:i/>
            <w:noProof/>
            <w:sz w:val="20"/>
            <w:szCs w:val="20"/>
          </w:rPr>
          <w:t>E) Costas y gastos</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_Toc34817811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26</w:t>
        </w:r>
        <w:r w:rsidR="00414DEF" w:rsidRPr="00414DEF">
          <w:rPr>
            <w:rFonts w:ascii="Verdana" w:hAnsi="Verdana"/>
            <w:noProof/>
            <w:webHidden/>
            <w:sz w:val="20"/>
            <w:szCs w:val="20"/>
          </w:rPr>
          <w:fldChar w:fldCharType="end"/>
        </w:r>
      </w:hyperlink>
    </w:p>
    <w:p w14:paraId="253FCD93" w14:textId="3E577563" w:rsidR="00414DEF" w:rsidRPr="00414DEF" w:rsidRDefault="005F7D12">
      <w:pPr>
        <w:pStyle w:val="TDC2"/>
        <w:tabs>
          <w:tab w:val="left" w:pos="880"/>
          <w:tab w:val="right" w:leader="dot" w:pos="10010"/>
        </w:tabs>
        <w:rPr>
          <w:rFonts w:ascii="Verdana" w:eastAsiaTheme="minorEastAsia" w:hAnsi="Verdana"/>
          <w:noProof/>
          <w:sz w:val="20"/>
          <w:szCs w:val="20"/>
          <w:lang w:eastAsia="es-CR"/>
        </w:rPr>
      </w:pPr>
      <w:hyperlink w:anchor="_Toc34817812" w:history="1">
        <w:r w:rsidR="00414DEF" w:rsidRPr="00414DEF">
          <w:rPr>
            <w:rStyle w:val="Hipervnculo"/>
            <w:rFonts w:ascii="Verdana" w:hAnsi="Verdana"/>
            <w:b/>
            <w:i/>
            <w:noProof/>
            <w:sz w:val="20"/>
            <w:szCs w:val="20"/>
          </w:rPr>
          <w:t>F) Modalidad de cumplimientos de los pagos ordenados</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_Toc34817812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27</w:t>
        </w:r>
        <w:r w:rsidR="00414DEF" w:rsidRPr="00414DEF">
          <w:rPr>
            <w:rFonts w:ascii="Verdana" w:hAnsi="Verdana"/>
            <w:noProof/>
            <w:webHidden/>
            <w:sz w:val="20"/>
            <w:szCs w:val="20"/>
          </w:rPr>
          <w:fldChar w:fldCharType="end"/>
        </w:r>
      </w:hyperlink>
    </w:p>
    <w:p w14:paraId="6B0CCE14" w14:textId="613FC97C" w:rsidR="00414DEF" w:rsidRPr="00414DEF" w:rsidRDefault="005F7D12">
      <w:pPr>
        <w:pStyle w:val="TDC1"/>
        <w:tabs>
          <w:tab w:val="right" w:leader="dot" w:pos="10010"/>
        </w:tabs>
        <w:rPr>
          <w:rFonts w:ascii="Verdana" w:eastAsiaTheme="minorEastAsia" w:hAnsi="Verdana"/>
          <w:noProof/>
          <w:sz w:val="20"/>
          <w:szCs w:val="20"/>
          <w:lang w:eastAsia="es-CR"/>
        </w:rPr>
      </w:pPr>
      <w:hyperlink w:anchor="_Toc34817813" w:history="1">
        <w:r w:rsidR="00414DEF" w:rsidRPr="00414DEF">
          <w:rPr>
            <w:rStyle w:val="Hipervnculo"/>
            <w:rFonts w:ascii="Verdana" w:hAnsi="Verdana"/>
            <w:b/>
            <w:noProof/>
            <w:sz w:val="20"/>
            <w:szCs w:val="20"/>
            <w:lang w:val="es-ES"/>
          </w:rPr>
          <w:t>IX</w:t>
        </w:r>
      </w:hyperlink>
      <w:r w:rsidR="00414DEF" w:rsidRPr="00414DEF">
        <w:rPr>
          <w:rStyle w:val="Hipervnculo"/>
          <w:rFonts w:ascii="Verdana" w:hAnsi="Verdana"/>
          <w:noProof/>
          <w:sz w:val="20"/>
          <w:szCs w:val="20"/>
          <w:u w:val="none"/>
        </w:rPr>
        <w:t xml:space="preserve"> </w:t>
      </w:r>
      <w:hyperlink w:anchor="_Toc34817814" w:history="1">
        <w:r w:rsidR="00414DEF" w:rsidRPr="00414DEF">
          <w:rPr>
            <w:rStyle w:val="Hipervnculo"/>
            <w:rFonts w:ascii="Verdana" w:hAnsi="Verdana"/>
            <w:b/>
            <w:noProof/>
            <w:sz w:val="20"/>
            <w:szCs w:val="20"/>
          </w:rPr>
          <w:t>PUNTOS RESOLUTIVOS</w:t>
        </w:r>
        <w:r w:rsidR="00414DEF" w:rsidRPr="00414DEF">
          <w:rPr>
            <w:rFonts w:ascii="Verdana" w:hAnsi="Verdana"/>
            <w:noProof/>
            <w:webHidden/>
            <w:sz w:val="20"/>
            <w:szCs w:val="20"/>
          </w:rPr>
          <w:tab/>
        </w:r>
        <w:r w:rsidR="00414DEF" w:rsidRPr="00414DEF">
          <w:rPr>
            <w:rFonts w:ascii="Verdana" w:hAnsi="Verdana"/>
            <w:noProof/>
            <w:webHidden/>
            <w:sz w:val="20"/>
            <w:szCs w:val="20"/>
          </w:rPr>
          <w:fldChar w:fldCharType="begin"/>
        </w:r>
        <w:r w:rsidR="00414DEF" w:rsidRPr="00414DEF">
          <w:rPr>
            <w:rFonts w:ascii="Verdana" w:hAnsi="Verdana"/>
            <w:noProof/>
            <w:webHidden/>
            <w:sz w:val="20"/>
            <w:szCs w:val="20"/>
          </w:rPr>
          <w:instrText xml:space="preserve"> PAGEREF _Toc34817814 \h </w:instrText>
        </w:r>
        <w:r w:rsidR="00414DEF" w:rsidRPr="00414DEF">
          <w:rPr>
            <w:rFonts w:ascii="Verdana" w:hAnsi="Verdana"/>
            <w:noProof/>
            <w:webHidden/>
            <w:sz w:val="20"/>
            <w:szCs w:val="20"/>
          </w:rPr>
        </w:r>
        <w:r w:rsidR="00414DEF" w:rsidRPr="00414DEF">
          <w:rPr>
            <w:rFonts w:ascii="Verdana" w:hAnsi="Verdana"/>
            <w:noProof/>
            <w:webHidden/>
            <w:sz w:val="20"/>
            <w:szCs w:val="20"/>
          </w:rPr>
          <w:fldChar w:fldCharType="separate"/>
        </w:r>
        <w:r w:rsidR="007A2B74">
          <w:rPr>
            <w:rFonts w:ascii="Verdana" w:hAnsi="Verdana"/>
            <w:noProof/>
            <w:webHidden/>
            <w:sz w:val="20"/>
            <w:szCs w:val="20"/>
          </w:rPr>
          <w:t>27</w:t>
        </w:r>
        <w:r w:rsidR="00414DEF" w:rsidRPr="00414DEF">
          <w:rPr>
            <w:rFonts w:ascii="Verdana" w:hAnsi="Verdana"/>
            <w:noProof/>
            <w:webHidden/>
            <w:sz w:val="20"/>
            <w:szCs w:val="20"/>
          </w:rPr>
          <w:fldChar w:fldCharType="end"/>
        </w:r>
      </w:hyperlink>
    </w:p>
    <w:p w14:paraId="52907342" w14:textId="77777777" w:rsidR="005E2829" w:rsidRDefault="005E2829" w:rsidP="00414DEF">
      <w:pPr>
        <w:spacing w:after="0" w:line="240" w:lineRule="auto"/>
        <w:jc w:val="both"/>
        <w:rPr>
          <w:lang w:val="es-MX"/>
        </w:rPr>
      </w:pPr>
      <w:r w:rsidRPr="00414DEF">
        <w:rPr>
          <w:rFonts w:ascii="Verdana" w:hAnsi="Verdana"/>
          <w:sz w:val="20"/>
          <w:szCs w:val="20"/>
          <w:lang w:val="es-MX"/>
        </w:rPr>
        <w:fldChar w:fldCharType="end"/>
      </w:r>
    </w:p>
    <w:p w14:paraId="0AA28F29" w14:textId="77777777" w:rsidR="005E2829" w:rsidRDefault="005E2829" w:rsidP="00414DEF">
      <w:pPr>
        <w:spacing w:line="240" w:lineRule="auto"/>
        <w:rPr>
          <w:lang w:val="es-MX"/>
        </w:rPr>
      </w:pPr>
    </w:p>
    <w:p w14:paraId="195AC5C1" w14:textId="77777777" w:rsidR="005E2829" w:rsidRDefault="005E2829" w:rsidP="00414DEF">
      <w:pPr>
        <w:spacing w:line="240" w:lineRule="auto"/>
        <w:rPr>
          <w:lang w:val="es-MX"/>
        </w:rPr>
      </w:pPr>
      <w:r>
        <w:rPr>
          <w:lang w:val="es-MX"/>
        </w:rPr>
        <w:br w:type="page"/>
      </w:r>
    </w:p>
    <w:p w14:paraId="4A6136E2" w14:textId="77777777" w:rsidR="005E2829" w:rsidRPr="008941C6" w:rsidRDefault="005E2829" w:rsidP="00414DEF">
      <w:pPr>
        <w:spacing w:after="0" w:line="240" w:lineRule="auto"/>
        <w:rPr>
          <w:lang w:val="es-MX"/>
        </w:rPr>
        <w:sectPr w:rsidR="005E2829" w:rsidRPr="008941C6" w:rsidSect="00901112">
          <w:headerReference w:type="default" r:id="rId9"/>
          <w:footerReference w:type="default" r:id="rId10"/>
          <w:pgSz w:w="12240" w:h="15840"/>
          <w:pgMar w:top="940" w:right="1080" w:bottom="280" w:left="1140" w:header="756" w:footer="0" w:gutter="0"/>
          <w:cols w:space="720"/>
          <w:titlePg/>
          <w:docGrid w:linePitch="299"/>
        </w:sectPr>
      </w:pPr>
    </w:p>
    <w:p w14:paraId="0E8357AB" w14:textId="4340E013" w:rsidR="005E2829" w:rsidRPr="00873FEC" w:rsidRDefault="005E2829" w:rsidP="00414DEF">
      <w:pPr>
        <w:pStyle w:val="Ttulo1"/>
        <w:spacing w:before="0" w:line="240" w:lineRule="auto"/>
        <w:jc w:val="center"/>
        <w:rPr>
          <w:rFonts w:ascii="Verdana" w:eastAsia="Batang" w:hAnsi="Verdana" w:cs="Times"/>
          <w:color w:val="auto"/>
          <w:sz w:val="20"/>
          <w:szCs w:val="20"/>
          <w:lang w:val="es-CR" w:eastAsia="es-CR"/>
        </w:rPr>
      </w:pPr>
      <w:bookmarkStart w:id="1" w:name="_Toc525201143"/>
      <w:bookmarkStart w:id="2" w:name="_Toc526508314"/>
      <w:bookmarkStart w:id="3" w:name="_Toc18692405"/>
      <w:bookmarkStart w:id="4" w:name="_Toc34817776"/>
      <w:r w:rsidRPr="00873FEC">
        <w:rPr>
          <w:rFonts w:ascii="Verdana" w:eastAsia="Batang" w:hAnsi="Verdana" w:cs="Times"/>
          <w:color w:val="auto"/>
          <w:sz w:val="20"/>
          <w:szCs w:val="24"/>
          <w:lang w:val="es-CR" w:eastAsia="es-CR"/>
        </w:rPr>
        <w:lastRenderedPageBreak/>
        <w:t>I</w:t>
      </w:r>
      <w:r w:rsidRPr="00873FEC">
        <w:rPr>
          <w:rFonts w:ascii="Verdana" w:eastAsia="Batang" w:hAnsi="Verdana" w:cs="Times"/>
          <w:color w:val="auto"/>
          <w:sz w:val="20"/>
          <w:szCs w:val="24"/>
          <w:lang w:val="es-CR" w:eastAsia="es-CR"/>
        </w:rPr>
        <w:br/>
        <w:t>INTRODUCCIÓN DE LA CAUSA Y OBJETO DE LA CONTROVERSIA</w:t>
      </w:r>
      <w:bookmarkEnd w:id="1"/>
      <w:bookmarkEnd w:id="2"/>
      <w:bookmarkEnd w:id="3"/>
      <w:bookmarkEnd w:id="4"/>
    </w:p>
    <w:p w14:paraId="5FC6ED3F" w14:textId="77777777" w:rsidR="005E2829" w:rsidRPr="00873FEC" w:rsidRDefault="005E2829" w:rsidP="00414DEF">
      <w:pPr>
        <w:spacing w:after="0" w:line="240" w:lineRule="auto"/>
        <w:jc w:val="both"/>
        <w:rPr>
          <w:rFonts w:ascii="Verdana" w:eastAsia="Batang" w:hAnsi="Verdana" w:cs="Times"/>
          <w:sz w:val="20"/>
          <w:szCs w:val="24"/>
          <w:lang w:eastAsia="es-CR"/>
        </w:rPr>
      </w:pPr>
    </w:p>
    <w:p w14:paraId="6D887794" w14:textId="2AE11F8E" w:rsidR="005E2829" w:rsidRPr="001A1E2A" w:rsidRDefault="005E2829" w:rsidP="00414DEF">
      <w:pPr>
        <w:pStyle w:val="Prrafodelista"/>
        <w:widowControl/>
        <w:numPr>
          <w:ilvl w:val="0"/>
          <w:numId w:val="26"/>
        </w:numPr>
        <w:spacing w:after="160" w:line="240" w:lineRule="auto"/>
        <w:ind w:left="0" w:firstLine="0"/>
        <w:jc w:val="both"/>
        <w:rPr>
          <w:lang w:val="es-CR"/>
        </w:rPr>
      </w:pPr>
      <w:r w:rsidRPr="0048110C">
        <w:rPr>
          <w:rFonts w:ascii="Verdana" w:eastAsia="Batang" w:hAnsi="Verdana" w:cs="Times"/>
          <w:i/>
          <w:sz w:val="20"/>
          <w:szCs w:val="20"/>
          <w:lang w:val="es-CR" w:eastAsia="es-CR"/>
        </w:rPr>
        <w:t xml:space="preserve">El caso sometido a la Corte. </w:t>
      </w:r>
      <w:r w:rsidRPr="00F11542">
        <w:rPr>
          <w:rFonts w:ascii="Verdana" w:eastAsia="Calibri" w:hAnsi="Verdana" w:cs="Times"/>
          <w:sz w:val="20"/>
          <w:szCs w:val="20"/>
          <w:lang w:val="es-CR" w:eastAsia="es-CR"/>
        </w:rPr>
        <w:t xml:space="preserve">– </w:t>
      </w:r>
      <w:r w:rsidRPr="00F11542">
        <w:rPr>
          <w:rFonts w:ascii="Verdana" w:eastAsia="Verdana" w:hAnsi="Verdana" w:cs="Verdana"/>
          <w:sz w:val="20"/>
          <w:szCs w:val="20"/>
          <w:lang w:val="es-MX"/>
        </w:rPr>
        <w:t>El 29 de marzo de 2018, la Comisión Interamericana de Derechos Humanos (en adelante “la Comisión Interamericana” o “la Comisión”), sometió a la jurisdicción de la Corte el caso “Carranza Alarcón” contra la República del Ecuador (en adelante “el Estado” o “Ecuador”)</w:t>
      </w:r>
      <w:r w:rsidRPr="00E91AF1">
        <w:rPr>
          <w:rStyle w:val="Refdenotaalpie"/>
          <w:rFonts w:ascii="Verdana" w:eastAsia="Verdana" w:hAnsi="Verdana" w:cs="Verdana"/>
          <w:spacing w:val="-1"/>
          <w:lang w:val="es-MX"/>
        </w:rPr>
        <w:footnoteReference w:id="2"/>
      </w:r>
      <w:r w:rsidRPr="00F11542">
        <w:rPr>
          <w:rFonts w:ascii="Verdana" w:eastAsia="Verdana" w:hAnsi="Verdana" w:cs="Verdana"/>
          <w:sz w:val="20"/>
          <w:szCs w:val="20"/>
          <w:lang w:val="es-MX"/>
        </w:rPr>
        <w:t xml:space="preserve">. La Comisión dio por establecido que el señor </w:t>
      </w:r>
      <w:r>
        <w:rPr>
          <w:rFonts w:ascii="Verdana" w:eastAsia="Verdana" w:hAnsi="Verdana" w:cs="Verdana"/>
          <w:sz w:val="20"/>
          <w:szCs w:val="20"/>
          <w:lang w:val="es-MX"/>
        </w:rPr>
        <w:t xml:space="preserve">Ramón Rosendo </w:t>
      </w:r>
      <w:r w:rsidRPr="00F11542">
        <w:rPr>
          <w:rFonts w:ascii="Verdana" w:eastAsia="Verdana" w:hAnsi="Verdana" w:cs="Verdana"/>
          <w:sz w:val="20"/>
          <w:szCs w:val="20"/>
          <w:lang w:val="es-MX"/>
        </w:rPr>
        <w:t>Carranza</w:t>
      </w:r>
      <w:r>
        <w:rPr>
          <w:rFonts w:ascii="Verdana" w:eastAsia="Verdana" w:hAnsi="Verdana" w:cs="Verdana"/>
          <w:sz w:val="20"/>
          <w:szCs w:val="20"/>
          <w:lang w:val="es-MX"/>
        </w:rPr>
        <w:t xml:space="preserve"> Alarcón</w:t>
      </w:r>
      <w:r w:rsidRPr="00F11542">
        <w:rPr>
          <w:rFonts w:ascii="Verdana" w:eastAsia="Verdana" w:hAnsi="Verdana" w:cs="Verdana"/>
          <w:sz w:val="20"/>
          <w:szCs w:val="20"/>
          <w:lang w:val="es-MX"/>
        </w:rPr>
        <w:t xml:space="preserve"> </w:t>
      </w:r>
      <w:r>
        <w:rPr>
          <w:rFonts w:ascii="Verdana" w:eastAsia="Verdana" w:hAnsi="Verdana" w:cs="Verdana"/>
          <w:sz w:val="20"/>
          <w:szCs w:val="20"/>
          <w:lang w:val="es-MX"/>
        </w:rPr>
        <w:t xml:space="preserve">(en adelante también “señor Carranza” o “señor Carranza Alarcón”) </w:t>
      </w:r>
      <w:r w:rsidRPr="00F11542">
        <w:rPr>
          <w:rFonts w:ascii="Verdana" w:eastAsia="Verdana" w:hAnsi="Verdana" w:cs="Verdana"/>
          <w:sz w:val="20"/>
          <w:szCs w:val="20"/>
          <w:lang w:val="es-MX"/>
        </w:rPr>
        <w:t xml:space="preserve">estuvo </w:t>
      </w:r>
      <w:r>
        <w:rPr>
          <w:rFonts w:ascii="Verdana" w:eastAsia="Verdana" w:hAnsi="Verdana" w:cs="Verdana"/>
          <w:sz w:val="20"/>
          <w:szCs w:val="20"/>
          <w:lang w:val="es-MX"/>
        </w:rPr>
        <w:t>“</w:t>
      </w:r>
      <w:r w:rsidRPr="00F11542">
        <w:rPr>
          <w:rFonts w:ascii="Verdana" w:eastAsia="Verdana" w:hAnsi="Verdana" w:cs="Verdana"/>
          <w:sz w:val="20"/>
          <w:szCs w:val="20"/>
          <w:lang w:val="es-MX"/>
        </w:rPr>
        <w:t>privad</w:t>
      </w:r>
      <w:r>
        <w:rPr>
          <w:rFonts w:ascii="Verdana" w:eastAsia="Verdana" w:hAnsi="Verdana" w:cs="Verdana"/>
          <w:sz w:val="20"/>
          <w:szCs w:val="20"/>
          <w:lang w:val="es-MX"/>
        </w:rPr>
        <w:t>o de libertad preventivamente entre</w:t>
      </w:r>
      <w:r w:rsidRPr="00F11542">
        <w:rPr>
          <w:rFonts w:ascii="Verdana" w:eastAsia="Verdana" w:hAnsi="Verdana" w:cs="Verdana"/>
          <w:sz w:val="20"/>
          <w:szCs w:val="20"/>
          <w:lang w:val="es-MX"/>
        </w:rPr>
        <w:t xml:space="preserve"> noviembre de 1994 </w:t>
      </w:r>
      <w:r>
        <w:rPr>
          <w:rFonts w:ascii="Verdana" w:eastAsia="Verdana" w:hAnsi="Verdana" w:cs="Verdana"/>
          <w:sz w:val="20"/>
          <w:szCs w:val="20"/>
          <w:lang w:val="es-MX"/>
        </w:rPr>
        <w:t>y</w:t>
      </w:r>
      <w:r w:rsidRPr="00F11542">
        <w:rPr>
          <w:rFonts w:ascii="Verdana" w:eastAsia="Verdana" w:hAnsi="Verdana" w:cs="Verdana"/>
          <w:sz w:val="20"/>
          <w:szCs w:val="20"/>
          <w:lang w:val="es-MX"/>
        </w:rPr>
        <w:t xml:space="preserve"> diciembre de 1998</w:t>
      </w:r>
      <w:r>
        <w:rPr>
          <w:rFonts w:ascii="Verdana" w:eastAsia="Verdana" w:hAnsi="Verdana" w:cs="Verdana"/>
          <w:sz w:val="20"/>
          <w:szCs w:val="20"/>
          <w:lang w:val="es-MX"/>
        </w:rPr>
        <w:t>"</w:t>
      </w:r>
      <w:r w:rsidRPr="00F11542">
        <w:rPr>
          <w:rFonts w:ascii="Verdana" w:eastAsia="Verdana" w:hAnsi="Verdana" w:cs="Verdana"/>
          <w:sz w:val="20"/>
          <w:szCs w:val="20"/>
          <w:lang w:val="es-MX"/>
        </w:rPr>
        <w:t xml:space="preserve">, </w:t>
      </w:r>
      <w:r>
        <w:rPr>
          <w:rFonts w:ascii="Verdana" w:eastAsia="Verdana" w:hAnsi="Verdana" w:cs="Verdana"/>
          <w:sz w:val="20"/>
          <w:szCs w:val="20"/>
          <w:lang w:val="es-MX"/>
        </w:rPr>
        <w:t>cuando la sentencia</w:t>
      </w:r>
      <w:r w:rsidRPr="00F11542">
        <w:rPr>
          <w:rFonts w:ascii="Verdana" w:eastAsia="Verdana" w:hAnsi="Verdana" w:cs="Verdana"/>
          <w:sz w:val="20"/>
          <w:szCs w:val="20"/>
          <w:lang w:val="es-MX"/>
        </w:rPr>
        <w:t xml:space="preserve"> condena</w:t>
      </w:r>
      <w:r>
        <w:rPr>
          <w:rFonts w:ascii="Verdana" w:eastAsia="Verdana" w:hAnsi="Verdana" w:cs="Verdana"/>
          <w:sz w:val="20"/>
          <w:szCs w:val="20"/>
          <w:lang w:val="es-MX"/>
        </w:rPr>
        <w:t>toria en su contra</w:t>
      </w:r>
      <w:r w:rsidRPr="00F11542">
        <w:rPr>
          <w:rFonts w:ascii="Verdana" w:eastAsia="Verdana" w:hAnsi="Verdana" w:cs="Verdana"/>
          <w:sz w:val="20"/>
          <w:szCs w:val="20"/>
          <w:lang w:val="es-MX"/>
        </w:rPr>
        <w:t xml:space="preserve"> quedó firme</w:t>
      </w:r>
      <w:r>
        <w:rPr>
          <w:rFonts w:ascii="Verdana" w:eastAsia="Verdana" w:hAnsi="Verdana" w:cs="Verdana"/>
          <w:sz w:val="20"/>
          <w:szCs w:val="20"/>
          <w:lang w:val="es-MX"/>
        </w:rPr>
        <w:t>.</w:t>
      </w:r>
      <w:r w:rsidRPr="00F11542">
        <w:rPr>
          <w:rFonts w:ascii="Verdana" w:eastAsia="Verdana" w:hAnsi="Verdana" w:cs="Verdana"/>
          <w:sz w:val="20"/>
          <w:szCs w:val="20"/>
          <w:lang w:val="es-MX"/>
        </w:rPr>
        <w:t xml:space="preserve"> De acuerdo </w:t>
      </w:r>
      <w:r>
        <w:rPr>
          <w:rFonts w:ascii="Verdana" w:eastAsia="Verdana" w:hAnsi="Verdana" w:cs="Verdana"/>
          <w:sz w:val="20"/>
          <w:szCs w:val="20"/>
          <w:lang w:val="es-MX"/>
        </w:rPr>
        <w:t>a lo expresado por</w:t>
      </w:r>
      <w:r w:rsidRPr="00F11542">
        <w:rPr>
          <w:rFonts w:ascii="Verdana" w:eastAsia="Verdana" w:hAnsi="Verdana" w:cs="Verdana"/>
          <w:sz w:val="20"/>
          <w:szCs w:val="20"/>
          <w:lang w:val="es-MX"/>
        </w:rPr>
        <w:t xml:space="preserve"> la Comisión</w:t>
      </w:r>
      <w:r w:rsidR="00897585">
        <w:rPr>
          <w:rFonts w:ascii="Verdana" w:eastAsia="Verdana" w:hAnsi="Verdana" w:cs="Verdana"/>
          <w:sz w:val="20"/>
          <w:szCs w:val="20"/>
          <w:lang w:val="es-MX"/>
        </w:rPr>
        <w:t>,</w:t>
      </w:r>
      <w:r>
        <w:rPr>
          <w:rFonts w:ascii="Verdana" w:eastAsia="Verdana" w:hAnsi="Verdana" w:cs="Verdana"/>
          <w:sz w:val="20"/>
          <w:szCs w:val="20"/>
          <w:lang w:val="es-MX"/>
        </w:rPr>
        <w:t xml:space="preserve"> la prisión preventiva fue</w:t>
      </w:r>
      <w:r w:rsidRPr="00F11542">
        <w:rPr>
          <w:rFonts w:ascii="Verdana" w:eastAsia="Verdana" w:hAnsi="Verdana" w:cs="Verdana"/>
          <w:sz w:val="20"/>
          <w:szCs w:val="20"/>
          <w:lang w:val="es-MX"/>
        </w:rPr>
        <w:t xml:space="preserve"> arbitraria, </w:t>
      </w:r>
      <w:r>
        <w:rPr>
          <w:rFonts w:ascii="Verdana" w:eastAsia="Verdana" w:hAnsi="Verdana" w:cs="Verdana"/>
          <w:sz w:val="20"/>
          <w:szCs w:val="20"/>
          <w:lang w:val="es-MX"/>
        </w:rPr>
        <w:t>así como su duración y la del proceso penal</w:t>
      </w:r>
      <w:r w:rsidR="000229A7">
        <w:rPr>
          <w:rFonts w:ascii="Verdana" w:eastAsia="Verdana" w:hAnsi="Verdana" w:cs="Verdana"/>
          <w:sz w:val="20"/>
          <w:szCs w:val="20"/>
          <w:lang w:val="es-MX"/>
        </w:rPr>
        <w:t xml:space="preserve"> irrazonable</w:t>
      </w:r>
      <w:r w:rsidRPr="00F11542">
        <w:rPr>
          <w:rFonts w:ascii="Verdana" w:eastAsia="Verdana" w:hAnsi="Verdana" w:cs="Verdana"/>
          <w:sz w:val="20"/>
          <w:szCs w:val="20"/>
          <w:lang w:val="es-MX"/>
        </w:rPr>
        <w:t>.</w:t>
      </w:r>
      <w:r>
        <w:rPr>
          <w:rFonts w:ascii="Verdana" w:eastAsia="Verdana" w:hAnsi="Verdana" w:cs="Verdana"/>
          <w:sz w:val="20"/>
          <w:szCs w:val="20"/>
          <w:lang w:val="es-MX"/>
        </w:rPr>
        <w:t xml:space="preserve"> </w:t>
      </w:r>
    </w:p>
    <w:p w14:paraId="276065F9" w14:textId="77777777" w:rsidR="005E2829" w:rsidRPr="001A1E2A" w:rsidRDefault="005E2829" w:rsidP="00414DEF">
      <w:pPr>
        <w:pStyle w:val="Prrafodelista"/>
        <w:widowControl/>
        <w:spacing w:after="160" w:line="240" w:lineRule="auto"/>
        <w:ind w:left="0"/>
        <w:jc w:val="both"/>
        <w:rPr>
          <w:lang w:val="es-CR"/>
        </w:rPr>
      </w:pPr>
    </w:p>
    <w:p w14:paraId="3834C904" w14:textId="77777777" w:rsidR="005E2829" w:rsidRPr="00405CFA" w:rsidRDefault="005E2829" w:rsidP="00414DEF">
      <w:pPr>
        <w:pStyle w:val="Prrafodelista"/>
        <w:widowControl/>
        <w:numPr>
          <w:ilvl w:val="0"/>
          <w:numId w:val="26"/>
        </w:numPr>
        <w:spacing w:after="160" w:line="240" w:lineRule="auto"/>
        <w:ind w:left="0" w:firstLine="0"/>
        <w:jc w:val="both"/>
        <w:rPr>
          <w:rFonts w:ascii="Verdana" w:hAnsi="Verdana"/>
          <w:sz w:val="20"/>
          <w:szCs w:val="20"/>
          <w:lang w:val="es-CR"/>
        </w:rPr>
      </w:pPr>
      <w:r w:rsidRPr="00290224">
        <w:rPr>
          <w:rFonts w:ascii="Verdana" w:hAnsi="Verdana"/>
          <w:i/>
          <w:sz w:val="20"/>
          <w:szCs w:val="20"/>
          <w:lang w:val="es-CR"/>
        </w:rPr>
        <w:t>Trámite ante la Comisión. –</w:t>
      </w:r>
      <w:r w:rsidRPr="001A1E2A">
        <w:rPr>
          <w:rFonts w:ascii="Verdana" w:hAnsi="Verdana"/>
          <w:sz w:val="20"/>
          <w:szCs w:val="20"/>
          <w:lang w:val="es-CR"/>
        </w:rPr>
        <w:t xml:space="preserve"> </w:t>
      </w:r>
      <w:r w:rsidRPr="001A1E2A">
        <w:rPr>
          <w:rFonts w:ascii="Verdana" w:eastAsia="Verdana" w:hAnsi="Verdana" w:cs="Verdana"/>
          <w:spacing w:val="-1"/>
          <w:sz w:val="20"/>
          <w:szCs w:val="20"/>
          <w:lang w:val="es-MX"/>
        </w:rPr>
        <w:t>E</w:t>
      </w:r>
      <w:r w:rsidRPr="001A1E2A">
        <w:rPr>
          <w:rFonts w:ascii="Verdana" w:eastAsia="Verdana" w:hAnsi="Verdana" w:cs="Verdana"/>
          <w:sz w:val="20"/>
          <w:szCs w:val="20"/>
          <w:lang w:val="es-MX"/>
        </w:rPr>
        <w:t>l t</w:t>
      </w:r>
      <w:r w:rsidRPr="001A1E2A">
        <w:rPr>
          <w:rFonts w:ascii="Verdana" w:eastAsia="Verdana" w:hAnsi="Verdana" w:cs="Verdana"/>
          <w:spacing w:val="-1"/>
          <w:sz w:val="20"/>
          <w:szCs w:val="20"/>
          <w:lang w:val="es-MX"/>
        </w:rPr>
        <w:t>r</w:t>
      </w:r>
      <w:r w:rsidRPr="001A1E2A">
        <w:rPr>
          <w:rFonts w:ascii="Verdana" w:eastAsia="Verdana" w:hAnsi="Verdana" w:cs="Verdana"/>
          <w:sz w:val="20"/>
          <w:szCs w:val="20"/>
          <w:lang w:val="es-MX"/>
        </w:rPr>
        <w:t>á</w:t>
      </w:r>
      <w:r w:rsidRPr="001A1E2A">
        <w:rPr>
          <w:rFonts w:ascii="Verdana" w:eastAsia="Verdana" w:hAnsi="Verdana" w:cs="Verdana"/>
          <w:spacing w:val="1"/>
          <w:sz w:val="20"/>
          <w:szCs w:val="20"/>
          <w:lang w:val="es-MX"/>
        </w:rPr>
        <w:t>m</w:t>
      </w:r>
      <w:r w:rsidRPr="001A1E2A">
        <w:rPr>
          <w:rFonts w:ascii="Verdana" w:eastAsia="Verdana" w:hAnsi="Verdana" w:cs="Verdana"/>
          <w:spacing w:val="3"/>
          <w:sz w:val="20"/>
          <w:szCs w:val="20"/>
          <w:lang w:val="es-MX"/>
        </w:rPr>
        <w:t>i</w:t>
      </w:r>
      <w:r w:rsidRPr="001A1E2A">
        <w:rPr>
          <w:rFonts w:ascii="Verdana" w:eastAsia="Verdana" w:hAnsi="Verdana" w:cs="Verdana"/>
          <w:spacing w:val="1"/>
          <w:sz w:val="20"/>
          <w:szCs w:val="20"/>
          <w:lang w:val="es-MX"/>
        </w:rPr>
        <w:t>t</w:t>
      </w:r>
      <w:r w:rsidRPr="001A1E2A">
        <w:rPr>
          <w:rFonts w:ascii="Verdana" w:eastAsia="Verdana" w:hAnsi="Verdana" w:cs="Verdana"/>
          <w:sz w:val="20"/>
          <w:szCs w:val="20"/>
          <w:lang w:val="es-MX"/>
        </w:rPr>
        <w:t>e</w:t>
      </w:r>
      <w:r w:rsidRPr="001A1E2A">
        <w:rPr>
          <w:rFonts w:ascii="Verdana" w:eastAsia="Verdana" w:hAnsi="Verdana" w:cs="Verdana"/>
          <w:spacing w:val="-8"/>
          <w:sz w:val="20"/>
          <w:szCs w:val="20"/>
          <w:lang w:val="es-MX"/>
        </w:rPr>
        <w:t xml:space="preserve"> </w:t>
      </w:r>
      <w:r w:rsidRPr="001A1E2A">
        <w:rPr>
          <w:rFonts w:ascii="Verdana" w:eastAsia="Verdana" w:hAnsi="Verdana" w:cs="Verdana"/>
          <w:sz w:val="20"/>
          <w:szCs w:val="20"/>
          <w:lang w:val="es-MX"/>
        </w:rPr>
        <w:t>a</w:t>
      </w:r>
      <w:r w:rsidRPr="001A1E2A">
        <w:rPr>
          <w:rFonts w:ascii="Verdana" w:eastAsia="Verdana" w:hAnsi="Verdana" w:cs="Verdana"/>
          <w:spacing w:val="1"/>
          <w:sz w:val="20"/>
          <w:szCs w:val="20"/>
          <w:lang w:val="es-MX"/>
        </w:rPr>
        <w:t>nt</w:t>
      </w:r>
      <w:r w:rsidRPr="001A1E2A">
        <w:rPr>
          <w:rFonts w:ascii="Verdana" w:eastAsia="Verdana" w:hAnsi="Verdana" w:cs="Verdana"/>
          <w:sz w:val="20"/>
          <w:szCs w:val="20"/>
          <w:lang w:val="es-MX"/>
        </w:rPr>
        <w:t>e</w:t>
      </w:r>
      <w:r w:rsidRPr="001A1E2A">
        <w:rPr>
          <w:rFonts w:ascii="Verdana" w:eastAsia="Verdana" w:hAnsi="Verdana" w:cs="Verdana"/>
          <w:spacing w:val="-5"/>
          <w:sz w:val="20"/>
          <w:szCs w:val="20"/>
          <w:lang w:val="es-MX"/>
        </w:rPr>
        <w:t xml:space="preserve"> </w:t>
      </w:r>
      <w:r w:rsidRPr="001A1E2A">
        <w:rPr>
          <w:rFonts w:ascii="Verdana" w:eastAsia="Verdana" w:hAnsi="Verdana" w:cs="Verdana"/>
          <w:spacing w:val="2"/>
          <w:sz w:val="20"/>
          <w:szCs w:val="20"/>
          <w:lang w:val="es-MX"/>
        </w:rPr>
        <w:t>l</w:t>
      </w:r>
      <w:r w:rsidRPr="001A1E2A">
        <w:rPr>
          <w:rFonts w:ascii="Verdana" w:eastAsia="Verdana" w:hAnsi="Verdana" w:cs="Verdana"/>
          <w:sz w:val="20"/>
          <w:szCs w:val="20"/>
          <w:lang w:val="es-MX"/>
        </w:rPr>
        <w:t>a</w:t>
      </w:r>
      <w:r w:rsidRPr="001A1E2A">
        <w:rPr>
          <w:rFonts w:ascii="Verdana" w:eastAsia="Verdana" w:hAnsi="Verdana" w:cs="Verdana"/>
          <w:spacing w:val="-2"/>
          <w:sz w:val="20"/>
          <w:szCs w:val="20"/>
          <w:lang w:val="es-MX"/>
        </w:rPr>
        <w:t xml:space="preserve"> </w:t>
      </w:r>
      <w:r w:rsidRPr="001A1E2A">
        <w:rPr>
          <w:rFonts w:ascii="Verdana" w:eastAsia="Verdana" w:hAnsi="Verdana" w:cs="Verdana"/>
          <w:spacing w:val="2"/>
          <w:sz w:val="20"/>
          <w:szCs w:val="20"/>
          <w:lang w:val="es-MX"/>
        </w:rPr>
        <w:t>C</w:t>
      </w:r>
      <w:r w:rsidRPr="001A1E2A">
        <w:rPr>
          <w:rFonts w:ascii="Verdana" w:eastAsia="Verdana" w:hAnsi="Verdana" w:cs="Verdana"/>
          <w:spacing w:val="-1"/>
          <w:sz w:val="20"/>
          <w:szCs w:val="20"/>
          <w:lang w:val="es-MX"/>
        </w:rPr>
        <w:t>o</w:t>
      </w:r>
      <w:r w:rsidRPr="001A1E2A">
        <w:rPr>
          <w:rFonts w:ascii="Verdana" w:eastAsia="Verdana" w:hAnsi="Verdana" w:cs="Verdana"/>
          <w:sz w:val="20"/>
          <w:szCs w:val="20"/>
          <w:lang w:val="es-MX"/>
        </w:rPr>
        <w:t>m</w:t>
      </w:r>
      <w:r w:rsidRPr="001A1E2A">
        <w:rPr>
          <w:rFonts w:ascii="Verdana" w:eastAsia="Verdana" w:hAnsi="Verdana" w:cs="Verdana"/>
          <w:spacing w:val="3"/>
          <w:sz w:val="20"/>
          <w:szCs w:val="20"/>
          <w:lang w:val="es-MX"/>
        </w:rPr>
        <w:t>i</w:t>
      </w:r>
      <w:r w:rsidRPr="001A1E2A">
        <w:rPr>
          <w:rFonts w:ascii="Verdana" w:eastAsia="Verdana" w:hAnsi="Verdana" w:cs="Verdana"/>
          <w:sz w:val="20"/>
          <w:szCs w:val="20"/>
          <w:lang w:val="es-MX"/>
        </w:rPr>
        <w:t>s</w:t>
      </w:r>
      <w:r w:rsidRPr="001A1E2A">
        <w:rPr>
          <w:rFonts w:ascii="Verdana" w:eastAsia="Verdana" w:hAnsi="Verdana" w:cs="Verdana"/>
          <w:spacing w:val="2"/>
          <w:sz w:val="20"/>
          <w:szCs w:val="20"/>
          <w:lang w:val="es-MX"/>
        </w:rPr>
        <w:t>i</w:t>
      </w:r>
      <w:r w:rsidRPr="001A1E2A">
        <w:rPr>
          <w:rFonts w:ascii="Verdana" w:eastAsia="Verdana" w:hAnsi="Verdana" w:cs="Verdana"/>
          <w:spacing w:val="-1"/>
          <w:sz w:val="20"/>
          <w:szCs w:val="20"/>
          <w:lang w:val="es-MX"/>
        </w:rPr>
        <w:t>ó</w:t>
      </w:r>
      <w:r w:rsidRPr="001A1E2A">
        <w:rPr>
          <w:rFonts w:ascii="Verdana" w:eastAsia="Verdana" w:hAnsi="Verdana" w:cs="Verdana"/>
          <w:sz w:val="20"/>
          <w:szCs w:val="20"/>
          <w:lang w:val="es-MX"/>
        </w:rPr>
        <w:t>n</w:t>
      </w:r>
      <w:r w:rsidRPr="001A1E2A">
        <w:rPr>
          <w:rFonts w:ascii="Verdana" w:eastAsia="Verdana" w:hAnsi="Verdana" w:cs="Verdana"/>
          <w:spacing w:val="-8"/>
          <w:sz w:val="20"/>
          <w:szCs w:val="20"/>
          <w:lang w:val="es-MX"/>
        </w:rPr>
        <w:t xml:space="preserve"> </w:t>
      </w:r>
      <w:r w:rsidRPr="001A1E2A">
        <w:rPr>
          <w:rFonts w:ascii="Verdana" w:eastAsia="Verdana" w:hAnsi="Verdana" w:cs="Verdana"/>
          <w:spacing w:val="-1"/>
          <w:sz w:val="20"/>
          <w:szCs w:val="20"/>
          <w:lang w:val="es-MX"/>
        </w:rPr>
        <w:t>f</w:t>
      </w:r>
      <w:r w:rsidRPr="001A1E2A">
        <w:rPr>
          <w:rFonts w:ascii="Verdana" w:eastAsia="Verdana" w:hAnsi="Verdana" w:cs="Verdana"/>
          <w:spacing w:val="1"/>
          <w:sz w:val="20"/>
          <w:szCs w:val="20"/>
          <w:lang w:val="es-MX"/>
        </w:rPr>
        <w:t>u</w:t>
      </w:r>
      <w:r w:rsidRPr="001A1E2A">
        <w:rPr>
          <w:rFonts w:ascii="Verdana" w:eastAsia="Verdana" w:hAnsi="Verdana" w:cs="Verdana"/>
          <w:sz w:val="20"/>
          <w:szCs w:val="20"/>
          <w:lang w:val="es-MX"/>
        </w:rPr>
        <w:t>e</w:t>
      </w:r>
      <w:r w:rsidRPr="001A1E2A">
        <w:rPr>
          <w:rFonts w:ascii="Verdana" w:eastAsia="Verdana" w:hAnsi="Verdana" w:cs="Verdana"/>
          <w:spacing w:val="-4"/>
          <w:sz w:val="20"/>
          <w:szCs w:val="20"/>
          <w:lang w:val="es-MX"/>
        </w:rPr>
        <w:t xml:space="preserve"> </w:t>
      </w:r>
      <w:r w:rsidRPr="001A1E2A">
        <w:rPr>
          <w:rFonts w:ascii="Verdana" w:eastAsia="Verdana" w:hAnsi="Verdana" w:cs="Verdana"/>
          <w:spacing w:val="-2"/>
          <w:sz w:val="20"/>
          <w:szCs w:val="20"/>
          <w:lang w:val="es-MX"/>
        </w:rPr>
        <w:t>e</w:t>
      </w:r>
      <w:r w:rsidRPr="001A1E2A">
        <w:rPr>
          <w:rFonts w:ascii="Verdana" w:eastAsia="Verdana" w:hAnsi="Verdana" w:cs="Verdana"/>
          <w:sz w:val="20"/>
          <w:szCs w:val="20"/>
          <w:lang w:val="es-MX"/>
        </w:rPr>
        <w:t xml:space="preserve">l </w:t>
      </w:r>
      <w:r w:rsidRPr="001A1E2A">
        <w:rPr>
          <w:rFonts w:ascii="Verdana" w:eastAsia="Verdana" w:hAnsi="Verdana" w:cs="Verdana"/>
          <w:spacing w:val="-1"/>
          <w:sz w:val="20"/>
          <w:szCs w:val="20"/>
          <w:lang w:val="es-MX"/>
        </w:rPr>
        <w:t>s</w:t>
      </w:r>
      <w:r w:rsidRPr="001A1E2A">
        <w:rPr>
          <w:rFonts w:ascii="Verdana" w:eastAsia="Verdana" w:hAnsi="Verdana" w:cs="Verdana"/>
          <w:spacing w:val="3"/>
          <w:sz w:val="20"/>
          <w:szCs w:val="20"/>
          <w:lang w:val="es-MX"/>
        </w:rPr>
        <w:t>i</w:t>
      </w:r>
      <w:r w:rsidRPr="001A1E2A">
        <w:rPr>
          <w:rFonts w:ascii="Verdana" w:eastAsia="Verdana" w:hAnsi="Verdana" w:cs="Verdana"/>
          <w:spacing w:val="1"/>
          <w:sz w:val="20"/>
          <w:szCs w:val="20"/>
          <w:lang w:val="es-MX"/>
        </w:rPr>
        <w:t>g</w:t>
      </w:r>
      <w:r w:rsidRPr="001A1E2A">
        <w:rPr>
          <w:rFonts w:ascii="Verdana" w:eastAsia="Verdana" w:hAnsi="Verdana" w:cs="Verdana"/>
          <w:spacing w:val="-1"/>
          <w:sz w:val="20"/>
          <w:szCs w:val="20"/>
          <w:lang w:val="es-MX"/>
        </w:rPr>
        <w:t>u</w:t>
      </w:r>
      <w:r w:rsidRPr="001A1E2A">
        <w:rPr>
          <w:rFonts w:ascii="Verdana" w:eastAsia="Verdana" w:hAnsi="Verdana" w:cs="Verdana"/>
          <w:spacing w:val="3"/>
          <w:sz w:val="20"/>
          <w:szCs w:val="20"/>
          <w:lang w:val="es-MX"/>
        </w:rPr>
        <w:t>i</w:t>
      </w:r>
      <w:r w:rsidRPr="001A1E2A">
        <w:rPr>
          <w:rFonts w:ascii="Verdana" w:eastAsia="Verdana" w:hAnsi="Verdana" w:cs="Verdana"/>
          <w:spacing w:val="-1"/>
          <w:sz w:val="20"/>
          <w:szCs w:val="20"/>
          <w:lang w:val="es-MX"/>
        </w:rPr>
        <w:t>e</w:t>
      </w:r>
      <w:r w:rsidRPr="001A1E2A">
        <w:rPr>
          <w:rFonts w:ascii="Verdana" w:eastAsia="Verdana" w:hAnsi="Verdana" w:cs="Verdana"/>
          <w:spacing w:val="1"/>
          <w:sz w:val="20"/>
          <w:szCs w:val="20"/>
          <w:lang w:val="es-MX"/>
        </w:rPr>
        <w:t>nt</w:t>
      </w:r>
      <w:r w:rsidRPr="001A1E2A">
        <w:rPr>
          <w:rFonts w:ascii="Verdana" w:eastAsia="Verdana" w:hAnsi="Verdana" w:cs="Verdana"/>
          <w:spacing w:val="-1"/>
          <w:sz w:val="20"/>
          <w:szCs w:val="20"/>
          <w:lang w:val="es-MX"/>
        </w:rPr>
        <w:t>e</w:t>
      </w:r>
      <w:r w:rsidRPr="001A1E2A">
        <w:rPr>
          <w:rFonts w:ascii="Verdana" w:eastAsia="Verdana" w:hAnsi="Verdana" w:cs="Verdana"/>
          <w:sz w:val="20"/>
          <w:szCs w:val="20"/>
          <w:lang w:val="es-MX"/>
        </w:rPr>
        <w:t>:</w:t>
      </w:r>
      <w:r w:rsidRPr="001A1E2A">
        <w:rPr>
          <w:rFonts w:ascii="Verdana" w:eastAsia="Verdana" w:hAnsi="Verdana" w:cs="Verdana"/>
          <w:spacing w:val="-1"/>
          <w:sz w:val="20"/>
          <w:szCs w:val="20"/>
          <w:lang w:val="es-MX"/>
        </w:rPr>
        <w:t xml:space="preserve"> </w:t>
      </w:r>
    </w:p>
    <w:p w14:paraId="2739983A" w14:textId="77777777" w:rsidR="00405CFA" w:rsidRPr="00290224" w:rsidRDefault="00405CFA" w:rsidP="00414DEF">
      <w:pPr>
        <w:pStyle w:val="Prrafodelista"/>
        <w:widowControl/>
        <w:spacing w:after="160" w:line="240" w:lineRule="auto"/>
        <w:ind w:left="0"/>
        <w:jc w:val="both"/>
        <w:rPr>
          <w:rFonts w:ascii="Verdana" w:hAnsi="Verdana"/>
          <w:sz w:val="20"/>
          <w:szCs w:val="20"/>
          <w:lang w:val="es-CR"/>
        </w:rPr>
      </w:pPr>
    </w:p>
    <w:p w14:paraId="5C1063D6" w14:textId="77777777" w:rsidR="005E2829" w:rsidRPr="007F1B01" w:rsidRDefault="005E2829" w:rsidP="00414DEF">
      <w:pPr>
        <w:pStyle w:val="Prrafodelista"/>
        <w:widowControl/>
        <w:numPr>
          <w:ilvl w:val="0"/>
          <w:numId w:val="7"/>
        </w:numPr>
        <w:spacing w:after="160" w:line="240" w:lineRule="auto"/>
        <w:ind w:left="709" w:firstLine="0"/>
        <w:jc w:val="both"/>
        <w:rPr>
          <w:rFonts w:ascii="Verdana" w:eastAsia="Verdana" w:hAnsi="Verdana" w:cs="Verdana"/>
          <w:b/>
          <w:spacing w:val="-1"/>
          <w:sz w:val="20"/>
          <w:szCs w:val="20"/>
          <w:lang w:val="es-MX"/>
        </w:rPr>
      </w:pPr>
      <w:r w:rsidRPr="007F1B01">
        <w:rPr>
          <w:rFonts w:ascii="Verdana" w:eastAsia="Verdana" w:hAnsi="Verdana" w:cs="Verdana"/>
          <w:i/>
          <w:spacing w:val="-1"/>
          <w:sz w:val="20"/>
          <w:szCs w:val="20"/>
          <w:lang w:val="es-MX"/>
        </w:rPr>
        <w:t>Petición.</w:t>
      </w:r>
      <w:r w:rsidRPr="007F1B01">
        <w:rPr>
          <w:rFonts w:ascii="Verdana" w:eastAsia="Verdana" w:hAnsi="Verdana" w:cs="Verdana"/>
          <w:spacing w:val="-1"/>
          <w:sz w:val="20"/>
          <w:szCs w:val="20"/>
          <w:lang w:val="es-MX"/>
        </w:rPr>
        <w:t xml:space="preserve"> – El 5 de abril de 1998 la Comisión recibió la petición inicial</w:t>
      </w:r>
      <w:r>
        <w:rPr>
          <w:rFonts w:ascii="Verdana" w:eastAsia="Verdana" w:hAnsi="Verdana" w:cs="Verdana"/>
          <w:spacing w:val="-1"/>
          <w:sz w:val="20"/>
          <w:szCs w:val="20"/>
          <w:lang w:val="es-MX"/>
        </w:rPr>
        <w:t>,</w:t>
      </w:r>
      <w:r w:rsidRPr="007F1B01">
        <w:rPr>
          <w:rFonts w:ascii="Verdana" w:eastAsia="Verdana" w:hAnsi="Verdana" w:cs="Verdana"/>
          <w:spacing w:val="-1"/>
          <w:sz w:val="20"/>
          <w:szCs w:val="20"/>
          <w:lang w:val="es-MX"/>
        </w:rPr>
        <w:t xml:space="preserve"> presentada por José Leonardo Obando </w:t>
      </w:r>
      <w:proofErr w:type="spellStart"/>
      <w:r w:rsidRPr="007F1B01">
        <w:rPr>
          <w:rFonts w:ascii="Verdana" w:eastAsia="Verdana" w:hAnsi="Verdana" w:cs="Verdana"/>
          <w:spacing w:val="-1"/>
          <w:sz w:val="20"/>
          <w:szCs w:val="20"/>
          <w:lang w:val="es-MX"/>
        </w:rPr>
        <w:t>Laaz</w:t>
      </w:r>
      <w:proofErr w:type="spellEnd"/>
      <w:r w:rsidRPr="007F1B01">
        <w:rPr>
          <w:rFonts w:ascii="Verdana" w:eastAsia="Verdana" w:hAnsi="Verdana" w:cs="Verdana"/>
          <w:spacing w:val="-1"/>
          <w:sz w:val="20"/>
          <w:szCs w:val="20"/>
          <w:lang w:val="es-MX"/>
        </w:rPr>
        <w:t xml:space="preserve"> </w:t>
      </w:r>
      <w:r>
        <w:rPr>
          <w:rFonts w:ascii="Verdana" w:eastAsia="Verdana" w:hAnsi="Verdana" w:cs="Verdana"/>
          <w:spacing w:val="-1"/>
          <w:sz w:val="20"/>
          <w:szCs w:val="20"/>
          <w:lang w:val="es-MX"/>
        </w:rPr>
        <w:t>(en adelante “el representante”)</w:t>
      </w:r>
      <w:r w:rsidRPr="007F1B01">
        <w:rPr>
          <w:rFonts w:ascii="Verdana" w:eastAsia="Verdana" w:hAnsi="Verdana" w:cs="Verdana"/>
          <w:spacing w:val="-1"/>
          <w:sz w:val="20"/>
          <w:szCs w:val="20"/>
          <w:lang w:val="es-MX"/>
        </w:rPr>
        <w:t xml:space="preserve">. </w:t>
      </w:r>
    </w:p>
    <w:p w14:paraId="7BD2EA38" w14:textId="30F087E8" w:rsidR="005E2829" w:rsidRPr="007F1B01" w:rsidRDefault="005E2829" w:rsidP="00414DEF">
      <w:pPr>
        <w:pStyle w:val="Prrafodelista"/>
        <w:widowControl/>
        <w:numPr>
          <w:ilvl w:val="0"/>
          <w:numId w:val="7"/>
        </w:numPr>
        <w:spacing w:after="160" w:line="240" w:lineRule="auto"/>
        <w:ind w:left="709" w:firstLine="0"/>
        <w:jc w:val="both"/>
        <w:rPr>
          <w:rFonts w:ascii="Verdana" w:eastAsia="Verdana" w:hAnsi="Verdana" w:cs="Verdana"/>
          <w:b/>
          <w:spacing w:val="-1"/>
          <w:sz w:val="20"/>
          <w:szCs w:val="20"/>
          <w:lang w:val="es-MX"/>
        </w:rPr>
      </w:pPr>
      <w:r w:rsidRPr="007F1B01">
        <w:rPr>
          <w:rFonts w:ascii="Verdana" w:eastAsia="Verdana" w:hAnsi="Verdana" w:cs="Verdana"/>
          <w:sz w:val="20"/>
          <w:szCs w:val="20"/>
          <w:lang w:val="es-MX"/>
        </w:rPr>
        <w:t xml:space="preserve"> </w:t>
      </w:r>
      <w:r w:rsidRPr="007F1B01">
        <w:rPr>
          <w:rFonts w:ascii="Verdana" w:eastAsia="Verdana" w:hAnsi="Verdana" w:cs="Verdana"/>
          <w:i/>
          <w:spacing w:val="1"/>
          <w:sz w:val="20"/>
          <w:szCs w:val="20"/>
          <w:lang w:val="es-MX"/>
        </w:rPr>
        <w:t>I</w:t>
      </w:r>
      <w:r w:rsidRPr="007F1B01">
        <w:rPr>
          <w:rFonts w:ascii="Verdana" w:eastAsia="Verdana" w:hAnsi="Verdana" w:cs="Verdana"/>
          <w:i/>
          <w:spacing w:val="-1"/>
          <w:sz w:val="20"/>
          <w:szCs w:val="20"/>
          <w:lang w:val="es-MX"/>
        </w:rPr>
        <w:t>nf</w:t>
      </w:r>
      <w:r w:rsidRPr="007F1B01">
        <w:rPr>
          <w:rFonts w:ascii="Verdana" w:eastAsia="Verdana" w:hAnsi="Verdana" w:cs="Verdana"/>
          <w:i/>
          <w:spacing w:val="1"/>
          <w:sz w:val="20"/>
          <w:szCs w:val="20"/>
          <w:lang w:val="es-MX"/>
        </w:rPr>
        <w:t>o</w:t>
      </w:r>
      <w:r w:rsidRPr="007F1B01">
        <w:rPr>
          <w:rFonts w:ascii="Verdana" w:eastAsia="Verdana" w:hAnsi="Verdana" w:cs="Verdana"/>
          <w:i/>
          <w:sz w:val="20"/>
          <w:szCs w:val="20"/>
          <w:lang w:val="es-MX"/>
        </w:rPr>
        <w:t>rme</w:t>
      </w:r>
      <w:r>
        <w:rPr>
          <w:rFonts w:ascii="Verdana" w:eastAsia="Verdana" w:hAnsi="Verdana" w:cs="Verdana"/>
          <w:i/>
          <w:sz w:val="20"/>
          <w:szCs w:val="20"/>
          <w:lang w:val="es-MX"/>
        </w:rPr>
        <w:t>s</w:t>
      </w:r>
      <w:r w:rsidRPr="007F1B01">
        <w:rPr>
          <w:rFonts w:ascii="Verdana" w:eastAsia="Verdana" w:hAnsi="Verdana" w:cs="Verdana"/>
          <w:i/>
          <w:sz w:val="20"/>
          <w:szCs w:val="20"/>
          <w:lang w:val="es-MX"/>
        </w:rPr>
        <w:t xml:space="preserve"> </w:t>
      </w:r>
      <w:r w:rsidRPr="007F1B01">
        <w:rPr>
          <w:rFonts w:ascii="Verdana" w:eastAsia="Verdana" w:hAnsi="Verdana" w:cs="Verdana"/>
          <w:i/>
          <w:spacing w:val="1"/>
          <w:sz w:val="20"/>
          <w:szCs w:val="20"/>
          <w:lang w:val="es-MX"/>
        </w:rPr>
        <w:t>d</w:t>
      </w:r>
      <w:r w:rsidRPr="007F1B01">
        <w:rPr>
          <w:rFonts w:ascii="Verdana" w:eastAsia="Verdana" w:hAnsi="Verdana" w:cs="Verdana"/>
          <w:i/>
          <w:sz w:val="20"/>
          <w:szCs w:val="20"/>
          <w:lang w:val="es-MX"/>
        </w:rPr>
        <w:t>e A</w:t>
      </w:r>
      <w:r w:rsidRPr="007F1B01">
        <w:rPr>
          <w:rFonts w:ascii="Verdana" w:eastAsia="Verdana" w:hAnsi="Verdana" w:cs="Verdana"/>
          <w:i/>
          <w:spacing w:val="1"/>
          <w:sz w:val="20"/>
          <w:szCs w:val="20"/>
          <w:lang w:val="es-MX"/>
        </w:rPr>
        <w:t>d</w:t>
      </w:r>
      <w:r w:rsidRPr="007F1B01">
        <w:rPr>
          <w:rFonts w:ascii="Verdana" w:eastAsia="Verdana" w:hAnsi="Verdana" w:cs="Verdana"/>
          <w:i/>
          <w:sz w:val="20"/>
          <w:szCs w:val="20"/>
          <w:lang w:val="es-MX"/>
        </w:rPr>
        <w:t>m</w:t>
      </w:r>
      <w:r w:rsidRPr="007F1B01">
        <w:rPr>
          <w:rFonts w:ascii="Verdana" w:eastAsia="Verdana" w:hAnsi="Verdana" w:cs="Verdana"/>
          <w:i/>
          <w:spacing w:val="1"/>
          <w:sz w:val="20"/>
          <w:szCs w:val="20"/>
          <w:lang w:val="es-MX"/>
        </w:rPr>
        <w:t>i</w:t>
      </w:r>
      <w:r w:rsidRPr="007F1B01">
        <w:rPr>
          <w:rFonts w:ascii="Verdana" w:eastAsia="Verdana" w:hAnsi="Verdana" w:cs="Verdana"/>
          <w:i/>
          <w:spacing w:val="-3"/>
          <w:sz w:val="20"/>
          <w:szCs w:val="20"/>
          <w:lang w:val="es-MX"/>
        </w:rPr>
        <w:t>s</w:t>
      </w:r>
      <w:r w:rsidRPr="007F1B01">
        <w:rPr>
          <w:rFonts w:ascii="Verdana" w:eastAsia="Verdana" w:hAnsi="Verdana" w:cs="Verdana"/>
          <w:i/>
          <w:spacing w:val="1"/>
          <w:sz w:val="20"/>
          <w:szCs w:val="20"/>
          <w:lang w:val="es-MX"/>
        </w:rPr>
        <w:t>ib</w:t>
      </w:r>
      <w:r w:rsidRPr="007F1B01">
        <w:rPr>
          <w:rFonts w:ascii="Verdana" w:eastAsia="Verdana" w:hAnsi="Verdana" w:cs="Verdana"/>
          <w:i/>
          <w:spacing w:val="-1"/>
          <w:sz w:val="20"/>
          <w:szCs w:val="20"/>
          <w:lang w:val="es-MX"/>
        </w:rPr>
        <w:t>i</w:t>
      </w:r>
      <w:r w:rsidRPr="007F1B01">
        <w:rPr>
          <w:rFonts w:ascii="Verdana" w:eastAsia="Verdana" w:hAnsi="Verdana" w:cs="Verdana"/>
          <w:i/>
          <w:spacing w:val="1"/>
          <w:sz w:val="20"/>
          <w:szCs w:val="20"/>
          <w:lang w:val="es-MX"/>
        </w:rPr>
        <w:t>lid</w:t>
      </w:r>
      <w:r w:rsidRPr="007F1B01">
        <w:rPr>
          <w:rFonts w:ascii="Verdana" w:eastAsia="Verdana" w:hAnsi="Verdana" w:cs="Verdana"/>
          <w:i/>
          <w:spacing w:val="-2"/>
          <w:sz w:val="20"/>
          <w:szCs w:val="20"/>
          <w:lang w:val="es-MX"/>
        </w:rPr>
        <w:t xml:space="preserve">ad y </w:t>
      </w:r>
      <w:r>
        <w:rPr>
          <w:rFonts w:ascii="Verdana" w:eastAsia="Verdana" w:hAnsi="Verdana" w:cs="Verdana"/>
          <w:i/>
          <w:spacing w:val="-2"/>
          <w:sz w:val="20"/>
          <w:szCs w:val="20"/>
          <w:lang w:val="es-MX"/>
        </w:rPr>
        <w:t xml:space="preserve">de </w:t>
      </w:r>
      <w:r w:rsidRPr="007F1B01">
        <w:rPr>
          <w:rFonts w:ascii="Verdana" w:eastAsia="Verdana" w:hAnsi="Verdana" w:cs="Verdana"/>
          <w:i/>
          <w:spacing w:val="-2"/>
          <w:sz w:val="20"/>
          <w:szCs w:val="20"/>
          <w:lang w:val="es-MX"/>
        </w:rPr>
        <w:t>Fondo</w:t>
      </w:r>
      <w:r w:rsidRPr="007F1B01">
        <w:rPr>
          <w:rFonts w:ascii="Verdana" w:eastAsia="Verdana" w:hAnsi="Verdana" w:cs="Verdana"/>
          <w:i/>
          <w:sz w:val="20"/>
          <w:szCs w:val="20"/>
          <w:lang w:val="es-MX"/>
        </w:rPr>
        <w:t xml:space="preserve">. – </w:t>
      </w:r>
      <w:r w:rsidRPr="007F1B01">
        <w:rPr>
          <w:rFonts w:ascii="Verdana" w:eastAsia="Verdana" w:hAnsi="Verdana" w:cs="Verdana"/>
          <w:sz w:val="20"/>
          <w:szCs w:val="20"/>
          <w:lang w:val="es-MX"/>
        </w:rPr>
        <w:t>El</w:t>
      </w:r>
      <w:r w:rsidRPr="007F1B01">
        <w:rPr>
          <w:rFonts w:ascii="Verdana" w:eastAsia="Verdana" w:hAnsi="Verdana" w:cs="Verdana"/>
          <w:i/>
          <w:sz w:val="20"/>
          <w:szCs w:val="20"/>
          <w:lang w:val="es-MX"/>
        </w:rPr>
        <w:t xml:space="preserve"> </w:t>
      </w:r>
      <w:r w:rsidRPr="007F1B01">
        <w:rPr>
          <w:rFonts w:ascii="Verdana" w:eastAsia="Verdana" w:hAnsi="Verdana" w:cs="Verdana"/>
          <w:sz w:val="20"/>
          <w:szCs w:val="20"/>
          <w:lang w:val="es-MX"/>
        </w:rPr>
        <w:t>2 de noviembre</w:t>
      </w:r>
      <w:r w:rsidRPr="007F1B01">
        <w:rPr>
          <w:rFonts w:ascii="Verdana" w:eastAsia="Verdana" w:hAnsi="Verdana" w:cs="Verdana"/>
          <w:i/>
          <w:sz w:val="20"/>
          <w:szCs w:val="20"/>
          <w:lang w:val="es-MX"/>
        </w:rPr>
        <w:t xml:space="preserve"> </w:t>
      </w:r>
      <w:r w:rsidRPr="007F1B01">
        <w:rPr>
          <w:rFonts w:ascii="Verdana" w:eastAsia="Verdana" w:hAnsi="Verdana" w:cs="Verdana"/>
          <w:spacing w:val="1"/>
          <w:sz w:val="20"/>
          <w:szCs w:val="20"/>
          <w:lang w:val="es-MX"/>
        </w:rPr>
        <w:t>d</w:t>
      </w:r>
      <w:r w:rsidRPr="007F1B01">
        <w:rPr>
          <w:rFonts w:ascii="Verdana" w:eastAsia="Verdana" w:hAnsi="Verdana" w:cs="Verdana"/>
          <w:sz w:val="20"/>
          <w:szCs w:val="20"/>
          <w:lang w:val="es-MX"/>
        </w:rPr>
        <w:t xml:space="preserve">e </w:t>
      </w:r>
      <w:r w:rsidRPr="007F1B01">
        <w:rPr>
          <w:rFonts w:ascii="Verdana" w:eastAsia="Verdana" w:hAnsi="Verdana" w:cs="Verdana"/>
          <w:spacing w:val="1"/>
          <w:sz w:val="20"/>
          <w:szCs w:val="20"/>
          <w:lang w:val="es-MX"/>
        </w:rPr>
        <w:t>2011</w:t>
      </w:r>
      <w:r>
        <w:rPr>
          <w:rFonts w:ascii="Verdana" w:eastAsia="Verdana" w:hAnsi="Verdana" w:cs="Verdana"/>
          <w:spacing w:val="1"/>
          <w:sz w:val="20"/>
          <w:szCs w:val="20"/>
          <w:lang w:val="es-MX"/>
        </w:rPr>
        <w:t xml:space="preserve"> y el 23 de mayo de 2017</w:t>
      </w:r>
      <w:r w:rsidRPr="007F1B01">
        <w:rPr>
          <w:rFonts w:ascii="Verdana" w:eastAsia="Verdana" w:hAnsi="Verdana" w:cs="Verdana"/>
          <w:sz w:val="20"/>
          <w:szCs w:val="20"/>
          <w:lang w:val="es-MX"/>
        </w:rPr>
        <w:t xml:space="preserve"> </w:t>
      </w:r>
      <w:r w:rsidRPr="007F1B01">
        <w:rPr>
          <w:rFonts w:ascii="Verdana" w:eastAsia="Verdana" w:hAnsi="Verdana" w:cs="Verdana"/>
          <w:spacing w:val="1"/>
          <w:sz w:val="20"/>
          <w:szCs w:val="20"/>
          <w:lang w:val="es-MX"/>
        </w:rPr>
        <w:t>l</w:t>
      </w:r>
      <w:r w:rsidRPr="007F1B01">
        <w:rPr>
          <w:rFonts w:ascii="Verdana" w:eastAsia="Verdana" w:hAnsi="Verdana" w:cs="Verdana"/>
          <w:sz w:val="20"/>
          <w:szCs w:val="20"/>
          <w:lang w:val="es-MX"/>
        </w:rPr>
        <w:t xml:space="preserve">a </w:t>
      </w:r>
      <w:r w:rsidRPr="007F1B01">
        <w:rPr>
          <w:rFonts w:ascii="Verdana" w:eastAsia="Verdana" w:hAnsi="Verdana" w:cs="Verdana"/>
          <w:spacing w:val="-1"/>
          <w:sz w:val="20"/>
          <w:szCs w:val="20"/>
          <w:lang w:val="es-MX"/>
        </w:rPr>
        <w:t>C</w:t>
      </w:r>
      <w:r w:rsidRPr="007F1B01">
        <w:rPr>
          <w:rFonts w:ascii="Verdana" w:eastAsia="Verdana" w:hAnsi="Verdana" w:cs="Verdana"/>
          <w:spacing w:val="1"/>
          <w:sz w:val="20"/>
          <w:szCs w:val="20"/>
          <w:lang w:val="es-MX"/>
        </w:rPr>
        <w:t>o</w:t>
      </w:r>
      <w:r w:rsidRPr="007F1B01">
        <w:rPr>
          <w:rFonts w:ascii="Verdana" w:eastAsia="Verdana" w:hAnsi="Verdana" w:cs="Verdana"/>
          <w:spacing w:val="-2"/>
          <w:sz w:val="20"/>
          <w:szCs w:val="20"/>
          <w:lang w:val="es-MX"/>
        </w:rPr>
        <w:t>m</w:t>
      </w:r>
      <w:r w:rsidRPr="007F1B01">
        <w:rPr>
          <w:rFonts w:ascii="Verdana" w:eastAsia="Verdana" w:hAnsi="Verdana" w:cs="Verdana"/>
          <w:spacing w:val="1"/>
          <w:sz w:val="20"/>
          <w:szCs w:val="20"/>
          <w:lang w:val="es-MX"/>
        </w:rPr>
        <w:t>i</w:t>
      </w:r>
      <w:r w:rsidRPr="007F1B01">
        <w:rPr>
          <w:rFonts w:ascii="Verdana" w:eastAsia="Verdana" w:hAnsi="Verdana" w:cs="Verdana"/>
          <w:sz w:val="20"/>
          <w:szCs w:val="20"/>
          <w:lang w:val="es-MX"/>
        </w:rPr>
        <w:t>s</w:t>
      </w:r>
      <w:r w:rsidRPr="007F1B01">
        <w:rPr>
          <w:rFonts w:ascii="Verdana" w:eastAsia="Verdana" w:hAnsi="Verdana" w:cs="Verdana"/>
          <w:spacing w:val="-2"/>
          <w:sz w:val="20"/>
          <w:szCs w:val="20"/>
          <w:lang w:val="es-MX"/>
        </w:rPr>
        <w:t>i</w:t>
      </w:r>
      <w:r w:rsidRPr="007F1B01">
        <w:rPr>
          <w:rFonts w:ascii="Verdana" w:eastAsia="Verdana" w:hAnsi="Verdana" w:cs="Verdana"/>
          <w:spacing w:val="1"/>
          <w:sz w:val="20"/>
          <w:szCs w:val="20"/>
          <w:lang w:val="es-MX"/>
        </w:rPr>
        <w:t>ó</w:t>
      </w:r>
      <w:r w:rsidRPr="007F1B01">
        <w:rPr>
          <w:rFonts w:ascii="Verdana" w:eastAsia="Verdana" w:hAnsi="Verdana" w:cs="Verdana"/>
          <w:sz w:val="20"/>
          <w:szCs w:val="20"/>
          <w:lang w:val="es-MX"/>
        </w:rPr>
        <w:t>n apr</w:t>
      </w:r>
      <w:r w:rsidRPr="007F1B01">
        <w:rPr>
          <w:rFonts w:ascii="Verdana" w:eastAsia="Verdana" w:hAnsi="Verdana" w:cs="Verdana"/>
          <w:spacing w:val="-1"/>
          <w:sz w:val="20"/>
          <w:szCs w:val="20"/>
          <w:lang w:val="es-MX"/>
        </w:rPr>
        <w:t>o</w:t>
      </w:r>
      <w:r w:rsidRPr="007F1B01">
        <w:rPr>
          <w:rFonts w:ascii="Verdana" w:eastAsia="Verdana" w:hAnsi="Verdana" w:cs="Verdana"/>
          <w:spacing w:val="-2"/>
          <w:sz w:val="20"/>
          <w:szCs w:val="20"/>
          <w:lang w:val="es-MX"/>
        </w:rPr>
        <w:t>b</w:t>
      </w:r>
      <w:r w:rsidRPr="007F1B01">
        <w:rPr>
          <w:rFonts w:ascii="Verdana" w:eastAsia="Verdana" w:hAnsi="Verdana" w:cs="Verdana"/>
          <w:sz w:val="20"/>
          <w:szCs w:val="20"/>
          <w:lang w:val="es-MX"/>
        </w:rPr>
        <w:t>ó</w:t>
      </w:r>
      <w:r>
        <w:rPr>
          <w:rFonts w:ascii="Verdana" w:eastAsia="Verdana" w:hAnsi="Verdana" w:cs="Verdana"/>
          <w:sz w:val="20"/>
          <w:szCs w:val="20"/>
          <w:lang w:val="es-MX"/>
        </w:rPr>
        <w:t>, respectivamente,</w:t>
      </w:r>
      <w:r w:rsidRPr="007F1B01">
        <w:rPr>
          <w:rFonts w:ascii="Verdana" w:eastAsia="Verdana" w:hAnsi="Verdana" w:cs="Verdana"/>
          <w:sz w:val="20"/>
          <w:szCs w:val="20"/>
          <w:lang w:val="es-MX"/>
        </w:rPr>
        <w:t xml:space="preserve"> </w:t>
      </w:r>
      <w:r w:rsidRPr="007F1B01">
        <w:rPr>
          <w:rFonts w:ascii="Verdana" w:eastAsia="Verdana" w:hAnsi="Verdana" w:cs="Verdana"/>
          <w:spacing w:val="-2"/>
          <w:sz w:val="20"/>
          <w:szCs w:val="20"/>
          <w:lang w:val="es-MX"/>
        </w:rPr>
        <w:t>e</w:t>
      </w:r>
      <w:r w:rsidRPr="007F1B01">
        <w:rPr>
          <w:rFonts w:ascii="Verdana" w:eastAsia="Verdana" w:hAnsi="Verdana" w:cs="Verdana"/>
          <w:sz w:val="20"/>
          <w:szCs w:val="20"/>
          <w:lang w:val="es-MX"/>
        </w:rPr>
        <w:t xml:space="preserve">l </w:t>
      </w:r>
      <w:r w:rsidRPr="007F1B01">
        <w:rPr>
          <w:rFonts w:ascii="Verdana" w:eastAsia="Verdana" w:hAnsi="Verdana" w:cs="Verdana"/>
          <w:spacing w:val="-1"/>
          <w:sz w:val="20"/>
          <w:szCs w:val="20"/>
          <w:lang w:val="es-MX"/>
        </w:rPr>
        <w:t>Inf</w:t>
      </w:r>
      <w:r w:rsidRPr="007F1B01">
        <w:rPr>
          <w:rFonts w:ascii="Verdana" w:eastAsia="Verdana" w:hAnsi="Verdana" w:cs="Verdana"/>
          <w:spacing w:val="1"/>
          <w:sz w:val="20"/>
          <w:szCs w:val="20"/>
          <w:lang w:val="es-MX"/>
        </w:rPr>
        <w:t>o</w:t>
      </w:r>
      <w:r w:rsidRPr="007F1B01">
        <w:rPr>
          <w:rFonts w:ascii="Verdana" w:eastAsia="Verdana" w:hAnsi="Verdana" w:cs="Verdana"/>
          <w:sz w:val="20"/>
          <w:szCs w:val="20"/>
          <w:lang w:val="es-MX"/>
        </w:rPr>
        <w:t xml:space="preserve">rme </w:t>
      </w:r>
      <w:r w:rsidRPr="007F1B01">
        <w:rPr>
          <w:rFonts w:ascii="Verdana" w:eastAsia="Verdana" w:hAnsi="Verdana" w:cs="Verdana"/>
          <w:spacing w:val="1"/>
          <w:sz w:val="20"/>
          <w:szCs w:val="20"/>
          <w:lang w:val="es-MX"/>
        </w:rPr>
        <w:t>d</w:t>
      </w:r>
      <w:r w:rsidRPr="007F1B01">
        <w:rPr>
          <w:rFonts w:ascii="Verdana" w:eastAsia="Verdana" w:hAnsi="Verdana" w:cs="Verdana"/>
          <w:sz w:val="20"/>
          <w:szCs w:val="20"/>
          <w:lang w:val="es-MX"/>
        </w:rPr>
        <w:t xml:space="preserve">e </w:t>
      </w:r>
      <w:r w:rsidRPr="007F1B01">
        <w:rPr>
          <w:rFonts w:ascii="Verdana" w:eastAsia="Verdana" w:hAnsi="Verdana" w:cs="Verdana"/>
          <w:spacing w:val="-1"/>
          <w:position w:val="-1"/>
          <w:sz w:val="20"/>
          <w:szCs w:val="20"/>
          <w:lang w:val="es-MX"/>
        </w:rPr>
        <w:t>A</w:t>
      </w:r>
      <w:r w:rsidRPr="007F1B01">
        <w:rPr>
          <w:rFonts w:ascii="Verdana" w:eastAsia="Verdana" w:hAnsi="Verdana" w:cs="Verdana"/>
          <w:spacing w:val="1"/>
          <w:position w:val="-1"/>
          <w:sz w:val="20"/>
          <w:szCs w:val="20"/>
          <w:lang w:val="es-MX"/>
        </w:rPr>
        <w:t>d</w:t>
      </w:r>
      <w:r w:rsidRPr="007F1B01">
        <w:rPr>
          <w:rFonts w:ascii="Verdana" w:eastAsia="Verdana" w:hAnsi="Verdana" w:cs="Verdana"/>
          <w:position w:val="-1"/>
          <w:sz w:val="20"/>
          <w:szCs w:val="20"/>
          <w:lang w:val="es-MX"/>
        </w:rPr>
        <w:t>m</w:t>
      </w:r>
      <w:r w:rsidRPr="007F1B01">
        <w:rPr>
          <w:rFonts w:ascii="Verdana" w:eastAsia="Verdana" w:hAnsi="Verdana" w:cs="Verdana"/>
          <w:spacing w:val="1"/>
          <w:position w:val="-1"/>
          <w:sz w:val="20"/>
          <w:szCs w:val="20"/>
          <w:lang w:val="es-MX"/>
        </w:rPr>
        <w:t>i</w:t>
      </w:r>
      <w:r w:rsidRPr="007F1B01">
        <w:rPr>
          <w:rFonts w:ascii="Verdana" w:eastAsia="Verdana" w:hAnsi="Verdana" w:cs="Verdana"/>
          <w:position w:val="-1"/>
          <w:sz w:val="20"/>
          <w:szCs w:val="20"/>
          <w:lang w:val="es-MX"/>
        </w:rPr>
        <w:t>s</w:t>
      </w:r>
      <w:r w:rsidRPr="007F1B01">
        <w:rPr>
          <w:rFonts w:ascii="Verdana" w:eastAsia="Verdana" w:hAnsi="Verdana" w:cs="Verdana"/>
          <w:spacing w:val="1"/>
          <w:position w:val="-1"/>
          <w:sz w:val="20"/>
          <w:szCs w:val="20"/>
          <w:lang w:val="es-MX"/>
        </w:rPr>
        <w:t>ib</w:t>
      </w:r>
      <w:r w:rsidRPr="007F1B01">
        <w:rPr>
          <w:rFonts w:ascii="Verdana" w:eastAsia="Verdana" w:hAnsi="Verdana" w:cs="Verdana"/>
          <w:spacing w:val="-1"/>
          <w:position w:val="-1"/>
          <w:sz w:val="20"/>
          <w:szCs w:val="20"/>
          <w:lang w:val="es-MX"/>
        </w:rPr>
        <w:t>i</w:t>
      </w:r>
      <w:r w:rsidRPr="007F1B01">
        <w:rPr>
          <w:rFonts w:ascii="Verdana" w:eastAsia="Verdana" w:hAnsi="Verdana" w:cs="Verdana"/>
          <w:spacing w:val="1"/>
          <w:position w:val="-1"/>
          <w:sz w:val="20"/>
          <w:szCs w:val="20"/>
          <w:lang w:val="es-MX"/>
        </w:rPr>
        <w:t>l</w:t>
      </w:r>
      <w:r w:rsidRPr="007F1B01">
        <w:rPr>
          <w:rFonts w:ascii="Verdana" w:eastAsia="Verdana" w:hAnsi="Verdana" w:cs="Verdana"/>
          <w:spacing w:val="-1"/>
          <w:position w:val="-1"/>
          <w:sz w:val="20"/>
          <w:szCs w:val="20"/>
          <w:lang w:val="es-MX"/>
        </w:rPr>
        <w:t>i</w:t>
      </w:r>
      <w:r w:rsidRPr="007F1B01">
        <w:rPr>
          <w:rFonts w:ascii="Verdana" w:eastAsia="Verdana" w:hAnsi="Verdana" w:cs="Verdana"/>
          <w:spacing w:val="1"/>
          <w:position w:val="-1"/>
          <w:sz w:val="20"/>
          <w:szCs w:val="20"/>
          <w:lang w:val="es-MX"/>
        </w:rPr>
        <w:t>d</w:t>
      </w:r>
      <w:r w:rsidRPr="007F1B01">
        <w:rPr>
          <w:rFonts w:ascii="Verdana" w:eastAsia="Verdana" w:hAnsi="Verdana" w:cs="Verdana"/>
          <w:position w:val="-1"/>
          <w:sz w:val="20"/>
          <w:szCs w:val="20"/>
          <w:lang w:val="es-MX"/>
        </w:rPr>
        <w:t>ad</w:t>
      </w:r>
      <w:r w:rsidRPr="007F1B01">
        <w:rPr>
          <w:rFonts w:ascii="Verdana" w:eastAsia="Verdana" w:hAnsi="Verdana" w:cs="Verdana"/>
          <w:spacing w:val="-3"/>
          <w:position w:val="-1"/>
          <w:sz w:val="20"/>
          <w:szCs w:val="20"/>
          <w:lang w:val="es-MX"/>
        </w:rPr>
        <w:t xml:space="preserve"> </w:t>
      </w:r>
      <w:r w:rsidRPr="007F1B01">
        <w:rPr>
          <w:rFonts w:ascii="Verdana" w:eastAsia="Verdana" w:hAnsi="Verdana" w:cs="Verdana"/>
          <w:spacing w:val="-1"/>
          <w:position w:val="-1"/>
          <w:sz w:val="20"/>
          <w:szCs w:val="20"/>
          <w:lang w:val="es-MX"/>
        </w:rPr>
        <w:t>N</w:t>
      </w:r>
      <w:r w:rsidRPr="007F1B01">
        <w:rPr>
          <w:rFonts w:ascii="Verdana" w:eastAsia="Verdana" w:hAnsi="Verdana" w:cs="Verdana"/>
          <w:spacing w:val="1"/>
          <w:position w:val="-1"/>
          <w:sz w:val="20"/>
          <w:szCs w:val="20"/>
          <w:lang w:val="es-MX"/>
        </w:rPr>
        <w:t>o</w:t>
      </w:r>
      <w:r w:rsidRPr="007F1B01">
        <w:rPr>
          <w:rFonts w:ascii="Verdana" w:eastAsia="Verdana" w:hAnsi="Verdana" w:cs="Verdana"/>
          <w:position w:val="-1"/>
          <w:sz w:val="20"/>
          <w:szCs w:val="20"/>
          <w:lang w:val="es-MX"/>
        </w:rPr>
        <w:t>.</w:t>
      </w:r>
      <w:r w:rsidRPr="007F1B01">
        <w:rPr>
          <w:rFonts w:ascii="Verdana" w:eastAsia="Verdana" w:hAnsi="Verdana" w:cs="Verdana"/>
          <w:spacing w:val="-4"/>
          <w:position w:val="-1"/>
          <w:sz w:val="20"/>
          <w:szCs w:val="20"/>
          <w:lang w:val="es-MX"/>
        </w:rPr>
        <w:t xml:space="preserve"> 154</w:t>
      </w:r>
      <w:r w:rsidRPr="007F1B01">
        <w:rPr>
          <w:rFonts w:ascii="Verdana" w:eastAsia="Verdana" w:hAnsi="Verdana" w:cs="Verdana"/>
          <w:position w:val="-1"/>
          <w:sz w:val="20"/>
          <w:szCs w:val="20"/>
          <w:lang w:val="es-MX"/>
        </w:rPr>
        <w:t>/11</w:t>
      </w:r>
      <w:r>
        <w:rPr>
          <w:rFonts w:ascii="Verdana" w:eastAsia="Verdana" w:hAnsi="Verdana" w:cs="Verdana"/>
          <w:b/>
          <w:spacing w:val="-1"/>
          <w:sz w:val="20"/>
          <w:szCs w:val="20"/>
          <w:lang w:val="es-MX"/>
        </w:rPr>
        <w:t xml:space="preserve"> </w:t>
      </w:r>
      <w:r>
        <w:rPr>
          <w:rFonts w:ascii="Verdana" w:eastAsia="Verdana" w:hAnsi="Verdana" w:cs="Verdana"/>
          <w:spacing w:val="1"/>
          <w:sz w:val="20"/>
          <w:szCs w:val="20"/>
          <w:lang w:val="es-MX"/>
        </w:rPr>
        <w:t>y</w:t>
      </w:r>
      <w:r w:rsidRPr="007F1B01">
        <w:rPr>
          <w:rFonts w:ascii="Verdana" w:eastAsia="Verdana" w:hAnsi="Verdana" w:cs="Verdana"/>
          <w:spacing w:val="1"/>
          <w:sz w:val="20"/>
          <w:szCs w:val="20"/>
          <w:lang w:val="es-MX"/>
        </w:rPr>
        <w:t xml:space="preserve"> el Informe de Fondo No. 40/17 (en adelante</w:t>
      </w:r>
      <w:r w:rsidR="00897585">
        <w:rPr>
          <w:rFonts w:ascii="Verdana" w:eastAsia="Verdana" w:hAnsi="Verdana" w:cs="Verdana"/>
          <w:spacing w:val="1"/>
          <w:sz w:val="20"/>
          <w:szCs w:val="20"/>
          <w:lang w:val="es-MX"/>
        </w:rPr>
        <w:t xml:space="preserve"> “Informe de Fondo”). E</w:t>
      </w:r>
      <w:r>
        <w:rPr>
          <w:rFonts w:ascii="Verdana" w:eastAsia="Verdana" w:hAnsi="Verdana" w:cs="Verdana"/>
          <w:spacing w:val="1"/>
          <w:sz w:val="20"/>
          <w:szCs w:val="20"/>
          <w:lang w:val="es-MX"/>
        </w:rPr>
        <w:t xml:space="preserve">n este llegó a </w:t>
      </w:r>
      <w:r w:rsidRPr="007F1B01">
        <w:rPr>
          <w:rFonts w:ascii="Verdana" w:eastAsia="Verdana" w:hAnsi="Verdana" w:cs="Verdana"/>
          <w:spacing w:val="1"/>
          <w:sz w:val="20"/>
          <w:szCs w:val="20"/>
          <w:lang w:val="es-MX"/>
        </w:rPr>
        <w:t>conclusiones</w:t>
      </w:r>
      <w:r w:rsidRPr="00F11542">
        <w:rPr>
          <w:rStyle w:val="Refdenotaalpie"/>
          <w:rFonts w:ascii="Verdana" w:eastAsia="Verdana" w:hAnsi="Verdana" w:cs="Verdana"/>
          <w:spacing w:val="1"/>
          <w:lang w:val="es-MX"/>
        </w:rPr>
        <w:footnoteReference w:id="3"/>
      </w:r>
      <w:r w:rsidRPr="007F1B01">
        <w:rPr>
          <w:rFonts w:ascii="Verdana" w:eastAsia="Verdana" w:hAnsi="Verdana" w:cs="Verdana"/>
          <w:spacing w:val="1"/>
          <w:sz w:val="20"/>
          <w:szCs w:val="20"/>
          <w:lang w:val="es-MX"/>
        </w:rPr>
        <w:t xml:space="preserve"> y formuló recomendaciones al Estado. </w:t>
      </w:r>
    </w:p>
    <w:p w14:paraId="6570729C" w14:textId="77777777" w:rsidR="005E2829" w:rsidRPr="007F1B01" w:rsidRDefault="005E2829" w:rsidP="00414DEF">
      <w:pPr>
        <w:pStyle w:val="Prrafodelista"/>
        <w:widowControl/>
        <w:numPr>
          <w:ilvl w:val="0"/>
          <w:numId w:val="7"/>
        </w:numPr>
        <w:spacing w:after="160" w:line="240" w:lineRule="auto"/>
        <w:ind w:left="709" w:firstLine="0"/>
        <w:jc w:val="both"/>
        <w:rPr>
          <w:rFonts w:ascii="Verdana" w:eastAsia="Verdana" w:hAnsi="Verdana" w:cs="Verdana"/>
          <w:b/>
          <w:spacing w:val="-1"/>
          <w:sz w:val="16"/>
          <w:szCs w:val="16"/>
          <w:lang w:val="es-MX"/>
        </w:rPr>
      </w:pPr>
      <w:r w:rsidRPr="007F1B01">
        <w:rPr>
          <w:rFonts w:ascii="Verdana" w:eastAsia="Verdana" w:hAnsi="Verdana" w:cs="Verdana"/>
          <w:i/>
          <w:spacing w:val="1"/>
          <w:sz w:val="20"/>
          <w:szCs w:val="20"/>
          <w:lang w:val="es-MX"/>
        </w:rPr>
        <w:t>Notificación al Estado.</w:t>
      </w:r>
      <w:r w:rsidRPr="007F1B01">
        <w:rPr>
          <w:rFonts w:ascii="Verdana" w:eastAsia="Verdana" w:hAnsi="Verdana" w:cs="Verdana"/>
          <w:spacing w:val="1"/>
          <w:sz w:val="20"/>
          <w:szCs w:val="20"/>
          <w:lang w:val="es-MX"/>
        </w:rPr>
        <w:t xml:space="preserve"> – La Comisión notificó al Estado el Informe No. 40/17 mediante </w:t>
      </w:r>
      <w:r>
        <w:rPr>
          <w:rFonts w:ascii="Verdana" w:eastAsia="Verdana" w:hAnsi="Verdana" w:cs="Verdana"/>
          <w:spacing w:val="1"/>
          <w:sz w:val="20"/>
          <w:szCs w:val="20"/>
          <w:lang w:val="es-MX"/>
        </w:rPr>
        <w:t xml:space="preserve">una </w:t>
      </w:r>
      <w:r w:rsidRPr="007F1B01">
        <w:rPr>
          <w:rFonts w:ascii="Verdana" w:eastAsia="Verdana" w:hAnsi="Verdana" w:cs="Verdana"/>
          <w:spacing w:val="1"/>
          <w:sz w:val="20"/>
          <w:szCs w:val="20"/>
          <w:lang w:val="es-MX"/>
        </w:rPr>
        <w:t>comunicación de 29 de junio de 2017,</w:t>
      </w:r>
      <w:r>
        <w:rPr>
          <w:rFonts w:ascii="Verdana" w:eastAsia="Verdana" w:hAnsi="Verdana" w:cs="Verdana"/>
          <w:spacing w:val="1"/>
          <w:sz w:val="20"/>
          <w:szCs w:val="20"/>
          <w:lang w:val="es-MX"/>
        </w:rPr>
        <w:t xml:space="preserve"> </w:t>
      </w:r>
      <w:r w:rsidRPr="007F1B01">
        <w:rPr>
          <w:rFonts w:ascii="Verdana" w:eastAsia="Verdana" w:hAnsi="Verdana" w:cs="Verdana"/>
          <w:spacing w:val="1"/>
          <w:sz w:val="20"/>
          <w:szCs w:val="20"/>
          <w:lang w:val="es-MX"/>
        </w:rPr>
        <w:t>otorgándole un plazo de dos meses para informar sobre el cumplimiento de las recomendaciones.</w:t>
      </w:r>
    </w:p>
    <w:p w14:paraId="25E9A5B6" w14:textId="77777777" w:rsidR="005E2829" w:rsidRPr="00E91AF1" w:rsidRDefault="005E2829" w:rsidP="00414DEF">
      <w:pPr>
        <w:pStyle w:val="Prrafodelista"/>
        <w:widowControl/>
        <w:numPr>
          <w:ilvl w:val="0"/>
          <w:numId w:val="7"/>
        </w:numPr>
        <w:spacing w:after="160" w:line="240" w:lineRule="auto"/>
        <w:ind w:left="709" w:firstLine="0"/>
        <w:jc w:val="both"/>
        <w:rPr>
          <w:rFonts w:ascii="Verdana" w:eastAsia="Verdana" w:hAnsi="Verdana" w:cs="Verdana"/>
          <w:b/>
          <w:spacing w:val="-1"/>
          <w:sz w:val="20"/>
          <w:szCs w:val="20"/>
          <w:lang w:val="es-MX"/>
        </w:rPr>
      </w:pPr>
      <w:r w:rsidRPr="00F11542">
        <w:rPr>
          <w:rFonts w:ascii="Verdana" w:eastAsia="Verdana" w:hAnsi="Verdana" w:cs="Verdana"/>
          <w:i/>
          <w:spacing w:val="1"/>
          <w:sz w:val="20"/>
          <w:szCs w:val="20"/>
          <w:lang w:val="es-MX"/>
        </w:rPr>
        <w:t>I</w:t>
      </w:r>
      <w:r w:rsidRPr="00F11542">
        <w:rPr>
          <w:rFonts w:ascii="Verdana" w:eastAsia="Verdana" w:hAnsi="Verdana" w:cs="Verdana"/>
          <w:i/>
          <w:spacing w:val="-1"/>
          <w:sz w:val="20"/>
          <w:szCs w:val="20"/>
          <w:lang w:val="es-MX"/>
        </w:rPr>
        <w:t>nf</w:t>
      </w:r>
      <w:r w:rsidRPr="00F11542">
        <w:rPr>
          <w:rFonts w:ascii="Verdana" w:eastAsia="Verdana" w:hAnsi="Verdana" w:cs="Verdana"/>
          <w:i/>
          <w:spacing w:val="1"/>
          <w:sz w:val="20"/>
          <w:szCs w:val="20"/>
          <w:lang w:val="es-MX"/>
        </w:rPr>
        <w:t>o</w:t>
      </w:r>
      <w:r w:rsidRPr="00F11542">
        <w:rPr>
          <w:rFonts w:ascii="Verdana" w:eastAsia="Verdana" w:hAnsi="Verdana" w:cs="Verdana"/>
          <w:i/>
          <w:sz w:val="20"/>
          <w:szCs w:val="20"/>
          <w:lang w:val="es-MX"/>
        </w:rPr>
        <w:t>rm</w:t>
      </w:r>
      <w:r w:rsidRPr="00F11542">
        <w:rPr>
          <w:rFonts w:ascii="Verdana" w:eastAsia="Verdana" w:hAnsi="Verdana" w:cs="Verdana"/>
          <w:i/>
          <w:spacing w:val="1"/>
          <w:sz w:val="20"/>
          <w:szCs w:val="20"/>
          <w:lang w:val="es-MX"/>
        </w:rPr>
        <w:t>e</w:t>
      </w:r>
      <w:r w:rsidRPr="00F11542">
        <w:rPr>
          <w:rFonts w:ascii="Verdana" w:eastAsia="Verdana" w:hAnsi="Verdana" w:cs="Verdana"/>
          <w:i/>
          <w:sz w:val="20"/>
          <w:szCs w:val="20"/>
          <w:lang w:val="es-MX"/>
        </w:rPr>
        <w:t>s</w:t>
      </w:r>
      <w:r w:rsidRPr="00F11542">
        <w:rPr>
          <w:rFonts w:ascii="Verdana" w:eastAsia="Verdana" w:hAnsi="Verdana" w:cs="Verdana"/>
          <w:i/>
          <w:spacing w:val="-2"/>
          <w:sz w:val="20"/>
          <w:szCs w:val="20"/>
          <w:lang w:val="es-MX"/>
        </w:rPr>
        <w:t xml:space="preserve"> </w:t>
      </w:r>
      <w:r w:rsidRPr="00F11542">
        <w:rPr>
          <w:rFonts w:ascii="Verdana" w:eastAsia="Verdana" w:hAnsi="Verdana" w:cs="Verdana"/>
          <w:i/>
          <w:sz w:val="20"/>
          <w:szCs w:val="20"/>
          <w:lang w:val="es-MX"/>
        </w:rPr>
        <w:t>s</w:t>
      </w:r>
      <w:r w:rsidRPr="00F11542">
        <w:rPr>
          <w:rFonts w:ascii="Verdana" w:eastAsia="Verdana" w:hAnsi="Verdana" w:cs="Verdana"/>
          <w:i/>
          <w:spacing w:val="1"/>
          <w:sz w:val="20"/>
          <w:szCs w:val="20"/>
          <w:lang w:val="es-MX"/>
        </w:rPr>
        <w:t>ob</w:t>
      </w:r>
      <w:r w:rsidRPr="00F11542">
        <w:rPr>
          <w:rFonts w:ascii="Verdana" w:eastAsia="Verdana" w:hAnsi="Verdana" w:cs="Verdana"/>
          <w:i/>
          <w:sz w:val="20"/>
          <w:szCs w:val="20"/>
          <w:lang w:val="es-MX"/>
        </w:rPr>
        <w:t xml:space="preserve">re </w:t>
      </w:r>
      <w:r w:rsidRPr="00F11542">
        <w:rPr>
          <w:rFonts w:ascii="Verdana" w:eastAsia="Verdana" w:hAnsi="Verdana" w:cs="Verdana"/>
          <w:i/>
          <w:spacing w:val="1"/>
          <w:sz w:val="20"/>
          <w:szCs w:val="20"/>
          <w:lang w:val="es-MX"/>
        </w:rPr>
        <w:t>l</w:t>
      </w:r>
      <w:r w:rsidRPr="00F11542">
        <w:rPr>
          <w:rFonts w:ascii="Verdana" w:eastAsia="Verdana" w:hAnsi="Verdana" w:cs="Verdana"/>
          <w:i/>
          <w:sz w:val="20"/>
          <w:szCs w:val="20"/>
          <w:lang w:val="es-MX"/>
        </w:rPr>
        <w:t>as</w:t>
      </w:r>
      <w:r w:rsidRPr="00F11542">
        <w:rPr>
          <w:rFonts w:ascii="Verdana" w:eastAsia="Verdana" w:hAnsi="Verdana" w:cs="Verdana"/>
          <w:i/>
          <w:spacing w:val="4"/>
          <w:sz w:val="20"/>
          <w:szCs w:val="20"/>
          <w:lang w:val="es-MX"/>
        </w:rPr>
        <w:t xml:space="preserve"> </w:t>
      </w:r>
      <w:r w:rsidRPr="00F11542">
        <w:rPr>
          <w:rFonts w:ascii="Verdana" w:eastAsia="Verdana" w:hAnsi="Verdana" w:cs="Verdana"/>
          <w:i/>
          <w:sz w:val="20"/>
          <w:szCs w:val="20"/>
          <w:lang w:val="es-MX"/>
        </w:rPr>
        <w:t>r</w:t>
      </w:r>
      <w:r w:rsidRPr="00F11542">
        <w:rPr>
          <w:rFonts w:ascii="Verdana" w:eastAsia="Verdana" w:hAnsi="Verdana" w:cs="Verdana"/>
          <w:i/>
          <w:spacing w:val="1"/>
          <w:sz w:val="20"/>
          <w:szCs w:val="20"/>
          <w:lang w:val="es-MX"/>
        </w:rPr>
        <w:t>e</w:t>
      </w:r>
      <w:r w:rsidRPr="00F11542">
        <w:rPr>
          <w:rFonts w:ascii="Verdana" w:eastAsia="Verdana" w:hAnsi="Verdana" w:cs="Verdana"/>
          <w:i/>
          <w:sz w:val="20"/>
          <w:szCs w:val="20"/>
          <w:lang w:val="es-MX"/>
        </w:rPr>
        <w:t>c</w:t>
      </w:r>
      <w:r w:rsidRPr="00F11542">
        <w:rPr>
          <w:rFonts w:ascii="Verdana" w:eastAsia="Verdana" w:hAnsi="Verdana" w:cs="Verdana"/>
          <w:i/>
          <w:spacing w:val="1"/>
          <w:sz w:val="20"/>
          <w:szCs w:val="20"/>
          <w:lang w:val="es-MX"/>
        </w:rPr>
        <w:t>o</w:t>
      </w:r>
      <w:r w:rsidRPr="00F11542">
        <w:rPr>
          <w:rFonts w:ascii="Verdana" w:eastAsia="Verdana" w:hAnsi="Verdana" w:cs="Verdana"/>
          <w:i/>
          <w:sz w:val="20"/>
          <w:szCs w:val="20"/>
          <w:lang w:val="es-MX"/>
        </w:rPr>
        <w:t>m</w:t>
      </w:r>
      <w:r w:rsidRPr="00F11542">
        <w:rPr>
          <w:rFonts w:ascii="Verdana" w:eastAsia="Verdana" w:hAnsi="Verdana" w:cs="Verdana"/>
          <w:i/>
          <w:spacing w:val="-2"/>
          <w:sz w:val="20"/>
          <w:szCs w:val="20"/>
          <w:lang w:val="es-MX"/>
        </w:rPr>
        <w:t>e</w:t>
      </w:r>
      <w:r w:rsidRPr="00F11542">
        <w:rPr>
          <w:rFonts w:ascii="Verdana" w:eastAsia="Verdana" w:hAnsi="Verdana" w:cs="Verdana"/>
          <w:i/>
          <w:spacing w:val="-1"/>
          <w:sz w:val="20"/>
          <w:szCs w:val="20"/>
          <w:lang w:val="es-MX"/>
        </w:rPr>
        <w:t>n</w:t>
      </w:r>
      <w:r w:rsidRPr="00F11542">
        <w:rPr>
          <w:rFonts w:ascii="Verdana" w:eastAsia="Verdana" w:hAnsi="Verdana" w:cs="Verdana"/>
          <w:i/>
          <w:spacing w:val="1"/>
          <w:sz w:val="20"/>
          <w:szCs w:val="20"/>
          <w:lang w:val="es-MX"/>
        </w:rPr>
        <w:t>d</w:t>
      </w:r>
      <w:r w:rsidRPr="00F11542">
        <w:rPr>
          <w:rFonts w:ascii="Verdana" w:eastAsia="Verdana" w:hAnsi="Verdana" w:cs="Verdana"/>
          <w:i/>
          <w:sz w:val="20"/>
          <w:szCs w:val="20"/>
          <w:lang w:val="es-MX"/>
        </w:rPr>
        <w:t>ac</w:t>
      </w:r>
      <w:r w:rsidRPr="00F11542">
        <w:rPr>
          <w:rFonts w:ascii="Verdana" w:eastAsia="Verdana" w:hAnsi="Verdana" w:cs="Verdana"/>
          <w:i/>
          <w:spacing w:val="1"/>
          <w:sz w:val="20"/>
          <w:szCs w:val="20"/>
          <w:lang w:val="es-MX"/>
        </w:rPr>
        <w:t>io</w:t>
      </w:r>
      <w:r w:rsidRPr="00F11542">
        <w:rPr>
          <w:rFonts w:ascii="Verdana" w:eastAsia="Verdana" w:hAnsi="Verdana" w:cs="Verdana"/>
          <w:i/>
          <w:spacing w:val="-1"/>
          <w:sz w:val="20"/>
          <w:szCs w:val="20"/>
          <w:lang w:val="es-MX"/>
        </w:rPr>
        <w:t>n</w:t>
      </w:r>
      <w:r w:rsidRPr="00F11542">
        <w:rPr>
          <w:rFonts w:ascii="Verdana" w:eastAsia="Verdana" w:hAnsi="Verdana" w:cs="Verdana"/>
          <w:i/>
          <w:spacing w:val="1"/>
          <w:sz w:val="20"/>
          <w:szCs w:val="20"/>
          <w:lang w:val="es-MX"/>
        </w:rPr>
        <w:t>e</w:t>
      </w:r>
      <w:r w:rsidRPr="00F11542">
        <w:rPr>
          <w:rFonts w:ascii="Verdana" w:eastAsia="Verdana" w:hAnsi="Verdana" w:cs="Verdana"/>
          <w:i/>
          <w:sz w:val="20"/>
          <w:szCs w:val="20"/>
          <w:lang w:val="es-MX"/>
        </w:rPr>
        <w:t>s</w:t>
      </w:r>
      <w:r w:rsidRPr="00F11542">
        <w:rPr>
          <w:rFonts w:ascii="Verdana" w:eastAsia="Verdana" w:hAnsi="Verdana" w:cs="Verdana"/>
          <w:i/>
          <w:spacing w:val="-9"/>
          <w:sz w:val="20"/>
          <w:szCs w:val="20"/>
          <w:lang w:val="es-MX"/>
        </w:rPr>
        <w:t xml:space="preserve"> </w:t>
      </w:r>
      <w:r w:rsidRPr="00F11542">
        <w:rPr>
          <w:rFonts w:ascii="Verdana" w:eastAsia="Verdana" w:hAnsi="Verdana" w:cs="Verdana"/>
          <w:i/>
          <w:spacing w:val="1"/>
          <w:sz w:val="20"/>
          <w:szCs w:val="20"/>
          <w:lang w:val="es-MX"/>
        </w:rPr>
        <w:t>d</w:t>
      </w:r>
      <w:r w:rsidRPr="00F11542">
        <w:rPr>
          <w:rFonts w:ascii="Verdana" w:eastAsia="Verdana" w:hAnsi="Verdana" w:cs="Verdana"/>
          <w:i/>
          <w:sz w:val="20"/>
          <w:szCs w:val="20"/>
          <w:lang w:val="es-MX"/>
        </w:rPr>
        <w:t>e</w:t>
      </w:r>
      <w:r w:rsidRPr="00F11542">
        <w:rPr>
          <w:rFonts w:ascii="Verdana" w:eastAsia="Verdana" w:hAnsi="Verdana" w:cs="Verdana"/>
          <w:i/>
          <w:spacing w:val="6"/>
          <w:sz w:val="20"/>
          <w:szCs w:val="20"/>
          <w:lang w:val="es-MX"/>
        </w:rPr>
        <w:t xml:space="preserve"> </w:t>
      </w:r>
      <w:r w:rsidRPr="00F11542">
        <w:rPr>
          <w:rFonts w:ascii="Verdana" w:eastAsia="Verdana" w:hAnsi="Verdana" w:cs="Verdana"/>
          <w:i/>
          <w:spacing w:val="1"/>
          <w:sz w:val="20"/>
          <w:szCs w:val="20"/>
          <w:lang w:val="es-MX"/>
        </w:rPr>
        <w:t>l</w:t>
      </w:r>
      <w:r w:rsidRPr="00F11542">
        <w:rPr>
          <w:rFonts w:ascii="Verdana" w:eastAsia="Verdana" w:hAnsi="Verdana" w:cs="Verdana"/>
          <w:i/>
          <w:sz w:val="20"/>
          <w:szCs w:val="20"/>
          <w:lang w:val="es-MX"/>
        </w:rPr>
        <w:t>a</w:t>
      </w:r>
      <w:r w:rsidRPr="00F11542">
        <w:rPr>
          <w:rFonts w:ascii="Verdana" w:eastAsia="Verdana" w:hAnsi="Verdana" w:cs="Verdana"/>
          <w:i/>
          <w:spacing w:val="5"/>
          <w:sz w:val="20"/>
          <w:szCs w:val="20"/>
          <w:lang w:val="es-MX"/>
        </w:rPr>
        <w:t xml:space="preserve"> </w:t>
      </w:r>
      <w:r w:rsidRPr="00F11542">
        <w:rPr>
          <w:rFonts w:ascii="Verdana" w:eastAsia="Verdana" w:hAnsi="Verdana" w:cs="Verdana"/>
          <w:i/>
          <w:spacing w:val="-1"/>
          <w:sz w:val="20"/>
          <w:szCs w:val="20"/>
          <w:lang w:val="es-MX"/>
        </w:rPr>
        <w:t>C</w:t>
      </w:r>
      <w:r w:rsidRPr="00F11542">
        <w:rPr>
          <w:rFonts w:ascii="Verdana" w:eastAsia="Verdana" w:hAnsi="Verdana" w:cs="Verdana"/>
          <w:i/>
          <w:spacing w:val="1"/>
          <w:sz w:val="20"/>
          <w:szCs w:val="20"/>
          <w:lang w:val="es-MX"/>
        </w:rPr>
        <w:t>o</w:t>
      </w:r>
      <w:r w:rsidRPr="00F11542">
        <w:rPr>
          <w:rFonts w:ascii="Verdana" w:eastAsia="Verdana" w:hAnsi="Verdana" w:cs="Verdana"/>
          <w:i/>
          <w:spacing w:val="-2"/>
          <w:sz w:val="20"/>
          <w:szCs w:val="20"/>
          <w:lang w:val="es-MX"/>
        </w:rPr>
        <w:t>m</w:t>
      </w:r>
      <w:r w:rsidRPr="00F11542">
        <w:rPr>
          <w:rFonts w:ascii="Verdana" w:eastAsia="Verdana" w:hAnsi="Verdana" w:cs="Verdana"/>
          <w:i/>
          <w:spacing w:val="1"/>
          <w:sz w:val="20"/>
          <w:szCs w:val="20"/>
          <w:lang w:val="es-MX"/>
        </w:rPr>
        <w:t>i</w:t>
      </w:r>
      <w:r w:rsidRPr="00F11542">
        <w:rPr>
          <w:rFonts w:ascii="Verdana" w:eastAsia="Verdana" w:hAnsi="Verdana" w:cs="Verdana"/>
          <w:i/>
          <w:sz w:val="20"/>
          <w:szCs w:val="20"/>
          <w:lang w:val="es-MX"/>
        </w:rPr>
        <w:t>s</w:t>
      </w:r>
      <w:r w:rsidRPr="00F11542">
        <w:rPr>
          <w:rFonts w:ascii="Verdana" w:eastAsia="Verdana" w:hAnsi="Verdana" w:cs="Verdana"/>
          <w:i/>
          <w:spacing w:val="1"/>
          <w:sz w:val="20"/>
          <w:szCs w:val="20"/>
          <w:lang w:val="es-MX"/>
        </w:rPr>
        <w:t>ió</w:t>
      </w:r>
      <w:r w:rsidRPr="00F11542">
        <w:rPr>
          <w:rFonts w:ascii="Verdana" w:eastAsia="Verdana" w:hAnsi="Verdana" w:cs="Verdana"/>
          <w:i/>
          <w:spacing w:val="-1"/>
          <w:sz w:val="20"/>
          <w:szCs w:val="20"/>
          <w:lang w:val="es-MX"/>
        </w:rPr>
        <w:t>n</w:t>
      </w:r>
      <w:r w:rsidRPr="00F11542">
        <w:rPr>
          <w:rFonts w:ascii="Verdana" w:eastAsia="Verdana" w:hAnsi="Verdana" w:cs="Verdana"/>
          <w:i/>
          <w:sz w:val="20"/>
          <w:szCs w:val="20"/>
          <w:lang w:val="es-MX"/>
        </w:rPr>
        <w:t>.</w:t>
      </w:r>
      <w:r w:rsidRPr="00F11542">
        <w:rPr>
          <w:rFonts w:ascii="Verdana" w:eastAsia="Verdana" w:hAnsi="Verdana" w:cs="Verdana"/>
          <w:i/>
          <w:spacing w:val="4"/>
          <w:sz w:val="20"/>
          <w:szCs w:val="20"/>
          <w:lang w:val="es-MX"/>
        </w:rPr>
        <w:t xml:space="preserve"> </w:t>
      </w:r>
      <w:r w:rsidRPr="00F11542">
        <w:rPr>
          <w:rFonts w:ascii="Verdana" w:eastAsia="Verdana" w:hAnsi="Verdana" w:cs="Verdana"/>
          <w:i/>
          <w:sz w:val="20"/>
          <w:szCs w:val="20"/>
          <w:lang w:val="es-MX"/>
        </w:rPr>
        <w:t xml:space="preserve">– </w:t>
      </w:r>
      <w:r w:rsidRPr="008A1FA6">
        <w:rPr>
          <w:rFonts w:ascii="Verdana" w:eastAsia="Verdana" w:hAnsi="Verdana" w:cs="Verdana"/>
          <w:sz w:val="20"/>
          <w:szCs w:val="20"/>
          <w:lang w:val="es-MX"/>
        </w:rPr>
        <w:t xml:space="preserve">Por solicitudes de Ecuador, los días </w:t>
      </w:r>
      <w:r>
        <w:rPr>
          <w:rFonts w:ascii="Verdana" w:eastAsia="Verdana" w:hAnsi="Verdana" w:cs="Verdana"/>
          <w:sz w:val="20"/>
          <w:szCs w:val="20"/>
          <w:lang w:val="es-MX"/>
        </w:rPr>
        <w:t xml:space="preserve">27 de septiembre de 2017, 28 de diciembre de 2017 y 29 de enero de 2018, la Comisión otorgó prórrogas al Estado. Sin embargo, conforme expresó al someter el caso a la Corte, la Comisión consideró que “no contó con información concreta </w:t>
      </w:r>
      <w:r w:rsidRPr="00E91AF1">
        <w:rPr>
          <w:rFonts w:ascii="Verdana" w:eastAsia="Verdana" w:hAnsi="Verdana" w:cs="Verdana"/>
          <w:sz w:val="20"/>
          <w:szCs w:val="20"/>
          <w:lang w:val="es-MX"/>
        </w:rPr>
        <w:t xml:space="preserve">sobre el cumplimiento de </w:t>
      </w:r>
      <w:r>
        <w:rPr>
          <w:rFonts w:ascii="Verdana" w:eastAsia="Verdana" w:hAnsi="Verdana" w:cs="Verdana"/>
          <w:sz w:val="20"/>
          <w:szCs w:val="20"/>
          <w:lang w:val="es-MX"/>
        </w:rPr>
        <w:t>las</w:t>
      </w:r>
      <w:r w:rsidRPr="00E91AF1">
        <w:rPr>
          <w:rFonts w:ascii="Verdana" w:eastAsia="Verdana" w:hAnsi="Verdana" w:cs="Verdana"/>
          <w:sz w:val="20"/>
          <w:szCs w:val="20"/>
          <w:lang w:val="es-MX"/>
        </w:rPr>
        <w:t xml:space="preserve"> recomendaciones</w:t>
      </w:r>
      <w:r>
        <w:rPr>
          <w:rFonts w:ascii="Verdana" w:eastAsia="Verdana" w:hAnsi="Verdana" w:cs="Verdana"/>
          <w:sz w:val="20"/>
          <w:szCs w:val="20"/>
          <w:lang w:val="es-MX"/>
        </w:rPr>
        <w:t>” expresadas en el Informe de Fondo</w:t>
      </w:r>
      <w:r>
        <w:rPr>
          <w:rStyle w:val="Refdenotaalpie"/>
          <w:rFonts w:ascii="Verdana" w:eastAsia="Verdana" w:hAnsi="Verdana" w:cs="Verdana"/>
          <w:lang w:val="es-MX"/>
        </w:rPr>
        <w:footnoteReference w:id="4"/>
      </w:r>
      <w:r w:rsidRPr="00E91AF1">
        <w:rPr>
          <w:rFonts w:ascii="Verdana" w:eastAsia="Verdana" w:hAnsi="Verdana" w:cs="Verdana"/>
          <w:sz w:val="20"/>
          <w:szCs w:val="20"/>
          <w:lang w:val="es-MX"/>
        </w:rPr>
        <w:t>.</w:t>
      </w:r>
    </w:p>
    <w:p w14:paraId="0F870532" w14:textId="77777777" w:rsidR="005E2829" w:rsidRPr="00E91AF1" w:rsidRDefault="005E2829" w:rsidP="00414DEF">
      <w:pPr>
        <w:pStyle w:val="Prrafodelista"/>
        <w:widowControl/>
        <w:spacing w:after="160" w:line="240" w:lineRule="auto"/>
        <w:ind w:left="0"/>
        <w:jc w:val="both"/>
        <w:rPr>
          <w:rFonts w:ascii="Verdana" w:eastAsia="Verdana" w:hAnsi="Verdana" w:cs="Verdana"/>
          <w:b/>
          <w:spacing w:val="-1"/>
          <w:sz w:val="20"/>
          <w:szCs w:val="20"/>
          <w:lang w:val="es-MX"/>
        </w:rPr>
      </w:pPr>
    </w:p>
    <w:p w14:paraId="49DF0CFB" w14:textId="155F5BFA" w:rsidR="005E2829" w:rsidRDefault="005E2829" w:rsidP="00414DEF">
      <w:pPr>
        <w:pStyle w:val="Prrafodelista"/>
        <w:widowControl/>
        <w:numPr>
          <w:ilvl w:val="0"/>
          <w:numId w:val="26"/>
        </w:numPr>
        <w:spacing w:after="160" w:line="240" w:lineRule="auto"/>
        <w:ind w:left="0" w:firstLine="0"/>
        <w:jc w:val="both"/>
        <w:rPr>
          <w:rFonts w:ascii="Verdana" w:eastAsia="Verdana" w:hAnsi="Verdana" w:cs="Verdana"/>
          <w:b/>
          <w:spacing w:val="-1"/>
          <w:sz w:val="20"/>
          <w:szCs w:val="20"/>
          <w:lang w:val="es-MX"/>
        </w:rPr>
      </w:pPr>
      <w:r w:rsidRPr="008941C6">
        <w:rPr>
          <w:rFonts w:ascii="Verdana" w:eastAsia="Verdana" w:hAnsi="Verdana" w:cs="Verdana"/>
          <w:i/>
          <w:sz w:val="20"/>
          <w:szCs w:val="20"/>
          <w:lang w:val="es-MX"/>
        </w:rPr>
        <w:t>Sol</w:t>
      </w:r>
      <w:r w:rsidRPr="008941C6">
        <w:rPr>
          <w:rFonts w:ascii="Verdana" w:eastAsia="Verdana" w:hAnsi="Verdana" w:cs="Verdana"/>
          <w:i/>
          <w:spacing w:val="1"/>
          <w:sz w:val="20"/>
          <w:szCs w:val="20"/>
          <w:lang w:val="es-MX"/>
        </w:rPr>
        <w:t>i</w:t>
      </w:r>
      <w:r w:rsidRPr="008941C6">
        <w:rPr>
          <w:rFonts w:ascii="Verdana" w:eastAsia="Verdana" w:hAnsi="Verdana" w:cs="Verdana"/>
          <w:i/>
          <w:sz w:val="20"/>
          <w:szCs w:val="20"/>
          <w:lang w:val="es-MX"/>
        </w:rPr>
        <w:t>ci</w:t>
      </w:r>
      <w:r w:rsidRPr="008941C6">
        <w:rPr>
          <w:rFonts w:ascii="Verdana" w:eastAsia="Verdana" w:hAnsi="Verdana" w:cs="Verdana"/>
          <w:i/>
          <w:spacing w:val="1"/>
          <w:sz w:val="20"/>
          <w:szCs w:val="20"/>
          <w:lang w:val="es-MX"/>
        </w:rPr>
        <w:t>tud</w:t>
      </w:r>
      <w:r w:rsidRPr="008941C6">
        <w:rPr>
          <w:rFonts w:ascii="Verdana" w:eastAsia="Verdana" w:hAnsi="Verdana" w:cs="Verdana"/>
          <w:i/>
          <w:spacing w:val="-1"/>
          <w:sz w:val="20"/>
          <w:szCs w:val="20"/>
          <w:lang w:val="es-MX"/>
        </w:rPr>
        <w:t>e</w:t>
      </w:r>
      <w:r w:rsidRPr="008941C6">
        <w:rPr>
          <w:rFonts w:ascii="Verdana" w:eastAsia="Verdana" w:hAnsi="Verdana" w:cs="Verdana"/>
          <w:i/>
          <w:sz w:val="20"/>
          <w:szCs w:val="20"/>
          <w:lang w:val="es-MX"/>
        </w:rPr>
        <w:t>s</w:t>
      </w:r>
      <w:r w:rsidRPr="008941C6">
        <w:rPr>
          <w:rFonts w:ascii="Verdana" w:eastAsia="Verdana" w:hAnsi="Verdana" w:cs="Verdana"/>
          <w:i/>
          <w:spacing w:val="-8"/>
          <w:sz w:val="20"/>
          <w:szCs w:val="20"/>
          <w:lang w:val="es-MX"/>
        </w:rPr>
        <w:t xml:space="preserve"> </w:t>
      </w:r>
      <w:r w:rsidRPr="008941C6">
        <w:rPr>
          <w:rFonts w:ascii="Verdana" w:eastAsia="Verdana" w:hAnsi="Verdana" w:cs="Verdana"/>
          <w:i/>
          <w:spacing w:val="1"/>
          <w:sz w:val="20"/>
          <w:szCs w:val="20"/>
          <w:lang w:val="es-MX"/>
        </w:rPr>
        <w:t>d</w:t>
      </w:r>
      <w:r w:rsidRPr="008941C6">
        <w:rPr>
          <w:rFonts w:ascii="Verdana" w:eastAsia="Verdana" w:hAnsi="Verdana" w:cs="Verdana"/>
          <w:i/>
          <w:sz w:val="20"/>
          <w:szCs w:val="20"/>
          <w:lang w:val="es-MX"/>
        </w:rPr>
        <w:t>e</w:t>
      </w:r>
      <w:r w:rsidRPr="008941C6">
        <w:rPr>
          <w:rFonts w:ascii="Verdana" w:eastAsia="Verdana" w:hAnsi="Verdana" w:cs="Verdana"/>
          <w:i/>
          <w:spacing w:val="1"/>
          <w:sz w:val="20"/>
          <w:szCs w:val="20"/>
          <w:lang w:val="es-MX"/>
        </w:rPr>
        <w:t xml:space="preserve"> </w:t>
      </w:r>
      <w:r w:rsidRPr="008941C6">
        <w:rPr>
          <w:rFonts w:ascii="Verdana" w:eastAsia="Verdana" w:hAnsi="Verdana" w:cs="Verdana"/>
          <w:i/>
          <w:sz w:val="20"/>
          <w:szCs w:val="20"/>
          <w:lang w:val="es-MX"/>
        </w:rPr>
        <w:t>la</w:t>
      </w:r>
      <w:r w:rsidRPr="008941C6">
        <w:rPr>
          <w:rFonts w:ascii="Verdana" w:eastAsia="Verdana" w:hAnsi="Verdana" w:cs="Verdana"/>
          <w:i/>
          <w:spacing w:val="2"/>
          <w:sz w:val="20"/>
          <w:szCs w:val="20"/>
          <w:lang w:val="es-MX"/>
        </w:rPr>
        <w:t xml:space="preserve"> </w:t>
      </w:r>
      <w:r w:rsidRPr="008941C6">
        <w:rPr>
          <w:rFonts w:ascii="Verdana" w:eastAsia="Verdana" w:hAnsi="Verdana" w:cs="Verdana"/>
          <w:i/>
          <w:sz w:val="20"/>
          <w:szCs w:val="20"/>
          <w:lang w:val="es-MX"/>
        </w:rPr>
        <w:t>C</w:t>
      </w:r>
      <w:r w:rsidRPr="008941C6">
        <w:rPr>
          <w:rFonts w:ascii="Verdana" w:eastAsia="Verdana" w:hAnsi="Verdana" w:cs="Verdana"/>
          <w:i/>
          <w:spacing w:val="1"/>
          <w:sz w:val="20"/>
          <w:szCs w:val="20"/>
          <w:lang w:val="es-MX"/>
        </w:rPr>
        <w:t>o</w:t>
      </w:r>
      <w:r w:rsidRPr="008941C6">
        <w:rPr>
          <w:rFonts w:ascii="Verdana" w:eastAsia="Verdana" w:hAnsi="Verdana" w:cs="Verdana"/>
          <w:i/>
          <w:sz w:val="20"/>
          <w:szCs w:val="20"/>
          <w:lang w:val="es-MX"/>
        </w:rPr>
        <w:t>m</w:t>
      </w:r>
      <w:r w:rsidRPr="008941C6">
        <w:rPr>
          <w:rFonts w:ascii="Verdana" w:eastAsia="Verdana" w:hAnsi="Verdana" w:cs="Verdana"/>
          <w:i/>
          <w:spacing w:val="1"/>
          <w:sz w:val="20"/>
          <w:szCs w:val="20"/>
          <w:lang w:val="es-MX"/>
        </w:rPr>
        <w:t>i</w:t>
      </w:r>
      <w:r w:rsidRPr="008941C6">
        <w:rPr>
          <w:rFonts w:ascii="Verdana" w:eastAsia="Verdana" w:hAnsi="Verdana" w:cs="Verdana"/>
          <w:i/>
          <w:sz w:val="20"/>
          <w:szCs w:val="20"/>
          <w:lang w:val="es-MX"/>
        </w:rPr>
        <w:t>s</w:t>
      </w:r>
      <w:r w:rsidRPr="008941C6">
        <w:rPr>
          <w:rFonts w:ascii="Verdana" w:eastAsia="Verdana" w:hAnsi="Verdana" w:cs="Verdana"/>
          <w:i/>
          <w:spacing w:val="2"/>
          <w:sz w:val="20"/>
          <w:szCs w:val="20"/>
          <w:lang w:val="es-MX"/>
        </w:rPr>
        <w:t>i</w:t>
      </w:r>
      <w:r w:rsidRPr="008941C6">
        <w:rPr>
          <w:rFonts w:ascii="Verdana" w:eastAsia="Verdana" w:hAnsi="Verdana" w:cs="Verdana"/>
          <w:i/>
          <w:spacing w:val="-1"/>
          <w:sz w:val="20"/>
          <w:szCs w:val="20"/>
          <w:lang w:val="es-MX"/>
        </w:rPr>
        <w:t>ó</w:t>
      </w:r>
      <w:r w:rsidRPr="008941C6">
        <w:rPr>
          <w:rFonts w:ascii="Verdana" w:eastAsia="Verdana" w:hAnsi="Verdana" w:cs="Verdana"/>
          <w:i/>
          <w:sz w:val="20"/>
          <w:szCs w:val="20"/>
          <w:lang w:val="es-MX"/>
        </w:rPr>
        <w:t>n.</w:t>
      </w:r>
      <w:r w:rsidRPr="008941C6">
        <w:rPr>
          <w:rFonts w:ascii="Verdana" w:eastAsia="Verdana" w:hAnsi="Verdana" w:cs="Verdana"/>
          <w:i/>
          <w:spacing w:val="-8"/>
          <w:sz w:val="20"/>
          <w:szCs w:val="20"/>
          <w:lang w:val="es-MX"/>
        </w:rPr>
        <w:t xml:space="preserve"> </w:t>
      </w:r>
      <w:r w:rsidRPr="008941C6">
        <w:rPr>
          <w:rFonts w:ascii="Verdana" w:eastAsia="Verdana" w:hAnsi="Verdana" w:cs="Verdana"/>
          <w:i/>
          <w:sz w:val="20"/>
          <w:szCs w:val="20"/>
          <w:lang w:val="es-MX"/>
        </w:rPr>
        <w:t>–</w:t>
      </w:r>
      <w:r w:rsidR="00A16EB4">
        <w:rPr>
          <w:rFonts w:ascii="Verdana" w:eastAsia="Verdana" w:hAnsi="Verdana" w:cs="Verdana"/>
          <w:i/>
          <w:sz w:val="20"/>
          <w:szCs w:val="20"/>
          <w:lang w:val="es-MX"/>
        </w:rPr>
        <w:t xml:space="preserve"> </w:t>
      </w:r>
      <w:r>
        <w:rPr>
          <w:rFonts w:ascii="Verdana" w:eastAsia="Verdana" w:hAnsi="Verdana" w:cs="Verdana"/>
          <w:spacing w:val="3"/>
          <w:sz w:val="20"/>
          <w:szCs w:val="20"/>
          <w:lang w:val="es-MX"/>
        </w:rPr>
        <w:t>L</w:t>
      </w:r>
      <w:r w:rsidRPr="008941C6">
        <w:rPr>
          <w:rFonts w:ascii="Verdana" w:eastAsia="Verdana" w:hAnsi="Verdana" w:cs="Verdana"/>
          <w:sz w:val="20"/>
          <w:szCs w:val="20"/>
          <w:lang w:val="es-MX"/>
        </w:rPr>
        <w:t>a</w:t>
      </w:r>
      <w:r w:rsidRPr="008941C6">
        <w:rPr>
          <w:rFonts w:ascii="Verdana" w:eastAsia="Verdana" w:hAnsi="Verdana" w:cs="Verdana"/>
          <w:spacing w:val="2"/>
          <w:sz w:val="20"/>
          <w:szCs w:val="20"/>
          <w:lang w:val="es-MX"/>
        </w:rPr>
        <w:t xml:space="preserve"> </w:t>
      </w:r>
      <w:r w:rsidRPr="008941C6">
        <w:rPr>
          <w:rFonts w:ascii="Verdana" w:eastAsia="Verdana" w:hAnsi="Verdana" w:cs="Verdana"/>
          <w:sz w:val="20"/>
          <w:szCs w:val="20"/>
          <w:lang w:val="es-MX"/>
        </w:rPr>
        <w:t>C</w:t>
      </w:r>
      <w:r w:rsidRPr="008941C6">
        <w:rPr>
          <w:rFonts w:ascii="Verdana" w:eastAsia="Verdana" w:hAnsi="Verdana" w:cs="Verdana"/>
          <w:spacing w:val="-1"/>
          <w:sz w:val="20"/>
          <w:szCs w:val="20"/>
          <w:lang w:val="es-MX"/>
        </w:rPr>
        <w:t>o</w:t>
      </w:r>
      <w:r w:rsidRPr="008941C6">
        <w:rPr>
          <w:rFonts w:ascii="Verdana" w:eastAsia="Verdana" w:hAnsi="Verdana" w:cs="Verdana"/>
          <w:sz w:val="20"/>
          <w:szCs w:val="20"/>
          <w:lang w:val="es-MX"/>
        </w:rPr>
        <w:t>m</w:t>
      </w:r>
      <w:r w:rsidRPr="008941C6">
        <w:rPr>
          <w:rFonts w:ascii="Verdana" w:eastAsia="Verdana" w:hAnsi="Verdana" w:cs="Verdana"/>
          <w:spacing w:val="3"/>
          <w:sz w:val="20"/>
          <w:szCs w:val="20"/>
          <w:lang w:val="es-MX"/>
        </w:rPr>
        <w:t>i</w:t>
      </w:r>
      <w:r w:rsidRPr="008941C6">
        <w:rPr>
          <w:rFonts w:ascii="Verdana" w:eastAsia="Verdana" w:hAnsi="Verdana" w:cs="Verdana"/>
          <w:sz w:val="20"/>
          <w:szCs w:val="20"/>
          <w:lang w:val="es-MX"/>
        </w:rPr>
        <w:t>s</w:t>
      </w:r>
      <w:r w:rsidRPr="008941C6">
        <w:rPr>
          <w:rFonts w:ascii="Verdana" w:eastAsia="Verdana" w:hAnsi="Verdana" w:cs="Verdana"/>
          <w:spacing w:val="2"/>
          <w:sz w:val="20"/>
          <w:szCs w:val="20"/>
          <w:lang w:val="es-MX"/>
        </w:rPr>
        <w:t>i</w:t>
      </w:r>
      <w:r w:rsidRPr="008941C6">
        <w:rPr>
          <w:rFonts w:ascii="Verdana" w:eastAsia="Verdana" w:hAnsi="Verdana" w:cs="Verdana"/>
          <w:spacing w:val="-1"/>
          <w:sz w:val="20"/>
          <w:szCs w:val="20"/>
          <w:lang w:val="es-MX"/>
        </w:rPr>
        <w:t>ó</w:t>
      </w:r>
      <w:r w:rsidRPr="008941C6">
        <w:rPr>
          <w:rFonts w:ascii="Verdana" w:eastAsia="Verdana" w:hAnsi="Verdana" w:cs="Verdana"/>
          <w:sz w:val="20"/>
          <w:szCs w:val="20"/>
          <w:lang w:val="es-MX"/>
        </w:rPr>
        <w:t>n</w:t>
      </w:r>
      <w:r w:rsidRPr="008941C6">
        <w:rPr>
          <w:rFonts w:ascii="Verdana" w:eastAsia="Verdana" w:hAnsi="Verdana" w:cs="Verdana"/>
          <w:spacing w:val="-4"/>
          <w:sz w:val="20"/>
          <w:szCs w:val="20"/>
          <w:lang w:val="es-MX"/>
        </w:rPr>
        <w:t xml:space="preserve"> </w:t>
      </w:r>
      <w:r w:rsidRPr="008941C6">
        <w:rPr>
          <w:rFonts w:ascii="Verdana" w:eastAsia="Verdana" w:hAnsi="Verdana" w:cs="Verdana"/>
          <w:sz w:val="20"/>
          <w:szCs w:val="20"/>
          <w:lang w:val="es-MX"/>
        </w:rPr>
        <w:t>s</w:t>
      </w:r>
      <w:r w:rsidRPr="008941C6">
        <w:rPr>
          <w:rFonts w:ascii="Verdana" w:eastAsia="Verdana" w:hAnsi="Verdana" w:cs="Verdana"/>
          <w:spacing w:val="-2"/>
          <w:sz w:val="20"/>
          <w:szCs w:val="20"/>
          <w:lang w:val="es-MX"/>
        </w:rPr>
        <w:t>o</w:t>
      </w:r>
      <w:r w:rsidRPr="008941C6">
        <w:rPr>
          <w:rFonts w:ascii="Verdana" w:eastAsia="Verdana" w:hAnsi="Verdana" w:cs="Verdana"/>
          <w:sz w:val="20"/>
          <w:szCs w:val="20"/>
          <w:lang w:val="es-MX"/>
        </w:rPr>
        <w:t>l</w:t>
      </w:r>
      <w:r w:rsidRPr="008941C6">
        <w:rPr>
          <w:rFonts w:ascii="Verdana" w:eastAsia="Verdana" w:hAnsi="Verdana" w:cs="Verdana"/>
          <w:spacing w:val="3"/>
          <w:sz w:val="20"/>
          <w:szCs w:val="20"/>
          <w:lang w:val="es-MX"/>
        </w:rPr>
        <w:t>i</w:t>
      </w:r>
      <w:r w:rsidRPr="008941C6">
        <w:rPr>
          <w:rFonts w:ascii="Verdana" w:eastAsia="Verdana" w:hAnsi="Verdana" w:cs="Verdana"/>
          <w:spacing w:val="-3"/>
          <w:sz w:val="20"/>
          <w:szCs w:val="20"/>
          <w:lang w:val="es-MX"/>
        </w:rPr>
        <w:t>c</w:t>
      </w:r>
      <w:r w:rsidRPr="008941C6">
        <w:rPr>
          <w:rFonts w:ascii="Verdana" w:eastAsia="Verdana" w:hAnsi="Verdana" w:cs="Verdana"/>
          <w:spacing w:val="3"/>
          <w:sz w:val="20"/>
          <w:szCs w:val="20"/>
          <w:lang w:val="es-MX"/>
        </w:rPr>
        <w:t>i</w:t>
      </w:r>
      <w:r w:rsidRPr="008941C6">
        <w:rPr>
          <w:rFonts w:ascii="Verdana" w:eastAsia="Verdana" w:hAnsi="Verdana" w:cs="Verdana"/>
          <w:spacing w:val="1"/>
          <w:sz w:val="20"/>
          <w:szCs w:val="20"/>
          <w:lang w:val="es-MX"/>
        </w:rPr>
        <w:t>t</w:t>
      </w:r>
      <w:r w:rsidRPr="008941C6">
        <w:rPr>
          <w:rFonts w:ascii="Verdana" w:eastAsia="Verdana" w:hAnsi="Verdana" w:cs="Verdana"/>
          <w:sz w:val="20"/>
          <w:szCs w:val="20"/>
          <w:lang w:val="es-MX"/>
        </w:rPr>
        <w:t>ó</w:t>
      </w:r>
      <w:r w:rsidRPr="008941C6">
        <w:rPr>
          <w:rFonts w:ascii="Verdana" w:eastAsia="Verdana" w:hAnsi="Verdana" w:cs="Verdana"/>
          <w:spacing w:val="-7"/>
          <w:sz w:val="20"/>
          <w:szCs w:val="20"/>
          <w:lang w:val="es-MX"/>
        </w:rPr>
        <w:t xml:space="preserve"> </w:t>
      </w:r>
      <w:r w:rsidRPr="008941C6">
        <w:rPr>
          <w:rFonts w:ascii="Verdana" w:eastAsia="Verdana" w:hAnsi="Verdana" w:cs="Verdana"/>
          <w:sz w:val="20"/>
          <w:szCs w:val="20"/>
          <w:lang w:val="es-MX"/>
        </w:rPr>
        <w:t xml:space="preserve">a este Tribunal </w:t>
      </w:r>
      <w:r w:rsidR="00897585">
        <w:rPr>
          <w:rFonts w:ascii="Verdana" w:eastAsia="Verdana" w:hAnsi="Verdana" w:cs="Verdana"/>
          <w:sz w:val="20"/>
          <w:szCs w:val="20"/>
          <w:lang w:val="es-MX"/>
        </w:rPr>
        <w:t>d</w:t>
      </w:r>
      <w:r w:rsidRPr="008941C6">
        <w:rPr>
          <w:rFonts w:ascii="Verdana" w:eastAsia="Verdana" w:hAnsi="Verdana" w:cs="Verdana"/>
          <w:spacing w:val="-1"/>
          <w:sz w:val="20"/>
          <w:szCs w:val="20"/>
          <w:lang w:val="es-MX"/>
        </w:rPr>
        <w:t>e</w:t>
      </w:r>
      <w:r w:rsidRPr="008941C6">
        <w:rPr>
          <w:rFonts w:ascii="Verdana" w:eastAsia="Verdana" w:hAnsi="Verdana" w:cs="Verdana"/>
          <w:sz w:val="20"/>
          <w:szCs w:val="20"/>
          <w:lang w:val="es-MX"/>
        </w:rPr>
        <w:t>c</w:t>
      </w:r>
      <w:r w:rsidRPr="008941C6">
        <w:rPr>
          <w:rFonts w:ascii="Verdana" w:eastAsia="Verdana" w:hAnsi="Verdana" w:cs="Verdana"/>
          <w:spacing w:val="2"/>
          <w:sz w:val="20"/>
          <w:szCs w:val="20"/>
          <w:lang w:val="es-MX"/>
        </w:rPr>
        <w:t>l</w:t>
      </w:r>
      <w:r w:rsidRPr="008941C6">
        <w:rPr>
          <w:rFonts w:ascii="Verdana" w:eastAsia="Verdana" w:hAnsi="Verdana" w:cs="Verdana"/>
          <w:sz w:val="20"/>
          <w:szCs w:val="20"/>
          <w:lang w:val="es-MX"/>
        </w:rPr>
        <w:t>a</w:t>
      </w:r>
      <w:r w:rsidRPr="008941C6">
        <w:rPr>
          <w:rFonts w:ascii="Verdana" w:eastAsia="Verdana" w:hAnsi="Verdana" w:cs="Verdana"/>
          <w:spacing w:val="-1"/>
          <w:sz w:val="20"/>
          <w:szCs w:val="20"/>
          <w:lang w:val="es-MX"/>
        </w:rPr>
        <w:t>r</w:t>
      </w:r>
      <w:r w:rsidRPr="008941C6">
        <w:rPr>
          <w:rFonts w:ascii="Verdana" w:eastAsia="Verdana" w:hAnsi="Verdana" w:cs="Verdana"/>
          <w:sz w:val="20"/>
          <w:szCs w:val="20"/>
          <w:lang w:val="es-MX"/>
        </w:rPr>
        <w:t>ar</w:t>
      </w:r>
      <w:r w:rsidRPr="008941C6">
        <w:rPr>
          <w:rFonts w:ascii="Verdana" w:eastAsia="Verdana" w:hAnsi="Verdana" w:cs="Verdana"/>
          <w:spacing w:val="31"/>
          <w:sz w:val="20"/>
          <w:szCs w:val="20"/>
          <w:lang w:val="es-MX"/>
        </w:rPr>
        <w:t xml:space="preserve"> </w:t>
      </w:r>
      <w:r w:rsidRPr="008941C6">
        <w:rPr>
          <w:rFonts w:ascii="Verdana" w:eastAsia="Verdana" w:hAnsi="Verdana" w:cs="Verdana"/>
          <w:spacing w:val="3"/>
          <w:sz w:val="20"/>
          <w:szCs w:val="20"/>
          <w:lang w:val="es-MX"/>
        </w:rPr>
        <w:t>l</w:t>
      </w:r>
      <w:r w:rsidRPr="008941C6">
        <w:rPr>
          <w:rFonts w:ascii="Verdana" w:eastAsia="Verdana" w:hAnsi="Verdana" w:cs="Verdana"/>
          <w:sz w:val="20"/>
          <w:szCs w:val="20"/>
          <w:lang w:val="es-MX"/>
        </w:rPr>
        <w:t>a</w:t>
      </w:r>
      <w:r w:rsidRPr="008941C6">
        <w:rPr>
          <w:rFonts w:ascii="Verdana" w:eastAsia="Verdana" w:hAnsi="Verdana" w:cs="Verdana"/>
          <w:spacing w:val="36"/>
          <w:sz w:val="20"/>
          <w:szCs w:val="20"/>
          <w:lang w:val="es-MX"/>
        </w:rPr>
        <w:t xml:space="preserve"> </w:t>
      </w:r>
      <w:r w:rsidRPr="008941C6">
        <w:rPr>
          <w:rFonts w:ascii="Verdana" w:eastAsia="Verdana" w:hAnsi="Verdana" w:cs="Verdana"/>
          <w:spacing w:val="-1"/>
          <w:sz w:val="20"/>
          <w:szCs w:val="20"/>
          <w:lang w:val="es-MX"/>
        </w:rPr>
        <w:t>re</w:t>
      </w:r>
      <w:r w:rsidRPr="008941C6">
        <w:rPr>
          <w:rFonts w:ascii="Verdana" w:eastAsia="Verdana" w:hAnsi="Verdana" w:cs="Verdana"/>
          <w:sz w:val="20"/>
          <w:szCs w:val="20"/>
          <w:lang w:val="es-MX"/>
        </w:rPr>
        <w:t>sp</w:t>
      </w:r>
      <w:r w:rsidRPr="008941C6">
        <w:rPr>
          <w:rFonts w:ascii="Verdana" w:eastAsia="Verdana" w:hAnsi="Verdana" w:cs="Verdana"/>
          <w:spacing w:val="-1"/>
          <w:sz w:val="20"/>
          <w:szCs w:val="20"/>
          <w:lang w:val="es-MX"/>
        </w:rPr>
        <w:t>o</w:t>
      </w:r>
      <w:r w:rsidRPr="008941C6">
        <w:rPr>
          <w:rFonts w:ascii="Verdana" w:eastAsia="Verdana" w:hAnsi="Verdana" w:cs="Verdana"/>
          <w:spacing w:val="1"/>
          <w:sz w:val="20"/>
          <w:szCs w:val="20"/>
          <w:lang w:val="es-MX"/>
        </w:rPr>
        <w:t>n</w:t>
      </w:r>
      <w:r w:rsidRPr="008941C6">
        <w:rPr>
          <w:rFonts w:ascii="Verdana" w:eastAsia="Verdana" w:hAnsi="Verdana" w:cs="Verdana"/>
          <w:sz w:val="20"/>
          <w:szCs w:val="20"/>
          <w:lang w:val="es-MX"/>
        </w:rPr>
        <w:t>sab</w:t>
      </w:r>
      <w:r w:rsidRPr="008941C6">
        <w:rPr>
          <w:rFonts w:ascii="Verdana" w:eastAsia="Verdana" w:hAnsi="Verdana" w:cs="Verdana"/>
          <w:spacing w:val="3"/>
          <w:sz w:val="20"/>
          <w:szCs w:val="20"/>
          <w:lang w:val="es-MX"/>
        </w:rPr>
        <w:t>i</w:t>
      </w:r>
      <w:r w:rsidRPr="008941C6">
        <w:rPr>
          <w:rFonts w:ascii="Verdana" w:eastAsia="Verdana" w:hAnsi="Verdana" w:cs="Verdana"/>
          <w:sz w:val="20"/>
          <w:szCs w:val="20"/>
          <w:lang w:val="es-MX"/>
        </w:rPr>
        <w:t>li</w:t>
      </w:r>
      <w:r w:rsidRPr="008941C6">
        <w:rPr>
          <w:rFonts w:ascii="Verdana" w:eastAsia="Verdana" w:hAnsi="Verdana" w:cs="Verdana"/>
          <w:spacing w:val="1"/>
          <w:sz w:val="20"/>
          <w:szCs w:val="20"/>
          <w:lang w:val="es-MX"/>
        </w:rPr>
        <w:t>d</w:t>
      </w:r>
      <w:r w:rsidRPr="008941C6">
        <w:rPr>
          <w:rFonts w:ascii="Verdana" w:eastAsia="Verdana" w:hAnsi="Verdana" w:cs="Verdana"/>
          <w:sz w:val="20"/>
          <w:szCs w:val="20"/>
          <w:lang w:val="es-MX"/>
        </w:rPr>
        <w:t>ad</w:t>
      </w:r>
      <w:r w:rsidRPr="008941C6">
        <w:rPr>
          <w:rFonts w:ascii="Verdana" w:eastAsia="Verdana" w:hAnsi="Verdana" w:cs="Verdana"/>
          <w:spacing w:val="20"/>
          <w:sz w:val="20"/>
          <w:szCs w:val="20"/>
          <w:lang w:val="es-MX"/>
        </w:rPr>
        <w:t xml:space="preserve"> </w:t>
      </w:r>
      <w:r w:rsidRPr="008941C6">
        <w:rPr>
          <w:rFonts w:ascii="Verdana" w:eastAsia="Verdana" w:hAnsi="Verdana" w:cs="Verdana"/>
          <w:spacing w:val="3"/>
          <w:sz w:val="20"/>
          <w:szCs w:val="20"/>
          <w:lang w:val="es-MX"/>
        </w:rPr>
        <w:t>i</w:t>
      </w:r>
      <w:r w:rsidRPr="008941C6">
        <w:rPr>
          <w:rFonts w:ascii="Verdana" w:eastAsia="Verdana" w:hAnsi="Verdana" w:cs="Verdana"/>
          <w:spacing w:val="1"/>
          <w:sz w:val="20"/>
          <w:szCs w:val="20"/>
          <w:lang w:val="es-MX"/>
        </w:rPr>
        <w:t>nt</w:t>
      </w:r>
      <w:r w:rsidRPr="008941C6">
        <w:rPr>
          <w:rFonts w:ascii="Verdana" w:eastAsia="Verdana" w:hAnsi="Verdana" w:cs="Verdana"/>
          <w:spacing w:val="-1"/>
          <w:sz w:val="20"/>
          <w:szCs w:val="20"/>
          <w:lang w:val="es-MX"/>
        </w:rPr>
        <w:t>er</w:t>
      </w:r>
      <w:r w:rsidRPr="008941C6">
        <w:rPr>
          <w:rFonts w:ascii="Verdana" w:eastAsia="Verdana" w:hAnsi="Verdana" w:cs="Verdana"/>
          <w:spacing w:val="1"/>
          <w:sz w:val="20"/>
          <w:szCs w:val="20"/>
          <w:lang w:val="es-MX"/>
        </w:rPr>
        <w:t>n</w:t>
      </w:r>
      <w:r w:rsidRPr="008941C6">
        <w:rPr>
          <w:rFonts w:ascii="Verdana" w:eastAsia="Verdana" w:hAnsi="Verdana" w:cs="Verdana"/>
          <w:sz w:val="20"/>
          <w:szCs w:val="20"/>
          <w:lang w:val="es-MX"/>
        </w:rPr>
        <w:t>ac</w:t>
      </w:r>
      <w:r w:rsidRPr="008941C6">
        <w:rPr>
          <w:rFonts w:ascii="Verdana" w:eastAsia="Verdana" w:hAnsi="Verdana" w:cs="Verdana"/>
          <w:spacing w:val="3"/>
          <w:sz w:val="20"/>
          <w:szCs w:val="20"/>
          <w:lang w:val="es-MX"/>
        </w:rPr>
        <w:t>i</w:t>
      </w:r>
      <w:r w:rsidRPr="008941C6">
        <w:rPr>
          <w:rFonts w:ascii="Verdana" w:eastAsia="Verdana" w:hAnsi="Verdana" w:cs="Verdana"/>
          <w:spacing w:val="-1"/>
          <w:sz w:val="20"/>
          <w:szCs w:val="20"/>
          <w:lang w:val="es-MX"/>
        </w:rPr>
        <w:t>o</w:t>
      </w:r>
      <w:r w:rsidRPr="008941C6">
        <w:rPr>
          <w:rFonts w:ascii="Verdana" w:eastAsia="Verdana" w:hAnsi="Verdana" w:cs="Verdana"/>
          <w:spacing w:val="1"/>
          <w:sz w:val="20"/>
          <w:szCs w:val="20"/>
          <w:lang w:val="es-MX"/>
        </w:rPr>
        <w:t>n</w:t>
      </w:r>
      <w:r w:rsidRPr="008941C6">
        <w:rPr>
          <w:rFonts w:ascii="Verdana" w:eastAsia="Verdana" w:hAnsi="Verdana" w:cs="Verdana"/>
          <w:spacing w:val="-2"/>
          <w:sz w:val="20"/>
          <w:szCs w:val="20"/>
          <w:lang w:val="es-MX"/>
        </w:rPr>
        <w:t>a</w:t>
      </w:r>
      <w:r w:rsidRPr="008941C6">
        <w:rPr>
          <w:rFonts w:ascii="Verdana" w:eastAsia="Verdana" w:hAnsi="Verdana" w:cs="Verdana"/>
          <w:sz w:val="20"/>
          <w:szCs w:val="20"/>
          <w:lang w:val="es-MX"/>
        </w:rPr>
        <w:t>l</w:t>
      </w:r>
      <w:r w:rsidRPr="008941C6">
        <w:rPr>
          <w:rFonts w:ascii="Verdana" w:eastAsia="Verdana" w:hAnsi="Verdana" w:cs="Verdana"/>
          <w:spacing w:val="27"/>
          <w:sz w:val="20"/>
          <w:szCs w:val="20"/>
          <w:lang w:val="es-MX"/>
        </w:rPr>
        <w:t xml:space="preserve"> </w:t>
      </w:r>
      <w:r w:rsidRPr="008941C6">
        <w:rPr>
          <w:rFonts w:ascii="Verdana" w:eastAsia="Verdana" w:hAnsi="Verdana" w:cs="Verdana"/>
          <w:spacing w:val="1"/>
          <w:sz w:val="20"/>
          <w:szCs w:val="20"/>
          <w:lang w:val="es-MX"/>
        </w:rPr>
        <w:t>d</w:t>
      </w:r>
      <w:r w:rsidRPr="008941C6">
        <w:rPr>
          <w:rFonts w:ascii="Verdana" w:eastAsia="Verdana" w:hAnsi="Verdana" w:cs="Verdana"/>
          <w:spacing w:val="-1"/>
          <w:sz w:val="20"/>
          <w:szCs w:val="20"/>
          <w:lang w:val="es-MX"/>
        </w:rPr>
        <w:t>e</w:t>
      </w:r>
      <w:r w:rsidRPr="008941C6">
        <w:rPr>
          <w:rFonts w:ascii="Verdana" w:eastAsia="Verdana" w:hAnsi="Verdana" w:cs="Verdana"/>
          <w:sz w:val="20"/>
          <w:szCs w:val="20"/>
          <w:lang w:val="es-MX"/>
        </w:rPr>
        <w:t xml:space="preserve"> Ecuador</w:t>
      </w:r>
      <w:r>
        <w:rPr>
          <w:rFonts w:ascii="Verdana" w:eastAsia="Verdana" w:hAnsi="Verdana" w:cs="Verdana"/>
          <w:sz w:val="20"/>
          <w:szCs w:val="20"/>
          <w:lang w:val="es-MX"/>
        </w:rPr>
        <w:t>, considerando “</w:t>
      </w:r>
      <w:r w:rsidRPr="008941C6">
        <w:rPr>
          <w:rFonts w:ascii="Verdana" w:eastAsia="Verdana" w:hAnsi="Verdana" w:cs="Verdana"/>
          <w:spacing w:val="3"/>
          <w:sz w:val="20"/>
          <w:szCs w:val="20"/>
          <w:lang w:val="es-MX"/>
        </w:rPr>
        <w:t>l</w:t>
      </w:r>
      <w:r w:rsidRPr="008941C6">
        <w:rPr>
          <w:rFonts w:ascii="Verdana" w:eastAsia="Verdana" w:hAnsi="Verdana" w:cs="Verdana"/>
          <w:sz w:val="20"/>
          <w:szCs w:val="20"/>
          <w:lang w:val="es-MX"/>
        </w:rPr>
        <w:t>a</w:t>
      </w:r>
      <w:r>
        <w:rPr>
          <w:rFonts w:ascii="Verdana" w:eastAsia="Verdana" w:hAnsi="Verdana" w:cs="Verdana"/>
          <w:sz w:val="20"/>
          <w:szCs w:val="20"/>
          <w:lang w:val="es-MX"/>
        </w:rPr>
        <w:t xml:space="preserve"> totalidad</w:t>
      </w:r>
      <w:r w:rsidRPr="008941C6">
        <w:rPr>
          <w:rFonts w:ascii="Verdana" w:eastAsia="Verdana" w:hAnsi="Verdana" w:cs="Verdana"/>
          <w:spacing w:val="35"/>
          <w:sz w:val="20"/>
          <w:szCs w:val="20"/>
          <w:lang w:val="es-MX"/>
        </w:rPr>
        <w:t xml:space="preserve"> </w:t>
      </w:r>
      <w:r w:rsidRPr="009B106E">
        <w:rPr>
          <w:rFonts w:ascii="Verdana" w:hAnsi="Verdana"/>
          <w:sz w:val="20"/>
          <w:szCs w:val="20"/>
          <w:lang w:val="es-CR"/>
        </w:rPr>
        <w:t>de los hechos y violaciones</w:t>
      </w:r>
      <w:r>
        <w:rPr>
          <w:rFonts w:ascii="Verdana" w:hAnsi="Verdana"/>
          <w:sz w:val="20"/>
          <w:szCs w:val="20"/>
          <w:lang w:val="es-CR"/>
        </w:rPr>
        <w:t xml:space="preserve"> de derechos humanos</w:t>
      </w:r>
      <w:r>
        <w:rPr>
          <w:rFonts w:ascii="Verdana" w:eastAsia="Verdana" w:hAnsi="Verdana" w:cs="Verdana"/>
          <w:sz w:val="20"/>
          <w:szCs w:val="20"/>
          <w:lang w:val="es-MX"/>
        </w:rPr>
        <w:t>”</w:t>
      </w:r>
      <w:r w:rsidRPr="008941C6">
        <w:rPr>
          <w:rFonts w:ascii="Verdana" w:eastAsia="Verdana" w:hAnsi="Verdana" w:cs="Verdana"/>
          <w:sz w:val="20"/>
          <w:szCs w:val="20"/>
          <w:lang w:val="es-MX"/>
        </w:rPr>
        <w:t xml:space="preserve"> s</w:t>
      </w:r>
      <w:r w:rsidRPr="008941C6">
        <w:rPr>
          <w:rFonts w:ascii="Verdana" w:eastAsia="Verdana" w:hAnsi="Verdana" w:cs="Verdana"/>
          <w:spacing w:val="-2"/>
          <w:sz w:val="20"/>
          <w:szCs w:val="20"/>
          <w:lang w:val="es-MX"/>
        </w:rPr>
        <w:t>e</w:t>
      </w:r>
      <w:r w:rsidRPr="008941C6">
        <w:rPr>
          <w:rFonts w:ascii="Verdana" w:eastAsia="Verdana" w:hAnsi="Verdana" w:cs="Verdana"/>
          <w:spacing w:val="1"/>
          <w:sz w:val="20"/>
          <w:szCs w:val="20"/>
          <w:lang w:val="es-MX"/>
        </w:rPr>
        <w:t>ñ</w:t>
      </w:r>
      <w:r w:rsidRPr="008941C6">
        <w:rPr>
          <w:rFonts w:ascii="Verdana" w:eastAsia="Verdana" w:hAnsi="Verdana" w:cs="Verdana"/>
          <w:sz w:val="20"/>
          <w:szCs w:val="20"/>
          <w:lang w:val="es-MX"/>
        </w:rPr>
        <w:t>a</w:t>
      </w:r>
      <w:r w:rsidRPr="008941C6">
        <w:rPr>
          <w:rFonts w:ascii="Verdana" w:eastAsia="Verdana" w:hAnsi="Verdana" w:cs="Verdana"/>
          <w:spacing w:val="3"/>
          <w:sz w:val="20"/>
          <w:szCs w:val="20"/>
          <w:lang w:val="es-MX"/>
        </w:rPr>
        <w:t>l</w:t>
      </w:r>
      <w:r w:rsidRPr="008941C6">
        <w:rPr>
          <w:rFonts w:ascii="Verdana" w:eastAsia="Verdana" w:hAnsi="Verdana" w:cs="Verdana"/>
          <w:sz w:val="20"/>
          <w:szCs w:val="20"/>
          <w:lang w:val="es-MX"/>
        </w:rPr>
        <w:t>a</w:t>
      </w:r>
      <w:r w:rsidRPr="008941C6">
        <w:rPr>
          <w:rFonts w:ascii="Verdana" w:eastAsia="Verdana" w:hAnsi="Verdana" w:cs="Verdana"/>
          <w:spacing w:val="1"/>
          <w:sz w:val="20"/>
          <w:szCs w:val="20"/>
          <w:lang w:val="es-MX"/>
        </w:rPr>
        <w:t>d</w:t>
      </w:r>
      <w:r w:rsidRPr="008941C6">
        <w:rPr>
          <w:rFonts w:ascii="Verdana" w:eastAsia="Verdana" w:hAnsi="Verdana" w:cs="Verdana"/>
          <w:sz w:val="20"/>
          <w:szCs w:val="20"/>
          <w:lang w:val="es-MX"/>
        </w:rPr>
        <w:t>as</w:t>
      </w:r>
      <w:r w:rsidRPr="008941C6">
        <w:rPr>
          <w:rFonts w:ascii="Verdana" w:eastAsia="Verdana" w:hAnsi="Verdana" w:cs="Verdana"/>
          <w:spacing w:val="1"/>
          <w:sz w:val="20"/>
          <w:szCs w:val="20"/>
          <w:lang w:val="es-MX"/>
        </w:rPr>
        <w:t xml:space="preserve"> </w:t>
      </w:r>
      <w:r w:rsidRPr="008941C6">
        <w:rPr>
          <w:rFonts w:ascii="Verdana" w:eastAsia="Verdana" w:hAnsi="Verdana" w:cs="Verdana"/>
          <w:spacing w:val="-1"/>
          <w:sz w:val="20"/>
          <w:szCs w:val="20"/>
          <w:lang w:val="es-MX"/>
        </w:rPr>
        <w:t>e</w:t>
      </w:r>
      <w:r w:rsidRPr="008941C6">
        <w:rPr>
          <w:rFonts w:ascii="Verdana" w:eastAsia="Verdana" w:hAnsi="Verdana" w:cs="Verdana"/>
          <w:sz w:val="20"/>
          <w:szCs w:val="20"/>
          <w:lang w:val="es-MX"/>
        </w:rPr>
        <w:t>n</w:t>
      </w:r>
      <w:r w:rsidRPr="008941C6">
        <w:rPr>
          <w:rFonts w:ascii="Verdana" w:eastAsia="Verdana" w:hAnsi="Verdana" w:cs="Verdana"/>
          <w:spacing w:val="10"/>
          <w:sz w:val="20"/>
          <w:szCs w:val="20"/>
          <w:lang w:val="es-MX"/>
        </w:rPr>
        <w:t xml:space="preserve"> </w:t>
      </w:r>
      <w:r w:rsidRPr="008941C6">
        <w:rPr>
          <w:rFonts w:ascii="Verdana" w:eastAsia="Verdana" w:hAnsi="Verdana" w:cs="Verdana"/>
          <w:sz w:val="20"/>
          <w:szCs w:val="20"/>
          <w:lang w:val="es-MX"/>
        </w:rPr>
        <w:t>su</w:t>
      </w:r>
      <w:r w:rsidRPr="008941C6">
        <w:rPr>
          <w:rFonts w:ascii="Verdana" w:eastAsia="Verdana" w:hAnsi="Verdana" w:cs="Verdana"/>
          <w:spacing w:val="12"/>
          <w:sz w:val="20"/>
          <w:szCs w:val="20"/>
          <w:lang w:val="es-MX"/>
        </w:rPr>
        <w:t xml:space="preserve"> </w:t>
      </w:r>
      <w:r w:rsidRPr="008941C6">
        <w:rPr>
          <w:rFonts w:ascii="Verdana" w:eastAsia="Verdana" w:hAnsi="Verdana" w:cs="Verdana"/>
          <w:spacing w:val="-2"/>
          <w:sz w:val="20"/>
          <w:szCs w:val="20"/>
          <w:lang w:val="es-MX"/>
        </w:rPr>
        <w:t>I</w:t>
      </w:r>
      <w:r w:rsidRPr="008941C6">
        <w:rPr>
          <w:rFonts w:ascii="Verdana" w:eastAsia="Verdana" w:hAnsi="Verdana" w:cs="Verdana"/>
          <w:spacing w:val="1"/>
          <w:sz w:val="20"/>
          <w:szCs w:val="20"/>
          <w:lang w:val="es-MX"/>
        </w:rPr>
        <w:t>n</w:t>
      </w:r>
      <w:r w:rsidRPr="008941C6">
        <w:rPr>
          <w:rFonts w:ascii="Verdana" w:eastAsia="Verdana" w:hAnsi="Verdana" w:cs="Verdana"/>
          <w:spacing w:val="2"/>
          <w:sz w:val="20"/>
          <w:szCs w:val="20"/>
          <w:lang w:val="es-MX"/>
        </w:rPr>
        <w:t>f</w:t>
      </w:r>
      <w:r w:rsidRPr="008941C6">
        <w:rPr>
          <w:rFonts w:ascii="Verdana" w:eastAsia="Verdana" w:hAnsi="Verdana" w:cs="Verdana"/>
          <w:spacing w:val="-1"/>
          <w:sz w:val="20"/>
          <w:szCs w:val="20"/>
          <w:lang w:val="es-MX"/>
        </w:rPr>
        <w:t>or</w:t>
      </w:r>
      <w:r w:rsidRPr="008941C6">
        <w:rPr>
          <w:rFonts w:ascii="Verdana" w:eastAsia="Verdana" w:hAnsi="Verdana" w:cs="Verdana"/>
          <w:spacing w:val="3"/>
          <w:sz w:val="20"/>
          <w:szCs w:val="20"/>
          <w:lang w:val="es-MX"/>
        </w:rPr>
        <w:t>m</w:t>
      </w:r>
      <w:r w:rsidRPr="008941C6">
        <w:rPr>
          <w:rFonts w:ascii="Verdana" w:eastAsia="Verdana" w:hAnsi="Verdana" w:cs="Verdana"/>
          <w:sz w:val="20"/>
          <w:szCs w:val="20"/>
          <w:lang w:val="es-MX"/>
        </w:rPr>
        <w:t>e</w:t>
      </w:r>
      <w:r w:rsidRPr="008941C6">
        <w:rPr>
          <w:rFonts w:ascii="Verdana" w:eastAsia="Verdana" w:hAnsi="Verdana" w:cs="Verdana"/>
          <w:spacing w:val="2"/>
          <w:sz w:val="20"/>
          <w:szCs w:val="20"/>
          <w:lang w:val="es-MX"/>
        </w:rPr>
        <w:t xml:space="preserve"> </w:t>
      </w:r>
      <w:r w:rsidRPr="008941C6">
        <w:rPr>
          <w:rFonts w:ascii="Verdana" w:eastAsia="Verdana" w:hAnsi="Verdana" w:cs="Verdana"/>
          <w:spacing w:val="1"/>
          <w:sz w:val="20"/>
          <w:szCs w:val="20"/>
          <w:lang w:val="es-MX"/>
        </w:rPr>
        <w:t>d</w:t>
      </w:r>
      <w:r w:rsidRPr="008941C6">
        <w:rPr>
          <w:rFonts w:ascii="Verdana" w:eastAsia="Verdana" w:hAnsi="Verdana" w:cs="Verdana"/>
          <w:sz w:val="20"/>
          <w:szCs w:val="20"/>
          <w:lang w:val="es-MX"/>
        </w:rPr>
        <w:t>e</w:t>
      </w:r>
      <w:r w:rsidRPr="008941C6">
        <w:rPr>
          <w:rFonts w:ascii="Verdana" w:eastAsia="Verdana" w:hAnsi="Verdana" w:cs="Verdana"/>
          <w:spacing w:val="8"/>
          <w:sz w:val="20"/>
          <w:szCs w:val="20"/>
          <w:lang w:val="es-MX"/>
        </w:rPr>
        <w:t xml:space="preserve"> </w:t>
      </w:r>
      <w:r w:rsidRPr="008941C6">
        <w:rPr>
          <w:rFonts w:ascii="Verdana" w:eastAsia="Verdana" w:hAnsi="Verdana" w:cs="Verdana"/>
          <w:spacing w:val="3"/>
          <w:sz w:val="20"/>
          <w:szCs w:val="20"/>
          <w:lang w:val="es-MX"/>
        </w:rPr>
        <w:t>F</w:t>
      </w:r>
      <w:r w:rsidRPr="008941C6">
        <w:rPr>
          <w:rFonts w:ascii="Verdana" w:eastAsia="Verdana" w:hAnsi="Verdana" w:cs="Verdana"/>
          <w:spacing w:val="-1"/>
          <w:sz w:val="20"/>
          <w:szCs w:val="20"/>
          <w:lang w:val="es-MX"/>
        </w:rPr>
        <w:t>o</w:t>
      </w:r>
      <w:r w:rsidRPr="008941C6">
        <w:rPr>
          <w:rFonts w:ascii="Verdana" w:eastAsia="Verdana" w:hAnsi="Verdana" w:cs="Verdana"/>
          <w:spacing w:val="1"/>
          <w:sz w:val="20"/>
          <w:szCs w:val="20"/>
          <w:lang w:val="es-MX"/>
        </w:rPr>
        <w:t>nd</w:t>
      </w:r>
      <w:r w:rsidRPr="008941C6">
        <w:rPr>
          <w:rFonts w:ascii="Verdana" w:eastAsia="Verdana" w:hAnsi="Verdana" w:cs="Verdana"/>
          <w:sz w:val="20"/>
          <w:szCs w:val="20"/>
          <w:lang w:val="es-MX"/>
        </w:rPr>
        <w:t>o</w:t>
      </w:r>
      <w:r>
        <w:rPr>
          <w:rFonts w:ascii="Verdana" w:eastAsia="Verdana" w:hAnsi="Verdana" w:cs="Verdana"/>
          <w:spacing w:val="8"/>
          <w:sz w:val="20"/>
          <w:szCs w:val="20"/>
          <w:lang w:val="es-MX"/>
        </w:rPr>
        <w:t>, así como que ordene al Estado, como medidas de reparación, las recomendaciones incluidas en el mismo</w:t>
      </w:r>
      <w:r w:rsidRPr="008941C6">
        <w:rPr>
          <w:rFonts w:ascii="Verdana" w:eastAsia="Verdana" w:hAnsi="Verdana" w:cs="Verdana"/>
          <w:spacing w:val="1"/>
          <w:sz w:val="20"/>
          <w:szCs w:val="20"/>
          <w:lang w:val="es-MX"/>
        </w:rPr>
        <w:t>.</w:t>
      </w:r>
    </w:p>
    <w:p w14:paraId="0D01CD68" w14:textId="77777777" w:rsidR="005E2829" w:rsidRPr="002E4A38" w:rsidRDefault="005E2829" w:rsidP="00414DEF">
      <w:pPr>
        <w:pStyle w:val="Ttulo1"/>
        <w:spacing w:before="0" w:line="240" w:lineRule="auto"/>
        <w:jc w:val="center"/>
        <w:rPr>
          <w:rFonts w:ascii="Verdana" w:eastAsia="Verdana" w:hAnsi="Verdana" w:cs="Verdana"/>
          <w:bCs w:val="0"/>
          <w:color w:val="auto"/>
          <w:spacing w:val="-1"/>
          <w:sz w:val="20"/>
          <w:szCs w:val="20"/>
          <w:lang w:val="es-MX"/>
        </w:rPr>
      </w:pPr>
      <w:bookmarkStart w:id="5" w:name="_Toc34817777"/>
      <w:r w:rsidRPr="002E4A38">
        <w:rPr>
          <w:rFonts w:ascii="Verdana" w:eastAsia="Verdana" w:hAnsi="Verdana" w:cs="Verdana"/>
          <w:bCs w:val="0"/>
          <w:color w:val="auto"/>
          <w:spacing w:val="-1"/>
          <w:sz w:val="20"/>
          <w:szCs w:val="20"/>
          <w:lang w:val="es-MX"/>
        </w:rPr>
        <w:t>II</w:t>
      </w:r>
      <w:bookmarkEnd w:id="5"/>
    </w:p>
    <w:p w14:paraId="1931C88E" w14:textId="77777777" w:rsidR="005E2829" w:rsidRPr="002E4A38" w:rsidRDefault="005E2829" w:rsidP="00414DEF">
      <w:pPr>
        <w:pStyle w:val="Ttulo1"/>
        <w:spacing w:before="0" w:line="240" w:lineRule="auto"/>
        <w:jc w:val="center"/>
        <w:rPr>
          <w:rFonts w:ascii="Verdana" w:eastAsia="Verdana" w:hAnsi="Verdana" w:cs="Verdana"/>
          <w:bCs w:val="0"/>
          <w:color w:val="auto"/>
          <w:spacing w:val="-1"/>
          <w:sz w:val="20"/>
          <w:szCs w:val="20"/>
          <w:lang w:val="es-MX"/>
        </w:rPr>
      </w:pPr>
      <w:bookmarkStart w:id="6" w:name="_Toc34817778"/>
      <w:r w:rsidRPr="002E4A38">
        <w:rPr>
          <w:rFonts w:ascii="Verdana" w:eastAsia="Verdana" w:hAnsi="Verdana" w:cs="Verdana"/>
          <w:bCs w:val="0"/>
          <w:color w:val="auto"/>
          <w:spacing w:val="-1"/>
          <w:sz w:val="20"/>
          <w:szCs w:val="20"/>
          <w:lang w:val="es-MX"/>
        </w:rPr>
        <w:t>PROCEDIMIENTO ANTE LA CORTE</w:t>
      </w:r>
      <w:bookmarkEnd w:id="6"/>
    </w:p>
    <w:p w14:paraId="25E7A4C9" w14:textId="77777777" w:rsidR="005E2829" w:rsidRDefault="005E2829" w:rsidP="00414DEF">
      <w:pPr>
        <w:spacing w:after="0" w:line="240" w:lineRule="auto"/>
        <w:ind w:right="49"/>
        <w:jc w:val="center"/>
        <w:rPr>
          <w:rFonts w:ascii="Verdana" w:eastAsia="Verdana" w:hAnsi="Verdana" w:cs="Verdana"/>
          <w:b/>
          <w:bCs/>
          <w:spacing w:val="-1"/>
          <w:sz w:val="20"/>
          <w:szCs w:val="20"/>
          <w:lang w:val="es-MX"/>
        </w:rPr>
      </w:pPr>
    </w:p>
    <w:p w14:paraId="42A98B83" w14:textId="77777777" w:rsidR="005E2829" w:rsidRPr="00012240" w:rsidRDefault="005E2829" w:rsidP="00414DEF">
      <w:pPr>
        <w:pStyle w:val="Prrafodelista"/>
        <w:widowControl/>
        <w:numPr>
          <w:ilvl w:val="0"/>
          <w:numId w:val="26"/>
        </w:numPr>
        <w:spacing w:after="160" w:line="240" w:lineRule="auto"/>
        <w:ind w:left="0" w:firstLine="0"/>
        <w:jc w:val="both"/>
        <w:rPr>
          <w:rFonts w:ascii="Verdana" w:eastAsia="Verdana" w:hAnsi="Verdana" w:cs="Verdana"/>
          <w:b/>
          <w:spacing w:val="-1"/>
          <w:sz w:val="20"/>
          <w:szCs w:val="20"/>
          <w:lang w:val="es-MX"/>
        </w:rPr>
      </w:pPr>
      <w:r>
        <w:rPr>
          <w:rFonts w:ascii="Verdana" w:eastAsia="Verdana" w:hAnsi="Verdana" w:cs="Verdana"/>
          <w:i/>
          <w:spacing w:val="-1"/>
          <w:sz w:val="20"/>
          <w:szCs w:val="20"/>
          <w:lang w:val="es-MX"/>
        </w:rPr>
        <w:t xml:space="preserve">Notificación al representante y al Estado. – </w:t>
      </w:r>
      <w:r w:rsidRPr="00012240">
        <w:rPr>
          <w:rFonts w:ascii="Verdana" w:eastAsia="Verdana" w:hAnsi="Verdana" w:cs="Verdana"/>
          <w:spacing w:val="-1"/>
          <w:sz w:val="20"/>
          <w:szCs w:val="20"/>
          <w:lang w:val="es-MX"/>
        </w:rPr>
        <w:t>El som</w:t>
      </w:r>
      <w:r>
        <w:rPr>
          <w:rFonts w:ascii="Verdana" w:eastAsia="Verdana" w:hAnsi="Verdana" w:cs="Verdana"/>
          <w:spacing w:val="-1"/>
          <w:sz w:val="20"/>
          <w:szCs w:val="20"/>
          <w:lang w:val="es-MX"/>
        </w:rPr>
        <w:t xml:space="preserve">etimiento del caso fue notificado al representante de la presunta víctima, </w:t>
      </w:r>
      <w:r w:rsidRPr="008941C6">
        <w:rPr>
          <w:rFonts w:ascii="Verdana" w:eastAsia="Verdana" w:hAnsi="Verdana" w:cs="Verdana"/>
          <w:spacing w:val="1"/>
          <w:sz w:val="20"/>
          <w:szCs w:val="20"/>
          <w:lang w:val="es-MX"/>
        </w:rPr>
        <w:t xml:space="preserve">así </w:t>
      </w:r>
      <w:r w:rsidRPr="008941C6">
        <w:rPr>
          <w:rFonts w:ascii="Verdana" w:eastAsia="Verdana" w:hAnsi="Verdana" w:cs="Verdana"/>
          <w:spacing w:val="-2"/>
          <w:sz w:val="20"/>
          <w:szCs w:val="20"/>
          <w:lang w:val="es-MX"/>
        </w:rPr>
        <w:t>como al E</w:t>
      </w:r>
      <w:r w:rsidRPr="008941C6">
        <w:rPr>
          <w:rFonts w:ascii="Verdana" w:eastAsia="Verdana" w:hAnsi="Verdana" w:cs="Verdana"/>
          <w:sz w:val="20"/>
          <w:szCs w:val="20"/>
          <w:lang w:val="es-MX"/>
        </w:rPr>
        <w:t>sta</w:t>
      </w:r>
      <w:r w:rsidRPr="008941C6">
        <w:rPr>
          <w:rFonts w:ascii="Verdana" w:eastAsia="Verdana" w:hAnsi="Verdana" w:cs="Verdana"/>
          <w:spacing w:val="1"/>
          <w:sz w:val="20"/>
          <w:szCs w:val="20"/>
          <w:lang w:val="es-MX"/>
        </w:rPr>
        <w:t>d</w:t>
      </w:r>
      <w:r w:rsidRPr="008941C6">
        <w:rPr>
          <w:rFonts w:ascii="Verdana" w:eastAsia="Verdana" w:hAnsi="Verdana" w:cs="Verdana"/>
          <w:sz w:val="20"/>
          <w:szCs w:val="20"/>
          <w:lang w:val="es-MX"/>
        </w:rPr>
        <w:t xml:space="preserve">o </w:t>
      </w:r>
      <w:r>
        <w:rPr>
          <w:rFonts w:ascii="Verdana" w:eastAsia="Verdana" w:hAnsi="Verdana" w:cs="Verdana"/>
          <w:sz w:val="20"/>
          <w:szCs w:val="20"/>
          <w:lang w:val="es-MX"/>
        </w:rPr>
        <w:t>por medio de comunicaciones de</w:t>
      </w:r>
      <w:r w:rsidRPr="008941C6">
        <w:rPr>
          <w:rFonts w:ascii="Verdana" w:eastAsia="Verdana" w:hAnsi="Verdana" w:cs="Verdana"/>
          <w:sz w:val="20"/>
          <w:szCs w:val="20"/>
          <w:lang w:val="es-MX"/>
        </w:rPr>
        <w:t xml:space="preserve"> 3 de julio de</w:t>
      </w:r>
      <w:r w:rsidRPr="008941C6">
        <w:rPr>
          <w:rFonts w:ascii="Verdana" w:eastAsia="Verdana" w:hAnsi="Verdana" w:cs="Verdana"/>
          <w:spacing w:val="-3"/>
          <w:sz w:val="20"/>
          <w:szCs w:val="20"/>
          <w:lang w:val="es-MX"/>
        </w:rPr>
        <w:t xml:space="preserve"> </w:t>
      </w:r>
      <w:r w:rsidRPr="008941C6">
        <w:rPr>
          <w:rFonts w:ascii="Verdana" w:eastAsia="Verdana" w:hAnsi="Verdana" w:cs="Verdana"/>
          <w:sz w:val="20"/>
          <w:szCs w:val="20"/>
          <w:lang w:val="es-MX"/>
        </w:rPr>
        <w:t>20</w:t>
      </w:r>
      <w:r w:rsidRPr="008941C6">
        <w:rPr>
          <w:rFonts w:ascii="Verdana" w:eastAsia="Verdana" w:hAnsi="Verdana" w:cs="Verdana"/>
          <w:spacing w:val="1"/>
          <w:sz w:val="20"/>
          <w:szCs w:val="20"/>
          <w:lang w:val="es-MX"/>
        </w:rPr>
        <w:t>18</w:t>
      </w:r>
      <w:r>
        <w:rPr>
          <w:rStyle w:val="Refdenotaalpie"/>
          <w:rFonts w:ascii="Verdana" w:eastAsia="Verdana" w:hAnsi="Verdana" w:cs="Verdana"/>
          <w:spacing w:val="1"/>
          <w:lang w:val="es-MX"/>
        </w:rPr>
        <w:footnoteReference w:id="5"/>
      </w:r>
      <w:r>
        <w:rPr>
          <w:rFonts w:ascii="Verdana" w:eastAsia="Verdana" w:hAnsi="Verdana" w:cs="Verdana"/>
          <w:sz w:val="20"/>
          <w:szCs w:val="20"/>
          <w:lang w:val="es-MX"/>
        </w:rPr>
        <w:t>.</w:t>
      </w:r>
    </w:p>
    <w:p w14:paraId="7D59E7EB" w14:textId="77777777" w:rsidR="005E2829" w:rsidRPr="00012240" w:rsidRDefault="005E2829" w:rsidP="00414DEF">
      <w:pPr>
        <w:pStyle w:val="Prrafodelista"/>
        <w:spacing w:line="240" w:lineRule="auto"/>
        <w:ind w:left="0"/>
        <w:jc w:val="both"/>
        <w:rPr>
          <w:rFonts w:ascii="Verdana" w:eastAsia="Verdana" w:hAnsi="Verdana" w:cs="Verdana"/>
          <w:b/>
          <w:spacing w:val="-1"/>
          <w:sz w:val="20"/>
          <w:szCs w:val="20"/>
          <w:lang w:val="es-MX"/>
        </w:rPr>
      </w:pPr>
    </w:p>
    <w:p w14:paraId="7D231F93" w14:textId="11E54370" w:rsidR="005E2829" w:rsidRPr="00D215A3" w:rsidRDefault="005E2829" w:rsidP="00414DEF">
      <w:pPr>
        <w:pStyle w:val="Prrafodelista"/>
        <w:widowControl/>
        <w:numPr>
          <w:ilvl w:val="0"/>
          <w:numId w:val="26"/>
        </w:numPr>
        <w:spacing w:after="160" w:line="240" w:lineRule="auto"/>
        <w:ind w:left="0" w:firstLine="0"/>
        <w:jc w:val="both"/>
        <w:rPr>
          <w:rFonts w:ascii="Verdana" w:eastAsia="Verdana" w:hAnsi="Verdana" w:cs="Verdana"/>
          <w:b/>
          <w:spacing w:val="-1"/>
          <w:sz w:val="20"/>
          <w:szCs w:val="20"/>
          <w:lang w:val="es-MX"/>
        </w:rPr>
      </w:pPr>
      <w:r w:rsidRPr="008941C6">
        <w:rPr>
          <w:rFonts w:ascii="Verdana" w:eastAsia="Verdana" w:hAnsi="Verdana" w:cs="Verdana"/>
          <w:i/>
          <w:spacing w:val="-1"/>
          <w:sz w:val="20"/>
          <w:szCs w:val="20"/>
          <w:lang w:val="es-MX"/>
        </w:rPr>
        <w:t>E</w:t>
      </w:r>
      <w:r w:rsidRPr="008941C6">
        <w:rPr>
          <w:rFonts w:ascii="Verdana" w:eastAsia="Verdana" w:hAnsi="Verdana" w:cs="Verdana"/>
          <w:i/>
          <w:spacing w:val="2"/>
          <w:sz w:val="20"/>
          <w:szCs w:val="20"/>
          <w:lang w:val="es-MX"/>
        </w:rPr>
        <w:t>s</w:t>
      </w:r>
      <w:r w:rsidRPr="008941C6">
        <w:rPr>
          <w:rFonts w:ascii="Verdana" w:eastAsia="Verdana" w:hAnsi="Verdana" w:cs="Verdana"/>
          <w:i/>
          <w:sz w:val="20"/>
          <w:szCs w:val="20"/>
          <w:lang w:val="es-MX"/>
        </w:rPr>
        <w:t>c</w:t>
      </w:r>
      <w:r w:rsidRPr="008941C6">
        <w:rPr>
          <w:rFonts w:ascii="Verdana" w:eastAsia="Verdana" w:hAnsi="Verdana" w:cs="Verdana"/>
          <w:i/>
          <w:spacing w:val="-2"/>
          <w:sz w:val="20"/>
          <w:szCs w:val="20"/>
          <w:lang w:val="es-MX"/>
        </w:rPr>
        <w:t>r</w:t>
      </w:r>
      <w:r w:rsidRPr="008941C6">
        <w:rPr>
          <w:rFonts w:ascii="Verdana" w:eastAsia="Verdana" w:hAnsi="Verdana" w:cs="Verdana"/>
          <w:i/>
          <w:sz w:val="20"/>
          <w:szCs w:val="20"/>
          <w:lang w:val="es-MX"/>
        </w:rPr>
        <w:t>i</w:t>
      </w:r>
      <w:r w:rsidRPr="008941C6">
        <w:rPr>
          <w:rFonts w:ascii="Verdana" w:eastAsia="Verdana" w:hAnsi="Verdana" w:cs="Verdana"/>
          <w:i/>
          <w:spacing w:val="1"/>
          <w:sz w:val="20"/>
          <w:szCs w:val="20"/>
          <w:lang w:val="es-MX"/>
        </w:rPr>
        <w:t>t</w:t>
      </w:r>
      <w:r w:rsidRPr="008941C6">
        <w:rPr>
          <w:rFonts w:ascii="Verdana" w:eastAsia="Verdana" w:hAnsi="Verdana" w:cs="Verdana"/>
          <w:i/>
          <w:sz w:val="20"/>
          <w:szCs w:val="20"/>
          <w:lang w:val="es-MX"/>
        </w:rPr>
        <w:t>o</w:t>
      </w:r>
      <w:r w:rsidRPr="008941C6">
        <w:rPr>
          <w:rFonts w:ascii="Verdana" w:eastAsia="Verdana" w:hAnsi="Verdana" w:cs="Verdana"/>
          <w:i/>
          <w:spacing w:val="4"/>
          <w:sz w:val="20"/>
          <w:szCs w:val="20"/>
          <w:lang w:val="es-MX"/>
        </w:rPr>
        <w:t xml:space="preserve"> </w:t>
      </w:r>
      <w:r w:rsidRPr="008941C6">
        <w:rPr>
          <w:rFonts w:ascii="Verdana" w:eastAsia="Verdana" w:hAnsi="Verdana" w:cs="Verdana"/>
          <w:i/>
          <w:spacing w:val="1"/>
          <w:sz w:val="20"/>
          <w:szCs w:val="20"/>
          <w:lang w:val="es-MX"/>
        </w:rPr>
        <w:t>d</w:t>
      </w:r>
      <w:r w:rsidRPr="008941C6">
        <w:rPr>
          <w:rFonts w:ascii="Verdana" w:eastAsia="Verdana" w:hAnsi="Verdana" w:cs="Verdana"/>
          <w:i/>
          <w:sz w:val="20"/>
          <w:szCs w:val="20"/>
          <w:lang w:val="es-MX"/>
        </w:rPr>
        <w:t>e</w:t>
      </w:r>
      <w:r w:rsidRPr="008941C6">
        <w:rPr>
          <w:rFonts w:ascii="Verdana" w:eastAsia="Verdana" w:hAnsi="Verdana" w:cs="Verdana"/>
          <w:i/>
          <w:spacing w:val="9"/>
          <w:sz w:val="20"/>
          <w:szCs w:val="20"/>
          <w:lang w:val="es-MX"/>
        </w:rPr>
        <w:t xml:space="preserve"> </w:t>
      </w:r>
      <w:r w:rsidRPr="008941C6">
        <w:rPr>
          <w:rFonts w:ascii="Verdana" w:eastAsia="Verdana" w:hAnsi="Verdana" w:cs="Verdana"/>
          <w:i/>
          <w:spacing w:val="2"/>
          <w:sz w:val="20"/>
          <w:szCs w:val="20"/>
          <w:lang w:val="es-MX"/>
        </w:rPr>
        <w:t>s</w:t>
      </w:r>
      <w:r w:rsidRPr="008941C6">
        <w:rPr>
          <w:rFonts w:ascii="Verdana" w:eastAsia="Verdana" w:hAnsi="Verdana" w:cs="Verdana"/>
          <w:i/>
          <w:spacing w:val="-1"/>
          <w:sz w:val="20"/>
          <w:szCs w:val="20"/>
          <w:lang w:val="es-MX"/>
        </w:rPr>
        <w:t>o</w:t>
      </w:r>
      <w:r w:rsidRPr="008941C6">
        <w:rPr>
          <w:rFonts w:ascii="Verdana" w:eastAsia="Verdana" w:hAnsi="Verdana" w:cs="Verdana"/>
          <w:i/>
          <w:sz w:val="20"/>
          <w:szCs w:val="20"/>
          <w:lang w:val="es-MX"/>
        </w:rPr>
        <w:t>lici</w:t>
      </w:r>
      <w:r w:rsidRPr="008941C6">
        <w:rPr>
          <w:rFonts w:ascii="Verdana" w:eastAsia="Verdana" w:hAnsi="Verdana" w:cs="Verdana"/>
          <w:i/>
          <w:spacing w:val="1"/>
          <w:sz w:val="20"/>
          <w:szCs w:val="20"/>
          <w:lang w:val="es-MX"/>
        </w:rPr>
        <w:t>tud</w:t>
      </w:r>
      <w:r w:rsidRPr="008941C6">
        <w:rPr>
          <w:rFonts w:ascii="Verdana" w:eastAsia="Verdana" w:hAnsi="Verdana" w:cs="Verdana"/>
          <w:i/>
          <w:spacing w:val="-1"/>
          <w:sz w:val="20"/>
          <w:szCs w:val="20"/>
          <w:lang w:val="es-MX"/>
        </w:rPr>
        <w:t>e</w:t>
      </w:r>
      <w:r w:rsidRPr="008941C6">
        <w:rPr>
          <w:rFonts w:ascii="Verdana" w:eastAsia="Verdana" w:hAnsi="Verdana" w:cs="Verdana"/>
          <w:i/>
          <w:sz w:val="20"/>
          <w:szCs w:val="20"/>
          <w:lang w:val="es-MX"/>
        </w:rPr>
        <w:t xml:space="preserve">s, </w:t>
      </w:r>
      <w:r w:rsidRPr="008941C6">
        <w:rPr>
          <w:rFonts w:ascii="Verdana" w:eastAsia="Verdana" w:hAnsi="Verdana" w:cs="Verdana"/>
          <w:i/>
          <w:spacing w:val="2"/>
          <w:sz w:val="20"/>
          <w:szCs w:val="20"/>
          <w:lang w:val="es-MX"/>
        </w:rPr>
        <w:t>a</w:t>
      </w:r>
      <w:r w:rsidRPr="008941C6">
        <w:rPr>
          <w:rFonts w:ascii="Verdana" w:eastAsia="Verdana" w:hAnsi="Verdana" w:cs="Verdana"/>
          <w:i/>
          <w:spacing w:val="-1"/>
          <w:sz w:val="20"/>
          <w:szCs w:val="20"/>
          <w:lang w:val="es-MX"/>
        </w:rPr>
        <w:t>r</w:t>
      </w:r>
      <w:r w:rsidRPr="008941C6">
        <w:rPr>
          <w:rFonts w:ascii="Verdana" w:eastAsia="Verdana" w:hAnsi="Verdana" w:cs="Verdana"/>
          <w:i/>
          <w:spacing w:val="1"/>
          <w:sz w:val="20"/>
          <w:szCs w:val="20"/>
          <w:lang w:val="es-MX"/>
        </w:rPr>
        <w:t>gu</w:t>
      </w:r>
      <w:r w:rsidRPr="008941C6">
        <w:rPr>
          <w:rFonts w:ascii="Verdana" w:eastAsia="Verdana" w:hAnsi="Verdana" w:cs="Verdana"/>
          <w:i/>
          <w:sz w:val="20"/>
          <w:szCs w:val="20"/>
          <w:lang w:val="es-MX"/>
        </w:rPr>
        <w:t>men</w:t>
      </w:r>
      <w:r w:rsidRPr="008941C6">
        <w:rPr>
          <w:rFonts w:ascii="Verdana" w:eastAsia="Verdana" w:hAnsi="Verdana" w:cs="Verdana"/>
          <w:i/>
          <w:spacing w:val="1"/>
          <w:sz w:val="20"/>
          <w:szCs w:val="20"/>
          <w:lang w:val="es-MX"/>
        </w:rPr>
        <w:t>t</w:t>
      </w:r>
      <w:r w:rsidRPr="008941C6">
        <w:rPr>
          <w:rFonts w:ascii="Verdana" w:eastAsia="Verdana" w:hAnsi="Verdana" w:cs="Verdana"/>
          <w:i/>
          <w:spacing w:val="-1"/>
          <w:sz w:val="20"/>
          <w:szCs w:val="20"/>
          <w:lang w:val="es-MX"/>
        </w:rPr>
        <w:t>o</w:t>
      </w:r>
      <w:r w:rsidRPr="008941C6">
        <w:rPr>
          <w:rFonts w:ascii="Verdana" w:eastAsia="Verdana" w:hAnsi="Verdana" w:cs="Verdana"/>
          <w:i/>
          <w:sz w:val="20"/>
          <w:szCs w:val="20"/>
          <w:lang w:val="es-MX"/>
        </w:rPr>
        <w:t>s y</w:t>
      </w:r>
      <w:r w:rsidRPr="008941C6">
        <w:rPr>
          <w:rFonts w:ascii="Verdana" w:eastAsia="Verdana" w:hAnsi="Verdana" w:cs="Verdana"/>
          <w:i/>
          <w:spacing w:val="9"/>
          <w:sz w:val="20"/>
          <w:szCs w:val="20"/>
          <w:lang w:val="es-MX"/>
        </w:rPr>
        <w:t xml:space="preserve"> </w:t>
      </w:r>
      <w:r w:rsidRPr="008941C6">
        <w:rPr>
          <w:rFonts w:ascii="Verdana" w:eastAsia="Verdana" w:hAnsi="Verdana" w:cs="Verdana"/>
          <w:i/>
          <w:spacing w:val="3"/>
          <w:sz w:val="20"/>
          <w:szCs w:val="20"/>
          <w:lang w:val="es-MX"/>
        </w:rPr>
        <w:t>p</w:t>
      </w:r>
      <w:r w:rsidRPr="008941C6">
        <w:rPr>
          <w:rFonts w:ascii="Verdana" w:eastAsia="Verdana" w:hAnsi="Verdana" w:cs="Verdana"/>
          <w:i/>
          <w:spacing w:val="-1"/>
          <w:sz w:val="20"/>
          <w:szCs w:val="20"/>
          <w:lang w:val="es-MX"/>
        </w:rPr>
        <w:t>r</w:t>
      </w:r>
      <w:r w:rsidRPr="008941C6">
        <w:rPr>
          <w:rFonts w:ascii="Verdana" w:eastAsia="Verdana" w:hAnsi="Verdana" w:cs="Verdana"/>
          <w:i/>
          <w:spacing w:val="1"/>
          <w:sz w:val="20"/>
          <w:szCs w:val="20"/>
          <w:lang w:val="es-MX"/>
        </w:rPr>
        <w:t>u</w:t>
      </w:r>
      <w:r w:rsidRPr="008941C6">
        <w:rPr>
          <w:rFonts w:ascii="Verdana" w:eastAsia="Verdana" w:hAnsi="Verdana" w:cs="Verdana"/>
          <w:i/>
          <w:spacing w:val="-1"/>
          <w:sz w:val="20"/>
          <w:szCs w:val="20"/>
          <w:lang w:val="es-MX"/>
        </w:rPr>
        <w:t>e</w:t>
      </w:r>
      <w:r w:rsidRPr="008941C6">
        <w:rPr>
          <w:rFonts w:ascii="Verdana" w:eastAsia="Verdana" w:hAnsi="Verdana" w:cs="Verdana"/>
          <w:i/>
          <w:spacing w:val="1"/>
          <w:sz w:val="20"/>
          <w:szCs w:val="20"/>
          <w:lang w:val="es-MX"/>
        </w:rPr>
        <w:t>b</w:t>
      </w:r>
      <w:r w:rsidRPr="008941C6">
        <w:rPr>
          <w:rFonts w:ascii="Verdana" w:eastAsia="Verdana" w:hAnsi="Verdana" w:cs="Verdana"/>
          <w:i/>
          <w:sz w:val="20"/>
          <w:szCs w:val="20"/>
          <w:lang w:val="es-MX"/>
        </w:rPr>
        <w:t>a</w:t>
      </w:r>
      <w:r w:rsidRPr="008941C6">
        <w:rPr>
          <w:rFonts w:ascii="Verdana" w:eastAsia="Verdana" w:hAnsi="Verdana" w:cs="Verdana"/>
          <w:i/>
          <w:spacing w:val="2"/>
          <w:sz w:val="20"/>
          <w:szCs w:val="20"/>
          <w:lang w:val="es-MX"/>
        </w:rPr>
        <w:t>s</w:t>
      </w:r>
      <w:r w:rsidRPr="008941C6">
        <w:rPr>
          <w:rFonts w:ascii="Verdana" w:eastAsia="Verdana" w:hAnsi="Verdana" w:cs="Verdana"/>
          <w:i/>
          <w:sz w:val="20"/>
          <w:szCs w:val="20"/>
          <w:lang w:val="es-MX"/>
        </w:rPr>
        <w:t>.</w:t>
      </w:r>
      <w:r w:rsidRPr="008941C6">
        <w:rPr>
          <w:rFonts w:ascii="Verdana" w:eastAsia="Verdana" w:hAnsi="Verdana" w:cs="Verdana"/>
          <w:i/>
          <w:spacing w:val="6"/>
          <w:sz w:val="20"/>
          <w:szCs w:val="20"/>
          <w:lang w:val="es-MX"/>
        </w:rPr>
        <w:t xml:space="preserve"> </w:t>
      </w:r>
      <w:r w:rsidRPr="008941C6">
        <w:rPr>
          <w:rFonts w:ascii="Verdana" w:eastAsia="Verdana" w:hAnsi="Verdana" w:cs="Verdana"/>
          <w:i/>
          <w:sz w:val="20"/>
          <w:szCs w:val="20"/>
          <w:lang w:val="es-MX"/>
        </w:rPr>
        <w:t>–</w:t>
      </w:r>
      <w:r w:rsidRPr="008941C6">
        <w:rPr>
          <w:rFonts w:ascii="Verdana" w:eastAsia="Verdana" w:hAnsi="Verdana" w:cs="Verdana"/>
          <w:i/>
          <w:spacing w:val="12"/>
          <w:sz w:val="20"/>
          <w:szCs w:val="20"/>
          <w:lang w:val="es-MX"/>
        </w:rPr>
        <w:t xml:space="preserve"> </w:t>
      </w:r>
      <w:r w:rsidRPr="008941C6">
        <w:rPr>
          <w:rFonts w:ascii="Verdana" w:eastAsia="Verdana" w:hAnsi="Verdana" w:cs="Verdana"/>
          <w:spacing w:val="-1"/>
          <w:sz w:val="20"/>
          <w:szCs w:val="20"/>
          <w:lang w:val="es-MX"/>
        </w:rPr>
        <w:t>E</w:t>
      </w:r>
      <w:r w:rsidRPr="008941C6">
        <w:rPr>
          <w:rFonts w:ascii="Verdana" w:eastAsia="Verdana" w:hAnsi="Verdana" w:cs="Verdana"/>
          <w:sz w:val="20"/>
          <w:szCs w:val="20"/>
          <w:lang w:val="es-MX"/>
        </w:rPr>
        <w:t>l</w:t>
      </w:r>
      <w:r w:rsidRPr="008941C6">
        <w:rPr>
          <w:rFonts w:ascii="Verdana" w:eastAsia="Verdana" w:hAnsi="Verdana" w:cs="Verdana"/>
          <w:spacing w:val="11"/>
          <w:sz w:val="20"/>
          <w:szCs w:val="20"/>
          <w:lang w:val="es-MX"/>
        </w:rPr>
        <w:t xml:space="preserve"> 5 de septiembre de 2018</w:t>
      </w:r>
      <w:r>
        <w:rPr>
          <w:rFonts w:ascii="Verdana" w:eastAsia="Verdana" w:hAnsi="Verdana" w:cs="Verdana"/>
          <w:spacing w:val="-1"/>
          <w:sz w:val="20"/>
          <w:szCs w:val="20"/>
          <w:lang w:val="es-MX"/>
        </w:rPr>
        <w:t xml:space="preserve"> el representante</w:t>
      </w:r>
      <w:r>
        <w:rPr>
          <w:rFonts w:ascii="Verdana" w:eastAsia="Verdana" w:hAnsi="Verdana" w:cs="Verdana"/>
          <w:spacing w:val="11"/>
          <w:sz w:val="20"/>
          <w:szCs w:val="20"/>
          <w:lang w:val="es-MX"/>
        </w:rPr>
        <w:t xml:space="preserve"> presentó</w:t>
      </w:r>
      <w:r w:rsidRPr="008941C6">
        <w:rPr>
          <w:rFonts w:ascii="Verdana" w:eastAsia="Verdana" w:hAnsi="Verdana" w:cs="Verdana"/>
          <w:spacing w:val="11"/>
          <w:sz w:val="20"/>
          <w:szCs w:val="20"/>
          <w:lang w:val="es-MX"/>
        </w:rPr>
        <w:t xml:space="preserve"> </w:t>
      </w:r>
      <w:r w:rsidRPr="008941C6">
        <w:rPr>
          <w:rFonts w:ascii="Verdana" w:eastAsia="Verdana" w:hAnsi="Verdana" w:cs="Verdana"/>
          <w:sz w:val="20"/>
          <w:szCs w:val="20"/>
          <w:lang w:val="es-MX"/>
        </w:rPr>
        <w:t>su</w:t>
      </w:r>
      <w:r w:rsidRPr="008941C6">
        <w:rPr>
          <w:rFonts w:ascii="Verdana" w:eastAsia="Verdana" w:hAnsi="Verdana" w:cs="Verdana"/>
          <w:spacing w:val="11"/>
          <w:sz w:val="20"/>
          <w:szCs w:val="20"/>
          <w:lang w:val="es-MX"/>
        </w:rPr>
        <w:t xml:space="preserve"> </w:t>
      </w:r>
      <w:r w:rsidRPr="008941C6">
        <w:rPr>
          <w:rFonts w:ascii="Verdana" w:eastAsia="Verdana" w:hAnsi="Verdana" w:cs="Verdana"/>
          <w:spacing w:val="-1"/>
          <w:sz w:val="20"/>
          <w:szCs w:val="20"/>
          <w:lang w:val="es-MX"/>
        </w:rPr>
        <w:t>e</w:t>
      </w:r>
      <w:r w:rsidRPr="008941C6">
        <w:rPr>
          <w:rFonts w:ascii="Verdana" w:eastAsia="Verdana" w:hAnsi="Verdana" w:cs="Verdana"/>
          <w:sz w:val="20"/>
          <w:szCs w:val="20"/>
          <w:lang w:val="es-MX"/>
        </w:rPr>
        <w:t>s</w:t>
      </w:r>
      <w:r w:rsidRPr="008941C6">
        <w:rPr>
          <w:rFonts w:ascii="Verdana" w:eastAsia="Verdana" w:hAnsi="Verdana" w:cs="Verdana"/>
          <w:spacing w:val="1"/>
          <w:sz w:val="20"/>
          <w:szCs w:val="20"/>
          <w:lang w:val="es-MX"/>
        </w:rPr>
        <w:t>c</w:t>
      </w:r>
      <w:r w:rsidRPr="008941C6">
        <w:rPr>
          <w:rFonts w:ascii="Verdana" w:eastAsia="Verdana" w:hAnsi="Verdana" w:cs="Verdana"/>
          <w:spacing w:val="-1"/>
          <w:sz w:val="20"/>
          <w:szCs w:val="20"/>
          <w:lang w:val="es-MX"/>
        </w:rPr>
        <w:t>r</w:t>
      </w:r>
      <w:r w:rsidRPr="008941C6">
        <w:rPr>
          <w:rFonts w:ascii="Verdana" w:eastAsia="Verdana" w:hAnsi="Verdana" w:cs="Verdana"/>
          <w:spacing w:val="3"/>
          <w:sz w:val="20"/>
          <w:szCs w:val="20"/>
          <w:lang w:val="es-MX"/>
        </w:rPr>
        <w:t>i</w:t>
      </w:r>
      <w:r w:rsidRPr="008941C6">
        <w:rPr>
          <w:rFonts w:ascii="Verdana" w:eastAsia="Verdana" w:hAnsi="Verdana" w:cs="Verdana"/>
          <w:spacing w:val="1"/>
          <w:sz w:val="20"/>
          <w:szCs w:val="20"/>
          <w:lang w:val="es-MX"/>
        </w:rPr>
        <w:t>t</w:t>
      </w:r>
      <w:r w:rsidRPr="008941C6">
        <w:rPr>
          <w:rFonts w:ascii="Verdana" w:eastAsia="Verdana" w:hAnsi="Verdana" w:cs="Verdana"/>
          <w:sz w:val="20"/>
          <w:szCs w:val="20"/>
          <w:lang w:val="es-MX"/>
        </w:rPr>
        <w:t>o</w:t>
      </w:r>
      <w:r w:rsidRPr="008941C6">
        <w:rPr>
          <w:rFonts w:ascii="Verdana" w:eastAsia="Verdana" w:hAnsi="Verdana" w:cs="Verdana"/>
          <w:spacing w:val="5"/>
          <w:sz w:val="20"/>
          <w:szCs w:val="20"/>
          <w:lang w:val="es-MX"/>
        </w:rPr>
        <w:t xml:space="preserve"> </w:t>
      </w:r>
      <w:r w:rsidRPr="008941C6">
        <w:rPr>
          <w:rFonts w:ascii="Verdana" w:eastAsia="Verdana" w:hAnsi="Verdana" w:cs="Verdana"/>
          <w:spacing w:val="1"/>
          <w:sz w:val="20"/>
          <w:szCs w:val="20"/>
          <w:lang w:val="es-MX"/>
        </w:rPr>
        <w:t>d</w:t>
      </w:r>
      <w:r w:rsidRPr="008941C6">
        <w:rPr>
          <w:rFonts w:ascii="Verdana" w:eastAsia="Verdana" w:hAnsi="Verdana" w:cs="Verdana"/>
          <w:sz w:val="20"/>
          <w:szCs w:val="20"/>
          <w:lang w:val="es-MX"/>
        </w:rPr>
        <w:t>e</w:t>
      </w:r>
      <w:r w:rsidRPr="008941C6">
        <w:rPr>
          <w:rFonts w:ascii="Verdana" w:eastAsia="Verdana" w:hAnsi="Verdana" w:cs="Verdana"/>
          <w:spacing w:val="9"/>
          <w:sz w:val="20"/>
          <w:szCs w:val="20"/>
          <w:lang w:val="es-MX"/>
        </w:rPr>
        <w:t xml:space="preserve"> </w:t>
      </w:r>
      <w:r w:rsidRPr="008941C6">
        <w:rPr>
          <w:rFonts w:ascii="Verdana" w:eastAsia="Verdana" w:hAnsi="Verdana" w:cs="Verdana"/>
          <w:sz w:val="20"/>
          <w:szCs w:val="20"/>
          <w:lang w:val="es-MX"/>
        </w:rPr>
        <w:t>s</w:t>
      </w:r>
      <w:r w:rsidRPr="008941C6">
        <w:rPr>
          <w:rFonts w:ascii="Verdana" w:eastAsia="Verdana" w:hAnsi="Verdana" w:cs="Verdana"/>
          <w:spacing w:val="-2"/>
          <w:sz w:val="20"/>
          <w:szCs w:val="20"/>
          <w:lang w:val="es-MX"/>
        </w:rPr>
        <w:t>o</w:t>
      </w:r>
      <w:r w:rsidRPr="008941C6">
        <w:rPr>
          <w:rFonts w:ascii="Verdana" w:eastAsia="Verdana" w:hAnsi="Verdana" w:cs="Verdana"/>
          <w:spacing w:val="3"/>
          <w:sz w:val="20"/>
          <w:szCs w:val="20"/>
          <w:lang w:val="es-MX"/>
        </w:rPr>
        <w:t>li</w:t>
      </w:r>
      <w:r w:rsidRPr="008941C6">
        <w:rPr>
          <w:rFonts w:ascii="Verdana" w:eastAsia="Verdana" w:hAnsi="Verdana" w:cs="Verdana"/>
          <w:spacing w:val="-3"/>
          <w:sz w:val="20"/>
          <w:szCs w:val="20"/>
          <w:lang w:val="es-MX"/>
        </w:rPr>
        <w:t>c</w:t>
      </w:r>
      <w:r w:rsidRPr="008941C6">
        <w:rPr>
          <w:rFonts w:ascii="Verdana" w:eastAsia="Verdana" w:hAnsi="Verdana" w:cs="Verdana"/>
          <w:spacing w:val="3"/>
          <w:sz w:val="20"/>
          <w:szCs w:val="20"/>
          <w:lang w:val="es-MX"/>
        </w:rPr>
        <w:t>i</w:t>
      </w:r>
      <w:r w:rsidRPr="008941C6">
        <w:rPr>
          <w:rFonts w:ascii="Verdana" w:eastAsia="Verdana" w:hAnsi="Verdana" w:cs="Verdana"/>
          <w:spacing w:val="1"/>
          <w:sz w:val="20"/>
          <w:szCs w:val="20"/>
          <w:lang w:val="es-MX"/>
        </w:rPr>
        <w:t>t</w:t>
      </w:r>
      <w:r w:rsidRPr="008941C6">
        <w:rPr>
          <w:rFonts w:ascii="Verdana" w:eastAsia="Verdana" w:hAnsi="Verdana" w:cs="Verdana"/>
          <w:spacing w:val="-1"/>
          <w:sz w:val="20"/>
          <w:szCs w:val="20"/>
          <w:lang w:val="es-MX"/>
        </w:rPr>
        <w:t>u</w:t>
      </w:r>
      <w:r w:rsidRPr="008941C6">
        <w:rPr>
          <w:rFonts w:ascii="Verdana" w:eastAsia="Verdana" w:hAnsi="Verdana" w:cs="Verdana"/>
          <w:spacing w:val="1"/>
          <w:sz w:val="20"/>
          <w:szCs w:val="20"/>
          <w:lang w:val="es-MX"/>
        </w:rPr>
        <w:t>d</w:t>
      </w:r>
      <w:r w:rsidRPr="008941C6">
        <w:rPr>
          <w:rFonts w:ascii="Verdana" w:eastAsia="Verdana" w:hAnsi="Verdana" w:cs="Verdana"/>
          <w:spacing w:val="-1"/>
          <w:sz w:val="20"/>
          <w:szCs w:val="20"/>
          <w:lang w:val="es-MX"/>
        </w:rPr>
        <w:t>e</w:t>
      </w:r>
      <w:r w:rsidRPr="008941C6">
        <w:rPr>
          <w:rFonts w:ascii="Verdana" w:eastAsia="Verdana" w:hAnsi="Verdana" w:cs="Verdana"/>
          <w:sz w:val="20"/>
          <w:szCs w:val="20"/>
          <w:lang w:val="es-MX"/>
        </w:rPr>
        <w:t xml:space="preserve">s, </w:t>
      </w:r>
      <w:r w:rsidRPr="008941C6">
        <w:rPr>
          <w:rFonts w:ascii="Verdana" w:eastAsia="Verdana" w:hAnsi="Verdana" w:cs="Verdana"/>
          <w:spacing w:val="2"/>
          <w:sz w:val="20"/>
          <w:szCs w:val="20"/>
          <w:lang w:val="es-MX"/>
        </w:rPr>
        <w:t>a</w:t>
      </w:r>
      <w:r w:rsidRPr="008941C6">
        <w:rPr>
          <w:rFonts w:ascii="Verdana" w:eastAsia="Verdana" w:hAnsi="Verdana" w:cs="Verdana"/>
          <w:spacing w:val="-1"/>
          <w:sz w:val="20"/>
          <w:szCs w:val="20"/>
          <w:lang w:val="es-MX"/>
        </w:rPr>
        <w:t>r</w:t>
      </w:r>
      <w:r w:rsidRPr="008941C6">
        <w:rPr>
          <w:rFonts w:ascii="Verdana" w:eastAsia="Verdana" w:hAnsi="Verdana" w:cs="Verdana"/>
          <w:spacing w:val="1"/>
          <w:sz w:val="20"/>
          <w:szCs w:val="20"/>
          <w:lang w:val="es-MX"/>
        </w:rPr>
        <w:t>gu</w:t>
      </w:r>
      <w:r w:rsidRPr="008941C6">
        <w:rPr>
          <w:rFonts w:ascii="Verdana" w:eastAsia="Verdana" w:hAnsi="Verdana" w:cs="Verdana"/>
          <w:sz w:val="20"/>
          <w:szCs w:val="20"/>
          <w:lang w:val="es-MX"/>
        </w:rPr>
        <w:t>men</w:t>
      </w:r>
      <w:r w:rsidRPr="008941C6">
        <w:rPr>
          <w:rFonts w:ascii="Verdana" w:eastAsia="Verdana" w:hAnsi="Verdana" w:cs="Verdana"/>
          <w:spacing w:val="1"/>
          <w:sz w:val="20"/>
          <w:szCs w:val="20"/>
          <w:lang w:val="es-MX"/>
        </w:rPr>
        <w:t>t</w:t>
      </w:r>
      <w:r w:rsidRPr="008941C6">
        <w:rPr>
          <w:rFonts w:ascii="Verdana" w:eastAsia="Verdana" w:hAnsi="Verdana" w:cs="Verdana"/>
          <w:spacing w:val="-1"/>
          <w:sz w:val="20"/>
          <w:szCs w:val="20"/>
          <w:lang w:val="es-MX"/>
        </w:rPr>
        <w:t>o</w:t>
      </w:r>
      <w:r w:rsidRPr="008941C6">
        <w:rPr>
          <w:rFonts w:ascii="Verdana" w:eastAsia="Verdana" w:hAnsi="Verdana" w:cs="Verdana"/>
          <w:sz w:val="20"/>
          <w:szCs w:val="20"/>
          <w:lang w:val="es-MX"/>
        </w:rPr>
        <w:t>s y</w:t>
      </w:r>
      <w:r w:rsidRPr="008941C6">
        <w:rPr>
          <w:rFonts w:ascii="Verdana" w:eastAsia="Verdana" w:hAnsi="Verdana" w:cs="Verdana"/>
          <w:spacing w:val="11"/>
          <w:sz w:val="20"/>
          <w:szCs w:val="20"/>
          <w:lang w:val="es-MX"/>
        </w:rPr>
        <w:t xml:space="preserve"> </w:t>
      </w:r>
      <w:r w:rsidRPr="008941C6">
        <w:rPr>
          <w:rFonts w:ascii="Verdana" w:eastAsia="Verdana" w:hAnsi="Verdana" w:cs="Verdana"/>
          <w:spacing w:val="3"/>
          <w:sz w:val="20"/>
          <w:szCs w:val="20"/>
          <w:lang w:val="es-MX"/>
        </w:rPr>
        <w:t>p</w:t>
      </w:r>
      <w:r w:rsidRPr="008941C6">
        <w:rPr>
          <w:rFonts w:ascii="Verdana" w:eastAsia="Verdana" w:hAnsi="Verdana" w:cs="Verdana"/>
          <w:spacing w:val="-1"/>
          <w:sz w:val="20"/>
          <w:szCs w:val="20"/>
          <w:lang w:val="es-MX"/>
        </w:rPr>
        <w:t>r</w:t>
      </w:r>
      <w:r w:rsidRPr="008941C6">
        <w:rPr>
          <w:rFonts w:ascii="Verdana" w:eastAsia="Verdana" w:hAnsi="Verdana" w:cs="Verdana"/>
          <w:spacing w:val="1"/>
          <w:sz w:val="20"/>
          <w:szCs w:val="20"/>
          <w:lang w:val="es-MX"/>
        </w:rPr>
        <w:t>ueb</w:t>
      </w:r>
      <w:r w:rsidRPr="008941C6">
        <w:rPr>
          <w:rFonts w:ascii="Verdana" w:eastAsia="Verdana" w:hAnsi="Verdana" w:cs="Verdana"/>
          <w:sz w:val="20"/>
          <w:szCs w:val="20"/>
          <w:lang w:val="es-MX"/>
        </w:rPr>
        <w:t>as</w:t>
      </w:r>
      <w:r w:rsidRPr="008941C6">
        <w:rPr>
          <w:rFonts w:ascii="Verdana" w:eastAsia="Verdana" w:hAnsi="Verdana" w:cs="Verdana"/>
          <w:spacing w:val="4"/>
          <w:sz w:val="20"/>
          <w:szCs w:val="20"/>
          <w:lang w:val="es-MX"/>
        </w:rPr>
        <w:t xml:space="preserve"> </w:t>
      </w:r>
      <w:r w:rsidRPr="008941C6">
        <w:rPr>
          <w:rFonts w:ascii="Verdana" w:eastAsia="Verdana" w:hAnsi="Verdana" w:cs="Verdana"/>
          <w:spacing w:val="1"/>
          <w:sz w:val="20"/>
          <w:szCs w:val="20"/>
          <w:lang w:val="es-MX"/>
        </w:rPr>
        <w:t>(</w:t>
      </w:r>
      <w:r w:rsidRPr="008941C6">
        <w:rPr>
          <w:rFonts w:ascii="Verdana" w:eastAsia="Verdana" w:hAnsi="Verdana" w:cs="Verdana"/>
          <w:spacing w:val="-1"/>
          <w:sz w:val="20"/>
          <w:szCs w:val="20"/>
          <w:lang w:val="es-MX"/>
        </w:rPr>
        <w:t>e</w:t>
      </w:r>
      <w:r w:rsidRPr="008941C6">
        <w:rPr>
          <w:rFonts w:ascii="Verdana" w:eastAsia="Verdana" w:hAnsi="Verdana" w:cs="Verdana"/>
          <w:sz w:val="20"/>
          <w:szCs w:val="20"/>
          <w:lang w:val="es-MX"/>
        </w:rPr>
        <w:t>n</w:t>
      </w:r>
      <w:r w:rsidRPr="008941C6">
        <w:rPr>
          <w:rFonts w:ascii="Verdana" w:eastAsia="Verdana" w:hAnsi="Verdana" w:cs="Verdana"/>
          <w:spacing w:val="10"/>
          <w:sz w:val="20"/>
          <w:szCs w:val="20"/>
          <w:lang w:val="es-MX"/>
        </w:rPr>
        <w:t xml:space="preserve"> </w:t>
      </w:r>
      <w:r w:rsidRPr="008941C6">
        <w:rPr>
          <w:rFonts w:ascii="Verdana" w:eastAsia="Verdana" w:hAnsi="Verdana" w:cs="Verdana"/>
          <w:sz w:val="20"/>
          <w:szCs w:val="20"/>
          <w:lang w:val="es-MX"/>
        </w:rPr>
        <w:t>a</w:t>
      </w:r>
      <w:r w:rsidRPr="008941C6">
        <w:rPr>
          <w:rFonts w:ascii="Verdana" w:eastAsia="Verdana" w:hAnsi="Verdana" w:cs="Verdana"/>
          <w:spacing w:val="1"/>
          <w:sz w:val="20"/>
          <w:szCs w:val="20"/>
          <w:lang w:val="es-MX"/>
        </w:rPr>
        <w:t>d</w:t>
      </w:r>
      <w:r w:rsidRPr="008941C6">
        <w:rPr>
          <w:rFonts w:ascii="Verdana" w:eastAsia="Verdana" w:hAnsi="Verdana" w:cs="Verdana"/>
          <w:spacing w:val="-1"/>
          <w:sz w:val="20"/>
          <w:szCs w:val="20"/>
          <w:lang w:val="es-MX"/>
        </w:rPr>
        <w:t>e</w:t>
      </w:r>
      <w:r w:rsidRPr="008941C6">
        <w:rPr>
          <w:rFonts w:ascii="Verdana" w:eastAsia="Verdana" w:hAnsi="Verdana" w:cs="Verdana"/>
          <w:spacing w:val="3"/>
          <w:sz w:val="20"/>
          <w:szCs w:val="20"/>
          <w:lang w:val="es-MX"/>
        </w:rPr>
        <w:t>l</w:t>
      </w:r>
      <w:r w:rsidRPr="008941C6">
        <w:rPr>
          <w:rFonts w:ascii="Verdana" w:eastAsia="Verdana" w:hAnsi="Verdana" w:cs="Verdana"/>
          <w:sz w:val="20"/>
          <w:szCs w:val="20"/>
          <w:lang w:val="es-MX"/>
        </w:rPr>
        <w:t>a</w:t>
      </w:r>
      <w:r w:rsidRPr="008941C6">
        <w:rPr>
          <w:rFonts w:ascii="Verdana" w:eastAsia="Verdana" w:hAnsi="Verdana" w:cs="Verdana"/>
          <w:spacing w:val="1"/>
          <w:sz w:val="20"/>
          <w:szCs w:val="20"/>
          <w:lang w:val="es-MX"/>
        </w:rPr>
        <w:t>nt</w:t>
      </w:r>
      <w:r w:rsidRPr="008941C6">
        <w:rPr>
          <w:rFonts w:ascii="Verdana" w:eastAsia="Verdana" w:hAnsi="Verdana" w:cs="Verdana"/>
          <w:sz w:val="20"/>
          <w:szCs w:val="20"/>
          <w:lang w:val="es-MX"/>
        </w:rPr>
        <w:t>e</w:t>
      </w:r>
      <w:r w:rsidRPr="008941C6">
        <w:rPr>
          <w:rFonts w:ascii="Verdana" w:eastAsia="Verdana" w:hAnsi="Verdana" w:cs="Verdana"/>
          <w:spacing w:val="3"/>
          <w:sz w:val="20"/>
          <w:szCs w:val="20"/>
          <w:lang w:val="es-MX"/>
        </w:rPr>
        <w:t xml:space="preserve"> </w:t>
      </w:r>
      <w:r w:rsidRPr="008941C6">
        <w:rPr>
          <w:rFonts w:ascii="Verdana" w:eastAsia="Verdana" w:hAnsi="Verdana" w:cs="Verdana"/>
          <w:sz w:val="20"/>
          <w:szCs w:val="20"/>
          <w:lang w:val="es-MX"/>
        </w:rPr>
        <w:t>“</w:t>
      </w:r>
      <w:r w:rsidRPr="008941C6">
        <w:rPr>
          <w:rFonts w:ascii="Verdana" w:eastAsia="Verdana" w:hAnsi="Verdana" w:cs="Verdana"/>
          <w:spacing w:val="-1"/>
          <w:sz w:val="20"/>
          <w:szCs w:val="20"/>
          <w:lang w:val="es-MX"/>
        </w:rPr>
        <w:t>e</w:t>
      </w:r>
      <w:r w:rsidRPr="008941C6">
        <w:rPr>
          <w:rFonts w:ascii="Verdana" w:eastAsia="Verdana" w:hAnsi="Verdana" w:cs="Verdana"/>
          <w:sz w:val="20"/>
          <w:szCs w:val="20"/>
          <w:lang w:val="es-MX"/>
        </w:rPr>
        <w:t>s</w:t>
      </w:r>
      <w:r w:rsidRPr="008941C6">
        <w:rPr>
          <w:rFonts w:ascii="Verdana" w:eastAsia="Verdana" w:hAnsi="Verdana" w:cs="Verdana"/>
          <w:spacing w:val="1"/>
          <w:sz w:val="20"/>
          <w:szCs w:val="20"/>
          <w:lang w:val="es-MX"/>
        </w:rPr>
        <w:t>c</w:t>
      </w:r>
      <w:r w:rsidRPr="008941C6">
        <w:rPr>
          <w:rFonts w:ascii="Verdana" w:eastAsia="Verdana" w:hAnsi="Verdana" w:cs="Verdana"/>
          <w:spacing w:val="-1"/>
          <w:sz w:val="20"/>
          <w:szCs w:val="20"/>
          <w:lang w:val="es-MX"/>
        </w:rPr>
        <w:t>r</w:t>
      </w:r>
      <w:r w:rsidRPr="008941C6">
        <w:rPr>
          <w:rFonts w:ascii="Verdana" w:eastAsia="Verdana" w:hAnsi="Verdana" w:cs="Verdana"/>
          <w:spacing w:val="3"/>
          <w:sz w:val="20"/>
          <w:szCs w:val="20"/>
          <w:lang w:val="es-MX"/>
        </w:rPr>
        <w:t>i</w:t>
      </w:r>
      <w:r w:rsidRPr="008941C6">
        <w:rPr>
          <w:rFonts w:ascii="Verdana" w:eastAsia="Verdana" w:hAnsi="Verdana" w:cs="Verdana"/>
          <w:spacing w:val="-2"/>
          <w:sz w:val="20"/>
          <w:szCs w:val="20"/>
          <w:lang w:val="es-MX"/>
        </w:rPr>
        <w:t>t</w:t>
      </w:r>
      <w:r w:rsidRPr="008941C6">
        <w:rPr>
          <w:rFonts w:ascii="Verdana" w:eastAsia="Verdana" w:hAnsi="Verdana" w:cs="Verdana"/>
          <w:sz w:val="20"/>
          <w:szCs w:val="20"/>
          <w:lang w:val="es-MX"/>
        </w:rPr>
        <w:t xml:space="preserve">o </w:t>
      </w:r>
      <w:r w:rsidRPr="008941C6">
        <w:rPr>
          <w:rFonts w:ascii="Verdana" w:eastAsia="Verdana" w:hAnsi="Verdana" w:cs="Verdana"/>
          <w:spacing w:val="1"/>
          <w:sz w:val="20"/>
          <w:szCs w:val="20"/>
          <w:lang w:val="es-MX"/>
        </w:rPr>
        <w:t>d</w:t>
      </w:r>
      <w:r w:rsidRPr="008941C6">
        <w:rPr>
          <w:rFonts w:ascii="Verdana" w:eastAsia="Verdana" w:hAnsi="Verdana" w:cs="Verdana"/>
          <w:sz w:val="20"/>
          <w:szCs w:val="20"/>
          <w:lang w:val="es-MX"/>
        </w:rPr>
        <w:t>e</w:t>
      </w:r>
      <w:r w:rsidRPr="008941C6">
        <w:rPr>
          <w:rFonts w:ascii="Verdana" w:eastAsia="Verdana" w:hAnsi="Verdana" w:cs="Verdana"/>
          <w:spacing w:val="14"/>
          <w:sz w:val="20"/>
          <w:szCs w:val="20"/>
          <w:lang w:val="es-MX"/>
        </w:rPr>
        <w:t xml:space="preserve"> </w:t>
      </w:r>
      <w:r w:rsidRPr="008941C6">
        <w:rPr>
          <w:rFonts w:ascii="Verdana" w:eastAsia="Verdana" w:hAnsi="Verdana" w:cs="Verdana"/>
          <w:spacing w:val="2"/>
          <w:sz w:val="20"/>
          <w:szCs w:val="20"/>
          <w:lang w:val="es-MX"/>
        </w:rPr>
        <w:t>s</w:t>
      </w:r>
      <w:r w:rsidRPr="008941C6">
        <w:rPr>
          <w:rFonts w:ascii="Verdana" w:eastAsia="Verdana" w:hAnsi="Verdana" w:cs="Verdana"/>
          <w:spacing w:val="-1"/>
          <w:sz w:val="20"/>
          <w:szCs w:val="20"/>
          <w:lang w:val="es-MX"/>
        </w:rPr>
        <w:t>o</w:t>
      </w:r>
      <w:r w:rsidRPr="008941C6">
        <w:rPr>
          <w:rFonts w:ascii="Verdana" w:eastAsia="Verdana" w:hAnsi="Verdana" w:cs="Verdana"/>
          <w:spacing w:val="3"/>
          <w:sz w:val="20"/>
          <w:szCs w:val="20"/>
          <w:lang w:val="es-MX"/>
        </w:rPr>
        <w:t>li</w:t>
      </w:r>
      <w:r w:rsidRPr="008941C6">
        <w:rPr>
          <w:rFonts w:ascii="Verdana" w:eastAsia="Verdana" w:hAnsi="Verdana" w:cs="Verdana"/>
          <w:spacing w:val="-3"/>
          <w:sz w:val="20"/>
          <w:szCs w:val="20"/>
          <w:lang w:val="es-MX"/>
        </w:rPr>
        <w:t>c</w:t>
      </w:r>
      <w:r w:rsidRPr="008941C6">
        <w:rPr>
          <w:rFonts w:ascii="Verdana" w:eastAsia="Verdana" w:hAnsi="Verdana" w:cs="Verdana"/>
          <w:spacing w:val="3"/>
          <w:sz w:val="20"/>
          <w:szCs w:val="20"/>
          <w:lang w:val="es-MX"/>
        </w:rPr>
        <w:t>i</w:t>
      </w:r>
      <w:r w:rsidRPr="008941C6">
        <w:rPr>
          <w:rFonts w:ascii="Verdana" w:eastAsia="Verdana" w:hAnsi="Verdana" w:cs="Verdana"/>
          <w:spacing w:val="-2"/>
          <w:sz w:val="20"/>
          <w:szCs w:val="20"/>
          <w:lang w:val="es-MX"/>
        </w:rPr>
        <w:t>t</w:t>
      </w:r>
      <w:r w:rsidRPr="008941C6">
        <w:rPr>
          <w:rFonts w:ascii="Verdana" w:eastAsia="Verdana" w:hAnsi="Verdana" w:cs="Verdana"/>
          <w:spacing w:val="1"/>
          <w:sz w:val="20"/>
          <w:szCs w:val="20"/>
          <w:lang w:val="es-MX"/>
        </w:rPr>
        <w:t>ud</w:t>
      </w:r>
      <w:r w:rsidRPr="008941C6">
        <w:rPr>
          <w:rFonts w:ascii="Verdana" w:eastAsia="Verdana" w:hAnsi="Verdana" w:cs="Verdana"/>
          <w:spacing w:val="-1"/>
          <w:sz w:val="20"/>
          <w:szCs w:val="20"/>
          <w:lang w:val="es-MX"/>
        </w:rPr>
        <w:t>e</w:t>
      </w:r>
      <w:r w:rsidRPr="008941C6">
        <w:rPr>
          <w:rFonts w:ascii="Verdana" w:eastAsia="Verdana" w:hAnsi="Verdana" w:cs="Verdana"/>
          <w:sz w:val="20"/>
          <w:szCs w:val="20"/>
          <w:lang w:val="es-MX"/>
        </w:rPr>
        <w:t>s</w:t>
      </w:r>
      <w:r w:rsidRPr="008941C6">
        <w:rPr>
          <w:rFonts w:ascii="Verdana" w:eastAsia="Verdana" w:hAnsi="Verdana" w:cs="Verdana"/>
          <w:spacing w:val="7"/>
          <w:sz w:val="20"/>
          <w:szCs w:val="20"/>
          <w:lang w:val="es-MX"/>
        </w:rPr>
        <w:t xml:space="preserve"> </w:t>
      </w:r>
      <w:r w:rsidRPr="008941C6">
        <w:rPr>
          <w:rFonts w:ascii="Verdana" w:eastAsia="Verdana" w:hAnsi="Verdana" w:cs="Verdana"/>
          <w:sz w:val="20"/>
          <w:szCs w:val="20"/>
          <w:lang w:val="es-MX"/>
        </w:rPr>
        <w:t>y</w:t>
      </w:r>
      <w:r w:rsidRPr="008941C6">
        <w:rPr>
          <w:rFonts w:ascii="Verdana" w:eastAsia="Verdana" w:hAnsi="Verdana" w:cs="Verdana"/>
          <w:spacing w:val="16"/>
          <w:sz w:val="20"/>
          <w:szCs w:val="20"/>
          <w:lang w:val="es-MX"/>
        </w:rPr>
        <w:t xml:space="preserve"> </w:t>
      </w:r>
      <w:r w:rsidRPr="008941C6">
        <w:rPr>
          <w:rFonts w:ascii="Verdana" w:eastAsia="Verdana" w:hAnsi="Verdana" w:cs="Verdana"/>
          <w:spacing w:val="2"/>
          <w:sz w:val="20"/>
          <w:szCs w:val="20"/>
          <w:lang w:val="es-MX"/>
        </w:rPr>
        <w:t>a</w:t>
      </w:r>
      <w:r w:rsidRPr="008941C6">
        <w:rPr>
          <w:rFonts w:ascii="Verdana" w:eastAsia="Verdana" w:hAnsi="Verdana" w:cs="Verdana"/>
          <w:spacing w:val="-1"/>
          <w:sz w:val="20"/>
          <w:szCs w:val="20"/>
          <w:lang w:val="es-MX"/>
        </w:rPr>
        <w:t>r</w:t>
      </w:r>
      <w:r w:rsidRPr="008941C6">
        <w:rPr>
          <w:rFonts w:ascii="Verdana" w:eastAsia="Verdana" w:hAnsi="Verdana" w:cs="Verdana"/>
          <w:spacing w:val="1"/>
          <w:sz w:val="20"/>
          <w:szCs w:val="20"/>
          <w:lang w:val="es-MX"/>
        </w:rPr>
        <w:t>gu</w:t>
      </w:r>
      <w:r w:rsidRPr="008941C6">
        <w:rPr>
          <w:rFonts w:ascii="Verdana" w:eastAsia="Verdana" w:hAnsi="Verdana" w:cs="Verdana"/>
          <w:sz w:val="20"/>
          <w:szCs w:val="20"/>
          <w:lang w:val="es-MX"/>
        </w:rPr>
        <w:t>m</w:t>
      </w:r>
      <w:r w:rsidRPr="008941C6">
        <w:rPr>
          <w:rFonts w:ascii="Verdana" w:eastAsia="Verdana" w:hAnsi="Verdana" w:cs="Verdana"/>
          <w:spacing w:val="2"/>
          <w:sz w:val="20"/>
          <w:szCs w:val="20"/>
          <w:lang w:val="es-MX"/>
        </w:rPr>
        <w:t>e</w:t>
      </w:r>
      <w:r w:rsidRPr="008941C6">
        <w:rPr>
          <w:rFonts w:ascii="Verdana" w:eastAsia="Verdana" w:hAnsi="Verdana" w:cs="Verdana"/>
          <w:spacing w:val="1"/>
          <w:sz w:val="20"/>
          <w:szCs w:val="20"/>
          <w:lang w:val="es-MX"/>
        </w:rPr>
        <w:t>nt</w:t>
      </w:r>
      <w:r w:rsidRPr="008941C6">
        <w:rPr>
          <w:rFonts w:ascii="Verdana" w:eastAsia="Verdana" w:hAnsi="Verdana" w:cs="Verdana"/>
          <w:spacing w:val="-1"/>
          <w:sz w:val="20"/>
          <w:szCs w:val="20"/>
          <w:lang w:val="es-MX"/>
        </w:rPr>
        <w:t>o</w:t>
      </w:r>
      <w:r w:rsidRPr="008941C6">
        <w:rPr>
          <w:rFonts w:ascii="Verdana" w:eastAsia="Verdana" w:hAnsi="Verdana" w:cs="Verdana"/>
          <w:sz w:val="20"/>
          <w:szCs w:val="20"/>
          <w:lang w:val="es-MX"/>
        </w:rPr>
        <w:t>s”)</w:t>
      </w:r>
      <w:r>
        <w:rPr>
          <w:rFonts w:ascii="Verdana" w:eastAsia="Verdana" w:hAnsi="Verdana" w:cs="Verdana"/>
          <w:sz w:val="20"/>
          <w:szCs w:val="20"/>
          <w:lang w:val="es-MX"/>
        </w:rPr>
        <w:t>, conforme los artículos 25 y 40 del Reglamento.</w:t>
      </w:r>
      <w:r w:rsidRPr="008941C6">
        <w:rPr>
          <w:rFonts w:ascii="Verdana" w:eastAsia="Verdana" w:hAnsi="Verdana" w:cs="Verdana"/>
          <w:spacing w:val="12"/>
          <w:sz w:val="20"/>
          <w:szCs w:val="20"/>
          <w:lang w:val="es-MX"/>
        </w:rPr>
        <w:t xml:space="preserve"> </w:t>
      </w:r>
      <w:r>
        <w:rPr>
          <w:rFonts w:ascii="Verdana" w:eastAsia="Verdana" w:hAnsi="Verdana" w:cs="Verdana"/>
          <w:sz w:val="20"/>
          <w:szCs w:val="20"/>
          <w:lang w:val="es-MX"/>
        </w:rPr>
        <w:t>C</w:t>
      </w:r>
      <w:r w:rsidRPr="008941C6">
        <w:rPr>
          <w:rFonts w:ascii="Verdana" w:eastAsia="Verdana" w:hAnsi="Verdana" w:cs="Verdana"/>
          <w:spacing w:val="-2"/>
          <w:sz w:val="20"/>
          <w:szCs w:val="20"/>
          <w:lang w:val="es-MX"/>
        </w:rPr>
        <w:t>o</w:t>
      </w:r>
      <w:r w:rsidRPr="008941C6">
        <w:rPr>
          <w:rFonts w:ascii="Verdana" w:eastAsia="Verdana" w:hAnsi="Verdana" w:cs="Verdana"/>
          <w:spacing w:val="3"/>
          <w:sz w:val="20"/>
          <w:szCs w:val="20"/>
          <w:lang w:val="es-MX"/>
        </w:rPr>
        <w:t>i</w:t>
      </w:r>
      <w:r w:rsidRPr="008941C6">
        <w:rPr>
          <w:rFonts w:ascii="Verdana" w:eastAsia="Verdana" w:hAnsi="Verdana" w:cs="Verdana"/>
          <w:spacing w:val="1"/>
          <w:sz w:val="20"/>
          <w:szCs w:val="20"/>
          <w:lang w:val="es-MX"/>
        </w:rPr>
        <w:t>n</w:t>
      </w:r>
      <w:r w:rsidRPr="008941C6">
        <w:rPr>
          <w:rFonts w:ascii="Verdana" w:eastAsia="Verdana" w:hAnsi="Verdana" w:cs="Verdana"/>
          <w:sz w:val="20"/>
          <w:szCs w:val="20"/>
          <w:lang w:val="es-MX"/>
        </w:rPr>
        <w:t>c</w:t>
      </w:r>
      <w:r w:rsidRPr="008941C6">
        <w:rPr>
          <w:rFonts w:ascii="Verdana" w:eastAsia="Verdana" w:hAnsi="Verdana" w:cs="Verdana"/>
          <w:spacing w:val="2"/>
          <w:sz w:val="20"/>
          <w:szCs w:val="20"/>
          <w:lang w:val="es-MX"/>
        </w:rPr>
        <w:t>i</w:t>
      </w:r>
      <w:r w:rsidRPr="008941C6">
        <w:rPr>
          <w:rFonts w:ascii="Verdana" w:eastAsia="Verdana" w:hAnsi="Verdana" w:cs="Verdana"/>
          <w:spacing w:val="-2"/>
          <w:sz w:val="20"/>
          <w:szCs w:val="20"/>
          <w:lang w:val="es-MX"/>
        </w:rPr>
        <w:t>d</w:t>
      </w:r>
      <w:r w:rsidRPr="008941C6">
        <w:rPr>
          <w:rFonts w:ascii="Verdana" w:eastAsia="Verdana" w:hAnsi="Verdana" w:cs="Verdana"/>
          <w:spacing w:val="3"/>
          <w:sz w:val="20"/>
          <w:szCs w:val="20"/>
          <w:lang w:val="es-MX"/>
        </w:rPr>
        <w:t xml:space="preserve">ió </w:t>
      </w:r>
      <w:r w:rsidRPr="008941C6">
        <w:rPr>
          <w:rFonts w:ascii="Verdana" w:eastAsia="Verdana" w:hAnsi="Verdana" w:cs="Verdana"/>
          <w:sz w:val="20"/>
          <w:szCs w:val="20"/>
          <w:lang w:val="es-MX"/>
        </w:rPr>
        <w:t>c</w:t>
      </w:r>
      <w:r w:rsidRPr="008941C6">
        <w:rPr>
          <w:rFonts w:ascii="Verdana" w:eastAsia="Verdana" w:hAnsi="Verdana" w:cs="Verdana"/>
          <w:spacing w:val="-2"/>
          <w:sz w:val="20"/>
          <w:szCs w:val="20"/>
          <w:lang w:val="es-MX"/>
        </w:rPr>
        <w:t>o</w:t>
      </w:r>
      <w:r w:rsidRPr="008941C6">
        <w:rPr>
          <w:rFonts w:ascii="Verdana" w:eastAsia="Verdana" w:hAnsi="Verdana" w:cs="Verdana"/>
          <w:sz w:val="20"/>
          <w:szCs w:val="20"/>
          <w:lang w:val="es-MX"/>
        </w:rPr>
        <w:t>n</w:t>
      </w:r>
      <w:r w:rsidRPr="008941C6">
        <w:rPr>
          <w:rFonts w:ascii="Verdana" w:eastAsia="Verdana" w:hAnsi="Verdana" w:cs="Verdana"/>
          <w:spacing w:val="15"/>
          <w:sz w:val="20"/>
          <w:szCs w:val="20"/>
          <w:lang w:val="es-MX"/>
        </w:rPr>
        <w:t xml:space="preserve"> </w:t>
      </w:r>
      <w:r w:rsidRPr="008941C6">
        <w:rPr>
          <w:rFonts w:ascii="Verdana" w:eastAsia="Verdana" w:hAnsi="Verdana" w:cs="Verdana"/>
          <w:spacing w:val="3"/>
          <w:sz w:val="20"/>
          <w:szCs w:val="20"/>
          <w:lang w:val="es-MX"/>
        </w:rPr>
        <w:t>l</w:t>
      </w:r>
      <w:r w:rsidRPr="008941C6">
        <w:rPr>
          <w:rFonts w:ascii="Verdana" w:eastAsia="Verdana" w:hAnsi="Verdana" w:cs="Verdana"/>
          <w:spacing w:val="-1"/>
          <w:sz w:val="20"/>
          <w:szCs w:val="20"/>
          <w:lang w:val="es-MX"/>
        </w:rPr>
        <w:t>o</w:t>
      </w:r>
      <w:r w:rsidRPr="008941C6">
        <w:rPr>
          <w:rFonts w:ascii="Verdana" w:eastAsia="Verdana" w:hAnsi="Verdana" w:cs="Verdana"/>
          <w:sz w:val="20"/>
          <w:szCs w:val="20"/>
          <w:lang w:val="es-MX"/>
        </w:rPr>
        <w:t>s a</w:t>
      </w:r>
      <w:r w:rsidRPr="008941C6">
        <w:rPr>
          <w:rFonts w:ascii="Verdana" w:eastAsia="Verdana" w:hAnsi="Verdana" w:cs="Verdana"/>
          <w:spacing w:val="3"/>
          <w:sz w:val="20"/>
          <w:szCs w:val="20"/>
          <w:lang w:val="es-MX"/>
        </w:rPr>
        <w:t>l</w:t>
      </w:r>
      <w:r w:rsidRPr="008941C6">
        <w:rPr>
          <w:rFonts w:ascii="Verdana" w:eastAsia="Verdana" w:hAnsi="Verdana" w:cs="Verdana"/>
          <w:spacing w:val="-1"/>
          <w:sz w:val="20"/>
          <w:szCs w:val="20"/>
          <w:lang w:val="es-MX"/>
        </w:rPr>
        <w:t>e</w:t>
      </w:r>
      <w:r w:rsidRPr="008941C6">
        <w:rPr>
          <w:rFonts w:ascii="Verdana" w:eastAsia="Verdana" w:hAnsi="Verdana" w:cs="Verdana"/>
          <w:spacing w:val="1"/>
          <w:sz w:val="20"/>
          <w:szCs w:val="20"/>
          <w:lang w:val="es-MX"/>
        </w:rPr>
        <w:t>g</w:t>
      </w:r>
      <w:r w:rsidRPr="008941C6">
        <w:rPr>
          <w:rFonts w:ascii="Verdana" w:eastAsia="Verdana" w:hAnsi="Verdana" w:cs="Verdana"/>
          <w:sz w:val="20"/>
          <w:szCs w:val="20"/>
          <w:lang w:val="es-MX"/>
        </w:rPr>
        <w:t>a</w:t>
      </w:r>
      <w:r w:rsidRPr="008941C6">
        <w:rPr>
          <w:rFonts w:ascii="Verdana" w:eastAsia="Verdana" w:hAnsi="Verdana" w:cs="Verdana"/>
          <w:spacing w:val="1"/>
          <w:sz w:val="20"/>
          <w:szCs w:val="20"/>
          <w:lang w:val="es-MX"/>
        </w:rPr>
        <w:t>t</w:t>
      </w:r>
      <w:r w:rsidRPr="008941C6">
        <w:rPr>
          <w:rFonts w:ascii="Verdana" w:eastAsia="Verdana" w:hAnsi="Verdana" w:cs="Verdana"/>
          <w:spacing w:val="-1"/>
          <w:sz w:val="20"/>
          <w:szCs w:val="20"/>
          <w:lang w:val="es-MX"/>
        </w:rPr>
        <w:t>o</w:t>
      </w:r>
      <w:r w:rsidRPr="008941C6">
        <w:rPr>
          <w:rFonts w:ascii="Verdana" w:eastAsia="Verdana" w:hAnsi="Verdana" w:cs="Verdana"/>
          <w:sz w:val="20"/>
          <w:szCs w:val="20"/>
          <w:lang w:val="es-MX"/>
        </w:rPr>
        <w:t>s</w:t>
      </w:r>
      <w:r w:rsidRPr="008941C6">
        <w:rPr>
          <w:rFonts w:ascii="Verdana" w:eastAsia="Verdana" w:hAnsi="Verdana" w:cs="Verdana"/>
          <w:spacing w:val="1"/>
          <w:sz w:val="20"/>
          <w:szCs w:val="20"/>
          <w:lang w:val="es-MX"/>
        </w:rPr>
        <w:t xml:space="preserve"> d</w:t>
      </w:r>
      <w:r w:rsidRPr="008941C6">
        <w:rPr>
          <w:rFonts w:ascii="Verdana" w:eastAsia="Verdana" w:hAnsi="Verdana" w:cs="Verdana"/>
          <w:sz w:val="20"/>
          <w:szCs w:val="20"/>
          <w:lang w:val="es-MX"/>
        </w:rPr>
        <w:t>e</w:t>
      </w:r>
      <w:r w:rsidRPr="008941C6">
        <w:rPr>
          <w:rFonts w:ascii="Verdana" w:eastAsia="Verdana" w:hAnsi="Verdana" w:cs="Verdana"/>
          <w:spacing w:val="7"/>
          <w:sz w:val="20"/>
          <w:szCs w:val="20"/>
          <w:lang w:val="es-MX"/>
        </w:rPr>
        <w:t xml:space="preserve"> </w:t>
      </w:r>
      <w:r w:rsidRPr="008941C6">
        <w:rPr>
          <w:rFonts w:ascii="Verdana" w:eastAsia="Verdana" w:hAnsi="Verdana" w:cs="Verdana"/>
          <w:spacing w:val="3"/>
          <w:sz w:val="20"/>
          <w:szCs w:val="20"/>
          <w:lang w:val="es-MX"/>
        </w:rPr>
        <w:t>l</w:t>
      </w:r>
      <w:r w:rsidRPr="008941C6">
        <w:rPr>
          <w:rFonts w:ascii="Verdana" w:eastAsia="Verdana" w:hAnsi="Verdana" w:cs="Verdana"/>
          <w:sz w:val="20"/>
          <w:szCs w:val="20"/>
          <w:lang w:val="es-MX"/>
        </w:rPr>
        <w:t>a</w:t>
      </w:r>
      <w:r w:rsidRPr="008941C6">
        <w:rPr>
          <w:rFonts w:ascii="Verdana" w:eastAsia="Verdana" w:hAnsi="Verdana" w:cs="Verdana"/>
          <w:spacing w:val="9"/>
          <w:sz w:val="20"/>
          <w:szCs w:val="20"/>
          <w:lang w:val="es-MX"/>
        </w:rPr>
        <w:t xml:space="preserve"> </w:t>
      </w:r>
      <w:r w:rsidRPr="008941C6">
        <w:rPr>
          <w:rFonts w:ascii="Verdana" w:eastAsia="Verdana" w:hAnsi="Verdana" w:cs="Verdana"/>
          <w:sz w:val="20"/>
          <w:szCs w:val="20"/>
          <w:lang w:val="es-MX"/>
        </w:rPr>
        <w:t>C</w:t>
      </w:r>
      <w:r w:rsidRPr="008941C6">
        <w:rPr>
          <w:rFonts w:ascii="Verdana" w:eastAsia="Verdana" w:hAnsi="Verdana" w:cs="Verdana"/>
          <w:spacing w:val="-1"/>
          <w:sz w:val="20"/>
          <w:szCs w:val="20"/>
          <w:lang w:val="es-MX"/>
        </w:rPr>
        <w:t>o</w:t>
      </w:r>
      <w:r w:rsidRPr="008941C6">
        <w:rPr>
          <w:rFonts w:ascii="Verdana" w:eastAsia="Verdana" w:hAnsi="Verdana" w:cs="Verdana"/>
          <w:sz w:val="20"/>
          <w:szCs w:val="20"/>
          <w:lang w:val="es-MX"/>
        </w:rPr>
        <w:t>m</w:t>
      </w:r>
      <w:r w:rsidRPr="008941C6">
        <w:rPr>
          <w:rFonts w:ascii="Verdana" w:eastAsia="Verdana" w:hAnsi="Verdana" w:cs="Verdana"/>
          <w:spacing w:val="3"/>
          <w:sz w:val="20"/>
          <w:szCs w:val="20"/>
          <w:lang w:val="es-MX"/>
        </w:rPr>
        <w:t>i</w:t>
      </w:r>
      <w:r w:rsidRPr="008941C6">
        <w:rPr>
          <w:rFonts w:ascii="Verdana" w:eastAsia="Verdana" w:hAnsi="Verdana" w:cs="Verdana"/>
          <w:sz w:val="20"/>
          <w:szCs w:val="20"/>
          <w:lang w:val="es-MX"/>
        </w:rPr>
        <w:t>si</w:t>
      </w:r>
      <w:r w:rsidRPr="008941C6">
        <w:rPr>
          <w:rFonts w:ascii="Verdana" w:eastAsia="Verdana" w:hAnsi="Verdana" w:cs="Verdana"/>
          <w:spacing w:val="-1"/>
          <w:sz w:val="20"/>
          <w:szCs w:val="20"/>
          <w:lang w:val="es-MX"/>
        </w:rPr>
        <w:t>ó</w:t>
      </w:r>
      <w:r w:rsidRPr="008941C6">
        <w:rPr>
          <w:rFonts w:ascii="Verdana" w:eastAsia="Verdana" w:hAnsi="Verdana" w:cs="Verdana"/>
          <w:spacing w:val="1"/>
          <w:sz w:val="20"/>
          <w:szCs w:val="20"/>
          <w:lang w:val="es-MX"/>
        </w:rPr>
        <w:t>n</w:t>
      </w:r>
      <w:r>
        <w:rPr>
          <w:rFonts w:ascii="Verdana" w:eastAsia="Verdana" w:hAnsi="Verdana" w:cs="Verdana"/>
          <w:spacing w:val="1"/>
          <w:sz w:val="20"/>
          <w:szCs w:val="20"/>
          <w:lang w:val="es-MX"/>
        </w:rPr>
        <w:t xml:space="preserve"> y</w:t>
      </w:r>
      <w:r w:rsidRPr="008941C6">
        <w:rPr>
          <w:rFonts w:ascii="Verdana" w:eastAsia="Verdana" w:hAnsi="Verdana" w:cs="Verdana"/>
          <w:spacing w:val="4"/>
          <w:sz w:val="20"/>
          <w:szCs w:val="20"/>
          <w:lang w:val="es-MX"/>
        </w:rPr>
        <w:t xml:space="preserve"> </w:t>
      </w:r>
      <w:r>
        <w:rPr>
          <w:rFonts w:ascii="Verdana" w:eastAsia="Verdana" w:hAnsi="Verdana" w:cs="Verdana"/>
          <w:spacing w:val="4"/>
          <w:sz w:val="20"/>
          <w:szCs w:val="20"/>
          <w:lang w:val="es-MX"/>
        </w:rPr>
        <w:t>a</w:t>
      </w:r>
      <w:r w:rsidRPr="008941C6">
        <w:rPr>
          <w:rFonts w:ascii="Verdana" w:eastAsia="Verdana" w:hAnsi="Verdana" w:cs="Verdana"/>
          <w:spacing w:val="1"/>
          <w:sz w:val="20"/>
          <w:szCs w:val="20"/>
          <w:lang w:val="es-MX"/>
        </w:rPr>
        <w:t>d</w:t>
      </w:r>
      <w:r w:rsidRPr="008941C6">
        <w:rPr>
          <w:rFonts w:ascii="Verdana" w:eastAsia="Verdana" w:hAnsi="Verdana" w:cs="Verdana"/>
          <w:spacing w:val="-1"/>
          <w:sz w:val="20"/>
          <w:szCs w:val="20"/>
          <w:lang w:val="es-MX"/>
        </w:rPr>
        <w:t>e</w:t>
      </w:r>
      <w:r w:rsidRPr="008941C6">
        <w:rPr>
          <w:rFonts w:ascii="Verdana" w:eastAsia="Verdana" w:hAnsi="Verdana" w:cs="Verdana"/>
          <w:sz w:val="20"/>
          <w:szCs w:val="20"/>
          <w:lang w:val="es-MX"/>
        </w:rPr>
        <w:t>m</w:t>
      </w:r>
      <w:r w:rsidRPr="008941C6">
        <w:rPr>
          <w:rFonts w:ascii="Verdana" w:eastAsia="Verdana" w:hAnsi="Verdana" w:cs="Verdana"/>
          <w:spacing w:val="3"/>
          <w:sz w:val="20"/>
          <w:szCs w:val="20"/>
          <w:lang w:val="es-MX"/>
        </w:rPr>
        <w:t>á</w:t>
      </w:r>
      <w:r w:rsidRPr="008941C6">
        <w:rPr>
          <w:rFonts w:ascii="Verdana" w:eastAsia="Verdana" w:hAnsi="Verdana" w:cs="Verdana"/>
          <w:sz w:val="20"/>
          <w:szCs w:val="20"/>
          <w:lang w:val="es-MX"/>
        </w:rPr>
        <w:t>s</w:t>
      </w:r>
      <w:r w:rsidRPr="008941C6">
        <w:rPr>
          <w:rFonts w:ascii="Verdana" w:eastAsia="Verdana" w:hAnsi="Verdana" w:cs="Verdana"/>
          <w:spacing w:val="2"/>
          <w:sz w:val="20"/>
          <w:szCs w:val="20"/>
          <w:lang w:val="es-MX"/>
        </w:rPr>
        <w:t xml:space="preserve"> </w:t>
      </w:r>
      <w:r w:rsidRPr="008941C6">
        <w:rPr>
          <w:rFonts w:ascii="Verdana" w:eastAsia="Verdana" w:hAnsi="Verdana" w:cs="Verdana"/>
          <w:sz w:val="20"/>
          <w:szCs w:val="20"/>
          <w:lang w:val="es-MX"/>
        </w:rPr>
        <w:t xml:space="preserve">solicitó que la Corte declare responsable al Estado por violación de los derechos </w:t>
      </w:r>
      <w:r>
        <w:rPr>
          <w:rFonts w:ascii="Verdana" w:eastAsia="Verdana" w:hAnsi="Verdana" w:cs="Verdana"/>
          <w:sz w:val="20"/>
          <w:szCs w:val="20"/>
          <w:lang w:val="es-MX"/>
        </w:rPr>
        <w:t>a la integridad personal y</w:t>
      </w:r>
      <w:r w:rsidR="00897585">
        <w:rPr>
          <w:rFonts w:ascii="Verdana" w:eastAsia="Verdana" w:hAnsi="Verdana" w:cs="Verdana"/>
          <w:sz w:val="20"/>
          <w:szCs w:val="20"/>
          <w:lang w:val="es-MX"/>
        </w:rPr>
        <w:t xml:space="preserve"> a la protección judicial. Solicitó</w:t>
      </w:r>
      <w:r>
        <w:rPr>
          <w:rFonts w:ascii="Verdana" w:eastAsia="Verdana" w:hAnsi="Verdana" w:cs="Verdana"/>
          <w:sz w:val="20"/>
          <w:szCs w:val="20"/>
          <w:lang w:val="es-MX"/>
        </w:rPr>
        <w:t xml:space="preserve"> diversas medidas de reparación y el pago de “honorarios”.</w:t>
      </w:r>
    </w:p>
    <w:p w14:paraId="477F3852" w14:textId="77777777" w:rsidR="005E2829" w:rsidRPr="00D215A3" w:rsidRDefault="005E2829" w:rsidP="00414DEF">
      <w:pPr>
        <w:pStyle w:val="Prrafodelista"/>
        <w:spacing w:line="240" w:lineRule="auto"/>
        <w:ind w:left="0"/>
        <w:rPr>
          <w:rFonts w:ascii="Verdana" w:eastAsia="Verdana" w:hAnsi="Verdana" w:cs="Verdana"/>
          <w:b/>
          <w:spacing w:val="-1"/>
          <w:sz w:val="20"/>
          <w:szCs w:val="20"/>
          <w:lang w:val="es-MX"/>
        </w:rPr>
      </w:pPr>
    </w:p>
    <w:p w14:paraId="76A08D9C" w14:textId="2358D6B0" w:rsidR="005E2829" w:rsidRPr="002F02C5" w:rsidRDefault="005E2829" w:rsidP="00414DEF">
      <w:pPr>
        <w:pStyle w:val="Prrafodelista"/>
        <w:widowControl/>
        <w:numPr>
          <w:ilvl w:val="0"/>
          <w:numId w:val="26"/>
        </w:numPr>
        <w:spacing w:after="160" w:line="240" w:lineRule="auto"/>
        <w:ind w:left="0" w:firstLine="0"/>
        <w:jc w:val="both"/>
        <w:rPr>
          <w:rFonts w:ascii="Verdana" w:eastAsia="Verdana" w:hAnsi="Verdana" w:cs="Verdana"/>
          <w:spacing w:val="-1"/>
          <w:sz w:val="20"/>
          <w:szCs w:val="20"/>
          <w:lang w:val="es-MX"/>
        </w:rPr>
      </w:pPr>
      <w:r w:rsidRPr="00D215A3">
        <w:rPr>
          <w:rFonts w:ascii="Verdana" w:eastAsia="Verdana" w:hAnsi="Verdana" w:cs="Verdana"/>
          <w:i/>
          <w:spacing w:val="-1"/>
          <w:sz w:val="20"/>
          <w:szCs w:val="20"/>
          <w:lang w:val="es-MX"/>
        </w:rPr>
        <w:t>Escrito de contestación</w:t>
      </w:r>
      <w:r w:rsidRPr="00D215A3">
        <w:rPr>
          <w:rFonts w:ascii="Verdana" w:eastAsia="Verdana" w:hAnsi="Verdana" w:cs="Verdana"/>
          <w:spacing w:val="-1"/>
          <w:sz w:val="20"/>
          <w:szCs w:val="20"/>
          <w:lang w:val="es-MX"/>
        </w:rPr>
        <w:t xml:space="preserve">. - </w:t>
      </w:r>
      <w:r w:rsidRPr="008941C6">
        <w:rPr>
          <w:rFonts w:ascii="Verdana" w:eastAsia="Verdana" w:hAnsi="Verdana" w:cs="Verdana"/>
          <w:spacing w:val="-1"/>
          <w:sz w:val="20"/>
          <w:szCs w:val="20"/>
          <w:lang w:val="es-MX"/>
        </w:rPr>
        <w:t>E</w:t>
      </w:r>
      <w:r w:rsidRPr="008941C6">
        <w:rPr>
          <w:rFonts w:ascii="Verdana" w:eastAsia="Verdana" w:hAnsi="Verdana" w:cs="Verdana"/>
          <w:sz w:val="20"/>
          <w:szCs w:val="20"/>
          <w:lang w:val="es-MX"/>
        </w:rPr>
        <w:t>l</w:t>
      </w:r>
      <w:r w:rsidRPr="008941C6">
        <w:rPr>
          <w:rFonts w:ascii="Verdana" w:eastAsia="Verdana" w:hAnsi="Verdana" w:cs="Verdana"/>
          <w:spacing w:val="2"/>
          <w:sz w:val="20"/>
          <w:szCs w:val="20"/>
          <w:lang w:val="es-MX"/>
        </w:rPr>
        <w:t xml:space="preserve"> </w:t>
      </w:r>
      <w:r w:rsidRPr="008941C6">
        <w:rPr>
          <w:rFonts w:ascii="Verdana" w:eastAsia="Verdana" w:hAnsi="Verdana" w:cs="Verdana"/>
          <w:sz w:val="20"/>
          <w:szCs w:val="20"/>
          <w:lang w:val="es-MX"/>
        </w:rPr>
        <w:t>28</w:t>
      </w:r>
      <w:r w:rsidRPr="008941C6">
        <w:rPr>
          <w:rFonts w:ascii="Verdana" w:eastAsia="Verdana" w:hAnsi="Verdana" w:cs="Verdana"/>
          <w:spacing w:val="-1"/>
          <w:sz w:val="20"/>
          <w:szCs w:val="20"/>
          <w:lang w:val="es-MX"/>
        </w:rPr>
        <w:t xml:space="preserve"> </w:t>
      </w:r>
      <w:r w:rsidRPr="008941C6">
        <w:rPr>
          <w:rFonts w:ascii="Verdana" w:eastAsia="Verdana" w:hAnsi="Verdana" w:cs="Verdana"/>
          <w:spacing w:val="1"/>
          <w:sz w:val="20"/>
          <w:szCs w:val="20"/>
          <w:lang w:val="es-MX"/>
        </w:rPr>
        <w:t>d</w:t>
      </w:r>
      <w:r w:rsidRPr="008941C6">
        <w:rPr>
          <w:rFonts w:ascii="Verdana" w:eastAsia="Verdana" w:hAnsi="Verdana" w:cs="Verdana"/>
          <w:sz w:val="20"/>
          <w:szCs w:val="20"/>
          <w:lang w:val="es-MX"/>
        </w:rPr>
        <w:t>e</w:t>
      </w:r>
      <w:r w:rsidRPr="008941C6">
        <w:rPr>
          <w:rFonts w:ascii="Verdana" w:eastAsia="Verdana" w:hAnsi="Verdana" w:cs="Verdana"/>
          <w:spacing w:val="-2"/>
          <w:sz w:val="20"/>
          <w:szCs w:val="20"/>
          <w:lang w:val="es-MX"/>
        </w:rPr>
        <w:t xml:space="preserve"> </w:t>
      </w:r>
      <w:r w:rsidRPr="008941C6">
        <w:rPr>
          <w:rFonts w:ascii="Verdana" w:eastAsia="Verdana" w:hAnsi="Verdana" w:cs="Verdana"/>
          <w:spacing w:val="1"/>
          <w:sz w:val="20"/>
          <w:szCs w:val="20"/>
          <w:lang w:val="es-MX"/>
        </w:rPr>
        <w:t>n</w:t>
      </w:r>
      <w:r w:rsidRPr="008941C6">
        <w:rPr>
          <w:rFonts w:ascii="Verdana" w:eastAsia="Verdana" w:hAnsi="Verdana" w:cs="Verdana"/>
          <w:spacing w:val="-1"/>
          <w:sz w:val="20"/>
          <w:szCs w:val="20"/>
          <w:lang w:val="es-MX"/>
        </w:rPr>
        <w:t>o</w:t>
      </w:r>
      <w:r w:rsidRPr="008941C6">
        <w:rPr>
          <w:rFonts w:ascii="Verdana" w:eastAsia="Verdana" w:hAnsi="Verdana" w:cs="Verdana"/>
          <w:sz w:val="20"/>
          <w:szCs w:val="20"/>
          <w:lang w:val="es-MX"/>
        </w:rPr>
        <w:t>v</w:t>
      </w:r>
      <w:r w:rsidRPr="008941C6">
        <w:rPr>
          <w:rFonts w:ascii="Verdana" w:eastAsia="Verdana" w:hAnsi="Verdana" w:cs="Verdana"/>
          <w:spacing w:val="3"/>
          <w:sz w:val="20"/>
          <w:szCs w:val="20"/>
          <w:lang w:val="es-MX"/>
        </w:rPr>
        <w:t>i</w:t>
      </w:r>
      <w:r w:rsidRPr="008941C6">
        <w:rPr>
          <w:rFonts w:ascii="Verdana" w:eastAsia="Verdana" w:hAnsi="Verdana" w:cs="Verdana"/>
          <w:spacing w:val="-1"/>
          <w:sz w:val="20"/>
          <w:szCs w:val="20"/>
          <w:lang w:val="es-MX"/>
        </w:rPr>
        <w:t>e</w:t>
      </w:r>
      <w:r w:rsidRPr="008941C6">
        <w:rPr>
          <w:rFonts w:ascii="Verdana" w:eastAsia="Verdana" w:hAnsi="Verdana" w:cs="Verdana"/>
          <w:sz w:val="20"/>
          <w:szCs w:val="20"/>
          <w:lang w:val="es-MX"/>
        </w:rPr>
        <w:t>m</w:t>
      </w:r>
      <w:r w:rsidRPr="008941C6">
        <w:rPr>
          <w:rFonts w:ascii="Verdana" w:eastAsia="Verdana" w:hAnsi="Verdana" w:cs="Verdana"/>
          <w:spacing w:val="1"/>
          <w:sz w:val="20"/>
          <w:szCs w:val="20"/>
          <w:lang w:val="es-MX"/>
        </w:rPr>
        <w:t>br</w:t>
      </w:r>
      <w:r w:rsidRPr="008941C6">
        <w:rPr>
          <w:rFonts w:ascii="Verdana" w:eastAsia="Verdana" w:hAnsi="Verdana" w:cs="Verdana"/>
          <w:sz w:val="20"/>
          <w:szCs w:val="20"/>
          <w:lang w:val="es-MX"/>
        </w:rPr>
        <w:t>e</w:t>
      </w:r>
      <w:r w:rsidRPr="008941C6">
        <w:rPr>
          <w:rFonts w:ascii="Verdana" w:eastAsia="Verdana" w:hAnsi="Verdana" w:cs="Verdana"/>
          <w:spacing w:val="-11"/>
          <w:sz w:val="20"/>
          <w:szCs w:val="20"/>
          <w:lang w:val="es-MX"/>
        </w:rPr>
        <w:t xml:space="preserve"> </w:t>
      </w:r>
      <w:r w:rsidRPr="008941C6">
        <w:rPr>
          <w:rFonts w:ascii="Verdana" w:eastAsia="Verdana" w:hAnsi="Verdana" w:cs="Verdana"/>
          <w:spacing w:val="3"/>
          <w:sz w:val="20"/>
          <w:szCs w:val="20"/>
          <w:lang w:val="es-MX"/>
        </w:rPr>
        <w:t>d</w:t>
      </w:r>
      <w:r w:rsidRPr="008941C6">
        <w:rPr>
          <w:rFonts w:ascii="Verdana" w:eastAsia="Verdana" w:hAnsi="Verdana" w:cs="Verdana"/>
          <w:sz w:val="20"/>
          <w:szCs w:val="20"/>
          <w:lang w:val="es-MX"/>
        </w:rPr>
        <w:t>e</w:t>
      </w:r>
      <w:r w:rsidRPr="008941C6">
        <w:rPr>
          <w:rFonts w:ascii="Verdana" w:eastAsia="Verdana" w:hAnsi="Verdana" w:cs="Verdana"/>
          <w:spacing w:val="-2"/>
          <w:sz w:val="20"/>
          <w:szCs w:val="20"/>
          <w:lang w:val="es-MX"/>
        </w:rPr>
        <w:t xml:space="preserve"> </w:t>
      </w:r>
      <w:r w:rsidRPr="008941C6">
        <w:rPr>
          <w:rFonts w:ascii="Verdana" w:eastAsia="Verdana" w:hAnsi="Verdana" w:cs="Verdana"/>
          <w:sz w:val="20"/>
          <w:szCs w:val="20"/>
          <w:lang w:val="es-MX"/>
        </w:rPr>
        <w:t>2</w:t>
      </w:r>
      <w:r w:rsidRPr="008941C6">
        <w:rPr>
          <w:rFonts w:ascii="Verdana" w:eastAsia="Verdana" w:hAnsi="Verdana" w:cs="Verdana"/>
          <w:spacing w:val="1"/>
          <w:sz w:val="20"/>
          <w:szCs w:val="20"/>
          <w:lang w:val="es-MX"/>
        </w:rPr>
        <w:t>0</w:t>
      </w:r>
      <w:r w:rsidRPr="008941C6">
        <w:rPr>
          <w:rFonts w:ascii="Verdana" w:eastAsia="Verdana" w:hAnsi="Verdana" w:cs="Verdana"/>
          <w:sz w:val="20"/>
          <w:szCs w:val="20"/>
          <w:lang w:val="es-MX"/>
        </w:rPr>
        <w:t>18</w:t>
      </w:r>
      <w:r w:rsidRPr="008941C6">
        <w:rPr>
          <w:rFonts w:ascii="Verdana" w:eastAsia="Verdana" w:hAnsi="Verdana" w:cs="Verdana"/>
          <w:spacing w:val="-3"/>
          <w:sz w:val="20"/>
          <w:szCs w:val="20"/>
          <w:lang w:val="es-MX"/>
        </w:rPr>
        <w:t xml:space="preserve"> </w:t>
      </w:r>
      <w:r>
        <w:rPr>
          <w:rFonts w:ascii="Verdana" w:eastAsia="Verdana" w:hAnsi="Verdana" w:cs="Verdana"/>
          <w:spacing w:val="-1"/>
          <w:sz w:val="20"/>
          <w:szCs w:val="20"/>
          <w:lang w:val="es-MX"/>
        </w:rPr>
        <w:t>Ecuador</w:t>
      </w:r>
      <w:r w:rsidRPr="008941C6">
        <w:rPr>
          <w:rFonts w:ascii="Verdana" w:eastAsia="Verdana" w:hAnsi="Verdana" w:cs="Verdana"/>
          <w:spacing w:val="18"/>
          <w:position w:val="9"/>
          <w:sz w:val="13"/>
          <w:szCs w:val="13"/>
          <w:lang w:val="es-MX"/>
        </w:rPr>
        <w:t xml:space="preserve"> </w:t>
      </w:r>
      <w:r w:rsidRPr="008941C6">
        <w:rPr>
          <w:rFonts w:ascii="Verdana" w:eastAsia="Verdana" w:hAnsi="Verdana" w:cs="Verdana"/>
          <w:spacing w:val="1"/>
          <w:sz w:val="20"/>
          <w:szCs w:val="20"/>
          <w:lang w:val="es-MX"/>
        </w:rPr>
        <w:t>p</w:t>
      </w:r>
      <w:r w:rsidRPr="008941C6">
        <w:rPr>
          <w:rFonts w:ascii="Verdana" w:eastAsia="Verdana" w:hAnsi="Verdana" w:cs="Verdana"/>
          <w:spacing w:val="-1"/>
          <w:sz w:val="20"/>
          <w:szCs w:val="20"/>
          <w:lang w:val="es-MX"/>
        </w:rPr>
        <w:t>re</w:t>
      </w:r>
      <w:r w:rsidRPr="008941C6">
        <w:rPr>
          <w:rFonts w:ascii="Verdana" w:eastAsia="Verdana" w:hAnsi="Verdana" w:cs="Verdana"/>
          <w:spacing w:val="2"/>
          <w:sz w:val="20"/>
          <w:szCs w:val="20"/>
          <w:lang w:val="es-MX"/>
        </w:rPr>
        <w:t>s</w:t>
      </w:r>
      <w:r w:rsidRPr="008941C6">
        <w:rPr>
          <w:rFonts w:ascii="Verdana" w:eastAsia="Verdana" w:hAnsi="Verdana" w:cs="Verdana"/>
          <w:spacing w:val="-1"/>
          <w:sz w:val="20"/>
          <w:szCs w:val="20"/>
          <w:lang w:val="es-MX"/>
        </w:rPr>
        <w:t>e</w:t>
      </w:r>
      <w:r w:rsidRPr="008941C6">
        <w:rPr>
          <w:rFonts w:ascii="Verdana" w:eastAsia="Verdana" w:hAnsi="Verdana" w:cs="Verdana"/>
          <w:spacing w:val="3"/>
          <w:sz w:val="20"/>
          <w:szCs w:val="20"/>
          <w:lang w:val="es-MX"/>
        </w:rPr>
        <w:t>n</w:t>
      </w:r>
      <w:r w:rsidRPr="008941C6">
        <w:rPr>
          <w:rFonts w:ascii="Verdana" w:eastAsia="Verdana" w:hAnsi="Verdana" w:cs="Verdana"/>
          <w:spacing w:val="1"/>
          <w:sz w:val="20"/>
          <w:szCs w:val="20"/>
          <w:lang w:val="es-MX"/>
        </w:rPr>
        <w:t>t</w:t>
      </w:r>
      <w:r w:rsidRPr="008941C6">
        <w:rPr>
          <w:rFonts w:ascii="Verdana" w:eastAsia="Verdana" w:hAnsi="Verdana" w:cs="Verdana"/>
          <w:sz w:val="20"/>
          <w:szCs w:val="20"/>
          <w:lang w:val="es-MX"/>
        </w:rPr>
        <w:t>ó</w:t>
      </w:r>
      <w:r w:rsidRPr="008941C6">
        <w:rPr>
          <w:rFonts w:ascii="Verdana" w:eastAsia="Verdana" w:hAnsi="Verdana" w:cs="Verdana"/>
          <w:spacing w:val="-9"/>
          <w:sz w:val="20"/>
          <w:szCs w:val="20"/>
          <w:lang w:val="es-MX"/>
        </w:rPr>
        <w:t xml:space="preserve"> </w:t>
      </w:r>
      <w:r w:rsidRPr="008941C6">
        <w:rPr>
          <w:rFonts w:ascii="Verdana" w:eastAsia="Verdana" w:hAnsi="Verdana" w:cs="Verdana"/>
          <w:sz w:val="20"/>
          <w:szCs w:val="20"/>
          <w:lang w:val="es-MX"/>
        </w:rPr>
        <w:t>su es</w:t>
      </w:r>
      <w:r w:rsidRPr="008941C6">
        <w:rPr>
          <w:rFonts w:ascii="Verdana" w:eastAsia="Verdana" w:hAnsi="Verdana" w:cs="Verdana"/>
          <w:spacing w:val="1"/>
          <w:sz w:val="20"/>
          <w:szCs w:val="20"/>
          <w:lang w:val="es-MX"/>
        </w:rPr>
        <w:t>c</w:t>
      </w:r>
      <w:r w:rsidRPr="008941C6">
        <w:rPr>
          <w:rFonts w:ascii="Verdana" w:eastAsia="Verdana" w:hAnsi="Verdana" w:cs="Verdana"/>
          <w:spacing w:val="-1"/>
          <w:sz w:val="20"/>
          <w:szCs w:val="20"/>
          <w:lang w:val="es-MX"/>
        </w:rPr>
        <w:t>r</w:t>
      </w:r>
      <w:r w:rsidRPr="008941C6">
        <w:rPr>
          <w:rFonts w:ascii="Verdana" w:eastAsia="Verdana" w:hAnsi="Verdana" w:cs="Verdana"/>
          <w:spacing w:val="3"/>
          <w:sz w:val="20"/>
          <w:szCs w:val="20"/>
          <w:lang w:val="es-MX"/>
        </w:rPr>
        <w:t>i</w:t>
      </w:r>
      <w:r w:rsidRPr="008941C6">
        <w:rPr>
          <w:rFonts w:ascii="Verdana" w:eastAsia="Verdana" w:hAnsi="Verdana" w:cs="Verdana"/>
          <w:spacing w:val="1"/>
          <w:sz w:val="20"/>
          <w:szCs w:val="20"/>
          <w:lang w:val="es-MX"/>
        </w:rPr>
        <w:t>t</w:t>
      </w:r>
      <w:r w:rsidRPr="008941C6">
        <w:rPr>
          <w:rFonts w:ascii="Verdana" w:eastAsia="Verdana" w:hAnsi="Verdana" w:cs="Verdana"/>
          <w:sz w:val="20"/>
          <w:szCs w:val="20"/>
          <w:lang w:val="es-MX"/>
        </w:rPr>
        <w:t>o</w:t>
      </w:r>
      <w:r w:rsidRPr="008941C6">
        <w:rPr>
          <w:rFonts w:ascii="Verdana" w:eastAsia="Verdana" w:hAnsi="Verdana" w:cs="Verdana"/>
          <w:spacing w:val="4"/>
          <w:sz w:val="20"/>
          <w:szCs w:val="20"/>
          <w:lang w:val="es-MX"/>
        </w:rPr>
        <w:t xml:space="preserve"> </w:t>
      </w:r>
      <w:r w:rsidRPr="008941C6">
        <w:rPr>
          <w:rFonts w:ascii="Verdana" w:eastAsia="Verdana" w:hAnsi="Verdana" w:cs="Verdana"/>
          <w:spacing w:val="1"/>
          <w:sz w:val="20"/>
          <w:szCs w:val="20"/>
          <w:lang w:val="es-MX"/>
        </w:rPr>
        <w:t>d</w:t>
      </w:r>
      <w:r w:rsidRPr="008941C6">
        <w:rPr>
          <w:rFonts w:ascii="Verdana" w:eastAsia="Verdana" w:hAnsi="Verdana" w:cs="Verdana"/>
          <w:sz w:val="20"/>
          <w:szCs w:val="20"/>
          <w:lang w:val="es-MX"/>
        </w:rPr>
        <w:t>e</w:t>
      </w:r>
      <w:r w:rsidRPr="008941C6">
        <w:rPr>
          <w:rFonts w:ascii="Verdana" w:eastAsia="Verdana" w:hAnsi="Verdana" w:cs="Verdana"/>
          <w:spacing w:val="8"/>
          <w:sz w:val="20"/>
          <w:szCs w:val="20"/>
          <w:lang w:val="es-MX"/>
        </w:rPr>
        <w:t xml:space="preserve"> </w:t>
      </w:r>
      <w:r>
        <w:rPr>
          <w:rFonts w:ascii="Verdana" w:eastAsia="Verdana" w:hAnsi="Verdana" w:cs="Verdana"/>
          <w:spacing w:val="8"/>
          <w:sz w:val="20"/>
          <w:szCs w:val="20"/>
          <w:lang w:val="es-MX"/>
        </w:rPr>
        <w:t>excepciones preliminares, contestación al sometimiento del caso y observaciones al escrito de solicitudes y argumentos</w:t>
      </w:r>
      <w:r>
        <w:rPr>
          <w:rFonts w:ascii="Verdana" w:eastAsia="Verdana" w:hAnsi="Verdana" w:cs="Verdana"/>
          <w:sz w:val="20"/>
          <w:szCs w:val="20"/>
          <w:lang w:val="es-MX"/>
        </w:rPr>
        <w:t xml:space="preserve"> </w:t>
      </w:r>
      <w:r w:rsidRPr="00EF6A93">
        <w:rPr>
          <w:rFonts w:ascii="Verdana" w:hAnsi="Verdana"/>
          <w:sz w:val="20"/>
          <w:szCs w:val="20"/>
          <w:lang w:val="es-CR"/>
        </w:rPr>
        <w:t>(en adelante “contestación”)</w:t>
      </w:r>
      <w:r>
        <w:rPr>
          <w:rFonts w:ascii="Verdana" w:eastAsia="Verdana" w:hAnsi="Verdana" w:cs="Verdana"/>
          <w:spacing w:val="-1"/>
          <w:sz w:val="20"/>
          <w:szCs w:val="20"/>
          <w:lang w:val="es-MX"/>
        </w:rPr>
        <w:t>. O</w:t>
      </w:r>
      <w:r>
        <w:rPr>
          <w:rFonts w:ascii="Verdana" w:eastAsia="Verdana" w:hAnsi="Verdana" w:cs="Verdana"/>
          <w:spacing w:val="12"/>
          <w:sz w:val="20"/>
          <w:szCs w:val="20"/>
          <w:lang w:val="es-MX"/>
        </w:rPr>
        <w:t>puso</w:t>
      </w:r>
      <w:r w:rsidRPr="008941C6">
        <w:rPr>
          <w:rFonts w:ascii="Verdana" w:eastAsia="Verdana" w:hAnsi="Verdana" w:cs="Verdana"/>
          <w:spacing w:val="12"/>
          <w:sz w:val="20"/>
          <w:szCs w:val="20"/>
          <w:lang w:val="es-MX"/>
        </w:rPr>
        <w:t xml:space="preserve"> </w:t>
      </w:r>
      <w:r>
        <w:rPr>
          <w:rFonts w:ascii="Verdana" w:eastAsia="Verdana" w:hAnsi="Verdana" w:cs="Verdana"/>
          <w:spacing w:val="12"/>
          <w:sz w:val="20"/>
          <w:szCs w:val="20"/>
          <w:lang w:val="es-MX"/>
        </w:rPr>
        <w:t>dos</w:t>
      </w:r>
      <w:r w:rsidRPr="008941C6">
        <w:rPr>
          <w:rFonts w:ascii="Verdana" w:eastAsia="Verdana" w:hAnsi="Verdana" w:cs="Verdana"/>
          <w:spacing w:val="12"/>
          <w:sz w:val="20"/>
          <w:szCs w:val="20"/>
          <w:lang w:val="es-MX"/>
        </w:rPr>
        <w:t xml:space="preserve"> excepciones preliminares</w:t>
      </w:r>
      <w:r>
        <w:rPr>
          <w:rFonts w:ascii="Verdana" w:eastAsia="Verdana" w:hAnsi="Verdana" w:cs="Verdana"/>
          <w:spacing w:val="12"/>
          <w:sz w:val="20"/>
          <w:szCs w:val="20"/>
          <w:lang w:val="es-MX"/>
        </w:rPr>
        <w:t>, además</w:t>
      </w:r>
      <w:r w:rsidRPr="002F02C5">
        <w:rPr>
          <w:rFonts w:ascii="Verdana" w:eastAsia="Verdana" w:hAnsi="Verdana" w:cs="Verdana"/>
          <w:spacing w:val="12"/>
          <w:sz w:val="20"/>
          <w:szCs w:val="20"/>
          <w:lang w:val="es-MX"/>
        </w:rPr>
        <w:t xml:space="preserve"> negó </w:t>
      </w:r>
      <w:r w:rsidRPr="002F02C5">
        <w:rPr>
          <w:rFonts w:ascii="Verdana" w:hAnsi="Verdana"/>
          <w:sz w:val="20"/>
          <w:szCs w:val="20"/>
          <w:lang w:val="es-CR"/>
        </w:rPr>
        <w:t>las violaciones alegadas y la procedencia de medidas de reparación</w:t>
      </w:r>
      <w:r w:rsidRPr="002F02C5">
        <w:rPr>
          <w:rFonts w:ascii="Verdana" w:eastAsia="Verdana" w:hAnsi="Verdana" w:cs="Verdana"/>
          <w:spacing w:val="11"/>
          <w:sz w:val="20"/>
          <w:szCs w:val="20"/>
          <w:lang w:val="es-MX"/>
        </w:rPr>
        <w:t>.</w:t>
      </w:r>
    </w:p>
    <w:p w14:paraId="08658220" w14:textId="77777777" w:rsidR="005E2829" w:rsidRPr="00F47E1C" w:rsidRDefault="005E2829" w:rsidP="00414DEF">
      <w:pPr>
        <w:pStyle w:val="Prrafodelista"/>
        <w:spacing w:line="240" w:lineRule="auto"/>
        <w:ind w:left="0"/>
        <w:rPr>
          <w:rFonts w:ascii="Verdana" w:eastAsia="Verdana" w:hAnsi="Verdana" w:cs="Verdana"/>
          <w:spacing w:val="-1"/>
          <w:sz w:val="20"/>
          <w:szCs w:val="20"/>
          <w:lang w:val="es-MX"/>
        </w:rPr>
      </w:pPr>
    </w:p>
    <w:p w14:paraId="393DC132" w14:textId="2230DDDA" w:rsidR="005E2829" w:rsidRPr="00C37B70" w:rsidRDefault="005E2829" w:rsidP="00414DEF">
      <w:pPr>
        <w:pStyle w:val="Prrafodelista"/>
        <w:widowControl/>
        <w:numPr>
          <w:ilvl w:val="0"/>
          <w:numId w:val="26"/>
        </w:numPr>
        <w:spacing w:after="160" w:line="240" w:lineRule="auto"/>
        <w:ind w:left="0" w:firstLine="0"/>
        <w:jc w:val="both"/>
        <w:rPr>
          <w:rFonts w:ascii="Verdana" w:eastAsia="Verdana" w:hAnsi="Verdana" w:cs="Verdana"/>
          <w:spacing w:val="-1"/>
          <w:sz w:val="20"/>
          <w:szCs w:val="20"/>
          <w:lang w:val="es-MX"/>
        </w:rPr>
      </w:pPr>
      <w:r w:rsidRPr="00C37B70">
        <w:rPr>
          <w:rFonts w:ascii="Verdana" w:eastAsia="Verdana" w:hAnsi="Verdana" w:cs="Verdana"/>
          <w:i/>
          <w:sz w:val="20"/>
          <w:szCs w:val="20"/>
          <w:lang w:val="es-MX"/>
        </w:rPr>
        <w:t>Observaciones a las excepciones preliminares</w:t>
      </w:r>
      <w:r w:rsidRPr="00C37B70">
        <w:rPr>
          <w:rFonts w:ascii="Verdana" w:eastAsia="Verdana" w:hAnsi="Verdana" w:cs="Verdana"/>
          <w:spacing w:val="12"/>
          <w:sz w:val="20"/>
          <w:szCs w:val="20"/>
          <w:lang w:val="es-MX"/>
        </w:rPr>
        <w:t>. – El</w:t>
      </w:r>
      <w:r w:rsidRPr="00C37B70">
        <w:rPr>
          <w:rFonts w:ascii="Verdana" w:eastAsia="Verdana" w:hAnsi="Verdana" w:cs="Verdana"/>
          <w:sz w:val="20"/>
          <w:szCs w:val="20"/>
          <w:lang w:val="es-MX"/>
        </w:rPr>
        <w:t xml:space="preserve"> 20 de febrero de 2019 la Comisión presentó observaciones a las excepciones preliminares</w:t>
      </w:r>
      <w:r>
        <w:rPr>
          <w:rFonts w:ascii="Verdana" w:eastAsia="Verdana" w:hAnsi="Verdana" w:cs="Verdana"/>
          <w:sz w:val="20"/>
          <w:szCs w:val="20"/>
          <w:lang w:val="es-MX"/>
        </w:rPr>
        <w:t>. Lo mismo hizo el representante el</w:t>
      </w:r>
      <w:r w:rsidRPr="00C37B70">
        <w:rPr>
          <w:rFonts w:ascii="Verdana" w:eastAsia="Verdana" w:hAnsi="Verdana" w:cs="Verdana"/>
          <w:sz w:val="20"/>
          <w:szCs w:val="20"/>
          <w:lang w:val="es-MX"/>
        </w:rPr>
        <w:t xml:space="preserve"> 26 de</w:t>
      </w:r>
      <w:r>
        <w:rPr>
          <w:rFonts w:ascii="Verdana" w:eastAsia="Verdana" w:hAnsi="Verdana" w:cs="Verdana"/>
          <w:sz w:val="20"/>
          <w:szCs w:val="20"/>
          <w:lang w:val="es-MX"/>
        </w:rPr>
        <w:t xml:space="preserve"> ese mes. Las observaciones de</w:t>
      </w:r>
      <w:r w:rsidR="00897585">
        <w:rPr>
          <w:rFonts w:ascii="Verdana" w:eastAsia="Verdana" w:hAnsi="Verdana" w:cs="Verdana"/>
          <w:sz w:val="20"/>
          <w:szCs w:val="20"/>
          <w:lang w:val="es-MX"/>
        </w:rPr>
        <w:t>l</w:t>
      </w:r>
      <w:r>
        <w:rPr>
          <w:rFonts w:ascii="Verdana" w:eastAsia="Verdana" w:hAnsi="Verdana" w:cs="Verdana"/>
          <w:sz w:val="20"/>
          <w:szCs w:val="20"/>
          <w:lang w:val="es-MX"/>
        </w:rPr>
        <w:t xml:space="preserve"> representante fueron remitidas en forma extemporánea, por lo que no serán consideradas. En el mismo escrito el representante presentó observaciones sobre</w:t>
      </w:r>
      <w:r w:rsidRPr="00C37B70">
        <w:rPr>
          <w:rFonts w:ascii="Verdana" w:eastAsia="Verdana" w:hAnsi="Verdana" w:cs="Verdana"/>
          <w:sz w:val="20"/>
          <w:szCs w:val="20"/>
          <w:lang w:val="es-MX"/>
        </w:rPr>
        <w:t xml:space="preserve"> el fondo del caso</w:t>
      </w:r>
      <w:r>
        <w:rPr>
          <w:rFonts w:ascii="Verdana" w:eastAsia="Verdana" w:hAnsi="Verdana" w:cs="Verdana"/>
          <w:sz w:val="20"/>
          <w:szCs w:val="20"/>
          <w:lang w:val="es-MX"/>
        </w:rPr>
        <w:t xml:space="preserve"> y sobre la prueba ofrecida por Ecuador. La presentación de tales observaciones se hizo fuera de las oportunidades previstas reglamentariamente al efecto y no fueron solicitadas, por lo </w:t>
      </w:r>
      <w:r w:rsidR="0009529E">
        <w:rPr>
          <w:rFonts w:ascii="Verdana" w:eastAsia="Verdana" w:hAnsi="Verdana" w:cs="Verdana"/>
          <w:sz w:val="20"/>
          <w:szCs w:val="20"/>
          <w:lang w:val="es-MX"/>
        </w:rPr>
        <w:t>que tampoco</w:t>
      </w:r>
      <w:r>
        <w:rPr>
          <w:rFonts w:ascii="Verdana" w:eastAsia="Verdana" w:hAnsi="Verdana" w:cs="Verdana"/>
          <w:sz w:val="20"/>
          <w:szCs w:val="20"/>
          <w:lang w:val="es-MX"/>
        </w:rPr>
        <w:t xml:space="preserve"> serán consideradas</w:t>
      </w:r>
      <w:r w:rsidRPr="00C37B70">
        <w:rPr>
          <w:rFonts w:ascii="Verdana" w:eastAsia="Verdana" w:hAnsi="Verdana" w:cs="Verdana"/>
          <w:sz w:val="20"/>
          <w:szCs w:val="20"/>
          <w:lang w:val="es-MX"/>
        </w:rPr>
        <w:t>.</w:t>
      </w:r>
      <w:r>
        <w:rPr>
          <w:rFonts w:ascii="Verdana" w:eastAsia="Verdana" w:hAnsi="Verdana" w:cs="Verdana"/>
          <w:sz w:val="20"/>
          <w:szCs w:val="20"/>
          <w:lang w:val="es-MX"/>
        </w:rPr>
        <w:t xml:space="preserve"> </w:t>
      </w:r>
    </w:p>
    <w:p w14:paraId="11295E27" w14:textId="77777777" w:rsidR="005E2829" w:rsidRPr="00111630" w:rsidRDefault="005E2829" w:rsidP="00414DEF">
      <w:pPr>
        <w:pStyle w:val="Prrafodelista"/>
        <w:spacing w:line="240" w:lineRule="auto"/>
        <w:ind w:left="0"/>
        <w:rPr>
          <w:rFonts w:ascii="Verdana" w:eastAsia="Verdana" w:hAnsi="Verdana" w:cs="Verdana"/>
          <w:spacing w:val="-1"/>
          <w:sz w:val="20"/>
          <w:szCs w:val="20"/>
          <w:lang w:val="es-MX"/>
        </w:rPr>
      </w:pPr>
    </w:p>
    <w:p w14:paraId="7B0DC07A" w14:textId="72CB38AD" w:rsidR="005E2829" w:rsidRDefault="005E2829" w:rsidP="00414DEF">
      <w:pPr>
        <w:pStyle w:val="Prrafodelista"/>
        <w:widowControl/>
        <w:numPr>
          <w:ilvl w:val="0"/>
          <w:numId w:val="26"/>
        </w:numPr>
        <w:spacing w:after="160" w:line="240" w:lineRule="auto"/>
        <w:ind w:left="0" w:firstLine="0"/>
        <w:jc w:val="both"/>
        <w:rPr>
          <w:rFonts w:ascii="Verdana" w:eastAsia="Verdana" w:hAnsi="Verdana" w:cs="Verdana"/>
          <w:spacing w:val="-1"/>
          <w:sz w:val="20"/>
          <w:szCs w:val="20"/>
          <w:lang w:val="es-MX"/>
        </w:rPr>
      </w:pPr>
      <w:r w:rsidRPr="005A2D76">
        <w:rPr>
          <w:rFonts w:ascii="Verdana" w:eastAsia="Verdana" w:hAnsi="Verdana" w:cs="Verdana"/>
          <w:i/>
          <w:spacing w:val="-1"/>
          <w:sz w:val="20"/>
          <w:szCs w:val="20"/>
          <w:lang w:val="es-MX"/>
        </w:rPr>
        <w:lastRenderedPageBreak/>
        <w:t xml:space="preserve">Procedimiento final escrito. – </w:t>
      </w:r>
      <w:r w:rsidRPr="005A2D76">
        <w:rPr>
          <w:rFonts w:ascii="Verdana" w:eastAsia="Verdana" w:hAnsi="Verdana" w:cs="Verdana"/>
          <w:spacing w:val="-1"/>
          <w:sz w:val="20"/>
          <w:szCs w:val="20"/>
          <w:lang w:val="es-MX"/>
        </w:rPr>
        <w:t>Tras evaluar los escritos principales presentados por la Comisión y por las partes, y a la luz de lo dispuesto en los artículos</w:t>
      </w:r>
      <w:r>
        <w:rPr>
          <w:rFonts w:ascii="Verdana" w:eastAsia="Verdana" w:hAnsi="Verdana" w:cs="Verdana"/>
          <w:spacing w:val="-1"/>
          <w:sz w:val="20"/>
          <w:szCs w:val="20"/>
          <w:lang w:val="es-MX"/>
        </w:rPr>
        <w:t xml:space="preserve"> 15, 45 y 50.1 del</w:t>
      </w:r>
      <w:r w:rsidRPr="005A2D76">
        <w:rPr>
          <w:rFonts w:ascii="Verdana" w:eastAsia="Verdana" w:hAnsi="Verdana" w:cs="Verdana"/>
          <w:spacing w:val="-1"/>
          <w:sz w:val="20"/>
          <w:szCs w:val="20"/>
          <w:lang w:val="es-MX"/>
        </w:rPr>
        <w:t xml:space="preserve"> Reglamento, el </w:t>
      </w:r>
      <w:r>
        <w:rPr>
          <w:rFonts w:ascii="Verdana" w:eastAsia="Verdana" w:hAnsi="Verdana" w:cs="Verdana"/>
          <w:spacing w:val="-1"/>
          <w:sz w:val="20"/>
          <w:szCs w:val="20"/>
          <w:lang w:val="es-MX"/>
        </w:rPr>
        <w:t xml:space="preserve">entonces </w:t>
      </w:r>
      <w:r w:rsidRPr="005A2D76">
        <w:rPr>
          <w:rFonts w:ascii="Verdana" w:eastAsia="Verdana" w:hAnsi="Verdana" w:cs="Verdana"/>
          <w:spacing w:val="-1"/>
          <w:sz w:val="20"/>
          <w:szCs w:val="20"/>
          <w:lang w:val="es-MX"/>
        </w:rPr>
        <w:t>Presidente</w:t>
      </w:r>
      <w:r>
        <w:rPr>
          <w:rFonts w:ascii="Verdana" w:eastAsia="Verdana" w:hAnsi="Verdana" w:cs="Verdana"/>
          <w:spacing w:val="-1"/>
          <w:sz w:val="20"/>
          <w:szCs w:val="20"/>
          <w:lang w:val="es-MX"/>
        </w:rPr>
        <w:t xml:space="preserve"> de la Corte</w:t>
      </w:r>
      <w:r w:rsidR="00897585">
        <w:rPr>
          <w:rStyle w:val="Refdenotaalpie"/>
          <w:rFonts w:ascii="Verdana" w:eastAsia="Verdana" w:hAnsi="Verdana" w:cs="Verdana"/>
          <w:spacing w:val="-1"/>
          <w:lang w:val="es-MX"/>
        </w:rPr>
        <w:footnoteReference w:id="6"/>
      </w:r>
      <w:r>
        <w:rPr>
          <w:rFonts w:ascii="Verdana" w:eastAsia="Verdana" w:hAnsi="Verdana" w:cs="Verdana"/>
          <w:spacing w:val="-1"/>
          <w:sz w:val="20"/>
          <w:szCs w:val="20"/>
          <w:lang w:val="es-MX"/>
        </w:rPr>
        <w:t xml:space="preserve"> (en adelante “el Presidente”)</w:t>
      </w:r>
      <w:r w:rsidRPr="005A2D76">
        <w:rPr>
          <w:rFonts w:ascii="Verdana" w:eastAsia="Verdana" w:hAnsi="Verdana" w:cs="Verdana"/>
          <w:spacing w:val="-1"/>
          <w:sz w:val="20"/>
          <w:szCs w:val="20"/>
          <w:lang w:val="es-MX"/>
        </w:rPr>
        <w:t>, en consulta con el Pleno de la Corte, decidió</w:t>
      </w:r>
      <w:r>
        <w:rPr>
          <w:rFonts w:ascii="Verdana" w:eastAsia="Verdana" w:hAnsi="Verdana" w:cs="Verdana"/>
          <w:spacing w:val="-1"/>
          <w:sz w:val="20"/>
          <w:szCs w:val="20"/>
          <w:lang w:val="es-MX"/>
        </w:rPr>
        <w:t xml:space="preserve"> “por razones de economía procesal”</w:t>
      </w:r>
      <w:r w:rsidRPr="005A2D76">
        <w:rPr>
          <w:rFonts w:ascii="Verdana" w:eastAsia="Verdana" w:hAnsi="Verdana" w:cs="Verdana"/>
          <w:spacing w:val="-1"/>
          <w:sz w:val="20"/>
          <w:szCs w:val="20"/>
          <w:lang w:val="es-MX"/>
        </w:rPr>
        <w:t xml:space="preserve"> que no era necesario convocar a una audiencia pública, teniendo en cuenta que “las controversias que [se] presentan [en el caso] son primordialmente de derecho”. La decisión fue </w:t>
      </w:r>
      <w:r>
        <w:rPr>
          <w:rFonts w:ascii="Verdana" w:eastAsia="Verdana" w:hAnsi="Verdana" w:cs="Verdana"/>
          <w:spacing w:val="-1"/>
          <w:sz w:val="20"/>
          <w:szCs w:val="20"/>
          <w:lang w:val="es-MX"/>
        </w:rPr>
        <w:t xml:space="preserve">expresada </w:t>
      </w:r>
      <w:r w:rsidRPr="005A2D76">
        <w:rPr>
          <w:rFonts w:ascii="Verdana" w:eastAsia="Verdana" w:hAnsi="Verdana" w:cs="Verdana"/>
          <w:spacing w:val="-1"/>
          <w:sz w:val="20"/>
          <w:szCs w:val="20"/>
          <w:lang w:val="es-MX"/>
        </w:rPr>
        <w:t>mediante Resolución de</w:t>
      </w:r>
      <w:r w:rsidR="00897585">
        <w:rPr>
          <w:rFonts w:ascii="Verdana" w:eastAsia="Verdana" w:hAnsi="Verdana" w:cs="Verdana"/>
          <w:spacing w:val="-1"/>
          <w:sz w:val="20"/>
          <w:szCs w:val="20"/>
          <w:lang w:val="es-MX"/>
        </w:rPr>
        <w:t xml:space="preserve"> </w:t>
      </w:r>
      <w:r w:rsidRPr="005A2D76">
        <w:rPr>
          <w:rFonts w:ascii="Verdana" w:eastAsia="Verdana" w:hAnsi="Verdana" w:cs="Verdana"/>
          <w:spacing w:val="-1"/>
          <w:sz w:val="20"/>
          <w:szCs w:val="20"/>
          <w:lang w:val="es-MX"/>
        </w:rPr>
        <w:t>l</w:t>
      </w:r>
      <w:r w:rsidR="00897585">
        <w:rPr>
          <w:rFonts w:ascii="Verdana" w:eastAsia="Verdana" w:hAnsi="Verdana" w:cs="Verdana"/>
          <w:spacing w:val="-1"/>
          <w:sz w:val="20"/>
          <w:szCs w:val="20"/>
          <w:lang w:val="es-MX"/>
        </w:rPr>
        <w:t xml:space="preserve">a Presidencia </w:t>
      </w:r>
      <w:r w:rsidRPr="005A2D76">
        <w:rPr>
          <w:rFonts w:ascii="Verdana" w:eastAsia="Verdana" w:hAnsi="Verdana" w:cs="Verdana"/>
          <w:spacing w:val="-1"/>
          <w:sz w:val="20"/>
          <w:szCs w:val="20"/>
          <w:lang w:val="es-MX"/>
        </w:rPr>
        <w:t>de 23 de julio de 2019.</w:t>
      </w:r>
      <w:r w:rsidRPr="005A2D76">
        <w:rPr>
          <w:rFonts w:ascii="Verdana" w:eastAsia="Verdana" w:hAnsi="Verdana" w:cs="Verdana"/>
          <w:b/>
          <w:spacing w:val="-1"/>
          <w:sz w:val="16"/>
          <w:szCs w:val="16"/>
          <w:lang w:val="es-MX"/>
        </w:rPr>
        <w:t xml:space="preserve"> </w:t>
      </w:r>
      <w:r w:rsidRPr="005A2D76">
        <w:rPr>
          <w:rFonts w:ascii="Verdana" w:eastAsia="Verdana" w:hAnsi="Verdana" w:cs="Verdana"/>
          <w:spacing w:val="-1"/>
          <w:sz w:val="20"/>
          <w:szCs w:val="20"/>
          <w:lang w:val="es-MX"/>
        </w:rPr>
        <w:t xml:space="preserve">En </w:t>
      </w:r>
      <w:r>
        <w:rPr>
          <w:rFonts w:ascii="Verdana" w:eastAsia="Verdana" w:hAnsi="Verdana" w:cs="Verdana"/>
          <w:spacing w:val="-1"/>
          <w:sz w:val="20"/>
          <w:szCs w:val="20"/>
          <w:lang w:val="es-MX"/>
        </w:rPr>
        <w:t>la</w:t>
      </w:r>
      <w:r w:rsidRPr="005A2D76">
        <w:rPr>
          <w:rFonts w:ascii="Verdana" w:eastAsia="Verdana" w:hAnsi="Verdana" w:cs="Verdana"/>
          <w:spacing w:val="-1"/>
          <w:sz w:val="20"/>
          <w:szCs w:val="20"/>
          <w:lang w:val="es-MX"/>
        </w:rPr>
        <w:t xml:space="preserve"> mism</w:t>
      </w:r>
      <w:r>
        <w:rPr>
          <w:rFonts w:ascii="Verdana" w:eastAsia="Verdana" w:hAnsi="Verdana" w:cs="Verdana"/>
          <w:spacing w:val="-1"/>
          <w:sz w:val="20"/>
          <w:szCs w:val="20"/>
          <w:lang w:val="es-MX"/>
        </w:rPr>
        <w:t>a</w:t>
      </w:r>
      <w:r w:rsidRPr="005A2D76">
        <w:rPr>
          <w:rFonts w:ascii="Verdana" w:eastAsia="Verdana" w:hAnsi="Verdana" w:cs="Verdana"/>
          <w:spacing w:val="-1"/>
          <w:sz w:val="20"/>
          <w:szCs w:val="20"/>
          <w:lang w:val="es-MX"/>
        </w:rPr>
        <w:t xml:space="preserve"> </w:t>
      </w:r>
      <w:r>
        <w:rPr>
          <w:rFonts w:ascii="Verdana" w:eastAsia="Verdana" w:hAnsi="Verdana" w:cs="Verdana"/>
          <w:spacing w:val="-1"/>
          <w:sz w:val="20"/>
          <w:szCs w:val="20"/>
          <w:lang w:val="es-MX"/>
        </w:rPr>
        <w:t>se</w:t>
      </w:r>
      <w:r w:rsidRPr="005A2D76">
        <w:rPr>
          <w:rFonts w:ascii="Verdana" w:eastAsia="Verdana" w:hAnsi="Verdana" w:cs="Verdana"/>
          <w:spacing w:val="-1"/>
          <w:sz w:val="20"/>
          <w:szCs w:val="20"/>
          <w:lang w:val="es-MX"/>
        </w:rPr>
        <w:t xml:space="preserve"> ordenó recibir dos declaraciones escritas, rendidas ante fedatario público (</w:t>
      </w:r>
      <w:r w:rsidRPr="005A2D76">
        <w:rPr>
          <w:rFonts w:ascii="Verdana" w:eastAsia="Verdana" w:hAnsi="Verdana" w:cs="Verdana"/>
          <w:i/>
          <w:spacing w:val="-1"/>
          <w:sz w:val="20"/>
          <w:szCs w:val="20"/>
          <w:lang w:val="es-MX"/>
        </w:rPr>
        <w:t>infra</w:t>
      </w:r>
      <w:r w:rsidRPr="005A2D76">
        <w:rPr>
          <w:rFonts w:ascii="Verdana" w:eastAsia="Verdana" w:hAnsi="Verdana" w:cs="Verdana"/>
          <w:spacing w:val="-1"/>
          <w:sz w:val="20"/>
          <w:szCs w:val="20"/>
          <w:lang w:val="es-MX"/>
        </w:rPr>
        <w:t xml:space="preserve"> párr. </w:t>
      </w:r>
      <w:r w:rsidR="00D02090">
        <w:rPr>
          <w:rFonts w:ascii="Verdana" w:eastAsia="Verdana" w:hAnsi="Verdana" w:cs="Verdana"/>
          <w:spacing w:val="-1"/>
          <w:sz w:val="20"/>
          <w:szCs w:val="20"/>
          <w:lang w:val="es-MX"/>
        </w:rPr>
        <w:t>34</w:t>
      </w:r>
      <w:r w:rsidRPr="005A2D76">
        <w:rPr>
          <w:rFonts w:ascii="Verdana" w:eastAsia="Verdana" w:hAnsi="Verdana" w:cs="Verdana"/>
          <w:spacing w:val="-1"/>
          <w:sz w:val="20"/>
          <w:szCs w:val="20"/>
          <w:lang w:val="es-MX"/>
        </w:rPr>
        <w:t>)</w:t>
      </w:r>
      <w:r>
        <w:rPr>
          <w:rFonts w:ascii="Verdana" w:eastAsia="Verdana" w:hAnsi="Verdana" w:cs="Verdana"/>
          <w:spacing w:val="-1"/>
          <w:sz w:val="20"/>
          <w:szCs w:val="20"/>
          <w:lang w:val="es-MX"/>
        </w:rPr>
        <w:t>.</w:t>
      </w:r>
      <w:r w:rsidRPr="005A2D76">
        <w:rPr>
          <w:rFonts w:ascii="Verdana" w:eastAsia="Verdana" w:hAnsi="Verdana" w:cs="Verdana"/>
          <w:spacing w:val="-1"/>
          <w:sz w:val="20"/>
          <w:szCs w:val="20"/>
          <w:lang w:val="es-MX"/>
        </w:rPr>
        <w:t xml:space="preserve"> </w:t>
      </w:r>
    </w:p>
    <w:p w14:paraId="599DFF01" w14:textId="77777777" w:rsidR="005E2829" w:rsidRPr="005A2D76" w:rsidRDefault="005E2829" w:rsidP="00414DEF">
      <w:pPr>
        <w:pStyle w:val="Prrafodelista"/>
        <w:widowControl/>
        <w:spacing w:after="160" w:line="240" w:lineRule="auto"/>
        <w:ind w:left="0"/>
        <w:jc w:val="both"/>
        <w:rPr>
          <w:rFonts w:ascii="Verdana" w:eastAsia="Verdana" w:hAnsi="Verdana" w:cs="Verdana"/>
          <w:spacing w:val="-1"/>
          <w:sz w:val="20"/>
          <w:szCs w:val="20"/>
          <w:lang w:val="es-MX"/>
        </w:rPr>
      </w:pPr>
    </w:p>
    <w:p w14:paraId="1D4CBEC7" w14:textId="77777777" w:rsidR="005E2829" w:rsidRDefault="005E2829" w:rsidP="00414DEF">
      <w:pPr>
        <w:pStyle w:val="Prrafodelista"/>
        <w:widowControl/>
        <w:numPr>
          <w:ilvl w:val="0"/>
          <w:numId w:val="26"/>
        </w:numPr>
        <w:spacing w:after="160" w:line="240" w:lineRule="auto"/>
        <w:ind w:left="0" w:firstLine="0"/>
        <w:jc w:val="both"/>
        <w:rPr>
          <w:rFonts w:ascii="Verdana" w:eastAsia="Verdana" w:hAnsi="Verdana" w:cs="Verdana"/>
          <w:spacing w:val="-1"/>
          <w:sz w:val="20"/>
          <w:szCs w:val="20"/>
          <w:lang w:val="es-MX"/>
        </w:rPr>
      </w:pPr>
      <w:r w:rsidRPr="00170B55">
        <w:rPr>
          <w:rFonts w:ascii="Verdana" w:eastAsia="Verdana" w:hAnsi="Verdana" w:cs="Verdana"/>
          <w:i/>
          <w:spacing w:val="-1"/>
          <w:sz w:val="20"/>
          <w:szCs w:val="20"/>
          <w:lang w:val="es-MX"/>
        </w:rPr>
        <w:t>Alegatos y observaciones finales escritos</w:t>
      </w:r>
      <w:r w:rsidRPr="00502B69">
        <w:rPr>
          <w:rFonts w:ascii="Verdana" w:eastAsia="Verdana" w:hAnsi="Verdana" w:cs="Verdana"/>
          <w:spacing w:val="-1"/>
          <w:sz w:val="20"/>
          <w:szCs w:val="20"/>
          <w:lang w:val="es-MX"/>
        </w:rPr>
        <w:t xml:space="preserve">. </w:t>
      </w:r>
      <w:r>
        <w:rPr>
          <w:rFonts w:ascii="Verdana" w:eastAsia="Verdana" w:hAnsi="Verdana" w:cs="Verdana"/>
          <w:spacing w:val="-1"/>
          <w:sz w:val="20"/>
          <w:szCs w:val="20"/>
          <w:lang w:val="es-MX"/>
        </w:rPr>
        <w:t>– El 16 de septiembre de 2019 la Comisión presentó sus observaciones finales escritas y el Estado remitió sus alegatos finales escritos. El representante no presentó alegatos finales escritos</w:t>
      </w:r>
    </w:p>
    <w:p w14:paraId="243FA3F9" w14:textId="77777777" w:rsidR="005E2829" w:rsidRPr="00170B55" w:rsidRDefault="005E2829" w:rsidP="00414DEF">
      <w:pPr>
        <w:pStyle w:val="Prrafodelista"/>
        <w:spacing w:line="240" w:lineRule="auto"/>
        <w:ind w:left="0"/>
        <w:rPr>
          <w:rFonts w:ascii="Verdana" w:eastAsia="Verdana" w:hAnsi="Verdana" w:cs="Verdana"/>
          <w:spacing w:val="-1"/>
          <w:sz w:val="20"/>
          <w:szCs w:val="20"/>
          <w:lang w:val="es-MX"/>
        </w:rPr>
      </w:pPr>
    </w:p>
    <w:p w14:paraId="38824C77" w14:textId="77777777" w:rsidR="005E2829" w:rsidRPr="00F75111" w:rsidRDefault="005E2829" w:rsidP="00414DEF">
      <w:pPr>
        <w:pStyle w:val="Prrafodelista"/>
        <w:widowControl/>
        <w:numPr>
          <w:ilvl w:val="0"/>
          <w:numId w:val="26"/>
        </w:numPr>
        <w:spacing w:after="160" w:line="240" w:lineRule="auto"/>
        <w:ind w:left="0" w:firstLine="0"/>
        <w:jc w:val="both"/>
        <w:rPr>
          <w:rFonts w:ascii="Verdana" w:eastAsia="Verdana" w:hAnsi="Verdana" w:cs="Verdana"/>
          <w:spacing w:val="-1"/>
          <w:sz w:val="20"/>
          <w:szCs w:val="20"/>
          <w:lang w:val="es-MX"/>
        </w:rPr>
      </w:pPr>
      <w:r w:rsidRPr="00170B55">
        <w:rPr>
          <w:rFonts w:ascii="Verdana" w:eastAsia="Verdana" w:hAnsi="Verdana" w:cs="Verdana"/>
          <w:i/>
          <w:spacing w:val="-1"/>
          <w:sz w:val="20"/>
          <w:szCs w:val="20"/>
          <w:lang w:val="es-MX"/>
        </w:rPr>
        <w:t>Deliberación del presente caso</w:t>
      </w:r>
      <w:r>
        <w:rPr>
          <w:rFonts w:ascii="Verdana" w:eastAsia="Verdana" w:hAnsi="Verdana" w:cs="Verdana"/>
          <w:spacing w:val="-1"/>
          <w:sz w:val="20"/>
          <w:szCs w:val="20"/>
          <w:lang w:val="es-MX"/>
        </w:rPr>
        <w:t xml:space="preserve">. </w:t>
      </w:r>
      <w:r w:rsidRPr="00F75111">
        <w:rPr>
          <w:rFonts w:ascii="Verdana" w:eastAsia="Verdana" w:hAnsi="Verdana" w:cs="Verdana"/>
          <w:spacing w:val="-1"/>
          <w:sz w:val="20"/>
          <w:szCs w:val="20"/>
          <w:lang w:val="es-MX"/>
        </w:rPr>
        <w:t xml:space="preserve">– </w:t>
      </w:r>
      <w:r>
        <w:rPr>
          <w:rFonts w:ascii="Verdana" w:eastAsia="Verdana" w:hAnsi="Verdana" w:cs="Verdana"/>
          <w:spacing w:val="-1"/>
          <w:sz w:val="20"/>
          <w:szCs w:val="20"/>
          <w:lang w:val="es-MX"/>
        </w:rPr>
        <w:t>La Corte deliberó la presente Sentencia el 3 de febrero de 2020.</w:t>
      </w:r>
    </w:p>
    <w:p w14:paraId="79BC563B" w14:textId="77777777" w:rsidR="005E2829" w:rsidRPr="00BC42F3" w:rsidRDefault="005E2829" w:rsidP="00414DEF">
      <w:pPr>
        <w:pStyle w:val="Prrafodelista"/>
        <w:spacing w:line="240" w:lineRule="auto"/>
        <w:ind w:left="0"/>
        <w:rPr>
          <w:rFonts w:ascii="Verdana" w:eastAsia="Verdana" w:hAnsi="Verdana" w:cs="Verdana"/>
          <w:b/>
          <w:bCs/>
          <w:spacing w:val="-1"/>
          <w:w w:val="99"/>
          <w:sz w:val="20"/>
          <w:szCs w:val="20"/>
          <w:lang w:val="es-MX"/>
        </w:rPr>
      </w:pPr>
    </w:p>
    <w:p w14:paraId="49450FF1" w14:textId="77777777" w:rsidR="005E2829" w:rsidRDefault="005E2829" w:rsidP="00414DEF">
      <w:pPr>
        <w:pStyle w:val="Prrafodelista"/>
        <w:spacing w:line="240" w:lineRule="auto"/>
        <w:ind w:left="0"/>
        <w:jc w:val="center"/>
        <w:outlineLvl w:val="0"/>
        <w:rPr>
          <w:rFonts w:ascii="Verdana" w:eastAsia="Verdana" w:hAnsi="Verdana" w:cs="Verdana"/>
          <w:b/>
          <w:bCs/>
          <w:spacing w:val="-1"/>
          <w:w w:val="99"/>
          <w:sz w:val="20"/>
          <w:szCs w:val="20"/>
          <w:lang w:val="es-MX"/>
        </w:rPr>
      </w:pPr>
      <w:bookmarkStart w:id="7" w:name="_Toc34817779"/>
      <w:r w:rsidRPr="00BC42F3">
        <w:rPr>
          <w:rFonts w:ascii="Verdana" w:eastAsia="Verdana" w:hAnsi="Verdana" w:cs="Verdana"/>
          <w:b/>
          <w:bCs/>
          <w:spacing w:val="-1"/>
          <w:w w:val="99"/>
          <w:sz w:val="20"/>
          <w:szCs w:val="20"/>
          <w:lang w:val="es-MX"/>
        </w:rPr>
        <w:t>III</w:t>
      </w:r>
      <w:bookmarkEnd w:id="7"/>
      <w:r w:rsidRPr="00BC42F3">
        <w:rPr>
          <w:rFonts w:ascii="Verdana" w:eastAsia="Verdana" w:hAnsi="Verdana" w:cs="Verdana"/>
          <w:b/>
          <w:bCs/>
          <w:spacing w:val="-1"/>
          <w:w w:val="99"/>
          <w:sz w:val="20"/>
          <w:szCs w:val="20"/>
          <w:lang w:val="es-MX"/>
        </w:rPr>
        <w:t xml:space="preserve"> </w:t>
      </w:r>
    </w:p>
    <w:p w14:paraId="798169CA" w14:textId="77777777" w:rsidR="005E2829" w:rsidRPr="00BC42F3" w:rsidRDefault="005E2829" w:rsidP="00414DEF">
      <w:pPr>
        <w:pStyle w:val="Prrafodelista"/>
        <w:spacing w:line="240" w:lineRule="auto"/>
        <w:ind w:left="0"/>
        <w:jc w:val="center"/>
        <w:outlineLvl w:val="0"/>
        <w:rPr>
          <w:rFonts w:ascii="Verdana" w:eastAsia="Verdana" w:hAnsi="Verdana" w:cs="Verdana"/>
          <w:spacing w:val="-1"/>
          <w:sz w:val="20"/>
          <w:szCs w:val="20"/>
          <w:lang w:val="es-MX"/>
        </w:rPr>
      </w:pPr>
      <w:bookmarkStart w:id="8" w:name="_Toc34817780"/>
      <w:r w:rsidRPr="00BC42F3">
        <w:rPr>
          <w:rFonts w:ascii="Verdana" w:eastAsia="Verdana" w:hAnsi="Verdana" w:cs="Verdana"/>
          <w:b/>
          <w:bCs/>
          <w:w w:val="99"/>
          <w:sz w:val="20"/>
          <w:szCs w:val="20"/>
          <w:lang w:val="es-MX"/>
        </w:rPr>
        <w:t>C</w:t>
      </w:r>
      <w:r w:rsidRPr="00BC42F3">
        <w:rPr>
          <w:rFonts w:ascii="Verdana" w:eastAsia="Verdana" w:hAnsi="Verdana" w:cs="Verdana"/>
          <w:b/>
          <w:bCs/>
          <w:spacing w:val="1"/>
          <w:w w:val="99"/>
          <w:sz w:val="20"/>
          <w:szCs w:val="20"/>
          <w:lang w:val="es-MX"/>
        </w:rPr>
        <w:t>OM</w:t>
      </w:r>
      <w:r w:rsidRPr="00BC42F3">
        <w:rPr>
          <w:rFonts w:ascii="Verdana" w:eastAsia="Verdana" w:hAnsi="Verdana" w:cs="Verdana"/>
          <w:b/>
          <w:bCs/>
          <w:w w:val="99"/>
          <w:sz w:val="20"/>
          <w:szCs w:val="20"/>
          <w:lang w:val="es-MX"/>
        </w:rPr>
        <w:t>P</w:t>
      </w:r>
      <w:r w:rsidRPr="00BC42F3">
        <w:rPr>
          <w:rFonts w:ascii="Verdana" w:eastAsia="Verdana" w:hAnsi="Verdana" w:cs="Verdana"/>
          <w:b/>
          <w:bCs/>
          <w:spacing w:val="1"/>
          <w:w w:val="99"/>
          <w:sz w:val="20"/>
          <w:szCs w:val="20"/>
          <w:lang w:val="es-MX"/>
        </w:rPr>
        <w:t>ETE</w:t>
      </w:r>
      <w:r w:rsidRPr="00BC42F3">
        <w:rPr>
          <w:rFonts w:ascii="Verdana" w:eastAsia="Verdana" w:hAnsi="Verdana" w:cs="Verdana"/>
          <w:b/>
          <w:bCs/>
          <w:spacing w:val="-1"/>
          <w:w w:val="99"/>
          <w:sz w:val="20"/>
          <w:szCs w:val="20"/>
          <w:lang w:val="es-MX"/>
        </w:rPr>
        <w:t>N</w:t>
      </w:r>
      <w:r w:rsidRPr="00BC42F3">
        <w:rPr>
          <w:rFonts w:ascii="Verdana" w:eastAsia="Verdana" w:hAnsi="Verdana" w:cs="Verdana"/>
          <w:b/>
          <w:bCs/>
          <w:w w:val="99"/>
          <w:sz w:val="20"/>
          <w:szCs w:val="20"/>
          <w:lang w:val="es-MX"/>
        </w:rPr>
        <w:t>C</w:t>
      </w:r>
      <w:r w:rsidRPr="00BC42F3">
        <w:rPr>
          <w:rFonts w:ascii="Verdana" w:eastAsia="Verdana" w:hAnsi="Verdana" w:cs="Verdana"/>
          <w:b/>
          <w:bCs/>
          <w:spacing w:val="1"/>
          <w:w w:val="99"/>
          <w:sz w:val="20"/>
          <w:szCs w:val="20"/>
          <w:lang w:val="es-MX"/>
        </w:rPr>
        <w:t>I</w:t>
      </w:r>
      <w:r w:rsidRPr="00BC42F3">
        <w:rPr>
          <w:rFonts w:ascii="Verdana" w:eastAsia="Verdana" w:hAnsi="Verdana" w:cs="Verdana"/>
          <w:b/>
          <w:bCs/>
          <w:w w:val="99"/>
          <w:sz w:val="20"/>
          <w:szCs w:val="20"/>
          <w:lang w:val="es-MX"/>
        </w:rPr>
        <w:t>A</w:t>
      </w:r>
      <w:bookmarkEnd w:id="8"/>
    </w:p>
    <w:p w14:paraId="74C45108" w14:textId="77777777" w:rsidR="005E2829" w:rsidRPr="00BC42F3" w:rsidRDefault="005E2829" w:rsidP="00414DEF">
      <w:pPr>
        <w:pStyle w:val="Prrafodelista"/>
        <w:spacing w:line="240" w:lineRule="auto"/>
        <w:ind w:left="0"/>
        <w:rPr>
          <w:rFonts w:ascii="Verdana" w:eastAsia="Verdana" w:hAnsi="Verdana" w:cs="Verdana"/>
          <w:spacing w:val="-1"/>
          <w:sz w:val="20"/>
          <w:szCs w:val="20"/>
          <w:lang w:val="es-MX"/>
        </w:rPr>
      </w:pPr>
    </w:p>
    <w:p w14:paraId="2A659A6A" w14:textId="77777777" w:rsidR="005E2829" w:rsidRPr="00D85E20" w:rsidRDefault="005E2829" w:rsidP="00414DEF">
      <w:pPr>
        <w:pStyle w:val="Prrafodelista"/>
        <w:widowControl/>
        <w:numPr>
          <w:ilvl w:val="0"/>
          <w:numId w:val="26"/>
        </w:numPr>
        <w:spacing w:after="160" w:line="240" w:lineRule="auto"/>
        <w:ind w:left="0" w:firstLine="0"/>
        <w:jc w:val="both"/>
        <w:rPr>
          <w:rFonts w:ascii="Verdana" w:eastAsia="Verdana" w:hAnsi="Verdana" w:cs="Verdana"/>
          <w:spacing w:val="-1"/>
          <w:sz w:val="20"/>
          <w:szCs w:val="20"/>
          <w:lang w:val="es-MX"/>
        </w:rPr>
      </w:pPr>
      <w:r>
        <w:rPr>
          <w:rFonts w:ascii="Verdana" w:eastAsia="Verdana" w:hAnsi="Verdana" w:cs="Verdana"/>
          <w:spacing w:val="-1"/>
          <w:sz w:val="20"/>
          <w:szCs w:val="20"/>
          <w:lang w:val="es-MX"/>
        </w:rPr>
        <w:t xml:space="preserve">La Corte es competente </w:t>
      </w:r>
      <w:r w:rsidRPr="008941C6">
        <w:rPr>
          <w:rFonts w:ascii="Verdana" w:hAnsi="Verdana"/>
          <w:sz w:val="20"/>
          <w:szCs w:val="20"/>
          <w:lang w:val="es-MX"/>
        </w:rPr>
        <w:t>para conocer el presente caso, en los términos del artículo 62.3 de la Convención</w:t>
      </w:r>
      <w:r>
        <w:rPr>
          <w:rFonts w:ascii="Verdana" w:hAnsi="Verdana"/>
          <w:sz w:val="20"/>
          <w:szCs w:val="20"/>
          <w:lang w:val="es-MX"/>
        </w:rPr>
        <w:t xml:space="preserve">. </w:t>
      </w:r>
      <w:r w:rsidRPr="008941C6">
        <w:rPr>
          <w:rFonts w:ascii="Verdana" w:hAnsi="Verdana"/>
          <w:sz w:val="20"/>
          <w:szCs w:val="20"/>
          <w:lang w:val="es-MX"/>
        </w:rPr>
        <w:t xml:space="preserve">Ecuador es Parte </w:t>
      </w:r>
      <w:r>
        <w:rPr>
          <w:rFonts w:ascii="Verdana" w:hAnsi="Verdana"/>
          <w:sz w:val="20"/>
          <w:szCs w:val="20"/>
          <w:lang w:val="es-MX"/>
        </w:rPr>
        <w:t>d</w:t>
      </w:r>
      <w:r w:rsidRPr="008941C6">
        <w:rPr>
          <w:rFonts w:ascii="Verdana" w:hAnsi="Verdana"/>
          <w:sz w:val="20"/>
          <w:szCs w:val="20"/>
          <w:lang w:val="es-MX"/>
        </w:rPr>
        <w:t xml:space="preserve">e la </w:t>
      </w:r>
      <w:r>
        <w:rPr>
          <w:rFonts w:ascii="Verdana" w:hAnsi="Verdana"/>
          <w:sz w:val="20"/>
          <w:szCs w:val="20"/>
          <w:lang w:val="es-MX"/>
        </w:rPr>
        <w:t>Convención</w:t>
      </w:r>
      <w:r w:rsidRPr="008941C6">
        <w:rPr>
          <w:rFonts w:ascii="Verdana" w:hAnsi="Verdana"/>
          <w:sz w:val="20"/>
          <w:szCs w:val="20"/>
          <w:lang w:val="es-MX"/>
        </w:rPr>
        <w:t xml:space="preserve"> desde el 28 de diciembre de 1977 y reconoció la competencia contenciosa de </w:t>
      </w:r>
      <w:r>
        <w:rPr>
          <w:rFonts w:ascii="Verdana" w:hAnsi="Verdana"/>
          <w:sz w:val="20"/>
          <w:szCs w:val="20"/>
          <w:lang w:val="es-MX"/>
        </w:rPr>
        <w:t>este Tribunal el 24 de julio de 1984.</w:t>
      </w:r>
    </w:p>
    <w:p w14:paraId="16E1ADC0" w14:textId="77777777" w:rsidR="005E2829" w:rsidRDefault="005E2829" w:rsidP="00414DEF">
      <w:pPr>
        <w:pStyle w:val="Prrafodelista"/>
        <w:widowControl/>
        <w:spacing w:after="160" w:line="240" w:lineRule="auto"/>
        <w:ind w:left="0"/>
        <w:jc w:val="both"/>
        <w:rPr>
          <w:rFonts w:ascii="Verdana" w:eastAsia="Verdana" w:hAnsi="Verdana" w:cs="Verdana"/>
          <w:spacing w:val="-1"/>
          <w:sz w:val="20"/>
          <w:szCs w:val="20"/>
          <w:lang w:val="es-MX"/>
        </w:rPr>
      </w:pPr>
    </w:p>
    <w:p w14:paraId="6AD35F09" w14:textId="77777777" w:rsidR="005E2829" w:rsidRPr="002E4A38" w:rsidRDefault="005E2829" w:rsidP="00414DEF">
      <w:pPr>
        <w:pStyle w:val="Ttulo1"/>
        <w:spacing w:before="0" w:line="240" w:lineRule="auto"/>
        <w:jc w:val="center"/>
        <w:rPr>
          <w:rFonts w:ascii="Verdana" w:eastAsia="Verdana" w:hAnsi="Verdana" w:cs="Verdana"/>
          <w:color w:val="auto"/>
          <w:sz w:val="20"/>
          <w:szCs w:val="20"/>
          <w:lang w:val="es-MX"/>
        </w:rPr>
      </w:pPr>
      <w:bookmarkStart w:id="9" w:name="_Toc34817781"/>
      <w:r w:rsidRPr="002E4A38">
        <w:rPr>
          <w:rFonts w:ascii="Verdana" w:eastAsia="Verdana" w:hAnsi="Verdana" w:cs="Verdana"/>
          <w:color w:val="auto"/>
          <w:sz w:val="20"/>
          <w:szCs w:val="20"/>
          <w:lang w:val="es-MX"/>
        </w:rPr>
        <w:t>IV</w:t>
      </w:r>
      <w:bookmarkEnd w:id="9"/>
    </w:p>
    <w:p w14:paraId="49F1D6A1" w14:textId="77777777" w:rsidR="005E2829" w:rsidRPr="00957EC3" w:rsidRDefault="005E2829" w:rsidP="00414DEF">
      <w:pPr>
        <w:pStyle w:val="Ttulo1"/>
        <w:spacing w:before="0" w:line="240" w:lineRule="auto"/>
        <w:jc w:val="center"/>
        <w:rPr>
          <w:rFonts w:ascii="Verdana" w:eastAsia="Verdana" w:hAnsi="Verdana" w:cs="Verdana"/>
          <w:b w:val="0"/>
          <w:bCs w:val="0"/>
          <w:sz w:val="20"/>
          <w:szCs w:val="20"/>
          <w:lang w:val="es-MX"/>
        </w:rPr>
      </w:pPr>
      <w:bookmarkStart w:id="10" w:name="_Toc34817782"/>
      <w:r w:rsidRPr="002E4A38">
        <w:rPr>
          <w:rFonts w:ascii="Verdana" w:eastAsia="Verdana" w:hAnsi="Verdana" w:cs="Verdana"/>
          <w:bCs w:val="0"/>
          <w:color w:val="auto"/>
          <w:sz w:val="20"/>
          <w:szCs w:val="20"/>
          <w:lang w:val="es-MX"/>
        </w:rPr>
        <w:t>EXCEPCIONES PRELIMINARES</w:t>
      </w:r>
      <w:r w:rsidRPr="009B6B9D">
        <w:rPr>
          <w:rStyle w:val="Refdenotaalpie"/>
          <w:rFonts w:ascii="Verdana" w:hAnsi="Verdana"/>
          <w:b w:val="0"/>
          <w:color w:val="auto"/>
          <w:sz w:val="20"/>
          <w:szCs w:val="20"/>
          <w:lang w:val="es-ES"/>
        </w:rPr>
        <w:footnoteReference w:id="7"/>
      </w:r>
      <w:bookmarkEnd w:id="10"/>
    </w:p>
    <w:p w14:paraId="5DC3A9CA" w14:textId="77777777" w:rsidR="005E2829" w:rsidRPr="00957EC3" w:rsidRDefault="005E2829" w:rsidP="00414DEF">
      <w:pPr>
        <w:pStyle w:val="Prrafodelista"/>
        <w:spacing w:line="240" w:lineRule="auto"/>
        <w:ind w:left="0"/>
        <w:jc w:val="center"/>
        <w:rPr>
          <w:rFonts w:ascii="Verdana" w:eastAsia="Verdana" w:hAnsi="Verdana" w:cs="Verdana"/>
          <w:b/>
          <w:bCs/>
          <w:w w:val="99"/>
          <w:sz w:val="20"/>
          <w:szCs w:val="20"/>
          <w:lang w:val="es-MX"/>
        </w:rPr>
      </w:pPr>
    </w:p>
    <w:p w14:paraId="36559947" w14:textId="0DA8F954" w:rsidR="005E2829" w:rsidRDefault="005E2829" w:rsidP="00414DEF">
      <w:pPr>
        <w:pStyle w:val="Prrafodelista"/>
        <w:widowControl/>
        <w:numPr>
          <w:ilvl w:val="0"/>
          <w:numId w:val="26"/>
        </w:numPr>
        <w:spacing w:after="160" w:line="240" w:lineRule="auto"/>
        <w:ind w:left="0" w:firstLine="0"/>
        <w:jc w:val="both"/>
        <w:rPr>
          <w:rFonts w:ascii="Verdana" w:hAnsi="Verdana" w:cs="Times New Roman"/>
          <w:sz w:val="20"/>
          <w:szCs w:val="20"/>
          <w:lang w:val="es-ES"/>
        </w:rPr>
      </w:pPr>
      <w:r w:rsidRPr="00FE7F12">
        <w:rPr>
          <w:rFonts w:ascii="Verdana" w:hAnsi="Verdana" w:cs="Times New Roman"/>
          <w:sz w:val="20"/>
          <w:szCs w:val="20"/>
          <w:lang w:val="es-ES"/>
        </w:rPr>
        <w:t xml:space="preserve">El </w:t>
      </w:r>
      <w:r w:rsidRPr="009B106E">
        <w:rPr>
          <w:rFonts w:ascii="Verdana" w:hAnsi="Verdana" w:cs="Times New Roman"/>
          <w:sz w:val="20"/>
          <w:szCs w:val="20"/>
          <w:lang w:val="es-ES"/>
        </w:rPr>
        <w:t>Estado</w:t>
      </w:r>
      <w:r w:rsidRPr="00FE7F12">
        <w:rPr>
          <w:rFonts w:ascii="Verdana" w:hAnsi="Verdana" w:cs="Times New Roman"/>
          <w:sz w:val="20"/>
          <w:szCs w:val="20"/>
          <w:lang w:val="es-ES"/>
        </w:rPr>
        <w:t xml:space="preserve"> </w:t>
      </w:r>
      <w:r>
        <w:rPr>
          <w:rFonts w:ascii="Verdana" w:hAnsi="Verdana" w:cs="Times New Roman"/>
          <w:sz w:val="20"/>
          <w:szCs w:val="20"/>
          <w:lang w:val="es-ES"/>
        </w:rPr>
        <w:t>opuso</w:t>
      </w:r>
      <w:r w:rsidRPr="00FE7F12">
        <w:rPr>
          <w:rFonts w:ascii="Verdana" w:hAnsi="Verdana" w:cs="Times New Roman"/>
          <w:sz w:val="20"/>
          <w:szCs w:val="20"/>
          <w:lang w:val="es-ES"/>
        </w:rPr>
        <w:t xml:space="preserve"> dos excepciones preliminares a</w:t>
      </w:r>
      <w:r w:rsidR="00897585">
        <w:rPr>
          <w:rFonts w:ascii="Verdana" w:hAnsi="Verdana" w:cs="Times New Roman"/>
          <w:sz w:val="20"/>
          <w:szCs w:val="20"/>
          <w:lang w:val="es-ES"/>
        </w:rPr>
        <w:t>duciendo</w:t>
      </w:r>
      <w:r>
        <w:rPr>
          <w:rFonts w:ascii="Verdana" w:hAnsi="Verdana" w:cs="Times New Roman"/>
          <w:sz w:val="20"/>
          <w:szCs w:val="20"/>
          <w:lang w:val="es-ES"/>
        </w:rPr>
        <w:t>:</w:t>
      </w:r>
      <w:r w:rsidRPr="00FE7F12">
        <w:rPr>
          <w:rFonts w:ascii="Verdana" w:hAnsi="Verdana" w:cs="Times New Roman"/>
          <w:sz w:val="20"/>
          <w:szCs w:val="20"/>
          <w:lang w:val="es-ES"/>
        </w:rPr>
        <w:t xml:space="preserve"> a) la falta de a</w:t>
      </w:r>
      <w:r>
        <w:rPr>
          <w:rFonts w:ascii="Verdana" w:hAnsi="Verdana" w:cs="Times New Roman"/>
          <w:sz w:val="20"/>
          <w:szCs w:val="20"/>
          <w:lang w:val="es-ES"/>
        </w:rPr>
        <w:t>gotamiento de</w:t>
      </w:r>
      <w:r w:rsidR="00897585">
        <w:rPr>
          <w:rFonts w:ascii="Verdana" w:hAnsi="Verdana" w:cs="Times New Roman"/>
          <w:sz w:val="20"/>
          <w:szCs w:val="20"/>
          <w:lang w:val="es-ES"/>
        </w:rPr>
        <w:t xml:space="preserve"> los</w:t>
      </w:r>
      <w:r>
        <w:rPr>
          <w:rFonts w:ascii="Verdana" w:hAnsi="Verdana" w:cs="Times New Roman"/>
          <w:sz w:val="20"/>
          <w:szCs w:val="20"/>
          <w:lang w:val="es-ES"/>
        </w:rPr>
        <w:t xml:space="preserve"> recursos internos, y</w:t>
      </w:r>
      <w:r w:rsidRPr="00FE7F12">
        <w:rPr>
          <w:rFonts w:ascii="Verdana" w:hAnsi="Verdana" w:cs="Times New Roman"/>
          <w:sz w:val="20"/>
          <w:szCs w:val="20"/>
          <w:lang w:val="es-ES"/>
        </w:rPr>
        <w:t xml:space="preserve"> b) </w:t>
      </w:r>
      <w:r>
        <w:rPr>
          <w:rFonts w:ascii="Verdana" w:hAnsi="Verdana" w:cs="Times New Roman"/>
          <w:sz w:val="20"/>
          <w:szCs w:val="20"/>
          <w:lang w:val="es-ES"/>
        </w:rPr>
        <w:t>la</w:t>
      </w:r>
      <w:r w:rsidR="00897585">
        <w:rPr>
          <w:rFonts w:ascii="Verdana" w:hAnsi="Verdana" w:cs="Times New Roman"/>
          <w:sz w:val="20"/>
          <w:szCs w:val="20"/>
          <w:lang w:val="es-ES"/>
        </w:rPr>
        <w:t xml:space="preserve"> alegada</w:t>
      </w:r>
      <w:r>
        <w:rPr>
          <w:rFonts w:ascii="Verdana" w:hAnsi="Verdana" w:cs="Times New Roman"/>
          <w:sz w:val="20"/>
          <w:szCs w:val="20"/>
          <w:lang w:val="es-ES"/>
        </w:rPr>
        <w:t xml:space="preserve"> v</w:t>
      </w:r>
      <w:r w:rsidR="00897585">
        <w:rPr>
          <w:rFonts w:ascii="Verdana" w:hAnsi="Verdana" w:cs="Times New Roman"/>
          <w:sz w:val="20"/>
          <w:szCs w:val="20"/>
          <w:lang w:val="es-ES"/>
        </w:rPr>
        <w:t>iolación</w:t>
      </w:r>
      <w:r>
        <w:rPr>
          <w:rFonts w:ascii="Verdana" w:hAnsi="Verdana" w:cs="Times New Roman"/>
          <w:sz w:val="20"/>
          <w:szCs w:val="20"/>
          <w:lang w:val="es-ES"/>
        </w:rPr>
        <w:t xml:space="preserve"> de su derecho de defensa</w:t>
      </w:r>
      <w:r w:rsidRPr="00FE7F12">
        <w:rPr>
          <w:rFonts w:ascii="Verdana" w:hAnsi="Verdana" w:cs="Times New Roman"/>
          <w:sz w:val="20"/>
          <w:szCs w:val="20"/>
          <w:lang w:val="es-ES"/>
        </w:rPr>
        <w:t>.</w:t>
      </w:r>
    </w:p>
    <w:p w14:paraId="0CE60C0B" w14:textId="77777777" w:rsidR="005E2829" w:rsidRPr="005C118E" w:rsidRDefault="005E2829" w:rsidP="00414DEF">
      <w:pPr>
        <w:pStyle w:val="Prrafodelista"/>
        <w:spacing w:line="240" w:lineRule="auto"/>
        <w:ind w:left="0"/>
        <w:jc w:val="both"/>
        <w:rPr>
          <w:rFonts w:ascii="Verdana" w:eastAsia="Verdana" w:hAnsi="Verdana" w:cs="Verdana"/>
          <w:b/>
          <w:spacing w:val="-1"/>
          <w:sz w:val="20"/>
          <w:szCs w:val="20"/>
          <w:lang w:val="es-MX"/>
        </w:rPr>
      </w:pPr>
    </w:p>
    <w:p w14:paraId="7068ADE7" w14:textId="77777777" w:rsidR="005E2829" w:rsidRPr="005B649F" w:rsidRDefault="005E2829" w:rsidP="00414DEF">
      <w:pPr>
        <w:pStyle w:val="Prrafodelista"/>
        <w:numPr>
          <w:ilvl w:val="0"/>
          <w:numId w:val="33"/>
        </w:numPr>
        <w:spacing w:line="240" w:lineRule="auto"/>
        <w:ind w:left="284" w:firstLine="0"/>
        <w:jc w:val="both"/>
        <w:outlineLvl w:val="1"/>
        <w:rPr>
          <w:rFonts w:ascii="Verdana" w:eastAsia="Verdana" w:hAnsi="Verdana" w:cs="Verdana"/>
          <w:b/>
          <w:i/>
          <w:spacing w:val="-1"/>
          <w:sz w:val="20"/>
          <w:szCs w:val="20"/>
          <w:lang w:val="es-MX"/>
        </w:rPr>
      </w:pPr>
      <w:bookmarkStart w:id="11" w:name="_Toc34817783"/>
      <w:r w:rsidRPr="005B649F">
        <w:rPr>
          <w:rFonts w:ascii="Verdana" w:eastAsia="Verdana" w:hAnsi="Verdana" w:cs="Verdana"/>
          <w:b/>
          <w:i/>
          <w:spacing w:val="-1"/>
          <w:sz w:val="20"/>
          <w:szCs w:val="20"/>
          <w:lang w:val="es-MX"/>
        </w:rPr>
        <w:t>Excepción de falta de agotamiento de los recursos internos</w:t>
      </w:r>
      <w:bookmarkEnd w:id="11"/>
    </w:p>
    <w:p w14:paraId="7AE461B0" w14:textId="77777777" w:rsidR="005E2829" w:rsidRPr="00CD4C8E" w:rsidRDefault="005E2829" w:rsidP="00414DEF">
      <w:pPr>
        <w:pStyle w:val="Prrafodelista"/>
        <w:widowControl/>
        <w:spacing w:after="0" w:line="240" w:lineRule="auto"/>
        <w:ind w:left="0"/>
        <w:contextualSpacing w:val="0"/>
        <w:jc w:val="both"/>
        <w:rPr>
          <w:rFonts w:ascii="Verdana" w:eastAsia="Verdana" w:hAnsi="Verdana" w:cs="Verdana"/>
          <w:spacing w:val="-1"/>
          <w:sz w:val="20"/>
          <w:szCs w:val="20"/>
          <w:lang w:val="es-MX"/>
        </w:rPr>
      </w:pPr>
    </w:p>
    <w:p w14:paraId="268496FF" w14:textId="1D2ACFEF" w:rsidR="005E2829" w:rsidRDefault="005E2829" w:rsidP="00414DEF">
      <w:pPr>
        <w:pStyle w:val="Prrafodelista"/>
        <w:widowControl/>
        <w:numPr>
          <w:ilvl w:val="0"/>
          <w:numId w:val="26"/>
        </w:numPr>
        <w:spacing w:after="160" w:line="240" w:lineRule="auto"/>
        <w:ind w:left="0" w:firstLine="0"/>
        <w:jc w:val="both"/>
        <w:rPr>
          <w:rFonts w:ascii="Verdana" w:hAnsi="Verdana"/>
          <w:sz w:val="20"/>
          <w:szCs w:val="20"/>
          <w:lang w:val="es-ES"/>
        </w:rPr>
      </w:pPr>
      <w:r w:rsidRPr="005C65EE">
        <w:rPr>
          <w:rFonts w:ascii="Verdana" w:hAnsi="Verdana"/>
          <w:sz w:val="20"/>
          <w:szCs w:val="20"/>
          <w:lang w:val="es-CR"/>
        </w:rPr>
        <w:t xml:space="preserve">El </w:t>
      </w:r>
      <w:r w:rsidRPr="00CD4C8E">
        <w:rPr>
          <w:rFonts w:ascii="Verdana" w:hAnsi="Verdana"/>
          <w:b/>
          <w:i/>
          <w:sz w:val="20"/>
          <w:szCs w:val="20"/>
          <w:lang w:val="es-CR"/>
        </w:rPr>
        <w:t>Estado</w:t>
      </w:r>
      <w:r w:rsidRPr="00CD4C8E">
        <w:rPr>
          <w:rFonts w:ascii="Verdana" w:hAnsi="Verdana"/>
          <w:sz w:val="20"/>
          <w:szCs w:val="20"/>
          <w:lang w:val="es-CR"/>
        </w:rPr>
        <w:t xml:space="preserve"> a</w:t>
      </w:r>
      <w:r w:rsidRPr="005C65EE">
        <w:rPr>
          <w:rFonts w:ascii="Verdana" w:hAnsi="Verdana"/>
          <w:sz w:val="20"/>
          <w:szCs w:val="20"/>
          <w:lang w:val="es-CR"/>
        </w:rPr>
        <w:t>dujo que proveyó recursos internos para a) cuestionar la sentencia condenatoria y b) para controvertir la prisión preventiva. En rela</w:t>
      </w:r>
      <w:r>
        <w:rPr>
          <w:rFonts w:ascii="Verdana" w:hAnsi="Verdana"/>
          <w:sz w:val="20"/>
          <w:szCs w:val="20"/>
          <w:lang w:val="es-CR"/>
        </w:rPr>
        <w:t>ción con lo primero, señaló que:</w:t>
      </w:r>
      <w:r w:rsidRPr="005C65EE">
        <w:rPr>
          <w:rFonts w:ascii="Verdana" w:hAnsi="Verdana"/>
          <w:sz w:val="20"/>
          <w:szCs w:val="20"/>
          <w:lang w:val="es-CR"/>
        </w:rPr>
        <w:t xml:space="preserve"> </w:t>
      </w:r>
      <w:r>
        <w:rPr>
          <w:rFonts w:ascii="Verdana" w:hAnsi="Verdana"/>
          <w:sz w:val="20"/>
          <w:szCs w:val="20"/>
          <w:lang w:val="es-CR"/>
        </w:rPr>
        <w:t xml:space="preserve">i.- </w:t>
      </w:r>
      <w:r w:rsidRPr="005C65EE">
        <w:rPr>
          <w:rFonts w:ascii="Verdana" w:hAnsi="Verdana"/>
          <w:sz w:val="20"/>
          <w:szCs w:val="20"/>
          <w:lang w:val="es-ES"/>
        </w:rPr>
        <w:t xml:space="preserve">el recurso de </w:t>
      </w:r>
      <w:r w:rsidRPr="00CD4C8E">
        <w:rPr>
          <w:rFonts w:ascii="Verdana" w:hAnsi="Verdana"/>
          <w:i/>
          <w:sz w:val="20"/>
          <w:szCs w:val="20"/>
          <w:lang w:val="es-ES"/>
        </w:rPr>
        <w:t>casación</w:t>
      </w:r>
      <w:r w:rsidRPr="005C65EE">
        <w:rPr>
          <w:rFonts w:ascii="Verdana" w:hAnsi="Verdana"/>
          <w:sz w:val="20"/>
          <w:szCs w:val="20"/>
          <w:lang w:val="es-ES"/>
        </w:rPr>
        <w:t xml:space="preserve"> podía interponerse “si la presunta víctima consideró que el Tribunal Penal violó la ley al emitir la sentencia condenatoria”, y </w:t>
      </w:r>
      <w:r>
        <w:rPr>
          <w:rFonts w:ascii="Verdana" w:hAnsi="Verdana"/>
          <w:sz w:val="20"/>
          <w:szCs w:val="20"/>
          <w:lang w:val="es-ES"/>
        </w:rPr>
        <w:t xml:space="preserve">ii.- </w:t>
      </w:r>
      <w:r w:rsidRPr="005C65EE">
        <w:rPr>
          <w:rFonts w:ascii="Verdana" w:hAnsi="Verdana"/>
          <w:sz w:val="20"/>
          <w:szCs w:val="20"/>
          <w:lang w:val="es-ES"/>
        </w:rPr>
        <w:t xml:space="preserve">que el recurso de </w:t>
      </w:r>
      <w:r w:rsidRPr="00CD4C8E">
        <w:rPr>
          <w:rFonts w:ascii="Verdana" w:hAnsi="Verdana"/>
          <w:i/>
          <w:sz w:val="20"/>
          <w:szCs w:val="20"/>
          <w:lang w:val="es-ES"/>
        </w:rPr>
        <w:t>revisión</w:t>
      </w:r>
      <w:r w:rsidRPr="005C65EE">
        <w:rPr>
          <w:rFonts w:ascii="Verdana" w:hAnsi="Verdana"/>
          <w:sz w:val="20"/>
          <w:szCs w:val="20"/>
          <w:lang w:val="es-ES"/>
        </w:rPr>
        <w:t xml:space="preserve"> procedía para “reparar el caso de una persona condenada por un error en sentencia”. </w:t>
      </w:r>
      <w:r w:rsidRPr="00CD4C8E">
        <w:rPr>
          <w:rFonts w:ascii="Verdana" w:hAnsi="Verdana"/>
          <w:sz w:val="20"/>
          <w:szCs w:val="20"/>
          <w:lang w:val="es-ES"/>
        </w:rPr>
        <w:t xml:space="preserve">Sobre lo segundo, expresó que </w:t>
      </w:r>
      <w:r>
        <w:rPr>
          <w:rFonts w:ascii="Verdana" w:hAnsi="Verdana"/>
          <w:sz w:val="20"/>
          <w:szCs w:val="20"/>
          <w:lang w:val="es-ES"/>
        </w:rPr>
        <w:t xml:space="preserve">el señor Carranza no presentó </w:t>
      </w:r>
      <w:r w:rsidRPr="00CD4C8E">
        <w:rPr>
          <w:rFonts w:ascii="Verdana" w:hAnsi="Verdana"/>
          <w:sz w:val="20"/>
          <w:szCs w:val="20"/>
          <w:lang w:val="es-ES"/>
        </w:rPr>
        <w:t xml:space="preserve">i.- </w:t>
      </w:r>
      <w:r>
        <w:rPr>
          <w:rFonts w:ascii="Verdana" w:hAnsi="Verdana"/>
          <w:sz w:val="20"/>
          <w:szCs w:val="20"/>
          <w:lang w:val="es-ES"/>
        </w:rPr>
        <w:t xml:space="preserve">el recurso </w:t>
      </w:r>
      <w:r w:rsidR="0074333F">
        <w:rPr>
          <w:rFonts w:ascii="Verdana" w:hAnsi="Verdana"/>
          <w:sz w:val="20"/>
          <w:szCs w:val="20"/>
          <w:lang w:val="es-ES"/>
        </w:rPr>
        <w:t>de</w:t>
      </w:r>
      <w:r w:rsidRPr="00CD4C8E">
        <w:rPr>
          <w:rFonts w:ascii="Verdana" w:hAnsi="Verdana"/>
          <w:sz w:val="20"/>
          <w:szCs w:val="20"/>
          <w:lang w:val="es-ES"/>
        </w:rPr>
        <w:t xml:space="preserve"> </w:t>
      </w:r>
      <w:r w:rsidRPr="00CD4C8E">
        <w:rPr>
          <w:rFonts w:ascii="Verdana" w:hAnsi="Verdana"/>
          <w:i/>
          <w:sz w:val="20"/>
          <w:szCs w:val="20"/>
          <w:lang w:val="es-ES"/>
        </w:rPr>
        <w:t>hábeas corpus</w:t>
      </w:r>
      <w:r w:rsidRPr="00426B4D">
        <w:rPr>
          <w:rFonts w:ascii="Verdana" w:hAnsi="Verdana"/>
          <w:sz w:val="20"/>
          <w:szCs w:val="20"/>
          <w:lang w:val="es-ES"/>
        </w:rPr>
        <w:t xml:space="preserve">, </w:t>
      </w:r>
      <w:r>
        <w:rPr>
          <w:rFonts w:ascii="Verdana" w:hAnsi="Verdana"/>
          <w:sz w:val="20"/>
          <w:szCs w:val="20"/>
          <w:lang w:val="es-ES"/>
        </w:rPr>
        <w:t xml:space="preserve">que </w:t>
      </w:r>
      <w:r w:rsidRPr="00CD4C8E">
        <w:rPr>
          <w:rFonts w:ascii="Verdana" w:hAnsi="Verdana"/>
          <w:sz w:val="20"/>
          <w:szCs w:val="20"/>
          <w:lang w:val="es-ES"/>
        </w:rPr>
        <w:t>era un “remedio rápido, idóneo y efectivo” para reclamar la libertad de personas detenidas en forma ilegal o arbitraria</w:t>
      </w:r>
      <w:r>
        <w:rPr>
          <w:rFonts w:ascii="Verdana" w:hAnsi="Verdana"/>
          <w:sz w:val="20"/>
          <w:szCs w:val="20"/>
          <w:lang w:val="es-ES"/>
        </w:rPr>
        <w:t>, ni</w:t>
      </w:r>
      <w:r w:rsidRPr="005C65EE">
        <w:rPr>
          <w:rFonts w:ascii="Verdana" w:hAnsi="Verdana"/>
          <w:sz w:val="20"/>
          <w:szCs w:val="20"/>
          <w:lang w:val="es-ES"/>
        </w:rPr>
        <w:t xml:space="preserve"> </w:t>
      </w:r>
      <w:r w:rsidRPr="00CD4C8E">
        <w:rPr>
          <w:rFonts w:ascii="Verdana" w:hAnsi="Verdana"/>
          <w:sz w:val="20"/>
          <w:szCs w:val="20"/>
          <w:lang w:val="es-ES"/>
        </w:rPr>
        <w:t xml:space="preserve">ii.- </w:t>
      </w:r>
      <w:r w:rsidRPr="00CD4C8E">
        <w:rPr>
          <w:rFonts w:ascii="Verdana" w:hAnsi="Verdana"/>
          <w:sz w:val="20"/>
          <w:szCs w:val="20"/>
          <w:lang w:val="es-CR"/>
        </w:rPr>
        <w:t>e</w:t>
      </w:r>
      <w:r>
        <w:rPr>
          <w:rFonts w:ascii="Verdana" w:hAnsi="Verdana"/>
          <w:sz w:val="20"/>
          <w:szCs w:val="20"/>
          <w:lang w:val="es-CR"/>
        </w:rPr>
        <w:t>l</w:t>
      </w:r>
      <w:r w:rsidRPr="00CD4C8E">
        <w:rPr>
          <w:rFonts w:ascii="Verdana" w:hAnsi="Verdana"/>
          <w:sz w:val="20"/>
          <w:szCs w:val="20"/>
          <w:lang w:val="es-CR"/>
        </w:rPr>
        <w:t xml:space="preserve"> </w:t>
      </w:r>
      <w:r w:rsidRPr="00CD4C8E">
        <w:rPr>
          <w:rFonts w:ascii="Verdana" w:hAnsi="Verdana"/>
          <w:i/>
          <w:sz w:val="20"/>
          <w:szCs w:val="20"/>
          <w:lang w:val="es-CR"/>
        </w:rPr>
        <w:t>amparo de libertad</w:t>
      </w:r>
      <w:r w:rsidRPr="00CD4C8E">
        <w:rPr>
          <w:rFonts w:ascii="Verdana" w:hAnsi="Verdana"/>
          <w:sz w:val="20"/>
          <w:szCs w:val="20"/>
          <w:lang w:val="es-CR"/>
        </w:rPr>
        <w:t xml:space="preserve"> durante el desarrollo del proceso penal</w:t>
      </w:r>
      <w:r>
        <w:rPr>
          <w:rFonts w:ascii="Verdana" w:hAnsi="Verdana"/>
          <w:sz w:val="20"/>
          <w:szCs w:val="20"/>
          <w:lang w:val="es-CR"/>
        </w:rPr>
        <w:t xml:space="preserve">, </w:t>
      </w:r>
      <w:r w:rsidRPr="00CD4C8E">
        <w:rPr>
          <w:rFonts w:ascii="Verdana" w:hAnsi="Verdana"/>
          <w:sz w:val="20"/>
          <w:szCs w:val="20"/>
          <w:lang w:val="es-CR"/>
        </w:rPr>
        <w:t>a fin de solucionar su situación jurídica en cuanto a su derecho a la libertad personal</w:t>
      </w:r>
      <w:r>
        <w:rPr>
          <w:rFonts w:ascii="Verdana" w:hAnsi="Verdana"/>
          <w:sz w:val="20"/>
          <w:szCs w:val="20"/>
          <w:lang w:val="es-CR"/>
        </w:rPr>
        <w:t>.</w:t>
      </w:r>
      <w:r w:rsidRPr="00CD4C8E">
        <w:rPr>
          <w:rFonts w:ascii="Verdana" w:hAnsi="Verdana"/>
          <w:sz w:val="20"/>
          <w:szCs w:val="20"/>
          <w:lang w:val="es-CR"/>
        </w:rPr>
        <w:t xml:space="preserve"> </w:t>
      </w:r>
      <w:r>
        <w:rPr>
          <w:rFonts w:ascii="Verdana" w:hAnsi="Verdana"/>
          <w:sz w:val="20"/>
          <w:szCs w:val="20"/>
          <w:lang w:val="es-ES"/>
        </w:rPr>
        <w:t xml:space="preserve"> </w:t>
      </w:r>
    </w:p>
    <w:p w14:paraId="47A18A6E" w14:textId="77777777" w:rsidR="005E2829" w:rsidRDefault="005E2829" w:rsidP="00414DEF">
      <w:pPr>
        <w:pStyle w:val="Prrafodelista"/>
        <w:widowControl/>
        <w:spacing w:after="0" w:line="240" w:lineRule="auto"/>
        <w:ind w:left="0"/>
        <w:contextualSpacing w:val="0"/>
        <w:jc w:val="both"/>
        <w:rPr>
          <w:rFonts w:ascii="Verdana" w:hAnsi="Verdana"/>
          <w:sz w:val="20"/>
          <w:szCs w:val="20"/>
          <w:lang w:val="es-ES"/>
        </w:rPr>
      </w:pPr>
    </w:p>
    <w:p w14:paraId="1B4876FA" w14:textId="77777777" w:rsidR="005E2829" w:rsidRPr="00E25073" w:rsidRDefault="005E2829" w:rsidP="00414DEF">
      <w:pPr>
        <w:pStyle w:val="Prrafodelista"/>
        <w:widowControl/>
        <w:numPr>
          <w:ilvl w:val="0"/>
          <w:numId w:val="26"/>
        </w:numPr>
        <w:spacing w:after="160" w:line="240" w:lineRule="auto"/>
        <w:ind w:left="0" w:firstLine="0"/>
        <w:jc w:val="both"/>
        <w:rPr>
          <w:rFonts w:ascii="Verdana" w:hAnsi="Verdana"/>
          <w:b/>
          <w:sz w:val="20"/>
          <w:szCs w:val="20"/>
          <w:lang w:val="es-ES_tradnl"/>
        </w:rPr>
      </w:pPr>
      <w:r w:rsidRPr="0055367E">
        <w:rPr>
          <w:rFonts w:ascii="Verdana" w:hAnsi="Verdana" w:cs="Cambria"/>
          <w:sz w:val="20"/>
          <w:szCs w:val="20"/>
          <w:lang w:val="es-CR"/>
        </w:rPr>
        <w:lastRenderedPageBreak/>
        <w:t xml:space="preserve">La </w:t>
      </w:r>
      <w:r w:rsidRPr="0055367E">
        <w:rPr>
          <w:rFonts w:ascii="Verdana" w:hAnsi="Verdana" w:cs="Cambria"/>
          <w:b/>
          <w:i/>
          <w:sz w:val="20"/>
          <w:szCs w:val="20"/>
          <w:lang w:val="es-CR"/>
        </w:rPr>
        <w:t>Comisión</w:t>
      </w:r>
      <w:r w:rsidRPr="0055367E">
        <w:rPr>
          <w:rFonts w:ascii="Verdana" w:hAnsi="Verdana" w:cs="Cambria"/>
          <w:sz w:val="20"/>
          <w:szCs w:val="20"/>
          <w:lang w:val="es-CR"/>
        </w:rPr>
        <w:t xml:space="preserve"> manifestó</w:t>
      </w:r>
      <w:r w:rsidRPr="00081566">
        <w:rPr>
          <w:rFonts w:ascii="Verdana" w:hAnsi="Verdana" w:cs="Cambria"/>
          <w:sz w:val="20"/>
          <w:szCs w:val="20"/>
          <w:lang w:val="es-CR"/>
        </w:rPr>
        <w:t xml:space="preserve">: </w:t>
      </w:r>
      <w:r>
        <w:rPr>
          <w:rFonts w:ascii="Verdana" w:hAnsi="Verdana" w:cs="Cambria"/>
          <w:sz w:val="20"/>
          <w:szCs w:val="20"/>
          <w:lang w:val="es-CR"/>
        </w:rPr>
        <w:t xml:space="preserve">a) </w:t>
      </w:r>
      <w:r w:rsidRPr="0055367E">
        <w:rPr>
          <w:rFonts w:ascii="Verdana" w:hAnsi="Verdana" w:cs="Cambria"/>
          <w:sz w:val="20"/>
          <w:szCs w:val="20"/>
          <w:lang w:val="es-CR"/>
        </w:rPr>
        <w:t xml:space="preserve">que el Estado no adoptó ninguna prueba que acredite que </w:t>
      </w:r>
      <w:r>
        <w:rPr>
          <w:rFonts w:ascii="Verdana" w:hAnsi="Verdana" w:cs="Cambria"/>
          <w:sz w:val="20"/>
          <w:szCs w:val="20"/>
          <w:lang w:val="es-CR"/>
        </w:rPr>
        <w:t>realizó una revisión periódica de la continuidad de la procedencia de la prisión preventiva</w:t>
      </w:r>
      <w:r w:rsidRPr="0055367E">
        <w:rPr>
          <w:rFonts w:ascii="Verdana" w:hAnsi="Verdana" w:cs="Cambria"/>
          <w:sz w:val="20"/>
          <w:szCs w:val="20"/>
          <w:lang w:val="es-CR"/>
        </w:rPr>
        <w:t xml:space="preserve"> hasta la emisión de la sentencia condenatoria; </w:t>
      </w:r>
      <w:r w:rsidRPr="00081566">
        <w:rPr>
          <w:rFonts w:ascii="Verdana" w:hAnsi="Verdana" w:cs="Cambria"/>
          <w:sz w:val="20"/>
          <w:szCs w:val="20"/>
          <w:lang w:val="es-CR"/>
        </w:rPr>
        <w:t>b)</w:t>
      </w:r>
      <w:r>
        <w:rPr>
          <w:rFonts w:ascii="Verdana" w:hAnsi="Verdana"/>
          <w:sz w:val="20"/>
          <w:szCs w:val="20"/>
          <w:lang w:val="es-HN"/>
        </w:rPr>
        <w:t xml:space="preserve"> </w:t>
      </w:r>
      <w:r w:rsidRPr="0055367E">
        <w:rPr>
          <w:rFonts w:ascii="Verdana" w:hAnsi="Verdana"/>
          <w:sz w:val="20"/>
          <w:szCs w:val="20"/>
          <w:lang w:val="es-HN"/>
        </w:rPr>
        <w:t>que el requisito de agotamiento de los recursos internos no significa que las presuntas víctimas tengan necesariamente la obligación de agotar todos los recursos disponibles</w:t>
      </w:r>
      <w:r w:rsidRPr="00081566">
        <w:rPr>
          <w:rFonts w:ascii="Verdana" w:hAnsi="Verdana"/>
          <w:sz w:val="20"/>
          <w:szCs w:val="20"/>
          <w:lang w:val="es-HN"/>
        </w:rPr>
        <w:t xml:space="preserve">; </w:t>
      </w:r>
      <w:r w:rsidRPr="00081566">
        <w:rPr>
          <w:rFonts w:ascii="Verdana" w:hAnsi="Verdana"/>
          <w:sz w:val="20"/>
          <w:szCs w:val="20"/>
          <w:lang w:val="es-ES_tradnl"/>
        </w:rPr>
        <w:t>c)</w:t>
      </w:r>
      <w:r w:rsidRPr="0055367E">
        <w:rPr>
          <w:rFonts w:ascii="Verdana" w:hAnsi="Verdana"/>
          <w:sz w:val="20"/>
          <w:szCs w:val="20"/>
          <w:lang w:val="es-ES_tradnl"/>
        </w:rPr>
        <w:t xml:space="preserve"> que</w:t>
      </w:r>
      <w:r w:rsidRPr="0055367E">
        <w:rPr>
          <w:rFonts w:ascii="Verdana" w:hAnsi="Verdana"/>
          <w:b/>
          <w:sz w:val="20"/>
          <w:szCs w:val="20"/>
          <w:lang w:val="es-ES_tradnl"/>
        </w:rPr>
        <w:t xml:space="preserve"> </w:t>
      </w:r>
      <w:r w:rsidRPr="00CD4C8E">
        <w:rPr>
          <w:rFonts w:ascii="Verdana" w:hAnsi="Verdana"/>
          <w:sz w:val="20"/>
          <w:szCs w:val="20"/>
          <w:lang w:val="es-CR"/>
        </w:rPr>
        <w:t xml:space="preserve">el escrito presentado por el señor Carranza en septiembre de 1995 pidiendo su libertad al juzgado que conocía el proceso penal posibilitó que el Estado tuviera la oportunidad de </w:t>
      </w:r>
      <w:r>
        <w:rPr>
          <w:rFonts w:ascii="Verdana" w:hAnsi="Verdana"/>
          <w:sz w:val="20"/>
          <w:szCs w:val="20"/>
          <w:lang w:val="es-CR"/>
        </w:rPr>
        <w:t>remediar la cuestión</w:t>
      </w:r>
      <w:r w:rsidRPr="00081566">
        <w:rPr>
          <w:rFonts w:ascii="Verdana" w:hAnsi="Verdana"/>
          <w:sz w:val="20"/>
          <w:szCs w:val="20"/>
          <w:lang w:val="es-CR"/>
        </w:rPr>
        <w:t>;</w:t>
      </w:r>
      <w:r w:rsidRPr="00CD4C8E">
        <w:rPr>
          <w:rFonts w:ascii="Verdana" w:hAnsi="Verdana"/>
          <w:sz w:val="20"/>
          <w:szCs w:val="20"/>
          <w:lang w:val="es-CR"/>
        </w:rPr>
        <w:t xml:space="preserve"> </w:t>
      </w:r>
      <w:r>
        <w:rPr>
          <w:rFonts w:ascii="Verdana" w:hAnsi="Verdana"/>
          <w:sz w:val="20"/>
          <w:szCs w:val="20"/>
          <w:lang w:val="es-CR"/>
        </w:rPr>
        <w:t>d</w:t>
      </w:r>
      <w:r w:rsidRPr="00081566">
        <w:rPr>
          <w:rFonts w:ascii="Verdana" w:hAnsi="Verdana"/>
          <w:sz w:val="20"/>
          <w:szCs w:val="20"/>
          <w:lang w:val="es-CR"/>
        </w:rPr>
        <w:t>)</w:t>
      </w:r>
      <w:r w:rsidRPr="00CD4C8E">
        <w:rPr>
          <w:rFonts w:ascii="Verdana" w:hAnsi="Verdana"/>
          <w:sz w:val="20"/>
          <w:szCs w:val="20"/>
          <w:lang w:val="es-CR"/>
        </w:rPr>
        <w:t xml:space="preserve"> que el recurso de amparo de libertad fue señalado por el Estado por primera vez ante la Corte Interamericana, por lo que el argumento es extemporáneo</w:t>
      </w:r>
      <w:r w:rsidRPr="00081566">
        <w:rPr>
          <w:rFonts w:ascii="Verdana" w:hAnsi="Verdana"/>
          <w:sz w:val="20"/>
          <w:szCs w:val="20"/>
          <w:lang w:val="es-CR"/>
        </w:rPr>
        <w:t>;</w:t>
      </w:r>
      <w:r w:rsidRPr="0055367E">
        <w:rPr>
          <w:rFonts w:ascii="Verdana" w:hAnsi="Verdana"/>
          <w:sz w:val="20"/>
          <w:szCs w:val="20"/>
          <w:lang w:val="es-CR"/>
        </w:rPr>
        <w:t xml:space="preserve"> </w:t>
      </w:r>
      <w:r w:rsidRPr="00081566">
        <w:rPr>
          <w:rFonts w:ascii="Verdana" w:hAnsi="Verdana"/>
          <w:sz w:val="20"/>
          <w:szCs w:val="20"/>
          <w:lang w:val="es-CR"/>
        </w:rPr>
        <w:t>e)</w:t>
      </w:r>
      <w:r w:rsidRPr="0055367E">
        <w:rPr>
          <w:rFonts w:ascii="Verdana" w:hAnsi="Verdana"/>
          <w:sz w:val="20"/>
          <w:szCs w:val="20"/>
          <w:lang w:val="es-CR"/>
        </w:rPr>
        <w:t xml:space="preserve"> que los recursos de casación y revisión no </w:t>
      </w:r>
      <w:r>
        <w:rPr>
          <w:rFonts w:ascii="Verdana" w:hAnsi="Verdana"/>
          <w:sz w:val="20"/>
          <w:szCs w:val="20"/>
          <w:lang w:val="es-CR"/>
        </w:rPr>
        <w:t>tienen como objetivo</w:t>
      </w:r>
      <w:r w:rsidRPr="0055367E">
        <w:rPr>
          <w:rFonts w:ascii="Verdana" w:hAnsi="Verdana"/>
          <w:sz w:val="20"/>
          <w:szCs w:val="20"/>
          <w:lang w:val="es-CR"/>
        </w:rPr>
        <w:t xml:space="preserve"> controvertir la detención “ilegal o arbitraria” a la que habría si</w:t>
      </w:r>
      <w:r w:rsidRPr="00081566">
        <w:rPr>
          <w:rFonts w:ascii="Verdana" w:hAnsi="Verdana"/>
          <w:sz w:val="20"/>
          <w:szCs w:val="20"/>
          <w:lang w:val="es-CR"/>
        </w:rPr>
        <w:t>do sometida la presunta víctima</w:t>
      </w:r>
      <w:r>
        <w:rPr>
          <w:rFonts w:ascii="Verdana" w:hAnsi="Verdana"/>
          <w:sz w:val="20"/>
          <w:szCs w:val="20"/>
          <w:lang w:val="es-CR"/>
        </w:rPr>
        <w:t>,</w:t>
      </w:r>
      <w:r w:rsidRPr="0055367E">
        <w:rPr>
          <w:rFonts w:ascii="Verdana" w:hAnsi="Verdana"/>
          <w:sz w:val="20"/>
          <w:szCs w:val="20"/>
          <w:lang w:val="es-CR"/>
        </w:rPr>
        <w:t xml:space="preserve"> y f) </w:t>
      </w:r>
      <w:r w:rsidRPr="0055367E">
        <w:rPr>
          <w:rFonts w:ascii="Verdana" w:hAnsi="Verdana"/>
          <w:sz w:val="20"/>
          <w:szCs w:val="20"/>
          <w:lang w:val="es-HN"/>
        </w:rPr>
        <w:t>que un hábeas corpus ante una autoridad administrativa no constituye un recurso efectivo bajo los estándares de la Convención Americana</w:t>
      </w:r>
      <w:r w:rsidRPr="00081566">
        <w:rPr>
          <w:rFonts w:ascii="Verdana" w:hAnsi="Verdana"/>
          <w:sz w:val="16"/>
          <w:szCs w:val="16"/>
          <w:lang w:val="es-HN"/>
        </w:rPr>
        <w:t>.</w:t>
      </w:r>
    </w:p>
    <w:p w14:paraId="46092691" w14:textId="77777777" w:rsidR="005E2829" w:rsidRPr="005C118E" w:rsidRDefault="005E2829" w:rsidP="00414DEF">
      <w:pPr>
        <w:pStyle w:val="Prrafodelista"/>
        <w:spacing w:line="240" w:lineRule="auto"/>
        <w:ind w:left="0"/>
        <w:jc w:val="both"/>
        <w:rPr>
          <w:rFonts w:ascii="Verdana" w:hAnsi="Verdana"/>
          <w:b/>
          <w:i/>
          <w:sz w:val="20"/>
          <w:szCs w:val="20"/>
          <w:lang w:val="es-ES"/>
        </w:rPr>
      </w:pPr>
    </w:p>
    <w:p w14:paraId="68196908" w14:textId="14B5E3A8" w:rsidR="005E2829" w:rsidRDefault="005E2829" w:rsidP="00414DEF">
      <w:pPr>
        <w:pStyle w:val="Prrafodelista"/>
        <w:widowControl/>
        <w:numPr>
          <w:ilvl w:val="0"/>
          <w:numId w:val="26"/>
        </w:numPr>
        <w:spacing w:after="160" w:line="240" w:lineRule="auto"/>
        <w:ind w:left="0" w:firstLine="0"/>
        <w:jc w:val="both"/>
        <w:rPr>
          <w:rFonts w:ascii="Verdana" w:hAnsi="Verdana"/>
          <w:sz w:val="20"/>
          <w:szCs w:val="20"/>
          <w:lang w:val="es-ES"/>
        </w:rPr>
      </w:pPr>
      <w:r>
        <w:rPr>
          <w:rFonts w:ascii="Verdana" w:hAnsi="Verdana"/>
          <w:sz w:val="20"/>
          <w:szCs w:val="20"/>
          <w:lang w:val="es-ES"/>
        </w:rPr>
        <w:t xml:space="preserve">La </w:t>
      </w:r>
      <w:r w:rsidRPr="0025484E">
        <w:rPr>
          <w:rFonts w:ascii="Verdana" w:hAnsi="Verdana"/>
          <w:b/>
          <w:i/>
          <w:sz w:val="20"/>
          <w:szCs w:val="20"/>
          <w:lang w:val="es-ES"/>
        </w:rPr>
        <w:t>Corte</w:t>
      </w:r>
      <w:r>
        <w:rPr>
          <w:rFonts w:ascii="Verdana" w:hAnsi="Verdana"/>
          <w:sz w:val="20"/>
          <w:szCs w:val="20"/>
          <w:lang w:val="es-ES"/>
        </w:rPr>
        <w:t xml:space="preserve"> </w:t>
      </w:r>
      <w:r w:rsidRPr="005C118E">
        <w:rPr>
          <w:rFonts w:ascii="Verdana" w:hAnsi="Verdana"/>
          <w:sz w:val="20"/>
          <w:szCs w:val="20"/>
          <w:lang w:val="es-ES"/>
        </w:rPr>
        <w:t>ha sostenido que una objeción al ejercicio de su jurisdicción basada en la supuesta falta de agotamiento de los recursos internos debe ser presentada en el momento procesal oportuno, esto es, durante el procedimiento de admisibilidad ante la Comisión</w:t>
      </w:r>
      <w:r>
        <w:rPr>
          <w:rStyle w:val="Refdenotaalpie"/>
          <w:rFonts w:ascii="Verdana" w:hAnsi="Verdana"/>
          <w:lang w:val="es-ES"/>
        </w:rPr>
        <w:footnoteReference w:id="8"/>
      </w:r>
      <w:r>
        <w:rPr>
          <w:rFonts w:ascii="Verdana" w:hAnsi="Verdana"/>
          <w:sz w:val="20"/>
          <w:szCs w:val="20"/>
          <w:lang w:val="es-ES"/>
        </w:rPr>
        <w:t>.</w:t>
      </w:r>
      <w:r w:rsidRPr="005C118E">
        <w:rPr>
          <w:rFonts w:ascii="Verdana" w:hAnsi="Verdana"/>
          <w:sz w:val="20"/>
          <w:szCs w:val="20"/>
          <w:lang w:val="es-ES"/>
        </w:rPr>
        <w:t xml:space="preserve"> </w:t>
      </w:r>
      <w:r>
        <w:rPr>
          <w:rFonts w:ascii="Verdana" w:hAnsi="Verdana"/>
          <w:sz w:val="20"/>
          <w:szCs w:val="20"/>
          <w:lang w:val="es-ES"/>
        </w:rPr>
        <w:t>D</w:t>
      </w:r>
      <w:r w:rsidRPr="005C118E">
        <w:rPr>
          <w:rFonts w:ascii="Verdana" w:hAnsi="Verdana"/>
          <w:sz w:val="20"/>
          <w:szCs w:val="20"/>
          <w:lang w:val="es-ES"/>
        </w:rPr>
        <w:t>e lo contrario, el Estado habrá perdido la posibilidad de presentar</w:t>
      </w:r>
      <w:r>
        <w:rPr>
          <w:rFonts w:ascii="Verdana" w:hAnsi="Verdana"/>
          <w:sz w:val="20"/>
          <w:szCs w:val="20"/>
          <w:lang w:val="es-ES"/>
        </w:rPr>
        <w:t>la</w:t>
      </w:r>
      <w:r w:rsidRPr="005C118E">
        <w:rPr>
          <w:rFonts w:ascii="Verdana" w:hAnsi="Verdana"/>
          <w:sz w:val="20"/>
          <w:szCs w:val="20"/>
          <w:lang w:val="es-ES"/>
        </w:rPr>
        <w:t xml:space="preserve">. Adicionalmente, el Estado que presenta esta excepción debe especificar los recursos internos que aún no se han agotado, así como </w:t>
      </w:r>
      <w:r>
        <w:rPr>
          <w:rFonts w:ascii="Verdana" w:hAnsi="Verdana"/>
          <w:sz w:val="20"/>
          <w:szCs w:val="20"/>
          <w:lang w:val="es-ES"/>
        </w:rPr>
        <w:t xml:space="preserve">dar cuenta de su </w:t>
      </w:r>
      <w:r w:rsidRPr="005C118E">
        <w:rPr>
          <w:rFonts w:ascii="Verdana" w:hAnsi="Verdana"/>
          <w:sz w:val="20"/>
          <w:szCs w:val="20"/>
          <w:lang w:val="es-ES"/>
        </w:rPr>
        <w:t>disponib</w:t>
      </w:r>
      <w:r>
        <w:rPr>
          <w:rFonts w:ascii="Verdana" w:hAnsi="Verdana"/>
          <w:sz w:val="20"/>
          <w:szCs w:val="20"/>
          <w:lang w:val="es-ES"/>
        </w:rPr>
        <w:t>ilidad y eficacia en las circunstancias del caso</w:t>
      </w:r>
      <w:r>
        <w:rPr>
          <w:rStyle w:val="Refdenotaalpie"/>
          <w:rFonts w:ascii="Verdana" w:hAnsi="Verdana"/>
          <w:lang w:val="es-ES"/>
        </w:rPr>
        <w:footnoteReference w:id="9"/>
      </w:r>
      <w:r>
        <w:rPr>
          <w:rFonts w:ascii="Verdana" w:hAnsi="Verdana"/>
          <w:sz w:val="20"/>
          <w:szCs w:val="20"/>
          <w:lang w:val="es-ES"/>
        </w:rPr>
        <w:t>.</w:t>
      </w:r>
      <w:r w:rsidRPr="00363243">
        <w:rPr>
          <w:rFonts w:ascii="Verdana" w:hAnsi="Verdana"/>
          <w:sz w:val="20"/>
          <w:szCs w:val="20"/>
          <w:lang w:val="es-ES"/>
        </w:rPr>
        <w:t xml:space="preserve"> </w:t>
      </w:r>
      <w:r>
        <w:rPr>
          <w:rFonts w:ascii="Verdana" w:hAnsi="Verdana"/>
          <w:sz w:val="20"/>
          <w:szCs w:val="20"/>
          <w:lang w:val="es-ES"/>
        </w:rPr>
        <w:t xml:space="preserve">Al respecto, </w:t>
      </w:r>
      <w:r w:rsidRPr="005C118E">
        <w:rPr>
          <w:rFonts w:ascii="Verdana" w:hAnsi="Verdana"/>
          <w:sz w:val="20"/>
          <w:szCs w:val="20"/>
          <w:lang w:val="es-ES"/>
        </w:rPr>
        <w:t>un recurso debe ser eficaz, es decir, capaz de producir el resultado para el que ha sido creado</w:t>
      </w:r>
      <w:r w:rsidRPr="005C118E">
        <w:rPr>
          <w:rStyle w:val="Refdenotaalpie"/>
          <w:rFonts w:ascii="Verdana" w:hAnsi="Verdana"/>
          <w:lang w:val="es-ES"/>
        </w:rPr>
        <w:footnoteReference w:id="10"/>
      </w:r>
      <w:r w:rsidR="00D20E81">
        <w:rPr>
          <w:rFonts w:ascii="Verdana" w:hAnsi="Verdana"/>
          <w:sz w:val="20"/>
          <w:szCs w:val="20"/>
          <w:lang w:val="es-ES"/>
        </w:rPr>
        <w:t>.</w:t>
      </w:r>
    </w:p>
    <w:p w14:paraId="31DF4860" w14:textId="77777777" w:rsidR="005E2829" w:rsidRPr="00290224" w:rsidRDefault="005E2829" w:rsidP="00414DEF">
      <w:pPr>
        <w:pStyle w:val="Prrafodelista"/>
        <w:widowControl/>
        <w:spacing w:after="160" w:line="240" w:lineRule="auto"/>
        <w:ind w:left="0"/>
        <w:jc w:val="both"/>
        <w:rPr>
          <w:rFonts w:ascii="Verdana" w:hAnsi="Verdana" w:cs="Times New Roman"/>
          <w:sz w:val="20"/>
          <w:szCs w:val="20"/>
          <w:lang w:val="es-ES"/>
        </w:rPr>
      </w:pPr>
    </w:p>
    <w:p w14:paraId="5DE85700" w14:textId="77777777" w:rsidR="005E2829" w:rsidRDefault="005E2829" w:rsidP="00414DEF">
      <w:pPr>
        <w:pStyle w:val="Prrafodelista"/>
        <w:widowControl/>
        <w:numPr>
          <w:ilvl w:val="0"/>
          <w:numId w:val="26"/>
        </w:numPr>
        <w:spacing w:after="160" w:line="240" w:lineRule="auto"/>
        <w:ind w:left="0" w:firstLine="0"/>
        <w:jc w:val="both"/>
        <w:rPr>
          <w:rFonts w:ascii="Verdana" w:hAnsi="Verdana" w:cs="Times New Roman"/>
          <w:sz w:val="20"/>
          <w:szCs w:val="20"/>
          <w:lang w:val="es-ES"/>
        </w:rPr>
      </w:pPr>
      <w:r w:rsidRPr="0055367E">
        <w:rPr>
          <w:rFonts w:ascii="Verdana" w:hAnsi="Verdana" w:cs="Times New Roman"/>
          <w:sz w:val="20"/>
          <w:szCs w:val="20"/>
          <w:lang w:val="es-ES"/>
        </w:rPr>
        <w:t>E</w:t>
      </w:r>
      <w:r w:rsidRPr="00290224">
        <w:rPr>
          <w:rFonts w:ascii="Verdana" w:hAnsi="Verdana" w:cs="Times New Roman"/>
          <w:sz w:val="20"/>
          <w:szCs w:val="20"/>
          <w:lang w:val="es-ES"/>
        </w:rPr>
        <w:t>ste Tribunal advierte que el Estado señaló cuatro recursos. Dos que permitían, según expresó, cuestionar la sentencia condenatoria: la casación y la revisión, y otro</w:t>
      </w:r>
      <w:r>
        <w:rPr>
          <w:rFonts w:ascii="Verdana" w:hAnsi="Verdana" w:cs="Times New Roman"/>
          <w:sz w:val="20"/>
          <w:szCs w:val="20"/>
          <w:lang w:val="es-ES"/>
        </w:rPr>
        <w:t>s</w:t>
      </w:r>
      <w:r w:rsidRPr="00290224">
        <w:rPr>
          <w:rFonts w:ascii="Verdana" w:hAnsi="Verdana" w:cs="Times New Roman"/>
          <w:sz w:val="20"/>
          <w:szCs w:val="20"/>
          <w:lang w:val="es-ES"/>
        </w:rPr>
        <w:t xml:space="preserve"> dos que permitían cuestionar la privación preventiva de la libertad: el amparo de libertad y el hábeas corpus. </w:t>
      </w:r>
      <w:r>
        <w:rPr>
          <w:rFonts w:ascii="Verdana" w:hAnsi="Verdana" w:cs="Times New Roman"/>
          <w:sz w:val="20"/>
          <w:szCs w:val="20"/>
          <w:lang w:val="es-ES"/>
        </w:rPr>
        <w:t xml:space="preserve"> </w:t>
      </w:r>
    </w:p>
    <w:p w14:paraId="355E89D2" w14:textId="77777777" w:rsidR="005E2829" w:rsidRPr="000C49AE" w:rsidRDefault="005E2829" w:rsidP="00414DEF">
      <w:pPr>
        <w:pStyle w:val="Prrafodelista"/>
        <w:widowControl/>
        <w:spacing w:after="160" w:line="240" w:lineRule="auto"/>
        <w:ind w:left="0"/>
        <w:jc w:val="both"/>
        <w:rPr>
          <w:rFonts w:ascii="Verdana" w:hAnsi="Verdana" w:cs="Times New Roman"/>
          <w:sz w:val="20"/>
          <w:szCs w:val="20"/>
          <w:lang w:val="es-ES"/>
        </w:rPr>
      </w:pPr>
    </w:p>
    <w:p w14:paraId="06DA0992" w14:textId="77777777" w:rsidR="005E2829" w:rsidRPr="008C1669" w:rsidRDefault="005E2829" w:rsidP="00414DEF">
      <w:pPr>
        <w:pStyle w:val="Prrafodelista"/>
        <w:widowControl/>
        <w:numPr>
          <w:ilvl w:val="0"/>
          <w:numId w:val="26"/>
        </w:numPr>
        <w:spacing w:after="160" w:line="240" w:lineRule="auto"/>
        <w:ind w:left="0" w:firstLine="0"/>
        <w:jc w:val="both"/>
        <w:rPr>
          <w:rFonts w:ascii="Verdana" w:hAnsi="Verdana" w:cs="Times New Roman"/>
          <w:sz w:val="20"/>
          <w:szCs w:val="20"/>
          <w:lang w:val="es-ES"/>
        </w:rPr>
      </w:pPr>
      <w:r w:rsidRPr="0055367E">
        <w:rPr>
          <w:rFonts w:ascii="Verdana" w:hAnsi="Verdana" w:cs="Times New Roman"/>
          <w:sz w:val="20"/>
          <w:szCs w:val="20"/>
          <w:lang w:val="es-ES"/>
        </w:rPr>
        <w:t xml:space="preserve">En cuanto a los recursos de casación y revisión, de los mismos argumentos estatales se desprende que son recursos dirigidos a atacar la sentencia condenatoria, por lo que no se advierte que fueran aptos para cuestionar, en forma previa a la emisión de esa decisión, la privación de libertad que estaba sufriendo el señor Carranza en forma de prisión preventiva. Es decir, Ecuador no ha presentado argumentos suficientes que permitan entender que tales recursos eran </w:t>
      </w:r>
      <w:r>
        <w:rPr>
          <w:rFonts w:ascii="Verdana" w:hAnsi="Verdana" w:cs="Times New Roman"/>
          <w:sz w:val="20"/>
          <w:szCs w:val="20"/>
          <w:lang w:val="es-ES"/>
        </w:rPr>
        <w:t>idóneos y efectivos</w:t>
      </w:r>
      <w:r w:rsidRPr="0055367E">
        <w:rPr>
          <w:rFonts w:ascii="Verdana" w:hAnsi="Verdana" w:cs="Times New Roman"/>
          <w:sz w:val="20"/>
          <w:szCs w:val="20"/>
          <w:lang w:val="es-ES"/>
        </w:rPr>
        <w:t xml:space="preserve"> para remediar en forma oportuna la </w:t>
      </w:r>
      <w:r>
        <w:rPr>
          <w:rFonts w:ascii="Verdana" w:hAnsi="Verdana" w:cs="Times New Roman"/>
          <w:sz w:val="20"/>
          <w:szCs w:val="20"/>
          <w:lang w:val="es-ES"/>
        </w:rPr>
        <w:t xml:space="preserve">violación </w:t>
      </w:r>
      <w:r w:rsidRPr="0055367E">
        <w:rPr>
          <w:rFonts w:ascii="Verdana" w:hAnsi="Verdana" w:cs="Times New Roman"/>
          <w:sz w:val="20"/>
          <w:szCs w:val="20"/>
          <w:lang w:val="es-ES"/>
        </w:rPr>
        <w:t xml:space="preserve">alegada en el caso. </w:t>
      </w:r>
    </w:p>
    <w:p w14:paraId="75ADD611" w14:textId="77777777" w:rsidR="005E2829" w:rsidRPr="008C1669" w:rsidRDefault="005E2829" w:rsidP="00414DEF">
      <w:pPr>
        <w:pStyle w:val="Prrafodelista"/>
        <w:widowControl/>
        <w:spacing w:after="160" w:line="240" w:lineRule="auto"/>
        <w:ind w:left="0"/>
        <w:jc w:val="both"/>
        <w:rPr>
          <w:rFonts w:ascii="Verdana" w:hAnsi="Verdana" w:cs="Times New Roman"/>
          <w:sz w:val="20"/>
          <w:szCs w:val="20"/>
          <w:lang w:val="es-ES"/>
        </w:rPr>
      </w:pPr>
    </w:p>
    <w:p w14:paraId="28FA3493" w14:textId="77777777" w:rsidR="005E2829" w:rsidRPr="0055367E" w:rsidRDefault="005E2829" w:rsidP="00414DEF">
      <w:pPr>
        <w:pStyle w:val="Prrafodelista"/>
        <w:widowControl/>
        <w:numPr>
          <w:ilvl w:val="0"/>
          <w:numId w:val="26"/>
        </w:numPr>
        <w:spacing w:after="160" w:line="240" w:lineRule="auto"/>
        <w:ind w:left="0" w:firstLine="0"/>
        <w:jc w:val="both"/>
        <w:rPr>
          <w:rFonts w:ascii="Verdana" w:hAnsi="Verdana"/>
          <w:sz w:val="20"/>
          <w:szCs w:val="20"/>
          <w:lang w:val="es-ES"/>
        </w:rPr>
      </w:pPr>
      <w:r w:rsidRPr="00713E76">
        <w:rPr>
          <w:rFonts w:ascii="Verdana" w:hAnsi="Verdana"/>
          <w:sz w:val="20"/>
          <w:szCs w:val="20"/>
          <w:lang w:val="es-CR"/>
        </w:rPr>
        <w:t>Por otra parte, n</w:t>
      </w:r>
      <w:r w:rsidRPr="0055367E">
        <w:rPr>
          <w:rFonts w:ascii="Verdana" w:hAnsi="Verdana"/>
          <w:sz w:val="20"/>
          <w:szCs w:val="20"/>
          <w:lang w:val="es-CR"/>
        </w:rPr>
        <w:t>o corresponde examin</w:t>
      </w:r>
      <w:r w:rsidRPr="00713E76">
        <w:rPr>
          <w:rFonts w:ascii="Verdana" w:hAnsi="Verdana"/>
          <w:sz w:val="20"/>
          <w:szCs w:val="20"/>
          <w:lang w:val="es-CR"/>
        </w:rPr>
        <w:t>a</w:t>
      </w:r>
      <w:r w:rsidRPr="0055367E">
        <w:rPr>
          <w:rFonts w:ascii="Verdana" w:hAnsi="Verdana"/>
          <w:sz w:val="20"/>
          <w:szCs w:val="20"/>
          <w:lang w:val="es-CR"/>
        </w:rPr>
        <w:t xml:space="preserve">r los argumentos sobre </w:t>
      </w:r>
      <w:r w:rsidRPr="00713E76">
        <w:rPr>
          <w:rFonts w:ascii="Verdana" w:hAnsi="Verdana"/>
          <w:sz w:val="20"/>
          <w:szCs w:val="20"/>
          <w:lang w:val="es-CR"/>
        </w:rPr>
        <w:t xml:space="preserve">el amparo </w:t>
      </w:r>
      <w:r w:rsidRPr="0055367E">
        <w:rPr>
          <w:rFonts w:ascii="Verdana" w:hAnsi="Verdana"/>
          <w:sz w:val="20"/>
          <w:szCs w:val="20"/>
          <w:lang w:val="es-CR"/>
        </w:rPr>
        <w:t>por</w:t>
      </w:r>
      <w:r w:rsidRPr="00713E76">
        <w:rPr>
          <w:rFonts w:ascii="Verdana" w:hAnsi="Verdana"/>
          <w:sz w:val="20"/>
          <w:szCs w:val="20"/>
          <w:lang w:val="es-CR"/>
        </w:rPr>
        <w:t xml:space="preserve">que el Estado </w:t>
      </w:r>
      <w:r>
        <w:rPr>
          <w:rFonts w:ascii="Verdana" w:hAnsi="Verdana"/>
          <w:sz w:val="20"/>
          <w:szCs w:val="20"/>
          <w:lang w:val="es-CR"/>
        </w:rPr>
        <w:t xml:space="preserve">no lo adujo en forma oportuna; </w:t>
      </w:r>
      <w:r w:rsidRPr="00713E76">
        <w:rPr>
          <w:rFonts w:ascii="Verdana" w:hAnsi="Verdana"/>
          <w:sz w:val="20"/>
          <w:szCs w:val="20"/>
          <w:lang w:val="es-CR"/>
        </w:rPr>
        <w:t xml:space="preserve">lo mencionó por primera vez, como sustento de una excepción preliminar, ante la Corte, por lo que el alegato resulta extemporáneo.  </w:t>
      </w:r>
    </w:p>
    <w:p w14:paraId="21BFC28C" w14:textId="77777777" w:rsidR="005E2829" w:rsidRPr="0055367E" w:rsidRDefault="005E2829" w:rsidP="00414DEF">
      <w:pPr>
        <w:pStyle w:val="Prrafodelista"/>
        <w:widowControl/>
        <w:spacing w:after="0" w:line="240" w:lineRule="auto"/>
        <w:ind w:left="0"/>
        <w:contextualSpacing w:val="0"/>
        <w:jc w:val="both"/>
        <w:rPr>
          <w:rFonts w:ascii="Verdana" w:hAnsi="Verdana"/>
          <w:sz w:val="20"/>
          <w:szCs w:val="20"/>
          <w:lang w:val="es-ES"/>
        </w:rPr>
      </w:pPr>
    </w:p>
    <w:p w14:paraId="549731DA" w14:textId="221F74C4" w:rsidR="005E2829" w:rsidRPr="00AA1044" w:rsidRDefault="005E2829" w:rsidP="00414DEF">
      <w:pPr>
        <w:pStyle w:val="Prrafodelista"/>
        <w:widowControl/>
        <w:numPr>
          <w:ilvl w:val="0"/>
          <w:numId w:val="26"/>
        </w:numPr>
        <w:spacing w:after="160" w:line="240" w:lineRule="auto"/>
        <w:ind w:left="0" w:firstLine="0"/>
        <w:jc w:val="both"/>
        <w:rPr>
          <w:rFonts w:ascii="Verdana" w:hAnsi="Verdana"/>
          <w:sz w:val="20"/>
          <w:szCs w:val="20"/>
          <w:lang w:val="es-ES"/>
        </w:rPr>
      </w:pPr>
      <w:r>
        <w:rPr>
          <w:rFonts w:ascii="Verdana" w:hAnsi="Verdana"/>
          <w:sz w:val="20"/>
          <w:szCs w:val="20"/>
          <w:lang w:val="es-ES"/>
        </w:rPr>
        <w:t xml:space="preserve">Resta examinar el argumento del Estado sobre el hábeas corpus. </w:t>
      </w:r>
      <w:r w:rsidRPr="00BB24F3">
        <w:rPr>
          <w:rFonts w:ascii="Verdana" w:hAnsi="Verdana"/>
          <w:sz w:val="20"/>
          <w:szCs w:val="20"/>
          <w:lang w:val="es-ES"/>
        </w:rPr>
        <w:t xml:space="preserve">Al respecto, </w:t>
      </w:r>
      <w:r>
        <w:rPr>
          <w:rFonts w:ascii="Verdana" w:hAnsi="Verdana"/>
          <w:sz w:val="20"/>
          <w:szCs w:val="20"/>
          <w:lang w:val="es-ES"/>
        </w:rPr>
        <w:t>como surge de lo ya dicho (</w:t>
      </w:r>
      <w:r>
        <w:rPr>
          <w:rFonts w:ascii="Verdana" w:hAnsi="Verdana"/>
          <w:i/>
          <w:sz w:val="20"/>
          <w:szCs w:val="20"/>
          <w:lang w:val="es-ES"/>
        </w:rPr>
        <w:t>supra</w:t>
      </w:r>
      <w:r>
        <w:rPr>
          <w:rFonts w:ascii="Verdana" w:hAnsi="Verdana"/>
          <w:sz w:val="20"/>
          <w:szCs w:val="20"/>
          <w:lang w:val="es-ES"/>
        </w:rPr>
        <w:t xml:space="preserve"> párr. </w:t>
      </w:r>
      <w:r w:rsidR="001D4BAE">
        <w:rPr>
          <w:rFonts w:ascii="Verdana" w:hAnsi="Verdana"/>
          <w:sz w:val="20"/>
          <w:szCs w:val="20"/>
          <w:lang w:val="es-ES"/>
        </w:rPr>
        <w:t>15</w:t>
      </w:r>
      <w:r>
        <w:rPr>
          <w:rFonts w:ascii="Verdana" w:hAnsi="Verdana"/>
          <w:sz w:val="20"/>
          <w:szCs w:val="20"/>
          <w:lang w:val="es-ES"/>
        </w:rPr>
        <w:t xml:space="preserve">), para que proceda una excepción </w:t>
      </w:r>
      <w:r>
        <w:rPr>
          <w:rFonts w:ascii="Verdana" w:hAnsi="Verdana"/>
          <w:sz w:val="20"/>
          <w:szCs w:val="20"/>
          <w:lang w:val="es-ES"/>
        </w:rPr>
        <w:lastRenderedPageBreak/>
        <w:t xml:space="preserve">preliminar por el incumplimiento del artículo 46.1.a de la Convención, que prevé el requisito de previo agotamiento de recursos internos, el Estado que presenta la excepción debe señalar un recurso disponible y eficaz en las circunstancias del caso. </w:t>
      </w:r>
      <w:r w:rsidRPr="00AA1044">
        <w:rPr>
          <w:rFonts w:ascii="Verdana" w:hAnsi="Verdana"/>
          <w:sz w:val="20"/>
          <w:szCs w:val="20"/>
          <w:lang w:val="es-ES"/>
        </w:rPr>
        <w:t xml:space="preserve"> </w:t>
      </w:r>
    </w:p>
    <w:p w14:paraId="47604C7D" w14:textId="77777777" w:rsidR="005E2829" w:rsidRPr="00A93B05" w:rsidRDefault="005E2829" w:rsidP="00414DEF">
      <w:pPr>
        <w:pStyle w:val="Prrafodelista"/>
        <w:widowControl/>
        <w:spacing w:after="0" w:line="240" w:lineRule="auto"/>
        <w:ind w:left="0"/>
        <w:contextualSpacing w:val="0"/>
        <w:jc w:val="both"/>
        <w:rPr>
          <w:rFonts w:ascii="Verdana" w:hAnsi="Verdana"/>
          <w:sz w:val="20"/>
          <w:szCs w:val="20"/>
          <w:lang w:val="es-CR"/>
        </w:rPr>
      </w:pPr>
    </w:p>
    <w:p w14:paraId="54633E83" w14:textId="77777777" w:rsidR="005E2829" w:rsidRPr="00DD4606" w:rsidRDefault="005E2829" w:rsidP="00414DEF">
      <w:pPr>
        <w:pStyle w:val="Prrafodelista"/>
        <w:widowControl/>
        <w:numPr>
          <w:ilvl w:val="0"/>
          <w:numId w:val="26"/>
        </w:numPr>
        <w:spacing w:after="160" w:line="240" w:lineRule="auto"/>
        <w:ind w:left="0" w:firstLine="0"/>
        <w:jc w:val="both"/>
        <w:rPr>
          <w:rFonts w:ascii="Verdana" w:hAnsi="Verdana"/>
          <w:sz w:val="16"/>
          <w:szCs w:val="16"/>
          <w:lang w:val="es-ES"/>
        </w:rPr>
      </w:pPr>
      <w:r>
        <w:rPr>
          <w:rFonts w:ascii="Verdana" w:hAnsi="Verdana"/>
          <w:sz w:val="20"/>
          <w:szCs w:val="20"/>
          <w:lang w:val="es-CR"/>
        </w:rPr>
        <w:t>Es relevante tener en cuenta que s</w:t>
      </w:r>
      <w:proofErr w:type="spellStart"/>
      <w:r w:rsidRPr="00A93B05">
        <w:rPr>
          <w:rFonts w:ascii="Verdana" w:hAnsi="Verdana"/>
          <w:sz w:val="20"/>
          <w:szCs w:val="20"/>
          <w:lang w:val="es-ES"/>
        </w:rPr>
        <w:t>e</w:t>
      </w:r>
      <w:proofErr w:type="spellEnd"/>
      <w:r w:rsidRPr="00A93B05">
        <w:rPr>
          <w:rFonts w:ascii="Verdana" w:hAnsi="Verdana"/>
          <w:sz w:val="20"/>
          <w:szCs w:val="20"/>
          <w:lang w:val="es-ES"/>
        </w:rPr>
        <w:t xml:space="preserve"> ha indicado que la privación preventiva de la libertad del señor Carranza ocurrió entre noviembre de 1994 y diciembre de 1998</w:t>
      </w:r>
      <w:r>
        <w:rPr>
          <w:rFonts w:ascii="Verdana" w:hAnsi="Verdana"/>
          <w:sz w:val="20"/>
          <w:szCs w:val="20"/>
          <w:lang w:val="es-ES"/>
        </w:rPr>
        <w:t xml:space="preserve"> (</w:t>
      </w:r>
      <w:r>
        <w:rPr>
          <w:rFonts w:ascii="Verdana" w:hAnsi="Verdana"/>
          <w:i/>
          <w:sz w:val="20"/>
          <w:szCs w:val="20"/>
          <w:lang w:val="es-ES"/>
        </w:rPr>
        <w:t xml:space="preserve">supra </w:t>
      </w:r>
      <w:r>
        <w:rPr>
          <w:rFonts w:ascii="Verdana" w:hAnsi="Verdana"/>
          <w:sz w:val="20"/>
          <w:szCs w:val="20"/>
          <w:lang w:val="es-ES"/>
        </w:rPr>
        <w:t>párr. 1)</w:t>
      </w:r>
      <w:r w:rsidRPr="00A93B05">
        <w:rPr>
          <w:rFonts w:ascii="Verdana" w:hAnsi="Verdana"/>
          <w:sz w:val="20"/>
          <w:szCs w:val="20"/>
          <w:lang w:val="es-ES"/>
        </w:rPr>
        <w:t>. E</w:t>
      </w:r>
      <w:r>
        <w:rPr>
          <w:rFonts w:ascii="Verdana" w:hAnsi="Verdana"/>
          <w:sz w:val="20"/>
          <w:szCs w:val="20"/>
          <w:lang w:val="es-ES"/>
        </w:rPr>
        <w:t xml:space="preserve">l Estado informó que durante ese período la Constitución de Ecuador previó el hábeas corpus, tanto en su texto de 1993 como en las modificaciones de 1996 y 1998. De acuerdo a lo informado por el Estado, en los tres casos la norma respectiva preveía que el hábeas corpus podía ejercerse en reclamo de la libertad ante el “Alcalde” (“o Presidente del Concejo” en la redacción de 1993), “o ante quien haga sus veces” (o “ante quien hiciere sus veces”, en la redacción de 1996). Ecuador también expresó que “para el año 1998 si este recurso era negado por el Alcalde, podía ser apelado ante el ex Tribunal Constitucional”. </w:t>
      </w:r>
    </w:p>
    <w:p w14:paraId="7E61FF07" w14:textId="77777777" w:rsidR="005E2829" w:rsidRPr="00DD4606" w:rsidRDefault="005E2829" w:rsidP="00414DEF">
      <w:pPr>
        <w:pStyle w:val="Prrafodelista"/>
        <w:widowControl/>
        <w:spacing w:after="0" w:line="240" w:lineRule="auto"/>
        <w:ind w:left="0"/>
        <w:contextualSpacing w:val="0"/>
        <w:jc w:val="both"/>
        <w:rPr>
          <w:rFonts w:ascii="Verdana" w:hAnsi="Verdana"/>
          <w:sz w:val="16"/>
          <w:szCs w:val="16"/>
          <w:lang w:val="es-ES"/>
        </w:rPr>
      </w:pPr>
    </w:p>
    <w:p w14:paraId="1081AEC6" w14:textId="7D9C11AD" w:rsidR="005E2829" w:rsidRPr="004A07FE" w:rsidRDefault="005E2829" w:rsidP="00414DEF">
      <w:pPr>
        <w:pStyle w:val="Prrafodelista"/>
        <w:widowControl/>
        <w:numPr>
          <w:ilvl w:val="0"/>
          <w:numId w:val="26"/>
        </w:numPr>
        <w:spacing w:after="160" w:line="240" w:lineRule="auto"/>
        <w:ind w:left="0" w:firstLine="0"/>
        <w:jc w:val="both"/>
        <w:rPr>
          <w:rFonts w:ascii="Verdana" w:hAnsi="Verdana"/>
          <w:sz w:val="20"/>
          <w:szCs w:val="20"/>
          <w:lang w:val="es-ES"/>
        </w:rPr>
      </w:pPr>
      <w:r>
        <w:rPr>
          <w:rFonts w:ascii="Verdana" w:hAnsi="Verdana"/>
          <w:sz w:val="20"/>
          <w:szCs w:val="20"/>
          <w:lang w:val="es-ES"/>
        </w:rPr>
        <w:t>C</w:t>
      </w:r>
      <w:r w:rsidRPr="003C4EE2">
        <w:rPr>
          <w:rFonts w:ascii="Verdana" w:hAnsi="Verdana"/>
          <w:sz w:val="20"/>
          <w:szCs w:val="20"/>
          <w:lang w:val="es-ES"/>
        </w:rPr>
        <w:t>omo lo ha notado ya la Corte en decisiones anteriores, el Alcalde, aun cuando pueda ser competente por ley, no constituye una autoridad que cumpla los requisitos convencionales</w:t>
      </w:r>
      <w:r>
        <w:rPr>
          <w:rFonts w:ascii="Verdana" w:hAnsi="Verdana"/>
          <w:sz w:val="20"/>
          <w:szCs w:val="20"/>
          <w:lang w:val="es-ES"/>
        </w:rPr>
        <w:t>. Esto pues del artículo 7.6 de la Convención surge que el control de la privación de libertad debe ser judicial (“ante un juez o tribunal competente”)</w:t>
      </w:r>
      <w:r w:rsidRPr="004A07FE">
        <w:rPr>
          <w:rFonts w:ascii="Verdana" w:hAnsi="Verdana"/>
          <w:sz w:val="20"/>
          <w:szCs w:val="20"/>
          <w:lang w:val="es-ES"/>
        </w:rPr>
        <w:t xml:space="preserve"> </w:t>
      </w:r>
      <w:r>
        <w:rPr>
          <w:rFonts w:ascii="Verdana" w:hAnsi="Verdana"/>
          <w:sz w:val="20"/>
          <w:szCs w:val="20"/>
          <w:lang w:val="es-ES"/>
        </w:rPr>
        <w:t xml:space="preserve">y el Alcalde hace parte de la </w:t>
      </w:r>
      <w:r w:rsidRPr="004A07FE">
        <w:rPr>
          <w:rFonts w:ascii="Verdana" w:hAnsi="Verdana"/>
          <w:sz w:val="20"/>
          <w:szCs w:val="20"/>
          <w:lang w:val="es-ES"/>
        </w:rPr>
        <w:t>Administración. Este Tribunal ha encontrado también</w:t>
      </w:r>
      <w:r w:rsidR="00897585">
        <w:rPr>
          <w:rFonts w:ascii="Verdana" w:hAnsi="Verdana"/>
          <w:sz w:val="20"/>
          <w:szCs w:val="20"/>
          <w:lang w:val="es-ES"/>
        </w:rPr>
        <w:t>, examinando casos sobre Ecuador,</w:t>
      </w:r>
      <w:r w:rsidRPr="004A07FE">
        <w:rPr>
          <w:rFonts w:ascii="Verdana" w:hAnsi="Verdana"/>
          <w:sz w:val="20"/>
          <w:szCs w:val="20"/>
          <w:lang w:val="es-ES"/>
        </w:rPr>
        <w:t xml:space="preserve"> que la necesidad de una apelación de las decisiones del Alcalde, para que el hábeas corpus fuera conocido por una autoridad judicial, genera obstáculos a un recurso que debe ser, por su propia naturaleza, sencillo</w:t>
      </w:r>
      <w:r w:rsidRPr="00D20E81">
        <w:rPr>
          <w:rStyle w:val="Refdenotaalpie"/>
          <w:rFonts w:ascii="Verdana" w:hAnsi="Verdana"/>
          <w:sz w:val="20"/>
          <w:szCs w:val="20"/>
          <w:lang w:val="es-ES"/>
        </w:rPr>
        <w:footnoteReference w:id="11"/>
      </w:r>
      <w:r w:rsidRPr="004A07FE">
        <w:rPr>
          <w:rFonts w:ascii="Verdana" w:hAnsi="Verdana"/>
          <w:sz w:val="20"/>
          <w:szCs w:val="20"/>
          <w:lang w:val="es-ES"/>
        </w:rPr>
        <w:t>.</w:t>
      </w:r>
      <w:r w:rsidRPr="004A07FE">
        <w:rPr>
          <w:rFonts w:ascii="Verdana" w:hAnsi="Verdana"/>
          <w:sz w:val="20"/>
          <w:szCs w:val="20"/>
          <w:vertAlign w:val="superscript"/>
          <w:lang w:val="es-ES"/>
        </w:rPr>
        <w:t xml:space="preserve"> </w:t>
      </w:r>
      <w:r w:rsidRPr="004A07FE">
        <w:rPr>
          <w:rFonts w:ascii="Verdana" w:hAnsi="Verdana"/>
          <w:sz w:val="20"/>
          <w:szCs w:val="20"/>
          <w:lang w:val="es-ES"/>
        </w:rPr>
        <w:t xml:space="preserve">Por ende, </w:t>
      </w:r>
      <w:r>
        <w:rPr>
          <w:rFonts w:ascii="Verdana" w:hAnsi="Verdana"/>
          <w:sz w:val="20"/>
          <w:szCs w:val="20"/>
          <w:lang w:val="es-ES"/>
        </w:rPr>
        <w:t xml:space="preserve">como ya ha señalado la Corte en su jurisprudencia respecto de Ecuador, </w:t>
      </w:r>
      <w:r w:rsidRPr="004A07FE">
        <w:rPr>
          <w:rFonts w:ascii="Verdana" w:hAnsi="Verdana"/>
          <w:sz w:val="20"/>
          <w:szCs w:val="20"/>
          <w:lang w:val="es-ES"/>
        </w:rPr>
        <w:t xml:space="preserve">el recurso de hábeas corpus indicado por el Estado no constituía un recurso </w:t>
      </w:r>
      <w:r w:rsidR="001D4BAE">
        <w:rPr>
          <w:rFonts w:ascii="Verdana" w:hAnsi="Verdana"/>
          <w:sz w:val="20"/>
          <w:szCs w:val="20"/>
          <w:lang w:val="es-ES"/>
        </w:rPr>
        <w:t>eficaz</w:t>
      </w:r>
      <w:r>
        <w:rPr>
          <w:rFonts w:ascii="Verdana" w:hAnsi="Verdana"/>
          <w:sz w:val="20"/>
          <w:szCs w:val="20"/>
          <w:lang w:val="es-ES"/>
        </w:rPr>
        <w:t xml:space="preserve">. </w:t>
      </w:r>
    </w:p>
    <w:p w14:paraId="5A1AA5E3" w14:textId="77777777" w:rsidR="005E2829" w:rsidRPr="0055367E" w:rsidRDefault="005E2829" w:rsidP="00414DEF">
      <w:pPr>
        <w:pStyle w:val="Prrafodelista"/>
        <w:widowControl/>
        <w:spacing w:after="160" w:line="240" w:lineRule="auto"/>
        <w:ind w:left="0"/>
        <w:jc w:val="both"/>
        <w:rPr>
          <w:rFonts w:ascii="Verdana" w:hAnsi="Verdana"/>
          <w:sz w:val="20"/>
          <w:szCs w:val="20"/>
          <w:lang w:val="es-ES"/>
        </w:rPr>
      </w:pPr>
    </w:p>
    <w:p w14:paraId="4B5AEC00" w14:textId="77777777" w:rsidR="005E2829" w:rsidRPr="0055367E" w:rsidRDefault="005E2829" w:rsidP="00414DEF">
      <w:pPr>
        <w:pStyle w:val="Prrafodelista"/>
        <w:widowControl/>
        <w:numPr>
          <w:ilvl w:val="0"/>
          <w:numId w:val="26"/>
        </w:numPr>
        <w:spacing w:after="160" w:line="240" w:lineRule="auto"/>
        <w:ind w:left="0" w:firstLine="0"/>
        <w:jc w:val="both"/>
        <w:rPr>
          <w:rFonts w:ascii="Verdana" w:hAnsi="Verdana"/>
          <w:sz w:val="20"/>
          <w:szCs w:val="20"/>
          <w:lang w:val="es-ES"/>
        </w:rPr>
      </w:pPr>
      <w:r w:rsidRPr="00A93B05">
        <w:rPr>
          <w:rFonts w:ascii="Verdana" w:hAnsi="Verdana"/>
          <w:sz w:val="20"/>
          <w:szCs w:val="20"/>
          <w:lang w:val="es-ES"/>
        </w:rPr>
        <w:t xml:space="preserve">Por todo lo expuesto, la Corte concluye que los argumentos del Estado no son suficientes para </w:t>
      </w:r>
      <w:r>
        <w:rPr>
          <w:rFonts w:ascii="Verdana" w:hAnsi="Verdana"/>
          <w:sz w:val="20"/>
          <w:szCs w:val="20"/>
          <w:lang w:val="es-ES"/>
        </w:rPr>
        <w:t xml:space="preserve">sustentar la falta de agotamiento de recursos internos que adujo. </w:t>
      </w:r>
      <w:r w:rsidRPr="00A93B05">
        <w:rPr>
          <w:rFonts w:ascii="Verdana" w:hAnsi="Verdana"/>
          <w:sz w:val="20"/>
          <w:szCs w:val="20"/>
          <w:lang w:val="es-ES"/>
        </w:rPr>
        <w:t>Por ello,</w:t>
      </w:r>
      <w:r w:rsidRPr="0055367E">
        <w:rPr>
          <w:rFonts w:ascii="Verdana" w:hAnsi="Verdana"/>
          <w:sz w:val="20"/>
          <w:szCs w:val="20"/>
          <w:lang w:val="es-ES"/>
        </w:rPr>
        <w:t xml:space="preserve"> </w:t>
      </w:r>
      <w:r w:rsidRPr="00A93B05">
        <w:rPr>
          <w:rFonts w:ascii="Verdana" w:hAnsi="Verdana"/>
          <w:sz w:val="20"/>
          <w:szCs w:val="20"/>
          <w:lang w:val="es-ES"/>
        </w:rPr>
        <w:t xml:space="preserve">corresponde </w:t>
      </w:r>
      <w:r w:rsidRPr="0055367E">
        <w:rPr>
          <w:rFonts w:ascii="Verdana" w:hAnsi="Verdana"/>
          <w:sz w:val="20"/>
          <w:szCs w:val="20"/>
          <w:lang w:val="es-ES"/>
        </w:rPr>
        <w:t xml:space="preserve">desestimar </w:t>
      </w:r>
      <w:r>
        <w:rPr>
          <w:rFonts w:ascii="Verdana" w:hAnsi="Verdana"/>
          <w:sz w:val="20"/>
          <w:szCs w:val="20"/>
          <w:lang w:val="es-ES"/>
        </w:rPr>
        <w:t>la</w:t>
      </w:r>
      <w:r w:rsidRPr="0055367E">
        <w:rPr>
          <w:rFonts w:ascii="Verdana" w:hAnsi="Verdana"/>
          <w:sz w:val="20"/>
          <w:szCs w:val="20"/>
          <w:lang w:val="es-ES"/>
        </w:rPr>
        <w:t xml:space="preserve"> excepción</w:t>
      </w:r>
      <w:r w:rsidRPr="00A93B05">
        <w:rPr>
          <w:rFonts w:ascii="Verdana" w:hAnsi="Verdana"/>
          <w:sz w:val="20"/>
          <w:szCs w:val="20"/>
          <w:lang w:val="es-ES"/>
        </w:rPr>
        <w:t xml:space="preserve"> preliminar</w:t>
      </w:r>
      <w:r w:rsidRPr="0055367E">
        <w:rPr>
          <w:rFonts w:ascii="Verdana" w:hAnsi="Verdana"/>
          <w:sz w:val="20"/>
          <w:szCs w:val="20"/>
          <w:lang w:val="es-ES"/>
        </w:rPr>
        <w:t xml:space="preserve"> opuesta</w:t>
      </w:r>
      <w:r w:rsidRPr="00A93B05">
        <w:rPr>
          <w:rFonts w:ascii="Verdana" w:hAnsi="Verdana"/>
          <w:sz w:val="20"/>
          <w:szCs w:val="20"/>
          <w:lang w:val="es-ES"/>
        </w:rPr>
        <w:t xml:space="preserve"> por Ecuador</w:t>
      </w:r>
      <w:r w:rsidRPr="0055367E">
        <w:rPr>
          <w:rFonts w:ascii="Verdana" w:hAnsi="Verdana"/>
          <w:sz w:val="20"/>
          <w:szCs w:val="20"/>
          <w:lang w:val="es-ES"/>
        </w:rPr>
        <w:t xml:space="preserve">. </w:t>
      </w:r>
    </w:p>
    <w:p w14:paraId="7A1CA379" w14:textId="77777777" w:rsidR="005E2829" w:rsidRPr="005C118E" w:rsidRDefault="005E2829" w:rsidP="00414DEF">
      <w:pPr>
        <w:pStyle w:val="Prrafodelista"/>
        <w:autoSpaceDE w:val="0"/>
        <w:autoSpaceDN w:val="0"/>
        <w:adjustRightInd w:val="0"/>
        <w:spacing w:after="0" w:line="240" w:lineRule="auto"/>
        <w:ind w:left="0"/>
        <w:jc w:val="both"/>
        <w:rPr>
          <w:rFonts w:ascii="Verdana" w:hAnsi="Verdana"/>
          <w:sz w:val="20"/>
          <w:szCs w:val="20"/>
          <w:lang w:val="es-ES"/>
        </w:rPr>
      </w:pPr>
    </w:p>
    <w:p w14:paraId="37B8533E" w14:textId="77777777" w:rsidR="005E2829" w:rsidRPr="005C118E" w:rsidRDefault="005E2829" w:rsidP="00414DEF">
      <w:pPr>
        <w:pStyle w:val="Prrafodelista"/>
        <w:widowControl/>
        <w:numPr>
          <w:ilvl w:val="0"/>
          <w:numId w:val="33"/>
        </w:numPr>
        <w:autoSpaceDE w:val="0"/>
        <w:autoSpaceDN w:val="0"/>
        <w:adjustRightInd w:val="0"/>
        <w:spacing w:after="0" w:line="240" w:lineRule="auto"/>
        <w:ind w:left="284" w:firstLine="0"/>
        <w:jc w:val="both"/>
        <w:outlineLvl w:val="1"/>
        <w:rPr>
          <w:rFonts w:ascii="Verdana" w:hAnsi="Verdana"/>
          <w:b/>
          <w:i/>
          <w:sz w:val="20"/>
          <w:szCs w:val="20"/>
          <w:lang w:val="es-ES"/>
        </w:rPr>
      </w:pPr>
      <w:bookmarkStart w:id="12" w:name="_Toc34817784"/>
      <w:r w:rsidRPr="005C118E">
        <w:rPr>
          <w:rFonts w:ascii="Verdana" w:hAnsi="Verdana"/>
          <w:b/>
          <w:i/>
          <w:sz w:val="20"/>
          <w:szCs w:val="20"/>
          <w:lang w:val="es-ES"/>
        </w:rPr>
        <w:t>Alegada violación del de</w:t>
      </w:r>
      <w:r>
        <w:rPr>
          <w:rFonts w:ascii="Verdana" w:hAnsi="Verdana"/>
          <w:b/>
          <w:i/>
          <w:sz w:val="20"/>
          <w:szCs w:val="20"/>
          <w:lang w:val="es-ES"/>
        </w:rPr>
        <w:t>recho de defensa</w:t>
      </w:r>
      <w:bookmarkEnd w:id="12"/>
    </w:p>
    <w:p w14:paraId="355E35C9" w14:textId="77777777" w:rsidR="005E2829" w:rsidRPr="00A93B05" w:rsidRDefault="005E2829" w:rsidP="00414DEF">
      <w:pPr>
        <w:pStyle w:val="Prrafodelista"/>
        <w:widowControl/>
        <w:spacing w:after="160" w:line="240" w:lineRule="auto"/>
        <w:ind w:left="0"/>
        <w:jc w:val="both"/>
        <w:rPr>
          <w:rFonts w:ascii="Verdana" w:hAnsi="Verdana"/>
          <w:sz w:val="20"/>
          <w:szCs w:val="20"/>
          <w:lang w:val="es-ES"/>
        </w:rPr>
      </w:pPr>
    </w:p>
    <w:p w14:paraId="7A4225B3" w14:textId="77777777" w:rsidR="005E2829" w:rsidRDefault="005E2829" w:rsidP="00414DEF">
      <w:pPr>
        <w:pStyle w:val="Prrafodelista"/>
        <w:widowControl/>
        <w:numPr>
          <w:ilvl w:val="0"/>
          <w:numId w:val="26"/>
        </w:numPr>
        <w:spacing w:after="160" w:line="240" w:lineRule="auto"/>
        <w:ind w:left="0" w:firstLine="0"/>
        <w:jc w:val="both"/>
        <w:rPr>
          <w:rFonts w:ascii="Verdana" w:hAnsi="Verdana"/>
          <w:sz w:val="20"/>
          <w:szCs w:val="20"/>
          <w:lang w:val="es-ES"/>
        </w:rPr>
      </w:pPr>
      <w:r w:rsidRPr="00A93B05">
        <w:rPr>
          <w:rFonts w:ascii="Verdana" w:hAnsi="Verdana"/>
          <w:sz w:val="20"/>
          <w:szCs w:val="20"/>
          <w:lang w:val="es-ES"/>
        </w:rPr>
        <w:t xml:space="preserve">El </w:t>
      </w:r>
      <w:r w:rsidRPr="0025484E">
        <w:rPr>
          <w:rFonts w:ascii="Verdana" w:hAnsi="Verdana"/>
          <w:b/>
          <w:i/>
          <w:sz w:val="20"/>
          <w:szCs w:val="20"/>
          <w:lang w:val="es-ES"/>
        </w:rPr>
        <w:t>Estado</w:t>
      </w:r>
      <w:r w:rsidRPr="00A93B05">
        <w:rPr>
          <w:rFonts w:ascii="Verdana" w:hAnsi="Verdana"/>
          <w:sz w:val="20"/>
          <w:szCs w:val="20"/>
          <w:lang w:val="es-ES"/>
        </w:rPr>
        <w:t xml:space="preserve"> alegó que la Comisión “realizó algunas actuaciones sin contar con las garantías del debido proceso en el desarrollo del presente caso”. Dividió sus argumentos en dos grupos, uno que relacionó con la “falta de motivación del Informe de Admisibilidad” y otro “[s]obre el Informe de Fondo […] y el cumplimiento de recomendaciones”. Expresó, en particular, que: </w:t>
      </w:r>
    </w:p>
    <w:p w14:paraId="3E588812" w14:textId="77777777" w:rsidR="00405CFA" w:rsidRDefault="00405CFA" w:rsidP="00414DEF">
      <w:pPr>
        <w:pStyle w:val="Prrafodelista"/>
        <w:widowControl/>
        <w:spacing w:after="160" w:line="240" w:lineRule="auto"/>
        <w:ind w:left="0"/>
        <w:jc w:val="both"/>
        <w:rPr>
          <w:rFonts w:ascii="Verdana" w:hAnsi="Verdana"/>
          <w:sz w:val="20"/>
          <w:szCs w:val="20"/>
          <w:lang w:val="es-ES"/>
        </w:rPr>
      </w:pPr>
    </w:p>
    <w:p w14:paraId="56AD4162" w14:textId="7604E1D3" w:rsidR="005E2829" w:rsidRDefault="005E2829" w:rsidP="00414DEF">
      <w:pPr>
        <w:pStyle w:val="Prrafodelista"/>
        <w:widowControl/>
        <w:spacing w:after="160" w:line="240" w:lineRule="auto"/>
        <w:ind w:left="709"/>
        <w:jc w:val="both"/>
        <w:rPr>
          <w:rFonts w:ascii="Verdana" w:hAnsi="Verdana"/>
          <w:sz w:val="20"/>
          <w:szCs w:val="20"/>
          <w:lang w:val="es-ES"/>
        </w:rPr>
      </w:pPr>
      <w:r>
        <w:rPr>
          <w:rFonts w:ascii="Verdana" w:hAnsi="Verdana"/>
          <w:sz w:val="20"/>
          <w:szCs w:val="20"/>
          <w:lang w:val="es-ES"/>
        </w:rPr>
        <w:t>a) l</w:t>
      </w:r>
      <w:r w:rsidRPr="0025484E">
        <w:rPr>
          <w:rFonts w:ascii="Verdana" w:hAnsi="Verdana"/>
          <w:sz w:val="20"/>
          <w:szCs w:val="20"/>
          <w:lang w:val="es-CR"/>
        </w:rPr>
        <w:t xml:space="preserve">a excepción preliminar de falta de agotamiento de </w:t>
      </w:r>
      <w:r w:rsidR="00405CFA">
        <w:rPr>
          <w:rFonts w:ascii="Verdana" w:hAnsi="Verdana"/>
          <w:sz w:val="20"/>
          <w:szCs w:val="20"/>
          <w:lang w:val="es-CR"/>
        </w:rPr>
        <w:t xml:space="preserve">los </w:t>
      </w:r>
      <w:r w:rsidRPr="0025484E">
        <w:rPr>
          <w:rFonts w:ascii="Verdana" w:hAnsi="Verdana"/>
          <w:sz w:val="20"/>
          <w:szCs w:val="20"/>
          <w:lang w:val="es-CR"/>
        </w:rPr>
        <w:t>recursos internos fue presentada por el Estado en la etapa de admisibilidad y no fue considerada en el Informe de Admisibilidad</w:t>
      </w:r>
      <w:r>
        <w:rPr>
          <w:rFonts w:ascii="Verdana" w:hAnsi="Verdana"/>
          <w:sz w:val="20"/>
          <w:szCs w:val="20"/>
          <w:lang w:val="es-CR"/>
        </w:rPr>
        <w:t xml:space="preserve">, </w:t>
      </w:r>
      <w:r w:rsidRPr="0025484E">
        <w:rPr>
          <w:rFonts w:ascii="Verdana" w:hAnsi="Verdana"/>
          <w:sz w:val="20"/>
          <w:szCs w:val="20"/>
          <w:lang w:val="es-CR"/>
        </w:rPr>
        <w:t>lo que muestra que la Comisión no analizó la “posición jurídica” del Estado y, por ello, hubo una “carencia de motivación” en sus determinaciones</w:t>
      </w:r>
      <w:r>
        <w:rPr>
          <w:rFonts w:ascii="Verdana" w:hAnsi="Verdana"/>
          <w:sz w:val="20"/>
          <w:szCs w:val="20"/>
          <w:lang w:val="es-CR"/>
        </w:rPr>
        <w:t>, y</w:t>
      </w:r>
      <w:r>
        <w:rPr>
          <w:rFonts w:ascii="Verdana" w:hAnsi="Verdana"/>
          <w:sz w:val="20"/>
          <w:szCs w:val="20"/>
          <w:lang w:val="es-ES"/>
        </w:rPr>
        <w:t xml:space="preserve"> </w:t>
      </w:r>
    </w:p>
    <w:p w14:paraId="4FB22218" w14:textId="2196645F" w:rsidR="005E2829" w:rsidRPr="003A7581" w:rsidRDefault="005E2829" w:rsidP="00414DEF">
      <w:pPr>
        <w:pStyle w:val="Prrafodelista"/>
        <w:widowControl/>
        <w:spacing w:after="160" w:line="240" w:lineRule="auto"/>
        <w:ind w:left="709"/>
        <w:jc w:val="both"/>
        <w:rPr>
          <w:rFonts w:ascii="Verdana" w:hAnsi="Verdana"/>
          <w:sz w:val="20"/>
          <w:szCs w:val="20"/>
          <w:lang w:val="es-CR"/>
        </w:rPr>
      </w:pPr>
      <w:r>
        <w:rPr>
          <w:rFonts w:ascii="Verdana" w:hAnsi="Verdana"/>
          <w:sz w:val="20"/>
          <w:szCs w:val="20"/>
          <w:lang w:val="es-ES"/>
        </w:rPr>
        <w:t xml:space="preserve">b) el </w:t>
      </w:r>
      <w:r w:rsidRPr="0025484E">
        <w:rPr>
          <w:rFonts w:ascii="Verdana" w:hAnsi="Verdana"/>
          <w:sz w:val="20"/>
          <w:szCs w:val="20"/>
          <w:lang w:val="es-CR"/>
        </w:rPr>
        <w:t xml:space="preserve">Informe de Fondo: </w:t>
      </w:r>
      <w:r w:rsidRPr="003A7581">
        <w:rPr>
          <w:rFonts w:ascii="Verdana" w:hAnsi="Verdana"/>
          <w:sz w:val="20"/>
          <w:szCs w:val="20"/>
          <w:lang w:val="es-CR"/>
        </w:rPr>
        <w:t xml:space="preserve">i.- no estuvo “motiva[do] adecuadamente”, pues no analizó el recurso de hábeas corpus como garantía de respeto al derecho a la libertad personal; </w:t>
      </w:r>
      <w:r w:rsidRPr="0025484E">
        <w:rPr>
          <w:rFonts w:ascii="Verdana" w:hAnsi="Verdana"/>
          <w:sz w:val="20"/>
          <w:szCs w:val="20"/>
          <w:lang w:val="es-CR"/>
        </w:rPr>
        <w:t xml:space="preserve">ii.- </w:t>
      </w:r>
      <w:r>
        <w:rPr>
          <w:rFonts w:ascii="Verdana" w:hAnsi="Verdana"/>
          <w:sz w:val="20"/>
          <w:szCs w:val="20"/>
          <w:lang w:val="es-CR"/>
        </w:rPr>
        <w:t xml:space="preserve">aseveró que </w:t>
      </w:r>
      <w:r w:rsidRPr="0025484E">
        <w:rPr>
          <w:rFonts w:ascii="Verdana" w:hAnsi="Verdana"/>
          <w:sz w:val="20"/>
          <w:szCs w:val="20"/>
          <w:lang w:val="es-CR"/>
        </w:rPr>
        <w:t>no fue considerada una solicitud de libertad del señor Carranza, “lo cual no respond</w:t>
      </w:r>
      <w:r>
        <w:rPr>
          <w:rFonts w:ascii="Verdana" w:hAnsi="Verdana"/>
          <w:sz w:val="20"/>
          <w:szCs w:val="20"/>
          <w:lang w:val="es-CR"/>
        </w:rPr>
        <w:t>e a la verdad procesal”, y ii</w:t>
      </w:r>
      <w:r w:rsidRPr="003A7581">
        <w:rPr>
          <w:rFonts w:ascii="Verdana" w:hAnsi="Verdana"/>
          <w:sz w:val="20"/>
          <w:szCs w:val="20"/>
          <w:lang w:val="es-CR"/>
        </w:rPr>
        <w:t xml:space="preserve">i.- expresó </w:t>
      </w:r>
      <w:r w:rsidRPr="003A7581">
        <w:rPr>
          <w:rFonts w:ascii="Verdana" w:hAnsi="Verdana"/>
          <w:sz w:val="20"/>
          <w:szCs w:val="20"/>
          <w:lang w:val="es-CR"/>
        </w:rPr>
        <w:lastRenderedPageBreak/>
        <w:t>recomendaciones y luego “no se le permitió al Estado contar con un tiempo adecuado para cumplir con las [mismas]”</w:t>
      </w:r>
      <w:r>
        <w:rPr>
          <w:rStyle w:val="Refdenotaalpie"/>
          <w:rFonts w:ascii="Verdana" w:hAnsi="Verdana"/>
          <w:lang w:val="es-CR"/>
        </w:rPr>
        <w:footnoteReference w:id="12"/>
      </w:r>
      <w:r w:rsidRPr="003A7581">
        <w:rPr>
          <w:rFonts w:ascii="Verdana" w:hAnsi="Verdana"/>
          <w:sz w:val="20"/>
          <w:szCs w:val="20"/>
          <w:lang w:val="es-CR"/>
        </w:rPr>
        <w:t xml:space="preserve">. </w:t>
      </w:r>
    </w:p>
    <w:p w14:paraId="7FD2D638" w14:textId="77777777" w:rsidR="005E2829" w:rsidRPr="00A93B05" w:rsidRDefault="005E2829" w:rsidP="00414DEF">
      <w:pPr>
        <w:pStyle w:val="Prrafodelista"/>
        <w:widowControl/>
        <w:spacing w:after="160" w:line="240" w:lineRule="auto"/>
        <w:ind w:left="0"/>
        <w:jc w:val="both"/>
        <w:rPr>
          <w:rFonts w:ascii="Verdana" w:hAnsi="Verdana"/>
          <w:sz w:val="20"/>
          <w:szCs w:val="20"/>
          <w:lang w:val="es-ES"/>
        </w:rPr>
      </w:pPr>
    </w:p>
    <w:p w14:paraId="56712AF0" w14:textId="510CE047" w:rsidR="005E2829" w:rsidRPr="00A93B05" w:rsidRDefault="005E2829" w:rsidP="00414DEF">
      <w:pPr>
        <w:pStyle w:val="Prrafodelista"/>
        <w:widowControl/>
        <w:numPr>
          <w:ilvl w:val="0"/>
          <w:numId w:val="26"/>
        </w:numPr>
        <w:spacing w:after="160" w:line="240" w:lineRule="auto"/>
        <w:ind w:left="0" w:firstLine="0"/>
        <w:jc w:val="both"/>
        <w:rPr>
          <w:rFonts w:ascii="Verdana" w:hAnsi="Verdana"/>
          <w:b/>
          <w:sz w:val="20"/>
          <w:szCs w:val="20"/>
          <w:lang w:val="es-ES"/>
        </w:rPr>
      </w:pPr>
      <w:r w:rsidRPr="00A93B05">
        <w:rPr>
          <w:rFonts w:ascii="Verdana" w:hAnsi="Verdana"/>
          <w:sz w:val="20"/>
          <w:szCs w:val="20"/>
          <w:lang w:val="es-ES"/>
        </w:rPr>
        <w:t xml:space="preserve">La </w:t>
      </w:r>
      <w:r w:rsidRPr="001B54D2">
        <w:rPr>
          <w:rFonts w:ascii="Verdana" w:hAnsi="Verdana"/>
          <w:b/>
          <w:i/>
          <w:sz w:val="20"/>
          <w:szCs w:val="20"/>
          <w:lang w:val="es-ES"/>
        </w:rPr>
        <w:t>Comisión</w:t>
      </w:r>
      <w:r w:rsidRPr="00A93B05">
        <w:rPr>
          <w:rFonts w:ascii="Verdana" w:hAnsi="Verdana"/>
          <w:sz w:val="20"/>
          <w:szCs w:val="20"/>
          <w:lang w:val="es-ES"/>
        </w:rPr>
        <w:t xml:space="preserve"> manifestó que </w:t>
      </w:r>
      <w:r>
        <w:rPr>
          <w:rFonts w:ascii="Verdana" w:hAnsi="Verdana"/>
          <w:sz w:val="20"/>
          <w:szCs w:val="20"/>
          <w:lang w:val="es-ES"/>
        </w:rPr>
        <w:t>“</w:t>
      </w:r>
      <w:r w:rsidRPr="00A93B05">
        <w:rPr>
          <w:rFonts w:ascii="Verdana" w:hAnsi="Verdana"/>
          <w:sz w:val="20"/>
          <w:szCs w:val="20"/>
          <w:lang w:val="es-ES"/>
        </w:rPr>
        <w:t xml:space="preserve">de la jurisprudencia de la Corte surge que la facultad de realizar un ‘control de legalidad’ de las actuaciones de la Comisión debe ser ejercida de manera sumamente restringida y excepcional, pues de lo contrario se pondría en riesgo la autonomía e independencia de la Comisión”. Además, </w:t>
      </w:r>
      <w:r w:rsidR="00405CFA">
        <w:rPr>
          <w:rFonts w:ascii="Verdana" w:hAnsi="Verdana"/>
          <w:sz w:val="20"/>
          <w:szCs w:val="20"/>
          <w:lang w:val="es-ES"/>
        </w:rPr>
        <w:t>sostuvo</w:t>
      </w:r>
      <w:r w:rsidRPr="00A93B05">
        <w:rPr>
          <w:rFonts w:ascii="Verdana" w:hAnsi="Verdana"/>
          <w:sz w:val="20"/>
          <w:szCs w:val="20"/>
          <w:lang w:val="es-ES"/>
        </w:rPr>
        <w:t>: a) en cuanto a la aducida falta de consideración del hábeas corpus en sus decisiones, que “consideró en su [I]</w:t>
      </w:r>
      <w:proofErr w:type="spellStart"/>
      <w:r w:rsidRPr="00A93B05">
        <w:rPr>
          <w:rFonts w:ascii="Verdana" w:hAnsi="Verdana"/>
          <w:sz w:val="20"/>
          <w:szCs w:val="20"/>
          <w:lang w:val="es-ES"/>
        </w:rPr>
        <w:t>nforme</w:t>
      </w:r>
      <w:proofErr w:type="spellEnd"/>
      <w:r w:rsidRPr="00A93B05">
        <w:rPr>
          <w:rFonts w:ascii="Verdana" w:hAnsi="Verdana"/>
          <w:sz w:val="20"/>
          <w:szCs w:val="20"/>
          <w:lang w:val="es-ES"/>
        </w:rPr>
        <w:t xml:space="preserve"> de [A]</w:t>
      </w:r>
      <w:proofErr w:type="spellStart"/>
      <w:r w:rsidRPr="00A93B05">
        <w:rPr>
          <w:rFonts w:ascii="Verdana" w:hAnsi="Verdana"/>
          <w:sz w:val="20"/>
          <w:szCs w:val="20"/>
          <w:lang w:val="es-ES"/>
        </w:rPr>
        <w:t>dmisibilidad</w:t>
      </w:r>
      <w:proofErr w:type="spellEnd"/>
      <w:r w:rsidRPr="00A93B05">
        <w:rPr>
          <w:rFonts w:ascii="Verdana" w:hAnsi="Verdana"/>
          <w:sz w:val="20"/>
          <w:szCs w:val="20"/>
          <w:lang w:val="es-ES"/>
        </w:rPr>
        <w:t xml:space="preserve"> que el señor Carranza intentó una vía idónea a través de la cual el Estado tuvo la oportunidad de analizar la convencionalidad de la privación de libertad”; b) respecto de la remisión del caso a la Corte, que la decisión sobre ello es “competencia” de la Comisión, y que en el caso había otorgado prórrogas al Estado, “sin que éste presente información concreta y detallada”.</w:t>
      </w:r>
    </w:p>
    <w:p w14:paraId="4E89181F" w14:textId="77777777" w:rsidR="005E2829" w:rsidRPr="005C118E" w:rsidRDefault="005E2829" w:rsidP="00414DEF">
      <w:pPr>
        <w:pStyle w:val="Prrafodelista"/>
        <w:spacing w:line="240" w:lineRule="auto"/>
        <w:ind w:left="0"/>
        <w:jc w:val="both"/>
        <w:rPr>
          <w:rFonts w:ascii="Verdana" w:hAnsi="Verdana"/>
          <w:b/>
          <w:i/>
          <w:sz w:val="20"/>
          <w:szCs w:val="20"/>
          <w:lang w:val="es-ES"/>
        </w:rPr>
      </w:pPr>
    </w:p>
    <w:p w14:paraId="7C6F3C6B" w14:textId="0E7BD7B9" w:rsidR="005E2829" w:rsidRDefault="005E2829" w:rsidP="00414DEF">
      <w:pPr>
        <w:pStyle w:val="Prrafodelista"/>
        <w:widowControl/>
        <w:numPr>
          <w:ilvl w:val="0"/>
          <w:numId w:val="26"/>
        </w:numPr>
        <w:spacing w:after="160" w:line="240" w:lineRule="auto"/>
        <w:ind w:left="0" w:firstLine="0"/>
        <w:jc w:val="both"/>
        <w:rPr>
          <w:rFonts w:ascii="Verdana" w:hAnsi="Verdana"/>
          <w:sz w:val="20"/>
          <w:szCs w:val="20"/>
          <w:lang w:val="es-ES"/>
        </w:rPr>
      </w:pPr>
      <w:r w:rsidRPr="005C118E">
        <w:rPr>
          <w:rFonts w:ascii="Verdana" w:hAnsi="Verdana"/>
          <w:sz w:val="20"/>
          <w:szCs w:val="20"/>
          <w:lang w:val="es-ES"/>
        </w:rPr>
        <w:t xml:space="preserve">La </w:t>
      </w:r>
      <w:r w:rsidRPr="001B54D2">
        <w:rPr>
          <w:rFonts w:ascii="Verdana" w:hAnsi="Verdana"/>
          <w:b/>
          <w:i/>
          <w:sz w:val="20"/>
          <w:szCs w:val="20"/>
          <w:lang w:val="es-ES"/>
        </w:rPr>
        <w:t>Corte</w:t>
      </w:r>
      <w:r w:rsidRPr="005C118E">
        <w:rPr>
          <w:rFonts w:ascii="Verdana" w:hAnsi="Verdana"/>
          <w:sz w:val="20"/>
          <w:szCs w:val="20"/>
          <w:lang w:val="es-ES"/>
        </w:rPr>
        <w:t xml:space="preserve"> </w:t>
      </w:r>
      <w:r>
        <w:rPr>
          <w:rFonts w:ascii="Verdana" w:hAnsi="Verdana"/>
          <w:sz w:val="20"/>
          <w:szCs w:val="20"/>
          <w:lang w:val="es-ES"/>
        </w:rPr>
        <w:t xml:space="preserve">ha indicado que </w:t>
      </w:r>
      <w:r w:rsidRPr="005C118E">
        <w:rPr>
          <w:rFonts w:ascii="Verdana" w:hAnsi="Verdana"/>
          <w:sz w:val="20"/>
          <w:szCs w:val="20"/>
          <w:lang w:val="es-ES"/>
        </w:rPr>
        <w:t>en asuntos que estén bajo su conocimiento tiene la atribución de efectuar un control de legalidad de</w:t>
      </w:r>
      <w:r>
        <w:rPr>
          <w:rFonts w:ascii="Verdana" w:hAnsi="Verdana"/>
          <w:sz w:val="20"/>
          <w:szCs w:val="20"/>
          <w:lang w:val="es-ES"/>
        </w:rPr>
        <w:t xml:space="preserve"> las actuaciones de la Comisión, pero esto </w:t>
      </w:r>
      <w:r w:rsidRPr="005C118E">
        <w:rPr>
          <w:rFonts w:ascii="Verdana" w:hAnsi="Verdana"/>
          <w:sz w:val="20"/>
          <w:szCs w:val="20"/>
          <w:lang w:val="es-ES"/>
        </w:rPr>
        <w:t>no supone necesariamente revisar de oficio el procedimiento que se llevó a cabo ante ésta</w:t>
      </w:r>
      <w:r>
        <w:rPr>
          <w:rFonts w:ascii="Verdana" w:hAnsi="Verdana"/>
          <w:sz w:val="20"/>
          <w:szCs w:val="20"/>
          <w:lang w:val="es-ES"/>
        </w:rPr>
        <w:t xml:space="preserve">. </w:t>
      </w:r>
      <w:r w:rsidRPr="005C118E">
        <w:rPr>
          <w:rFonts w:ascii="Verdana" w:hAnsi="Verdana"/>
          <w:sz w:val="20"/>
          <w:szCs w:val="20"/>
          <w:lang w:val="es-ES"/>
        </w:rPr>
        <w:t>A</w:t>
      </w:r>
      <w:r>
        <w:rPr>
          <w:rFonts w:ascii="Verdana" w:hAnsi="Verdana"/>
          <w:sz w:val="20"/>
          <w:szCs w:val="20"/>
          <w:lang w:val="es-ES"/>
        </w:rPr>
        <w:t>demás</w:t>
      </w:r>
      <w:r w:rsidRPr="005C118E">
        <w:rPr>
          <w:rFonts w:ascii="Verdana" w:hAnsi="Verdana"/>
          <w:sz w:val="20"/>
          <w:szCs w:val="20"/>
          <w:lang w:val="es-ES"/>
        </w:rPr>
        <w:t xml:space="preserve">, la Corte debe guardar un justo equilibrio entre la protección de los derechos humanos, fin último del Sistema Interamericano, y la seguridad jurídica y equidad procesal que aseguran la estabilidad y confiabilidad de la tutela internacional. </w:t>
      </w:r>
      <w:r>
        <w:rPr>
          <w:rFonts w:ascii="Verdana" w:hAnsi="Verdana"/>
          <w:sz w:val="20"/>
          <w:szCs w:val="20"/>
          <w:lang w:val="es-ES"/>
        </w:rPr>
        <w:t xml:space="preserve">El control señalado puede proceder, entonces, </w:t>
      </w:r>
      <w:r w:rsidRPr="000A4359">
        <w:rPr>
          <w:rFonts w:ascii="Verdana" w:hAnsi="Verdana"/>
          <w:sz w:val="20"/>
          <w:szCs w:val="20"/>
          <w:lang w:val="es-ES"/>
        </w:rPr>
        <w:t>en aquellos casos en que alguna de las partes alegue que exista un error grave que vulnere su derecho de defensa</w:t>
      </w:r>
      <w:r w:rsidRPr="005C118E">
        <w:rPr>
          <w:rFonts w:ascii="Verdana" w:hAnsi="Verdana"/>
          <w:sz w:val="20"/>
          <w:szCs w:val="20"/>
          <w:lang w:val="es-ES"/>
        </w:rPr>
        <w:t xml:space="preserve">, </w:t>
      </w:r>
      <w:r>
        <w:rPr>
          <w:rFonts w:ascii="Verdana" w:hAnsi="Verdana"/>
          <w:sz w:val="20"/>
          <w:szCs w:val="20"/>
          <w:lang w:val="es-ES"/>
        </w:rPr>
        <w:t xml:space="preserve">en cuyo caso </w:t>
      </w:r>
      <w:r w:rsidRPr="005C118E">
        <w:rPr>
          <w:rFonts w:ascii="Verdana" w:hAnsi="Verdana"/>
          <w:sz w:val="20"/>
          <w:szCs w:val="20"/>
          <w:lang w:val="es-ES"/>
        </w:rPr>
        <w:t>debe demostrar efectivamente tal perjuicio. No resulta suficiente una queja o discrepancia de criterios en relación con lo actuado por la Comisión Interamericana</w:t>
      </w:r>
      <w:r w:rsidRPr="00A93B05">
        <w:rPr>
          <w:rFonts w:ascii="Verdana" w:hAnsi="Verdana"/>
          <w:sz w:val="20"/>
          <w:szCs w:val="20"/>
          <w:vertAlign w:val="superscript"/>
          <w:lang w:val="es-ES"/>
        </w:rPr>
        <w:footnoteReference w:id="13"/>
      </w:r>
      <w:r w:rsidR="00DF21F2">
        <w:rPr>
          <w:rFonts w:ascii="Verdana" w:hAnsi="Verdana"/>
          <w:sz w:val="20"/>
          <w:szCs w:val="20"/>
          <w:lang w:val="es-ES"/>
        </w:rPr>
        <w:t>.</w:t>
      </w:r>
    </w:p>
    <w:p w14:paraId="526DC8EF" w14:textId="77777777" w:rsidR="005E2829" w:rsidRPr="003D2586" w:rsidRDefault="005E2829" w:rsidP="00414DEF">
      <w:pPr>
        <w:pStyle w:val="Prrafodelista"/>
        <w:spacing w:line="240" w:lineRule="auto"/>
        <w:ind w:left="0"/>
        <w:rPr>
          <w:rFonts w:ascii="Verdana" w:hAnsi="Verdana"/>
          <w:sz w:val="20"/>
          <w:szCs w:val="20"/>
          <w:lang w:val="es-ES"/>
        </w:rPr>
      </w:pPr>
    </w:p>
    <w:p w14:paraId="58C26099" w14:textId="77777777" w:rsidR="005E2829" w:rsidRPr="00336A38" w:rsidRDefault="005E2829" w:rsidP="00414DEF">
      <w:pPr>
        <w:pStyle w:val="Prrafodelista"/>
        <w:widowControl/>
        <w:numPr>
          <w:ilvl w:val="0"/>
          <w:numId w:val="26"/>
        </w:numPr>
        <w:spacing w:after="0" w:line="240" w:lineRule="auto"/>
        <w:ind w:left="0" w:firstLine="0"/>
        <w:jc w:val="both"/>
        <w:rPr>
          <w:rFonts w:ascii="Verdana" w:hAnsi="Verdana"/>
          <w:sz w:val="20"/>
          <w:szCs w:val="20"/>
          <w:lang w:val="es-CR"/>
        </w:rPr>
      </w:pPr>
      <w:r w:rsidRPr="00336A38">
        <w:rPr>
          <w:rFonts w:ascii="Verdana" w:hAnsi="Verdana"/>
          <w:sz w:val="20"/>
          <w:szCs w:val="20"/>
          <w:lang w:val="es-CR"/>
        </w:rPr>
        <w:t xml:space="preserve">La Corte recuerda que la Convención no exige un acto expreso de la Comisión sobre la admisión de una denuncia y, en razón de ello, no regula cuál debe ser el contenido de un Informe de Admisibilidad. Sin perjuicio de </w:t>
      </w:r>
      <w:r>
        <w:rPr>
          <w:rFonts w:ascii="Verdana" w:hAnsi="Verdana"/>
          <w:sz w:val="20"/>
          <w:szCs w:val="20"/>
          <w:lang w:val="es-CR"/>
        </w:rPr>
        <w:t>lo anterior</w:t>
      </w:r>
      <w:r w:rsidRPr="00336A38">
        <w:rPr>
          <w:rFonts w:ascii="Verdana" w:hAnsi="Verdana"/>
          <w:sz w:val="20"/>
          <w:szCs w:val="20"/>
          <w:lang w:val="es-CR"/>
        </w:rPr>
        <w:t>, la motivación de los informes de la Comisión permite al Estado conocer que sus defensas fueron consideradas por dicho órgano al momento de tomar la decisión, aunque no exige una respuesta detallada a todos y cada uno de los argumentos de las partes</w:t>
      </w:r>
      <w:r w:rsidRPr="00336A38">
        <w:rPr>
          <w:rStyle w:val="Refdenotaalpie"/>
          <w:rFonts w:ascii="Verdana" w:hAnsi="Verdana"/>
        </w:rPr>
        <w:footnoteReference w:id="14"/>
      </w:r>
      <w:r w:rsidRPr="00336A38">
        <w:rPr>
          <w:rFonts w:ascii="Verdana" w:hAnsi="Verdana"/>
          <w:sz w:val="20"/>
          <w:szCs w:val="20"/>
          <w:lang w:val="es-CR"/>
        </w:rPr>
        <w:t xml:space="preserve">. </w:t>
      </w:r>
    </w:p>
    <w:p w14:paraId="3400BD60" w14:textId="77777777" w:rsidR="005E2829" w:rsidRPr="00BF09F5" w:rsidRDefault="005E2829" w:rsidP="00414DEF">
      <w:pPr>
        <w:pStyle w:val="Prrafodelista"/>
        <w:tabs>
          <w:tab w:val="left" w:pos="6495"/>
        </w:tabs>
        <w:spacing w:after="0" w:line="240" w:lineRule="auto"/>
        <w:ind w:left="0"/>
        <w:contextualSpacing w:val="0"/>
        <w:jc w:val="both"/>
        <w:rPr>
          <w:rFonts w:ascii="Verdana" w:hAnsi="Verdana"/>
          <w:sz w:val="20"/>
          <w:szCs w:val="20"/>
          <w:lang w:val="es-CR"/>
        </w:rPr>
      </w:pPr>
      <w:r>
        <w:rPr>
          <w:rFonts w:ascii="Verdana" w:hAnsi="Verdana"/>
          <w:sz w:val="20"/>
          <w:szCs w:val="20"/>
          <w:lang w:val="es-CR"/>
        </w:rPr>
        <w:tab/>
      </w:r>
    </w:p>
    <w:p w14:paraId="1B6DE604" w14:textId="41636B03" w:rsidR="005E2829" w:rsidRPr="00342BC5" w:rsidRDefault="005E2829" w:rsidP="00414DEF">
      <w:pPr>
        <w:pStyle w:val="Prrafodelista"/>
        <w:widowControl/>
        <w:numPr>
          <w:ilvl w:val="0"/>
          <w:numId w:val="26"/>
        </w:numPr>
        <w:spacing w:after="0" w:line="240" w:lineRule="auto"/>
        <w:ind w:left="0" w:firstLine="0"/>
        <w:contextualSpacing w:val="0"/>
        <w:jc w:val="both"/>
        <w:rPr>
          <w:rFonts w:ascii="Verdana" w:hAnsi="Verdana"/>
          <w:sz w:val="20"/>
          <w:szCs w:val="20"/>
          <w:lang w:val="es-CR"/>
        </w:rPr>
      </w:pPr>
      <w:r w:rsidRPr="00FF6C22">
        <w:rPr>
          <w:rFonts w:ascii="Verdana" w:hAnsi="Verdana"/>
          <w:sz w:val="20"/>
          <w:szCs w:val="20"/>
          <w:lang w:val="es-CR"/>
        </w:rPr>
        <w:t>Este Tribunal constata que es cierto que la Comisión no se pronunció explícitamente ni en el Informe de Admisibilidad ni en el Informe de Fondo sobre la</w:t>
      </w:r>
      <w:r w:rsidRPr="00DB42E0">
        <w:rPr>
          <w:rFonts w:ascii="Verdana" w:hAnsi="Verdana"/>
          <w:sz w:val="20"/>
          <w:szCs w:val="20"/>
          <w:lang w:val="es-CR"/>
        </w:rPr>
        <w:t xml:space="preserve"> falta de presentación del recurso</w:t>
      </w:r>
      <w:r w:rsidR="00405CFA">
        <w:rPr>
          <w:rFonts w:ascii="Verdana" w:hAnsi="Verdana"/>
          <w:sz w:val="20"/>
          <w:szCs w:val="20"/>
          <w:lang w:val="es-CR"/>
        </w:rPr>
        <w:t xml:space="preserve"> de hábeas corpus. No obstante, la Comisión</w:t>
      </w:r>
      <w:r w:rsidRPr="00DB42E0">
        <w:rPr>
          <w:rFonts w:ascii="Verdana" w:hAnsi="Verdana"/>
          <w:sz w:val="20"/>
          <w:szCs w:val="20"/>
          <w:lang w:val="es-CR"/>
        </w:rPr>
        <w:t xml:space="preserve"> consideró</w:t>
      </w:r>
      <w:r w:rsidR="00405CFA">
        <w:rPr>
          <w:rFonts w:ascii="Verdana" w:hAnsi="Verdana"/>
          <w:sz w:val="20"/>
          <w:szCs w:val="20"/>
          <w:lang w:val="es-CR"/>
        </w:rPr>
        <w:t>,</w:t>
      </w:r>
      <w:r w:rsidRPr="00DB42E0">
        <w:rPr>
          <w:rFonts w:ascii="Verdana" w:hAnsi="Verdana"/>
          <w:sz w:val="20"/>
          <w:szCs w:val="20"/>
          <w:lang w:val="es-CR"/>
        </w:rPr>
        <w:t xml:space="preserve"> como una actuación idónea para cuestionar la privación de libertad del señor Carranza, </w:t>
      </w:r>
      <w:r>
        <w:rPr>
          <w:rFonts w:ascii="Verdana" w:hAnsi="Verdana"/>
          <w:sz w:val="20"/>
          <w:szCs w:val="20"/>
          <w:lang w:val="es-CR"/>
        </w:rPr>
        <w:t xml:space="preserve">un </w:t>
      </w:r>
      <w:r w:rsidRPr="00DB42E0">
        <w:rPr>
          <w:rFonts w:ascii="Verdana" w:hAnsi="Verdana" w:cs="Cambria"/>
          <w:sz w:val="20"/>
          <w:szCs w:val="20"/>
          <w:lang w:val="es-ES"/>
        </w:rPr>
        <w:t xml:space="preserve">escrito </w:t>
      </w:r>
      <w:r>
        <w:rPr>
          <w:rFonts w:ascii="Verdana" w:hAnsi="Verdana" w:cs="Cambria"/>
          <w:sz w:val="20"/>
          <w:szCs w:val="20"/>
          <w:lang w:val="es-ES"/>
        </w:rPr>
        <w:t xml:space="preserve">que se indicó que fue </w:t>
      </w:r>
      <w:r w:rsidRPr="00DB42E0">
        <w:rPr>
          <w:rFonts w:ascii="Verdana" w:hAnsi="Verdana" w:cs="Cambria"/>
          <w:sz w:val="20"/>
          <w:szCs w:val="20"/>
          <w:lang w:val="es-ES"/>
        </w:rPr>
        <w:t>presentado en septiembre de 1995 al juzgado que conocía el proceso penal seguido en su contra</w:t>
      </w:r>
      <w:r>
        <w:rPr>
          <w:rFonts w:ascii="Verdana" w:hAnsi="Verdana" w:cs="Cambria"/>
          <w:sz w:val="20"/>
          <w:szCs w:val="20"/>
          <w:lang w:val="es-ES"/>
        </w:rPr>
        <w:t>.</w:t>
      </w:r>
      <w:r w:rsidRPr="00DB42E0">
        <w:rPr>
          <w:rFonts w:ascii="Verdana" w:hAnsi="Verdana" w:cs="Cambria"/>
          <w:b/>
          <w:sz w:val="20"/>
          <w:szCs w:val="20"/>
          <w:lang w:val="es-ES"/>
        </w:rPr>
        <w:t xml:space="preserve"> </w:t>
      </w:r>
      <w:r w:rsidRPr="00DB42E0">
        <w:rPr>
          <w:rFonts w:ascii="Verdana" w:eastAsia="Verdana" w:hAnsi="Verdana" w:cs="Verdana"/>
          <w:sz w:val="20"/>
          <w:szCs w:val="20"/>
          <w:lang w:val="es-MX"/>
        </w:rPr>
        <w:t xml:space="preserve">La Corte entiende que </w:t>
      </w:r>
      <w:r>
        <w:rPr>
          <w:rFonts w:ascii="Verdana" w:eastAsia="Verdana" w:hAnsi="Verdana" w:cs="Verdana"/>
          <w:sz w:val="20"/>
          <w:szCs w:val="20"/>
          <w:lang w:val="es-MX"/>
        </w:rPr>
        <w:t>no hubo</w:t>
      </w:r>
      <w:r w:rsidRPr="00DB42E0">
        <w:rPr>
          <w:rFonts w:ascii="Verdana" w:eastAsia="Verdana" w:hAnsi="Verdana" w:cs="Verdana"/>
          <w:sz w:val="20"/>
          <w:szCs w:val="20"/>
          <w:lang w:val="es-MX"/>
        </w:rPr>
        <w:t xml:space="preserve"> una falta de motivació</w:t>
      </w:r>
      <w:r>
        <w:rPr>
          <w:rFonts w:ascii="Verdana" w:eastAsia="Verdana" w:hAnsi="Verdana" w:cs="Verdana"/>
          <w:sz w:val="20"/>
          <w:szCs w:val="20"/>
          <w:lang w:val="es-MX"/>
        </w:rPr>
        <w:t>n</w:t>
      </w:r>
      <w:r w:rsidRPr="00DB42E0">
        <w:rPr>
          <w:rFonts w:ascii="Verdana" w:eastAsia="Verdana" w:hAnsi="Verdana" w:cs="Verdana"/>
          <w:sz w:val="20"/>
          <w:szCs w:val="20"/>
          <w:lang w:val="es-MX"/>
        </w:rPr>
        <w:t xml:space="preserve"> en el Informe de Admisibilidad </w:t>
      </w:r>
      <w:r>
        <w:rPr>
          <w:rFonts w:ascii="Verdana" w:eastAsia="Verdana" w:hAnsi="Verdana" w:cs="Verdana"/>
          <w:sz w:val="20"/>
          <w:szCs w:val="20"/>
          <w:lang w:val="es-MX"/>
        </w:rPr>
        <w:t xml:space="preserve">ni en el Informe de Fondo, </w:t>
      </w:r>
      <w:r w:rsidRPr="00DB42E0">
        <w:rPr>
          <w:rFonts w:ascii="Verdana" w:eastAsia="Verdana" w:hAnsi="Verdana" w:cs="Verdana"/>
          <w:sz w:val="20"/>
          <w:szCs w:val="20"/>
          <w:lang w:val="es-MX"/>
        </w:rPr>
        <w:t xml:space="preserve">pues de </w:t>
      </w:r>
      <w:r>
        <w:rPr>
          <w:rFonts w:ascii="Verdana" w:eastAsia="Verdana" w:hAnsi="Verdana" w:cs="Verdana"/>
          <w:sz w:val="20"/>
          <w:szCs w:val="20"/>
          <w:lang w:val="es-MX"/>
        </w:rPr>
        <w:t>la</w:t>
      </w:r>
      <w:r w:rsidRPr="00DB42E0">
        <w:rPr>
          <w:rFonts w:ascii="Verdana" w:eastAsia="Verdana" w:hAnsi="Verdana" w:cs="Verdana"/>
          <w:sz w:val="20"/>
          <w:szCs w:val="20"/>
          <w:lang w:val="es-MX"/>
        </w:rPr>
        <w:t xml:space="preserve"> lectura </w:t>
      </w:r>
      <w:r>
        <w:rPr>
          <w:rFonts w:ascii="Verdana" w:eastAsia="Verdana" w:hAnsi="Verdana" w:cs="Verdana"/>
          <w:sz w:val="20"/>
          <w:szCs w:val="20"/>
          <w:lang w:val="es-MX"/>
        </w:rPr>
        <w:t xml:space="preserve">de los mismos </w:t>
      </w:r>
      <w:r w:rsidRPr="00DB42E0">
        <w:rPr>
          <w:rFonts w:ascii="Verdana" w:eastAsia="Verdana" w:hAnsi="Verdana" w:cs="Verdana"/>
          <w:sz w:val="20"/>
          <w:szCs w:val="20"/>
          <w:lang w:val="es-MX"/>
        </w:rPr>
        <w:t xml:space="preserve">se desprende que, en criterio de la Comisión, resultó </w:t>
      </w:r>
      <w:r w:rsidRPr="00DB42E0">
        <w:rPr>
          <w:rFonts w:ascii="Verdana" w:eastAsia="Verdana" w:hAnsi="Verdana" w:cs="Verdana"/>
          <w:sz w:val="20"/>
          <w:szCs w:val="20"/>
          <w:lang w:val="es-MX"/>
        </w:rPr>
        <w:lastRenderedPageBreak/>
        <w:t>suficiente el escrito de septiembre de 1995, por lo que fundamentó su</w:t>
      </w:r>
      <w:r>
        <w:rPr>
          <w:rFonts w:ascii="Verdana" w:eastAsia="Verdana" w:hAnsi="Verdana" w:cs="Verdana"/>
          <w:sz w:val="20"/>
          <w:szCs w:val="20"/>
          <w:lang w:val="es-MX"/>
        </w:rPr>
        <w:t>s</w:t>
      </w:r>
      <w:r w:rsidRPr="00DB42E0">
        <w:rPr>
          <w:rFonts w:ascii="Verdana" w:eastAsia="Verdana" w:hAnsi="Verdana" w:cs="Verdana"/>
          <w:sz w:val="20"/>
          <w:szCs w:val="20"/>
          <w:lang w:val="es-MX"/>
        </w:rPr>
        <w:t xml:space="preserve"> decisi</w:t>
      </w:r>
      <w:r>
        <w:rPr>
          <w:rFonts w:ascii="Verdana" w:eastAsia="Verdana" w:hAnsi="Verdana" w:cs="Verdana"/>
          <w:sz w:val="20"/>
          <w:szCs w:val="20"/>
          <w:lang w:val="es-MX"/>
        </w:rPr>
        <w:t>o</w:t>
      </w:r>
      <w:r w:rsidRPr="00DB42E0">
        <w:rPr>
          <w:rFonts w:ascii="Verdana" w:eastAsia="Verdana" w:hAnsi="Verdana" w:cs="Verdana"/>
          <w:sz w:val="20"/>
          <w:szCs w:val="20"/>
          <w:lang w:val="es-MX"/>
        </w:rPr>
        <w:t>n</w:t>
      </w:r>
      <w:r>
        <w:rPr>
          <w:rFonts w:ascii="Verdana" w:eastAsia="Verdana" w:hAnsi="Verdana" w:cs="Verdana"/>
          <w:sz w:val="20"/>
          <w:szCs w:val="20"/>
          <w:lang w:val="es-MX"/>
        </w:rPr>
        <w:t>es</w:t>
      </w:r>
      <w:r w:rsidRPr="00DB42E0">
        <w:rPr>
          <w:rFonts w:ascii="Verdana" w:eastAsia="Verdana" w:hAnsi="Verdana" w:cs="Verdana"/>
          <w:sz w:val="20"/>
          <w:szCs w:val="20"/>
          <w:lang w:val="es-MX"/>
        </w:rPr>
        <w:t xml:space="preserve"> sin necesidad de hacer consideraciones expresas sobre el hábeas corpus.</w:t>
      </w:r>
      <w:r>
        <w:rPr>
          <w:rFonts w:ascii="Verdana" w:eastAsia="Verdana" w:hAnsi="Verdana" w:cs="Verdana"/>
          <w:b/>
          <w:sz w:val="16"/>
          <w:szCs w:val="16"/>
          <w:lang w:val="es-MX"/>
        </w:rPr>
        <w:t xml:space="preserve"> </w:t>
      </w:r>
      <w:r w:rsidRPr="006B763F">
        <w:rPr>
          <w:rFonts w:ascii="Verdana" w:eastAsia="Verdana" w:hAnsi="Verdana" w:cs="Verdana"/>
          <w:sz w:val="20"/>
          <w:szCs w:val="20"/>
          <w:lang w:val="es-MX"/>
        </w:rPr>
        <w:t xml:space="preserve">Cuestión distinta es si este criterio de la Comisión es compartido o no por el Estado, pero ya se ha indicado que una mera discrepancia no es apta para </w:t>
      </w:r>
      <w:r>
        <w:rPr>
          <w:rFonts w:ascii="Verdana" w:eastAsia="Verdana" w:hAnsi="Verdana" w:cs="Verdana"/>
          <w:sz w:val="20"/>
          <w:szCs w:val="20"/>
          <w:lang w:val="es-MX"/>
        </w:rPr>
        <w:t>que</w:t>
      </w:r>
      <w:r w:rsidRPr="006B763F">
        <w:rPr>
          <w:rFonts w:ascii="Verdana" w:eastAsia="Verdana" w:hAnsi="Verdana" w:cs="Verdana"/>
          <w:sz w:val="20"/>
          <w:szCs w:val="20"/>
          <w:lang w:val="es-MX"/>
        </w:rPr>
        <w:t xml:space="preserve"> proced</w:t>
      </w:r>
      <w:r>
        <w:rPr>
          <w:rFonts w:ascii="Verdana" w:eastAsia="Verdana" w:hAnsi="Verdana" w:cs="Verdana"/>
          <w:sz w:val="20"/>
          <w:szCs w:val="20"/>
          <w:lang w:val="es-MX"/>
        </w:rPr>
        <w:t>a</w:t>
      </w:r>
      <w:r w:rsidRPr="006B763F">
        <w:rPr>
          <w:rFonts w:ascii="Verdana" w:eastAsia="Verdana" w:hAnsi="Verdana" w:cs="Verdana"/>
          <w:sz w:val="20"/>
          <w:szCs w:val="20"/>
          <w:lang w:val="es-MX"/>
        </w:rPr>
        <w:t xml:space="preserve"> un control de las actuaciones de la Comisión</w:t>
      </w:r>
      <w:r>
        <w:rPr>
          <w:rFonts w:ascii="Verdana" w:eastAsia="Verdana" w:hAnsi="Verdana" w:cs="Verdana"/>
          <w:sz w:val="20"/>
          <w:szCs w:val="20"/>
          <w:lang w:val="es-MX"/>
        </w:rPr>
        <w:t xml:space="preserve"> (</w:t>
      </w:r>
      <w:r>
        <w:rPr>
          <w:rFonts w:ascii="Verdana" w:eastAsia="Verdana" w:hAnsi="Verdana" w:cs="Verdana"/>
          <w:i/>
          <w:sz w:val="20"/>
          <w:szCs w:val="20"/>
          <w:lang w:val="es-MX"/>
        </w:rPr>
        <w:t xml:space="preserve">supra </w:t>
      </w:r>
      <w:r>
        <w:rPr>
          <w:rFonts w:ascii="Verdana" w:eastAsia="Verdana" w:hAnsi="Verdana" w:cs="Verdana"/>
          <w:sz w:val="20"/>
          <w:szCs w:val="20"/>
          <w:lang w:val="es-MX"/>
        </w:rPr>
        <w:t xml:space="preserve">párr. </w:t>
      </w:r>
      <w:r w:rsidR="00155CE1">
        <w:rPr>
          <w:rFonts w:ascii="Verdana" w:eastAsia="Verdana" w:hAnsi="Verdana" w:cs="Verdana"/>
          <w:sz w:val="20"/>
          <w:szCs w:val="20"/>
          <w:lang w:val="es-MX"/>
        </w:rPr>
        <w:t>25</w:t>
      </w:r>
      <w:r>
        <w:rPr>
          <w:rFonts w:ascii="Verdana" w:eastAsia="Verdana" w:hAnsi="Verdana" w:cs="Verdana"/>
          <w:sz w:val="20"/>
          <w:szCs w:val="20"/>
          <w:lang w:val="es-MX"/>
        </w:rPr>
        <w:t>)</w:t>
      </w:r>
      <w:r w:rsidRPr="006B763F">
        <w:rPr>
          <w:rFonts w:ascii="Verdana" w:eastAsia="Verdana" w:hAnsi="Verdana" w:cs="Verdana"/>
          <w:sz w:val="20"/>
          <w:szCs w:val="20"/>
          <w:lang w:val="es-MX"/>
        </w:rPr>
        <w:t>.</w:t>
      </w:r>
      <w:r>
        <w:rPr>
          <w:rFonts w:ascii="Verdana" w:eastAsia="Verdana" w:hAnsi="Verdana" w:cs="Verdana"/>
          <w:sz w:val="16"/>
          <w:szCs w:val="16"/>
          <w:lang w:val="es-MX"/>
        </w:rPr>
        <w:t xml:space="preserve"> </w:t>
      </w:r>
    </w:p>
    <w:p w14:paraId="621DEEA2" w14:textId="77777777" w:rsidR="005E2829" w:rsidRPr="00342BC5" w:rsidRDefault="005E2829" w:rsidP="00414DEF">
      <w:pPr>
        <w:pStyle w:val="Prrafodelista"/>
        <w:spacing w:line="240" w:lineRule="auto"/>
        <w:rPr>
          <w:rFonts w:ascii="Verdana" w:eastAsia="Verdana" w:hAnsi="Verdana" w:cs="Verdana"/>
          <w:sz w:val="20"/>
          <w:szCs w:val="20"/>
          <w:lang w:val="es-MX"/>
        </w:rPr>
      </w:pPr>
    </w:p>
    <w:p w14:paraId="3158AC1F" w14:textId="77777777" w:rsidR="00B17E84" w:rsidRDefault="005E2829" w:rsidP="00414DEF">
      <w:pPr>
        <w:pStyle w:val="Prrafodelista"/>
        <w:widowControl/>
        <w:numPr>
          <w:ilvl w:val="0"/>
          <w:numId w:val="26"/>
        </w:numPr>
        <w:spacing w:after="0" w:line="240" w:lineRule="auto"/>
        <w:ind w:left="0" w:firstLine="0"/>
        <w:contextualSpacing w:val="0"/>
        <w:jc w:val="both"/>
        <w:rPr>
          <w:rFonts w:ascii="Verdana" w:hAnsi="Verdana"/>
          <w:sz w:val="20"/>
          <w:szCs w:val="20"/>
          <w:lang w:val="es-CR"/>
        </w:rPr>
      </w:pPr>
      <w:r>
        <w:rPr>
          <w:rFonts w:ascii="Verdana" w:eastAsia="Verdana" w:hAnsi="Verdana" w:cs="Verdana"/>
          <w:sz w:val="20"/>
          <w:szCs w:val="20"/>
          <w:lang w:val="es-MX"/>
        </w:rPr>
        <w:t>Por otra parte, la Corte nota que</w:t>
      </w:r>
      <w:r w:rsidRPr="00342BC5">
        <w:rPr>
          <w:rFonts w:ascii="Verdana" w:eastAsia="Verdana" w:hAnsi="Verdana" w:cs="Verdana"/>
          <w:sz w:val="20"/>
          <w:szCs w:val="20"/>
          <w:lang w:val="es-MX"/>
        </w:rPr>
        <w:t xml:space="preserve"> el Estado adujo que “no responde a la verdad procesal”</w:t>
      </w:r>
      <w:r>
        <w:rPr>
          <w:rFonts w:ascii="Verdana" w:eastAsia="Verdana" w:hAnsi="Verdana" w:cs="Verdana"/>
          <w:sz w:val="20"/>
          <w:szCs w:val="20"/>
          <w:lang w:val="es-MX"/>
        </w:rPr>
        <w:t xml:space="preserve"> una</w:t>
      </w:r>
      <w:r w:rsidRPr="00342BC5">
        <w:rPr>
          <w:rFonts w:ascii="Verdana" w:eastAsia="Verdana" w:hAnsi="Verdana" w:cs="Verdana"/>
          <w:sz w:val="20"/>
          <w:szCs w:val="20"/>
          <w:lang w:val="es-MX"/>
        </w:rPr>
        <w:t xml:space="preserve"> aseveración expresada por la Comisión en el Informe de Fondo</w:t>
      </w:r>
      <w:r>
        <w:rPr>
          <w:rFonts w:ascii="Verdana" w:eastAsia="Verdana" w:hAnsi="Verdana" w:cs="Verdana"/>
          <w:sz w:val="20"/>
          <w:szCs w:val="20"/>
          <w:lang w:val="es-MX"/>
        </w:rPr>
        <w:t>:</w:t>
      </w:r>
      <w:r w:rsidRPr="00342BC5">
        <w:rPr>
          <w:rFonts w:ascii="Verdana" w:eastAsia="Verdana" w:hAnsi="Verdana" w:cs="Verdana"/>
          <w:sz w:val="20"/>
          <w:szCs w:val="20"/>
          <w:lang w:val="es-MX"/>
        </w:rPr>
        <w:t xml:space="preserve"> que el escrito de septiembre de 1995 no fue considerado por la administración de justicia. Esta discrepancia del Estado con apreciaciones de la Comisión se refiere a aspectos relacionados con fondo del caso</w:t>
      </w:r>
      <w:r w:rsidRPr="00C0362F">
        <w:rPr>
          <w:rFonts w:ascii="Verdana" w:eastAsia="Verdana" w:hAnsi="Verdana" w:cs="Verdana"/>
          <w:sz w:val="20"/>
          <w:szCs w:val="20"/>
          <w:lang w:val="es-MX"/>
        </w:rPr>
        <w:t>.</w:t>
      </w:r>
    </w:p>
    <w:p w14:paraId="31CFF0FD" w14:textId="77777777" w:rsidR="00B17E84" w:rsidRPr="00B17E84" w:rsidRDefault="00B17E84" w:rsidP="00414DEF">
      <w:pPr>
        <w:pStyle w:val="Prrafodelista"/>
        <w:spacing w:line="240" w:lineRule="auto"/>
        <w:rPr>
          <w:rFonts w:ascii="Verdana" w:hAnsi="Verdana"/>
          <w:sz w:val="20"/>
          <w:szCs w:val="20"/>
          <w:lang w:val="es-CR"/>
        </w:rPr>
      </w:pPr>
    </w:p>
    <w:p w14:paraId="115CD794" w14:textId="3912D0DD" w:rsidR="00B17E84" w:rsidRDefault="00B17E84" w:rsidP="00414DEF">
      <w:pPr>
        <w:pStyle w:val="Prrafodelista"/>
        <w:widowControl/>
        <w:numPr>
          <w:ilvl w:val="0"/>
          <w:numId w:val="26"/>
        </w:numPr>
        <w:spacing w:after="160" w:line="240" w:lineRule="auto"/>
        <w:ind w:left="0" w:firstLine="0"/>
        <w:jc w:val="both"/>
        <w:rPr>
          <w:rFonts w:ascii="Verdana" w:hAnsi="Verdana"/>
          <w:sz w:val="20"/>
          <w:szCs w:val="20"/>
          <w:lang w:val="es-CR"/>
        </w:rPr>
      </w:pPr>
      <w:r w:rsidRPr="00B17E84">
        <w:rPr>
          <w:rFonts w:ascii="Verdana" w:hAnsi="Verdana"/>
          <w:sz w:val="20"/>
          <w:szCs w:val="20"/>
          <w:lang w:val="es-CR"/>
        </w:rPr>
        <w:t>Resta considerar el argumento estatal sobre la falta de un tiempo adecuado para cumplir las recomendaciones de la Comisión</w:t>
      </w:r>
      <w:r w:rsidRPr="00C0362F">
        <w:rPr>
          <w:rFonts w:ascii="Verdana" w:hAnsi="Verdana"/>
          <w:sz w:val="20"/>
          <w:szCs w:val="20"/>
          <w:lang w:val="es-CR"/>
        </w:rPr>
        <w:t xml:space="preserve">. </w:t>
      </w:r>
      <w:r>
        <w:rPr>
          <w:rFonts w:ascii="Verdana" w:hAnsi="Verdana"/>
          <w:sz w:val="20"/>
          <w:szCs w:val="20"/>
          <w:lang w:val="es-CR"/>
        </w:rPr>
        <w:t>D</w:t>
      </w:r>
      <w:r w:rsidRPr="00C0362F">
        <w:rPr>
          <w:rFonts w:ascii="Verdana" w:hAnsi="Verdana"/>
          <w:sz w:val="20"/>
          <w:szCs w:val="20"/>
          <w:lang w:val="es-CR"/>
        </w:rPr>
        <w:t xml:space="preserve">e conformidad con los artículos 50 y 51 de la Convención, corresponde a la Comisión evaluar si el Estado cumplió o no las recomendaciones y, en su caso, si somete el caso a la Corte. </w:t>
      </w:r>
      <w:r>
        <w:rPr>
          <w:rFonts w:ascii="Verdana" w:hAnsi="Verdana"/>
          <w:sz w:val="20"/>
          <w:szCs w:val="20"/>
          <w:lang w:val="es-CR"/>
        </w:rPr>
        <w:t>U</w:t>
      </w:r>
      <w:r w:rsidRPr="00C0362F">
        <w:rPr>
          <w:rFonts w:ascii="Verdana" w:hAnsi="Verdana"/>
          <w:sz w:val="20"/>
          <w:szCs w:val="20"/>
          <w:lang w:val="es-CR"/>
        </w:rPr>
        <w:t>na vez iniciada la vía jurisdiccional, la Corte</w:t>
      </w:r>
      <w:r>
        <w:rPr>
          <w:rFonts w:ascii="Verdana" w:hAnsi="Verdana"/>
          <w:sz w:val="20"/>
          <w:szCs w:val="20"/>
          <w:lang w:val="es-CR"/>
        </w:rPr>
        <w:t xml:space="preserve"> debe </w:t>
      </w:r>
      <w:r w:rsidRPr="00C0362F">
        <w:rPr>
          <w:rFonts w:ascii="Verdana" w:hAnsi="Verdana"/>
          <w:sz w:val="20"/>
          <w:szCs w:val="20"/>
          <w:lang w:val="es-ES"/>
        </w:rPr>
        <w:t>determinar</w:t>
      </w:r>
      <w:r w:rsidRPr="00C0362F">
        <w:rPr>
          <w:rFonts w:ascii="Verdana" w:hAnsi="Verdana"/>
          <w:sz w:val="20"/>
          <w:szCs w:val="20"/>
          <w:lang w:val="es-CR"/>
        </w:rPr>
        <w:t xml:space="preserve"> si el Estado violó o no preceptos sustantivos de la Convención y, en </w:t>
      </w:r>
      <w:r>
        <w:rPr>
          <w:rFonts w:ascii="Verdana" w:hAnsi="Verdana"/>
          <w:sz w:val="20"/>
          <w:szCs w:val="20"/>
          <w:lang w:val="es-CR"/>
        </w:rPr>
        <w:t xml:space="preserve">su </w:t>
      </w:r>
      <w:r w:rsidRPr="00C0362F">
        <w:rPr>
          <w:rFonts w:ascii="Verdana" w:hAnsi="Verdana"/>
          <w:sz w:val="20"/>
          <w:szCs w:val="20"/>
          <w:lang w:val="es-CR"/>
        </w:rPr>
        <w:t xml:space="preserve">caso, establecer las consecuencias de dichas violaciones. </w:t>
      </w:r>
    </w:p>
    <w:p w14:paraId="31C70F0D" w14:textId="77777777" w:rsidR="00B17E84" w:rsidRPr="00774CDD" w:rsidRDefault="00B17E84" w:rsidP="00414DEF">
      <w:pPr>
        <w:pStyle w:val="Prrafodelista"/>
        <w:spacing w:line="240" w:lineRule="auto"/>
        <w:rPr>
          <w:rFonts w:ascii="Verdana" w:hAnsi="Verdana"/>
          <w:sz w:val="20"/>
          <w:szCs w:val="20"/>
          <w:lang w:val="es-CR"/>
        </w:rPr>
      </w:pPr>
    </w:p>
    <w:p w14:paraId="3C9927BC" w14:textId="7897CF6F" w:rsidR="00B17E84" w:rsidRPr="001E1607" w:rsidRDefault="00B17E84" w:rsidP="00414DEF">
      <w:pPr>
        <w:pStyle w:val="Prrafodelista"/>
        <w:widowControl/>
        <w:numPr>
          <w:ilvl w:val="0"/>
          <w:numId w:val="26"/>
        </w:numPr>
        <w:spacing w:after="160" w:line="240" w:lineRule="auto"/>
        <w:ind w:left="0" w:firstLine="0"/>
        <w:jc w:val="both"/>
        <w:rPr>
          <w:rFonts w:ascii="Verdana" w:hAnsi="Verdana"/>
          <w:sz w:val="20"/>
          <w:szCs w:val="20"/>
          <w:lang w:val="es-CR"/>
        </w:rPr>
      </w:pPr>
      <w:r w:rsidRPr="001E1607">
        <w:rPr>
          <w:rFonts w:ascii="Verdana" w:hAnsi="Verdana"/>
          <w:sz w:val="20"/>
          <w:szCs w:val="20"/>
          <w:lang w:val="es-CR"/>
        </w:rPr>
        <w:t>Este Tribunal destaca la importancia del examen que realiza la Comisión del cumplimiento de sus rec</w:t>
      </w:r>
      <w:r w:rsidRPr="007509F4">
        <w:rPr>
          <w:rFonts w:ascii="Verdana" w:hAnsi="Verdana"/>
          <w:sz w:val="20"/>
          <w:szCs w:val="20"/>
          <w:lang w:val="es-CR"/>
        </w:rPr>
        <w:t xml:space="preserve">omendaciones, pues resulta útil para </w:t>
      </w:r>
      <w:r w:rsidRPr="00792B32">
        <w:rPr>
          <w:rFonts w:ascii="Verdana" w:hAnsi="Verdana"/>
          <w:sz w:val="20"/>
          <w:szCs w:val="20"/>
          <w:lang w:val="es-CR"/>
        </w:rPr>
        <w:t>aprecia</w:t>
      </w:r>
      <w:r w:rsidRPr="004177CA">
        <w:rPr>
          <w:rFonts w:ascii="Verdana" w:hAnsi="Verdana"/>
          <w:sz w:val="20"/>
          <w:szCs w:val="20"/>
          <w:lang w:val="es-CR"/>
        </w:rPr>
        <w:t xml:space="preserve">r si el Estado </w:t>
      </w:r>
      <w:r w:rsidR="00405CFA">
        <w:rPr>
          <w:rFonts w:ascii="Verdana" w:hAnsi="Verdana"/>
          <w:sz w:val="20"/>
          <w:szCs w:val="20"/>
          <w:lang w:val="es-CR"/>
        </w:rPr>
        <w:t xml:space="preserve">ha </w:t>
      </w:r>
      <w:r w:rsidRPr="004177CA">
        <w:rPr>
          <w:rFonts w:ascii="Verdana" w:hAnsi="Verdana"/>
          <w:sz w:val="20"/>
          <w:szCs w:val="20"/>
          <w:lang w:val="es-CR"/>
        </w:rPr>
        <w:t>realiza</w:t>
      </w:r>
      <w:r w:rsidR="00405CFA">
        <w:rPr>
          <w:rFonts w:ascii="Verdana" w:hAnsi="Verdana"/>
          <w:sz w:val="20"/>
          <w:szCs w:val="20"/>
          <w:lang w:val="es-CR"/>
        </w:rPr>
        <w:t>do</w:t>
      </w:r>
      <w:r w:rsidRPr="004177CA">
        <w:rPr>
          <w:rFonts w:ascii="Verdana" w:hAnsi="Verdana"/>
          <w:sz w:val="20"/>
          <w:szCs w:val="20"/>
          <w:lang w:val="es-CR"/>
        </w:rPr>
        <w:t xml:space="preserve"> avances aptos para reparar adecuadamente a las personas consideradas víctimas y, en su caso, para procurar garantizar que las violaciones declaradas por la Comisión no se repitan. Asimismo, de ser el caso, dicho examen permite a la Comisión decidir si remite el caso a la Corte o si ello no sería procedente o conveniente en un caso concreto. Al respe</w:t>
      </w:r>
      <w:r w:rsidR="00D9051D">
        <w:rPr>
          <w:rFonts w:ascii="Verdana" w:hAnsi="Verdana"/>
          <w:sz w:val="20"/>
          <w:szCs w:val="20"/>
          <w:lang w:val="es-CR"/>
        </w:rPr>
        <w:t>c</w:t>
      </w:r>
      <w:r w:rsidRPr="004177CA">
        <w:rPr>
          <w:rFonts w:ascii="Verdana" w:hAnsi="Verdana"/>
          <w:sz w:val="20"/>
          <w:szCs w:val="20"/>
          <w:lang w:val="es-CR"/>
        </w:rPr>
        <w:t>to, las normas convencionales, estatutarias y reglamentarias aplicables no obligan a la Comisión a remitir un caso a este Tribunal</w:t>
      </w:r>
      <w:r>
        <w:rPr>
          <w:rStyle w:val="Refdenotaalpie"/>
          <w:rFonts w:ascii="Verdana" w:hAnsi="Verdana"/>
          <w:lang w:val="es-CR"/>
        </w:rPr>
        <w:footnoteReference w:id="15"/>
      </w:r>
      <w:r w:rsidRPr="001E1607">
        <w:rPr>
          <w:rFonts w:ascii="Verdana" w:hAnsi="Verdana"/>
          <w:sz w:val="20"/>
          <w:szCs w:val="20"/>
          <w:lang w:val="es-CR"/>
        </w:rPr>
        <w:t xml:space="preserve">. </w:t>
      </w:r>
    </w:p>
    <w:p w14:paraId="5A96321C" w14:textId="77777777" w:rsidR="00B17E84" w:rsidRPr="00774CDD" w:rsidRDefault="00B17E84" w:rsidP="00414DEF">
      <w:pPr>
        <w:pStyle w:val="Prrafodelista"/>
        <w:spacing w:line="240" w:lineRule="auto"/>
        <w:rPr>
          <w:rFonts w:ascii="Verdana" w:hAnsi="Verdana"/>
          <w:sz w:val="20"/>
          <w:szCs w:val="20"/>
          <w:lang w:val="es-CR"/>
        </w:rPr>
      </w:pPr>
    </w:p>
    <w:p w14:paraId="4F0D3BB4" w14:textId="0BB6C404" w:rsidR="00B17E84" w:rsidRDefault="00B17E84" w:rsidP="00414DEF">
      <w:pPr>
        <w:pStyle w:val="Prrafodelista"/>
        <w:widowControl/>
        <w:numPr>
          <w:ilvl w:val="0"/>
          <w:numId w:val="26"/>
        </w:numPr>
        <w:spacing w:after="160" w:line="240" w:lineRule="auto"/>
        <w:ind w:left="0" w:firstLine="0"/>
        <w:jc w:val="both"/>
        <w:rPr>
          <w:rFonts w:ascii="Verdana" w:hAnsi="Verdana"/>
          <w:sz w:val="20"/>
          <w:szCs w:val="20"/>
          <w:lang w:val="es-CR"/>
        </w:rPr>
      </w:pPr>
      <w:r>
        <w:rPr>
          <w:rFonts w:ascii="Verdana" w:hAnsi="Verdana"/>
          <w:sz w:val="20"/>
          <w:szCs w:val="20"/>
          <w:lang w:val="es-CR"/>
        </w:rPr>
        <w:t xml:space="preserve"> En el presente caso, el Estado presentó información a la Comisión luego de emitido el Informe de Fondo (</w:t>
      </w:r>
      <w:r>
        <w:rPr>
          <w:rFonts w:ascii="Verdana" w:hAnsi="Verdana"/>
          <w:i/>
          <w:sz w:val="20"/>
          <w:szCs w:val="20"/>
          <w:lang w:val="es-CR"/>
        </w:rPr>
        <w:t xml:space="preserve">supra </w:t>
      </w:r>
      <w:r>
        <w:rPr>
          <w:rFonts w:ascii="Verdana" w:hAnsi="Verdana"/>
          <w:sz w:val="20"/>
          <w:szCs w:val="20"/>
          <w:lang w:val="es-CR"/>
        </w:rPr>
        <w:t xml:space="preserve">nota a pie de página </w:t>
      </w:r>
      <w:r w:rsidR="00B80291">
        <w:rPr>
          <w:rFonts w:ascii="Verdana" w:hAnsi="Verdana"/>
          <w:sz w:val="20"/>
          <w:szCs w:val="20"/>
          <w:lang w:val="es-CR"/>
        </w:rPr>
        <w:t xml:space="preserve">3). </w:t>
      </w:r>
      <w:r>
        <w:rPr>
          <w:rFonts w:ascii="Verdana" w:hAnsi="Verdana"/>
          <w:sz w:val="20"/>
          <w:szCs w:val="20"/>
          <w:lang w:val="es-CR"/>
        </w:rPr>
        <w:t xml:space="preserve">Al hacerlo, indicó, por una parte, acciones de capacitación para la no reiteración de los hechos (además de recordar que había modificado el régimen legal de la prisión preventiva años antes de la decisión de fondo de la Comisión) y, por otra parte, intentos de localizar al señor Carranza a efectos de poder cumplir con la recomendación de reparar el daño que la Comisión determinó que él sufrió. Sobre esto, el Estado comunicó a la Comisión que el abogado del señor Carranza estaba anuente a que se solicite una prórroga y, luego, que el mismo abogado había informado que el señor Carranza estaría muerto.  </w:t>
      </w:r>
    </w:p>
    <w:p w14:paraId="49B858EF" w14:textId="77777777" w:rsidR="00B17E84" w:rsidRPr="00774CDD" w:rsidRDefault="00B17E84" w:rsidP="00414DEF">
      <w:pPr>
        <w:pStyle w:val="Prrafodelista"/>
        <w:spacing w:line="240" w:lineRule="auto"/>
        <w:rPr>
          <w:rFonts w:ascii="Verdana" w:hAnsi="Verdana"/>
          <w:sz w:val="20"/>
          <w:szCs w:val="20"/>
          <w:lang w:val="es-CR"/>
        </w:rPr>
      </w:pPr>
    </w:p>
    <w:p w14:paraId="40389BEC" w14:textId="3C004421" w:rsidR="00B17E84" w:rsidRPr="001E1607" w:rsidRDefault="00B17E84" w:rsidP="00414DEF">
      <w:pPr>
        <w:pStyle w:val="Prrafodelista"/>
        <w:widowControl/>
        <w:numPr>
          <w:ilvl w:val="0"/>
          <w:numId w:val="26"/>
        </w:numPr>
        <w:spacing w:after="160" w:line="240" w:lineRule="auto"/>
        <w:ind w:left="0" w:firstLine="0"/>
        <w:jc w:val="both"/>
        <w:rPr>
          <w:rFonts w:ascii="Verdana" w:hAnsi="Verdana"/>
          <w:sz w:val="20"/>
          <w:szCs w:val="20"/>
          <w:lang w:val="es-CR"/>
        </w:rPr>
      </w:pPr>
      <w:r>
        <w:rPr>
          <w:rFonts w:ascii="Verdana" w:hAnsi="Verdana"/>
          <w:sz w:val="20"/>
          <w:szCs w:val="20"/>
          <w:lang w:val="es-CR"/>
        </w:rPr>
        <w:t>P</w:t>
      </w:r>
      <w:r w:rsidRPr="001E1607">
        <w:rPr>
          <w:rFonts w:ascii="Verdana" w:hAnsi="Verdana"/>
          <w:sz w:val="20"/>
          <w:szCs w:val="20"/>
          <w:lang w:val="es-CR"/>
        </w:rPr>
        <w:t>ese a lo anterior, la Com</w:t>
      </w:r>
      <w:r>
        <w:rPr>
          <w:rFonts w:ascii="Verdana" w:hAnsi="Verdana"/>
          <w:sz w:val="20"/>
          <w:szCs w:val="20"/>
          <w:lang w:val="es-CR"/>
        </w:rPr>
        <w:t>i</w:t>
      </w:r>
      <w:r w:rsidRPr="001E1607">
        <w:rPr>
          <w:rFonts w:ascii="Verdana" w:hAnsi="Verdana"/>
          <w:sz w:val="20"/>
          <w:szCs w:val="20"/>
          <w:lang w:val="es-CR"/>
        </w:rPr>
        <w:t>sión expres</w:t>
      </w:r>
      <w:r w:rsidRPr="007509F4">
        <w:rPr>
          <w:rFonts w:ascii="Verdana" w:hAnsi="Verdana"/>
          <w:sz w:val="20"/>
          <w:szCs w:val="20"/>
          <w:lang w:val="es-CR"/>
        </w:rPr>
        <w:t xml:space="preserve">ó, al someter el caso a la Corte, </w:t>
      </w:r>
      <w:r w:rsidRPr="00792B32">
        <w:rPr>
          <w:rFonts w:ascii="Verdana" w:eastAsia="Verdana" w:hAnsi="Verdana" w:cs="Verdana"/>
          <w:sz w:val="20"/>
          <w:szCs w:val="20"/>
          <w:lang w:val="es-MX"/>
        </w:rPr>
        <w:t>que “no contó con información concreta sobre el cumplimiento de [sus] recomendaciones”</w:t>
      </w:r>
      <w:r>
        <w:rPr>
          <w:rFonts w:ascii="Verdana" w:eastAsia="Verdana" w:hAnsi="Verdana" w:cs="Verdana"/>
          <w:sz w:val="20"/>
          <w:szCs w:val="20"/>
          <w:lang w:val="es-MX"/>
        </w:rPr>
        <w:t xml:space="preserve"> </w:t>
      </w:r>
      <w:r>
        <w:rPr>
          <w:rFonts w:ascii="Verdana" w:eastAsia="Verdana" w:hAnsi="Verdana" w:cs="Verdana"/>
          <w:sz w:val="20"/>
          <w:szCs w:val="20"/>
          <w:lang w:val="es-MX"/>
        </w:rPr>
        <w:lastRenderedPageBreak/>
        <w:t>(</w:t>
      </w:r>
      <w:r>
        <w:rPr>
          <w:rFonts w:ascii="Verdana" w:eastAsia="Verdana" w:hAnsi="Verdana" w:cs="Verdana"/>
          <w:i/>
          <w:sz w:val="20"/>
          <w:szCs w:val="20"/>
          <w:lang w:val="es-MX"/>
        </w:rPr>
        <w:t xml:space="preserve">supra </w:t>
      </w:r>
      <w:r>
        <w:rPr>
          <w:rFonts w:ascii="Verdana" w:eastAsia="Verdana" w:hAnsi="Verdana" w:cs="Verdana"/>
          <w:sz w:val="20"/>
          <w:szCs w:val="20"/>
          <w:lang w:val="es-MX"/>
        </w:rPr>
        <w:t xml:space="preserve">párr. </w:t>
      </w:r>
      <w:r w:rsidR="00B80291">
        <w:rPr>
          <w:rFonts w:ascii="Verdana" w:eastAsia="Verdana" w:hAnsi="Verdana" w:cs="Verdana"/>
          <w:sz w:val="20"/>
          <w:szCs w:val="20"/>
          <w:lang w:val="es-MX"/>
        </w:rPr>
        <w:t>2</w:t>
      </w:r>
      <w:r>
        <w:rPr>
          <w:rFonts w:ascii="Verdana" w:eastAsia="Verdana" w:hAnsi="Verdana" w:cs="Verdana"/>
          <w:sz w:val="20"/>
          <w:szCs w:val="20"/>
          <w:lang w:val="es-MX"/>
        </w:rPr>
        <w:t xml:space="preserve">). Dado lo dicho, es necesario resaltar que, de conformidad con las normas antes referidas, </w:t>
      </w:r>
      <w:r>
        <w:rPr>
          <w:rFonts w:ascii="Verdana" w:hAnsi="Verdana"/>
          <w:sz w:val="20"/>
          <w:szCs w:val="20"/>
          <w:lang w:val="es-CR"/>
        </w:rPr>
        <w:t>c</w:t>
      </w:r>
      <w:r w:rsidRPr="001E1607">
        <w:rPr>
          <w:rFonts w:ascii="Verdana" w:hAnsi="Verdana"/>
          <w:sz w:val="20"/>
          <w:szCs w:val="20"/>
          <w:lang w:val="es-CR"/>
        </w:rPr>
        <w:t>orresponde a la Comisión</w:t>
      </w:r>
      <w:r>
        <w:rPr>
          <w:rFonts w:ascii="Verdana" w:hAnsi="Verdana"/>
          <w:sz w:val="20"/>
          <w:szCs w:val="20"/>
          <w:lang w:val="es-CR"/>
        </w:rPr>
        <w:t xml:space="preserve"> y no a esta Corte</w:t>
      </w:r>
      <w:r w:rsidRPr="007509F4">
        <w:rPr>
          <w:rFonts w:ascii="Verdana" w:hAnsi="Verdana"/>
          <w:sz w:val="20"/>
          <w:szCs w:val="20"/>
          <w:lang w:val="es-CR"/>
        </w:rPr>
        <w:t xml:space="preserve"> la apreciación de si el Estado cumplió o no las recomendaciones</w:t>
      </w:r>
      <w:r>
        <w:rPr>
          <w:rFonts w:ascii="Verdana" w:hAnsi="Verdana"/>
          <w:sz w:val="20"/>
          <w:szCs w:val="20"/>
          <w:lang w:val="es-CR"/>
        </w:rPr>
        <w:t xml:space="preserve"> contenidas en el Informe de Fondo</w:t>
      </w:r>
      <w:r w:rsidRPr="001E1607">
        <w:rPr>
          <w:rFonts w:ascii="Verdana" w:hAnsi="Verdana"/>
          <w:sz w:val="20"/>
          <w:szCs w:val="20"/>
          <w:lang w:val="es-CR"/>
        </w:rPr>
        <w:t xml:space="preserve"> y, en general, de las circunstancias relativas a las actuaciones seguidas luego de comunicad</w:t>
      </w:r>
      <w:r>
        <w:rPr>
          <w:rFonts w:ascii="Verdana" w:hAnsi="Verdana"/>
          <w:sz w:val="20"/>
          <w:szCs w:val="20"/>
          <w:lang w:val="es-CR"/>
        </w:rPr>
        <w:t>a dicha decisión</w:t>
      </w:r>
      <w:r w:rsidRPr="007509F4">
        <w:rPr>
          <w:rFonts w:ascii="Verdana" w:hAnsi="Verdana"/>
          <w:sz w:val="20"/>
          <w:szCs w:val="20"/>
          <w:lang w:val="es-CR"/>
        </w:rPr>
        <w:t>. No es, en principio, función de la Corte evaluar o revisar el criterio de la Comisión al respecto. En el caso</w:t>
      </w:r>
      <w:r w:rsidR="00405CFA">
        <w:rPr>
          <w:rFonts w:ascii="Verdana" w:hAnsi="Verdana"/>
          <w:sz w:val="20"/>
          <w:szCs w:val="20"/>
          <w:lang w:val="es-CR"/>
        </w:rPr>
        <w:t>,</w:t>
      </w:r>
      <w:r>
        <w:rPr>
          <w:rFonts w:ascii="Verdana" w:hAnsi="Verdana"/>
          <w:sz w:val="20"/>
          <w:szCs w:val="20"/>
          <w:lang w:val="es-CR"/>
        </w:rPr>
        <w:t xml:space="preserve"> </w:t>
      </w:r>
      <w:r w:rsidRPr="007509F4">
        <w:rPr>
          <w:rFonts w:ascii="Verdana" w:hAnsi="Verdana"/>
          <w:sz w:val="20"/>
          <w:szCs w:val="20"/>
          <w:lang w:val="es-CR"/>
        </w:rPr>
        <w:t>el Estado tuvo oportunidad de presentar información a la Comisión luego de que se le n</w:t>
      </w:r>
      <w:r w:rsidR="00405CFA">
        <w:rPr>
          <w:rFonts w:ascii="Verdana" w:hAnsi="Verdana"/>
          <w:sz w:val="20"/>
          <w:szCs w:val="20"/>
          <w:lang w:val="es-CR"/>
        </w:rPr>
        <w:t xml:space="preserve">otificara el Informe de Fondo, la cual </w:t>
      </w:r>
      <w:r w:rsidRPr="007509F4">
        <w:rPr>
          <w:rFonts w:ascii="Verdana" w:hAnsi="Verdana"/>
          <w:sz w:val="20"/>
          <w:szCs w:val="20"/>
          <w:lang w:val="es-CR"/>
        </w:rPr>
        <w:t>fue va</w:t>
      </w:r>
      <w:r w:rsidRPr="00792B32">
        <w:rPr>
          <w:rFonts w:ascii="Verdana" w:hAnsi="Verdana"/>
          <w:sz w:val="20"/>
          <w:szCs w:val="20"/>
          <w:lang w:val="es-CR"/>
        </w:rPr>
        <w:t>lorada por la Comisión. No se advierte, entonces, un error grave que afecte el derecho de defensa</w:t>
      </w:r>
      <w:r w:rsidRPr="001E1607">
        <w:rPr>
          <w:rFonts w:ascii="Verdana" w:hAnsi="Verdana"/>
          <w:sz w:val="20"/>
          <w:szCs w:val="20"/>
          <w:lang w:val="es-CR"/>
        </w:rPr>
        <w:t>.</w:t>
      </w:r>
      <w:r>
        <w:rPr>
          <w:rFonts w:ascii="Verdana" w:hAnsi="Verdana"/>
          <w:sz w:val="20"/>
          <w:szCs w:val="20"/>
          <w:lang w:val="es-CR"/>
        </w:rPr>
        <w:t xml:space="preserve"> </w:t>
      </w:r>
    </w:p>
    <w:p w14:paraId="56C27111" w14:textId="77777777" w:rsidR="00B17E84" w:rsidRPr="00C0362F" w:rsidRDefault="00B17E84" w:rsidP="00414DEF">
      <w:pPr>
        <w:pStyle w:val="Prrafodelista"/>
        <w:widowControl/>
        <w:spacing w:after="160" w:line="240" w:lineRule="auto"/>
        <w:ind w:left="0"/>
        <w:jc w:val="both"/>
        <w:rPr>
          <w:rFonts w:ascii="Verdana" w:hAnsi="Verdana"/>
          <w:sz w:val="20"/>
          <w:szCs w:val="20"/>
          <w:lang w:val="es-CR"/>
        </w:rPr>
      </w:pPr>
    </w:p>
    <w:p w14:paraId="7C788C30" w14:textId="77777777" w:rsidR="00B17E84" w:rsidRPr="00C0362F" w:rsidRDefault="00B17E84" w:rsidP="00414DEF">
      <w:pPr>
        <w:pStyle w:val="Prrafodelista"/>
        <w:widowControl/>
        <w:numPr>
          <w:ilvl w:val="0"/>
          <w:numId w:val="26"/>
        </w:numPr>
        <w:spacing w:after="0" w:line="240" w:lineRule="auto"/>
        <w:ind w:left="0" w:firstLine="0"/>
        <w:jc w:val="both"/>
        <w:rPr>
          <w:rFonts w:ascii="Verdana" w:hAnsi="Verdana"/>
          <w:sz w:val="20"/>
          <w:szCs w:val="20"/>
          <w:lang w:val="es-CR"/>
        </w:rPr>
      </w:pPr>
      <w:r w:rsidRPr="00C0362F">
        <w:rPr>
          <w:rFonts w:ascii="Verdana" w:hAnsi="Verdana"/>
          <w:sz w:val="20"/>
          <w:szCs w:val="20"/>
          <w:lang w:val="es-CR"/>
        </w:rPr>
        <w:t xml:space="preserve">Con base en todo lo expuesto, esta Corte desestima la excepción preliminar. </w:t>
      </w:r>
      <w:r w:rsidRPr="00C0362F">
        <w:rPr>
          <w:rStyle w:val="Refdenotaalpie"/>
          <w:rFonts w:ascii="Verdana" w:hAnsi="Verdana"/>
          <w:lang w:val="es-CR"/>
        </w:rPr>
        <w:t xml:space="preserve"> </w:t>
      </w:r>
    </w:p>
    <w:p w14:paraId="37A706AC" w14:textId="77777777" w:rsidR="00D1418C" w:rsidRPr="00BF09F5" w:rsidRDefault="00D1418C" w:rsidP="00414DEF">
      <w:pPr>
        <w:tabs>
          <w:tab w:val="left" w:pos="709"/>
        </w:tabs>
        <w:spacing w:after="0" w:line="240" w:lineRule="auto"/>
        <w:ind w:right="47"/>
        <w:jc w:val="center"/>
        <w:rPr>
          <w:rFonts w:ascii="Verdana" w:eastAsia="Verdana" w:hAnsi="Verdana" w:cs="Verdana"/>
          <w:b/>
          <w:sz w:val="20"/>
          <w:szCs w:val="20"/>
        </w:rPr>
      </w:pPr>
    </w:p>
    <w:p w14:paraId="1DB7CA6E" w14:textId="77777777" w:rsidR="00D1418C" w:rsidRPr="002E4A38" w:rsidRDefault="00D1418C" w:rsidP="00414DEF">
      <w:pPr>
        <w:pStyle w:val="Ttulo1"/>
        <w:spacing w:before="0" w:line="240" w:lineRule="auto"/>
        <w:jc w:val="center"/>
        <w:rPr>
          <w:rFonts w:ascii="Verdana" w:eastAsia="Verdana" w:hAnsi="Verdana" w:cs="Verdana"/>
          <w:color w:val="auto"/>
          <w:sz w:val="20"/>
          <w:szCs w:val="20"/>
          <w:lang w:val="es-MX"/>
        </w:rPr>
      </w:pPr>
      <w:bookmarkStart w:id="13" w:name="_Toc34817785"/>
      <w:r w:rsidRPr="002E4A38">
        <w:rPr>
          <w:rFonts w:ascii="Verdana" w:eastAsia="Verdana" w:hAnsi="Verdana" w:cs="Verdana"/>
          <w:color w:val="auto"/>
          <w:sz w:val="20"/>
          <w:szCs w:val="20"/>
          <w:lang w:val="es-MX"/>
        </w:rPr>
        <w:t>V</w:t>
      </w:r>
      <w:bookmarkEnd w:id="13"/>
    </w:p>
    <w:p w14:paraId="2EDD9E8D" w14:textId="77777777" w:rsidR="00D1418C" w:rsidRPr="002E4A38" w:rsidRDefault="00D1418C" w:rsidP="00414DEF">
      <w:pPr>
        <w:pStyle w:val="Ttulo1"/>
        <w:spacing w:before="0" w:line="240" w:lineRule="auto"/>
        <w:jc w:val="center"/>
        <w:rPr>
          <w:rFonts w:ascii="Verdana" w:eastAsia="Verdana" w:hAnsi="Verdana" w:cs="Verdana"/>
          <w:color w:val="auto"/>
          <w:sz w:val="20"/>
          <w:szCs w:val="20"/>
          <w:lang w:val="es-MX"/>
        </w:rPr>
      </w:pPr>
      <w:bookmarkStart w:id="14" w:name="_Toc34817786"/>
      <w:r w:rsidRPr="002E4A38">
        <w:rPr>
          <w:rFonts w:ascii="Verdana" w:eastAsia="Verdana" w:hAnsi="Verdana" w:cs="Verdana"/>
          <w:color w:val="auto"/>
          <w:sz w:val="20"/>
          <w:szCs w:val="20"/>
          <w:lang w:val="es-MX"/>
        </w:rPr>
        <w:t>PRUEBA</w:t>
      </w:r>
      <w:bookmarkEnd w:id="14"/>
    </w:p>
    <w:p w14:paraId="071850BB" w14:textId="77777777" w:rsidR="00D1418C" w:rsidRPr="00330C5E" w:rsidRDefault="00D1418C" w:rsidP="00414DEF">
      <w:pPr>
        <w:pStyle w:val="Prrafodelista"/>
        <w:spacing w:after="0" w:line="240" w:lineRule="auto"/>
        <w:ind w:left="0"/>
        <w:jc w:val="both"/>
        <w:rPr>
          <w:rFonts w:ascii="Verdana" w:eastAsia="Verdana" w:hAnsi="Verdana" w:cs="Verdana"/>
          <w:b/>
          <w:sz w:val="20"/>
          <w:szCs w:val="20"/>
          <w:lang w:val="es-CR"/>
        </w:rPr>
      </w:pPr>
    </w:p>
    <w:p w14:paraId="4ADDD0AD" w14:textId="2483CA46" w:rsidR="00D1418C" w:rsidRPr="00336A38" w:rsidRDefault="00D1418C" w:rsidP="00414DEF">
      <w:pPr>
        <w:pStyle w:val="Prrafodelista"/>
        <w:widowControl/>
        <w:numPr>
          <w:ilvl w:val="0"/>
          <w:numId w:val="26"/>
        </w:numPr>
        <w:spacing w:after="0" w:line="240" w:lineRule="auto"/>
        <w:ind w:left="0" w:firstLine="1"/>
        <w:jc w:val="both"/>
        <w:rPr>
          <w:sz w:val="20"/>
          <w:szCs w:val="20"/>
          <w:lang w:val="es-CR"/>
        </w:rPr>
      </w:pPr>
      <w:r w:rsidRPr="00336A38">
        <w:rPr>
          <w:rFonts w:ascii="Verdana" w:hAnsi="Verdana"/>
          <w:sz w:val="20"/>
          <w:szCs w:val="20"/>
          <w:lang w:val="es-CR"/>
        </w:rPr>
        <w:t>La Corte recibió documentos presentados como prueba por la Comisión y las partes junto con sus escritos principales (</w:t>
      </w:r>
      <w:r w:rsidRPr="00336A38">
        <w:rPr>
          <w:rFonts w:ascii="Verdana" w:hAnsi="Verdana"/>
          <w:i/>
          <w:sz w:val="20"/>
          <w:szCs w:val="20"/>
          <w:lang w:val="es-CR"/>
        </w:rPr>
        <w:t xml:space="preserve">supra </w:t>
      </w:r>
      <w:proofErr w:type="spellStart"/>
      <w:r w:rsidRPr="00335398">
        <w:rPr>
          <w:rFonts w:ascii="Verdana" w:hAnsi="Verdana"/>
          <w:sz w:val="20"/>
          <w:szCs w:val="20"/>
          <w:lang w:val="es-CR"/>
        </w:rPr>
        <w:t>párrs</w:t>
      </w:r>
      <w:proofErr w:type="spellEnd"/>
      <w:r w:rsidRPr="00335398">
        <w:rPr>
          <w:rFonts w:ascii="Verdana" w:hAnsi="Verdana"/>
          <w:sz w:val="20"/>
          <w:szCs w:val="20"/>
          <w:lang w:val="es-CR"/>
        </w:rPr>
        <w:t xml:space="preserve">. </w:t>
      </w:r>
      <w:r w:rsidR="00335398">
        <w:rPr>
          <w:rFonts w:ascii="Verdana" w:hAnsi="Verdana"/>
          <w:sz w:val="20"/>
          <w:szCs w:val="20"/>
          <w:lang w:val="es-CR"/>
        </w:rPr>
        <w:t xml:space="preserve">1, </w:t>
      </w:r>
      <w:r w:rsidRPr="00335398">
        <w:rPr>
          <w:rFonts w:ascii="Verdana" w:hAnsi="Verdana"/>
          <w:sz w:val="20"/>
          <w:szCs w:val="20"/>
          <w:lang w:val="es-CR"/>
        </w:rPr>
        <w:t>5 y 6</w:t>
      </w:r>
      <w:r w:rsidRPr="00336A38">
        <w:rPr>
          <w:rFonts w:ascii="Verdana" w:hAnsi="Verdana"/>
          <w:sz w:val="20"/>
          <w:szCs w:val="20"/>
          <w:lang w:val="es-CR"/>
        </w:rPr>
        <w:t>). Como en otros casos, este Tribunal admite aquellos documentos presentados oportunamente, por las partes y la Comisión, cuya admisibilidad no fue controvertida ni objetada</w:t>
      </w:r>
      <w:r w:rsidRPr="00336A38">
        <w:rPr>
          <w:rStyle w:val="Refdenotaalpie"/>
          <w:rFonts w:ascii="Verdana" w:hAnsi="Verdana"/>
          <w:sz w:val="20"/>
          <w:szCs w:val="20"/>
          <w:lang w:val="es-CR"/>
        </w:rPr>
        <w:footnoteReference w:id="16"/>
      </w:r>
      <w:r w:rsidRPr="00336A38">
        <w:rPr>
          <w:rFonts w:ascii="Verdana" w:hAnsi="Verdana"/>
          <w:sz w:val="20"/>
          <w:szCs w:val="20"/>
          <w:lang w:val="es-CR"/>
        </w:rPr>
        <w:t xml:space="preserve">. Por otra parte, la Corte recibió la declaración pericial de </w:t>
      </w:r>
      <w:proofErr w:type="spellStart"/>
      <w:r w:rsidRPr="00336A38">
        <w:rPr>
          <w:rFonts w:ascii="Verdana" w:hAnsi="Verdana"/>
          <w:sz w:val="20"/>
          <w:szCs w:val="20"/>
          <w:lang w:val="es-CR"/>
        </w:rPr>
        <w:t>Marcella</w:t>
      </w:r>
      <w:proofErr w:type="spellEnd"/>
      <w:r w:rsidRPr="00336A38">
        <w:rPr>
          <w:rFonts w:ascii="Verdana" w:hAnsi="Verdana"/>
          <w:sz w:val="20"/>
          <w:szCs w:val="20"/>
          <w:lang w:val="es-CR"/>
        </w:rPr>
        <w:t xml:space="preserve"> da </w:t>
      </w:r>
      <w:proofErr w:type="spellStart"/>
      <w:r w:rsidRPr="00336A38">
        <w:rPr>
          <w:rFonts w:ascii="Verdana" w:hAnsi="Verdana"/>
          <w:sz w:val="20"/>
          <w:szCs w:val="20"/>
          <w:lang w:val="es-CR"/>
        </w:rPr>
        <w:t>Fonte</w:t>
      </w:r>
      <w:proofErr w:type="spellEnd"/>
      <w:r w:rsidRPr="00336A38">
        <w:rPr>
          <w:rFonts w:ascii="Verdana" w:hAnsi="Verdana"/>
          <w:sz w:val="20"/>
          <w:szCs w:val="20"/>
          <w:lang w:val="es-CR"/>
        </w:rPr>
        <w:t xml:space="preserve"> Carvalho, propuesta por el Estado, que queda admitida. Se deja constancia de que el 7 de agosto de 2019 la Comisión desistió de la prueba pericial que había ofrecido y cuya recepción había sido dispuesta en la Resolución del Presidente de 23 de julio de 2019 (</w:t>
      </w:r>
      <w:r w:rsidRPr="00336A38">
        <w:rPr>
          <w:rFonts w:ascii="Verdana" w:hAnsi="Verdana"/>
          <w:i/>
          <w:sz w:val="20"/>
          <w:szCs w:val="20"/>
          <w:lang w:val="es-CR"/>
        </w:rPr>
        <w:t>supra</w:t>
      </w:r>
      <w:r w:rsidRPr="00336A38">
        <w:rPr>
          <w:rFonts w:ascii="Verdana" w:hAnsi="Verdana"/>
          <w:sz w:val="20"/>
          <w:szCs w:val="20"/>
          <w:lang w:val="es-CR"/>
        </w:rPr>
        <w:t xml:space="preserve"> párr.</w:t>
      </w:r>
      <w:r>
        <w:rPr>
          <w:rFonts w:ascii="Verdana" w:hAnsi="Verdana"/>
          <w:sz w:val="20"/>
          <w:szCs w:val="20"/>
          <w:lang w:val="es-CR"/>
        </w:rPr>
        <w:t xml:space="preserve"> 8</w:t>
      </w:r>
      <w:r w:rsidRPr="00336A38">
        <w:rPr>
          <w:rFonts w:ascii="Verdana" w:hAnsi="Verdana"/>
          <w:sz w:val="20"/>
          <w:szCs w:val="20"/>
          <w:lang w:val="es-CR"/>
        </w:rPr>
        <w:t xml:space="preserve">). </w:t>
      </w:r>
    </w:p>
    <w:p w14:paraId="3A9B6646" w14:textId="77777777" w:rsidR="00D1418C" w:rsidRPr="00BC42F3" w:rsidRDefault="00D1418C" w:rsidP="00414DEF">
      <w:pPr>
        <w:pStyle w:val="Prrafodelista"/>
        <w:widowControl/>
        <w:spacing w:after="0" w:line="240" w:lineRule="auto"/>
        <w:ind w:left="0"/>
        <w:jc w:val="both"/>
        <w:rPr>
          <w:rFonts w:ascii="Verdana" w:eastAsia="Verdana" w:hAnsi="Verdana" w:cs="Verdana"/>
          <w:spacing w:val="-1"/>
          <w:sz w:val="20"/>
          <w:szCs w:val="20"/>
          <w:lang w:val="es-MX"/>
        </w:rPr>
      </w:pPr>
    </w:p>
    <w:p w14:paraId="76AF54B5" w14:textId="77777777" w:rsidR="00D1418C" w:rsidRPr="002E4A38" w:rsidRDefault="00D1418C" w:rsidP="00414DEF">
      <w:pPr>
        <w:pStyle w:val="Ttulo1"/>
        <w:spacing w:before="0" w:line="240" w:lineRule="auto"/>
        <w:jc w:val="center"/>
        <w:rPr>
          <w:rFonts w:ascii="Verdana" w:eastAsia="Verdana" w:hAnsi="Verdana" w:cs="Verdana"/>
          <w:color w:val="auto"/>
          <w:sz w:val="20"/>
          <w:szCs w:val="20"/>
          <w:lang w:val="es-MX"/>
        </w:rPr>
      </w:pPr>
      <w:bookmarkStart w:id="15" w:name="_Toc34817787"/>
      <w:r w:rsidRPr="002E4A38">
        <w:rPr>
          <w:rFonts w:ascii="Verdana" w:eastAsia="Verdana" w:hAnsi="Verdana" w:cs="Verdana"/>
          <w:color w:val="auto"/>
          <w:sz w:val="20"/>
          <w:szCs w:val="20"/>
          <w:lang w:val="es-MX"/>
        </w:rPr>
        <w:t>VI</w:t>
      </w:r>
      <w:bookmarkEnd w:id="15"/>
    </w:p>
    <w:p w14:paraId="3F519652" w14:textId="77777777" w:rsidR="00D1418C" w:rsidRPr="002E4A38" w:rsidRDefault="00D1418C" w:rsidP="00414DEF">
      <w:pPr>
        <w:pStyle w:val="Ttulo1"/>
        <w:spacing w:before="0" w:line="240" w:lineRule="auto"/>
        <w:jc w:val="center"/>
        <w:rPr>
          <w:rFonts w:ascii="Verdana" w:eastAsia="Verdana" w:hAnsi="Verdana" w:cs="Verdana"/>
          <w:color w:val="auto"/>
          <w:sz w:val="20"/>
          <w:szCs w:val="20"/>
          <w:lang w:val="es-MX"/>
        </w:rPr>
      </w:pPr>
      <w:bookmarkStart w:id="16" w:name="_Toc34817788"/>
      <w:r w:rsidRPr="002E4A38">
        <w:rPr>
          <w:rFonts w:ascii="Verdana" w:eastAsia="Verdana" w:hAnsi="Verdana" w:cs="Verdana"/>
          <w:color w:val="auto"/>
          <w:sz w:val="20"/>
          <w:szCs w:val="20"/>
          <w:lang w:val="es-MX"/>
        </w:rPr>
        <w:t>HECHOS</w:t>
      </w:r>
      <w:bookmarkEnd w:id="16"/>
    </w:p>
    <w:p w14:paraId="3800974A" w14:textId="77777777" w:rsidR="00D1418C" w:rsidRPr="006A49DB" w:rsidRDefault="00D1418C" w:rsidP="00414DEF">
      <w:pPr>
        <w:spacing w:after="0" w:line="240" w:lineRule="auto"/>
        <w:rPr>
          <w:sz w:val="20"/>
          <w:szCs w:val="20"/>
        </w:rPr>
      </w:pPr>
    </w:p>
    <w:p w14:paraId="09B8C103" w14:textId="71427D34" w:rsidR="00D1418C" w:rsidRDefault="00D1418C" w:rsidP="00414DEF">
      <w:pPr>
        <w:pStyle w:val="Prrafodelista"/>
        <w:widowControl/>
        <w:numPr>
          <w:ilvl w:val="0"/>
          <w:numId w:val="26"/>
        </w:numPr>
        <w:spacing w:after="0" w:line="240" w:lineRule="auto"/>
        <w:ind w:left="0" w:firstLine="0"/>
        <w:jc w:val="both"/>
        <w:rPr>
          <w:rFonts w:ascii="Verdana" w:eastAsia="Verdana" w:hAnsi="Verdana" w:cs="Verdana"/>
          <w:sz w:val="20"/>
          <w:szCs w:val="20"/>
          <w:lang w:val="es-MX"/>
        </w:rPr>
      </w:pPr>
      <w:r w:rsidRPr="006A49DB">
        <w:rPr>
          <w:rFonts w:ascii="Verdana" w:eastAsia="Verdana" w:hAnsi="Verdana" w:cs="Verdana"/>
          <w:sz w:val="20"/>
          <w:szCs w:val="20"/>
          <w:lang w:val="es-MX"/>
        </w:rPr>
        <w:t>Los hechos del presente caso tratan sobre la privación de libertad del señor Carranza, en el marco de un proceso penal seguido en su contra. La Corte advierte que no existe controversia en cuanto a los hechos</w:t>
      </w:r>
      <w:r>
        <w:rPr>
          <w:rFonts w:ascii="Verdana" w:eastAsia="Verdana" w:hAnsi="Verdana" w:cs="Verdana"/>
          <w:sz w:val="20"/>
          <w:szCs w:val="20"/>
          <w:lang w:val="es-MX"/>
        </w:rPr>
        <w:t>.</w:t>
      </w:r>
      <w:r w:rsidRPr="006A49DB">
        <w:rPr>
          <w:rFonts w:ascii="Verdana" w:eastAsia="Verdana" w:hAnsi="Verdana" w:cs="Verdana"/>
          <w:sz w:val="20"/>
          <w:szCs w:val="20"/>
          <w:lang w:val="es-MX"/>
        </w:rPr>
        <w:t xml:space="preserve"> </w:t>
      </w:r>
      <w:r>
        <w:rPr>
          <w:rFonts w:ascii="Verdana" w:eastAsia="Verdana" w:hAnsi="Verdana" w:cs="Verdana"/>
          <w:sz w:val="20"/>
          <w:szCs w:val="20"/>
          <w:lang w:val="es-MX"/>
        </w:rPr>
        <w:t>L</w:t>
      </w:r>
      <w:r w:rsidRPr="006A49DB">
        <w:rPr>
          <w:rFonts w:ascii="Verdana" w:eastAsia="Verdana" w:hAnsi="Verdana" w:cs="Verdana"/>
          <w:sz w:val="20"/>
          <w:szCs w:val="20"/>
          <w:lang w:val="es-MX"/>
        </w:rPr>
        <w:t>a alusión a los mismos hecha por la Comisión, el representante y el Estado</w:t>
      </w:r>
      <w:r w:rsidR="00335398">
        <w:rPr>
          <w:rFonts w:ascii="Verdana" w:eastAsia="Verdana" w:hAnsi="Verdana" w:cs="Verdana"/>
          <w:sz w:val="20"/>
          <w:szCs w:val="20"/>
          <w:lang w:val="es-MX"/>
        </w:rPr>
        <w:t>,</w:t>
      </w:r>
      <w:r w:rsidRPr="006A49DB">
        <w:rPr>
          <w:rFonts w:ascii="Verdana" w:eastAsia="Verdana" w:hAnsi="Verdana" w:cs="Verdana"/>
          <w:sz w:val="20"/>
          <w:szCs w:val="20"/>
          <w:lang w:val="es-MX"/>
        </w:rPr>
        <w:t xml:space="preserve"> es </w:t>
      </w:r>
      <w:r>
        <w:rPr>
          <w:rFonts w:ascii="Verdana" w:eastAsia="Verdana" w:hAnsi="Verdana" w:cs="Verdana"/>
          <w:sz w:val="20"/>
          <w:szCs w:val="20"/>
          <w:lang w:val="es-MX"/>
        </w:rPr>
        <w:t xml:space="preserve">sustancialmente </w:t>
      </w:r>
      <w:r w:rsidRPr="006A49DB">
        <w:rPr>
          <w:rFonts w:ascii="Verdana" w:eastAsia="Verdana" w:hAnsi="Verdana" w:cs="Verdana"/>
          <w:sz w:val="20"/>
          <w:szCs w:val="20"/>
          <w:lang w:val="es-MX"/>
        </w:rPr>
        <w:t xml:space="preserve">concordante. Por ello, la Corte </w:t>
      </w:r>
      <w:r>
        <w:rPr>
          <w:rFonts w:ascii="Verdana" w:eastAsia="Verdana" w:hAnsi="Verdana" w:cs="Verdana"/>
          <w:sz w:val="20"/>
          <w:szCs w:val="20"/>
          <w:lang w:val="es-MX"/>
        </w:rPr>
        <w:t xml:space="preserve">los </w:t>
      </w:r>
      <w:r w:rsidRPr="006A49DB">
        <w:rPr>
          <w:rFonts w:ascii="Verdana" w:eastAsia="Verdana" w:hAnsi="Verdana" w:cs="Verdana"/>
          <w:sz w:val="20"/>
          <w:szCs w:val="20"/>
          <w:lang w:val="es-MX"/>
        </w:rPr>
        <w:t>da por establecidos con base en los señalamientos efectuado</w:t>
      </w:r>
      <w:r>
        <w:rPr>
          <w:rFonts w:ascii="Verdana" w:eastAsia="Verdana" w:hAnsi="Verdana" w:cs="Verdana"/>
          <w:sz w:val="20"/>
          <w:szCs w:val="20"/>
          <w:lang w:val="es-MX"/>
        </w:rPr>
        <w:t>s</w:t>
      </w:r>
      <w:r w:rsidRPr="006A49DB">
        <w:rPr>
          <w:rFonts w:ascii="Verdana" w:eastAsia="Verdana" w:hAnsi="Verdana" w:cs="Verdana"/>
          <w:sz w:val="20"/>
          <w:szCs w:val="20"/>
          <w:lang w:val="es-MX"/>
        </w:rPr>
        <w:t xml:space="preserve"> por la Comisión, el representante y el Estado en sus escritos principales (</w:t>
      </w:r>
      <w:r w:rsidRPr="006A49DB">
        <w:rPr>
          <w:rFonts w:ascii="Verdana" w:eastAsia="Verdana" w:hAnsi="Verdana" w:cs="Verdana"/>
          <w:i/>
          <w:sz w:val="20"/>
          <w:szCs w:val="20"/>
          <w:lang w:val="es-MX"/>
        </w:rPr>
        <w:t xml:space="preserve">supra </w:t>
      </w:r>
      <w:proofErr w:type="spellStart"/>
      <w:r w:rsidRPr="006A49DB">
        <w:rPr>
          <w:rFonts w:ascii="Verdana" w:eastAsia="Verdana" w:hAnsi="Verdana" w:cs="Verdana"/>
          <w:sz w:val="20"/>
          <w:szCs w:val="20"/>
          <w:lang w:val="es-MX"/>
        </w:rPr>
        <w:t>párr</w:t>
      </w:r>
      <w:r>
        <w:rPr>
          <w:rFonts w:ascii="Verdana" w:eastAsia="Verdana" w:hAnsi="Verdana" w:cs="Verdana"/>
          <w:sz w:val="20"/>
          <w:szCs w:val="20"/>
          <w:lang w:val="es-MX"/>
        </w:rPr>
        <w:t>s</w:t>
      </w:r>
      <w:proofErr w:type="spellEnd"/>
      <w:r w:rsidRPr="006A49DB">
        <w:rPr>
          <w:rFonts w:ascii="Verdana" w:eastAsia="Verdana" w:hAnsi="Verdana" w:cs="Verdana"/>
          <w:sz w:val="20"/>
          <w:szCs w:val="20"/>
          <w:lang w:val="es-MX"/>
        </w:rPr>
        <w:t xml:space="preserve">. </w:t>
      </w:r>
      <w:r w:rsidR="005B5E05">
        <w:rPr>
          <w:rFonts w:ascii="Verdana" w:eastAsia="Verdana" w:hAnsi="Verdana" w:cs="Verdana"/>
          <w:sz w:val="20"/>
          <w:szCs w:val="20"/>
          <w:lang w:val="es-MX"/>
        </w:rPr>
        <w:t>1, 5 y</w:t>
      </w:r>
      <w:r w:rsidR="00735049">
        <w:rPr>
          <w:rFonts w:ascii="Verdana" w:eastAsia="Verdana" w:hAnsi="Verdana" w:cs="Verdana"/>
          <w:sz w:val="20"/>
          <w:szCs w:val="20"/>
          <w:lang w:val="es-MX"/>
        </w:rPr>
        <w:t xml:space="preserve"> 6</w:t>
      </w:r>
      <w:r w:rsidRPr="006A49DB">
        <w:rPr>
          <w:rFonts w:ascii="Verdana" w:eastAsia="Verdana" w:hAnsi="Verdana" w:cs="Verdana"/>
          <w:sz w:val="20"/>
          <w:szCs w:val="20"/>
          <w:lang w:val="es-MX"/>
        </w:rPr>
        <w:t>)</w:t>
      </w:r>
      <w:r w:rsidR="00405CFA">
        <w:rPr>
          <w:rFonts w:ascii="Verdana" w:eastAsia="Verdana" w:hAnsi="Verdana" w:cs="Verdana"/>
          <w:sz w:val="20"/>
          <w:szCs w:val="20"/>
          <w:lang w:val="es-MX"/>
        </w:rPr>
        <w:t>, los cuales son consistentes con la prueba presentada</w:t>
      </w:r>
      <w:r>
        <w:rPr>
          <w:rFonts w:ascii="Verdana" w:eastAsia="Verdana" w:hAnsi="Verdana" w:cs="Verdana"/>
          <w:sz w:val="20"/>
          <w:szCs w:val="20"/>
          <w:lang w:val="es-MX"/>
        </w:rPr>
        <w:t xml:space="preserve">. Tales hechos son narrados seguidamente. </w:t>
      </w:r>
    </w:p>
    <w:p w14:paraId="0FD13C60" w14:textId="77777777" w:rsidR="00D1418C" w:rsidRDefault="00D1418C" w:rsidP="00414DEF">
      <w:pPr>
        <w:pStyle w:val="Prrafodelista"/>
        <w:widowControl/>
        <w:spacing w:after="0" w:line="240" w:lineRule="auto"/>
        <w:ind w:left="0"/>
        <w:jc w:val="both"/>
        <w:rPr>
          <w:rFonts w:ascii="Verdana" w:eastAsia="Verdana" w:hAnsi="Verdana" w:cs="Verdana"/>
          <w:sz w:val="20"/>
          <w:szCs w:val="20"/>
          <w:lang w:val="es-MX"/>
        </w:rPr>
      </w:pPr>
    </w:p>
    <w:p w14:paraId="6905EFC3" w14:textId="77777777" w:rsidR="00D1418C" w:rsidRPr="006A49DB" w:rsidRDefault="00D1418C" w:rsidP="00414DEF">
      <w:pPr>
        <w:pStyle w:val="Prrafodelista"/>
        <w:numPr>
          <w:ilvl w:val="0"/>
          <w:numId w:val="28"/>
        </w:numPr>
        <w:tabs>
          <w:tab w:val="left" w:pos="900"/>
        </w:tabs>
        <w:spacing w:after="0" w:line="240" w:lineRule="auto"/>
        <w:ind w:right="47"/>
        <w:outlineLvl w:val="1"/>
        <w:rPr>
          <w:rFonts w:ascii="Verdana" w:hAnsi="Verdana"/>
          <w:b/>
          <w:bCs/>
          <w:i/>
          <w:sz w:val="20"/>
          <w:szCs w:val="20"/>
          <w:lang w:val="es-MX"/>
        </w:rPr>
      </w:pPr>
      <w:bookmarkStart w:id="17" w:name="_Toc34817789"/>
      <w:r>
        <w:rPr>
          <w:rFonts w:ascii="Verdana" w:hAnsi="Verdana"/>
          <w:b/>
          <w:bCs/>
          <w:i/>
          <w:sz w:val="20"/>
          <w:szCs w:val="20"/>
          <w:lang w:val="es-MX"/>
        </w:rPr>
        <w:t>Inicio de actuaciones y detención del señor Carranza</w:t>
      </w:r>
      <w:bookmarkEnd w:id="17"/>
    </w:p>
    <w:p w14:paraId="23CBF138" w14:textId="77777777" w:rsidR="00D1418C" w:rsidRPr="006A49DB" w:rsidRDefault="00D1418C" w:rsidP="00414DEF">
      <w:pPr>
        <w:pStyle w:val="Prrafodelista"/>
        <w:widowControl/>
        <w:spacing w:after="0" w:line="240" w:lineRule="auto"/>
        <w:ind w:left="0"/>
        <w:jc w:val="both"/>
        <w:rPr>
          <w:rFonts w:ascii="Verdana" w:eastAsia="Verdana" w:hAnsi="Verdana" w:cs="Verdana"/>
          <w:b/>
          <w:sz w:val="16"/>
          <w:szCs w:val="16"/>
          <w:lang w:val="es-MX"/>
        </w:rPr>
      </w:pPr>
    </w:p>
    <w:p w14:paraId="61F1C1F7" w14:textId="5EFCD616" w:rsidR="00D1418C" w:rsidRPr="00AE7676" w:rsidRDefault="00D1418C" w:rsidP="00414DEF">
      <w:pPr>
        <w:pStyle w:val="Prrafodelista"/>
        <w:widowControl/>
        <w:numPr>
          <w:ilvl w:val="0"/>
          <w:numId w:val="26"/>
        </w:numPr>
        <w:spacing w:after="0" w:line="240" w:lineRule="auto"/>
        <w:ind w:left="0" w:firstLine="0"/>
        <w:jc w:val="both"/>
        <w:rPr>
          <w:rFonts w:ascii="Verdana" w:eastAsia="Verdana" w:hAnsi="Verdana" w:cs="Verdana"/>
          <w:b/>
          <w:sz w:val="16"/>
          <w:szCs w:val="16"/>
          <w:lang w:val="es-MX"/>
        </w:rPr>
      </w:pPr>
      <w:r w:rsidRPr="004B6DE4">
        <w:rPr>
          <w:rFonts w:ascii="Verdana" w:hAnsi="Verdana"/>
          <w:sz w:val="20"/>
          <w:szCs w:val="20"/>
          <w:lang w:val="es-CR"/>
        </w:rPr>
        <w:t>El 17 de ago</w:t>
      </w:r>
      <w:r>
        <w:rPr>
          <w:rFonts w:ascii="Verdana" w:hAnsi="Verdana"/>
          <w:sz w:val="20"/>
          <w:szCs w:val="20"/>
          <w:lang w:val="es-CR"/>
        </w:rPr>
        <w:t xml:space="preserve">sto de 1993 el Comisario a cargo de la estación policial en el Cantón de </w:t>
      </w:r>
      <w:proofErr w:type="spellStart"/>
      <w:r>
        <w:rPr>
          <w:rFonts w:ascii="Verdana" w:hAnsi="Verdana"/>
          <w:sz w:val="20"/>
          <w:szCs w:val="20"/>
          <w:lang w:val="es-CR"/>
        </w:rPr>
        <w:t>Yaguachi</w:t>
      </w:r>
      <w:proofErr w:type="spellEnd"/>
      <w:r>
        <w:rPr>
          <w:rFonts w:ascii="Verdana" w:hAnsi="Verdana"/>
          <w:sz w:val="20"/>
          <w:szCs w:val="20"/>
          <w:lang w:val="es-CR"/>
        </w:rPr>
        <w:t>, provincia del Guayas, ordenó instruir sumario y dictó auto cabeza de proceso contra el señor Carranza y otra persona.</w:t>
      </w:r>
      <w:r w:rsidRPr="004A1F5C">
        <w:rPr>
          <w:rFonts w:ascii="Verdana" w:hAnsi="Verdana"/>
          <w:sz w:val="20"/>
          <w:szCs w:val="20"/>
          <w:lang w:val="es-CR"/>
        </w:rPr>
        <w:t xml:space="preserve"> </w:t>
      </w:r>
      <w:r>
        <w:rPr>
          <w:rFonts w:ascii="Verdana" w:hAnsi="Verdana"/>
          <w:sz w:val="20"/>
          <w:szCs w:val="20"/>
          <w:lang w:val="es-CR"/>
        </w:rPr>
        <w:t xml:space="preserve">Las actuaciones se relacionaban con </w:t>
      </w:r>
      <w:r w:rsidR="00CE6A4F">
        <w:rPr>
          <w:rFonts w:ascii="Verdana" w:hAnsi="Verdana"/>
          <w:sz w:val="20"/>
          <w:szCs w:val="20"/>
          <w:lang w:val="es-CR"/>
        </w:rPr>
        <w:t xml:space="preserve">lo sucedido </w:t>
      </w:r>
      <w:r>
        <w:rPr>
          <w:rFonts w:ascii="Verdana" w:hAnsi="Verdana"/>
          <w:sz w:val="20"/>
          <w:szCs w:val="20"/>
          <w:lang w:val="es-CR"/>
        </w:rPr>
        <w:t xml:space="preserve">dos días antes, </w:t>
      </w:r>
      <w:r w:rsidR="00CE6A4F">
        <w:rPr>
          <w:rFonts w:ascii="Verdana" w:hAnsi="Verdana"/>
          <w:sz w:val="20"/>
          <w:szCs w:val="20"/>
          <w:lang w:val="es-CR"/>
        </w:rPr>
        <w:t xml:space="preserve">cuando </w:t>
      </w:r>
      <w:r>
        <w:rPr>
          <w:rFonts w:ascii="Verdana" w:hAnsi="Verdana"/>
          <w:sz w:val="20"/>
          <w:szCs w:val="20"/>
          <w:lang w:val="es-CR"/>
        </w:rPr>
        <w:t>un hombre perdió su vida luego de recibir impactos de bala, en un hecho presenciado por diversas personas. El Comisario ordenó oficiar a la Policía Rural para que se procediera a “las aprehensiones” del señor Carranza y la otra persona referida</w:t>
      </w:r>
      <w:r w:rsidR="00CE6A4F">
        <w:rPr>
          <w:rFonts w:ascii="Verdana" w:hAnsi="Verdana"/>
          <w:sz w:val="20"/>
          <w:szCs w:val="20"/>
          <w:lang w:val="es-CR"/>
        </w:rPr>
        <w:t xml:space="preserve">, porque </w:t>
      </w:r>
      <w:r w:rsidR="00CE6A4F" w:rsidRPr="00CE6A4F">
        <w:rPr>
          <w:rFonts w:ascii="Verdana" w:hAnsi="Verdana"/>
          <w:sz w:val="20"/>
          <w:szCs w:val="20"/>
          <w:lang w:val="es-CR"/>
        </w:rPr>
        <w:t>“se encontraban prófugos”</w:t>
      </w:r>
      <w:r>
        <w:rPr>
          <w:rFonts w:ascii="Verdana" w:hAnsi="Verdana"/>
          <w:sz w:val="20"/>
          <w:szCs w:val="20"/>
          <w:lang w:val="es-CR"/>
        </w:rPr>
        <w:t xml:space="preserve">. </w:t>
      </w:r>
      <w:r w:rsidRPr="00535ABE">
        <w:rPr>
          <w:rFonts w:ascii="Verdana" w:eastAsia="Verdana" w:hAnsi="Verdana" w:cs="Verdana"/>
          <w:sz w:val="20"/>
          <w:szCs w:val="20"/>
          <w:lang w:val="es-MX"/>
        </w:rPr>
        <w:t>Al respecto, el Estado expresó que ambos “se fugaron” el 15 de agosto de 1993, luego de los hechos referidos sucedidos en esa fecha</w:t>
      </w:r>
      <w:r>
        <w:rPr>
          <w:rStyle w:val="Refdenotaalpie"/>
          <w:rFonts w:ascii="Verdana" w:eastAsia="Verdana" w:hAnsi="Verdana" w:cs="Verdana"/>
          <w:sz w:val="20"/>
          <w:szCs w:val="20"/>
          <w:lang w:val="es-MX"/>
        </w:rPr>
        <w:footnoteReference w:id="17"/>
      </w:r>
      <w:r>
        <w:rPr>
          <w:rFonts w:ascii="Verdana" w:eastAsia="Verdana" w:hAnsi="Verdana" w:cs="Verdana"/>
          <w:b/>
          <w:sz w:val="16"/>
          <w:szCs w:val="16"/>
          <w:lang w:val="es-MX"/>
        </w:rPr>
        <w:t xml:space="preserve">. </w:t>
      </w:r>
      <w:r>
        <w:rPr>
          <w:rFonts w:ascii="Verdana" w:eastAsia="Verdana" w:hAnsi="Verdana" w:cs="Verdana"/>
          <w:sz w:val="20"/>
          <w:szCs w:val="20"/>
          <w:lang w:val="es-MX"/>
        </w:rPr>
        <w:t xml:space="preserve">Además, </w:t>
      </w:r>
      <w:r>
        <w:rPr>
          <w:rFonts w:ascii="Verdana" w:hAnsi="Verdana"/>
          <w:sz w:val="20"/>
          <w:szCs w:val="20"/>
          <w:lang w:val="es-CR"/>
        </w:rPr>
        <w:t xml:space="preserve">con base en el artículo 177 del Código de </w:t>
      </w:r>
      <w:r>
        <w:rPr>
          <w:rFonts w:ascii="Verdana" w:hAnsi="Verdana"/>
          <w:sz w:val="20"/>
          <w:szCs w:val="20"/>
          <w:lang w:val="es-CR"/>
        </w:rPr>
        <w:lastRenderedPageBreak/>
        <w:t>Procedimiento Penal, el Comisario ordenó la “detención preventiva” del señor Carranza y la otra persona que se había vinculado a</w:t>
      </w:r>
      <w:r w:rsidR="00CE6A4F">
        <w:rPr>
          <w:rFonts w:ascii="Verdana" w:hAnsi="Verdana"/>
          <w:sz w:val="20"/>
          <w:szCs w:val="20"/>
          <w:lang w:val="es-CR"/>
        </w:rPr>
        <w:t>l sumario</w:t>
      </w:r>
      <w:r>
        <w:rPr>
          <w:rFonts w:ascii="Verdana" w:hAnsi="Verdana"/>
          <w:sz w:val="20"/>
          <w:szCs w:val="20"/>
          <w:lang w:val="es-CR"/>
        </w:rPr>
        <w:t>.</w:t>
      </w:r>
    </w:p>
    <w:p w14:paraId="12AB0BA8" w14:textId="77777777" w:rsidR="00D1418C" w:rsidRPr="006A49DB" w:rsidRDefault="00D1418C" w:rsidP="00414DEF">
      <w:pPr>
        <w:pStyle w:val="Prrafodelista"/>
        <w:spacing w:line="240" w:lineRule="auto"/>
        <w:ind w:left="0"/>
        <w:rPr>
          <w:rFonts w:ascii="Verdana" w:hAnsi="Verdana"/>
          <w:sz w:val="20"/>
          <w:szCs w:val="20"/>
          <w:lang w:val="es-MX"/>
        </w:rPr>
      </w:pPr>
    </w:p>
    <w:p w14:paraId="2693FDAC" w14:textId="1ECA1E37" w:rsidR="005B5E05"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sidRPr="003A71F2">
        <w:rPr>
          <w:rFonts w:ascii="Verdana" w:hAnsi="Verdana"/>
          <w:sz w:val="20"/>
          <w:szCs w:val="20"/>
          <w:lang w:val="es-CR"/>
        </w:rPr>
        <w:t>El artículo 177 del C</w:t>
      </w:r>
      <w:r>
        <w:rPr>
          <w:rFonts w:ascii="Verdana" w:hAnsi="Verdana"/>
          <w:sz w:val="20"/>
          <w:szCs w:val="20"/>
          <w:lang w:val="es-CR"/>
        </w:rPr>
        <w:t>ódig</w:t>
      </w:r>
      <w:r w:rsidRPr="003A71F2">
        <w:rPr>
          <w:rFonts w:ascii="Verdana" w:hAnsi="Verdana"/>
          <w:sz w:val="20"/>
          <w:szCs w:val="20"/>
          <w:lang w:val="es-CR"/>
        </w:rPr>
        <w:t>o de Procedimiento Penal</w:t>
      </w:r>
      <w:r>
        <w:rPr>
          <w:rFonts w:ascii="Verdana" w:hAnsi="Verdana"/>
          <w:sz w:val="20"/>
          <w:szCs w:val="20"/>
          <w:lang w:val="es-CR"/>
        </w:rPr>
        <w:t xml:space="preserve"> (</w:t>
      </w:r>
      <w:r w:rsidR="00405CFA">
        <w:rPr>
          <w:rFonts w:ascii="Verdana" w:hAnsi="Verdana"/>
          <w:sz w:val="20"/>
          <w:szCs w:val="20"/>
          <w:lang w:val="es-CR"/>
        </w:rPr>
        <w:t xml:space="preserve">en adelante </w:t>
      </w:r>
      <w:r>
        <w:rPr>
          <w:rFonts w:ascii="Verdana" w:hAnsi="Verdana"/>
          <w:sz w:val="20"/>
          <w:szCs w:val="20"/>
          <w:lang w:val="es-CR"/>
        </w:rPr>
        <w:t>CPP)</w:t>
      </w:r>
      <w:r w:rsidRPr="003A71F2">
        <w:rPr>
          <w:rFonts w:ascii="Verdana" w:hAnsi="Verdana"/>
          <w:sz w:val="20"/>
          <w:szCs w:val="20"/>
          <w:lang w:val="es-CR"/>
        </w:rPr>
        <w:t xml:space="preserve">, como ya ha tenido oportunidad de constatar la Corte, </w:t>
      </w:r>
    </w:p>
    <w:p w14:paraId="002745FF" w14:textId="77777777" w:rsidR="005B5E05" w:rsidRPr="005B5E05" w:rsidRDefault="005B5E05" w:rsidP="00414DEF">
      <w:pPr>
        <w:pStyle w:val="Prrafodelista"/>
        <w:spacing w:line="240" w:lineRule="auto"/>
        <w:rPr>
          <w:rFonts w:ascii="Verdana" w:hAnsi="Verdana"/>
          <w:sz w:val="20"/>
          <w:szCs w:val="20"/>
          <w:lang w:val="es-CR"/>
        </w:rPr>
      </w:pPr>
    </w:p>
    <w:p w14:paraId="3CD96516" w14:textId="7811B634" w:rsidR="005B5E05" w:rsidRPr="005B5E05" w:rsidRDefault="005B5E05" w:rsidP="00414DEF">
      <w:pPr>
        <w:pStyle w:val="Prrafodelista"/>
        <w:widowControl/>
        <w:spacing w:after="160" w:line="240" w:lineRule="auto"/>
        <w:ind w:left="284" w:right="333"/>
        <w:jc w:val="both"/>
        <w:rPr>
          <w:rFonts w:ascii="Verdana" w:hAnsi="Verdana"/>
          <w:sz w:val="16"/>
          <w:szCs w:val="16"/>
          <w:lang w:val="es-CR"/>
        </w:rPr>
      </w:pPr>
      <w:r w:rsidRPr="005B5E05">
        <w:rPr>
          <w:rFonts w:ascii="Verdana" w:hAnsi="Verdana"/>
          <w:sz w:val="16"/>
          <w:szCs w:val="16"/>
          <w:lang w:val="es-CR"/>
        </w:rPr>
        <w:t>disponía que el juez, “</w:t>
      </w:r>
      <w:r w:rsidR="00D1418C" w:rsidRPr="005B5E05">
        <w:rPr>
          <w:rFonts w:ascii="Verdana" w:hAnsi="Verdana"/>
          <w:sz w:val="16"/>
          <w:szCs w:val="16"/>
          <w:lang w:val="es-CR"/>
        </w:rPr>
        <w:t>cuando lo creyere necesario</w:t>
      </w:r>
      <w:r w:rsidRPr="005B5E05">
        <w:rPr>
          <w:rFonts w:ascii="Verdana" w:hAnsi="Verdana"/>
          <w:sz w:val="16"/>
          <w:szCs w:val="16"/>
          <w:lang w:val="es-CR"/>
        </w:rPr>
        <w:t>”</w:t>
      </w:r>
      <w:r w:rsidR="00D1418C" w:rsidRPr="005B5E05">
        <w:rPr>
          <w:rFonts w:ascii="Verdana" w:hAnsi="Verdana"/>
          <w:sz w:val="16"/>
          <w:szCs w:val="16"/>
          <w:lang w:val="es-CR"/>
        </w:rPr>
        <w:t xml:space="preserve">, podía dictar auto de prisión preventiva siempre que aparezcan los siguientes datos procesales: a) indicios que hagan presumir la existencia de un delito que merezca pena privativa de libertad; y b) indicios que hagan presumir que el sindicado es autor o cómplice del delito que es objeto del proceso. Además, </w:t>
      </w:r>
      <w:r w:rsidRPr="005B5E05">
        <w:rPr>
          <w:rFonts w:ascii="Verdana" w:hAnsi="Verdana"/>
          <w:sz w:val="16"/>
          <w:szCs w:val="16"/>
          <w:lang w:val="es-CR"/>
        </w:rPr>
        <w:t>el mismo artículo ordenaba que “</w:t>
      </w:r>
      <w:r w:rsidR="00D1418C" w:rsidRPr="005B5E05">
        <w:rPr>
          <w:rFonts w:ascii="Verdana" w:hAnsi="Verdana"/>
          <w:sz w:val="16"/>
          <w:szCs w:val="16"/>
          <w:lang w:val="es-CR"/>
        </w:rPr>
        <w:t>[e]n el auto se precisará los indicios que fundamentan la orden de prisión”</w:t>
      </w:r>
      <w:r w:rsidR="00D1418C" w:rsidRPr="005B5E05">
        <w:rPr>
          <w:rStyle w:val="Refdenotaalpie"/>
          <w:rFonts w:ascii="Verdana" w:hAnsi="Verdana"/>
          <w:sz w:val="16"/>
          <w:szCs w:val="16"/>
          <w:lang w:val="es-CR"/>
        </w:rPr>
        <w:footnoteReference w:id="18"/>
      </w:r>
      <w:r w:rsidR="00D1418C" w:rsidRPr="005B5E05">
        <w:rPr>
          <w:rFonts w:ascii="Verdana" w:hAnsi="Verdana"/>
          <w:sz w:val="16"/>
          <w:szCs w:val="16"/>
          <w:lang w:val="es-CR"/>
        </w:rPr>
        <w:t xml:space="preserve">. </w:t>
      </w:r>
    </w:p>
    <w:p w14:paraId="745C96FB" w14:textId="77777777" w:rsidR="005B5E05" w:rsidRPr="005B5E05" w:rsidRDefault="005B5E05" w:rsidP="00414DEF">
      <w:pPr>
        <w:pStyle w:val="Prrafodelista"/>
        <w:spacing w:line="240" w:lineRule="auto"/>
        <w:rPr>
          <w:rFonts w:ascii="Verdana" w:hAnsi="Verdana"/>
          <w:sz w:val="20"/>
          <w:szCs w:val="20"/>
          <w:lang w:val="es-CR"/>
        </w:rPr>
      </w:pPr>
    </w:p>
    <w:p w14:paraId="46EAE739" w14:textId="7B07C6A5" w:rsidR="00D1418C" w:rsidRPr="003A71F2" w:rsidRDefault="00D1418C" w:rsidP="00414DEF">
      <w:pPr>
        <w:pStyle w:val="Prrafodelista"/>
        <w:widowControl/>
        <w:spacing w:after="160" w:line="240" w:lineRule="auto"/>
        <w:ind w:left="0"/>
        <w:jc w:val="both"/>
        <w:rPr>
          <w:rFonts w:ascii="Verdana" w:hAnsi="Verdana"/>
          <w:sz w:val="20"/>
          <w:szCs w:val="20"/>
          <w:lang w:val="es-CR"/>
        </w:rPr>
      </w:pPr>
      <w:r>
        <w:rPr>
          <w:rFonts w:ascii="Verdana" w:hAnsi="Verdana"/>
          <w:sz w:val="20"/>
          <w:szCs w:val="20"/>
          <w:lang w:val="es-CR"/>
        </w:rPr>
        <w:t>El CPP de 1983, en el que se insertaba el artículo 177 citado, aplicado en los hechos del caso, fue abrogado en forma expresa en el 2000</w:t>
      </w:r>
      <w:r>
        <w:rPr>
          <w:rStyle w:val="Refdenotaalpie"/>
          <w:rFonts w:ascii="Verdana" w:hAnsi="Verdana"/>
          <w:sz w:val="20"/>
          <w:szCs w:val="20"/>
          <w:lang w:val="es-CR"/>
        </w:rPr>
        <w:footnoteReference w:id="19"/>
      </w:r>
      <w:r>
        <w:rPr>
          <w:rFonts w:ascii="Verdana" w:hAnsi="Verdana"/>
          <w:sz w:val="20"/>
          <w:szCs w:val="20"/>
          <w:lang w:val="es-CR"/>
        </w:rPr>
        <w:t xml:space="preserve">. </w:t>
      </w:r>
    </w:p>
    <w:p w14:paraId="3CB56294" w14:textId="77777777" w:rsidR="00D1418C" w:rsidRPr="00530684" w:rsidRDefault="00D1418C" w:rsidP="00414DEF">
      <w:pPr>
        <w:pStyle w:val="Prrafodelista"/>
        <w:spacing w:line="240" w:lineRule="auto"/>
        <w:rPr>
          <w:rFonts w:ascii="Verdana" w:hAnsi="Verdana"/>
          <w:sz w:val="20"/>
          <w:szCs w:val="20"/>
          <w:lang w:val="es-CR"/>
        </w:rPr>
      </w:pPr>
    </w:p>
    <w:p w14:paraId="15939EAF" w14:textId="77777777" w:rsidR="00D1418C"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Pr>
          <w:rFonts w:ascii="Verdana" w:hAnsi="Verdana"/>
          <w:sz w:val="20"/>
          <w:szCs w:val="20"/>
          <w:lang w:val="es-CR"/>
        </w:rPr>
        <w:t xml:space="preserve">El 1 de octubre de 1993 el Comisario puso en conocimiento </w:t>
      </w:r>
      <w:r w:rsidRPr="001A2D00">
        <w:rPr>
          <w:rFonts w:ascii="Verdana" w:hAnsi="Verdana" w:cs="Times New Roman"/>
          <w:color w:val="212121"/>
          <w:sz w:val="20"/>
          <w:szCs w:val="20"/>
          <w:lang w:val="es-CR"/>
        </w:rPr>
        <w:t xml:space="preserve">del </w:t>
      </w:r>
      <w:r w:rsidRPr="001A2D00">
        <w:rPr>
          <w:rFonts w:ascii="Verdana" w:hAnsi="Verdana" w:cs="Times New Roman"/>
          <w:color w:val="0D0D0D"/>
          <w:sz w:val="20"/>
          <w:szCs w:val="20"/>
          <w:lang w:val="es-CR"/>
        </w:rPr>
        <w:t>Ju</w:t>
      </w:r>
      <w:r w:rsidRPr="001A2D00">
        <w:rPr>
          <w:rFonts w:ascii="Verdana" w:hAnsi="Verdana" w:cs="Times New Roman"/>
          <w:color w:val="353535"/>
          <w:sz w:val="20"/>
          <w:szCs w:val="20"/>
          <w:lang w:val="es-CR"/>
        </w:rPr>
        <w:t xml:space="preserve">zgado </w:t>
      </w:r>
      <w:r>
        <w:rPr>
          <w:rFonts w:ascii="Verdana" w:hAnsi="Verdana" w:cs="Times New Roman"/>
          <w:color w:val="212121"/>
          <w:sz w:val="20"/>
          <w:szCs w:val="20"/>
          <w:lang w:val="es-CR"/>
        </w:rPr>
        <w:t>11°</w:t>
      </w:r>
      <w:r w:rsidRPr="001A2D00">
        <w:rPr>
          <w:rFonts w:ascii="Verdana" w:hAnsi="Verdana" w:cs="Arial"/>
          <w:i/>
          <w:iCs/>
          <w:color w:val="353535"/>
          <w:sz w:val="20"/>
          <w:szCs w:val="20"/>
          <w:lang w:val="es-CR"/>
        </w:rPr>
        <w:t xml:space="preserve"> </w:t>
      </w:r>
      <w:r w:rsidRPr="001A2D00">
        <w:rPr>
          <w:rFonts w:ascii="Verdana" w:hAnsi="Verdana" w:cs="Times New Roman"/>
          <w:color w:val="212121"/>
          <w:sz w:val="20"/>
          <w:szCs w:val="20"/>
          <w:lang w:val="es-CR"/>
        </w:rPr>
        <w:t xml:space="preserve">de </w:t>
      </w:r>
      <w:r w:rsidRPr="001A2D00">
        <w:rPr>
          <w:rFonts w:ascii="Verdana" w:hAnsi="Verdana" w:cs="Times New Roman"/>
          <w:color w:val="0D0D0D"/>
          <w:sz w:val="20"/>
          <w:szCs w:val="20"/>
          <w:lang w:val="es-CR"/>
        </w:rPr>
        <w:t xml:space="preserve">lo </w:t>
      </w:r>
      <w:r w:rsidRPr="001A2D00">
        <w:rPr>
          <w:rFonts w:ascii="Verdana" w:hAnsi="Verdana" w:cs="Times New Roman"/>
          <w:color w:val="212121"/>
          <w:sz w:val="20"/>
          <w:szCs w:val="20"/>
          <w:lang w:val="es-CR"/>
        </w:rPr>
        <w:t>Penal del Guayas el proceso por asesinato seguido en contra de</w:t>
      </w:r>
      <w:r w:rsidRPr="001A2D00">
        <w:rPr>
          <w:rFonts w:ascii="Verdana" w:hAnsi="Verdana" w:cs="Times New Roman"/>
          <w:color w:val="0D0D0D"/>
          <w:sz w:val="20"/>
          <w:szCs w:val="20"/>
          <w:lang w:val="es-CR"/>
        </w:rPr>
        <w:t>l</w:t>
      </w:r>
      <w:r w:rsidRPr="001A2D00">
        <w:rPr>
          <w:rFonts w:ascii="Verdana" w:hAnsi="Verdana" w:cs="Times New Roman"/>
          <w:color w:val="353535"/>
          <w:sz w:val="20"/>
          <w:szCs w:val="20"/>
          <w:lang w:val="es-CR"/>
        </w:rPr>
        <w:t xml:space="preserve"> </w:t>
      </w:r>
      <w:r>
        <w:rPr>
          <w:rFonts w:ascii="Verdana" w:hAnsi="Verdana" w:cs="Times New Roman"/>
          <w:color w:val="212121"/>
          <w:sz w:val="20"/>
          <w:szCs w:val="20"/>
          <w:lang w:val="es-CR"/>
        </w:rPr>
        <w:t>señor Carranza y otra persona</w:t>
      </w:r>
      <w:r w:rsidRPr="001A2D00">
        <w:rPr>
          <w:rFonts w:ascii="Verdana" w:hAnsi="Verdana" w:cs="Arial"/>
          <w:color w:val="212121"/>
          <w:sz w:val="20"/>
          <w:szCs w:val="20"/>
          <w:lang w:val="es-CR"/>
        </w:rPr>
        <w:t xml:space="preserve">. </w:t>
      </w:r>
      <w:r w:rsidRPr="001A2D00">
        <w:rPr>
          <w:rFonts w:ascii="Verdana" w:hAnsi="Verdana" w:cs="Times New Roman"/>
          <w:color w:val="212121"/>
          <w:sz w:val="20"/>
          <w:szCs w:val="20"/>
          <w:lang w:val="es-CR"/>
        </w:rPr>
        <w:t xml:space="preserve">El </w:t>
      </w:r>
      <w:r w:rsidRPr="001A2D00">
        <w:rPr>
          <w:rFonts w:ascii="Verdana" w:hAnsi="Verdana" w:cs="Arial"/>
          <w:color w:val="212121"/>
          <w:sz w:val="20"/>
          <w:szCs w:val="20"/>
          <w:lang w:val="es-CR"/>
        </w:rPr>
        <w:t xml:space="preserve">28 </w:t>
      </w:r>
      <w:r w:rsidRPr="001A2D00">
        <w:rPr>
          <w:rFonts w:ascii="Verdana" w:hAnsi="Verdana" w:cs="Times New Roman"/>
          <w:color w:val="212121"/>
          <w:sz w:val="20"/>
          <w:szCs w:val="20"/>
          <w:lang w:val="es-CR"/>
        </w:rPr>
        <w:t>de</w:t>
      </w:r>
      <w:r>
        <w:rPr>
          <w:rFonts w:ascii="Verdana" w:hAnsi="Verdana" w:cs="Times New Roman"/>
          <w:color w:val="212121"/>
          <w:sz w:val="20"/>
          <w:szCs w:val="20"/>
          <w:lang w:val="es-CR"/>
        </w:rPr>
        <w:t>l mismo mes</w:t>
      </w:r>
      <w:r w:rsidRPr="001A2D00">
        <w:rPr>
          <w:rFonts w:ascii="Verdana" w:hAnsi="Verdana" w:cs="Times New Roman"/>
          <w:color w:val="212121"/>
          <w:sz w:val="20"/>
          <w:szCs w:val="20"/>
          <w:lang w:val="es-CR"/>
        </w:rPr>
        <w:t>, el Juzgado 11</w:t>
      </w:r>
      <w:r>
        <w:rPr>
          <w:rFonts w:ascii="Verdana" w:hAnsi="Verdana" w:cs="Arial"/>
          <w:i/>
          <w:iCs/>
          <w:color w:val="353535"/>
          <w:sz w:val="20"/>
          <w:szCs w:val="20"/>
          <w:lang w:val="es-CR"/>
        </w:rPr>
        <w:t>°</w:t>
      </w:r>
      <w:r w:rsidRPr="001A2D00">
        <w:rPr>
          <w:rFonts w:ascii="Verdana" w:hAnsi="Verdana" w:cs="Arial"/>
          <w:i/>
          <w:iCs/>
          <w:color w:val="353535"/>
          <w:sz w:val="20"/>
          <w:szCs w:val="20"/>
          <w:lang w:val="es-CR"/>
        </w:rPr>
        <w:t xml:space="preserve"> </w:t>
      </w:r>
      <w:r w:rsidRPr="001A2D00">
        <w:rPr>
          <w:rFonts w:ascii="Verdana" w:hAnsi="Verdana" w:cs="Times New Roman"/>
          <w:color w:val="212121"/>
          <w:sz w:val="20"/>
          <w:szCs w:val="20"/>
          <w:lang w:val="es-CR"/>
        </w:rPr>
        <w:t xml:space="preserve">de </w:t>
      </w:r>
      <w:r w:rsidRPr="001A2D00">
        <w:rPr>
          <w:rFonts w:ascii="Verdana" w:hAnsi="Verdana" w:cs="Times New Roman"/>
          <w:color w:val="0D0D0D"/>
          <w:sz w:val="20"/>
          <w:szCs w:val="20"/>
          <w:lang w:val="es-CR"/>
        </w:rPr>
        <w:t>l</w:t>
      </w:r>
      <w:r w:rsidRPr="001A2D00">
        <w:rPr>
          <w:rFonts w:ascii="Verdana" w:hAnsi="Verdana" w:cs="Times New Roman"/>
          <w:color w:val="353535"/>
          <w:sz w:val="20"/>
          <w:szCs w:val="20"/>
          <w:lang w:val="es-CR"/>
        </w:rPr>
        <w:t xml:space="preserve">o </w:t>
      </w:r>
      <w:r w:rsidRPr="001A2D00">
        <w:rPr>
          <w:rFonts w:ascii="Verdana" w:hAnsi="Verdana" w:cs="Times New Roman"/>
          <w:color w:val="212121"/>
          <w:sz w:val="20"/>
          <w:szCs w:val="20"/>
          <w:lang w:val="es-CR"/>
        </w:rPr>
        <w:t xml:space="preserve">Penal del Guayas </w:t>
      </w:r>
      <w:r>
        <w:rPr>
          <w:rFonts w:ascii="Verdana" w:hAnsi="Verdana" w:cs="Times New Roman"/>
          <w:color w:val="212121"/>
          <w:sz w:val="20"/>
          <w:szCs w:val="20"/>
          <w:lang w:val="es-CR"/>
        </w:rPr>
        <w:t xml:space="preserve">(en adelante “Juzgado 11º”) </w:t>
      </w:r>
      <w:r w:rsidRPr="001A2D00">
        <w:rPr>
          <w:rFonts w:ascii="Verdana" w:hAnsi="Verdana" w:cs="Times New Roman"/>
          <w:color w:val="353535"/>
          <w:sz w:val="20"/>
          <w:szCs w:val="20"/>
          <w:lang w:val="es-CR"/>
        </w:rPr>
        <w:t xml:space="preserve">se avocó </w:t>
      </w:r>
      <w:r w:rsidRPr="001A2D00">
        <w:rPr>
          <w:rFonts w:ascii="Verdana" w:hAnsi="Verdana" w:cs="Times New Roman"/>
          <w:color w:val="212121"/>
          <w:sz w:val="20"/>
          <w:szCs w:val="20"/>
          <w:lang w:val="es-CR"/>
        </w:rPr>
        <w:t>al conocimiento del proceso penal</w:t>
      </w:r>
      <w:r>
        <w:rPr>
          <w:rFonts w:ascii="Verdana" w:hAnsi="Verdana" w:cs="Arial"/>
          <w:color w:val="212121"/>
          <w:sz w:val="20"/>
          <w:szCs w:val="20"/>
          <w:lang w:val="es-CR"/>
        </w:rPr>
        <w:t xml:space="preserve">. </w:t>
      </w:r>
      <w:r w:rsidRPr="001A2D00">
        <w:rPr>
          <w:rFonts w:ascii="Verdana" w:hAnsi="Verdana" w:cs="Times New Roman"/>
          <w:color w:val="212121"/>
          <w:sz w:val="20"/>
          <w:szCs w:val="20"/>
          <w:lang w:val="es-CR"/>
        </w:rPr>
        <w:t xml:space="preserve">Asimismo, confirmó </w:t>
      </w:r>
      <w:r w:rsidRPr="001A2D00">
        <w:rPr>
          <w:rFonts w:ascii="Verdana" w:hAnsi="Verdana" w:cs="Times New Roman"/>
          <w:color w:val="0D0D0D"/>
          <w:sz w:val="20"/>
          <w:szCs w:val="20"/>
          <w:lang w:val="es-CR"/>
        </w:rPr>
        <w:t xml:space="preserve">las </w:t>
      </w:r>
      <w:r w:rsidRPr="001A2D00">
        <w:rPr>
          <w:rFonts w:ascii="Verdana" w:hAnsi="Verdana" w:cs="Times New Roman"/>
          <w:color w:val="212121"/>
          <w:sz w:val="20"/>
          <w:szCs w:val="20"/>
          <w:lang w:val="es-CR"/>
        </w:rPr>
        <w:t xml:space="preserve">órdenes de prisión dictadas y solicitó a </w:t>
      </w:r>
      <w:r w:rsidRPr="001A2D00">
        <w:rPr>
          <w:rFonts w:ascii="Verdana" w:hAnsi="Verdana" w:cs="Times New Roman"/>
          <w:color w:val="0D0D0D"/>
          <w:sz w:val="20"/>
          <w:szCs w:val="20"/>
          <w:lang w:val="es-CR"/>
        </w:rPr>
        <w:t xml:space="preserve">la </w:t>
      </w:r>
      <w:r w:rsidRPr="001A2D00">
        <w:rPr>
          <w:rFonts w:ascii="Verdana" w:hAnsi="Verdana" w:cs="Times New Roman"/>
          <w:color w:val="212121"/>
          <w:sz w:val="20"/>
          <w:szCs w:val="20"/>
          <w:lang w:val="es-CR"/>
        </w:rPr>
        <w:t xml:space="preserve">Policía Nacional adoptar </w:t>
      </w:r>
      <w:r w:rsidRPr="001A2D00">
        <w:rPr>
          <w:rFonts w:ascii="Verdana" w:hAnsi="Verdana" w:cs="Times New Roman"/>
          <w:color w:val="0D0D0D"/>
          <w:sz w:val="20"/>
          <w:szCs w:val="20"/>
          <w:lang w:val="es-CR"/>
        </w:rPr>
        <w:t>la</w:t>
      </w:r>
      <w:r w:rsidRPr="001A2D00">
        <w:rPr>
          <w:rFonts w:ascii="Verdana" w:hAnsi="Verdana" w:cs="Times New Roman"/>
          <w:color w:val="353535"/>
          <w:sz w:val="20"/>
          <w:szCs w:val="20"/>
          <w:lang w:val="es-CR"/>
        </w:rPr>
        <w:t xml:space="preserve">s </w:t>
      </w:r>
      <w:r w:rsidRPr="001A2D00">
        <w:rPr>
          <w:rFonts w:ascii="Verdana" w:hAnsi="Verdana" w:cs="Times New Roman"/>
          <w:color w:val="212121"/>
          <w:sz w:val="20"/>
          <w:szCs w:val="20"/>
          <w:lang w:val="es-CR"/>
        </w:rPr>
        <w:t>m</w:t>
      </w:r>
      <w:r>
        <w:rPr>
          <w:rFonts w:ascii="Verdana" w:hAnsi="Verdana" w:cs="Times New Roman"/>
          <w:color w:val="212121"/>
          <w:sz w:val="20"/>
          <w:szCs w:val="20"/>
          <w:lang w:val="es-CR"/>
        </w:rPr>
        <w:t>edidas para lograr la captura</w:t>
      </w:r>
      <w:r w:rsidRPr="001A2D00">
        <w:rPr>
          <w:rFonts w:ascii="Verdana" w:hAnsi="Verdana" w:cs="Arial"/>
          <w:color w:val="212121"/>
          <w:sz w:val="20"/>
          <w:szCs w:val="20"/>
          <w:lang w:val="es-CR"/>
        </w:rPr>
        <w:t xml:space="preserve">. </w:t>
      </w:r>
      <w:r>
        <w:rPr>
          <w:rFonts w:ascii="Verdana" w:hAnsi="Verdana" w:cs="Arial"/>
          <w:color w:val="212121"/>
          <w:sz w:val="20"/>
          <w:szCs w:val="20"/>
          <w:lang w:val="es-CR"/>
        </w:rPr>
        <w:t>La providencia respectiva expresó que</w:t>
      </w:r>
      <w:r w:rsidRPr="001A2D00">
        <w:rPr>
          <w:rFonts w:ascii="Verdana" w:hAnsi="Verdana" w:cs="Times New Roman"/>
          <w:color w:val="353535"/>
          <w:sz w:val="20"/>
          <w:szCs w:val="20"/>
          <w:lang w:val="es-CR"/>
        </w:rPr>
        <w:t xml:space="preserve"> </w:t>
      </w:r>
      <w:r>
        <w:rPr>
          <w:rFonts w:ascii="Verdana" w:hAnsi="Verdana" w:cs="Times New Roman"/>
          <w:color w:val="353535"/>
          <w:sz w:val="20"/>
          <w:szCs w:val="20"/>
          <w:lang w:val="es-CR"/>
        </w:rPr>
        <w:t>se presentaban los supuestos</w:t>
      </w:r>
      <w:r w:rsidRPr="001A2D00">
        <w:rPr>
          <w:rFonts w:ascii="Verdana" w:hAnsi="Verdana" w:cs="Times New Roman"/>
          <w:color w:val="212121"/>
          <w:sz w:val="20"/>
          <w:szCs w:val="20"/>
          <w:lang w:val="es-CR"/>
        </w:rPr>
        <w:t xml:space="preserve"> establecidos en el artículo 177 de</w:t>
      </w:r>
      <w:r>
        <w:rPr>
          <w:rFonts w:ascii="Verdana" w:hAnsi="Verdana" w:cs="Times New Roman"/>
          <w:color w:val="212121"/>
          <w:sz w:val="20"/>
          <w:szCs w:val="20"/>
          <w:lang w:val="es-CR"/>
        </w:rPr>
        <w:t>l CPP por lo que correspondía confirmar</w:t>
      </w:r>
      <w:r w:rsidRPr="001A2D00">
        <w:rPr>
          <w:rFonts w:ascii="Verdana" w:hAnsi="Verdana" w:cs="Times New Roman"/>
          <w:color w:val="212121"/>
          <w:sz w:val="20"/>
          <w:szCs w:val="20"/>
          <w:lang w:val="es-CR"/>
        </w:rPr>
        <w:t xml:space="preserve"> </w:t>
      </w:r>
      <w:r w:rsidRPr="001A2D00">
        <w:rPr>
          <w:rFonts w:ascii="Verdana" w:hAnsi="Verdana" w:cs="Times New Roman"/>
          <w:color w:val="0D0D0D"/>
          <w:sz w:val="20"/>
          <w:szCs w:val="20"/>
          <w:lang w:val="es-CR"/>
        </w:rPr>
        <w:t xml:space="preserve">las </w:t>
      </w:r>
      <w:r w:rsidRPr="001A2D00">
        <w:rPr>
          <w:rFonts w:ascii="Verdana" w:hAnsi="Verdana" w:cs="Times New Roman"/>
          <w:color w:val="212121"/>
          <w:sz w:val="20"/>
          <w:szCs w:val="20"/>
          <w:lang w:val="es-CR"/>
        </w:rPr>
        <w:t xml:space="preserve">órdenes de </w:t>
      </w:r>
      <w:r w:rsidRPr="001A2D00">
        <w:rPr>
          <w:rFonts w:ascii="Verdana" w:hAnsi="Verdana" w:cs="Times New Roman"/>
          <w:color w:val="0D0D0D"/>
          <w:sz w:val="20"/>
          <w:szCs w:val="20"/>
          <w:lang w:val="es-CR"/>
        </w:rPr>
        <w:t>prisione</w:t>
      </w:r>
      <w:r w:rsidRPr="001A2D00">
        <w:rPr>
          <w:rFonts w:ascii="Verdana" w:hAnsi="Verdana" w:cs="Times New Roman"/>
          <w:color w:val="353535"/>
          <w:sz w:val="20"/>
          <w:szCs w:val="20"/>
          <w:lang w:val="es-CR"/>
        </w:rPr>
        <w:t xml:space="preserve">s </w:t>
      </w:r>
      <w:r w:rsidRPr="001A2D00">
        <w:rPr>
          <w:rFonts w:ascii="Verdana" w:hAnsi="Verdana" w:cs="Times New Roman"/>
          <w:color w:val="0D0D0D"/>
          <w:sz w:val="20"/>
          <w:szCs w:val="20"/>
          <w:lang w:val="es-CR"/>
        </w:rPr>
        <w:t>preventi</w:t>
      </w:r>
      <w:r w:rsidRPr="001A2D00">
        <w:rPr>
          <w:rFonts w:ascii="Verdana" w:hAnsi="Verdana" w:cs="Times New Roman"/>
          <w:color w:val="353535"/>
          <w:sz w:val="20"/>
          <w:szCs w:val="20"/>
          <w:lang w:val="es-CR"/>
        </w:rPr>
        <w:t xml:space="preserve">vas </w:t>
      </w:r>
      <w:r w:rsidRPr="001A2D00">
        <w:rPr>
          <w:rFonts w:ascii="Verdana" w:hAnsi="Verdana" w:cs="Times New Roman"/>
          <w:color w:val="212121"/>
          <w:sz w:val="20"/>
          <w:szCs w:val="20"/>
          <w:lang w:val="es-CR"/>
        </w:rPr>
        <w:t xml:space="preserve">que </w:t>
      </w:r>
      <w:r w:rsidRPr="001A2D00">
        <w:rPr>
          <w:rFonts w:ascii="Verdana" w:hAnsi="Verdana" w:cs="Times New Roman"/>
          <w:color w:val="0D0D0D"/>
          <w:sz w:val="20"/>
          <w:szCs w:val="20"/>
          <w:lang w:val="es-CR"/>
        </w:rPr>
        <w:t>ha</w:t>
      </w:r>
      <w:r>
        <w:rPr>
          <w:rFonts w:ascii="Verdana" w:hAnsi="Verdana" w:cs="Times New Roman"/>
          <w:color w:val="0D0D0D"/>
          <w:sz w:val="20"/>
          <w:szCs w:val="20"/>
          <w:lang w:val="es-CR"/>
        </w:rPr>
        <w:t>bía</w:t>
      </w:r>
      <w:r w:rsidRPr="001A2D00">
        <w:rPr>
          <w:rFonts w:ascii="Verdana" w:hAnsi="Verdana" w:cs="Times New Roman"/>
          <w:color w:val="0D0D0D"/>
          <w:sz w:val="20"/>
          <w:szCs w:val="20"/>
          <w:lang w:val="es-CR"/>
        </w:rPr>
        <w:t xml:space="preserve"> </w:t>
      </w:r>
      <w:r w:rsidRPr="001A2D00">
        <w:rPr>
          <w:rFonts w:ascii="Verdana" w:hAnsi="Verdana" w:cs="Times New Roman"/>
          <w:color w:val="212121"/>
          <w:sz w:val="20"/>
          <w:szCs w:val="20"/>
          <w:lang w:val="es-CR"/>
        </w:rPr>
        <w:t xml:space="preserve">dictado el </w:t>
      </w:r>
      <w:r>
        <w:rPr>
          <w:rFonts w:ascii="Verdana" w:hAnsi="Verdana" w:cs="Times New Roman"/>
          <w:color w:val="212121"/>
          <w:sz w:val="20"/>
          <w:szCs w:val="20"/>
          <w:lang w:val="es-CR"/>
        </w:rPr>
        <w:t>Comisario</w:t>
      </w:r>
      <w:r w:rsidRPr="001A2D00">
        <w:rPr>
          <w:rFonts w:ascii="Verdana" w:hAnsi="Verdana" w:cs="Times New Roman"/>
          <w:color w:val="212121"/>
          <w:sz w:val="20"/>
          <w:szCs w:val="20"/>
          <w:lang w:val="es-CR"/>
        </w:rPr>
        <w:t>.</w:t>
      </w:r>
      <w:r>
        <w:rPr>
          <w:rFonts w:ascii="Verdana" w:hAnsi="Verdana" w:cs="Times New Roman"/>
          <w:color w:val="212121"/>
          <w:sz w:val="20"/>
          <w:szCs w:val="20"/>
          <w:lang w:val="es-CR"/>
        </w:rPr>
        <w:t xml:space="preserve"> </w:t>
      </w:r>
    </w:p>
    <w:p w14:paraId="5B3B6E06" w14:textId="77777777" w:rsidR="00D1418C" w:rsidRPr="0040244D" w:rsidRDefault="00D1418C" w:rsidP="00414DEF">
      <w:pPr>
        <w:pStyle w:val="Prrafodelista"/>
        <w:spacing w:line="240" w:lineRule="auto"/>
        <w:ind w:left="0"/>
        <w:rPr>
          <w:rFonts w:ascii="Verdana" w:hAnsi="Verdana"/>
          <w:sz w:val="20"/>
          <w:szCs w:val="20"/>
          <w:lang w:val="es-CR"/>
        </w:rPr>
      </w:pPr>
    </w:p>
    <w:p w14:paraId="11F8BCD7" w14:textId="4AF5F43A" w:rsidR="00D1418C"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Pr>
          <w:rFonts w:ascii="Verdana" w:hAnsi="Verdana"/>
          <w:sz w:val="20"/>
          <w:szCs w:val="20"/>
          <w:lang w:val="es-CR"/>
        </w:rPr>
        <w:t>En noviembre de 1994, el señor Carranza fue detenido por la Policía Rural ecuatoriana.</w:t>
      </w:r>
      <w:r w:rsidRPr="00C83C3E">
        <w:rPr>
          <w:rFonts w:ascii="Verdana" w:hAnsi="Verdana" w:cs="Times New Roman"/>
          <w:b/>
          <w:color w:val="212121"/>
          <w:sz w:val="20"/>
          <w:szCs w:val="20"/>
          <w:lang w:val="es-CR"/>
        </w:rPr>
        <w:t xml:space="preserve"> </w:t>
      </w:r>
      <w:r w:rsidRPr="0073603C">
        <w:rPr>
          <w:rFonts w:ascii="Verdana" w:hAnsi="Verdana" w:cs="Times New Roman"/>
          <w:color w:val="212121"/>
          <w:sz w:val="20"/>
          <w:szCs w:val="20"/>
          <w:lang w:val="es-CR"/>
        </w:rPr>
        <w:t>E</w:t>
      </w:r>
      <w:r>
        <w:rPr>
          <w:rFonts w:ascii="Verdana" w:hAnsi="Verdana"/>
          <w:sz w:val="20"/>
          <w:szCs w:val="20"/>
          <w:lang w:val="es-CR"/>
        </w:rPr>
        <w:t>l Informe de Fondo indicó que el señor Carranza expresó, en la petición inicial remitida a la Comisión, que fue detenido “sin haber sido sorprendido en delito flagrante” y sin que los funcionarios policiales exhibieren “orden de prisión”. La Comisión también expresó que el señor Carranza adujo haber estado incomunicado más de 24 horas, sin asistencia de abogado, y haber sido interrogado bajo “presión psicológica”. El representante describió lo</w:t>
      </w:r>
      <w:r w:rsidR="00405CFA">
        <w:rPr>
          <w:rFonts w:ascii="Verdana" w:hAnsi="Verdana"/>
          <w:sz w:val="20"/>
          <w:szCs w:val="20"/>
          <w:lang w:val="es-CR"/>
        </w:rPr>
        <w:t>s</w:t>
      </w:r>
      <w:r>
        <w:rPr>
          <w:rFonts w:ascii="Verdana" w:hAnsi="Verdana"/>
          <w:sz w:val="20"/>
          <w:szCs w:val="20"/>
          <w:lang w:val="es-CR"/>
        </w:rPr>
        <w:t xml:space="preserve"> hechos en forma concordante a lo expuesto. El Estado, al narrar los hechos del caso en su contestación, no se refirió </w:t>
      </w:r>
      <w:r w:rsidR="00EA1A7E">
        <w:rPr>
          <w:rFonts w:ascii="Verdana" w:hAnsi="Verdana"/>
          <w:sz w:val="20"/>
          <w:szCs w:val="20"/>
          <w:lang w:val="es-CR"/>
        </w:rPr>
        <w:t>a la detención</w:t>
      </w:r>
      <w:r>
        <w:rPr>
          <w:rFonts w:ascii="Verdana" w:hAnsi="Verdana"/>
          <w:sz w:val="20"/>
          <w:szCs w:val="20"/>
          <w:lang w:val="es-CR"/>
        </w:rPr>
        <w:t xml:space="preserve"> del señor Carranza ni a las demás alusiones recién formuladas. </w:t>
      </w:r>
    </w:p>
    <w:p w14:paraId="0E7143B9" w14:textId="77777777" w:rsidR="00D1418C" w:rsidRPr="001A10B8" w:rsidRDefault="00D1418C" w:rsidP="00414DEF">
      <w:pPr>
        <w:pStyle w:val="Prrafodelista"/>
        <w:spacing w:line="240" w:lineRule="auto"/>
        <w:ind w:left="0"/>
        <w:rPr>
          <w:rFonts w:ascii="Verdana" w:hAnsi="Verdana"/>
          <w:sz w:val="20"/>
          <w:szCs w:val="20"/>
          <w:lang w:val="es-CR"/>
        </w:rPr>
      </w:pPr>
    </w:p>
    <w:p w14:paraId="2A3FCBDA" w14:textId="77777777" w:rsidR="00D1418C" w:rsidRPr="003466E3" w:rsidRDefault="00D1418C" w:rsidP="00414DEF">
      <w:pPr>
        <w:pStyle w:val="Prrafodelista"/>
        <w:numPr>
          <w:ilvl w:val="0"/>
          <w:numId w:val="28"/>
        </w:numPr>
        <w:tabs>
          <w:tab w:val="left" w:pos="900"/>
        </w:tabs>
        <w:spacing w:after="0" w:line="240" w:lineRule="auto"/>
        <w:ind w:left="284" w:right="47" w:firstLine="0"/>
        <w:outlineLvl w:val="1"/>
        <w:rPr>
          <w:rFonts w:ascii="Verdana" w:hAnsi="Verdana"/>
          <w:b/>
          <w:bCs/>
          <w:i/>
          <w:sz w:val="20"/>
          <w:szCs w:val="20"/>
          <w:lang w:val="es-MX"/>
        </w:rPr>
      </w:pPr>
      <w:bookmarkStart w:id="18" w:name="_Toc34817790"/>
      <w:r>
        <w:rPr>
          <w:rFonts w:ascii="Verdana" w:hAnsi="Verdana"/>
          <w:b/>
          <w:bCs/>
          <w:i/>
          <w:sz w:val="20"/>
          <w:szCs w:val="20"/>
          <w:lang w:val="es-MX"/>
        </w:rPr>
        <w:t>Continuación del pro</w:t>
      </w:r>
      <w:r w:rsidRPr="003466E3">
        <w:rPr>
          <w:rFonts w:ascii="Verdana" w:hAnsi="Verdana"/>
          <w:b/>
          <w:bCs/>
          <w:i/>
          <w:sz w:val="20"/>
          <w:szCs w:val="20"/>
          <w:lang w:val="es-MX"/>
        </w:rPr>
        <w:t xml:space="preserve">ceso penal </w:t>
      </w:r>
      <w:r>
        <w:rPr>
          <w:rFonts w:ascii="Verdana" w:hAnsi="Verdana"/>
          <w:b/>
          <w:bCs/>
          <w:i/>
          <w:sz w:val="20"/>
          <w:szCs w:val="20"/>
          <w:lang w:val="es-MX"/>
        </w:rPr>
        <w:t>luego de la detención</w:t>
      </w:r>
      <w:bookmarkEnd w:id="18"/>
      <w:r>
        <w:rPr>
          <w:rFonts w:ascii="Verdana" w:hAnsi="Verdana"/>
          <w:b/>
          <w:bCs/>
          <w:i/>
          <w:sz w:val="20"/>
          <w:szCs w:val="20"/>
          <w:lang w:val="es-MX"/>
        </w:rPr>
        <w:t xml:space="preserve"> </w:t>
      </w:r>
    </w:p>
    <w:p w14:paraId="6C7C3426" w14:textId="77777777" w:rsidR="00D1418C" w:rsidRPr="001A10B8" w:rsidRDefault="00D1418C" w:rsidP="00414DEF">
      <w:pPr>
        <w:pStyle w:val="Prrafodelista"/>
        <w:spacing w:line="240" w:lineRule="auto"/>
        <w:ind w:left="0"/>
        <w:jc w:val="both"/>
        <w:rPr>
          <w:rFonts w:ascii="Verdana" w:hAnsi="Verdana"/>
          <w:sz w:val="20"/>
          <w:szCs w:val="20"/>
          <w:lang w:val="es-CR"/>
        </w:rPr>
      </w:pPr>
    </w:p>
    <w:p w14:paraId="73E97A5B" w14:textId="77777777" w:rsidR="00D1418C" w:rsidRPr="00E046D5" w:rsidRDefault="00D1418C" w:rsidP="00414DEF">
      <w:pPr>
        <w:pStyle w:val="Prrafodelista"/>
        <w:widowControl/>
        <w:numPr>
          <w:ilvl w:val="0"/>
          <w:numId w:val="26"/>
        </w:numPr>
        <w:spacing w:after="160" w:line="240" w:lineRule="auto"/>
        <w:ind w:left="0" w:firstLine="0"/>
        <w:jc w:val="both"/>
        <w:rPr>
          <w:rFonts w:ascii="Verdana" w:eastAsia="Verdana" w:hAnsi="Verdana" w:cs="Verdana"/>
          <w:b/>
          <w:sz w:val="20"/>
          <w:szCs w:val="20"/>
          <w:lang w:val="es-MX"/>
        </w:rPr>
      </w:pPr>
      <w:r w:rsidRPr="00E17B7E">
        <w:rPr>
          <w:rFonts w:ascii="Verdana" w:hAnsi="Verdana"/>
          <w:sz w:val="20"/>
          <w:szCs w:val="20"/>
          <w:lang w:val="es-CR"/>
        </w:rPr>
        <w:t xml:space="preserve">El 6 de diciembre de 1994 el señor </w:t>
      </w:r>
      <w:r w:rsidRPr="00E046D5">
        <w:rPr>
          <w:rFonts w:ascii="Verdana" w:hAnsi="Verdana" w:cs="Times New Roman"/>
          <w:color w:val="202020"/>
          <w:sz w:val="20"/>
          <w:szCs w:val="20"/>
          <w:lang w:val="es-CR"/>
        </w:rPr>
        <w:t>Carranza presentó un escrito ante el Juzgado 11°. En ese acto</w:t>
      </w:r>
      <w:r w:rsidRPr="00E046D5">
        <w:rPr>
          <w:rFonts w:ascii="Verdana" w:hAnsi="Verdana" w:cs="Arial"/>
          <w:i/>
          <w:iCs/>
          <w:color w:val="323232"/>
          <w:sz w:val="20"/>
          <w:szCs w:val="20"/>
          <w:lang w:val="es-CR"/>
        </w:rPr>
        <w:t xml:space="preserve"> </w:t>
      </w:r>
      <w:r w:rsidRPr="00E046D5">
        <w:rPr>
          <w:rFonts w:ascii="Verdana" w:hAnsi="Verdana" w:cs="Times New Roman"/>
          <w:color w:val="202020"/>
          <w:sz w:val="20"/>
          <w:szCs w:val="20"/>
          <w:lang w:val="es-CR"/>
        </w:rPr>
        <w:t xml:space="preserve">designó </w:t>
      </w:r>
      <w:r w:rsidRPr="00E046D5">
        <w:rPr>
          <w:rFonts w:ascii="Verdana" w:hAnsi="Verdana" w:cs="Times New Roman"/>
          <w:color w:val="323232"/>
          <w:sz w:val="20"/>
          <w:szCs w:val="20"/>
          <w:lang w:val="es-CR"/>
        </w:rPr>
        <w:t xml:space="preserve">a su abogado </w:t>
      </w:r>
      <w:r w:rsidRPr="00E046D5">
        <w:rPr>
          <w:rFonts w:ascii="Verdana" w:hAnsi="Verdana" w:cs="Times New Roman"/>
          <w:color w:val="202020"/>
          <w:sz w:val="20"/>
          <w:szCs w:val="20"/>
          <w:lang w:val="es-CR"/>
        </w:rPr>
        <w:t>defensor</w:t>
      </w:r>
      <w:r w:rsidRPr="00E046D5">
        <w:rPr>
          <w:rStyle w:val="Refdenotaalpie"/>
          <w:rFonts w:ascii="Verdana" w:hAnsi="Verdana" w:cs="Times New Roman"/>
          <w:color w:val="202020"/>
          <w:sz w:val="20"/>
          <w:szCs w:val="20"/>
          <w:lang w:val="es-CR"/>
        </w:rPr>
        <w:footnoteReference w:id="20"/>
      </w:r>
      <w:r w:rsidRPr="00E046D5">
        <w:rPr>
          <w:rFonts w:ascii="Verdana" w:hAnsi="Verdana" w:cs="Times New Roman"/>
          <w:color w:val="202020"/>
          <w:sz w:val="20"/>
          <w:szCs w:val="20"/>
          <w:lang w:val="es-CR"/>
        </w:rPr>
        <w:t xml:space="preserve"> y rechazó la denuncia en su contra, expresando que la misma “no </w:t>
      </w:r>
      <w:proofErr w:type="spellStart"/>
      <w:r w:rsidRPr="00E046D5">
        <w:rPr>
          <w:rFonts w:ascii="Verdana" w:hAnsi="Verdana" w:cs="Times New Roman"/>
          <w:color w:val="202020"/>
          <w:sz w:val="20"/>
          <w:szCs w:val="20"/>
          <w:lang w:val="es-CR"/>
        </w:rPr>
        <w:t>esta</w:t>
      </w:r>
      <w:proofErr w:type="spellEnd"/>
      <w:r w:rsidRPr="00E046D5">
        <w:rPr>
          <w:rFonts w:ascii="Verdana" w:hAnsi="Verdana" w:cs="Times New Roman"/>
          <w:color w:val="202020"/>
          <w:sz w:val="20"/>
          <w:szCs w:val="20"/>
          <w:lang w:val="es-CR"/>
        </w:rPr>
        <w:t>[</w:t>
      </w:r>
      <w:proofErr w:type="spellStart"/>
      <w:r w:rsidRPr="00E046D5">
        <w:rPr>
          <w:rFonts w:ascii="Verdana" w:hAnsi="Verdana" w:cs="Times New Roman"/>
          <w:color w:val="202020"/>
          <w:sz w:val="20"/>
          <w:szCs w:val="20"/>
          <w:lang w:val="es-CR"/>
        </w:rPr>
        <w:t>ba</w:t>
      </w:r>
      <w:proofErr w:type="spellEnd"/>
      <w:r w:rsidRPr="00E046D5">
        <w:rPr>
          <w:rFonts w:ascii="Verdana" w:hAnsi="Verdana" w:cs="Times New Roman"/>
          <w:color w:val="202020"/>
          <w:sz w:val="20"/>
          <w:szCs w:val="20"/>
          <w:lang w:val="es-CR"/>
        </w:rPr>
        <w:t>] apegada a la realidad de los hechos, […] ya que [él] jamás dispar[</w:t>
      </w:r>
      <w:proofErr w:type="spellStart"/>
      <w:r w:rsidRPr="00E046D5">
        <w:rPr>
          <w:rFonts w:ascii="Verdana" w:hAnsi="Verdana" w:cs="Times New Roman"/>
          <w:color w:val="202020"/>
          <w:sz w:val="20"/>
          <w:szCs w:val="20"/>
          <w:lang w:val="es-CR"/>
        </w:rPr>
        <w:t>ó</w:t>
      </w:r>
      <w:proofErr w:type="spellEnd"/>
      <w:r w:rsidRPr="00E046D5">
        <w:rPr>
          <w:rFonts w:ascii="Verdana" w:hAnsi="Verdana" w:cs="Times New Roman"/>
          <w:color w:val="202020"/>
          <w:sz w:val="20"/>
          <w:szCs w:val="20"/>
          <w:lang w:val="es-CR"/>
        </w:rPr>
        <w:t>] el arma”.</w:t>
      </w:r>
    </w:p>
    <w:p w14:paraId="5F07EC45" w14:textId="77777777" w:rsidR="00D1418C" w:rsidRPr="00E17B7E" w:rsidRDefault="00D1418C" w:rsidP="00414DEF">
      <w:pPr>
        <w:pStyle w:val="Prrafodelista"/>
        <w:spacing w:line="240" w:lineRule="auto"/>
        <w:ind w:left="0"/>
        <w:rPr>
          <w:rFonts w:ascii="Verdana" w:hAnsi="Verdana"/>
          <w:sz w:val="20"/>
          <w:szCs w:val="20"/>
          <w:lang w:val="es-MX"/>
        </w:rPr>
      </w:pPr>
    </w:p>
    <w:p w14:paraId="4DFFEC9B" w14:textId="77777777" w:rsidR="00D1418C" w:rsidRPr="00B61CAF"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sidRPr="00E17B7E">
        <w:rPr>
          <w:rFonts w:ascii="Verdana" w:hAnsi="Verdana"/>
          <w:sz w:val="20"/>
          <w:szCs w:val="20"/>
          <w:lang w:val="es-CR"/>
        </w:rPr>
        <w:lastRenderedPageBreak/>
        <w:t xml:space="preserve">El 7 de diciembre de 1994 el señor Carranza solicitó al </w:t>
      </w:r>
      <w:r w:rsidRPr="00E046D5">
        <w:rPr>
          <w:rFonts w:ascii="Verdana" w:hAnsi="Verdana" w:cs="Times New Roman"/>
          <w:color w:val="202020"/>
          <w:sz w:val="20"/>
          <w:szCs w:val="20"/>
          <w:lang w:val="es-CR"/>
        </w:rPr>
        <w:t>Juzgado 11° que se receptara su declaración y también tres testimonios</w:t>
      </w:r>
      <w:r w:rsidRPr="00B61CAF">
        <w:rPr>
          <w:rFonts w:ascii="Verdana" w:hAnsi="Verdana"/>
          <w:sz w:val="20"/>
          <w:szCs w:val="20"/>
          <w:lang w:val="es-CR"/>
        </w:rPr>
        <w:t>.</w:t>
      </w:r>
    </w:p>
    <w:p w14:paraId="6E24D278" w14:textId="77777777" w:rsidR="00D1418C" w:rsidRPr="00843413" w:rsidRDefault="00D1418C" w:rsidP="00414DEF">
      <w:pPr>
        <w:pStyle w:val="Prrafodelista"/>
        <w:spacing w:line="240" w:lineRule="auto"/>
        <w:ind w:left="0"/>
        <w:rPr>
          <w:rFonts w:ascii="Verdana" w:hAnsi="Verdana"/>
          <w:sz w:val="20"/>
          <w:szCs w:val="20"/>
          <w:lang w:val="es-CR"/>
        </w:rPr>
      </w:pPr>
    </w:p>
    <w:p w14:paraId="15AB2F78" w14:textId="041671D5" w:rsidR="00D1418C" w:rsidRPr="00E17B7E"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sidRPr="00E17B7E">
        <w:rPr>
          <w:rFonts w:ascii="Verdana" w:hAnsi="Verdana"/>
          <w:sz w:val="20"/>
          <w:szCs w:val="20"/>
          <w:lang w:val="es-CR"/>
        </w:rPr>
        <w:t xml:space="preserve">El 23 de febrero de 1995 </w:t>
      </w:r>
      <w:r w:rsidRPr="00E046D5">
        <w:rPr>
          <w:rFonts w:ascii="Verdana" w:hAnsi="Verdana" w:cs="Times New Roman"/>
          <w:color w:val="323232"/>
          <w:sz w:val="20"/>
          <w:szCs w:val="20"/>
          <w:lang w:val="es-CR"/>
        </w:rPr>
        <w:t>el</w:t>
      </w:r>
      <w:r w:rsidRPr="00E046D5">
        <w:rPr>
          <w:rFonts w:ascii="Verdana" w:hAnsi="Verdana" w:cs="Times New Roman"/>
          <w:color w:val="202020"/>
          <w:sz w:val="20"/>
          <w:szCs w:val="20"/>
          <w:lang w:val="es-CR"/>
        </w:rPr>
        <w:t xml:space="preserve"> Juzgado 11°</w:t>
      </w:r>
      <w:r w:rsidRPr="00E046D5">
        <w:rPr>
          <w:rFonts w:ascii="Verdana" w:hAnsi="Verdana" w:cs="Arial"/>
          <w:i/>
          <w:iCs/>
          <w:color w:val="202020"/>
          <w:sz w:val="20"/>
          <w:szCs w:val="20"/>
          <w:lang w:val="es-CR"/>
        </w:rPr>
        <w:t xml:space="preserve"> </w:t>
      </w:r>
      <w:r w:rsidRPr="00E046D5">
        <w:rPr>
          <w:rFonts w:ascii="Verdana" w:hAnsi="Verdana" w:cs="Times New Roman"/>
          <w:sz w:val="20"/>
          <w:szCs w:val="20"/>
          <w:lang w:val="es-CR"/>
        </w:rPr>
        <w:t>receptó los pedidos del se</w:t>
      </w:r>
      <w:r w:rsidR="00D563C3" w:rsidRPr="00E046D5">
        <w:rPr>
          <w:rFonts w:ascii="Verdana" w:hAnsi="Verdana" w:cs="Times New Roman"/>
          <w:sz w:val="20"/>
          <w:szCs w:val="20"/>
          <w:lang w:val="es-CR"/>
        </w:rPr>
        <w:t>ñor Carranza y dispuso su</w:t>
      </w:r>
      <w:r w:rsidRPr="00E046D5">
        <w:rPr>
          <w:rFonts w:ascii="Verdana" w:hAnsi="Verdana" w:cs="Times New Roman"/>
          <w:sz w:val="20"/>
          <w:szCs w:val="20"/>
          <w:lang w:val="es-CR"/>
        </w:rPr>
        <w:t xml:space="preserve"> traslado al Centro de Rehabilitación Social de Varones de Guayaquil, a fin de receptar el testimonio indagatorio.</w:t>
      </w:r>
    </w:p>
    <w:p w14:paraId="6348DB65" w14:textId="77777777" w:rsidR="00D1418C" w:rsidRPr="00E046D5" w:rsidRDefault="00D1418C" w:rsidP="00414DEF">
      <w:pPr>
        <w:pStyle w:val="Prrafodelista"/>
        <w:spacing w:line="240" w:lineRule="auto"/>
        <w:ind w:left="0"/>
        <w:rPr>
          <w:rFonts w:ascii="Verdana" w:hAnsi="Verdana" w:cs="Times New Roman"/>
          <w:color w:val="202020"/>
          <w:sz w:val="20"/>
          <w:szCs w:val="20"/>
          <w:lang w:val="es-CR"/>
        </w:rPr>
      </w:pPr>
    </w:p>
    <w:p w14:paraId="7D15927F" w14:textId="4F1C55E9" w:rsidR="00D1418C" w:rsidRPr="00E17B7E"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sidRPr="00E046D5">
        <w:rPr>
          <w:rFonts w:ascii="Verdana" w:hAnsi="Verdana" w:cs="Times New Roman"/>
          <w:color w:val="202020"/>
          <w:sz w:val="20"/>
          <w:szCs w:val="20"/>
          <w:lang w:val="es-CR"/>
        </w:rPr>
        <w:t xml:space="preserve">El 23 de agosto de 1995 se recibieron dos declaraciones testimoniales y el </w:t>
      </w:r>
      <w:r w:rsidRPr="00E046D5">
        <w:rPr>
          <w:rFonts w:ascii="Verdana" w:hAnsi="Verdana" w:cs="Times New Roman"/>
          <w:color w:val="323232"/>
          <w:sz w:val="20"/>
          <w:szCs w:val="20"/>
          <w:lang w:val="es-CR"/>
        </w:rPr>
        <w:t xml:space="preserve">25 </w:t>
      </w:r>
      <w:r w:rsidRPr="00E046D5">
        <w:rPr>
          <w:rFonts w:ascii="Verdana" w:hAnsi="Verdana" w:cs="Times New Roman"/>
          <w:color w:val="202020"/>
          <w:sz w:val="20"/>
          <w:szCs w:val="20"/>
          <w:lang w:val="es-CR"/>
        </w:rPr>
        <w:t xml:space="preserve">del mismo mes el señor </w:t>
      </w:r>
      <w:r w:rsidRPr="00E046D5">
        <w:rPr>
          <w:rFonts w:ascii="Verdana" w:hAnsi="Verdana" w:cs="Times New Roman"/>
          <w:color w:val="323232"/>
          <w:sz w:val="20"/>
          <w:szCs w:val="20"/>
          <w:lang w:val="es-CR"/>
        </w:rPr>
        <w:t xml:space="preserve">Carranza </w:t>
      </w:r>
      <w:r w:rsidRPr="00E046D5">
        <w:rPr>
          <w:rFonts w:ascii="Verdana" w:hAnsi="Verdana" w:cs="Times New Roman"/>
          <w:color w:val="202020"/>
          <w:sz w:val="20"/>
          <w:szCs w:val="20"/>
          <w:lang w:val="es-CR"/>
        </w:rPr>
        <w:t xml:space="preserve">rindió </w:t>
      </w:r>
      <w:r w:rsidRPr="00E046D5">
        <w:rPr>
          <w:rFonts w:ascii="Verdana" w:hAnsi="Verdana" w:cs="Times New Roman"/>
          <w:color w:val="323232"/>
          <w:sz w:val="20"/>
          <w:szCs w:val="20"/>
          <w:lang w:val="es-CR"/>
        </w:rPr>
        <w:t xml:space="preserve">su </w:t>
      </w:r>
      <w:r w:rsidRPr="00E046D5">
        <w:rPr>
          <w:rFonts w:ascii="Verdana" w:hAnsi="Verdana" w:cs="Times New Roman"/>
          <w:color w:val="202020"/>
          <w:sz w:val="20"/>
          <w:szCs w:val="20"/>
          <w:lang w:val="es-CR"/>
        </w:rPr>
        <w:t>testimonio indagatorio. Sostuvo que el 15 de agosto él se encontraba en el cantón de Durán, que no conoce a la persona que murió y que “no [había] cometido ningún delito”.</w:t>
      </w:r>
    </w:p>
    <w:p w14:paraId="3FA2060D" w14:textId="77777777" w:rsidR="00D1418C" w:rsidRPr="00E17B7E" w:rsidRDefault="00D1418C" w:rsidP="00414DEF">
      <w:pPr>
        <w:pStyle w:val="Prrafodelista"/>
        <w:spacing w:line="240" w:lineRule="auto"/>
        <w:ind w:left="0"/>
        <w:rPr>
          <w:rFonts w:ascii="Verdana" w:hAnsi="Verdana"/>
          <w:sz w:val="20"/>
          <w:szCs w:val="20"/>
          <w:lang w:val="es-CR"/>
        </w:rPr>
      </w:pPr>
    </w:p>
    <w:p w14:paraId="45CEFA90" w14:textId="77777777" w:rsidR="00D1418C" w:rsidRPr="00E17B7E"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sidRPr="00E17B7E">
        <w:rPr>
          <w:rFonts w:ascii="Verdana" w:hAnsi="Verdana"/>
          <w:sz w:val="20"/>
          <w:szCs w:val="20"/>
          <w:lang w:val="es-CR"/>
        </w:rPr>
        <w:t xml:space="preserve">El 11 de septiembre de 1995 el señor Carranza presentó un escrito al Juzgado 11° solicitando su liberación. Expresó que se encontraba recluido desde hacía “10 </w:t>
      </w:r>
      <w:proofErr w:type="gramStart"/>
      <w:r w:rsidRPr="00E17B7E">
        <w:rPr>
          <w:rFonts w:ascii="Verdana" w:hAnsi="Verdana"/>
          <w:sz w:val="20"/>
          <w:szCs w:val="20"/>
          <w:lang w:val="es-CR"/>
        </w:rPr>
        <w:t>meses[</w:t>
      </w:r>
      <w:proofErr w:type="gramEnd"/>
      <w:r w:rsidRPr="00E17B7E">
        <w:rPr>
          <w:rFonts w:ascii="Verdana" w:hAnsi="Verdana"/>
          <w:sz w:val="20"/>
          <w:szCs w:val="20"/>
          <w:lang w:val="es-CR"/>
        </w:rPr>
        <w:t>, …] culpado de un hecho que no había cometido”.</w:t>
      </w:r>
      <w:r w:rsidRPr="00E17B7E">
        <w:rPr>
          <w:rFonts w:ascii="Verdana" w:hAnsi="Verdana" w:cs="Times New Roman"/>
          <w:b/>
          <w:color w:val="212121"/>
          <w:sz w:val="20"/>
          <w:szCs w:val="20"/>
          <w:lang w:val="es-CR"/>
        </w:rPr>
        <w:t xml:space="preserve"> </w:t>
      </w:r>
      <w:r w:rsidRPr="00E17B7E">
        <w:rPr>
          <w:rFonts w:ascii="Verdana" w:eastAsia="Verdana" w:hAnsi="Verdana" w:cs="Verdana"/>
          <w:sz w:val="20"/>
          <w:szCs w:val="20"/>
          <w:lang w:val="es-MX"/>
        </w:rPr>
        <w:t>No consta respuesta a esta solicitud.</w:t>
      </w:r>
    </w:p>
    <w:p w14:paraId="306F37FC" w14:textId="77777777" w:rsidR="00D1418C" w:rsidRPr="00E17B7E" w:rsidRDefault="00D1418C" w:rsidP="00414DEF">
      <w:pPr>
        <w:pStyle w:val="Prrafodelista"/>
        <w:spacing w:line="240" w:lineRule="auto"/>
        <w:ind w:left="0"/>
        <w:rPr>
          <w:rFonts w:ascii="Verdana" w:hAnsi="Verdana"/>
          <w:sz w:val="20"/>
          <w:szCs w:val="20"/>
          <w:lang w:val="es-CR"/>
        </w:rPr>
      </w:pPr>
    </w:p>
    <w:p w14:paraId="35C397F0" w14:textId="0D18B466" w:rsidR="00D1418C" w:rsidRPr="00E17B7E" w:rsidRDefault="00D1418C" w:rsidP="00414DEF">
      <w:pPr>
        <w:pStyle w:val="Prrafodelista"/>
        <w:widowControl/>
        <w:numPr>
          <w:ilvl w:val="0"/>
          <w:numId w:val="26"/>
        </w:numPr>
        <w:spacing w:after="160" w:line="240" w:lineRule="auto"/>
        <w:ind w:left="0" w:firstLine="0"/>
        <w:jc w:val="both"/>
        <w:rPr>
          <w:rFonts w:ascii="Verdana" w:hAnsi="Verdana" w:cs="Times New Roman"/>
          <w:sz w:val="20"/>
          <w:szCs w:val="20"/>
          <w:lang w:val="es-ES"/>
        </w:rPr>
      </w:pPr>
      <w:r w:rsidRPr="00E17B7E">
        <w:rPr>
          <w:rFonts w:ascii="Verdana" w:hAnsi="Verdana" w:cs="Times New Roman"/>
          <w:sz w:val="20"/>
          <w:szCs w:val="20"/>
          <w:lang w:val="es-ES"/>
        </w:rPr>
        <w:t xml:space="preserve">El 13 de septiembre de 1995 el Juzgado 11° corrió traslado por 48 horas al </w:t>
      </w:r>
      <w:r w:rsidR="00D563C3" w:rsidRPr="00E046D5">
        <w:rPr>
          <w:rFonts w:ascii="Verdana" w:hAnsi="Verdana" w:cs="Times New Roman"/>
          <w:color w:val="202020"/>
          <w:sz w:val="20"/>
          <w:szCs w:val="20"/>
          <w:lang w:val="es-CR"/>
        </w:rPr>
        <w:t xml:space="preserve">Fiscal </w:t>
      </w:r>
      <w:r w:rsidR="00D563C3" w:rsidRPr="00E046D5">
        <w:rPr>
          <w:rFonts w:ascii="Verdana" w:hAnsi="Verdana" w:cs="Times New Roman"/>
          <w:color w:val="323232"/>
          <w:sz w:val="20"/>
          <w:szCs w:val="20"/>
          <w:lang w:val="es-CR"/>
        </w:rPr>
        <w:t xml:space="preserve">Séptimo </w:t>
      </w:r>
      <w:r w:rsidR="00D563C3" w:rsidRPr="00E046D5">
        <w:rPr>
          <w:rFonts w:ascii="Verdana" w:hAnsi="Verdana" w:cs="Times New Roman"/>
          <w:color w:val="202020"/>
          <w:sz w:val="20"/>
          <w:szCs w:val="20"/>
          <w:lang w:val="es-CR"/>
        </w:rPr>
        <w:t xml:space="preserve">de </w:t>
      </w:r>
      <w:r w:rsidR="00D563C3" w:rsidRPr="00E046D5">
        <w:rPr>
          <w:rFonts w:ascii="Verdana" w:hAnsi="Verdana" w:cs="Times New Roman"/>
          <w:color w:val="0C0C0C"/>
          <w:sz w:val="20"/>
          <w:szCs w:val="20"/>
          <w:lang w:val="es-CR"/>
        </w:rPr>
        <w:t>Tr</w:t>
      </w:r>
      <w:r w:rsidR="00D563C3" w:rsidRPr="00E046D5">
        <w:rPr>
          <w:rFonts w:ascii="Verdana" w:hAnsi="Verdana" w:cs="Times New Roman"/>
          <w:color w:val="323232"/>
          <w:sz w:val="20"/>
          <w:szCs w:val="20"/>
          <w:lang w:val="es-CR"/>
        </w:rPr>
        <w:t xml:space="preserve">ánsito del Guayas (en adelante “el Fiscal”) </w:t>
      </w:r>
      <w:r w:rsidRPr="00E17B7E">
        <w:rPr>
          <w:rFonts w:ascii="Verdana" w:hAnsi="Verdana" w:cs="Times New Roman"/>
          <w:sz w:val="20"/>
          <w:szCs w:val="20"/>
          <w:lang w:val="es-ES"/>
        </w:rPr>
        <w:t xml:space="preserve">para que emitiera su criterio en torno a la causa. No consta respuesta a este requerimiento.   </w:t>
      </w:r>
    </w:p>
    <w:p w14:paraId="2BA8A06A" w14:textId="77777777" w:rsidR="00D1418C" w:rsidRPr="00E17B7E" w:rsidRDefault="00D1418C" w:rsidP="00414DEF">
      <w:pPr>
        <w:pStyle w:val="Prrafodelista"/>
        <w:widowControl/>
        <w:spacing w:after="0" w:line="240" w:lineRule="auto"/>
        <w:ind w:left="0"/>
        <w:contextualSpacing w:val="0"/>
        <w:jc w:val="both"/>
        <w:rPr>
          <w:rFonts w:ascii="Verdana" w:hAnsi="Verdana"/>
          <w:sz w:val="20"/>
          <w:szCs w:val="20"/>
          <w:lang w:val="es-CR"/>
        </w:rPr>
      </w:pPr>
    </w:p>
    <w:p w14:paraId="7F1ECE42" w14:textId="7796C375" w:rsidR="00D1418C" w:rsidRPr="00E046D5" w:rsidRDefault="00D1418C" w:rsidP="00414DEF">
      <w:pPr>
        <w:pStyle w:val="Prrafodelista"/>
        <w:widowControl/>
        <w:numPr>
          <w:ilvl w:val="0"/>
          <w:numId w:val="26"/>
        </w:numPr>
        <w:spacing w:after="160" w:line="240" w:lineRule="auto"/>
        <w:ind w:left="0" w:firstLine="0"/>
        <w:jc w:val="both"/>
        <w:rPr>
          <w:rFonts w:ascii="Verdana" w:eastAsia="Verdana" w:hAnsi="Verdana" w:cs="Verdana"/>
          <w:b/>
          <w:sz w:val="20"/>
          <w:szCs w:val="20"/>
          <w:lang w:val="es-MX"/>
        </w:rPr>
      </w:pPr>
      <w:r w:rsidRPr="00E17B7E">
        <w:rPr>
          <w:rFonts w:ascii="Verdana" w:hAnsi="Verdana"/>
          <w:sz w:val="20"/>
          <w:szCs w:val="20"/>
          <w:lang w:val="es-CR"/>
        </w:rPr>
        <w:t xml:space="preserve">El 30 de septiembre de 1996 </w:t>
      </w:r>
      <w:r w:rsidRPr="00E046D5">
        <w:rPr>
          <w:rFonts w:ascii="Verdana" w:hAnsi="Verdana" w:cs="Times New Roman"/>
          <w:color w:val="414141"/>
          <w:sz w:val="20"/>
          <w:szCs w:val="20"/>
          <w:lang w:val="es-CR"/>
        </w:rPr>
        <w:t>e</w:t>
      </w:r>
      <w:r w:rsidRPr="00E046D5">
        <w:rPr>
          <w:rFonts w:ascii="Verdana" w:hAnsi="Verdana" w:cs="Times New Roman"/>
          <w:color w:val="0C0C0C"/>
          <w:sz w:val="20"/>
          <w:szCs w:val="20"/>
          <w:lang w:val="es-CR"/>
        </w:rPr>
        <w:t>l Juzgad</w:t>
      </w:r>
      <w:r w:rsidRPr="00E046D5">
        <w:rPr>
          <w:rFonts w:ascii="Verdana" w:hAnsi="Verdana" w:cs="Times New Roman"/>
          <w:color w:val="323232"/>
          <w:sz w:val="20"/>
          <w:szCs w:val="20"/>
          <w:lang w:val="es-CR"/>
        </w:rPr>
        <w:t xml:space="preserve">o </w:t>
      </w:r>
      <w:r w:rsidRPr="00E046D5">
        <w:rPr>
          <w:rFonts w:ascii="Verdana" w:hAnsi="Verdana" w:cs="Times New Roman"/>
          <w:color w:val="202020"/>
          <w:sz w:val="20"/>
          <w:szCs w:val="20"/>
          <w:lang w:val="es-CR"/>
        </w:rPr>
        <w:t>11°</w:t>
      </w:r>
      <w:r w:rsidRPr="00E046D5">
        <w:rPr>
          <w:rFonts w:ascii="Verdana" w:hAnsi="Verdana" w:cs="Arial"/>
          <w:color w:val="323232"/>
          <w:sz w:val="20"/>
          <w:szCs w:val="20"/>
          <w:lang w:val="es-CR"/>
        </w:rPr>
        <w:t xml:space="preserve"> </w:t>
      </w:r>
      <w:r w:rsidRPr="00E046D5">
        <w:rPr>
          <w:rFonts w:ascii="Verdana" w:hAnsi="Verdana" w:cs="Times New Roman"/>
          <w:color w:val="202020"/>
          <w:sz w:val="20"/>
          <w:szCs w:val="20"/>
          <w:lang w:val="es-CR"/>
        </w:rPr>
        <w:t xml:space="preserve">consideró concluido </w:t>
      </w:r>
      <w:r w:rsidRPr="00E046D5">
        <w:rPr>
          <w:rFonts w:ascii="Verdana" w:hAnsi="Verdana" w:cs="Times New Roman"/>
          <w:color w:val="323232"/>
          <w:sz w:val="20"/>
          <w:szCs w:val="20"/>
          <w:lang w:val="es-CR"/>
        </w:rPr>
        <w:t>e</w:t>
      </w:r>
      <w:r w:rsidRPr="00E046D5">
        <w:rPr>
          <w:rFonts w:ascii="Verdana" w:hAnsi="Verdana" w:cs="Times New Roman"/>
          <w:color w:val="0C0C0C"/>
          <w:sz w:val="20"/>
          <w:szCs w:val="20"/>
          <w:lang w:val="es-CR"/>
        </w:rPr>
        <w:t xml:space="preserve">l </w:t>
      </w:r>
      <w:r w:rsidRPr="00E046D5">
        <w:rPr>
          <w:rFonts w:ascii="Verdana" w:hAnsi="Verdana" w:cs="Times New Roman"/>
          <w:color w:val="323232"/>
          <w:sz w:val="20"/>
          <w:szCs w:val="20"/>
          <w:lang w:val="es-CR"/>
        </w:rPr>
        <w:t xml:space="preserve">sumario y </w:t>
      </w:r>
      <w:r w:rsidRPr="00E046D5">
        <w:rPr>
          <w:rFonts w:ascii="Verdana" w:hAnsi="Verdana" w:cs="Times New Roman"/>
          <w:color w:val="202020"/>
          <w:sz w:val="20"/>
          <w:szCs w:val="20"/>
          <w:lang w:val="es-CR"/>
        </w:rPr>
        <w:t>dispus</w:t>
      </w:r>
      <w:r w:rsidRPr="00E046D5">
        <w:rPr>
          <w:rFonts w:ascii="Verdana" w:hAnsi="Verdana" w:cs="Times New Roman"/>
          <w:color w:val="414141"/>
          <w:sz w:val="20"/>
          <w:szCs w:val="20"/>
          <w:lang w:val="es-CR"/>
        </w:rPr>
        <w:t xml:space="preserve">o </w:t>
      </w:r>
      <w:r w:rsidRPr="00E046D5">
        <w:rPr>
          <w:rFonts w:ascii="Verdana" w:hAnsi="Verdana" w:cs="Times New Roman"/>
          <w:color w:val="202020"/>
          <w:sz w:val="20"/>
          <w:szCs w:val="20"/>
          <w:lang w:val="es-CR"/>
        </w:rPr>
        <w:t xml:space="preserve">que </w:t>
      </w:r>
      <w:r w:rsidRPr="00E046D5">
        <w:rPr>
          <w:rFonts w:ascii="Verdana" w:hAnsi="Verdana" w:cs="Times New Roman"/>
          <w:color w:val="0C0C0C"/>
          <w:sz w:val="20"/>
          <w:szCs w:val="20"/>
          <w:lang w:val="es-CR"/>
        </w:rPr>
        <w:t>l</w:t>
      </w:r>
      <w:r w:rsidRPr="00E046D5">
        <w:rPr>
          <w:rFonts w:ascii="Verdana" w:hAnsi="Verdana" w:cs="Times New Roman"/>
          <w:color w:val="323232"/>
          <w:sz w:val="20"/>
          <w:szCs w:val="20"/>
          <w:lang w:val="es-CR"/>
        </w:rPr>
        <w:t xml:space="preserve">os </w:t>
      </w:r>
      <w:r w:rsidRPr="00E046D5">
        <w:rPr>
          <w:rFonts w:ascii="Verdana" w:hAnsi="Verdana" w:cs="Times New Roman"/>
          <w:color w:val="414141"/>
          <w:sz w:val="20"/>
          <w:szCs w:val="20"/>
          <w:lang w:val="es-CR"/>
        </w:rPr>
        <w:t>a</w:t>
      </w:r>
      <w:r w:rsidRPr="00E046D5">
        <w:rPr>
          <w:rFonts w:ascii="Verdana" w:hAnsi="Verdana" w:cs="Times New Roman"/>
          <w:color w:val="202020"/>
          <w:sz w:val="20"/>
          <w:szCs w:val="20"/>
          <w:lang w:val="es-CR"/>
        </w:rPr>
        <w:t>uto</w:t>
      </w:r>
      <w:r w:rsidRPr="00E046D5">
        <w:rPr>
          <w:rFonts w:ascii="Verdana" w:hAnsi="Verdana" w:cs="Times New Roman"/>
          <w:color w:val="414141"/>
          <w:sz w:val="20"/>
          <w:szCs w:val="20"/>
          <w:lang w:val="es-CR"/>
        </w:rPr>
        <w:t xml:space="preserve">s fueran </w:t>
      </w:r>
      <w:r w:rsidRPr="00E046D5">
        <w:rPr>
          <w:rFonts w:ascii="Verdana" w:hAnsi="Verdana" w:cs="Times New Roman"/>
          <w:color w:val="202020"/>
          <w:sz w:val="20"/>
          <w:szCs w:val="20"/>
          <w:lang w:val="es-CR"/>
        </w:rPr>
        <w:t xml:space="preserve">remitidos </w:t>
      </w:r>
      <w:r w:rsidRPr="00E046D5">
        <w:rPr>
          <w:rFonts w:ascii="Verdana" w:hAnsi="Verdana" w:cs="Times New Roman"/>
          <w:color w:val="323232"/>
          <w:sz w:val="20"/>
          <w:szCs w:val="20"/>
          <w:lang w:val="es-CR"/>
        </w:rPr>
        <w:t>a</w:t>
      </w:r>
      <w:r w:rsidRPr="00E046D5">
        <w:rPr>
          <w:rFonts w:ascii="Verdana" w:hAnsi="Verdana" w:cs="Times New Roman"/>
          <w:color w:val="0C0C0C"/>
          <w:sz w:val="20"/>
          <w:szCs w:val="20"/>
          <w:lang w:val="es-CR"/>
        </w:rPr>
        <w:t xml:space="preserve">l </w:t>
      </w:r>
      <w:r w:rsidRPr="00E046D5">
        <w:rPr>
          <w:rFonts w:ascii="Verdana" w:hAnsi="Verdana" w:cs="Times New Roman"/>
          <w:color w:val="202020"/>
          <w:sz w:val="20"/>
          <w:szCs w:val="20"/>
          <w:lang w:val="es-CR"/>
        </w:rPr>
        <w:t>Fiscal</w:t>
      </w:r>
      <w:r w:rsidRPr="00E046D5">
        <w:rPr>
          <w:rFonts w:ascii="Verdana" w:hAnsi="Verdana" w:cs="Times New Roman"/>
          <w:color w:val="323232"/>
          <w:sz w:val="20"/>
          <w:szCs w:val="20"/>
          <w:lang w:val="es-CR"/>
        </w:rPr>
        <w:t xml:space="preserve"> </w:t>
      </w:r>
      <w:r w:rsidRPr="00E046D5">
        <w:rPr>
          <w:rFonts w:ascii="Verdana" w:hAnsi="Verdana" w:cs="Times New Roman"/>
          <w:color w:val="202020"/>
          <w:sz w:val="20"/>
          <w:szCs w:val="20"/>
          <w:lang w:val="es-CR"/>
        </w:rPr>
        <w:t>a fin de que emitiera su dictamen de ley.</w:t>
      </w:r>
    </w:p>
    <w:p w14:paraId="5BDBAC51" w14:textId="77777777" w:rsidR="00D1418C" w:rsidRPr="00E17B7E" w:rsidRDefault="00D1418C" w:rsidP="00414DEF">
      <w:pPr>
        <w:pStyle w:val="Prrafodelista"/>
        <w:spacing w:line="240" w:lineRule="auto"/>
        <w:ind w:left="0"/>
        <w:rPr>
          <w:rFonts w:ascii="Verdana" w:hAnsi="Verdana"/>
          <w:sz w:val="20"/>
          <w:szCs w:val="20"/>
          <w:lang w:val="es-MX"/>
        </w:rPr>
      </w:pPr>
    </w:p>
    <w:p w14:paraId="156E8076" w14:textId="547D1B0E" w:rsidR="00D1418C" w:rsidRPr="00E17B7E"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sidRPr="00E17B7E">
        <w:rPr>
          <w:rFonts w:ascii="Verdana" w:hAnsi="Verdana"/>
          <w:sz w:val="20"/>
          <w:szCs w:val="20"/>
          <w:lang w:val="es-CR"/>
        </w:rPr>
        <w:t>El 4 de marzo de 1997 el Fiscal emitió su dictamen</w:t>
      </w:r>
      <w:r w:rsidRPr="00E17B7E">
        <w:rPr>
          <w:rStyle w:val="Refdenotaalpie"/>
          <w:rFonts w:ascii="Verdana" w:hAnsi="Verdana"/>
          <w:sz w:val="20"/>
          <w:szCs w:val="20"/>
          <w:lang w:val="es-CR"/>
        </w:rPr>
        <w:footnoteReference w:id="21"/>
      </w:r>
      <w:r w:rsidR="00405CFA">
        <w:rPr>
          <w:rFonts w:ascii="Verdana" w:hAnsi="Verdana"/>
          <w:sz w:val="20"/>
          <w:szCs w:val="20"/>
          <w:lang w:val="es-CR"/>
        </w:rPr>
        <w:t>. S</w:t>
      </w:r>
      <w:r w:rsidRPr="00E17B7E">
        <w:rPr>
          <w:rFonts w:ascii="Verdana" w:hAnsi="Verdana"/>
          <w:sz w:val="20"/>
          <w:szCs w:val="20"/>
          <w:lang w:val="es-CR"/>
        </w:rPr>
        <w:t>eñaló que existían elementos suficientes para considerar que el señor Carranza había tenido participación en un “hecho criminológico” de homicidio. Se abstuvo de acusar a la otra persona que se había vinculado al proceso (</w:t>
      </w:r>
      <w:r w:rsidRPr="00E17B7E">
        <w:rPr>
          <w:rFonts w:ascii="Verdana" w:hAnsi="Verdana"/>
          <w:i/>
          <w:sz w:val="20"/>
          <w:szCs w:val="20"/>
          <w:lang w:val="es-CR"/>
        </w:rPr>
        <w:t xml:space="preserve">supra </w:t>
      </w:r>
      <w:r w:rsidRPr="00E17B7E">
        <w:rPr>
          <w:rFonts w:ascii="Verdana" w:hAnsi="Verdana"/>
          <w:sz w:val="20"/>
          <w:szCs w:val="20"/>
          <w:lang w:val="es-CR"/>
        </w:rPr>
        <w:t>párr. 36) por falta de méritos.</w:t>
      </w:r>
    </w:p>
    <w:p w14:paraId="4B42EAF6" w14:textId="77777777" w:rsidR="00D1418C" w:rsidRPr="00E17B7E" w:rsidRDefault="00D1418C" w:rsidP="00414DEF">
      <w:pPr>
        <w:pStyle w:val="Prrafodelista"/>
        <w:spacing w:line="240" w:lineRule="auto"/>
        <w:ind w:left="0"/>
        <w:rPr>
          <w:rFonts w:ascii="Verdana" w:hAnsi="Verdana"/>
          <w:sz w:val="20"/>
          <w:szCs w:val="20"/>
          <w:lang w:val="es-CR"/>
        </w:rPr>
      </w:pPr>
      <w:r w:rsidRPr="00E17B7E">
        <w:rPr>
          <w:rFonts w:ascii="Verdana" w:hAnsi="Verdana"/>
          <w:sz w:val="20"/>
          <w:szCs w:val="20"/>
          <w:lang w:val="es-CR"/>
        </w:rPr>
        <w:t xml:space="preserve"> </w:t>
      </w:r>
    </w:p>
    <w:p w14:paraId="613CACC4" w14:textId="63063083" w:rsidR="00D1418C" w:rsidRPr="00E17B7E"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sidRPr="00E17B7E">
        <w:rPr>
          <w:rFonts w:ascii="Verdana" w:hAnsi="Verdana"/>
          <w:sz w:val="20"/>
          <w:szCs w:val="20"/>
          <w:lang w:val="es-CR"/>
        </w:rPr>
        <w:t xml:space="preserve"> El 7 de marzo de 1997 el Juzgado dio traslado del dictamen fiscal al defensor del señor Carranza para ser contestado en el plazo de seis días. No fue allegada a la Corte la información que indique que dicho dictamen fue </w:t>
      </w:r>
      <w:r w:rsidR="00D563C3" w:rsidRPr="00E17B7E">
        <w:rPr>
          <w:rFonts w:ascii="Verdana" w:hAnsi="Verdana"/>
          <w:sz w:val="20"/>
          <w:szCs w:val="20"/>
          <w:lang w:val="es-CR"/>
        </w:rPr>
        <w:t>respondido</w:t>
      </w:r>
      <w:r w:rsidRPr="00E17B7E">
        <w:rPr>
          <w:rFonts w:ascii="Verdana" w:hAnsi="Verdana"/>
          <w:sz w:val="20"/>
          <w:szCs w:val="20"/>
          <w:lang w:val="es-CR"/>
        </w:rPr>
        <w:t>.</w:t>
      </w:r>
    </w:p>
    <w:p w14:paraId="6FBCCD64" w14:textId="77777777" w:rsidR="00D1418C" w:rsidRPr="00E17B7E" w:rsidRDefault="00D1418C" w:rsidP="00414DEF">
      <w:pPr>
        <w:pStyle w:val="Prrafodelista"/>
        <w:widowControl/>
        <w:spacing w:after="160" w:line="240" w:lineRule="auto"/>
        <w:ind w:left="0"/>
        <w:jc w:val="both"/>
        <w:rPr>
          <w:rFonts w:ascii="Verdana" w:hAnsi="Verdana"/>
          <w:sz w:val="20"/>
          <w:szCs w:val="20"/>
          <w:lang w:val="es-CR"/>
        </w:rPr>
      </w:pPr>
    </w:p>
    <w:p w14:paraId="39206EA3" w14:textId="77777777" w:rsidR="00D1418C" w:rsidRPr="00E17B7E"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sidRPr="00E17B7E">
        <w:rPr>
          <w:rFonts w:ascii="Verdana" w:hAnsi="Verdana"/>
          <w:sz w:val="20"/>
          <w:szCs w:val="20"/>
          <w:lang w:val="es-CR"/>
        </w:rPr>
        <w:t xml:space="preserve">El 14 de abril de 1997 el Juzgado 11° declaró abierta la etapa de plenario, acogiendo el dictamen fiscal acusatorio. </w:t>
      </w:r>
    </w:p>
    <w:p w14:paraId="2C41400D" w14:textId="77777777" w:rsidR="00D1418C" w:rsidRPr="00E17B7E" w:rsidRDefault="00D1418C" w:rsidP="00414DEF">
      <w:pPr>
        <w:pStyle w:val="Prrafodelista"/>
        <w:widowControl/>
        <w:spacing w:after="160" w:line="240" w:lineRule="auto"/>
        <w:ind w:left="0"/>
        <w:jc w:val="both"/>
        <w:rPr>
          <w:rFonts w:ascii="Verdana" w:hAnsi="Verdana"/>
          <w:sz w:val="20"/>
          <w:szCs w:val="20"/>
          <w:lang w:val="es-CR"/>
        </w:rPr>
      </w:pPr>
    </w:p>
    <w:p w14:paraId="5E430E95" w14:textId="7E888037" w:rsidR="00D1418C" w:rsidRPr="00E17B7E"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sidRPr="00E17B7E">
        <w:rPr>
          <w:rFonts w:ascii="Verdana" w:hAnsi="Verdana"/>
          <w:sz w:val="20"/>
          <w:szCs w:val="20"/>
          <w:lang w:val="es-CR"/>
        </w:rPr>
        <w:t xml:space="preserve">El 30 de marzo de 1998 el Cuarto Tribunal Penal del Guayas (en adelante “Tribunal Penal”) se avocó </w:t>
      </w:r>
      <w:r w:rsidR="00405CFA">
        <w:rPr>
          <w:rFonts w:ascii="Verdana" w:hAnsi="Verdana"/>
          <w:sz w:val="20"/>
          <w:szCs w:val="20"/>
          <w:lang w:val="es-CR"/>
        </w:rPr>
        <w:t xml:space="preserve">al </w:t>
      </w:r>
      <w:r w:rsidRPr="00E17B7E">
        <w:rPr>
          <w:rFonts w:ascii="Verdana" w:hAnsi="Verdana"/>
          <w:sz w:val="20"/>
          <w:szCs w:val="20"/>
          <w:lang w:val="es-CR"/>
        </w:rPr>
        <w:t xml:space="preserve">conocimiento de la causa. </w:t>
      </w:r>
    </w:p>
    <w:p w14:paraId="4D935E7E" w14:textId="77777777" w:rsidR="00D1418C" w:rsidRPr="00E17B7E" w:rsidRDefault="00D1418C" w:rsidP="00414DEF">
      <w:pPr>
        <w:pStyle w:val="Prrafodelista"/>
        <w:widowControl/>
        <w:spacing w:after="160" w:line="240" w:lineRule="auto"/>
        <w:ind w:left="0"/>
        <w:jc w:val="both"/>
        <w:rPr>
          <w:rFonts w:ascii="Verdana" w:hAnsi="Verdana"/>
          <w:sz w:val="20"/>
          <w:szCs w:val="20"/>
          <w:lang w:val="es-CR"/>
        </w:rPr>
      </w:pPr>
    </w:p>
    <w:p w14:paraId="299CE4FC" w14:textId="73E7D666" w:rsidR="00D1418C" w:rsidRPr="00E17B7E"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sidRPr="00E17B7E">
        <w:rPr>
          <w:rFonts w:ascii="Verdana" w:hAnsi="Verdana"/>
          <w:sz w:val="20"/>
          <w:szCs w:val="20"/>
          <w:lang w:val="es-CR"/>
        </w:rPr>
        <w:t xml:space="preserve">El 23 de julio de 1998 el Tribunal Penal convocó a </w:t>
      </w:r>
      <w:r w:rsidR="00D563C3" w:rsidRPr="00E17B7E">
        <w:rPr>
          <w:rFonts w:ascii="Verdana" w:hAnsi="Verdana"/>
          <w:sz w:val="20"/>
          <w:szCs w:val="20"/>
          <w:lang w:val="es-CR"/>
        </w:rPr>
        <w:t>las partes a la celebración de una</w:t>
      </w:r>
      <w:r w:rsidRPr="00E17B7E">
        <w:rPr>
          <w:rFonts w:ascii="Verdana" w:hAnsi="Verdana"/>
          <w:sz w:val="20"/>
          <w:szCs w:val="20"/>
          <w:lang w:val="es-CR"/>
        </w:rPr>
        <w:t xml:space="preserve"> audiencia pública para el día 27 del mismo mes. La audiencia fue pospuesta en diversas ocasiones</w:t>
      </w:r>
      <w:r w:rsidRPr="00E17B7E">
        <w:rPr>
          <w:rStyle w:val="Refdenotaalpie"/>
          <w:rFonts w:ascii="Verdana" w:hAnsi="Verdana"/>
          <w:sz w:val="20"/>
          <w:szCs w:val="20"/>
          <w:lang w:val="es-CR"/>
        </w:rPr>
        <w:footnoteReference w:id="22"/>
      </w:r>
      <w:r w:rsidRPr="00E17B7E">
        <w:rPr>
          <w:rFonts w:ascii="Verdana" w:hAnsi="Verdana"/>
          <w:sz w:val="20"/>
          <w:szCs w:val="20"/>
          <w:lang w:val="es-CR"/>
        </w:rPr>
        <w:t>. Tuvo lugar, finalmente, e</w:t>
      </w:r>
      <w:r w:rsidRPr="00E17B7E">
        <w:rPr>
          <w:rFonts w:ascii="Verdana" w:hAnsi="Verdana" w:cs="Times New Roman"/>
          <w:color w:val="171717"/>
          <w:sz w:val="20"/>
          <w:szCs w:val="20"/>
          <w:lang w:val="es-CR"/>
        </w:rPr>
        <w:t>l 1 de diciembre de 1998.</w:t>
      </w:r>
    </w:p>
    <w:p w14:paraId="03096FE4" w14:textId="77777777" w:rsidR="00D1418C" w:rsidRDefault="00D1418C" w:rsidP="00414DEF">
      <w:pPr>
        <w:pStyle w:val="Prrafodelista"/>
        <w:widowControl/>
        <w:spacing w:after="160" w:line="240" w:lineRule="auto"/>
        <w:ind w:left="0"/>
        <w:jc w:val="both"/>
        <w:rPr>
          <w:rFonts w:ascii="Verdana" w:hAnsi="Verdana"/>
          <w:sz w:val="20"/>
          <w:szCs w:val="20"/>
          <w:lang w:val="es-CR"/>
        </w:rPr>
      </w:pPr>
    </w:p>
    <w:p w14:paraId="1C16373A" w14:textId="77777777" w:rsidR="00D1418C" w:rsidRPr="000776E3" w:rsidRDefault="00D1418C" w:rsidP="00414DEF">
      <w:pPr>
        <w:pStyle w:val="Prrafodelista"/>
        <w:widowControl/>
        <w:numPr>
          <w:ilvl w:val="0"/>
          <w:numId w:val="28"/>
        </w:numPr>
        <w:spacing w:after="160" w:line="240" w:lineRule="auto"/>
        <w:ind w:left="284" w:firstLine="0"/>
        <w:jc w:val="both"/>
        <w:outlineLvl w:val="1"/>
        <w:rPr>
          <w:rFonts w:ascii="Verdana" w:hAnsi="Verdana"/>
          <w:b/>
          <w:i/>
          <w:sz w:val="20"/>
          <w:szCs w:val="20"/>
          <w:lang w:val="es-CR"/>
        </w:rPr>
      </w:pPr>
      <w:bookmarkStart w:id="19" w:name="_Toc34817791"/>
      <w:r w:rsidRPr="000776E3">
        <w:rPr>
          <w:rFonts w:ascii="Verdana" w:hAnsi="Verdana"/>
          <w:b/>
          <w:i/>
          <w:sz w:val="20"/>
          <w:szCs w:val="20"/>
          <w:lang w:val="es-CR"/>
        </w:rPr>
        <w:t xml:space="preserve">Condena y </w:t>
      </w:r>
      <w:r>
        <w:rPr>
          <w:rFonts w:ascii="Verdana" w:hAnsi="Verdana"/>
          <w:b/>
          <w:i/>
          <w:sz w:val="20"/>
          <w:szCs w:val="20"/>
          <w:lang w:val="es-CR"/>
        </w:rPr>
        <w:t>cumplimiento de la pena</w:t>
      </w:r>
      <w:bookmarkEnd w:id="19"/>
    </w:p>
    <w:p w14:paraId="1B5164CC" w14:textId="77777777" w:rsidR="00D1418C" w:rsidRPr="00B90420" w:rsidRDefault="00D1418C" w:rsidP="00414DEF">
      <w:pPr>
        <w:pStyle w:val="Prrafodelista"/>
        <w:widowControl/>
        <w:spacing w:after="160" w:line="240" w:lineRule="auto"/>
        <w:ind w:left="0"/>
        <w:jc w:val="both"/>
        <w:rPr>
          <w:rFonts w:ascii="Verdana" w:hAnsi="Verdana"/>
          <w:sz w:val="20"/>
          <w:szCs w:val="20"/>
          <w:lang w:val="es-CR"/>
        </w:rPr>
      </w:pPr>
    </w:p>
    <w:p w14:paraId="1C949D7C" w14:textId="55ABC453" w:rsidR="00D1418C" w:rsidRPr="005C314F"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sidRPr="000776E3">
        <w:rPr>
          <w:rFonts w:ascii="Verdana" w:hAnsi="Verdana"/>
          <w:sz w:val="20"/>
          <w:szCs w:val="20"/>
          <w:lang w:val="es-CR"/>
        </w:rPr>
        <w:t xml:space="preserve">El 15 de diciembre de 1998 </w:t>
      </w:r>
      <w:r w:rsidRPr="000776E3">
        <w:rPr>
          <w:rFonts w:ascii="Verdana" w:hAnsi="Verdana" w:cs="Times New Roman"/>
          <w:color w:val="383838"/>
          <w:sz w:val="20"/>
          <w:szCs w:val="20"/>
          <w:lang w:val="es-CR"/>
        </w:rPr>
        <w:t>e</w:t>
      </w:r>
      <w:r w:rsidRPr="000776E3">
        <w:rPr>
          <w:rFonts w:ascii="Verdana" w:hAnsi="Verdana" w:cs="Times New Roman"/>
          <w:color w:val="171717"/>
          <w:sz w:val="20"/>
          <w:szCs w:val="20"/>
          <w:lang w:val="es-CR"/>
        </w:rPr>
        <w:t xml:space="preserve">l Tribunal Penal dictó una </w:t>
      </w:r>
      <w:r w:rsidRPr="000776E3">
        <w:rPr>
          <w:rFonts w:ascii="Verdana" w:hAnsi="Verdana" w:cs="Times New Roman"/>
          <w:color w:val="292929"/>
          <w:sz w:val="20"/>
          <w:szCs w:val="20"/>
          <w:lang w:val="es-CR"/>
        </w:rPr>
        <w:t xml:space="preserve">sentencia </w:t>
      </w:r>
      <w:r w:rsidRPr="000776E3">
        <w:rPr>
          <w:rFonts w:ascii="Verdana" w:hAnsi="Verdana" w:cs="Times New Roman"/>
          <w:color w:val="171717"/>
          <w:sz w:val="20"/>
          <w:szCs w:val="20"/>
          <w:lang w:val="es-CR"/>
        </w:rPr>
        <w:t>condenatoria</w:t>
      </w:r>
      <w:r>
        <w:rPr>
          <w:rFonts w:ascii="Verdana" w:hAnsi="Verdana" w:cs="Times New Roman"/>
          <w:color w:val="171717"/>
          <w:sz w:val="20"/>
          <w:szCs w:val="20"/>
          <w:lang w:val="es-CR"/>
        </w:rPr>
        <w:t>,</w:t>
      </w:r>
      <w:r w:rsidRPr="000776E3">
        <w:rPr>
          <w:rFonts w:ascii="Verdana" w:hAnsi="Verdana" w:cs="Times New Roman"/>
          <w:color w:val="292929"/>
          <w:sz w:val="12"/>
          <w:szCs w:val="12"/>
          <w:lang w:val="es-CR"/>
        </w:rPr>
        <w:t xml:space="preserve"> </w:t>
      </w:r>
      <w:r>
        <w:rPr>
          <w:rFonts w:ascii="Verdana" w:hAnsi="Verdana" w:cs="Times New Roman"/>
          <w:color w:val="171717"/>
          <w:sz w:val="20"/>
          <w:szCs w:val="20"/>
          <w:lang w:val="es-CR"/>
        </w:rPr>
        <w:t xml:space="preserve">imponiendo al señor Carranza </w:t>
      </w:r>
      <w:r w:rsidRPr="005C314F">
        <w:rPr>
          <w:rFonts w:ascii="Verdana" w:hAnsi="Verdana" w:cs="Times New Roman"/>
          <w:color w:val="171717"/>
          <w:sz w:val="20"/>
          <w:szCs w:val="20"/>
          <w:lang w:val="es-CR"/>
        </w:rPr>
        <w:t>l</w:t>
      </w:r>
      <w:r w:rsidRPr="005C314F">
        <w:rPr>
          <w:rFonts w:ascii="Verdana" w:hAnsi="Verdana" w:cs="Times New Roman"/>
          <w:color w:val="383838"/>
          <w:sz w:val="20"/>
          <w:szCs w:val="20"/>
          <w:lang w:val="es-CR"/>
        </w:rPr>
        <w:t>a</w:t>
      </w:r>
      <w:r w:rsidRPr="005C314F">
        <w:rPr>
          <w:rFonts w:ascii="Verdana" w:hAnsi="Verdana" w:cs="Times New Roman"/>
          <w:color w:val="292929"/>
          <w:sz w:val="20"/>
          <w:szCs w:val="20"/>
          <w:lang w:val="es-CR"/>
        </w:rPr>
        <w:t xml:space="preserve"> </w:t>
      </w:r>
      <w:r w:rsidRPr="005C314F">
        <w:rPr>
          <w:rFonts w:ascii="Verdana" w:hAnsi="Verdana" w:cs="Times New Roman"/>
          <w:color w:val="171717"/>
          <w:sz w:val="20"/>
          <w:szCs w:val="20"/>
          <w:lang w:val="es-CR"/>
        </w:rPr>
        <w:t>pena de “</w:t>
      </w:r>
      <w:r w:rsidRPr="005C314F">
        <w:rPr>
          <w:rFonts w:ascii="Verdana" w:hAnsi="Verdana" w:cs="Times New Roman"/>
          <w:color w:val="292929"/>
          <w:sz w:val="20"/>
          <w:szCs w:val="20"/>
          <w:lang w:val="es-CR"/>
        </w:rPr>
        <w:t xml:space="preserve">seis años </w:t>
      </w:r>
      <w:r w:rsidRPr="005C314F">
        <w:rPr>
          <w:rFonts w:ascii="Verdana" w:hAnsi="Verdana" w:cs="Times New Roman"/>
          <w:color w:val="171717"/>
          <w:sz w:val="20"/>
          <w:szCs w:val="20"/>
          <w:lang w:val="es-CR"/>
        </w:rPr>
        <w:t>de reclusión menor”</w:t>
      </w:r>
      <w:r>
        <w:rPr>
          <w:rFonts w:ascii="Verdana" w:hAnsi="Verdana" w:cs="Times New Roman"/>
          <w:color w:val="171717"/>
          <w:sz w:val="20"/>
          <w:szCs w:val="20"/>
          <w:lang w:val="es-CR"/>
        </w:rPr>
        <w:t>.</w:t>
      </w:r>
      <w:r w:rsidRPr="005C314F">
        <w:rPr>
          <w:rFonts w:ascii="Verdana" w:hAnsi="Verdana" w:cs="Times New Roman"/>
          <w:color w:val="292929"/>
          <w:sz w:val="20"/>
          <w:szCs w:val="20"/>
          <w:lang w:val="es-CR"/>
        </w:rPr>
        <w:t xml:space="preserve"> </w:t>
      </w:r>
      <w:r w:rsidRPr="005C314F">
        <w:rPr>
          <w:rFonts w:ascii="Verdana" w:hAnsi="Verdana" w:cs="Times New Roman"/>
          <w:color w:val="212121"/>
          <w:sz w:val="20"/>
          <w:szCs w:val="20"/>
          <w:lang w:val="es-CR"/>
        </w:rPr>
        <w:t>La Comisión y el Estado indicaron que el señor Carranza no presentó recurso alguno contra dicha sentencia.</w:t>
      </w:r>
    </w:p>
    <w:p w14:paraId="0C6A5A71" w14:textId="77777777" w:rsidR="00D1418C" w:rsidRPr="009C4EEF" w:rsidRDefault="00D1418C" w:rsidP="00414DEF">
      <w:pPr>
        <w:pStyle w:val="Prrafodelista"/>
        <w:spacing w:line="240" w:lineRule="auto"/>
        <w:ind w:left="0"/>
        <w:rPr>
          <w:rFonts w:ascii="Verdana" w:hAnsi="Verdana"/>
          <w:sz w:val="20"/>
          <w:szCs w:val="20"/>
          <w:lang w:val="es-CR"/>
        </w:rPr>
      </w:pPr>
    </w:p>
    <w:p w14:paraId="671C63F6" w14:textId="39979838" w:rsidR="00D1418C" w:rsidRPr="002B3D3B" w:rsidRDefault="00D1418C" w:rsidP="00414DEF">
      <w:pPr>
        <w:pStyle w:val="Prrafodelista"/>
        <w:widowControl/>
        <w:numPr>
          <w:ilvl w:val="0"/>
          <w:numId w:val="26"/>
        </w:numPr>
        <w:spacing w:after="0" w:line="240" w:lineRule="auto"/>
        <w:ind w:left="0" w:firstLine="0"/>
        <w:jc w:val="both"/>
        <w:rPr>
          <w:rFonts w:ascii="Verdana" w:hAnsi="Verdana"/>
          <w:sz w:val="20"/>
          <w:szCs w:val="20"/>
          <w:lang w:val="es-CR"/>
        </w:rPr>
      </w:pPr>
      <w:r>
        <w:rPr>
          <w:rFonts w:ascii="Verdana" w:hAnsi="Verdana"/>
          <w:sz w:val="20"/>
          <w:szCs w:val="20"/>
          <w:lang w:val="es-CR"/>
        </w:rPr>
        <w:t xml:space="preserve">El Estado informó que el 29 de marzo de 1999 el </w:t>
      </w:r>
      <w:r w:rsidRPr="00C02836">
        <w:rPr>
          <w:rFonts w:ascii="Verdana" w:hAnsi="Verdana" w:cs="Times New Roman"/>
          <w:color w:val="171717"/>
          <w:sz w:val="20"/>
          <w:szCs w:val="20"/>
          <w:lang w:val="es-CR"/>
        </w:rPr>
        <w:t xml:space="preserve">Tribunal </w:t>
      </w:r>
      <w:r w:rsidRPr="00C02836">
        <w:rPr>
          <w:rFonts w:ascii="Verdana" w:hAnsi="Verdana" w:cs="Times New Roman"/>
          <w:color w:val="292929"/>
          <w:sz w:val="20"/>
          <w:szCs w:val="20"/>
          <w:lang w:val="es-CR"/>
        </w:rPr>
        <w:t xml:space="preserve">Penal </w:t>
      </w:r>
      <w:r>
        <w:rPr>
          <w:rFonts w:ascii="Verdana" w:hAnsi="Verdana" w:cs="Times New Roman"/>
          <w:color w:val="292929"/>
          <w:sz w:val="20"/>
          <w:szCs w:val="20"/>
          <w:lang w:val="es-CR"/>
        </w:rPr>
        <w:t>señaló que el señor Carranza “ha[</w:t>
      </w:r>
      <w:proofErr w:type="spellStart"/>
      <w:r>
        <w:rPr>
          <w:rFonts w:ascii="Verdana" w:hAnsi="Verdana" w:cs="Times New Roman"/>
          <w:color w:val="292929"/>
          <w:sz w:val="20"/>
          <w:szCs w:val="20"/>
          <w:lang w:val="es-CR"/>
        </w:rPr>
        <w:t>bía</w:t>
      </w:r>
      <w:proofErr w:type="spellEnd"/>
      <w:r>
        <w:rPr>
          <w:rFonts w:ascii="Verdana" w:hAnsi="Verdana" w:cs="Times New Roman"/>
          <w:color w:val="292929"/>
          <w:sz w:val="20"/>
          <w:szCs w:val="20"/>
          <w:lang w:val="es-CR"/>
        </w:rPr>
        <w:t>] cumplido la pena de seis años de [r]</w:t>
      </w:r>
      <w:proofErr w:type="spellStart"/>
      <w:r>
        <w:rPr>
          <w:rFonts w:ascii="Verdana" w:hAnsi="Verdana" w:cs="Times New Roman"/>
          <w:color w:val="292929"/>
          <w:sz w:val="20"/>
          <w:szCs w:val="20"/>
          <w:lang w:val="es-CR"/>
        </w:rPr>
        <w:t>eclusión</w:t>
      </w:r>
      <w:proofErr w:type="spellEnd"/>
      <w:r>
        <w:rPr>
          <w:rFonts w:ascii="Verdana" w:hAnsi="Verdana" w:cs="Times New Roman"/>
          <w:color w:val="292929"/>
          <w:sz w:val="20"/>
          <w:szCs w:val="20"/>
          <w:lang w:val="es-CR"/>
        </w:rPr>
        <w:t xml:space="preserve"> [m]</w:t>
      </w:r>
      <w:proofErr w:type="spellStart"/>
      <w:r>
        <w:rPr>
          <w:rFonts w:ascii="Verdana" w:hAnsi="Verdana" w:cs="Times New Roman"/>
          <w:color w:val="292929"/>
          <w:sz w:val="20"/>
          <w:szCs w:val="20"/>
          <w:lang w:val="es-CR"/>
        </w:rPr>
        <w:t>enor</w:t>
      </w:r>
      <w:proofErr w:type="spellEnd"/>
      <w:r>
        <w:rPr>
          <w:rFonts w:ascii="Verdana" w:hAnsi="Verdana" w:cs="Times New Roman"/>
          <w:color w:val="292929"/>
          <w:sz w:val="20"/>
          <w:szCs w:val="20"/>
          <w:lang w:val="es-CR"/>
        </w:rPr>
        <w:t xml:space="preserve"> y con 755 días de rebaja que le ha[</w:t>
      </w:r>
      <w:proofErr w:type="spellStart"/>
      <w:r>
        <w:rPr>
          <w:rFonts w:ascii="Verdana" w:hAnsi="Verdana" w:cs="Times New Roman"/>
          <w:color w:val="292929"/>
          <w:sz w:val="20"/>
          <w:szCs w:val="20"/>
          <w:lang w:val="es-CR"/>
        </w:rPr>
        <w:t>bían</w:t>
      </w:r>
      <w:proofErr w:type="spellEnd"/>
      <w:r>
        <w:rPr>
          <w:rFonts w:ascii="Verdana" w:hAnsi="Verdana" w:cs="Times New Roman"/>
          <w:color w:val="292929"/>
          <w:sz w:val="20"/>
          <w:szCs w:val="20"/>
          <w:lang w:val="es-CR"/>
        </w:rPr>
        <w:t xml:space="preserve">] sido concedidas” había cumplido con la pena impuesta. </w:t>
      </w:r>
      <w:r w:rsidRPr="002B3D3B">
        <w:rPr>
          <w:rFonts w:ascii="Verdana" w:hAnsi="Verdana"/>
          <w:sz w:val="20"/>
          <w:szCs w:val="20"/>
          <w:lang w:val="es-CR"/>
        </w:rPr>
        <w:t xml:space="preserve">El 6 de abril </w:t>
      </w:r>
      <w:r w:rsidR="00405CFA">
        <w:rPr>
          <w:rFonts w:ascii="Verdana" w:hAnsi="Verdana"/>
          <w:sz w:val="20"/>
          <w:szCs w:val="20"/>
          <w:lang w:val="es-CR"/>
        </w:rPr>
        <w:t xml:space="preserve">siguiente </w:t>
      </w:r>
      <w:r w:rsidRPr="002B3D3B">
        <w:rPr>
          <w:rFonts w:ascii="Verdana" w:hAnsi="Verdana"/>
          <w:sz w:val="20"/>
          <w:szCs w:val="20"/>
          <w:lang w:val="es-CR"/>
        </w:rPr>
        <w:t xml:space="preserve">se remitió al Centro de Rehabilitación Social de Varones de Guayaquil la boleta de libertad del señor Carranza. </w:t>
      </w:r>
    </w:p>
    <w:p w14:paraId="4733B613" w14:textId="77777777" w:rsidR="00D1418C" w:rsidRPr="005C3FFE" w:rsidRDefault="00D1418C" w:rsidP="00414DEF">
      <w:pPr>
        <w:pStyle w:val="Prrafodelista"/>
        <w:spacing w:after="0" w:line="240" w:lineRule="auto"/>
        <w:ind w:left="0"/>
        <w:rPr>
          <w:rFonts w:ascii="Verdana" w:hAnsi="Verdana"/>
          <w:sz w:val="20"/>
          <w:szCs w:val="20"/>
          <w:lang w:val="es-CR"/>
        </w:rPr>
      </w:pPr>
    </w:p>
    <w:p w14:paraId="25DCCB59" w14:textId="77777777" w:rsidR="00D1418C" w:rsidRPr="005C3FFE" w:rsidRDefault="00D1418C" w:rsidP="00414DEF">
      <w:pPr>
        <w:pStyle w:val="Prrafodelista"/>
        <w:spacing w:after="0" w:line="240" w:lineRule="auto"/>
        <w:ind w:left="0"/>
        <w:jc w:val="center"/>
        <w:outlineLvl w:val="0"/>
        <w:rPr>
          <w:rFonts w:ascii="Verdana" w:hAnsi="Verdana"/>
          <w:b/>
          <w:sz w:val="20"/>
          <w:szCs w:val="20"/>
          <w:lang w:val="es-CR"/>
        </w:rPr>
      </w:pPr>
      <w:bookmarkStart w:id="20" w:name="_Toc34817792"/>
      <w:r w:rsidRPr="005C3FFE">
        <w:rPr>
          <w:rFonts w:ascii="Verdana" w:hAnsi="Verdana"/>
          <w:b/>
          <w:sz w:val="20"/>
          <w:szCs w:val="20"/>
          <w:lang w:val="es-CR"/>
        </w:rPr>
        <w:t>VII</w:t>
      </w:r>
      <w:bookmarkEnd w:id="20"/>
    </w:p>
    <w:p w14:paraId="2271E402" w14:textId="77777777" w:rsidR="00D1418C" w:rsidRPr="005C3FFE" w:rsidRDefault="00D1418C" w:rsidP="00414DEF">
      <w:pPr>
        <w:pStyle w:val="Prrafodelista"/>
        <w:spacing w:after="0" w:line="240" w:lineRule="auto"/>
        <w:ind w:left="0"/>
        <w:jc w:val="center"/>
        <w:outlineLvl w:val="0"/>
        <w:rPr>
          <w:rFonts w:ascii="Verdana" w:hAnsi="Verdana"/>
          <w:b/>
          <w:sz w:val="20"/>
          <w:szCs w:val="20"/>
          <w:lang w:val="es-CR"/>
        </w:rPr>
      </w:pPr>
      <w:bookmarkStart w:id="21" w:name="_Toc34817793"/>
      <w:r w:rsidRPr="005C3FFE">
        <w:rPr>
          <w:rFonts w:ascii="Verdana" w:hAnsi="Verdana"/>
          <w:b/>
          <w:sz w:val="20"/>
          <w:szCs w:val="20"/>
          <w:lang w:val="es-CR"/>
        </w:rPr>
        <w:t>FONDO</w:t>
      </w:r>
      <w:bookmarkEnd w:id="21"/>
    </w:p>
    <w:p w14:paraId="0644EFEE" w14:textId="4640E6EB" w:rsidR="00D1418C" w:rsidRDefault="00D1418C" w:rsidP="00414DEF">
      <w:pPr>
        <w:pStyle w:val="Prrafodelista"/>
        <w:spacing w:after="0" w:line="240" w:lineRule="auto"/>
        <w:ind w:left="0"/>
        <w:jc w:val="center"/>
        <w:outlineLvl w:val="0"/>
        <w:rPr>
          <w:rFonts w:ascii="Verdana" w:hAnsi="Verdana"/>
          <w:b/>
          <w:sz w:val="20"/>
          <w:szCs w:val="20"/>
          <w:lang w:val="es-ES"/>
        </w:rPr>
      </w:pPr>
      <w:bookmarkStart w:id="22" w:name="_Toc34817794"/>
      <w:r>
        <w:rPr>
          <w:rFonts w:ascii="Verdana" w:hAnsi="Verdana"/>
          <w:b/>
          <w:sz w:val="20"/>
          <w:szCs w:val="20"/>
          <w:lang w:val="es-ES"/>
        </w:rPr>
        <w:t>LIBERTAD PERSONAL Y GARANTÍAS JUDICIALES</w:t>
      </w:r>
      <w:r w:rsidR="00507D34" w:rsidRPr="00507D34">
        <w:rPr>
          <w:rStyle w:val="Refdenotaalpie"/>
          <w:rFonts w:ascii="Verdana" w:hAnsi="Verdana"/>
          <w:sz w:val="20"/>
          <w:szCs w:val="20"/>
          <w:lang w:val="es-ES"/>
        </w:rPr>
        <w:footnoteReference w:id="23"/>
      </w:r>
      <w:bookmarkEnd w:id="22"/>
    </w:p>
    <w:p w14:paraId="4B1A993F" w14:textId="77777777" w:rsidR="00D1418C" w:rsidRPr="00C666CD" w:rsidRDefault="00D1418C" w:rsidP="00414DEF">
      <w:pPr>
        <w:pStyle w:val="Prrafodelista"/>
        <w:spacing w:after="0" w:line="240" w:lineRule="auto"/>
        <w:ind w:left="0"/>
        <w:rPr>
          <w:rFonts w:ascii="Verdana" w:hAnsi="Verdana"/>
          <w:sz w:val="20"/>
          <w:szCs w:val="20"/>
          <w:lang w:val="es-ES"/>
        </w:rPr>
      </w:pPr>
    </w:p>
    <w:p w14:paraId="5675EBA3" w14:textId="56EF7E68" w:rsidR="00D1418C" w:rsidRDefault="00D1418C" w:rsidP="00414DEF">
      <w:pPr>
        <w:pStyle w:val="Prrafodelista"/>
        <w:widowControl/>
        <w:numPr>
          <w:ilvl w:val="0"/>
          <w:numId w:val="26"/>
        </w:numPr>
        <w:spacing w:after="0" w:line="240" w:lineRule="auto"/>
        <w:ind w:left="0" w:firstLine="0"/>
        <w:jc w:val="both"/>
        <w:rPr>
          <w:rFonts w:ascii="Verdana" w:hAnsi="Verdana"/>
          <w:sz w:val="20"/>
          <w:szCs w:val="20"/>
          <w:lang w:val="es-ES"/>
        </w:rPr>
      </w:pPr>
      <w:r>
        <w:rPr>
          <w:rFonts w:ascii="Verdana" w:hAnsi="Verdana"/>
          <w:sz w:val="20"/>
          <w:szCs w:val="20"/>
          <w:lang w:val="es-ES"/>
        </w:rPr>
        <w:t xml:space="preserve">La cuestión que debe examinar la Corte en el presente caso es si la privación preventiva de libertad que sufrió el señor Carranza, en el marco de un proceso penal seguido en su contra, fue compatible con la Convención Americana. Asimismo, debe examinar si el proceso penal </w:t>
      </w:r>
      <w:r w:rsidR="00405CFA">
        <w:rPr>
          <w:rFonts w:ascii="Verdana" w:hAnsi="Verdana"/>
          <w:sz w:val="20"/>
          <w:szCs w:val="20"/>
          <w:lang w:val="es-ES"/>
        </w:rPr>
        <w:t>transcurrió en</w:t>
      </w:r>
      <w:r>
        <w:rPr>
          <w:rFonts w:ascii="Verdana" w:hAnsi="Verdana"/>
          <w:sz w:val="20"/>
          <w:szCs w:val="20"/>
          <w:lang w:val="es-ES"/>
        </w:rPr>
        <w:t xml:space="preserve"> un plazo razonable.</w:t>
      </w:r>
    </w:p>
    <w:p w14:paraId="04DDBFAF" w14:textId="77777777" w:rsidR="00D1418C" w:rsidRDefault="00D1418C" w:rsidP="00414DEF">
      <w:pPr>
        <w:pStyle w:val="Prrafodelista"/>
        <w:widowControl/>
        <w:spacing w:after="160" w:line="240" w:lineRule="auto"/>
        <w:ind w:left="0"/>
        <w:jc w:val="both"/>
        <w:rPr>
          <w:rFonts w:ascii="Verdana" w:hAnsi="Verdana"/>
          <w:sz w:val="20"/>
          <w:szCs w:val="20"/>
          <w:lang w:val="es-ES"/>
        </w:rPr>
      </w:pPr>
    </w:p>
    <w:p w14:paraId="4A0F4C87" w14:textId="39F2F05F" w:rsidR="00D1418C" w:rsidRPr="000A7C74" w:rsidRDefault="00D1418C" w:rsidP="00414DEF">
      <w:pPr>
        <w:pStyle w:val="Prrafodelista"/>
        <w:widowControl/>
        <w:numPr>
          <w:ilvl w:val="0"/>
          <w:numId w:val="26"/>
        </w:numPr>
        <w:spacing w:after="160" w:line="240" w:lineRule="auto"/>
        <w:ind w:left="0" w:firstLine="0"/>
        <w:jc w:val="both"/>
        <w:rPr>
          <w:rFonts w:ascii="Verdana" w:hAnsi="Verdana"/>
          <w:sz w:val="20"/>
          <w:szCs w:val="20"/>
          <w:lang w:val="es-ES"/>
        </w:rPr>
      </w:pPr>
      <w:r>
        <w:rPr>
          <w:rFonts w:ascii="Verdana" w:hAnsi="Verdana"/>
          <w:sz w:val="20"/>
          <w:szCs w:val="20"/>
          <w:lang w:val="es-ES"/>
        </w:rPr>
        <w:t>La Corte debe dejar aclarado que el objeto de este caso no se refiere a la condena penal del señor Carranza, como tampoco a supuestas afectaciones a su derecho a la integridad personal. Este Tribunal nota, por un parte, que la Comisión explicó que en su Informe de Admisibilidad “el análisis de agotamiento de los recursos internos se hizo exclusivamente respecto de la detención preventiva”. Por ello</w:t>
      </w:r>
      <w:r w:rsidR="00F774A7">
        <w:rPr>
          <w:rFonts w:ascii="Verdana" w:hAnsi="Verdana"/>
          <w:sz w:val="20"/>
          <w:szCs w:val="20"/>
          <w:lang w:val="es-ES"/>
        </w:rPr>
        <w:t>,</w:t>
      </w:r>
      <w:r>
        <w:rPr>
          <w:rFonts w:ascii="Verdana" w:hAnsi="Verdana"/>
          <w:sz w:val="20"/>
          <w:szCs w:val="20"/>
          <w:lang w:val="es-ES"/>
        </w:rPr>
        <w:t xml:space="preserve"> solo determinó vulneraciones a los derechos a la libertad </w:t>
      </w:r>
      <w:r w:rsidR="00EA1A7E">
        <w:rPr>
          <w:rFonts w:ascii="Verdana" w:hAnsi="Verdana"/>
          <w:sz w:val="20"/>
          <w:szCs w:val="20"/>
          <w:lang w:val="es-ES"/>
        </w:rPr>
        <w:t>personal,</w:t>
      </w:r>
      <w:r>
        <w:rPr>
          <w:rFonts w:ascii="Verdana" w:hAnsi="Verdana"/>
          <w:sz w:val="20"/>
          <w:szCs w:val="20"/>
          <w:lang w:val="es-ES"/>
        </w:rPr>
        <w:t xml:space="preserve"> así como por entenderlo “estrechamente vinculado con [la detención preventiva]”, a las garantías judiciales en lo atinente a la duración del proceso.</w:t>
      </w:r>
      <w:r>
        <w:rPr>
          <w:rFonts w:ascii="Verdana" w:hAnsi="Verdana"/>
          <w:b/>
          <w:sz w:val="16"/>
          <w:szCs w:val="16"/>
          <w:lang w:val="es-ES"/>
        </w:rPr>
        <w:t xml:space="preserve"> </w:t>
      </w:r>
    </w:p>
    <w:p w14:paraId="47F7BA79" w14:textId="77777777" w:rsidR="00D1418C" w:rsidRPr="000A7C74" w:rsidRDefault="00D1418C" w:rsidP="00414DEF">
      <w:pPr>
        <w:pStyle w:val="Prrafodelista"/>
        <w:spacing w:line="240" w:lineRule="auto"/>
        <w:rPr>
          <w:rFonts w:ascii="Verdana" w:hAnsi="Verdana"/>
          <w:sz w:val="20"/>
          <w:szCs w:val="20"/>
          <w:lang w:val="es-ES"/>
        </w:rPr>
      </w:pPr>
    </w:p>
    <w:p w14:paraId="05B98F39" w14:textId="6094855D" w:rsidR="00D1418C" w:rsidRPr="00612450" w:rsidRDefault="00D1418C" w:rsidP="00414DEF">
      <w:pPr>
        <w:pStyle w:val="Prrafodelista"/>
        <w:widowControl/>
        <w:numPr>
          <w:ilvl w:val="0"/>
          <w:numId w:val="26"/>
        </w:numPr>
        <w:spacing w:after="160" w:line="240" w:lineRule="auto"/>
        <w:ind w:left="0" w:firstLine="0"/>
        <w:jc w:val="both"/>
        <w:rPr>
          <w:rFonts w:ascii="Verdana" w:hAnsi="Verdana"/>
          <w:sz w:val="20"/>
          <w:szCs w:val="20"/>
          <w:lang w:val="es-ES"/>
        </w:rPr>
      </w:pPr>
      <w:r w:rsidRPr="00612450">
        <w:rPr>
          <w:rFonts w:ascii="Verdana" w:hAnsi="Verdana"/>
          <w:sz w:val="20"/>
          <w:szCs w:val="20"/>
          <w:lang w:val="es-ES"/>
        </w:rPr>
        <w:t>Por otra parte, si bien el representante mencionó los artículos 5 y 25 de la Convención, referidos a los derechos a la integridad personal y a la protección judicial, no desarrolló argumentos al respecto distintos a</w:t>
      </w:r>
      <w:r>
        <w:rPr>
          <w:rFonts w:ascii="Verdana" w:hAnsi="Verdana"/>
          <w:sz w:val="20"/>
          <w:szCs w:val="20"/>
          <w:lang w:val="es-ES"/>
        </w:rPr>
        <w:t xml:space="preserve"> la mera descripción del proceso penal y la privación de libertad; solo aseveró que hubo un </w:t>
      </w:r>
      <w:r w:rsidRPr="00612450">
        <w:rPr>
          <w:rFonts w:ascii="Verdana" w:hAnsi="Verdana"/>
          <w:sz w:val="20"/>
          <w:szCs w:val="20"/>
          <w:lang w:val="es-ES"/>
        </w:rPr>
        <w:t>“régimen de incomunicación y apremio psicológico”</w:t>
      </w:r>
      <w:r>
        <w:rPr>
          <w:rFonts w:ascii="Verdana" w:hAnsi="Verdana"/>
          <w:sz w:val="20"/>
          <w:szCs w:val="20"/>
          <w:lang w:val="es-ES"/>
        </w:rPr>
        <w:t xml:space="preserve">, en un interrogatorio sin presencia de abogado. Hizo esa manifestación, como también una somera alusión a condiciones de detención, sin profundizar sus argumentos ni la descripción de los hechos aludidos. Teniendo en cuenta todo lo indicado, la Corte no tiene sustento suficiente para examinar presuntas vulneraciones </w:t>
      </w:r>
      <w:r w:rsidR="00F774A7">
        <w:rPr>
          <w:rFonts w:ascii="Verdana" w:hAnsi="Verdana"/>
          <w:sz w:val="20"/>
          <w:szCs w:val="20"/>
          <w:lang w:val="es-ES"/>
        </w:rPr>
        <w:t xml:space="preserve">a </w:t>
      </w:r>
      <w:r>
        <w:rPr>
          <w:rFonts w:ascii="Verdana" w:hAnsi="Verdana"/>
          <w:sz w:val="20"/>
          <w:szCs w:val="20"/>
          <w:lang w:val="es-ES"/>
        </w:rPr>
        <w:t xml:space="preserve">los derechos a la integridad personal y a la protección judicial. Por ello, no examinará los alegatos </w:t>
      </w:r>
      <w:r w:rsidR="00F774A7">
        <w:rPr>
          <w:rFonts w:ascii="Verdana" w:hAnsi="Verdana"/>
          <w:sz w:val="20"/>
          <w:szCs w:val="20"/>
          <w:lang w:val="es-ES"/>
        </w:rPr>
        <w:t xml:space="preserve">del representante </w:t>
      </w:r>
      <w:r>
        <w:rPr>
          <w:rFonts w:ascii="Verdana" w:hAnsi="Verdana"/>
          <w:sz w:val="20"/>
          <w:szCs w:val="20"/>
          <w:lang w:val="es-ES"/>
        </w:rPr>
        <w:t xml:space="preserve">sobre los artículos 5 y 25 de la Convención. </w:t>
      </w:r>
      <w:r w:rsidR="00E17B7E">
        <w:rPr>
          <w:rFonts w:ascii="Verdana" w:hAnsi="Verdana"/>
          <w:sz w:val="20"/>
          <w:szCs w:val="20"/>
          <w:lang w:val="es-ES"/>
        </w:rPr>
        <w:t>Limitará su examen a los alegatos sobre la privación de libertad y la razonabilidad del plazo seguido en el proceso penal.</w:t>
      </w:r>
    </w:p>
    <w:p w14:paraId="3AB83A53" w14:textId="77777777" w:rsidR="00D1418C" w:rsidRDefault="00D1418C" w:rsidP="00414DEF">
      <w:pPr>
        <w:pStyle w:val="Prrafodelista"/>
        <w:spacing w:line="240" w:lineRule="auto"/>
        <w:ind w:left="0"/>
        <w:rPr>
          <w:rFonts w:ascii="Verdana" w:hAnsi="Verdana"/>
          <w:sz w:val="20"/>
          <w:szCs w:val="20"/>
          <w:lang w:val="es-ES"/>
        </w:rPr>
      </w:pPr>
    </w:p>
    <w:p w14:paraId="2FA69682" w14:textId="77777777" w:rsidR="005A4119" w:rsidRPr="00C666CD" w:rsidRDefault="005A4119" w:rsidP="00414DEF">
      <w:pPr>
        <w:pStyle w:val="Prrafodelista"/>
        <w:spacing w:line="240" w:lineRule="auto"/>
        <w:ind w:left="0"/>
        <w:rPr>
          <w:rFonts w:ascii="Verdana" w:hAnsi="Verdana"/>
          <w:sz w:val="20"/>
          <w:szCs w:val="20"/>
          <w:lang w:val="es-ES"/>
        </w:rPr>
      </w:pPr>
    </w:p>
    <w:p w14:paraId="48A259F8" w14:textId="3CCD1C33" w:rsidR="00D1418C" w:rsidRPr="00C666CD" w:rsidRDefault="00D1418C" w:rsidP="00414DEF">
      <w:pPr>
        <w:pStyle w:val="Prrafodelista"/>
        <w:numPr>
          <w:ilvl w:val="0"/>
          <w:numId w:val="29"/>
        </w:numPr>
        <w:spacing w:line="240" w:lineRule="auto"/>
        <w:ind w:left="284" w:firstLine="0"/>
        <w:outlineLvl w:val="1"/>
        <w:rPr>
          <w:rFonts w:ascii="Verdana" w:hAnsi="Verdana"/>
          <w:b/>
          <w:i/>
          <w:sz w:val="20"/>
          <w:szCs w:val="20"/>
          <w:lang w:val="es-ES"/>
        </w:rPr>
      </w:pPr>
      <w:bookmarkStart w:id="23" w:name="_Toc34817795"/>
      <w:r>
        <w:rPr>
          <w:rFonts w:ascii="Verdana" w:hAnsi="Verdana"/>
          <w:b/>
          <w:i/>
          <w:sz w:val="20"/>
          <w:szCs w:val="20"/>
          <w:lang w:val="es-ES"/>
        </w:rPr>
        <w:lastRenderedPageBreak/>
        <w:t>Alegatos</w:t>
      </w:r>
      <w:r w:rsidRPr="00C666CD">
        <w:rPr>
          <w:rFonts w:ascii="Verdana" w:hAnsi="Verdana"/>
          <w:b/>
          <w:i/>
          <w:sz w:val="20"/>
          <w:szCs w:val="20"/>
          <w:lang w:val="es-ES"/>
        </w:rPr>
        <w:t xml:space="preserve"> </w:t>
      </w:r>
      <w:r w:rsidR="00F774A7">
        <w:rPr>
          <w:rFonts w:ascii="Verdana" w:hAnsi="Verdana"/>
          <w:b/>
          <w:i/>
          <w:sz w:val="20"/>
          <w:szCs w:val="20"/>
          <w:lang w:val="es-ES"/>
        </w:rPr>
        <w:t xml:space="preserve">de </w:t>
      </w:r>
      <w:r w:rsidRPr="00C666CD">
        <w:rPr>
          <w:rFonts w:ascii="Verdana" w:hAnsi="Verdana"/>
          <w:b/>
          <w:i/>
          <w:sz w:val="20"/>
          <w:szCs w:val="20"/>
          <w:lang w:val="es-ES"/>
        </w:rPr>
        <w:t>la Comisión</w:t>
      </w:r>
      <w:r>
        <w:rPr>
          <w:rFonts w:ascii="Verdana" w:hAnsi="Verdana"/>
          <w:b/>
          <w:i/>
          <w:sz w:val="20"/>
          <w:szCs w:val="20"/>
          <w:lang w:val="es-ES"/>
        </w:rPr>
        <w:t xml:space="preserve"> y de las partes</w:t>
      </w:r>
      <w:bookmarkEnd w:id="23"/>
    </w:p>
    <w:p w14:paraId="17625471" w14:textId="77777777" w:rsidR="00D1418C" w:rsidRDefault="00D1418C" w:rsidP="00414DEF">
      <w:pPr>
        <w:pStyle w:val="Prrafodelista"/>
        <w:widowControl/>
        <w:spacing w:after="160" w:line="240" w:lineRule="auto"/>
        <w:ind w:left="0"/>
        <w:jc w:val="both"/>
        <w:rPr>
          <w:rFonts w:ascii="Verdana" w:hAnsi="Verdana"/>
          <w:sz w:val="20"/>
          <w:szCs w:val="20"/>
          <w:lang w:val="es-ES"/>
        </w:rPr>
      </w:pPr>
    </w:p>
    <w:p w14:paraId="324E2242" w14:textId="4907A691" w:rsidR="00D1418C" w:rsidRPr="00641600" w:rsidRDefault="00D1418C" w:rsidP="00414DEF">
      <w:pPr>
        <w:pStyle w:val="Prrafodelista"/>
        <w:widowControl/>
        <w:numPr>
          <w:ilvl w:val="0"/>
          <w:numId w:val="26"/>
        </w:numPr>
        <w:spacing w:after="160" w:line="240" w:lineRule="auto"/>
        <w:ind w:left="0" w:firstLine="0"/>
        <w:jc w:val="both"/>
        <w:rPr>
          <w:rFonts w:ascii="Verdana" w:hAnsi="Verdana"/>
          <w:sz w:val="20"/>
          <w:szCs w:val="20"/>
          <w:lang w:val="es-ES"/>
        </w:rPr>
      </w:pPr>
      <w:r w:rsidRPr="00C666CD">
        <w:rPr>
          <w:rFonts w:ascii="Verdana" w:hAnsi="Verdana"/>
          <w:sz w:val="20"/>
          <w:szCs w:val="20"/>
          <w:lang w:val="es-ES"/>
        </w:rPr>
        <w:t xml:space="preserve">La </w:t>
      </w:r>
      <w:r w:rsidRPr="0055367E">
        <w:rPr>
          <w:rFonts w:ascii="Verdana" w:hAnsi="Verdana"/>
          <w:b/>
          <w:i/>
          <w:sz w:val="20"/>
          <w:szCs w:val="20"/>
          <w:lang w:val="es-ES"/>
        </w:rPr>
        <w:t>Comisión</w:t>
      </w:r>
      <w:r>
        <w:rPr>
          <w:rFonts w:ascii="Verdana" w:hAnsi="Verdana"/>
          <w:sz w:val="20"/>
          <w:szCs w:val="20"/>
          <w:lang w:val="es-ES"/>
        </w:rPr>
        <w:t xml:space="preserve"> advirtió</w:t>
      </w:r>
      <w:r w:rsidRPr="00C666CD">
        <w:rPr>
          <w:rFonts w:ascii="Verdana" w:hAnsi="Verdana"/>
          <w:sz w:val="20"/>
          <w:szCs w:val="20"/>
          <w:lang w:val="es-ES"/>
        </w:rPr>
        <w:t xml:space="preserve"> que la detención preventiva del señor Carranza “se </w:t>
      </w:r>
      <w:proofErr w:type="spellStart"/>
      <w:r w:rsidRPr="00C666CD">
        <w:rPr>
          <w:rFonts w:ascii="Verdana" w:hAnsi="Verdana"/>
          <w:sz w:val="20"/>
          <w:szCs w:val="20"/>
          <w:lang w:val="es-ES"/>
        </w:rPr>
        <w:t>bas</w:t>
      </w:r>
      <w:proofErr w:type="spellEnd"/>
      <w:r w:rsidRPr="00C666CD">
        <w:rPr>
          <w:rFonts w:ascii="Verdana" w:hAnsi="Verdana"/>
          <w:sz w:val="20"/>
          <w:szCs w:val="20"/>
          <w:lang w:val="es-ES"/>
        </w:rPr>
        <w:t>[</w:t>
      </w:r>
      <w:proofErr w:type="spellStart"/>
      <w:r w:rsidRPr="00C666CD">
        <w:rPr>
          <w:rFonts w:ascii="Verdana" w:hAnsi="Verdana"/>
          <w:sz w:val="20"/>
          <w:szCs w:val="20"/>
          <w:lang w:val="es-ES"/>
        </w:rPr>
        <w:t>ó</w:t>
      </w:r>
      <w:proofErr w:type="spellEnd"/>
      <w:r w:rsidRPr="00C666CD">
        <w:rPr>
          <w:rFonts w:ascii="Verdana" w:hAnsi="Verdana"/>
          <w:sz w:val="20"/>
          <w:szCs w:val="20"/>
          <w:lang w:val="es-ES"/>
        </w:rPr>
        <w:t>] esencialmente en […] elementos que apunta[</w:t>
      </w:r>
      <w:proofErr w:type="spellStart"/>
      <w:r w:rsidRPr="00C666CD">
        <w:rPr>
          <w:rFonts w:ascii="Verdana" w:hAnsi="Verdana"/>
          <w:sz w:val="20"/>
          <w:szCs w:val="20"/>
          <w:lang w:val="es-ES"/>
        </w:rPr>
        <w:t>ban</w:t>
      </w:r>
      <w:proofErr w:type="spellEnd"/>
      <w:r w:rsidRPr="00C666CD">
        <w:rPr>
          <w:rFonts w:ascii="Verdana" w:hAnsi="Verdana"/>
          <w:sz w:val="20"/>
          <w:szCs w:val="20"/>
          <w:lang w:val="es-ES"/>
        </w:rPr>
        <w:t xml:space="preserve">] a su responsabilidad”, y que </w:t>
      </w:r>
      <w:r>
        <w:rPr>
          <w:rFonts w:ascii="Verdana" w:hAnsi="Verdana"/>
          <w:sz w:val="20"/>
          <w:szCs w:val="20"/>
          <w:lang w:val="es-ES"/>
        </w:rPr>
        <w:t>la norma en que se sustentó, el artículo 177 del CPP, establecía como requisito único para la privación de libertad, indicios de responsabilidad por un delito y no “fines procesales”. Entendió que dicha norma resulta, al igual que lo decidido con base en la misma,</w:t>
      </w:r>
      <w:r w:rsidRPr="00C666CD">
        <w:rPr>
          <w:rFonts w:ascii="Verdana" w:hAnsi="Verdana"/>
          <w:sz w:val="20"/>
          <w:szCs w:val="20"/>
          <w:lang w:val="es-ES"/>
        </w:rPr>
        <w:t xml:space="preserve"> arbitraria</w:t>
      </w:r>
      <w:r w:rsidRPr="00A426D2">
        <w:rPr>
          <w:rFonts w:ascii="Verdana" w:hAnsi="Verdana"/>
          <w:sz w:val="20"/>
          <w:szCs w:val="20"/>
          <w:lang w:val="es-ES"/>
        </w:rPr>
        <w:t>.</w:t>
      </w:r>
      <w:r w:rsidRPr="00A426D2">
        <w:rPr>
          <w:rFonts w:ascii="Verdana" w:hAnsi="Verdana"/>
          <w:b/>
          <w:sz w:val="20"/>
          <w:szCs w:val="20"/>
          <w:lang w:val="es-ES"/>
        </w:rPr>
        <w:t xml:space="preserve"> </w:t>
      </w:r>
      <w:r>
        <w:rPr>
          <w:rFonts w:ascii="Verdana" w:hAnsi="Verdana"/>
          <w:sz w:val="20"/>
          <w:szCs w:val="20"/>
          <w:lang w:val="es-ES"/>
        </w:rPr>
        <w:t xml:space="preserve">Además, observó </w:t>
      </w:r>
      <w:r w:rsidRPr="00ED315D">
        <w:rPr>
          <w:rFonts w:ascii="Verdana" w:hAnsi="Verdana"/>
          <w:sz w:val="20"/>
          <w:szCs w:val="20"/>
          <w:lang w:val="es-ES"/>
        </w:rPr>
        <w:t xml:space="preserve">que la prisión preventiva se extendió por poco más de cuatro años, sin haberse efectuado una revisión periódica sobre </w:t>
      </w:r>
      <w:r>
        <w:rPr>
          <w:rFonts w:ascii="Verdana" w:hAnsi="Verdana"/>
          <w:sz w:val="20"/>
          <w:szCs w:val="20"/>
          <w:lang w:val="es-ES"/>
        </w:rPr>
        <w:t>su continuidad</w:t>
      </w:r>
      <w:r>
        <w:rPr>
          <w:rFonts w:ascii="Verdana" w:hAnsi="Verdana"/>
          <w:b/>
          <w:sz w:val="16"/>
          <w:szCs w:val="16"/>
          <w:lang w:val="es-ES"/>
        </w:rPr>
        <w:t xml:space="preserve">. </w:t>
      </w:r>
      <w:r w:rsidRPr="00ED315D">
        <w:rPr>
          <w:rFonts w:ascii="Verdana" w:hAnsi="Verdana"/>
          <w:sz w:val="20"/>
          <w:szCs w:val="20"/>
          <w:lang w:val="es-ES"/>
        </w:rPr>
        <w:t>Coligió que la prisión preventiva en el caso tuvo carácter arbitrario y punitivo, violando la libertad personal y la presunción de inocencia</w:t>
      </w:r>
      <w:r>
        <w:rPr>
          <w:rFonts w:ascii="Verdana" w:hAnsi="Verdana"/>
          <w:sz w:val="20"/>
          <w:szCs w:val="20"/>
          <w:lang w:val="es-ES"/>
        </w:rPr>
        <w:t>.</w:t>
      </w:r>
      <w:r w:rsidRPr="00ED315D">
        <w:rPr>
          <w:rFonts w:ascii="Verdana" w:hAnsi="Verdana"/>
          <w:b/>
          <w:sz w:val="16"/>
          <w:szCs w:val="16"/>
          <w:lang w:val="es-ES"/>
        </w:rPr>
        <w:t xml:space="preserve"> </w:t>
      </w:r>
      <w:r w:rsidRPr="003F19AF">
        <w:rPr>
          <w:rFonts w:ascii="Verdana" w:hAnsi="Verdana"/>
          <w:sz w:val="20"/>
          <w:szCs w:val="20"/>
          <w:lang w:val="es-ES"/>
        </w:rPr>
        <w:t>La Comisión entendió vulnerados los artículos 7</w:t>
      </w:r>
      <w:r>
        <w:rPr>
          <w:rFonts w:ascii="Verdana" w:hAnsi="Verdana"/>
          <w:sz w:val="20"/>
          <w:szCs w:val="20"/>
          <w:lang w:val="es-ES"/>
        </w:rPr>
        <w:t>.</w:t>
      </w:r>
      <w:r w:rsidRPr="003F19AF">
        <w:rPr>
          <w:rFonts w:ascii="Verdana" w:hAnsi="Verdana"/>
          <w:sz w:val="20"/>
          <w:szCs w:val="20"/>
          <w:lang w:val="es-ES"/>
        </w:rPr>
        <w:t>1, 7.3, 7.5 y 8.2 de la Convención Americana, en relación con sus artículos 1.1 y 2.</w:t>
      </w:r>
      <w:r>
        <w:rPr>
          <w:rFonts w:ascii="Verdana" w:hAnsi="Verdana"/>
          <w:sz w:val="20"/>
          <w:szCs w:val="20"/>
          <w:lang w:val="es-ES"/>
        </w:rPr>
        <w:t xml:space="preserve"> </w:t>
      </w:r>
      <w:r w:rsidRPr="00641600">
        <w:rPr>
          <w:rFonts w:ascii="Verdana" w:hAnsi="Verdana"/>
          <w:sz w:val="20"/>
          <w:szCs w:val="20"/>
          <w:lang w:val="es-ES"/>
        </w:rPr>
        <w:t>Por otra parte</w:t>
      </w:r>
      <w:r>
        <w:rPr>
          <w:rFonts w:ascii="Verdana" w:hAnsi="Verdana"/>
          <w:sz w:val="20"/>
          <w:szCs w:val="20"/>
          <w:lang w:val="es-ES"/>
        </w:rPr>
        <w:t>,</w:t>
      </w:r>
      <w:r w:rsidRPr="00641600">
        <w:rPr>
          <w:rFonts w:ascii="Verdana" w:hAnsi="Verdana"/>
          <w:sz w:val="20"/>
          <w:szCs w:val="20"/>
          <w:lang w:val="es-ES"/>
        </w:rPr>
        <w:t xml:space="preserve"> “</w:t>
      </w:r>
      <w:proofErr w:type="spellStart"/>
      <w:r w:rsidRPr="00641600">
        <w:rPr>
          <w:rFonts w:ascii="Verdana" w:hAnsi="Verdana"/>
          <w:sz w:val="20"/>
          <w:szCs w:val="20"/>
          <w:lang w:val="es-ES"/>
        </w:rPr>
        <w:t>observ</w:t>
      </w:r>
      <w:proofErr w:type="spellEnd"/>
      <w:r w:rsidRPr="00641600">
        <w:rPr>
          <w:rFonts w:ascii="Verdana" w:hAnsi="Verdana"/>
          <w:sz w:val="20"/>
          <w:szCs w:val="20"/>
          <w:lang w:val="es-ES"/>
        </w:rPr>
        <w:t>[</w:t>
      </w:r>
      <w:proofErr w:type="spellStart"/>
      <w:r w:rsidRPr="00641600">
        <w:rPr>
          <w:rFonts w:ascii="Verdana" w:hAnsi="Verdana"/>
          <w:sz w:val="20"/>
          <w:szCs w:val="20"/>
          <w:lang w:val="es-ES"/>
        </w:rPr>
        <w:t>ó</w:t>
      </w:r>
      <w:proofErr w:type="spellEnd"/>
      <w:r w:rsidRPr="00641600">
        <w:rPr>
          <w:rFonts w:ascii="Verdana" w:hAnsi="Verdana"/>
          <w:sz w:val="20"/>
          <w:szCs w:val="20"/>
          <w:lang w:val="es-ES"/>
        </w:rPr>
        <w:t>] demoras significativas en el impulso del proceso” posteriores a la detención del señor Carranza</w:t>
      </w:r>
      <w:r>
        <w:rPr>
          <w:rStyle w:val="Refdenotaalpie"/>
          <w:rFonts w:ascii="Verdana" w:hAnsi="Verdana"/>
          <w:sz w:val="20"/>
          <w:szCs w:val="20"/>
          <w:lang w:val="es-ES"/>
        </w:rPr>
        <w:footnoteReference w:id="24"/>
      </w:r>
      <w:r w:rsidRPr="00641600">
        <w:rPr>
          <w:rFonts w:ascii="Verdana" w:hAnsi="Verdana"/>
          <w:sz w:val="20"/>
          <w:szCs w:val="20"/>
          <w:lang w:val="es-ES"/>
        </w:rPr>
        <w:t xml:space="preserve">. Por ello, entendió que el Estado violó el derecho del señor Carranza a ser juzgado en un plazo razonable, transgrediendo el artículo 8.1 de la Convención en relación con el artículo 1.1 del mismo tratado. </w:t>
      </w:r>
    </w:p>
    <w:p w14:paraId="7A850215" w14:textId="77777777" w:rsidR="00D1418C" w:rsidRPr="00C666CD" w:rsidRDefault="00D1418C" w:rsidP="00414DEF">
      <w:pPr>
        <w:pStyle w:val="Prrafodelista"/>
        <w:spacing w:line="240" w:lineRule="auto"/>
        <w:ind w:left="0"/>
        <w:jc w:val="both"/>
        <w:rPr>
          <w:rFonts w:ascii="Verdana" w:hAnsi="Verdana"/>
          <w:sz w:val="20"/>
          <w:szCs w:val="20"/>
          <w:lang w:val="es-ES"/>
        </w:rPr>
      </w:pPr>
    </w:p>
    <w:p w14:paraId="5BADE41A" w14:textId="77777777" w:rsidR="00D1418C" w:rsidRPr="00C51DFE" w:rsidRDefault="00D1418C" w:rsidP="00414DEF">
      <w:pPr>
        <w:pStyle w:val="Prrafodelista"/>
        <w:widowControl/>
        <w:numPr>
          <w:ilvl w:val="0"/>
          <w:numId w:val="26"/>
        </w:numPr>
        <w:spacing w:after="160" w:line="240" w:lineRule="auto"/>
        <w:ind w:left="0" w:firstLine="0"/>
        <w:jc w:val="both"/>
        <w:rPr>
          <w:rFonts w:ascii="Verdana" w:hAnsi="Verdana"/>
          <w:sz w:val="20"/>
          <w:szCs w:val="20"/>
          <w:lang w:val="es-ES"/>
        </w:rPr>
      </w:pPr>
      <w:r w:rsidRPr="00E12C22">
        <w:rPr>
          <w:rFonts w:ascii="Verdana" w:hAnsi="Verdana"/>
          <w:sz w:val="20"/>
          <w:szCs w:val="20"/>
          <w:lang w:val="es-ES"/>
        </w:rPr>
        <w:t xml:space="preserve">El </w:t>
      </w:r>
      <w:r w:rsidRPr="00E12C22">
        <w:rPr>
          <w:rFonts w:ascii="Verdana" w:hAnsi="Verdana"/>
          <w:b/>
          <w:i/>
          <w:sz w:val="20"/>
          <w:szCs w:val="20"/>
          <w:lang w:val="es-ES"/>
        </w:rPr>
        <w:t xml:space="preserve">representante </w:t>
      </w:r>
      <w:r>
        <w:rPr>
          <w:rFonts w:ascii="Verdana" w:hAnsi="Verdana"/>
          <w:sz w:val="20"/>
          <w:szCs w:val="20"/>
          <w:lang w:val="es-ES"/>
        </w:rPr>
        <w:t>adujo que</w:t>
      </w:r>
      <w:r w:rsidRPr="00E12C22">
        <w:rPr>
          <w:rFonts w:ascii="Verdana" w:hAnsi="Verdana"/>
          <w:sz w:val="20"/>
          <w:szCs w:val="20"/>
          <w:lang w:val="es-ES"/>
        </w:rPr>
        <w:t xml:space="preserve"> la orden de prisión preventiva se decretó “sin </w:t>
      </w:r>
      <w:proofErr w:type="spellStart"/>
      <w:r w:rsidRPr="00E12C22">
        <w:rPr>
          <w:rFonts w:ascii="Verdana" w:hAnsi="Verdana"/>
          <w:sz w:val="20"/>
          <w:szCs w:val="20"/>
          <w:lang w:val="es-ES"/>
        </w:rPr>
        <w:t>hab</w:t>
      </w:r>
      <w:proofErr w:type="spellEnd"/>
      <w:r w:rsidRPr="00E12C22">
        <w:rPr>
          <w:rFonts w:ascii="Verdana" w:hAnsi="Verdana"/>
          <w:sz w:val="20"/>
          <w:szCs w:val="20"/>
          <w:lang w:val="es-ES"/>
        </w:rPr>
        <w:t>[</w:t>
      </w:r>
      <w:proofErr w:type="spellStart"/>
      <w:r>
        <w:rPr>
          <w:rFonts w:ascii="Verdana" w:hAnsi="Verdana"/>
          <w:sz w:val="20"/>
          <w:szCs w:val="20"/>
          <w:lang w:val="es-ES"/>
        </w:rPr>
        <w:t>e</w:t>
      </w:r>
      <w:r w:rsidRPr="00E12C22">
        <w:rPr>
          <w:rFonts w:ascii="Verdana" w:hAnsi="Verdana"/>
          <w:sz w:val="20"/>
          <w:szCs w:val="20"/>
          <w:lang w:val="es-ES"/>
        </w:rPr>
        <w:t>rse</w:t>
      </w:r>
      <w:proofErr w:type="spellEnd"/>
      <w:r w:rsidRPr="00E12C22">
        <w:rPr>
          <w:rFonts w:ascii="Verdana" w:hAnsi="Verdana"/>
          <w:sz w:val="20"/>
          <w:szCs w:val="20"/>
          <w:lang w:val="es-ES"/>
        </w:rPr>
        <w:t>] notificado [al señor Carranza] absolutamente nada”. Expresó que él fue ilegalmente privado de libertad por miembros de la policía rural, pues “no [le] exhibieron la orden de prisión ni le informaron las razones de su detención”</w:t>
      </w:r>
      <w:r>
        <w:rPr>
          <w:rFonts w:ascii="Verdana" w:hAnsi="Verdana"/>
          <w:sz w:val="20"/>
          <w:szCs w:val="20"/>
          <w:lang w:val="es-ES"/>
        </w:rPr>
        <w:t xml:space="preserve">. </w:t>
      </w:r>
      <w:r w:rsidRPr="00C51DFE">
        <w:rPr>
          <w:rFonts w:ascii="Verdana" w:hAnsi="Verdana"/>
          <w:sz w:val="20"/>
          <w:szCs w:val="20"/>
          <w:lang w:val="es-ES"/>
        </w:rPr>
        <w:t>Adujo también que el señor Carranza permaneció por más de cuatro años en prisión preventiva y que el Estado demoró “deliberadamente” el proceso para lesionar sus derechos más allá del plazo razonable</w:t>
      </w:r>
      <w:r>
        <w:rPr>
          <w:rStyle w:val="Refdenotaalpie"/>
          <w:rFonts w:ascii="Verdana" w:hAnsi="Verdana"/>
          <w:sz w:val="20"/>
          <w:szCs w:val="20"/>
          <w:lang w:val="es-ES"/>
        </w:rPr>
        <w:footnoteReference w:id="25"/>
      </w:r>
      <w:r w:rsidRPr="00C51DFE">
        <w:rPr>
          <w:rFonts w:ascii="Verdana" w:hAnsi="Verdana"/>
          <w:sz w:val="20"/>
          <w:szCs w:val="20"/>
          <w:lang w:val="es-ES"/>
        </w:rPr>
        <w:t xml:space="preserve">, lo cual constituyó una “flagrante” violación a sus derechos. </w:t>
      </w:r>
      <w:r w:rsidRPr="00695925">
        <w:rPr>
          <w:rFonts w:ascii="Verdana" w:hAnsi="Verdana"/>
          <w:sz w:val="20"/>
          <w:szCs w:val="20"/>
          <w:lang w:val="es-ES"/>
        </w:rPr>
        <w:t>El repr</w:t>
      </w:r>
      <w:r>
        <w:rPr>
          <w:rFonts w:ascii="Verdana" w:hAnsi="Verdana"/>
          <w:sz w:val="20"/>
          <w:szCs w:val="20"/>
          <w:lang w:val="es-ES"/>
        </w:rPr>
        <w:t>es</w:t>
      </w:r>
      <w:r w:rsidRPr="00695925">
        <w:rPr>
          <w:rFonts w:ascii="Verdana" w:hAnsi="Verdana"/>
          <w:sz w:val="20"/>
          <w:szCs w:val="20"/>
          <w:lang w:val="es-ES"/>
        </w:rPr>
        <w:t xml:space="preserve">entante alegó que se violaron los artículos 7 y 8 de la Convención, sin precisar en qué incisos. </w:t>
      </w:r>
    </w:p>
    <w:p w14:paraId="391498AE" w14:textId="77777777" w:rsidR="00D1418C" w:rsidRPr="00C666CD" w:rsidRDefault="00D1418C" w:rsidP="00414DEF">
      <w:pPr>
        <w:pStyle w:val="Prrafodelista"/>
        <w:spacing w:line="240" w:lineRule="auto"/>
        <w:ind w:left="0"/>
        <w:jc w:val="both"/>
        <w:rPr>
          <w:rFonts w:ascii="Verdana" w:hAnsi="Verdana"/>
          <w:sz w:val="20"/>
          <w:szCs w:val="20"/>
          <w:lang w:val="es-ES"/>
        </w:rPr>
      </w:pPr>
    </w:p>
    <w:p w14:paraId="66321FE1" w14:textId="77777777" w:rsidR="00D1418C" w:rsidRPr="00641600" w:rsidRDefault="00D1418C" w:rsidP="00414DEF">
      <w:pPr>
        <w:pStyle w:val="Prrafodelista"/>
        <w:widowControl/>
        <w:numPr>
          <w:ilvl w:val="0"/>
          <w:numId w:val="26"/>
        </w:numPr>
        <w:spacing w:after="160" w:line="240" w:lineRule="auto"/>
        <w:ind w:left="0" w:firstLine="0"/>
        <w:jc w:val="both"/>
        <w:rPr>
          <w:rFonts w:ascii="Verdana" w:hAnsi="Verdana"/>
          <w:sz w:val="20"/>
          <w:szCs w:val="20"/>
          <w:lang w:val="es-ES"/>
        </w:rPr>
      </w:pPr>
      <w:r w:rsidRPr="00C666CD">
        <w:rPr>
          <w:rFonts w:ascii="Verdana" w:hAnsi="Verdana"/>
          <w:sz w:val="20"/>
          <w:szCs w:val="20"/>
          <w:lang w:val="es-ES"/>
        </w:rPr>
        <w:t xml:space="preserve">El </w:t>
      </w:r>
      <w:r w:rsidRPr="00C51DFE">
        <w:rPr>
          <w:rFonts w:ascii="Verdana" w:hAnsi="Verdana"/>
          <w:b/>
          <w:i/>
          <w:sz w:val="20"/>
          <w:szCs w:val="20"/>
          <w:lang w:val="es-ES"/>
        </w:rPr>
        <w:t>Estado</w:t>
      </w:r>
      <w:r w:rsidRPr="00C666CD">
        <w:rPr>
          <w:rFonts w:ascii="Verdana" w:hAnsi="Verdana"/>
          <w:sz w:val="20"/>
          <w:szCs w:val="20"/>
          <w:lang w:val="es-ES"/>
        </w:rPr>
        <w:t xml:space="preserve"> </w:t>
      </w:r>
      <w:r>
        <w:rPr>
          <w:rFonts w:ascii="Verdana" w:hAnsi="Verdana"/>
          <w:sz w:val="20"/>
          <w:szCs w:val="20"/>
          <w:lang w:val="es-ES"/>
        </w:rPr>
        <w:t>negó su responsabilidad. M</w:t>
      </w:r>
      <w:r w:rsidRPr="00C666CD">
        <w:rPr>
          <w:rFonts w:ascii="Verdana" w:hAnsi="Verdana"/>
          <w:sz w:val="20"/>
          <w:szCs w:val="20"/>
          <w:lang w:val="es-ES"/>
        </w:rPr>
        <w:t>anifestó que la prisión preventiva decretada por autoridad competente en perjuicio del señor Carranza</w:t>
      </w:r>
      <w:r>
        <w:rPr>
          <w:rFonts w:ascii="Verdana" w:hAnsi="Verdana"/>
          <w:sz w:val="20"/>
          <w:szCs w:val="20"/>
          <w:lang w:val="es-ES"/>
        </w:rPr>
        <w:t xml:space="preserve"> tuvo base legal y</w:t>
      </w:r>
      <w:r w:rsidRPr="00C666CD">
        <w:rPr>
          <w:rFonts w:ascii="Verdana" w:hAnsi="Verdana"/>
          <w:sz w:val="20"/>
          <w:szCs w:val="20"/>
          <w:lang w:val="es-ES"/>
        </w:rPr>
        <w:t xml:space="preserve"> era necesaria, en virtud de que </w:t>
      </w:r>
      <w:r>
        <w:rPr>
          <w:rFonts w:ascii="Verdana" w:hAnsi="Verdana"/>
          <w:sz w:val="20"/>
          <w:szCs w:val="20"/>
          <w:lang w:val="es-ES"/>
        </w:rPr>
        <w:t xml:space="preserve">él </w:t>
      </w:r>
      <w:r w:rsidRPr="00C666CD">
        <w:rPr>
          <w:rFonts w:ascii="Verdana" w:hAnsi="Verdana"/>
          <w:sz w:val="20"/>
          <w:szCs w:val="20"/>
          <w:lang w:val="es-ES"/>
        </w:rPr>
        <w:t xml:space="preserve">se encontraba prófugo. </w:t>
      </w:r>
      <w:r>
        <w:rPr>
          <w:rFonts w:ascii="Verdana" w:hAnsi="Verdana"/>
          <w:sz w:val="20"/>
          <w:szCs w:val="20"/>
          <w:lang w:val="es-ES"/>
        </w:rPr>
        <w:t xml:space="preserve">Aseveró </w:t>
      </w:r>
      <w:r w:rsidRPr="00C666CD">
        <w:rPr>
          <w:rFonts w:ascii="Verdana" w:hAnsi="Verdana"/>
          <w:sz w:val="20"/>
          <w:szCs w:val="20"/>
          <w:lang w:val="es-ES"/>
        </w:rPr>
        <w:t xml:space="preserve">la idoneidad y sustento de la medida cautelar, que buscaba garantizar que el </w:t>
      </w:r>
      <w:r>
        <w:rPr>
          <w:rFonts w:ascii="Verdana" w:hAnsi="Verdana"/>
          <w:sz w:val="20"/>
          <w:szCs w:val="20"/>
          <w:lang w:val="es-ES"/>
        </w:rPr>
        <w:t>señor Carranza</w:t>
      </w:r>
      <w:r w:rsidRPr="00C666CD">
        <w:rPr>
          <w:rFonts w:ascii="Verdana" w:hAnsi="Verdana"/>
          <w:sz w:val="20"/>
          <w:szCs w:val="20"/>
          <w:lang w:val="es-ES"/>
        </w:rPr>
        <w:t xml:space="preserve"> compareciera a juicio. </w:t>
      </w:r>
      <w:r>
        <w:rPr>
          <w:rFonts w:ascii="Verdana" w:hAnsi="Verdana"/>
          <w:sz w:val="20"/>
          <w:szCs w:val="20"/>
          <w:lang w:val="es-ES"/>
        </w:rPr>
        <w:t xml:space="preserve">Expresó que la prisión preventiva se dictó con base en “criterios de estricta necesidad” y respetando la presunción de inocencia. En ese sentido, la medida tuvo por base indicios sobre la comisión de un </w:t>
      </w:r>
      <w:r w:rsidR="00EA1A7E">
        <w:rPr>
          <w:rFonts w:ascii="Verdana" w:hAnsi="Verdana"/>
          <w:sz w:val="20"/>
          <w:szCs w:val="20"/>
          <w:lang w:val="es-ES"/>
        </w:rPr>
        <w:t>delito,</w:t>
      </w:r>
      <w:r>
        <w:rPr>
          <w:rFonts w:ascii="Verdana" w:hAnsi="Verdana"/>
          <w:sz w:val="20"/>
          <w:szCs w:val="20"/>
          <w:lang w:val="es-ES"/>
        </w:rPr>
        <w:t xml:space="preserve"> pero también que el señor Carranza estaba prófugo, por lo que “se configuraron las circunstancias para determinar la prisión preventiva”.</w:t>
      </w:r>
      <w:r w:rsidRPr="00037BC6">
        <w:rPr>
          <w:rFonts w:ascii="Verdana" w:hAnsi="Verdana"/>
          <w:sz w:val="20"/>
          <w:szCs w:val="20"/>
          <w:lang w:val="es-ES"/>
        </w:rPr>
        <w:t xml:space="preserve"> Además, afirmó que el señor Carranza, estando ya privado de su libertad, no presentó recursos de hábeas corpus o amparo de libertad, que eran los recursos efectivos para cuestionar el supuesto exceso de duración de la prisión preventiva.</w:t>
      </w:r>
      <w:r>
        <w:rPr>
          <w:rFonts w:ascii="Verdana" w:hAnsi="Verdana"/>
          <w:b/>
          <w:sz w:val="16"/>
          <w:szCs w:val="16"/>
          <w:lang w:val="es-ES"/>
        </w:rPr>
        <w:t xml:space="preserve"> </w:t>
      </w:r>
      <w:r w:rsidRPr="00641600">
        <w:rPr>
          <w:rFonts w:ascii="Verdana" w:hAnsi="Verdana"/>
          <w:sz w:val="20"/>
          <w:szCs w:val="20"/>
          <w:lang w:val="es-ES"/>
        </w:rPr>
        <w:t xml:space="preserve">El Estado argumentó también que haber obtenido una sentencia penal tras un proceso de cuatro años (desde la detención del señor Carranza) “se </w:t>
      </w:r>
      <w:r w:rsidRPr="00641600">
        <w:rPr>
          <w:rFonts w:ascii="Verdana" w:hAnsi="Verdana"/>
          <w:sz w:val="20"/>
          <w:szCs w:val="20"/>
          <w:lang w:val="es-ES"/>
        </w:rPr>
        <w:lastRenderedPageBreak/>
        <w:t>enmarca en los parámetros razonables interamericanos”. A su vez, alegó que la presunta víctima “dilató por más de un año el proceso penal cuando estuvo prófugo”.</w:t>
      </w:r>
    </w:p>
    <w:p w14:paraId="2BFDDE52" w14:textId="77777777" w:rsidR="00D1418C" w:rsidRPr="00C666CD" w:rsidRDefault="00D1418C" w:rsidP="00414DEF">
      <w:pPr>
        <w:pStyle w:val="Prrafodelista"/>
        <w:spacing w:line="240" w:lineRule="auto"/>
        <w:ind w:left="0"/>
        <w:rPr>
          <w:rFonts w:ascii="Verdana" w:hAnsi="Verdana"/>
          <w:b/>
          <w:i/>
          <w:sz w:val="20"/>
          <w:szCs w:val="20"/>
          <w:lang w:val="es-ES"/>
        </w:rPr>
      </w:pPr>
    </w:p>
    <w:p w14:paraId="4546B2A0" w14:textId="77777777" w:rsidR="00D1418C" w:rsidRPr="00C666CD" w:rsidRDefault="00D1418C" w:rsidP="00414DEF">
      <w:pPr>
        <w:pStyle w:val="Prrafodelista"/>
        <w:spacing w:line="240" w:lineRule="auto"/>
        <w:ind w:left="284"/>
        <w:outlineLvl w:val="1"/>
        <w:rPr>
          <w:rFonts w:ascii="Verdana" w:hAnsi="Verdana"/>
          <w:b/>
          <w:i/>
          <w:sz w:val="20"/>
          <w:szCs w:val="20"/>
          <w:lang w:val="es-ES"/>
        </w:rPr>
      </w:pPr>
      <w:bookmarkStart w:id="24" w:name="_Toc34817796"/>
      <w:r>
        <w:rPr>
          <w:rFonts w:ascii="Verdana" w:hAnsi="Verdana"/>
          <w:b/>
          <w:i/>
          <w:sz w:val="20"/>
          <w:szCs w:val="20"/>
          <w:lang w:val="es-ES"/>
        </w:rPr>
        <w:t>B</w:t>
      </w:r>
      <w:r w:rsidRPr="00C666CD">
        <w:rPr>
          <w:rFonts w:ascii="Verdana" w:hAnsi="Verdana"/>
          <w:b/>
          <w:i/>
          <w:sz w:val="20"/>
          <w:szCs w:val="20"/>
          <w:lang w:val="es-ES"/>
        </w:rPr>
        <w:t>) Consideraciones de la Corte</w:t>
      </w:r>
      <w:bookmarkEnd w:id="24"/>
      <w:r w:rsidRPr="00C666CD">
        <w:rPr>
          <w:rFonts w:ascii="Verdana" w:hAnsi="Verdana"/>
          <w:b/>
          <w:i/>
          <w:sz w:val="20"/>
          <w:szCs w:val="20"/>
          <w:lang w:val="es-ES"/>
        </w:rPr>
        <w:t xml:space="preserve"> </w:t>
      </w:r>
    </w:p>
    <w:p w14:paraId="443F7EDD" w14:textId="77777777" w:rsidR="00D1418C" w:rsidRDefault="00D1418C" w:rsidP="00414DEF">
      <w:pPr>
        <w:pStyle w:val="Prrafodelista"/>
        <w:widowControl/>
        <w:spacing w:after="160" w:line="240" w:lineRule="auto"/>
        <w:ind w:left="0"/>
        <w:jc w:val="both"/>
        <w:rPr>
          <w:rFonts w:ascii="Verdana" w:hAnsi="Verdana"/>
          <w:sz w:val="20"/>
          <w:szCs w:val="20"/>
          <w:lang w:val="es-ES"/>
        </w:rPr>
      </w:pPr>
    </w:p>
    <w:p w14:paraId="52F2BCD9" w14:textId="77777777" w:rsidR="00D1418C" w:rsidRPr="00641600" w:rsidRDefault="00D1418C" w:rsidP="00414DEF">
      <w:pPr>
        <w:pStyle w:val="Prrafodelista"/>
        <w:numPr>
          <w:ilvl w:val="0"/>
          <w:numId w:val="26"/>
        </w:numPr>
        <w:spacing w:after="0" w:line="240" w:lineRule="auto"/>
        <w:ind w:left="0" w:firstLine="0"/>
        <w:jc w:val="both"/>
        <w:rPr>
          <w:rFonts w:ascii="Verdana" w:hAnsi="Verdana"/>
          <w:sz w:val="20"/>
          <w:szCs w:val="20"/>
          <w:lang w:val="es-ES"/>
        </w:rPr>
      </w:pPr>
      <w:r w:rsidRPr="00D07E93">
        <w:rPr>
          <w:rFonts w:ascii="Verdana" w:hAnsi="Verdana"/>
          <w:sz w:val="20"/>
          <w:szCs w:val="20"/>
          <w:lang w:val="es-ES"/>
        </w:rPr>
        <w:t>La Corte ha sostenido que el contenido esencial del artículo 7 de la Convención Americana es la protección de la libertad del individuo contra toda interferencia arbitraria o ilegal del Estado</w:t>
      </w:r>
      <w:r w:rsidRPr="007547EB">
        <w:rPr>
          <w:rStyle w:val="Refdenotaalpie"/>
        </w:rPr>
        <w:footnoteReference w:id="26"/>
      </w:r>
      <w:r w:rsidRPr="00D07E93">
        <w:rPr>
          <w:rFonts w:ascii="Verdana" w:hAnsi="Verdana"/>
          <w:sz w:val="20"/>
          <w:szCs w:val="20"/>
          <w:lang w:val="es-ES"/>
        </w:rPr>
        <w:t>. Ha afirmado que este artículo tiene dos tipos de regulaciones bien diferenciadas entre sí, una general y otra específica. La general se encuentra en el primer numeral: “[t]oda persona tiene el derecho a la libertad y a la seguridad personales”. Mientras que la específica está compuesta por una serie de garantías que protegen el derecho a no ser privado de la libertad ilegalmente (artículo 7.2) o arbitrariamente (artículo 7.3), a conocer las razones de la detención y los cargos formulados en contra del detenido (artículo 7.4), al control judicial de la privación de la libertad y la razonabilidad del p</w:t>
      </w:r>
      <w:r w:rsidRPr="002B14F2">
        <w:rPr>
          <w:rFonts w:ascii="Verdana" w:hAnsi="Verdana"/>
          <w:sz w:val="20"/>
          <w:szCs w:val="20"/>
          <w:lang w:val="es-ES"/>
        </w:rPr>
        <w:t>lazo de la prisión preventiva (artículo 7.5), a impugnar la legalidad de la detención (artículo 7.6) y a no ser detenido por deudas (artículo 7.7</w:t>
      </w:r>
      <w:r w:rsidRPr="002B14F2">
        <w:rPr>
          <w:rFonts w:ascii="Verdana" w:eastAsia="Calibri" w:hAnsi="Verdana"/>
          <w:sz w:val="20"/>
          <w:szCs w:val="20"/>
          <w:lang w:val="es-CR"/>
        </w:rPr>
        <w:t>)</w:t>
      </w:r>
      <w:r w:rsidRPr="002B14F2">
        <w:rPr>
          <w:rFonts w:ascii="Verdana" w:eastAsia="Calibri" w:hAnsi="Verdana"/>
          <w:spacing w:val="-2"/>
          <w:sz w:val="20"/>
          <w:szCs w:val="20"/>
          <w:vertAlign w:val="superscript"/>
        </w:rPr>
        <w:footnoteReference w:id="27"/>
      </w:r>
      <w:r w:rsidRPr="002B14F2">
        <w:rPr>
          <w:rFonts w:ascii="Verdana" w:eastAsia="Calibri" w:hAnsi="Verdana"/>
          <w:sz w:val="20"/>
          <w:szCs w:val="20"/>
          <w:lang w:val="es-CR"/>
        </w:rPr>
        <w:t>. Cualquier violación de los numerales 2 al 7 del artículo 7 de la Convención acarreará necesariamente la violación del artículo 7.1 de la misma</w:t>
      </w:r>
      <w:r w:rsidRPr="002B14F2">
        <w:rPr>
          <w:rFonts w:ascii="Verdana" w:eastAsia="Calibri" w:hAnsi="Verdana"/>
          <w:spacing w:val="-2"/>
          <w:sz w:val="20"/>
          <w:szCs w:val="20"/>
          <w:vertAlign w:val="superscript"/>
        </w:rPr>
        <w:footnoteReference w:id="28"/>
      </w:r>
      <w:r w:rsidRPr="002B14F2">
        <w:rPr>
          <w:rFonts w:ascii="Verdana" w:eastAsia="Calibri" w:hAnsi="Verdana"/>
          <w:sz w:val="20"/>
          <w:szCs w:val="20"/>
          <w:lang w:val="es-CR"/>
        </w:rPr>
        <w:t>.</w:t>
      </w:r>
      <w:r>
        <w:rPr>
          <w:rFonts w:ascii="Verdana" w:hAnsi="Verdana"/>
          <w:sz w:val="20"/>
          <w:szCs w:val="20"/>
          <w:lang w:val="es-ES"/>
        </w:rPr>
        <w:t xml:space="preserve"> Al respecto, e</w:t>
      </w:r>
      <w:r w:rsidRPr="00641600">
        <w:rPr>
          <w:rFonts w:ascii="Verdana" w:hAnsi="Verdana"/>
          <w:sz w:val="20"/>
          <w:szCs w:val="20"/>
          <w:lang w:val="es-ES"/>
        </w:rPr>
        <w:t xml:space="preserve">n lo que es relevante para este caso, cabe recordar lo que sigue. </w:t>
      </w:r>
    </w:p>
    <w:p w14:paraId="4543C57F" w14:textId="77777777" w:rsidR="00D1418C" w:rsidRPr="00774CDD" w:rsidRDefault="00D1418C" w:rsidP="00414DEF">
      <w:pPr>
        <w:pStyle w:val="Prrafodelista"/>
        <w:spacing w:line="240" w:lineRule="auto"/>
        <w:rPr>
          <w:rFonts w:ascii="Verdana" w:hAnsi="Verdana"/>
          <w:sz w:val="20"/>
          <w:szCs w:val="20"/>
          <w:lang w:val="es-ES"/>
        </w:rPr>
      </w:pPr>
    </w:p>
    <w:p w14:paraId="53FC6BDB" w14:textId="77777777" w:rsidR="00D1418C" w:rsidRPr="00774CDD"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Pr>
          <w:rFonts w:ascii="Verdana" w:hAnsi="Verdana"/>
          <w:sz w:val="20"/>
          <w:szCs w:val="20"/>
          <w:lang w:val="es-CR"/>
        </w:rPr>
        <w:t>E</w:t>
      </w:r>
      <w:r w:rsidRPr="00774CDD">
        <w:rPr>
          <w:rFonts w:ascii="Verdana" w:hAnsi="Verdana"/>
          <w:sz w:val="20"/>
          <w:szCs w:val="20"/>
          <w:lang w:val="es-CR"/>
        </w:rPr>
        <w:t>l artículo 7.2 de la Convención establece que “nadie puede ser privado de su libertad física, salvo por las causas y en las condiciones fijadas de antemano por las Constituciones Políticas de los Estados Partes o por las leyes dictadas conforme a ellas”. Este numeral reconoce la garantía primaria del derecho a la libertad física: la reserva de ley, según la cual, únicamente a través de una ley puede afectarse el derecho a la libertad personal</w:t>
      </w:r>
      <w:r w:rsidRPr="00774CDD">
        <w:rPr>
          <w:rStyle w:val="Refdenotaalpie"/>
          <w:rFonts w:ascii="Verdana" w:hAnsi="Verdana"/>
          <w:sz w:val="20"/>
          <w:szCs w:val="20"/>
        </w:rPr>
        <w:footnoteReference w:id="29"/>
      </w:r>
      <w:r w:rsidRPr="00774CDD">
        <w:rPr>
          <w:rFonts w:ascii="Verdana" w:hAnsi="Verdana"/>
          <w:sz w:val="20"/>
          <w:szCs w:val="20"/>
          <w:lang w:val="es-CR"/>
        </w:rPr>
        <w:t>. La reserva de ley debe forzosamente ir acompañada del principio de tipicidad, que obliga a los Estados a establecer, tan concretamente como sea posible y “de antemano”, las “causas” y “condiciones” de la privación de la libertad física. Adicionalmente exige su aplicación con estricta sujeción a los procedimientos objetivamente definidos en la ley</w:t>
      </w:r>
      <w:r w:rsidRPr="00774CDD">
        <w:rPr>
          <w:rStyle w:val="Refdenotaalpie"/>
          <w:rFonts w:ascii="Verdana" w:hAnsi="Verdana"/>
          <w:sz w:val="20"/>
          <w:szCs w:val="20"/>
        </w:rPr>
        <w:footnoteReference w:id="30"/>
      </w:r>
      <w:r w:rsidRPr="00774CDD">
        <w:rPr>
          <w:rFonts w:ascii="Verdana" w:hAnsi="Verdana"/>
          <w:sz w:val="20"/>
          <w:szCs w:val="20"/>
          <w:lang w:val="es-CR"/>
        </w:rPr>
        <w:t>. De ese modo, el artículo 7.2 de la Convención remite automáticamente a la normativa interna. Cualquier requisito establecido en la ley nacional que no sea cumplido al privar a una persona de su libertad, generará que tal privación sea ilegal y contraria a la Convención Americana</w:t>
      </w:r>
      <w:r w:rsidRPr="00774CDD">
        <w:rPr>
          <w:rStyle w:val="Refdenotaalpie"/>
          <w:rFonts w:ascii="Verdana" w:hAnsi="Verdana"/>
          <w:sz w:val="20"/>
          <w:szCs w:val="20"/>
        </w:rPr>
        <w:footnoteReference w:id="31"/>
      </w:r>
      <w:r w:rsidRPr="00774CDD">
        <w:rPr>
          <w:rFonts w:ascii="Verdana" w:hAnsi="Verdana"/>
          <w:sz w:val="20"/>
          <w:szCs w:val="20"/>
          <w:lang w:val="es-CR"/>
        </w:rPr>
        <w:t xml:space="preserve">. </w:t>
      </w:r>
    </w:p>
    <w:p w14:paraId="15C29EC8" w14:textId="77777777" w:rsidR="00D1418C" w:rsidRPr="00296E7A" w:rsidRDefault="00D1418C" w:rsidP="00414DEF">
      <w:pPr>
        <w:pStyle w:val="Prrafodelista"/>
        <w:spacing w:line="240" w:lineRule="auto"/>
        <w:rPr>
          <w:rFonts w:ascii="Verdana" w:hAnsi="Verdana"/>
          <w:sz w:val="20"/>
          <w:szCs w:val="20"/>
          <w:lang w:val="es-ES"/>
        </w:rPr>
      </w:pPr>
    </w:p>
    <w:p w14:paraId="6652198C" w14:textId="77777777" w:rsidR="00D1418C"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sidRPr="007509F4">
        <w:rPr>
          <w:rFonts w:ascii="Verdana" w:hAnsi="Verdana"/>
          <w:sz w:val="20"/>
          <w:szCs w:val="20"/>
          <w:lang w:val="es-ES"/>
        </w:rPr>
        <w:t>R</w:t>
      </w:r>
      <w:r w:rsidRPr="00792B32">
        <w:rPr>
          <w:rFonts w:ascii="Verdana" w:hAnsi="Verdana"/>
          <w:sz w:val="20"/>
          <w:szCs w:val="20"/>
          <w:lang w:val="es-ES"/>
        </w:rPr>
        <w:t>especto</w:t>
      </w:r>
      <w:r w:rsidRPr="00701E9B">
        <w:rPr>
          <w:rFonts w:ascii="Verdana" w:hAnsi="Verdana"/>
          <w:sz w:val="20"/>
          <w:szCs w:val="20"/>
          <w:lang w:val="es-ES"/>
        </w:rPr>
        <w:t xml:space="preserve"> a la interdicción de la “arbitrariedad” en la privación de libertad, mandada por el artículo convencional 7.3</w:t>
      </w:r>
      <w:r w:rsidRPr="00774CDD">
        <w:rPr>
          <w:rFonts w:ascii="Verdana" w:hAnsi="Verdana"/>
          <w:sz w:val="20"/>
          <w:szCs w:val="20"/>
          <w:lang w:val="es-CR"/>
        </w:rPr>
        <w:t xml:space="preserve">, la Corte ha establecido que nadie puede ser sometido a detención o encarcelamiento por causas y métodos que -aun calificados de </w:t>
      </w:r>
      <w:r w:rsidRPr="00774CDD">
        <w:rPr>
          <w:rFonts w:ascii="Verdana" w:hAnsi="Verdana"/>
          <w:sz w:val="20"/>
          <w:szCs w:val="20"/>
          <w:lang w:val="es-CR"/>
        </w:rPr>
        <w:lastRenderedPageBreak/>
        <w:t>legales- puedan reputarse como incompatibles con el respeto a los derechos fundamentales del individuo por ser, entre otras cosas, irrazonables, imprevisibles o faltos de proporcionalidad</w:t>
      </w:r>
      <w:r w:rsidRPr="00774CDD">
        <w:rPr>
          <w:rStyle w:val="Refdenotaalpie"/>
          <w:rFonts w:ascii="Verdana" w:hAnsi="Verdana"/>
          <w:sz w:val="20"/>
          <w:szCs w:val="20"/>
        </w:rPr>
        <w:footnoteReference w:id="32"/>
      </w:r>
      <w:r w:rsidRPr="00774CDD">
        <w:rPr>
          <w:rFonts w:ascii="Verdana" w:hAnsi="Verdana"/>
          <w:sz w:val="20"/>
          <w:szCs w:val="20"/>
          <w:lang w:val="es-CR"/>
        </w:rPr>
        <w:t>. Ha considerado que se requiere que la ley interna, el procedimiento aplicable y los principios generales expresos o tácitos correspondientes sean, en sí mismos, compatibles con la Convención. Así, no se debe equiparar el concepto de “arbitrariedad” con el de “contrario a ley”, sino que debe interpretarse de manera más amplia a fin de incluir elementos de incorrección, injusticia e imprevisibilidad</w:t>
      </w:r>
      <w:r w:rsidRPr="00774CDD">
        <w:rPr>
          <w:rStyle w:val="Refdenotaalpie"/>
          <w:rFonts w:ascii="Verdana" w:hAnsi="Verdana"/>
          <w:sz w:val="20"/>
          <w:szCs w:val="20"/>
        </w:rPr>
        <w:footnoteReference w:id="33"/>
      </w:r>
      <w:r w:rsidRPr="00774CDD">
        <w:rPr>
          <w:rFonts w:ascii="Verdana" w:hAnsi="Verdana"/>
          <w:sz w:val="20"/>
          <w:szCs w:val="20"/>
          <w:lang w:val="es-CR"/>
        </w:rPr>
        <w:t xml:space="preserve">.  </w:t>
      </w:r>
    </w:p>
    <w:p w14:paraId="76AB0738" w14:textId="77777777" w:rsidR="00D1418C" w:rsidRPr="00774CDD" w:rsidRDefault="00D1418C" w:rsidP="00414DEF">
      <w:pPr>
        <w:pStyle w:val="Prrafodelista"/>
        <w:widowControl/>
        <w:spacing w:after="160" w:line="240" w:lineRule="auto"/>
        <w:ind w:left="0"/>
        <w:jc w:val="both"/>
        <w:rPr>
          <w:rFonts w:ascii="Verdana" w:hAnsi="Verdana"/>
          <w:sz w:val="20"/>
          <w:szCs w:val="20"/>
          <w:lang w:val="es-CR"/>
        </w:rPr>
      </w:pPr>
    </w:p>
    <w:p w14:paraId="1A40D6BF" w14:textId="77777777" w:rsidR="00D1418C" w:rsidRPr="007509F4"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sidRPr="007509F4">
        <w:rPr>
          <w:rFonts w:ascii="Verdana" w:hAnsi="Verdana"/>
          <w:sz w:val="20"/>
          <w:szCs w:val="20"/>
          <w:lang w:val="es-CR"/>
        </w:rPr>
        <w:t>En cuanto al artículo 7.4</w:t>
      </w:r>
      <w:r w:rsidRPr="00792B32">
        <w:rPr>
          <w:rFonts w:ascii="Verdana" w:hAnsi="Verdana"/>
          <w:sz w:val="20"/>
          <w:szCs w:val="20"/>
          <w:lang w:val="es-CR"/>
        </w:rPr>
        <w:t xml:space="preserve">, </w:t>
      </w:r>
      <w:r w:rsidRPr="00774CDD">
        <w:rPr>
          <w:rFonts w:ascii="Verdana" w:hAnsi="Verdana"/>
          <w:sz w:val="20"/>
          <w:szCs w:val="20"/>
          <w:lang w:val="es-CR"/>
        </w:rPr>
        <w:t>esta Corte ha dicho que “el mismo alude a dos garantías para la persona que está siendo detenida: i) la información en forma oral o escrita sobre las razones de la detención, y ii) la notificación, que debe ser por escrito, de los cargos”</w:t>
      </w:r>
      <w:r w:rsidRPr="00774CDD">
        <w:rPr>
          <w:rStyle w:val="Refdenotaalpie"/>
          <w:rFonts w:ascii="Verdana" w:hAnsi="Verdana"/>
          <w:sz w:val="20"/>
          <w:szCs w:val="20"/>
          <w:lang w:val="es-CR"/>
        </w:rPr>
        <w:footnoteReference w:id="34"/>
      </w:r>
      <w:r w:rsidRPr="00774CDD">
        <w:rPr>
          <w:rFonts w:ascii="Verdana" w:hAnsi="Verdana"/>
          <w:sz w:val="20"/>
          <w:szCs w:val="20"/>
          <w:lang w:val="es-CR"/>
        </w:rPr>
        <w:t>.</w:t>
      </w:r>
    </w:p>
    <w:p w14:paraId="447B2A57" w14:textId="77777777" w:rsidR="00D1418C" w:rsidRPr="00E5673E" w:rsidRDefault="00D1418C" w:rsidP="00414DEF">
      <w:pPr>
        <w:pStyle w:val="Prrafodelista"/>
        <w:widowControl/>
        <w:spacing w:after="160" w:line="240" w:lineRule="auto"/>
        <w:ind w:left="0"/>
        <w:jc w:val="both"/>
        <w:rPr>
          <w:rFonts w:ascii="Verdana" w:hAnsi="Verdana"/>
          <w:sz w:val="20"/>
          <w:szCs w:val="20"/>
          <w:lang w:val="es-CR"/>
        </w:rPr>
      </w:pPr>
    </w:p>
    <w:p w14:paraId="441413FC" w14:textId="7D23131D" w:rsidR="00D1418C" w:rsidRPr="007509F4"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sidRPr="00774CDD">
        <w:rPr>
          <w:rFonts w:ascii="Verdana" w:hAnsi="Verdana"/>
          <w:sz w:val="20"/>
          <w:szCs w:val="20"/>
          <w:lang w:val="es-ES"/>
        </w:rPr>
        <w:t xml:space="preserve">El artículo 7.5, por su parte, </w:t>
      </w:r>
      <w:r w:rsidRPr="00774CDD">
        <w:rPr>
          <w:rFonts w:ascii="Verdana" w:hAnsi="Verdana"/>
          <w:sz w:val="20"/>
          <w:szCs w:val="20"/>
          <w:lang w:val="es-CR"/>
        </w:rPr>
        <w:t>establece</w:t>
      </w:r>
      <w:r w:rsidRPr="00774CDD">
        <w:rPr>
          <w:rFonts w:ascii="Verdana" w:hAnsi="Verdana"/>
          <w:sz w:val="20"/>
          <w:szCs w:val="20"/>
          <w:lang w:val="es-ES"/>
        </w:rPr>
        <w:t xml:space="preserve"> que</w:t>
      </w:r>
      <w:r>
        <w:rPr>
          <w:rFonts w:ascii="Verdana" w:hAnsi="Verdana"/>
          <w:sz w:val="20"/>
          <w:szCs w:val="20"/>
          <w:lang w:val="es-ES"/>
        </w:rPr>
        <w:t xml:space="preserve"> una persona detenida debe ser “</w:t>
      </w:r>
      <w:r w:rsidRPr="00774CDD">
        <w:rPr>
          <w:rFonts w:ascii="Verdana" w:hAnsi="Verdana"/>
          <w:sz w:val="20"/>
          <w:szCs w:val="20"/>
          <w:lang w:val="es-CR"/>
        </w:rPr>
        <w:t>juzgada dentro de un plazo razonable</w:t>
      </w:r>
      <w:r>
        <w:rPr>
          <w:rFonts w:ascii="Verdana" w:hAnsi="Verdana"/>
          <w:sz w:val="20"/>
          <w:szCs w:val="20"/>
          <w:lang w:val="es-CR"/>
        </w:rPr>
        <w:t>”</w:t>
      </w:r>
      <w:r w:rsidRPr="00774CDD">
        <w:rPr>
          <w:rFonts w:ascii="Verdana" w:hAnsi="Verdana"/>
          <w:sz w:val="20"/>
          <w:szCs w:val="20"/>
          <w:lang w:val="es-CR"/>
        </w:rPr>
        <w:t xml:space="preserve"> o </w:t>
      </w:r>
      <w:r>
        <w:rPr>
          <w:rFonts w:ascii="Verdana" w:hAnsi="Verdana"/>
          <w:sz w:val="20"/>
          <w:szCs w:val="20"/>
          <w:lang w:val="es-CR"/>
        </w:rPr>
        <w:t>“</w:t>
      </w:r>
      <w:r w:rsidRPr="00774CDD">
        <w:rPr>
          <w:rFonts w:ascii="Verdana" w:hAnsi="Verdana"/>
          <w:sz w:val="20"/>
          <w:szCs w:val="20"/>
          <w:lang w:val="es-CR"/>
        </w:rPr>
        <w:t>puesta en libertad</w:t>
      </w:r>
      <w:r>
        <w:rPr>
          <w:rFonts w:ascii="Verdana" w:hAnsi="Verdana"/>
          <w:sz w:val="20"/>
          <w:szCs w:val="20"/>
          <w:lang w:val="es-CR"/>
        </w:rPr>
        <w:t>” aun si</w:t>
      </w:r>
      <w:r w:rsidRPr="00774CDD">
        <w:rPr>
          <w:rFonts w:ascii="Verdana" w:hAnsi="Verdana"/>
          <w:sz w:val="20"/>
          <w:szCs w:val="20"/>
          <w:lang w:val="es-CR"/>
        </w:rPr>
        <w:t xml:space="preserve"> continú</w:t>
      </w:r>
      <w:r>
        <w:rPr>
          <w:rFonts w:ascii="Verdana" w:hAnsi="Verdana"/>
          <w:sz w:val="20"/>
          <w:szCs w:val="20"/>
          <w:lang w:val="es-CR"/>
        </w:rPr>
        <w:t>a</w:t>
      </w:r>
      <w:r w:rsidRPr="00774CDD">
        <w:rPr>
          <w:rFonts w:ascii="Verdana" w:hAnsi="Verdana"/>
          <w:sz w:val="20"/>
          <w:szCs w:val="20"/>
          <w:lang w:val="es-CR"/>
        </w:rPr>
        <w:t xml:space="preserve"> el proceso.</w:t>
      </w:r>
      <w:r>
        <w:rPr>
          <w:rFonts w:ascii="Verdana" w:hAnsi="Verdana"/>
          <w:sz w:val="20"/>
          <w:szCs w:val="20"/>
          <w:lang w:val="es-CR"/>
        </w:rPr>
        <w:t xml:space="preserve"> La disposición señala que la</w:t>
      </w:r>
      <w:r w:rsidRPr="00774CDD">
        <w:rPr>
          <w:rFonts w:ascii="Verdana" w:hAnsi="Verdana"/>
          <w:sz w:val="20"/>
          <w:szCs w:val="20"/>
          <w:lang w:val="es-CR"/>
        </w:rPr>
        <w:t xml:space="preserve"> </w:t>
      </w:r>
      <w:r>
        <w:rPr>
          <w:rFonts w:ascii="Verdana" w:hAnsi="Verdana"/>
          <w:sz w:val="20"/>
          <w:szCs w:val="20"/>
          <w:lang w:val="es-CR"/>
        </w:rPr>
        <w:t>“</w:t>
      </w:r>
      <w:r w:rsidRPr="00774CDD">
        <w:rPr>
          <w:rFonts w:ascii="Verdana" w:hAnsi="Verdana"/>
          <w:sz w:val="20"/>
          <w:szCs w:val="20"/>
          <w:lang w:val="es-CR"/>
        </w:rPr>
        <w:t xml:space="preserve">libertad podrá estar condicionada a garantías que aseguren </w:t>
      </w:r>
      <w:r>
        <w:rPr>
          <w:rFonts w:ascii="Verdana" w:hAnsi="Verdana"/>
          <w:sz w:val="20"/>
          <w:szCs w:val="20"/>
          <w:lang w:val="es-CR"/>
        </w:rPr>
        <w:t>[la]</w:t>
      </w:r>
      <w:r w:rsidRPr="00774CDD">
        <w:rPr>
          <w:rFonts w:ascii="Verdana" w:hAnsi="Verdana"/>
          <w:sz w:val="20"/>
          <w:szCs w:val="20"/>
          <w:lang w:val="es-CR"/>
        </w:rPr>
        <w:t xml:space="preserve"> comparecencia en el juicio</w:t>
      </w:r>
      <w:r w:rsidRPr="00774CDD">
        <w:rPr>
          <w:rFonts w:ascii="Verdana" w:hAnsi="Verdana"/>
          <w:sz w:val="20"/>
          <w:szCs w:val="20"/>
          <w:lang w:val="es-ES"/>
        </w:rPr>
        <w:t>”</w:t>
      </w:r>
      <w:r>
        <w:rPr>
          <w:rFonts w:ascii="Verdana" w:hAnsi="Verdana"/>
          <w:sz w:val="20"/>
          <w:szCs w:val="20"/>
          <w:lang w:val="es-ES"/>
        </w:rPr>
        <w:t>.</w:t>
      </w:r>
      <w:r w:rsidRPr="00774CDD">
        <w:rPr>
          <w:rFonts w:ascii="Verdana" w:hAnsi="Verdana"/>
          <w:sz w:val="20"/>
          <w:szCs w:val="20"/>
          <w:lang w:val="es-ES"/>
        </w:rPr>
        <w:t xml:space="preserve"> El sentido de esta norma indica que las medidas privativas de la libertad </w:t>
      </w:r>
      <w:r w:rsidR="00F774A7">
        <w:rPr>
          <w:rFonts w:ascii="Verdana" w:hAnsi="Verdana"/>
          <w:sz w:val="20"/>
          <w:szCs w:val="20"/>
          <w:lang w:val="es-ES"/>
        </w:rPr>
        <w:t>durante el proceso penal</w:t>
      </w:r>
      <w:r w:rsidRPr="00774CDD">
        <w:rPr>
          <w:rFonts w:ascii="Verdana" w:hAnsi="Verdana"/>
          <w:sz w:val="20"/>
          <w:szCs w:val="20"/>
          <w:lang w:val="es-ES"/>
        </w:rPr>
        <w:t xml:space="preserve"> son convencionales, siempre que tengan un propósito cautelar, es decir, que sean un medio para la neutralización de riesgos procesales, en particular la norma se refiere al de no comparecencia al juicio</w:t>
      </w:r>
      <w:r>
        <w:rPr>
          <w:rStyle w:val="Refdenotaalpie"/>
          <w:rFonts w:ascii="Verdana" w:hAnsi="Verdana"/>
          <w:sz w:val="20"/>
          <w:szCs w:val="20"/>
          <w:lang w:val="es-ES"/>
        </w:rPr>
        <w:footnoteReference w:id="35"/>
      </w:r>
      <w:r w:rsidRPr="00774CDD">
        <w:rPr>
          <w:rFonts w:ascii="Verdana" w:hAnsi="Verdana"/>
          <w:sz w:val="20"/>
          <w:szCs w:val="20"/>
          <w:lang w:val="es-ES"/>
        </w:rPr>
        <w:t xml:space="preserve">. </w:t>
      </w:r>
    </w:p>
    <w:p w14:paraId="514F9638" w14:textId="77777777" w:rsidR="00D1418C" w:rsidRPr="00774CDD" w:rsidRDefault="00D1418C" w:rsidP="00414DEF">
      <w:pPr>
        <w:pStyle w:val="Prrafodelista"/>
        <w:spacing w:line="240" w:lineRule="auto"/>
        <w:rPr>
          <w:rFonts w:ascii="Verdana" w:hAnsi="Verdana"/>
          <w:sz w:val="20"/>
          <w:szCs w:val="20"/>
          <w:lang w:val="es-CR"/>
        </w:rPr>
      </w:pPr>
    </w:p>
    <w:p w14:paraId="7542BCDB" w14:textId="45A13818" w:rsidR="00D1418C" w:rsidRPr="007509F4"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sidRPr="007509F4">
        <w:rPr>
          <w:rFonts w:ascii="Verdana" w:hAnsi="Verdana"/>
          <w:sz w:val="20"/>
          <w:szCs w:val="20"/>
          <w:lang w:val="es-CR"/>
        </w:rPr>
        <w:t>En relaci</w:t>
      </w:r>
      <w:r w:rsidRPr="00792B32">
        <w:rPr>
          <w:rFonts w:ascii="Verdana" w:hAnsi="Verdana"/>
          <w:sz w:val="20"/>
          <w:szCs w:val="20"/>
          <w:lang w:val="es-CR"/>
        </w:rPr>
        <w:t xml:space="preserve">ón con lo anterior, debe destacarse que la prisión preventiva </w:t>
      </w:r>
      <w:r w:rsidRPr="007509F4">
        <w:rPr>
          <w:rFonts w:ascii="Verdana" w:hAnsi="Verdana"/>
          <w:sz w:val="20"/>
          <w:szCs w:val="20"/>
          <w:lang w:val="es-ES"/>
        </w:rPr>
        <w:t>c</w:t>
      </w:r>
      <w:r w:rsidRPr="00792B32">
        <w:rPr>
          <w:rFonts w:ascii="Verdana" w:hAnsi="Verdana"/>
          <w:sz w:val="20"/>
          <w:szCs w:val="20"/>
          <w:lang w:val="es-ES"/>
        </w:rPr>
        <w:t>onstituye la medida más severa que se puede imponer a</w:t>
      </w:r>
      <w:r w:rsidRPr="006623D3">
        <w:rPr>
          <w:rFonts w:ascii="Verdana" w:hAnsi="Verdana"/>
          <w:sz w:val="20"/>
          <w:szCs w:val="20"/>
          <w:lang w:val="es-ES"/>
        </w:rPr>
        <w:t xml:space="preserve"> una persona imputada, y por ello debe aplicarse excepcionalmente: la regla debe ser la libertad de la persona procesada mientras se resuelve acerca de su responsabilidad penal</w:t>
      </w:r>
      <w:r w:rsidRPr="007509F4">
        <w:rPr>
          <w:rStyle w:val="Refdenotaalpie"/>
          <w:rFonts w:ascii="Verdana" w:hAnsi="Verdana"/>
          <w:sz w:val="20"/>
          <w:szCs w:val="20"/>
          <w:lang w:val="es-ES"/>
        </w:rPr>
        <w:footnoteReference w:id="36"/>
      </w:r>
      <w:r w:rsidRPr="007509F4">
        <w:rPr>
          <w:rFonts w:ascii="Verdana" w:hAnsi="Verdana"/>
          <w:sz w:val="20"/>
          <w:szCs w:val="20"/>
          <w:lang w:val="es-ES"/>
        </w:rPr>
        <w:t xml:space="preserve">. </w:t>
      </w:r>
      <w:r w:rsidRPr="00792B32">
        <w:rPr>
          <w:rFonts w:ascii="Verdana" w:hAnsi="Verdana"/>
          <w:sz w:val="20"/>
          <w:szCs w:val="20"/>
          <w:lang w:val="es-ES"/>
        </w:rPr>
        <w:t>Uno de los principios que limitan la prisi</w:t>
      </w:r>
      <w:r w:rsidRPr="006623D3">
        <w:rPr>
          <w:rFonts w:ascii="Verdana" w:hAnsi="Verdana"/>
          <w:sz w:val="20"/>
          <w:szCs w:val="20"/>
          <w:lang w:val="es-ES"/>
        </w:rPr>
        <w:t xml:space="preserve">ón preventiva es el de presunción de inocencia, contenido en el artículo 8.2, </w:t>
      </w:r>
      <w:r w:rsidRPr="00774CDD">
        <w:rPr>
          <w:rFonts w:ascii="Verdana" w:hAnsi="Verdana"/>
          <w:sz w:val="20"/>
          <w:szCs w:val="20"/>
          <w:lang w:val="es-ES"/>
        </w:rPr>
        <w:t xml:space="preserve">según el cual </w:t>
      </w:r>
      <w:r w:rsidRPr="00774CDD">
        <w:rPr>
          <w:rFonts w:ascii="Verdana" w:hAnsi="Verdana"/>
          <w:sz w:val="20"/>
          <w:szCs w:val="20"/>
          <w:lang w:val="es-CR"/>
        </w:rPr>
        <w:t xml:space="preserve">una persona es </w:t>
      </w:r>
      <w:r w:rsidR="00ED364F">
        <w:rPr>
          <w:rFonts w:ascii="Verdana" w:hAnsi="Verdana"/>
          <w:sz w:val="20"/>
          <w:szCs w:val="20"/>
          <w:lang w:val="es-CR"/>
        </w:rPr>
        <w:t xml:space="preserve">considerada </w:t>
      </w:r>
      <w:r w:rsidRPr="00774CDD">
        <w:rPr>
          <w:rFonts w:ascii="Verdana" w:hAnsi="Verdana"/>
          <w:sz w:val="20"/>
          <w:szCs w:val="20"/>
          <w:lang w:val="es-CR"/>
        </w:rPr>
        <w:t xml:space="preserve">inocente hasta que su culpabilidad sea demostrada. De esta garantía se desprende que los elementos que acreditan la existencia de los fines legítimos de la privación preventiva de la libertad </w:t>
      </w:r>
      <w:r w:rsidRPr="00774CDD">
        <w:rPr>
          <w:rFonts w:ascii="Verdana" w:hAnsi="Verdana"/>
          <w:sz w:val="20"/>
          <w:szCs w:val="20"/>
          <w:lang w:val="es-ES"/>
        </w:rPr>
        <w:t xml:space="preserve">tampoco se </w:t>
      </w:r>
      <w:r w:rsidRPr="00774CDD">
        <w:rPr>
          <w:rFonts w:ascii="Verdana" w:hAnsi="Verdana"/>
          <w:sz w:val="20"/>
          <w:szCs w:val="20"/>
          <w:lang w:val="es-CR"/>
        </w:rPr>
        <w:t>presumen</w:t>
      </w:r>
      <w:r w:rsidRPr="00774CDD">
        <w:rPr>
          <w:rFonts w:ascii="Verdana" w:hAnsi="Verdana"/>
          <w:sz w:val="20"/>
          <w:szCs w:val="20"/>
          <w:lang w:val="es-ES"/>
        </w:rPr>
        <w:t xml:space="preserve">, sino que el juez debe fundar su decisión en circunstancias objetivas y ciertas del caso concreto, que corresponde acreditar al titular de la persecución penal y no al acusado, quien además debe tener la posibilidad de ejercer el derecho de </w:t>
      </w:r>
      <w:r w:rsidRPr="00774CDD">
        <w:rPr>
          <w:rFonts w:ascii="Verdana" w:hAnsi="Verdana"/>
          <w:sz w:val="20"/>
          <w:szCs w:val="20"/>
          <w:lang w:val="es-ES"/>
        </w:rPr>
        <w:lastRenderedPageBreak/>
        <w:t>contradicción y estar debidamente asistido por un abogado</w:t>
      </w:r>
      <w:r w:rsidRPr="00774CDD">
        <w:rPr>
          <w:rStyle w:val="Refdenotaalpie"/>
          <w:rFonts w:ascii="Verdana" w:hAnsi="Verdana"/>
          <w:sz w:val="20"/>
          <w:szCs w:val="20"/>
          <w:lang w:val="es-ES"/>
        </w:rPr>
        <w:footnoteReference w:id="37"/>
      </w:r>
      <w:r w:rsidRPr="00774CDD">
        <w:rPr>
          <w:rFonts w:ascii="Verdana" w:hAnsi="Verdana"/>
          <w:sz w:val="20"/>
          <w:szCs w:val="20"/>
          <w:lang w:val="es-ES"/>
        </w:rPr>
        <w:t>. Así</w:t>
      </w:r>
      <w:r w:rsidR="00F774A7">
        <w:rPr>
          <w:rFonts w:ascii="Verdana" w:hAnsi="Verdana"/>
          <w:sz w:val="20"/>
          <w:szCs w:val="20"/>
          <w:lang w:val="es-ES"/>
        </w:rPr>
        <w:t>,</w:t>
      </w:r>
      <w:r w:rsidRPr="00774CDD">
        <w:rPr>
          <w:rFonts w:ascii="Verdana" w:hAnsi="Verdana"/>
          <w:sz w:val="20"/>
          <w:szCs w:val="20"/>
          <w:lang w:val="es-ES"/>
        </w:rPr>
        <w:t xml:space="preserve"> l</w:t>
      </w:r>
      <w:r w:rsidRPr="00774CDD">
        <w:rPr>
          <w:rFonts w:ascii="Verdana" w:hAnsi="Verdana"/>
          <w:sz w:val="20"/>
          <w:szCs w:val="20"/>
          <w:lang w:val="es-CR"/>
        </w:rPr>
        <w:t xml:space="preserve">a Corte ha sostenido que </w:t>
      </w:r>
      <w:r w:rsidRPr="00774CDD">
        <w:rPr>
          <w:rFonts w:ascii="Verdana" w:hAnsi="Verdana"/>
          <w:sz w:val="20"/>
          <w:szCs w:val="20"/>
          <w:lang w:val="es-MX" w:eastAsia="es-ES"/>
        </w:rPr>
        <w:t>las características personales del supuesto autor y la gravedad del delito que se le imputa no son, por sí mismos, justificación suficiente de la prisión preventiva</w:t>
      </w:r>
      <w:r w:rsidRPr="00774CDD">
        <w:rPr>
          <w:rStyle w:val="PrrafodelistaCar"/>
          <w:rFonts w:ascii="Verdana" w:hAnsi="Verdana"/>
          <w:sz w:val="20"/>
          <w:szCs w:val="20"/>
          <w:vertAlign w:val="superscript"/>
          <w:lang w:val="es-MX" w:eastAsia="es-ES"/>
        </w:rPr>
        <w:footnoteReference w:id="38"/>
      </w:r>
      <w:r w:rsidRPr="00774CDD">
        <w:rPr>
          <w:rFonts w:ascii="Verdana" w:hAnsi="Verdana"/>
          <w:sz w:val="20"/>
          <w:szCs w:val="20"/>
          <w:lang w:val="es-ES"/>
        </w:rPr>
        <w:t>.</w:t>
      </w:r>
    </w:p>
    <w:p w14:paraId="1C540796" w14:textId="77777777" w:rsidR="00D1418C" w:rsidRPr="00774CDD" w:rsidRDefault="00D1418C" w:rsidP="00414DEF">
      <w:pPr>
        <w:pStyle w:val="Prrafodelista"/>
        <w:spacing w:line="240" w:lineRule="auto"/>
        <w:rPr>
          <w:rFonts w:ascii="Verdana" w:hAnsi="Verdana"/>
          <w:sz w:val="20"/>
          <w:szCs w:val="20"/>
          <w:lang w:val="es-ES"/>
        </w:rPr>
      </w:pPr>
    </w:p>
    <w:p w14:paraId="5EB3B9DE" w14:textId="7A0FD4B4" w:rsidR="00D1418C" w:rsidRPr="00E5673E"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sidRPr="007B275B">
        <w:rPr>
          <w:rFonts w:ascii="Verdana" w:hAnsi="Verdana"/>
          <w:sz w:val="20"/>
          <w:szCs w:val="20"/>
          <w:lang w:val="es-ES"/>
        </w:rPr>
        <w:t xml:space="preserve">El artículo </w:t>
      </w:r>
      <w:r w:rsidRPr="007B275B">
        <w:rPr>
          <w:rFonts w:ascii="Verdana" w:eastAsia="Batang" w:hAnsi="Verdana"/>
          <w:sz w:val="20"/>
          <w:szCs w:val="20"/>
          <w:lang w:val="es-CR"/>
        </w:rPr>
        <w:t>7.5 de la Convención impone límites temporales a la duración de la prisión preventiva</w:t>
      </w:r>
      <w:r>
        <w:rPr>
          <w:rFonts w:ascii="Verdana" w:eastAsia="Batang" w:hAnsi="Verdana"/>
          <w:sz w:val="20"/>
          <w:szCs w:val="20"/>
          <w:lang w:val="es-CR"/>
        </w:rPr>
        <w:t xml:space="preserve"> en relación con la duración del proceso, indicando que el proceso puede </w:t>
      </w:r>
      <w:r w:rsidR="00507D34">
        <w:rPr>
          <w:rFonts w:ascii="Verdana" w:eastAsia="Batang" w:hAnsi="Verdana"/>
          <w:sz w:val="20"/>
          <w:szCs w:val="20"/>
          <w:lang w:val="es-CR"/>
        </w:rPr>
        <w:t>continuar</w:t>
      </w:r>
      <w:r>
        <w:rPr>
          <w:rFonts w:ascii="Verdana" w:eastAsia="Batang" w:hAnsi="Verdana"/>
          <w:sz w:val="20"/>
          <w:szCs w:val="20"/>
          <w:lang w:val="es-CR"/>
        </w:rPr>
        <w:t xml:space="preserve"> estando la persona imputada en libertad</w:t>
      </w:r>
      <w:r w:rsidRPr="007B275B">
        <w:rPr>
          <w:rFonts w:ascii="Verdana" w:eastAsia="Calibri" w:hAnsi="Verdana"/>
          <w:spacing w:val="-2"/>
          <w:sz w:val="20"/>
          <w:szCs w:val="20"/>
          <w:lang w:val="es-CR"/>
        </w:rPr>
        <w:t>.</w:t>
      </w:r>
      <w:r w:rsidRPr="007B275B">
        <w:rPr>
          <w:rFonts w:ascii="Verdana" w:eastAsia="Batang" w:hAnsi="Verdana"/>
          <w:sz w:val="20"/>
          <w:szCs w:val="20"/>
          <w:lang w:val="es-CR"/>
        </w:rPr>
        <w:t xml:space="preserve"> </w:t>
      </w:r>
      <w:r>
        <w:rPr>
          <w:rFonts w:ascii="Verdana" w:eastAsia="Batang" w:hAnsi="Verdana"/>
          <w:sz w:val="20"/>
          <w:szCs w:val="20"/>
          <w:lang w:val="es-CR"/>
        </w:rPr>
        <w:t>La Corte ha entendido que “</w:t>
      </w:r>
      <w:r w:rsidRPr="007B275B">
        <w:rPr>
          <w:rFonts w:ascii="Verdana" w:eastAsia="Batang" w:hAnsi="Verdana"/>
          <w:sz w:val="20"/>
          <w:szCs w:val="20"/>
          <w:lang w:val="es-CR"/>
        </w:rPr>
        <w:t>aun cuando medien razones para mantener a una persona en prisión preventiva, el artículo 7.5 garantiza que aquélla sea liberada si el período de la detención ha excedido el límite de lo razonable</w:t>
      </w:r>
      <w:r w:rsidRPr="007B275B">
        <w:rPr>
          <w:rFonts w:ascii="Verdana" w:eastAsia="Calibri" w:hAnsi="Verdana"/>
          <w:spacing w:val="-2"/>
          <w:sz w:val="20"/>
          <w:szCs w:val="20"/>
          <w:vertAlign w:val="superscript"/>
        </w:rPr>
        <w:footnoteReference w:id="39"/>
      </w:r>
      <w:r w:rsidRPr="007B275B">
        <w:rPr>
          <w:rFonts w:ascii="Verdana" w:eastAsia="Calibri" w:hAnsi="Verdana"/>
          <w:spacing w:val="-2"/>
          <w:sz w:val="20"/>
          <w:szCs w:val="20"/>
          <w:lang w:val="es-CR"/>
        </w:rPr>
        <w:t>.</w:t>
      </w:r>
    </w:p>
    <w:p w14:paraId="2FEE5237" w14:textId="77777777" w:rsidR="00D1418C" w:rsidRPr="00E5673E" w:rsidRDefault="00D1418C" w:rsidP="00414DEF">
      <w:pPr>
        <w:pStyle w:val="Prrafodelista"/>
        <w:spacing w:line="240" w:lineRule="auto"/>
        <w:rPr>
          <w:rFonts w:ascii="Verdana" w:hAnsi="Verdana"/>
          <w:sz w:val="20"/>
          <w:szCs w:val="20"/>
          <w:lang w:val="es-CR"/>
        </w:rPr>
      </w:pPr>
    </w:p>
    <w:p w14:paraId="64D4D647" w14:textId="5C75D04A" w:rsidR="00D1418C" w:rsidRPr="00695925"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Pr>
          <w:rFonts w:ascii="Verdana" w:hAnsi="Verdana"/>
          <w:sz w:val="20"/>
          <w:szCs w:val="20"/>
          <w:lang w:val="es-CR"/>
        </w:rPr>
        <w:t xml:space="preserve">Como surge de lo ya expuesto, en algunos aspectos, las garantías judiciales previstas en el artículo 8 de la Convención pueden verse estrechamente relacionadas </w:t>
      </w:r>
      <w:r w:rsidR="00F774A7">
        <w:rPr>
          <w:rFonts w:ascii="Verdana" w:hAnsi="Verdana"/>
          <w:sz w:val="20"/>
          <w:szCs w:val="20"/>
          <w:lang w:val="es-CR"/>
        </w:rPr>
        <w:t>con el</w:t>
      </w:r>
      <w:r>
        <w:rPr>
          <w:rFonts w:ascii="Verdana" w:hAnsi="Verdana"/>
          <w:sz w:val="20"/>
          <w:szCs w:val="20"/>
          <w:lang w:val="es-CR"/>
        </w:rPr>
        <w:t xml:space="preserve"> derecho a la libertad personal. Así, es relevante a efectos del caso señalar que </w:t>
      </w:r>
      <w:r w:rsidRPr="00695925">
        <w:rPr>
          <w:rFonts w:ascii="Verdana" w:hAnsi="Verdana"/>
          <w:sz w:val="20"/>
          <w:szCs w:val="20"/>
          <w:lang w:val="es-ES"/>
        </w:rPr>
        <w:t>siendo</w:t>
      </w:r>
      <w:r>
        <w:rPr>
          <w:rFonts w:ascii="Verdana" w:hAnsi="Verdana"/>
          <w:sz w:val="20"/>
          <w:szCs w:val="20"/>
          <w:lang w:val="es-ES"/>
        </w:rPr>
        <w:t xml:space="preserve"> </w:t>
      </w:r>
      <w:r w:rsidRPr="00695925">
        <w:rPr>
          <w:rFonts w:ascii="Verdana" w:hAnsi="Verdana"/>
          <w:sz w:val="20"/>
          <w:szCs w:val="20"/>
          <w:lang w:val="es-ES"/>
        </w:rPr>
        <w:t>la prisión preventiva una medida cautelar, no punitiva</w:t>
      </w:r>
      <w:r w:rsidRPr="00167F73">
        <w:rPr>
          <w:rFonts w:ascii="Verdana" w:hAnsi="Verdana"/>
          <w:sz w:val="20"/>
          <w:vertAlign w:val="superscript"/>
        </w:rPr>
        <w:footnoteReference w:id="40"/>
      </w:r>
      <w:r w:rsidRPr="00695925">
        <w:rPr>
          <w:rFonts w:ascii="Verdana" w:hAnsi="Verdana"/>
          <w:sz w:val="20"/>
          <w:szCs w:val="20"/>
          <w:lang w:val="es-ES"/>
        </w:rPr>
        <w:t>, mantener privada de libertad a una persona más allá del tiempo razonable para el cumplimiento de los fines que justifican su detención equivaldría, en los hechos, a una pena anticipada</w:t>
      </w:r>
      <w:r w:rsidRPr="00167F73">
        <w:rPr>
          <w:rFonts w:ascii="Verdana" w:hAnsi="Verdana"/>
          <w:sz w:val="20"/>
          <w:vertAlign w:val="superscript"/>
        </w:rPr>
        <w:footnoteReference w:id="41"/>
      </w:r>
      <w:r>
        <w:rPr>
          <w:rFonts w:ascii="Verdana" w:hAnsi="Verdana"/>
          <w:sz w:val="20"/>
          <w:szCs w:val="20"/>
          <w:lang w:val="es-ES"/>
        </w:rPr>
        <w:t xml:space="preserve">, lo que atentaría no solo contra el derecho a la libertad personal sino también contra la presunción de inocencia contemplada en el artículo 8.2 de la Convención. Otro vínculo entre el derecho a la libertad personal y las garantías judiciales se refiere al tiempo de las actuaciones procesales, en caso en que una persona esté privada de la libertad. Así, la Corte ha señalado que </w:t>
      </w:r>
      <w:r w:rsidRPr="00695925">
        <w:rPr>
          <w:rFonts w:ascii="Verdana" w:hAnsi="Verdana"/>
          <w:sz w:val="20"/>
          <w:szCs w:val="20"/>
          <w:lang w:val="es-ES"/>
        </w:rPr>
        <w:t>“</w:t>
      </w:r>
      <w:r>
        <w:rPr>
          <w:rFonts w:ascii="Verdana" w:hAnsi="Verdana"/>
          <w:sz w:val="20"/>
          <w:szCs w:val="20"/>
          <w:lang w:val="es-ES"/>
        </w:rPr>
        <w:t xml:space="preserve">el </w:t>
      </w:r>
      <w:r w:rsidRPr="00695925">
        <w:rPr>
          <w:rFonts w:ascii="Verdana" w:hAnsi="Verdana"/>
          <w:sz w:val="20"/>
          <w:szCs w:val="20"/>
          <w:lang w:val="es-ES"/>
        </w:rPr>
        <w:t>principio de ‘plazo razonable’ al que hacen referencia los artículos 7.5 y 8.1 de la Convención Americana tiene como finalidad impedir que los acusados permanezcan largo tiempo bajo acusación y asegurar que ésta se decida prontamente</w:t>
      </w:r>
      <w:r>
        <w:rPr>
          <w:rFonts w:ascii="Verdana" w:hAnsi="Verdana"/>
          <w:sz w:val="20"/>
          <w:szCs w:val="20"/>
          <w:lang w:val="es-ES"/>
        </w:rPr>
        <w:t>”</w:t>
      </w:r>
      <w:r w:rsidRPr="00167F73">
        <w:rPr>
          <w:rStyle w:val="Refdenotaalpie"/>
          <w:rFonts w:ascii="Verdana" w:hAnsi="Verdana"/>
          <w:sz w:val="20"/>
          <w:szCs w:val="16"/>
          <w:lang w:val="es-ES"/>
        </w:rPr>
        <w:footnoteReference w:id="42"/>
      </w:r>
      <w:r w:rsidRPr="00664ED1">
        <w:rPr>
          <w:rFonts w:ascii="Verdana" w:hAnsi="Verdana"/>
          <w:sz w:val="16"/>
          <w:szCs w:val="16"/>
          <w:lang w:val="es-ES"/>
        </w:rPr>
        <w:t>.</w:t>
      </w:r>
    </w:p>
    <w:p w14:paraId="542D5AE0" w14:textId="77777777" w:rsidR="00D1418C" w:rsidRPr="00C666CD" w:rsidRDefault="00D1418C" w:rsidP="00414DEF">
      <w:pPr>
        <w:pStyle w:val="Prrafodelista"/>
        <w:spacing w:line="240" w:lineRule="auto"/>
        <w:ind w:left="0"/>
        <w:rPr>
          <w:rFonts w:ascii="Verdana" w:hAnsi="Verdana"/>
          <w:sz w:val="20"/>
          <w:szCs w:val="20"/>
          <w:lang w:val="es-ES"/>
        </w:rPr>
      </w:pPr>
    </w:p>
    <w:p w14:paraId="6B043198" w14:textId="77777777" w:rsidR="00D1418C" w:rsidRDefault="00D1418C" w:rsidP="00414DEF">
      <w:pPr>
        <w:pStyle w:val="Prrafodelista"/>
        <w:widowControl/>
        <w:numPr>
          <w:ilvl w:val="0"/>
          <w:numId w:val="26"/>
        </w:numPr>
        <w:spacing w:after="0" w:line="240" w:lineRule="auto"/>
        <w:ind w:left="0" w:firstLine="0"/>
        <w:jc w:val="both"/>
      </w:pPr>
      <w:r w:rsidRPr="00C666CD">
        <w:rPr>
          <w:rFonts w:ascii="Verdana" w:hAnsi="Verdana"/>
          <w:sz w:val="20"/>
          <w:szCs w:val="20"/>
          <w:lang w:val="es-ES"/>
        </w:rPr>
        <w:t>Con base en lo anterior,</w:t>
      </w:r>
      <w:r>
        <w:rPr>
          <w:rFonts w:ascii="Verdana" w:hAnsi="Verdana"/>
          <w:sz w:val="20"/>
          <w:szCs w:val="20"/>
          <w:lang w:val="es-ES"/>
        </w:rPr>
        <w:t xml:space="preserve"> y en pautas más específicas que se expresan más adelante,</w:t>
      </w:r>
      <w:r w:rsidRPr="00C666CD">
        <w:rPr>
          <w:rFonts w:ascii="Verdana" w:hAnsi="Verdana"/>
          <w:sz w:val="20"/>
          <w:szCs w:val="20"/>
          <w:lang w:val="es-ES"/>
        </w:rPr>
        <w:t xml:space="preserve"> este Tribunal examinará los hechos sucedidos en el caso. Así, analizará</w:t>
      </w:r>
      <w:r>
        <w:rPr>
          <w:rFonts w:ascii="Verdana" w:hAnsi="Verdana"/>
          <w:sz w:val="20"/>
          <w:szCs w:val="20"/>
          <w:lang w:val="es-ES"/>
        </w:rPr>
        <w:t>:</w:t>
      </w:r>
      <w:r w:rsidRPr="00C666CD">
        <w:rPr>
          <w:rFonts w:ascii="Verdana" w:hAnsi="Verdana"/>
          <w:sz w:val="20"/>
          <w:szCs w:val="20"/>
          <w:lang w:val="es-ES"/>
        </w:rPr>
        <w:t xml:space="preserve"> i) l</w:t>
      </w:r>
      <w:r>
        <w:rPr>
          <w:rFonts w:ascii="Verdana" w:hAnsi="Verdana"/>
          <w:sz w:val="20"/>
          <w:szCs w:val="20"/>
          <w:lang w:val="es-ES"/>
        </w:rPr>
        <w:t>as órdenes de detención y de prisión preventiva del señor Carranza;</w:t>
      </w:r>
      <w:r w:rsidRPr="00C666CD">
        <w:rPr>
          <w:rFonts w:ascii="Verdana" w:hAnsi="Verdana"/>
          <w:sz w:val="20"/>
          <w:szCs w:val="20"/>
          <w:lang w:val="es-ES"/>
        </w:rPr>
        <w:t xml:space="preserve"> ii) </w:t>
      </w:r>
      <w:r>
        <w:rPr>
          <w:rFonts w:ascii="Verdana" w:hAnsi="Verdana"/>
          <w:sz w:val="20"/>
          <w:szCs w:val="20"/>
          <w:lang w:val="es-ES"/>
        </w:rPr>
        <w:t>la re</w:t>
      </w:r>
      <w:r w:rsidRPr="00C666CD">
        <w:rPr>
          <w:rFonts w:ascii="Verdana" w:hAnsi="Verdana"/>
          <w:sz w:val="20"/>
          <w:szCs w:val="20"/>
          <w:lang w:val="es-ES"/>
        </w:rPr>
        <w:t>visión de la prisión preventiva</w:t>
      </w:r>
      <w:r>
        <w:rPr>
          <w:rFonts w:ascii="Verdana" w:hAnsi="Verdana"/>
          <w:sz w:val="20"/>
          <w:szCs w:val="20"/>
          <w:lang w:val="es-ES"/>
        </w:rPr>
        <w:t>;</w:t>
      </w:r>
      <w:r w:rsidRPr="00C666CD">
        <w:rPr>
          <w:rFonts w:ascii="Verdana" w:hAnsi="Verdana"/>
          <w:sz w:val="20"/>
          <w:szCs w:val="20"/>
          <w:lang w:val="es-ES"/>
        </w:rPr>
        <w:t xml:space="preserve"> iii) la razonabilidad del </w:t>
      </w:r>
      <w:r>
        <w:rPr>
          <w:rFonts w:ascii="Verdana" w:hAnsi="Verdana"/>
          <w:sz w:val="20"/>
          <w:szCs w:val="20"/>
          <w:lang w:val="es-ES"/>
        </w:rPr>
        <w:t>tiempo insumido, y iv)</w:t>
      </w:r>
      <w:r w:rsidRPr="00635712">
        <w:rPr>
          <w:rFonts w:ascii="Verdana" w:hAnsi="Verdana"/>
          <w:sz w:val="20"/>
          <w:szCs w:val="20"/>
          <w:lang w:val="es-ES"/>
        </w:rPr>
        <w:t xml:space="preserve"> </w:t>
      </w:r>
      <w:r>
        <w:rPr>
          <w:rFonts w:ascii="Verdana" w:hAnsi="Verdana"/>
          <w:sz w:val="20"/>
          <w:szCs w:val="20"/>
          <w:lang w:val="es-ES"/>
        </w:rPr>
        <w:t xml:space="preserve">la </w:t>
      </w:r>
      <w:r w:rsidRPr="00C666CD">
        <w:rPr>
          <w:rFonts w:ascii="Verdana" w:hAnsi="Verdana"/>
          <w:sz w:val="20"/>
          <w:szCs w:val="20"/>
          <w:lang w:val="es-ES"/>
        </w:rPr>
        <w:t>observancia del principio de presunción de inocencia</w:t>
      </w:r>
      <w:r>
        <w:rPr>
          <w:rFonts w:ascii="Verdana" w:hAnsi="Verdana"/>
          <w:sz w:val="20"/>
          <w:szCs w:val="20"/>
          <w:lang w:val="es-ES"/>
        </w:rPr>
        <w:t xml:space="preserve">. Por último, expondrá su conclusión. </w:t>
      </w:r>
    </w:p>
    <w:p w14:paraId="6F7A9A77" w14:textId="77777777" w:rsidR="00D1418C" w:rsidRDefault="00D1418C" w:rsidP="00414DEF">
      <w:pPr>
        <w:spacing w:after="0" w:line="240" w:lineRule="auto"/>
        <w:rPr>
          <w:rFonts w:ascii="Verdana" w:hAnsi="Verdana"/>
          <w:sz w:val="20"/>
          <w:szCs w:val="20"/>
          <w:lang w:val="es-ES"/>
        </w:rPr>
      </w:pPr>
    </w:p>
    <w:p w14:paraId="24E8C176" w14:textId="77777777" w:rsidR="005A4119" w:rsidRDefault="005A4119" w:rsidP="00414DEF">
      <w:pPr>
        <w:spacing w:after="0" w:line="240" w:lineRule="auto"/>
        <w:rPr>
          <w:rFonts w:ascii="Verdana" w:hAnsi="Verdana"/>
          <w:sz w:val="20"/>
          <w:szCs w:val="20"/>
          <w:lang w:val="es-ES"/>
        </w:rPr>
      </w:pPr>
    </w:p>
    <w:p w14:paraId="5C4EC2DD" w14:textId="77777777" w:rsidR="005A4119" w:rsidRDefault="005A4119" w:rsidP="00414DEF">
      <w:pPr>
        <w:spacing w:after="0" w:line="240" w:lineRule="auto"/>
        <w:rPr>
          <w:rFonts w:ascii="Verdana" w:hAnsi="Verdana"/>
          <w:sz w:val="20"/>
          <w:szCs w:val="20"/>
          <w:lang w:val="es-ES"/>
        </w:rPr>
      </w:pPr>
    </w:p>
    <w:p w14:paraId="54966CBA" w14:textId="77777777" w:rsidR="005A4119" w:rsidRDefault="005A4119" w:rsidP="00414DEF">
      <w:pPr>
        <w:spacing w:after="0" w:line="240" w:lineRule="auto"/>
        <w:rPr>
          <w:rFonts w:ascii="Verdana" w:hAnsi="Verdana"/>
          <w:sz w:val="20"/>
          <w:szCs w:val="20"/>
          <w:lang w:val="es-ES"/>
        </w:rPr>
      </w:pPr>
    </w:p>
    <w:p w14:paraId="29D6109C" w14:textId="77777777" w:rsidR="005A4119" w:rsidRDefault="005A4119" w:rsidP="00414DEF">
      <w:pPr>
        <w:spacing w:after="0" w:line="240" w:lineRule="auto"/>
        <w:rPr>
          <w:rFonts w:ascii="Verdana" w:hAnsi="Verdana"/>
          <w:sz w:val="20"/>
          <w:szCs w:val="20"/>
          <w:lang w:val="es-ES"/>
        </w:rPr>
      </w:pPr>
    </w:p>
    <w:p w14:paraId="1447FFE0" w14:textId="77777777" w:rsidR="005A4119" w:rsidRPr="00CB1070" w:rsidRDefault="005A4119" w:rsidP="00414DEF">
      <w:pPr>
        <w:spacing w:after="0" w:line="240" w:lineRule="auto"/>
        <w:rPr>
          <w:rFonts w:ascii="Verdana" w:hAnsi="Verdana"/>
          <w:sz w:val="20"/>
          <w:szCs w:val="20"/>
          <w:lang w:val="es-ES"/>
        </w:rPr>
      </w:pPr>
    </w:p>
    <w:p w14:paraId="4D84BC91" w14:textId="67FC6FE8" w:rsidR="00D1418C" w:rsidRPr="000C4348" w:rsidRDefault="00D1418C" w:rsidP="00414DEF">
      <w:pPr>
        <w:pStyle w:val="Prrafodelista"/>
        <w:widowControl/>
        <w:spacing w:after="0" w:line="240" w:lineRule="auto"/>
        <w:ind w:left="284"/>
        <w:jc w:val="both"/>
        <w:outlineLvl w:val="2"/>
        <w:rPr>
          <w:rFonts w:ascii="Verdana" w:hAnsi="Verdana"/>
          <w:i/>
          <w:sz w:val="20"/>
          <w:szCs w:val="20"/>
          <w:lang w:val="es-ES"/>
        </w:rPr>
      </w:pPr>
      <w:bookmarkStart w:id="25" w:name="_Toc34817797"/>
      <w:r w:rsidRPr="000C4348">
        <w:rPr>
          <w:rFonts w:ascii="Verdana" w:hAnsi="Verdana"/>
          <w:i/>
          <w:sz w:val="20"/>
          <w:szCs w:val="20"/>
          <w:lang w:val="es-ES"/>
        </w:rPr>
        <w:lastRenderedPageBreak/>
        <w:t xml:space="preserve">B.1 </w:t>
      </w:r>
      <w:r>
        <w:rPr>
          <w:rFonts w:ascii="Verdana" w:hAnsi="Verdana"/>
          <w:i/>
          <w:sz w:val="20"/>
          <w:szCs w:val="20"/>
          <w:u w:val="single"/>
          <w:lang w:val="es-ES"/>
        </w:rPr>
        <w:t>Ó</w:t>
      </w:r>
      <w:r w:rsidRPr="000C4348">
        <w:rPr>
          <w:rFonts w:ascii="Verdana" w:hAnsi="Verdana"/>
          <w:i/>
          <w:sz w:val="20"/>
          <w:szCs w:val="20"/>
          <w:u w:val="single"/>
          <w:lang w:val="es-ES"/>
        </w:rPr>
        <w:t>rden</w:t>
      </w:r>
      <w:r>
        <w:rPr>
          <w:rFonts w:ascii="Verdana" w:hAnsi="Verdana"/>
          <w:i/>
          <w:sz w:val="20"/>
          <w:szCs w:val="20"/>
          <w:u w:val="single"/>
          <w:lang w:val="es-ES"/>
        </w:rPr>
        <w:t>es</w:t>
      </w:r>
      <w:r w:rsidRPr="000C4348">
        <w:rPr>
          <w:rFonts w:ascii="Verdana" w:hAnsi="Verdana"/>
          <w:i/>
          <w:sz w:val="20"/>
          <w:szCs w:val="20"/>
          <w:u w:val="single"/>
          <w:lang w:val="es-ES"/>
        </w:rPr>
        <w:t xml:space="preserve"> de </w:t>
      </w:r>
      <w:r>
        <w:rPr>
          <w:rFonts w:ascii="Verdana" w:hAnsi="Verdana"/>
          <w:i/>
          <w:sz w:val="20"/>
          <w:szCs w:val="20"/>
          <w:u w:val="single"/>
          <w:lang w:val="es-ES"/>
        </w:rPr>
        <w:t xml:space="preserve">detención y de </w:t>
      </w:r>
      <w:r w:rsidRPr="000C4348">
        <w:rPr>
          <w:rFonts w:ascii="Verdana" w:hAnsi="Verdana"/>
          <w:i/>
          <w:sz w:val="20"/>
          <w:szCs w:val="20"/>
          <w:u w:val="single"/>
          <w:lang w:val="es-ES"/>
        </w:rPr>
        <w:t>prisión preventiva del señor Carranza</w:t>
      </w:r>
      <w:bookmarkEnd w:id="25"/>
    </w:p>
    <w:p w14:paraId="7842F1E5" w14:textId="77777777" w:rsidR="00D1418C" w:rsidRDefault="00D1418C" w:rsidP="00414DEF">
      <w:pPr>
        <w:pStyle w:val="Prrafodelista"/>
        <w:spacing w:after="0" w:line="240" w:lineRule="auto"/>
        <w:ind w:left="0"/>
        <w:rPr>
          <w:rFonts w:ascii="Verdana" w:hAnsi="Verdana"/>
          <w:sz w:val="20"/>
          <w:szCs w:val="20"/>
          <w:lang w:val="es-ES"/>
        </w:rPr>
      </w:pPr>
    </w:p>
    <w:p w14:paraId="3B46DB9F" w14:textId="77777777" w:rsidR="00D1418C" w:rsidRPr="00161EAA" w:rsidRDefault="00D1418C" w:rsidP="00414DEF">
      <w:pPr>
        <w:pStyle w:val="Prrafodelista"/>
        <w:spacing w:after="0" w:line="240" w:lineRule="auto"/>
        <w:ind w:left="851"/>
        <w:outlineLvl w:val="3"/>
        <w:rPr>
          <w:rFonts w:ascii="Verdana" w:hAnsi="Verdana"/>
          <w:i/>
          <w:sz w:val="20"/>
          <w:szCs w:val="20"/>
          <w:lang w:val="es-ES"/>
        </w:rPr>
      </w:pPr>
      <w:bookmarkStart w:id="26" w:name="_Toc34817798"/>
      <w:r w:rsidRPr="00161EAA">
        <w:rPr>
          <w:rFonts w:ascii="Verdana" w:hAnsi="Verdana"/>
          <w:i/>
          <w:sz w:val="20"/>
          <w:szCs w:val="20"/>
          <w:lang w:val="es-ES"/>
        </w:rPr>
        <w:t>B.1.1 Detención inicial</w:t>
      </w:r>
      <w:bookmarkEnd w:id="26"/>
    </w:p>
    <w:p w14:paraId="28643F4D" w14:textId="77777777" w:rsidR="00D1418C" w:rsidRPr="00C666CD" w:rsidRDefault="00D1418C" w:rsidP="00414DEF">
      <w:pPr>
        <w:pStyle w:val="Prrafodelista"/>
        <w:spacing w:after="0" w:line="240" w:lineRule="auto"/>
        <w:ind w:left="0"/>
        <w:rPr>
          <w:rFonts w:ascii="Verdana" w:hAnsi="Verdana"/>
          <w:sz w:val="20"/>
          <w:szCs w:val="20"/>
          <w:lang w:val="es-ES"/>
        </w:rPr>
      </w:pPr>
    </w:p>
    <w:p w14:paraId="28DD2CF7" w14:textId="5A5DF923" w:rsidR="00D1418C" w:rsidRDefault="00D1418C" w:rsidP="00414DEF">
      <w:pPr>
        <w:pStyle w:val="Prrafodelista"/>
        <w:widowControl/>
        <w:numPr>
          <w:ilvl w:val="0"/>
          <w:numId w:val="26"/>
        </w:numPr>
        <w:spacing w:after="0" w:line="240" w:lineRule="auto"/>
        <w:ind w:left="0" w:firstLine="0"/>
        <w:jc w:val="both"/>
        <w:rPr>
          <w:rFonts w:ascii="Verdana" w:hAnsi="Verdana"/>
          <w:sz w:val="20"/>
          <w:szCs w:val="20"/>
          <w:lang w:val="es-ES"/>
        </w:rPr>
      </w:pPr>
      <w:r>
        <w:rPr>
          <w:rFonts w:ascii="Verdana" w:hAnsi="Verdana"/>
          <w:sz w:val="20"/>
          <w:szCs w:val="20"/>
          <w:lang w:val="es-ES"/>
        </w:rPr>
        <w:t>E</w:t>
      </w:r>
      <w:r w:rsidRPr="005D3EFC">
        <w:rPr>
          <w:rFonts w:ascii="Verdana" w:hAnsi="Verdana"/>
          <w:sz w:val="20"/>
          <w:szCs w:val="20"/>
          <w:lang w:val="es-ES"/>
        </w:rPr>
        <w:t>l</w:t>
      </w:r>
      <w:r>
        <w:rPr>
          <w:rFonts w:ascii="Verdana" w:hAnsi="Verdana"/>
          <w:sz w:val="20"/>
          <w:szCs w:val="20"/>
          <w:lang w:val="es-ES"/>
        </w:rPr>
        <w:t xml:space="preserve"> señor Carranza</w:t>
      </w:r>
      <w:r w:rsidRPr="005D3EFC">
        <w:rPr>
          <w:rFonts w:ascii="Verdana" w:hAnsi="Verdana"/>
          <w:sz w:val="20"/>
          <w:szCs w:val="20"/>
          <w:lang w:val="es-ES"/>
        </w:rPr>
        <w:t xml:space="preserve"> fue </w:t>
      </w:r>
      <w:r>
        <w:rPr>
          <w:rFonts w:ascii="Verdana" w:hAnsi="Verdana"/>
          <w:sz w:val="20"/>
          <w:szCs w:val="20"/>
          <w:lang w:val="es-ES"/>
        </w:rPr>
        <w:t>aprehendido</w:t>
      </w:r>
      <w:r w:rsidRPr="005D3EFC">
        <w:rPr>
          <w:rFonts w:ascii="Verdana" w:hAnsi="Verdana"/>
          <w:sz w:val="20"/>
          <w:szCs w:val="20"/>
          <w:lang w:val="es-ES"/>
        </w:rPr>
        <w:t xml:space="preserve"> en noviembre de 1994, luego de que en </w:t>
      </w:r>
      <w:r>
        <w:rPr>
          <w:rFonts w:ascii="Verdana" w:hAnsi="Verdana"/>
          <w:sz w:val="20"/>
          <w:szCs w:val="20"/>
          <w:lang w:val="es-ES"/>
        </w:rPr>
        <w:t>agosto d</w:t>
      </w:r>
      <w:r w:rsidRPr="005D3EFC">
        <w:rPr>
          <w:rFonts w:ascii="Verdana" w:hAnsi="Verdana"/>
          <w:sz w:val="20"/>
          <w:szCs w:val="20"/>
          <w:lang w:val="es-ES"/>
        </w:rPr>
        <w:t xml:space="preserve">e 1993 </w:t>
      </w:r>
      <w:r>
        <w:rPr>
          <w:rFonts w:ascii="Verdana" w:hAnsi="Verdana"/>
          <w:sz w:val="20"/>
          <w:szCs w:val="20"/>
          <w:lang w:val="es-ES"/>
        </w:rPr>
        <w:t xml:space="preserve">un Comisario </w:t>
      </w:r>
      <w:r w:rsidRPr="005D3EFC">
        <w:rPr>
          <w:rFonts w:ascii="Verdana" w:hAnsi="Verdana"/>
          <w:sz w:val="20"/>
          <w:szCs w:val="20"/>
          <w:lang w:val="es-ES"/>
        </w:rPr>
        <w:t>emitiera una orden de captura</w:t>
      </w:r>
      <w:r>
        <w:rPr>
          <w:rFonts w:ascii="Verdana" w:hAnsi="Verdana"/>
          <w:sz w:val="20"/>
          <w:szCs w:val="20"/>
          <w:lang w:val="es-ES"/>
        </w:rPr>
        <w:t>, así como de</w:t>
      </w:r>
      <w:r w:rsidRPr="005D3EFC">
        <w:rPr>
          <w:rFonts w:ascii="Verdana" w:hAnsi="Verdana"/>
          <w:sz w:val="20"/>
          <w:szCs w:val="20"/>
          <w:lang w:val="es-ES"/>
        </w:rPr>
        <w:t xml:space="preserve"> </w:t>
      </w:r>
      <w:r>
        <w:rPr>
          <w:rFonts w:ascii="Verdana" w:hAnsi="Verdana"/>
          <w:sz w:val="20"/>
          <w:szCs w:val="20"/>
          <w:lang w:val="es-ES"/>
        </w:rPr>
        <w:t>“</w:t>
      </w:r>
      <w:r w:rsidRPr="005D3EFC">
        <w:rPr>
          <w:rFonts w:ascii="Verdana" w:hAnsi="Verdana"/>
          <w:sz w:val="20"/>
          <w:szCs w:val="20"/>
          <w:lang w:val="es-ES"/>
        </w:rPr>
        <w:t>prisión</w:t>
      </w:r>
      <w:r>
        <w:rPr>
          <w:rFonts w:ascii="Verdana" w:hAnsi="Verdana"/>
          <w:sz w:val="20"/>
          <w:szCs w:val="20"/>
          <w:lang w:val="es-ES"/>
        </w:rPr>
        <w:t xml:space="preserve"> preventiva”</w:t>
      </w:r>
      <w:r w:rsidRPr="005D3EFC">
        <w:rPr>
          <w:rFonts w:ascii="Verdana" w:hAnsi="Verdana"/>
          <w:sz w:val="20"/>
          <w:szCs w:val="20"/>
          <w:lang w:val="es-ES"/>
        </w:rPr>
        <w:t xml:space="preserve">, con base en </w:t>
      </w:r>
      <w:r>
        <w:rPr>
          <w:rFonts w:ascii="Verdana" w:hAnsi="Verdana"/>
          <w:sz w:val="20"/>
          <w:szCs w:val="20"/>
          <w:lang w:val="es-ES"/>
        </w:rPr>
        <w:t>el artículo 177</w:t>
      </w:r>
      <w:r w:rsidRPr="005D3EFC">
        <w:rPr>
          <w:rFonts w:ascii="Verdana" w:hAnsi="Verdana"/>
          <w:sz w:val="20"/>
          <w:szCs w:val="20"/>
          <w:lang w:val="es-ES"/>
        </w:rPr>
        <w:t xml:space="preserve"> del CPP (</w:t>
      </w:r>
      <w:r w:rsidRPr="005D3EFC">
        <w:rPr>
          <w:rFonts w:ascii="Verdana" w:hAnsi="Verdana"/>
          <w:i/>
          <w:sz w:val="20"/>
          <w:szCs w:val="20"/>
          <w:lang w:val="es-ES"/>
        </w:rPr>
        <w:t>supra</w:t>
      </w:r>
      <w:r w:rsidRPr="005D3EFC">
        <w:rPr>
          <w:rFonts w:ascii="Verdana" w:hAnsi="Verdana"/>
          <w:sz w:val="20"/>
          <w:szCs w:val="20"/>
          <w:lang w:val="es-ES"/>
        </w:rPr>
        <w:t xml:space="preserve"> párr. </w:t>
      </w:r>
      <w:r>
        <w:rPr>
          <w:rFonts w:ascii="Verdana" w:hAnsi="Verdana"/>
          <w:sz w:val="20"/>
          <w:szCs w:val="20"/>
          <w:lang w:val="es-ES"/>
        </w:rPr>
        <w:t>36</w:t>
      </w:r>
      <w:r w:rsidRPr="005D3EFC">
        <w:rPr>
          <w:rFonts w:ascii="Verdana" w:hAnsi="Verdana"/>
          <w:sz w:val="20"/>
          <w:szCs w:val="20"/>
          <w:lang w:val="es-ES"/>
        </w:rPr>
        <w:t>)</w:t>
      </w:r>
      <w:r>
        <w:rPr>
          <w:rStyle w:val="Refdenotaalpie"/>
          <w:rFonts w:ascii="Verdana" w:hAnsi="Verdana"/>
          <w:sz w:val="20"/>
          <w:szCs w:val="20"/>
          <w:lang w:val="es-ES"/>
        </w:rPr>
        <w:footnoteReference w:id="43"/>
      </w:r>
      <w:r>
        <w:rPr>
          <w:rFonts w:ascii="Verdana" w:hAnsi="Verdana"/>
          <w:sz w:val="20"/>
          <w:szCs w:val="20"/>
          <w:lang w:val="es-ES"/>
        </w:rPr>
        <w:t>, y después que el 28 de octubre de 1993 dicha orden fuera ratificada judicialmente</w:t>
      </w:r>
      <w:r w:rsidRPr="005D3EFC">
        <w:rPr>
          <w:rFonts w:ascii="Verdana" w:hAnsi="Verdana"/>
          <w:sz w:val="20"/>
          <w:szCs w:val="20"/>
          <w:lang w:val="es-ES"/>
        </w:rPr>
        <w:t xml:space="preserve">. </w:t>
      </w:r>
    </w:p>
    <w:p w14:paraId="4812B7DA" w14:textId="77777777" w:rsidR="00D1418C" w:rsidRDefault="00D1418C" w:rsidP="00414DEF">
      <w:pPr>
        <w:pStyle w:val="Prrafodelista"/>
        <w:widowControl/>
        <w:spacing w:after="160" w:line="240" w:lineRule="auto"/>
        <w:ind w:left="0"/>
        <w:jc w:val="both"/>
        <w:rPr>
          <w:rFonts w:ascii="Verdana" w:hAnsi="Verdana"/>
          <w:sz w:val="20"/>
          <w:szCs w:val="20"/>
          <w:lang w:val="es-ES"/>
        </w:rPr>
      </w:pPr>
    </w:p>
    <w:p w14:paraId="112401E9" w14:textId="622B9618" w:rsidR="00D1418C" w:rsidRDefault="00D1418C" w:rsidP="00414DEF">
      <w:pPr>
        <w:pStyle w:val="Prrafodelista"/>
        <w:widowControl/>
        <w:numPr>
          <w:ilvl w:val="0"/>
          <w:numId w:val="26"/>
        </w:numPr>
        <w:spacing w:after="160" w:line="240" w:lineRule="auto"/>
        <w:ind w:left="0" w:firstLine="0"/>
        <w:jc w:val="both"/>
        <w:rPr>
          <w:rFonts w:ascii="Verdana" w:hAnsi="Verdana"/>
          <w:sz w:val="20"/>
          <w:szCs w:val="20"/>
          <w:lang w:val="es-ES"/>
        </w:rPr>
      </w:pPr>
      <w:r>
        <w:rPr>
          <w:rFonts w:ascii="Verdana" w:hAnsi="Verdana"/>
          <w:sz w:val="20"/>
          <w:szCs w:val="20"/>
          <w:lang w:val="es-ES"/>
        </w:rPr>
        <w:t>La orden de aprehensión hizo referencia a que el señor Carranza estaba “prófugo”. La Corte entiende que con esa expresión se aludió a una situación de hecho</w:t>
      </w:r>
      <w:r w:rsidR="00C81DBD">
        <w:rPr>
          <w:rFonts w:ascii="Verdana" w:hAnsi="Verdana"/>
          <w:sz w:val="20"/>
          <w:szCs w:val="20"/>
          <w:lang w:val="es-ES"/>
        </w:rPr>
        <w:t>,</w:t>
      </w:r>
      <w:r>
        <w:rPr>
          <w:rFonts w:ascii="Verdana" w:hAnsi="Verdana"/>
          <w:sz w:val="20"/>
          <w:szCs w:val="20"/>
          <w:lang w:val="es-ES"/>
        </w:rPr>
        <w:t xml:space="preserve"> narrada en la denuncia de muerte violenta de una persona por disparos de arma de fuego: que luego de cometidos los disparos</w:t>
      </w:r>
      <w:r w:rsidR="00F774A7">
        <w:rPr>
          <w:rFonts w:ascii="Verdana" w:hAnsi="Verdana"/>
          <w:sz w:val="20"/>
          <w:szCs w:val="20"/>
          <w:lang w:val="es-ES"/>
        </w:rPr>
        <w:t>,</w:t>
      </w:r>
      <w:r>
        <w:rPr>
          <w:rFonts w:ascii="Verdana" w:hAnsi="Verdana"/>
          <w:sz w:val="20"/>
          <w:szCs w:val="20"/>
          <w:lang w:val="es-ES"/>
        </w:rPr>
        <w:t xml:space="preserve"> el señor Carranza huyó a caballo (</w:t>
      </w:r>
      <w:r>
        <w:rPr>
          <w:rFonts w:ascii="Verdana" w:hAnsi="Verdana"/>
          <w:i/>
          <w:sz w:val="20"/>
          <w:szCs w:val="20"/>
          <w:lang w:val="es-ES"/>
        </w:rPr>
        <w:t>supra</w:t>
      </w:r>
      <w:r>
        <w:rPr>
          <w:rFonts w:ascii="Verdana" w:hAnsi="Verdana"/>
          <w:sz w:val="20"/>
          <w:szCs w:val="20"/>
          <w:lang w:val="es-ES"/>
        </w:rPr>
        <w:t xml:space="preserve"> párr. 36 y </w:t>
      </w:r>
      <w:r w:rsidRPr="00735049">
        <w:rPr>
          <w:rFonts w:ascii="Verdana" w:hAnsi="Verdana"/>
          <w:sz w:val="20"/>
          <w:szCs w:val="20"/>
          <w:lang w:val="es-ES"/>
        </w:rPr>
        <w:t>nota a pie de página 1</w:t>
      </w:r>
      <w:r w:rsidR="00735049" w:rsidRPr="00735049">
        <w:rPr>
          <w:rFonts w:ascii="Verdana" w:hAnsi="Verdana"/>
          <w:sz w:val="20"/>
          <w:szCs w:val="20"/>
          <w:lang w:val="es-ES"/>
        </w:rPr>
        <w:t>6</w:t>
      </w:r>
      <w:r>
        <w:rPr>
          <w:rFonts w:ascii="Verdana" w:hAnsi="Verdana"/>
          <w:sz w:val="20"/>
          <w:szCs w:val="20"/>
          <w:lang w:val="es-ES"/>
        </w:rPr>
        <w:t xml:space="preserve">). </w:t>
      </w:r>
    </w:p>
    <w:p w14:paraId="2D6A07B6" w14:textId="77777777" w:rsidR="00D1418C" w:rsidRPr="007266D3" w:rsidRDefault="00D1418C" w:rsidP="00414DEF">
      <w:pPr>
        <w:pStyle w:val="Prrafodelista"/>
        <w:spacing w:line="240" w:lineRule="auto"/>
        <w:rPr>
          <w:rFonts w:ascii="Verdana" w:hAnsi="Verdana"/>
          <w:sz w:val="20"/>
          <w:szCs w:val="20"/>
          <w:lang w:val="es-ES"/>
        </w:rPr>
      </w:pPr>
    </w:p>
    <w:p w14:paraId="57B69035" w14:textId="60F05F52" w:rsidR="00D1418C" w:rsidRDefault="00D1418C" w:rsidP="00414DEF">
      <w:pPr>
        <w:pStyle w:val="Prrafodelista"/>
        <w:widowControl/>
        <w:numPr>
          <w:ilvl w:val="0"/>
          <w:numId w:val="26"/>
        </w:numPr>
        <w:spacing w:after="160" w:line="240" w:lineRule="auto"/>
        <w:ind w:left="0" w:firstLine="0"/>
        <w:jc w:val="both"/>
        <w:rPr>
          <w:rFonts w:ascii="Verdana" w:hAnsi="Verdana"/>
          <w:sz w:val="20"/>
          <w:szCs w:val="20"/>
          <w:lang w:val="es-ES"/>
        </w:rPr>
      </w:pPr>
      <w:r>
        <w:rPr>
          <w:rFonts w:ascii="Verdana" w:hAnsi="Verdana"/>
          <w:sz w:val="20"/>
          <w:szCs w:val="20"/>
          <w:lang w:val="es-ES"/>
        </w:rPr>
        <w:t>Dadas las circunstancias del caso, la Corte no advierte que pueda catalogarse de arbitraria la determinación del Comisario de oficiar a la Policía Rural para que proceda a la “</w:t>
      </w:r>
      <w:proofErr w:type="spellStart"/>
      <w:r>
        <w:rPr>
          <w:rFonts w:ascii="Verdana" w:hAnsi="Verdana"/>
          <w:sz w:val="20"/>
          <w:szCs w:val="20"/>
          <w:lang w:val="es-ES"/>
        </w:rPr>
        <w:t>aprehensi</w:t>
      </w:r>
      <w:proofErr w:type="spellEnd"/>
      <w:r>
        <w:rPr>
          <w:rFonts w:ascii="Verdana" w:hAnsi="Verdana"/>
          <w:sz w:val="20"/>
          <w:szCs w:val="20"/>
          <w:lang w:val="es-ES"/>
        </w:rPr>
        <w:t>[</w:t>
      </w:r>
      <w:proofErr w:type="spellStart"/>
      <w:r>
        <w:rPr>
          <w:rFonts w:ascii="Verdana" w:hAnsi="Verdana"/>
          <w:sz w:val="20"/>
          <w:szCs w:val="20"/>
          <w:lang w:val="es-ES"/>
        </w:rPr>
        <w:t>ón</w:t>
      </w:r>
      <w:proofErr w:type="spellEnd"/>
      <w:r>
        <w:rPr>
          <w:rFonts w:ascii="Verdana" w:hAnsi="Verdana"/>
          <w:sz w:val="20"/>
          <w:szCs w:val="20"/>
          <w:lang w:val="es-ES"/>
        </w:rPr>
        <w:t xml:space="preserve">]” del señor Carranza, “como se </w:t>
      </w:r>
      <w:proofErr w:type="spellStart"/>
      <w:r>
        <w:rPr>
          <w:rFonts w:ascii="Verdana" w:hAnsi="Verdana"/>
          <w:sz w:val="20"/>
          <w:szCs w:val="20"/>
          <w:lang w:val="es-ES"/>
        </w:rPr>
        <w:t>enc</w:t>
      </w:r>
      <w:proofErr w:type="spellEnd"/>
      <w:r>
        <w:rPr>
          <w:rFonts w:ascii="Verdana" w:hAnsi="Verdana"/>
          <w:sz w:val="20"/>
          <w:szCs w:val="20"/>
          <w:lang w:val="es-ES"/>
        </w:rPr>
        <w:t>[</w:t>
      </w:r>
      <w:proofErr w:type="spellStart"/>
      <w:r>
        <w:rPr>
          <w:rFonts w:ascii="Verdana" w:hAnsi="Verdana"/>
          <w:sz w:val="20"/>
          <w:szCs w:val="20"/>
          <w:lang w:val="es-ES"/>
        </w:rPr>
        <w:t>ontraba</w:t>
      </w:r>
      <w:proofErr w:type="spellEnd"/>
      <w:r>
        <w:rPr>
          <w:rFonts w:ascii="Verdana" w:hAnsi="Verdana"/>
          <w:sz w:val="20"/>
          <w:szCs w:val="20"/>
          <w:lang w:val="es-ES"/>
        </w:rPr>
        <w:t>] prófugo”</w:t>
      </w:r>
      <w:r w:rsidR="00C81DBD">
        <w:rPr>
          <w:rFonts w:ascii="Verdana" w:hAnsi="Verdana"/>
          <w:sz w:val="20"/>
          <w:szCs w:val="20"/>
          <w:lang w:val="es-ES"/>
        </w:rPr>
        <w:t>,</w:t>
      </w:r>
      <w:r>
        <w:rPr>
          <w:rFonts w:ascii="Verdana" w:hAnsi="Verdana"/>
          <w:sz w:val="20"/>
          <w:szCs w:val="20"/>
          <w:lang w:val="es-ES"/>
        </w:rPr>
        <w:t xml:space="preserve"> y que, hecho lo anterior, sea puesto a “órdenes” de dicho Comisario “a fin de proceder conforme a derecho”</w:t>
      </w:r>
      <w:r>
        <w:rPr>
          <w:rStyle w:val="Refdenotaalpie"/>
          <w:rFonts w:ascii="Verdana" w:hAnsi="Verdana"/>
          <w:sz w:val="20"/>
          <w:szCs w:val="20"/>
          <w:lang w:val="es-ES"/>
        </w:rPr>
        <w:footnoteReference w:id="44"/>
      </w:r>
      <w:r>
        <w:rPr>
          <w:rFonts w:ascii="Verdana" w:hAnsi="Verdana"/>
          <w:sz w:val="20"/>
          <w:szCs w:val="20"/>
          <w:lang w:val="es-ES"/>
        </w:rPr>
        <w:t xml:space="preserve">. Además, la existencia de base legal para la orden de aprehensión del señor Carranza no fue cuestionada por las partes o la Comisión.  </w:t>
      </w:r>
    </w:p>
    <w:p w14:paraId="11C718D9" w14:textId="77777777" w:rsidR="00D1418C" w:rsidRDefault="00D1418C" w:rsidP="00414DEF">
      <w:pPr>
        <w:pStyle w:val="Prrafodelista"/>
        <w:widowControl/>
        <w:spacing w:after="160" w:line="240" w:lineRule="auto"/>
        <w:ind w:left="0"/>
        <w:jc w:val="both"/>
        <w:rPr>
          <w:rFonts w:ascii="Verdana" w:hAnsi="Verdana"/>
          <w:sz w:val="20"/>
          <w:szCs w:val="20"/>
          <w:lang w:val="es-ES"/>
        </w:rPr>
      </w:pPr>
    </w:p>
    <w:p w14:paraId="1E10FD46" w14:textId="4F9EC057" w:rsidR="00D1418C" w:rsidRPr="005D3EFC" w:rsidRDefault="00D1418C" w:rsidP="00414DEF">
      <w:pPr>
        <w:pStyle w:val="Prrafodelista"/>
        <w:widowControl/>
        <w:numPr>
          <w:ilvl w:val="0"/>
          <w:numId w:val="26"/>
        </w:numPr>
        <w:spacing w:after="160" w:line="240" w:lineRule="auto"/>
        <w:ind w:left="0" w:firstLine="0"/>
        <w:jc w:val="both"/>
        <w:rPr>
          <w:rFonts w:ascii="Verdana" w:hAnsi="Verdana"/>
          <w:sz w:val="20"/>
          <w:szCs w:val="20"/>
          <w:lang w:val="es-ES"/>
        </w:rPr>
      </w:pPr>
      <w:r w:rsidRPr="005D3EFC">
        <w:rPr>
          <w:rFonts w:ascii="Verdana" w:hAnsi="Verdana"/>
          <w:sz w:val="20"/>
          <w:szCs w:val="20"/>
          <w:lang w:val="es-ES"/>
        </w:rPr>
        <w:t xml:space="preserve">Por otra parte, si bien consta que el señor Carranza fue </w:t>
      </w:r>
      <w:r>
        <w:rPr>
          <w:rFonts w:ascii="Verdana" w:hAnsi="Verdana"/>
          <w:sz w:val="20"/>
          <w:szCs w:val="20"/>
          <w:lang w:val="es-ES"/>
        </w:rPr>
        <w:t>aprehendido</w:t>
      </w:r>
      <w:r w:rsidRPr="005D3EFC">
        <w:rPr>
          <w:rFonts w:ascii="Verdana" w:hAnsi="Verdana"/>
          <w:sz w:val="20"/>
          <w:szCs w:val="20"/>
          <w:lang w:val="es-ES"/>
        </w:rPr>
        <w:t xml:space="preserve"> en noviembre de 1994, ni la Comisión ni el representante precisaron el día en que eso ocurrió ni describieron las circunstancias específicas del acto de </w:t>
      </w:r>
      <w:r>
        <w:rPr>
          <w:rFonts w:ascii="Verdana" w:hAnsi="Verdana"/>
          <w:sz w:val="20"/>
          <w:szCs w:val="20"/>
          <w:lang w:val="es-ES"/>
        </w:rPr>
        <w:t>detención</w:t>
      </w:r>
      <w:r w:rsidRPr="005D3EFC">
        <w:rPr>
          <w:rFonts w:ascii="Verdana" w:hAnsi="Verdana"/>
          <w:sz w:val="20"/>
          <w:szCs w:val="20"/>
          <w:lang w:val="es-ES"/>
        </w:rPr>
        <w:t>. La Corte considera insuficientes las expresiones del señor Carranza dadas ante</w:t>
      </w:r>
      <w:r w:rsidR="00E83BE1">
        <w:rPr>
          <w:rFonts w:ascii="Verdana" w:hAnsi="Verdana"/>
          <w:sz w:val="20"/>
          <w:szCs w:val="20"/>
          <w:lang w:val="es-ES"/>
        </w:rPr>
        <w:t xml:space="preserve"> la Comisión sobre la supuesta</w:t>
      </w:r>
      <w:r w:rsidRPr="005D3EFC">
        <w:rPr>
          <w:rFonts w:ascii="Verdana" w:hAnsi="Verdana"/>
          <w:sz w:val="20"/>
          <w:szCs w:val="20"/>
          <w:lang w:val="es-ES"/>
        </w:rPr>
        <w:t xml:space="preserve"> falta de exhibición de orden de detención e incomunicación inicial</w:t>
      </w:r>
      <w:r>
        <w:rPr>
          <w:rFonts w:ascii="Verdana" w:hAnsi="Verdana"/>
          <w:sz w:val="20"/>
          <w:szCs w:val="20"/>
          <w:lang w:val="es-ES"/>
        </w:rPr>
        <w:t xml:space="preserve"> para concluir, en este caso, que la detención del señor Carranza fuera ilegal o que no se le hubiera informado las razones de su detención o los cargos en su contra. </w:t>
      </w:r>
    </w:p>
    <w:p w14:paraId="0CD12200" w14:textId="77777777" w:rsidR="00D1418C" w:rsidRDefault="00D1418C" w:rsidP="00414DEF">
      <w:pPr>
        <w:pStyle w:val="Prrafodelista"/>
        <w:widowControl/>
        <w:spacing w:after="160" w:line="240" w:lineRule="auto"/>
        <w:ind w:left="0"/>
        <w:jc w:val="both"/>
        <w:rPr>
          <w:rFonts w:ascii="Verdana" w:hAnsi="Verdana"/>
          <w:sz w:val="20"/>
          <w:szCs w:val="20"/>
          <w:lang w:val="es-ES"/>
        </w:rPr>
      </w:pPr>
    </w:p>
    <w:p w14:paraId="4E121CFC" w14:textId="77777777" w:rsidR="00D1418C" w:rsidRPr="00161EAA" w:rsidRDefault="00D1418C" w:rsidP="00414DEF">
      <w:pPr>
        <w:pStyle w:val="Prrafodelista"/>
        <w:widowControl/>
        <w:spacing w:after="160" w:line="240" w:lineRule="auto"/>
        <w:ind w:left="851"/>
        <w:jc w:val="both"/>
        <w:outlineLvl w:val="3"/>
        <w:rPr>
          <w:rFonts w:ascii="Verdana" w:hAnsi="Verdana"/>
          <w:i/>
          <w:sz w:val="20"/>
          <w:szCs w:val="20"/>
          <w:lang w:val="es-ES"/>
        </w:rPr>
      </w:pPr>
      <w:bookmarkStart w:id="27" w:name="_Toc34817799"/>
      <w:r w:rsidRPr="00161EAA">
        <w:rPr>
          <w:rFonts w:ascii="Verdana" w:hAnsi="Verdana"/>
          <w:i/>
          <w:sz w:val="20"/>
          <w:szCs w:val="20"/>
          <w:lang w:val="es-ES"/>
        </w:rPr>
        <w:t>B.1.2 Prisión preventiva</w:t>
      </w:r>
      <w:bookmarkEnd w:id="27"/>
    </w:p>
    <w:p w14:paraId="27EED839" w14:textId="77777777" w:rsidR="00D1418C" w:rsidRPr="005D3EFC" w:rsidRDefault="00D1418C" w:rsidP="00414DEF">
      <w:pPr>
        <w:pStyle w:val="Prrafodelista"/>
        <w:widowControl/>
        <w:spacing w:after="160" w:line="240" w:lineRule="auto"/>
        <w:ind w:left="0"/>
        <w:jc w:val="both"/>
        <w:rPr>
          <w:rFonts w:ascii="Verdana" w:hAnsi="Verdana"/>
          <w:sz w:val="20"/>
          <w:szCs w:val="20"/>
          <w:lang w:val="es-ES"/>
        </w:rPr>
      </w:pPr>
    </w:p>
    <w:p w14:paraId="10E9D309" w14:textId="77777777" w:rsidR="00D1418C" w:rsidRPr="00842F3B"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Pr>
          <w:rFonts w:ascii="Verdana" w:hAnsi="Verdana"/>
          <w:sz w:val="20"/>
          <w:szCs w:val="20"/>
          <w:lang w:val="es-ES"/>
        </w:rPr>
        <w:t>Ahora bien, en los mismos actos que ordenaron la aprehensión del señor Carranza se dispuso su “prisión preventiva”, sustentada en el artículo 177 del CPP. La Corte entiende lo anterior, pues no constan actos posteriores a las órdenes del Comisario y del Juzgado 11° de agosto y octubre de 1993 (</w:t>
      </w:r>
      <w:r>
        <w:rPr>
          <w:rFonts w:ascii="Verdana" w:hAnsi="Verdana"/>
          <w:i/>
          <w:sz w:val="20"/>
          <w:szCs w:val="20"/>
          <w:lang w:val="es-ES"/>
        </w:rPr>
        <w:t>supra</w:t>
      </w:r>
      <w:r>
        <w:rPr>
          <w:rFonts w:ascii="Verdana" w:hAnsi="Verdana"/>
          <w:sz w:val="20"/>
          <w:szCs w:val="20"/>
          <w:lang w:val="es-ES"/>
        </w:rPr>
        <w:t xml:space="preserve"> </w:t>
      </w:r>
      <w:proofErr w:type="spellStart"/>
      <w:r>
        <w:rPr>
          <w:rFonts w:ascii="Verdana" w:hAnsi="Verdana"/>
          <w:sz w:val="20"/>
          <w:szCs w:val="20"/>
          <w:lang w:val="es-ES"/>
        </w:rPr>
        <w:t>párrs</w:t>
      </w:r>
      <w:proofErr w:type="spellEnd"/>
      <w:r>
        <w:rPr>
          <w:rFonts w:ascii="Verdana" w:hAnsi="Verdana"/>
          <w:sz w:val="20"/>
          <w:szCs w:val="20"/>
          <w:lang w:val="es-ES"/>
        </w:rPr>
        <w:t xml:space="preserve">. 36 y 38) en que, luego de la detención inicial, se ratificara o decidiera la privación de libertad. </w:t>
      </w:r>
    </w:p>
    <w:p w14:paraId="7551A8F4" w14:textId="77777777" w:rsidR="00D1418C" w:rsidRPr="00842F3B" w:rsidRDefault="00D1418C" w:rsidP="00414DEF">
      <w:pPr>
        <w:pStyle w:val="Prrafodelista"/>
        <w:spacing w:line="240" w:lineRule="auto"/>
        <w:rPr>
          <w:rFonts w:ascii="Verdana" w:hAnsi="Verdana"/>
          <w:sz w:val="20"/>
          <w:szCs w:val="20"/>
          <w:lang w:val="es-CR"/>
        </w:rPr>
      </w:pPr>
    </w:p>
    <w:p w14:paraId="58CB8AAE" w14:textId="77777777" w:rsidR="00D1418C" w:rsidRDefault="00D1418C" w:rsidP="00414DEF">
      <w:pPr>
        <w:pStyle w:val="Prrafodelista"/>
        <w:widowControl/>
        <w:numPr>
          <w:ilvl w:val="0"/>
          <w:numId w:val="26"/>
        </w:numPr>
        <w:spacing w:after="160" w:line="240" w:lineRule="auto"/>
        <w:ind w:left="0" w:firstLine="0"/>
        <w:jc w:val="both"/>
        <w:rPr>
          <w:rFonts w:ascii="Verdana" w:hAnsi="Verdana"/>
          <w:sz w:val="20"/>
          <w:szCs w:val="20"/>
          <w:lang w:val="es-CR"/>
        </w:rPr>
      </w:pPr>
      <w:r>
        <w:rPr>
          <w:rFonts w:ascii="Verdana" w:hAnsi="Verdana"/>
          <w:sz w:val="20"/>
          <w:szCs w:val="20"/>
          <w:lang w:val="es-CR"/>
        </w:rPr>
        <w:t xml:space="preserve">Surge de lo expuesto que la prisión preventiva tuvo base legal en los términos del artículo 7.2 de la Convención; resta examinar si observó otros recaudos convencionales. </w:t>
      </w:r>
    </w:p>
    <w:p w14:paraId="139420BC" w14:textId="77777777" w:rsidR="00D1418C" w:rsidRPr="00E52B1B" w:rsidRDefault="00D1418C" w:rsidP="00414DEF">
      <w:pPr>
        <w:pStyle w:val="Prrafodelista"/>
        <w:spacing w:line="240" w:lineRule="auto"/>
        <w:rPr>
          <w:rFonts w:ascii="Verdana" w:hAnsi="Verdana"/>
          <w:sz w:val="20"/>
          <w:szCs w:val="20"/>
          <w:lang w:val="es-ES"/>
        </w:rPr>
      </w:pPr>
    </w:p>
    <w:p w14:paraId="34B898E0" w14:textId="77777777" w:rsidR="00D1418C" w:rsidRPr="007509F4" w:rsidRDefault="00D1418C" w:rsidP="00414DEF">
      <w:pPr>
        <w:pStyle w:val="Prrafodelista"/>
        <w:widowControl/>
        <w:numPr>
          <w:ilvl w:val="0"/>
          <w:numId w:val="26"/>
        </w:numPr>
        <w:spacing w:after="160" w:line="240" w:lineRule="auto"/>
        <w:ind w:left="0" w:firstLine="0"/>
        <w:jc w:val="both"/>
        <w:rPr>
          <w:rFonts w:ascii="Verdana" w:hAnsi="Verdana"/>
          <w:sz w:val="20"/>
          <w:szCs w:val="20"/>
          <w:lang w:val="es-ES"/>
        </w:rPr>
      </w:pPr>
      <w:r w:rsidRPr="00E52B1B">
        <w:rPr>
          <w:rFonts w:ascii="Verdana" w:hAnsi="Verdana"/>
          <w:sz w:val="20"/>
          <w:szCs w:val="20"/>
          <w:lang w:val="es-ES"/>
        </w:rPr>
        <w:t>Del artículo 7.3 de la Convención se desprende que para que la medida privativa de la libertad no se torne arbitraria debe cumplir con los siguientes parámetros:</w:t>
      </w:r>
      <w:r w:rsidRPr="00E52B1B">
        <w:rPr>
          <w:rFonts w:ascii="Verdana" w:hAnsi="Verdana"/>
          <w:sz w:val="20"/>
          <w:szCs w:val="20"/>
          <w:lang w:val="es-CR"/>
        </w:rPr>
        <w:t>i) que existan elementos para formular cargos o llevar a juicio</w:t>
      </w:r>
      <w:r>
        <w:rPr>
          <w:rFonts w:ascii="Verdana" w:hAnsi="Verdana"/>
          <w:sz w:val="20"/>
          <w:szCs w:val="20"/>
          <w:lang w:val="es-CR"/>
        </w:rPr>
        <w:t>:</w:t>
      </w:r>
      <w:r w:rsidRPr="00E52B1B">
        <w:rPr>
          <w:rFonts w:ascii="Verdana" w:hAnsi="Verdana"/>
          <w:sz w:val="20"/>
          <w:szCs w:val="20"/>
          <w:lang w:val="es-CR"/>
        </w:rPr>
        <w:t xml:space="preserve"> </w:t>
      </w:r>
      <w:r w:rsidRPr="00E52B1B">
        <w:rPr>
          <w:rFonts w:ascii="Verdana" w:hAnsi="Verdana"/>
          <w:sz w:val="20"/>
          <w:szCs w:val="20"/>
          <w:lang w:val="es-ES"/>
        </w:rPr>
        <w:t xml:space="preserve">deben existir </w:t>
      </w:r>
      <w:r w:rsidRPr="00E52B1B">
        <w:rPr>
          <w:rFonts w:ascii="Verdana" w:hAnsi="Verdana"/>
          <w:sz w:val="20"/>
          <w:szCs w:val="20"/>
          <w:lang w:val="es-CR"/>
        </w:rPr>
        <w:t xml:space="preserve">indicios suficientes que permitan suponer razonablemente que un hecho ilícito </w:t>
      </w:r>
      <w:r w:rsidRPr="00E52B1B">
        <w:rPr>
          <w:rFonts w:ascii="Verdana" w:hAnsi="Verdana"/>
          <w:sz w:val="20"/>
          <w:szCs w:val="20"/>
          <w:lang w:val="es-CR"/>
        </w:rPr>
        <w:lastRenderedPageBreak/>
        <w:t>ocurrió y que la persona sometida al proceso pudo haber participado en e</w:t>
      </w:r>
      <w:r>
        <w:rPr>
          <w:rFonts w:ascii="Verdana" w:hAnsi="Verdana"/>
          <w:sz w:val="20"/>
          <w:szCs w:val="20"/>
          <w:lang w:val="es-CR"/>
        </w:rPr>
        <w:t>l mismo</w:t>
      </w:r>
      <w:r w:rsidRPr="00E52B1B">
        <w:rPr>
          <w:rStyle w:val="Refdenotaalpie"/>
          <w:rFonts w:ascii="Verdana" w:hAnsi="Verdana"/>
          <w:sz w:val="20"/>
          <w:szCs w:val="20"/>
        </w:rPr>
        <w:footnoteReference w:id="45"/>
      </w:r>
      <w:r>
        <w:rPr>
          <w:rFonts w:ascii="Verdana" w:hAnsi="Verdana"/>
          <w:sz w:val="20"/>
          <w:szCs w:val="20"/>
          <w:lang w:val="es-CR"/>
        </w:rPr>
        <w:t xml:space="preserve">; </w:t>
      </w:r>
      <w:r w:rsidRPr="007509F4">
        <w:rPr>
          <w:rFonts w:ascii="Verdana" w:hAnsi="Verdana"/>
          <w:sz w:val="20"/>
          <w:szCs w:val="20"/>
          <w:lang w:val="es-CR"/>
        </w:rPr>
        <w:t>ii) que la finalidad sea compatible con la Convención</w:t>
      </w:r>
      <w:r w:rsidRPr="009578EB">
        <w:rPr>
          <w:rStyle w:val="Refdenotaalpie"/>
          <w:rFonts w:ascii="Verdana" w:hAnsi="Verdana"/>
          <w:sz w:val="20"/>
          <w:szCs w:val="20"/>
        </w:rPr>
        <w:footnoteReference w:id="46"/>
      </w:r>
      <w:r w:rsidRPr="007509F4">
        <w:rPr>
          <w:rFonts w:ascii="Verdana" w:hAnsi="Verdana"/>
          <w:sz w:val="20"/>
          <w:szCs w:val="20"/>
          <w:lang w:val="es-CR"/>
        </w:rPr>
        <w:t>,</w:t>
      </w:r>
      <w:r>
        <w:rPr>
          <w:rFonts w:ascii="Verdana" w:hAnsi="Verdana"/>
          <w:sz w:val="20"/>
          <w:szCs w:val="20"/>
          <w:lang w:val="es-CR"/>
        </w:rPr>
        <w:t xml:space="preserve"> a saber: </w:t>
      </w:r>
      <w:r w:rsidRPr="00992054">
        <w:rPr>
          <w:rFonts w:ascii="Verdana" w:hAnsi="Verdana"/>
          <w:sz w:val="20"/>
          <w:szCs w:val="20"/>
          <w:lang w:val="es-CR"/>
        </w:rPr>
        <w:t>procurar que</w:t>
      </w:r>
      <w:r w:rsidRPr="00167F73">
        <w:rPr>
          <w:rFonts w:ascii="Verdana" w:hAnsi="Verdana"/>
          <w:sz w:val="20"/>
          <w:szCs w:val="20"/>
          <w:lang w:val="es-ES"/>
        </w:rPr>
        <w:t xml:space="preserve"> la persona acusada no </w:t>
      </w:r>
      <w:r>
        <w:rPr>
          <w:rFonts w:ascii="Verdana" w:hAnsi="Verdana"/>
          <w:sz w:val="20"/>
          <w:szCs w:val="20"/>
          <w:lang w:val="es-ES"/>
        </w:rPr>
        <w:t xml:space="preserve">impedirá el </w:t>
      </w:r>
      <w:r w:rsidRPr="00992054">
        <w:rPr>
          <w:rFonts w:ascii="Verdana" w:hAnsi="Verdana"/>
          <w:sz w:val="20"/>
          <w:szCs w:val="20"/>
          <w:lang w:val="es-ES"/>
        </w:rPr>
        <w:t>desarrollo del procedimiento ni eludirá la acción de la justicia</w:t>
      </w:r>
      <w:r w:rsidRPr="00167F73">
        <w:rPr>
          <w:rStyle w:val="Refdenotaalpie"/>
          <w:rFonts w:ascii="Verdana" w:hAnsi="Verdana"/>
          <w:sz w:val="20"/>
          <w:szCs w:val="20"/>
          <w:lang w:val="es-ES"/>
        </w:rPr>
        <w:footnoteReference w:id="47"/>
      </w:r>
      <w:r w:rsidRPr="00167F73">
        <w:rPr>
          <w:rFonts w:ascii="Verdana" w:hAnsi="Verdana"/>
          <w:sz w:val="20"/>
          <w:szCs w:val="20"/>
          <w:lang w:val="es-ES"/>
        </w:rPr>
        <w:t xml:space="preserve"> </w:t>
      </w:r>
      <w:r>
        <w:rPr>
          <w:szCs w:val="20"/>
          <w:lang w:val="es-ES"/>
        </w:rPr>
        <w:t>y</w:t>
      </w:r>
      <w:r>
        <w:rPr>
          <w:rFonts w:ascii="Verdana" w:hAnsi="Verdana"/>
          <w:sz w:val="20"/>
          <w:szCs w:val="20"/>
          <w:lang w:val="es-CR"/>
        </w:rPr>
        <w:t xml:space="preserve">) </w:t>
      </w:r>
      <w:r w:rsidRPr="007509F4">
        <w:rPr>
          <w:rFonts w:ascii="Verdana" w:hAnsi="Verdana"/>
          <w:sz w:val="20"/>
          <w:szCs w:val="20"/>
          <w:lang w:val="es-CR"/>
        </w:rPr>
        <w:t>que las medidas sean idóneas, necesarias y estrictamente proporcionales</w:t>
      </w:r>
      <w:r>
        <w:rPr>
          <w:rFonts w:ascii="Verdana" w:hAnsi="Verdana"/>
          <w:sz w:val="20"/>
          <w:szCs w:val="20"/>
          <w:lang w:val="es-CR"/>
        </w:rPr>
        <w:t xml:space="preserve"> respecto de tal fin</w:t>
      </w:r>
      <w:r w:rsidRPr="009578EB">
        <w:rPr>
          <w:rStyle w:val="Refdenotaalpie"/>
          <w:rFonts w:ascii="Verdana" w:hAnsi="Verdana"/>
          <w:sz w:val="20"/>
          <w:szCs w:val="20"/>
        </w:rPr>
        <w:footnoteReference w:id="48"/>
      </w:r>
      <w:r w:rsidRPr="007509F4">
        <w:rPr>
          <w:rFonts w:ascii="Verdana" w:hAnsi="Verdana"/>
          <w:sz w:val="20"/>
          <w:szCs w:val="20"/>
          <w:lang w:val="es-CR"/>
        </w:rPr>
        <w:t xml:space="preserve"> y iii) que la decisión que las impone contenga una motivación suficiente que permita evaluar si se ajusta a las condiciones señaladas</w:t>
      </w:r>
      <w:r w:rsidRPr="009578EB">
        <w:rPr>
          <w:rStyle w:val="Refdenotaalpie"/>
          <w:rFonts w:ascii="Verdana" w:hAnsi="Verdana"/>
          <w:sz w:val="20"/>
          <w:szCs w:val="20"/>
        </w:rPr>
        <w:footnoteReference w:id="49"/>
      </w:r>
      <w:r w:rsidRPr="007509F4">
        <w:rPr>
          <w:rFonts w:ascii="Verdana" w:hAnsi="Verdana"/>
          <w:sz w:val="20"/>
          <w:szCs w:val="20"/>
          <w:lang w:val="es-CR"/>
        </w:rPr>
        <w:t>.</w:t>
      </w:r>
      <w:r>
        <w:rPr>
          <w:rFonts w:ascii="Verdana" w:hAnsi="Verdana"/>
          <w:sz w:val="20"/>
          <w:szCs w:val="20"/>
          <w:lang w:val="es-ES"/>
        </w:rPr>
        <w:t xml:space="preserve"> </w:t>
      </w:r>
      <w:r w:rsidRPr="009E1414">
        <w:rPr>
          <w:rFonts w:ascii="Verdana" w:hAnsi="Verdana"/>
          <w:sz w:val="20"/>
          <w:szCs w:val="20"/>
          <w:lang w:val="es-ES"/>
        </w:rPr>
        <w:t>Cualquier restricción a la libertad que no contenga una motivación suficiente que permita evaluar si se ajusta a las condiciones señaladas será arbitraria y, por tanto, violará el artículo 7.3 de la Convención</w:t>
      </w:r>
      <w:r w:rsidRPr="00C666CD">
        <w:rPr>
          <w:rFonts w:ascii="Verdana" w:hAnsi="Verdana"/>
          <w:sz w:val="20"/>
          <w:szCs w:val="20"/>
          <w:vertAlign w:val="superscript"/>
        </w:rPr>
        <w:footnoteReference w:id="50"/>
      </w:r>
      <w:r>
        <w:rPr>
          <w:rFonts w:ascii="Verdana" w:hAnsi="Verdana"/>
          <w:sz w:val="20"/>
          <w:szCs w:val="20"/>
          <w:lang w:val="es-ES"/>
        </w:rPr>
        <w:t>.</w:t>
      </w:r>
    </w:p>
    <w:p w14:paraId="28CD9547" w14:textId="77777777" w:rsidR="00D1418C" w:rsidRDefault="00D1418C" w:rsidP="00414DEF">
      <w:pPr>
        <w:pStyle w:val="Prrafodelista"/>
        <w:widowControl/>
        <w:spacing w:after="160" w:line="240" w:lineRule="auto"/>
        <w:ind w:left="0"/>
        <w:jc w:val="both"/>
        <w:rPr>
          <w:rFonts w:ascii="Verdana" w:hAnsi="Verdana"/>
          <w:sz w:val="20"/>
          <w:szCs w:val="20"/>
          <w:lang w:val="es-ES"/>
        </w:rPr>
      </w:pPr>
    </w:p>
    <w:p w14:paraId="71E49EB4" w14:textId="77777777" w:rsidR="00D1418C" w:rsidRDefault="00D1418C" w:rsidP="00414DEF">
      <w:pPr>
        <w:pStyle w:val="Prrafodelista"/>
        <w:widowControl/>
        <w:numPr>
          <w:ilvl w:val="0"/>
          <w:numId w:val="26"/>
        </w:numPr>
        <w:spacing w:after="160" w:line="240" w:lineRule="auto"/>
        <w:ind w:left="0" w:firstLine="0"/>
        <w:jc w:val="both"/>
        <w:rPr>
          <w:rFonts w:ascii="Verdana" w:hAnsi="Verdana"/>
          <w:sz w:val="20"/>
          <w:szCs w:val="20"/>
          <w:lang w:val="es-ES"/>
        </w:rPr>
      </w:pPr>
      <w:r>
        <w:rPr>
          <w:rFonts w:ascii="Verdana" w:hAnsi="Verdana"/>
          <w:sz w:val="20"/>
          <w:szCs w:val="20"/>
          <w:lang w:val="es-ES"/>
        </w:rPr>
        <w:t>La prisión preventiva ordenada en contra del señor Carranza tuvo por base el artículo 177 del CPP, que facultaba a autoridad judicial a disponerla solo con base en indicios sobre la existencia de un delito cuya pena fuera privativa de libertad y sobre la “autor[</w:t>
      </w:r>
      <w:proofErr w:type="spellStart"/>
      <w:r>
        <w:rPr>
          <w:rFonts w:ascii="Verdana" w:hAnsi="Verdana"/>
          <w:sz w:val="20"/>
          <w:szCs w:val="20"/>
          <w:lang w:val="es-ES"/>
        </w:rPr>
        <w:t>ía</w:t>
      </w:r>
      <w:proofErr w:type="spellEnd"/>
      <w:r>
        <w:rPr>
          <w:rFonts w:ascii="Verdana" w:hAnsi="Verdana"/>
          <w:sz w:val="20"/>
          <w:szCs w:val="20"/>
          <w:lang w:val="es-ES"/>
        </w:rPr>
        <w:t>]” o “</w:t>
      </w:r>
      <w:proofErr w:type="spellStart"/>
      <w:r>
        <w:rPr>
          <w:rFonts w:ascii="Verdana" w:hAnsi="Verdana"/>
          <w:sz w:val="20"/>
          <w:szCs w:val="20"/>
          <w:lang w:val="es-ES"/>
        </w:rPr>
        <w:t>complic</w:t>
      </w:r>
      <w:proofErr w:type="spellEnd"/>
      <w:r>
        <w:rPr>
          <w:rFonts w:ascii="Verdana" w:hAnsi="Verdana"/>
          <w:sz w:val="20"/>
          <w:szCs w:val="20"/>
          <w:lang w:val="es-ES"/>
        </w:rPr>
        <w:t>[</w:t>
      </w:r>
      <w:proofErr w:type="spellStart"/>
      <w:r>
        <w:rPr>
          <w:rFonts w:ascii="Verdana" w:hAnsi="Verdana"/>
          <w:sz w:val="20"/>
          <w:szCs w:val="20"/>
          <w:lang w:val="es-ES"/>
        </w:rPr>
        <w:t>idad</w:t>
      </w:r>
      <w:proofErr w:type="spellEnd"/>
      <w:r>
        <w:rPr>
          <w:rFonts w:ascii="Verdana" w:hAnsi="Verdana"/>
          <w:sz w:val="20"/>
          <w:szCs w:val="20"/>
          <w:lang w:val="es-ES"/>
        </w:rPr>
        <w:t>]” del “sindicado” (</w:t>
      </w:r>
      <w:r>
        <w:rPr>
          <w:rFonts w:ascii="Verdana" w:hAnsi="Verdana"/>
          <w:i/>
          <w:sz w:val="20"/>
          <w:szCs w:val="20"/>
          <w:lang w:val="es-ES"/>
        </w:rPr>
        <w:t>supra</w:t>
      </w:r>
      <w:r>
        <w:rPr>
          <w:rFonts w:ascii="Verdana" w:hAnsi="Verdana"/>
          <w:sz w:val="20"/>
          <w:szCs w:val="20"/>
          <w:lang w:val="es-ES"/>
        </w:rPr>
        <w:t xml:space="preserve"> párr. 37)</w:t>
      </w:r>
      <w:r>
        <w:rPr>
          <w:rStyle w:val="Refdenotaalpie"/>
          <w:rFonts w:ascii="Verdana" w:hAnsi="Verdana"/>
          <w:sz w:val="20"/>
          <w:szCs w:val="20"/>
          <w:lang w:val="es-ES"/>
        </w:rPr>
        <w:footnoteReference w:id="51"/>
      </w:r>
      <w:r>
        <w:rPr>
          <w:rFonts w:ascii="Verdana" w:hAnsi="Verdana"/>
          <w:sz w:val="20"/>
          <w:szCs w:val="20"/>
          <w:lang w:val="es-ES"/>
        </w:rPr>
        <w:t xml:space="preserve">. </w:t>
      </w:r>
    </w:p>
    <w:p w14:paraId="6AA95E64" w14:textId="77777777" w:rsidR="00D1418C" w:rsidRPr="00FD50EE" w:rsidRDefault="00D1418C" w:rsidP="00414DEF">
      <w:pPr>
        <w:pStyle w:val="Prrafodelista"/>
        <w:spacing w:line="240" w:lineRule="auto"/>
        <w:rPr>
          <w:rFonts w:ascii="Verdana" w:hAnsi="Verdana"/>
          <w:sz w:val="20"/>
          <w:szCs w:val="20"/>
          <w:lang w:val="es-ES"/>
        </w:rPr>
      </w:pPr>
    </w:p>
    <w:p w14:paraId="7E971E08" w14:textId="77777777" w:rsidR="00D1418C" w:rsidRDefault="00D1418C" w:rsidP="00414DEF">
      <w:pPr>
        <w:pStyle w:val="Prrafodelista"/>
        <w:widowControl/>
        <w:numPr>
          <w:ilvl w:val="0"/>
          <w:numId w:val="26"/>
        </w:numPr>
        <w:spacing w:after="160" w:line="240" w:lineRule="auto"/>
        <w:ind w:left="0" w:firstLine="0"/>
        <w:jc w:val="both"/>
        <w:rPr>
          <w:rFonts w:ascii="Verdana" w:hAnsi="Verdana"/>
          <w:sz w:val="20"/>
          <w:szCs w:val="20"/>
          <w:lang w:val="es-ES"/>
        </w:rPr>
      </w:pPr>
      <w:r>
        <w:rPr>
          <w:rFonts w:ascii="Verdana" w:hAnsi="Verdana"/>
          <w:sz w:val="20"/>
          <w:szCs w:val="20"/>
          <w:lang w:val="es-ES"/>
        </w:rPr>
        <w:t>L</w:t>
      </w:r>
      <w:r w:rsidRPr="00FD50EE">
        <w:rPr>
          <w:rFonts w:ascii="Verdana" w:hAnsi="Verdana"/>
          <w:sz w:val="20"/>
          <w:szCs w:val="20"/>
          <w:lang w:val="es-ES"/>
        </w:rPr>
        <w:t>a decisión judicial que ordenó la prisión preventiva del señor Carranz</w:t>
      </w:r>
      <w:r>
        <w:rPr>
          <w:rFonts w:ascii="Verdana" w:hAnsi="Verdana"/>
          <w:sz w:val="20"/>
          <w:szCs w:val="20"/>
          <w:lang w:val="es-ES"/>
        </w:rPr>
        <w:t>a expresó que “[p]</w:t>
      </w:r>
      <w:proofErr w:type="spellStart"/>
      <w:r>
        <w:rPr>
          <w:rFonts w:ascii="Verdana" w:hAnsi="Verdana"/>
          <w:sz w:val="20"/>
          <w:szCs w:val="20"/>
          <w:lang w:val="es-ES"/>
        </w:rPr>
        <w:t>or</w:t>
      </w:r>
      <w:proofErr w:type="spellEnd"/>
      <w:r>
        <w:rPr>
          <w:rFonts w:ascii="Verdana" w:hAnsi="Verdana"/>
          <w:sz w:val="20"/>
          <w:szCs w:val="20"/>
          <w:lang w:val="es-ES"/>
        </w:rPr>
        <w:t xml:space="preserve"> considerar que concurren los presupuestos establecidos en el artículo 177 del [CPP], se confirman las órdenes de prisiones preventivas”. Si bien el mismo acto aludió a que el señor Carranza estaba prófugo, no lo mencionó como sustento de la decisión de prisión preventiva, sino a efectos de su captura o aprehensión</w:t>
      </w:r>
      <w:r>
        <w:rPr>
          <w:rStyle w:val="Refdenotaalpie"/>
          <w:rFonts w:ascii="Verdana" w:hAnsi="Verdana"/>
          <w:sz w:val="20"/>
          <w:szCs w:val="20"/>
          <w:lang w:val="es-ES"/>
        </w:rPr>
        <w:footnoteReference w:id="52"/>
      </w:r>
      <w:r>
        <w:rPr>
          <w:rFonts w:ascii="Verdana" w:hAnsi="Verdana"/>
          <w:sz w:val="20"/>
          <w:szCs w:val="20"/>
          <w:lang w:val="es-ES"/>
        </w:rPr>
        <w:t xml:space="preserve">. </w:t>
      </w:r>
    </w:p>
    <w:p w14:paraId="066814D7" w14:textId="77777777" w:rsidR="00D1418C" w:rsidRPr="00BC2265" w:rsidRDefault="00D1418C" w:rsidP="00414DEF">
      <w:pPr>
        <w:pStyle w:val="Prrafodelista"/>
        <w:spacing w:after="0" w:line="240" w:lineRule="auto"/>
        <w:jc w:val="both"/>
        <w:rPr>
          <w:rFonts w:ascii="Verdana" w:hAnsi="Verdana"/>
          <w:sz w:val="20"/>
          <w:szCs w:val="20"/>
          <w:lang w:val="es-ES"/>
        </w:rPr>
      </w:pPr>
    </w:p>
    <w:p w14:paraId="61F4405D" w14:textId="77777777" w:rsidR="00D1418C" w:rsidRPr="00BC2265" w:rsidRDefault="00D1418C" w:rsidP="00414DEF">
      <w:pPr>
        <w:pStyle w:val="Prrafodelista"/>
        <w:widowControl/>
        <w:numPr>
          <w:ilvl w:val="0"/>
          <w:numId w:val="26"/>
        </w:numPr>
        <w:spacing w:after="0" w:line="240" w:lineRule="auto"/>
        <w:ind w:left="0" w:firstLine="0"/>
        <w:jc w:val="both"/>
        <w:rPr>
          <w:rFonts w:ascii="Verdana" w:hAnsi="Verdana"/>
          <w:sz w:val="20"/>
          <w:szCs w:val="20"/>
          <w:lang w:val="es-CR"/>
        </w:rPr>
      </w:pPr>
      <w:r w:rsidRPr="00BC2265">
        <w:rPr>
          <w:rFonts w:ascii="Verdana" w:hAnsi="Verdana"/>
          <w:sz w:val="20"/>
          <w:szCs w:val="20"/>
          <w:lang w:val="es-ES"/>
        </w:rPr>
        <w:t xml:space="preserve">Respecto del artículo 177 del CPP esta Corte ya ha </w:t>
      </w:r>
      <w:r>
        <w:rPr>
          <w:rFonts w:ascii="Verdana" w:hAnsi="Verdana"/>
          <w:sz w:val="20"/>
          <w:szCs w:val="20"/>
          <w:lang w:val="es-ES"/>
        </w:rPr>
        <w:t xml:space="preserve">determinado que dicha disposición: </w:t>
      </w:r>
    </w:p>
    <w:p w14:paraId="72561BD4" w14:textId="77777777" w:rsidR="00D1418C" w:rsidRPr="00BC2265" w:rsidRDefault="00D1418C" w:rsidP="00414DEF">
      <w:pPr>
        <w:pStyle w:val="Prrafodelista"/>
        <w:spacing w:after="0" w:line="240" w:lineRule="auto"/>
        <w:jc w:val="both"/>
        <w:rPr>
          <w:rFonts w:ascii="Verdana" w:hAnsi="Verdana"/>
          <w:sz w:val="16"/>
          <w:szCs w:val="16"/>
          <w:lang w:val="es-ES"/>
        </w:rPr>
      </w:pPr>
    </w:p>
    <w:p w14:paraId="6C76915E" w14:textId="77777777" w:rsidR="00D1418C" w:rsidRPr="00BC2265" w:rsidRDefault="00D1418C" w:rsidP="00414DEF">
      <w:pPr>
        <w:pStyle w:val="Prrafodelista"/>
        <w:widowControl/>
        <w:spacing w:after="0" w:line="240" w:lineRule="auto"/>
        <w:ind w:left="284" w:right="333"/>
        <w:jc w:val="both"/>
        <w:rPr>
          <w:rFonts w:ascii="Verdana" w:hAnsi="Verdana"/>
          <w:sz w:val="16"/>
          <w:szCs w:val="16"/>
          <w:lang w:val="es-CR"/>
        </w:rPr>
      </w:pPr>
      <w:r w:rsidRPr="00BC2265">
        <w:rPr>
          <w:rFonts w:ascii="Verdana" w:hAnsi="Verdana"/>
          <w:sz w:val="16"/>
          <w:szCs w:val="16"/>
          <w:lang w:val="es-CR"/>
        </w:rPr>
        <w:t xml:space="preserve">dejaba en manos del juez la decisión sobre la prisión preventiva solo con base en la apreciación de </w:t>
      </w:r>
      <w:r>
        <w:rPr>
          <w:rFonts w:ascii="Verdana" w:hAnsi="Verdana"/>
          <w:sz w:val="16"/>
          <w:szCs w:val="16"/>
          <w:lang w:val="es-CR"/>
        </w:rPr>
        <w:t>“</w:t>
      </w:r>
      <w:r w:rsidRPr="00BC2265">
        <w:rPr>
          <w:rFonts w:ascii="Verdana" w:hAnsi="Verdana"/>
          <w:sz w:val="16"/>
          <w:szCs w:val="16"/>
          <w:lang w:val="es-CR"/>
        </w:rPr>
        <w:t>indicios</w:t>
      </w:r>
      <w:r>
        <w:rPr>
          <w:rFonts w:ascii="Verdana" w:hAnsi="Verdana"/>
          <w:sz w:val="16"/>
          <w:szCs w:val="16"/>
          <w:lang w:val="es-CR"/>
        </w:rPr>
        <w:t>”</w:t>
      </w:r>
      <w:r w:rsidRPr="00BC2265">
        <w:rPr>
          <w:rFonts w:ascii="Verdana" w:hAnsi="Verdana"/>
          <w:sz w:val="16"/>
          <w:szCs w:val="16"/>
          <w:lang w:val="es-CR"/>
        </w:rPr>
        <w:t xml:space="preserve"> respecto a la existencia de un delito y su autoría, sin considerar el carácter excepcional de la misma, ni su uso a partir de una necesidad estricta, y ante la posibilidad de que el acusado entorpezca el proceso o pudiera eludir a la justicia. […] Esta determinación de privación preventiva de la libertad en forma automática a partir del tipo de delito perseguido penalmente, resulta contraria a […] pautas [convencionales], que mandan a acreditar, en cada caso concreto, que la detención sea estrictamente necesaria y tenga como fin asegurar que el acusado no impedirá el desarrollo del procedimiento ni eludirá la acción de la justicia. […] En razón de lo expuesto, este Tribunal </w:t>
      </w:r>
      <w:proofErr w:type="spellStart"/>
      <w:r w:rsidRPr="00BC2265">
        <w:rPr>
          <w:rFonts w:ascii="Verdana" w:hAnsi="Verdana"/>
          <w:sz w:val="16"/>
          <w:szCs w:val="16"/>
          <w:lang w:val="es-CR"/>
        </w:rPr>
        <w:t>constat</w:t>
      </w:r>
      <w:proofErr w:type="spellEnd"/>
      <w:r w:rsidRPr="00BC2265">
        <w:rPr>
          <w:rFonts w:ascii="Verdana" w:hAnsi="Verdana"/>
          <w:sz w:val="16"/>
          <w:szCs w:val="16"/>
          <w:lang w:val="es-CR"/>
        </w:rPr>
        <w:t>[</w:t>
      </w:r>
      <w:proofErr w:type="spellStart"/>
      <w:r w:rsidRPr="00BC2265">
        <w:rPr>
          <w:rFonts w:ascii="Verdana" w:hAnsi="Verdana"/>
          <w:sz w:val="16"/>
          <w:szCs w:val="16"/>
          <w:lang w:val="es-CR"/>
        </w:rPr>
        <w:t>ó</w:t>
      </w:r>
      <w:proofErr w:type="spellEnd"/>
      <w:r w:rsidRPr="00BC2265">
        <w:rPr>
          <w:rFonts w:ascii="Verdana" w:hAnsi="Verdana"/>
          <w:sz w:val="16"/>
          <w:szCs w:val="16"/>
          <w:lang w:val="es-CR"/>
        </w:rPr>
        <w:t xml:space="preserve">] que [el] artículo […] 177 […] </w:t>
      </w:r>
      <w:proofErr w:type="spellStart"/>
      <w:r w:rsidRPr="00BC2265">
        <w:rPr>
          <w:rFonts w:ascii="Verdana" w:hAnsi="Verdana"/>
          <w:sz w:val="16"/>
          <w:szCs w:val="16"/>
          <w:lang w:val="es-CR"/>
        </w:rPr>
        <w:t>result</w:t>
      </w:r>
      <w:proofErr w:type="spellEnd"/>
      <w:r w:rsidRPr="00BC2265">
        <w:rPr>
          <w:rFonts w:ascii="Verdana" w:hAnsi="Verdana"/>
          <w:sz w:val="16"/>
          <w:szCs w:val="16"/>
          <w:lang w:val="es-CR"/>
        </w:rPr>
        <w:t>[</w:t>
      </w:r>
      <w:proofErr w:type="spellStart"/>
      <w:r w:rsidRPr="00BC2265">
        <w:rPr>
          <w:rFonts w:ascii="Verdana" w:hAnsi="Verdana"/>
          <w:sz w:val="16"/>
          <w:szCs w:val="16"/>
          <w:lang w:val="es-CR"/>
        </w:rPr>
        <w:t>ó</w:t>
      </w:r>
      <w:proofErr w:type="spellEnd"/>
      <w:r w:rsidRPr="00BC2265">
        <w:rPr>
          <w:rFonts w:ascii="Verdana" w:hAnsi="Verdana"/>
          <w:sz w:val="16"/>
          <w:szCs w:val="16"/>
          <w:lang w:val="es-CR"/>
        </w:rPr>
        <w:t>] contrario […] al estándar internacional establecido en su jurisprudencia constante respecto de la prisión preventiva”</w:t>
      </w:r>
      <w:r>
        <w:rPr>
          <w:rStyle w:val="Refdenotaalpie"/>
          <w:rFonts w:ascii="Verdana" w:hAnsi="Verdana"/>
          <w:sz w:val="16"/>
          <w:szCs w:val="16"/>
          <w:lang w:val="es-CR"/>
        </w:rPr>
        <w:footnoteReference w:id="53"/>
      </w:r>
      <w:r w:rsidRPr="00BC2265">
        <w:rPr>
          <w:rFonts w:ascii="Verdana" w:hAnsi="Verdana"/>
          <w:sz w:val="16"/>
          <w:szCs w:val="16"/>
          <w:lang w:val="es-CR"/>
        </w:rPr>
        <w:t xml:space="preserve">. </w:t>
      </w:r>
    </w:p>
    <w:p w14:paraId="1BB3BF02" w14:textId="77777777" w:rsidR="00D1418C" w:rsidRPr="00C666CD" w:rsidRDefault="00D1418C" w:rsidP="00414DEF">
      <w:pPr>
        <w:pStyle w:val="Prrafodelista"/>
        <w:spacing w:line="240" w:lineRule="auto"/>
        <w:ind w:left="0"/>
        <w:jc w:val="both"/>
        <w:rPr>
          <w:rFonts w:ascii="Verdana" w:hAnsi="Verdana"/>
          <w:sz w:val="20"/>
          <w:szCs w:val="20"/>
          <w:lang w:val="es-ES"/>
        </w:rPr>
      </w:pPr>
    </w:p>
    <w:p w14:paraId="59B36CF1" w14:textId="0AB0FC88" w:rsidR="00D1418C" w:rsidRDefault="00D1418C" w:rsidP="00414DEF">
      <w:pPr>
        <w:pStyle w:val="Prrafodelista"/>
        <w:widowControl/>
        <w:numPr>
          <w:ilvl w:val="0"/>
          <w:numId w:val="26"/>
        </w:numPr>
        <w:spacing w:after="160" w:line="240" w:lineRule="auto"/>
        <w:ind w:left="0" w:firstLine="0"/>
        <w:jc w:val="both"/>
        <w:rPr>
          <w:rFonts w:ascii="Verdana" w:hAnsi="Verdana"/>
          <w:sz w:val="20"/>
          <w:szCs w:val="20"/>
          <w:lang w:val="es-ES"/>
        </w:rPr>
      </w:pPr>
      <w:r>
        <w:rPr>
          <w:rFonts w:ascii="Verdana" w:hAnsi="Verdana"/>
          <w:sz w:val="20"/>
          <w:szCs w:val="20"/>
          <w:lang w:val="es-ES"/>
        </w:rPr>
        <w:t>La Corte advierte el argumento estatal</w:t>
      </w:r>
      <w:r w:rsidR="000E25B8">
        <w:rPr>
          <w:rFonts w:ascii="Verdana" w:hAnsi="Verdana"/>
          <w:sz w:val="20"/>
          <w:szCs w:val="20"/>
          <w:lang w:val="es-ES"/>
        </w:rPr>
        <w:t>, presentado ante este Tribunal,</w:t>
      </w:r>
      <w:r>
        <w:rPr>
          <w:rFonts w:ascii="Verdana" w:hAnsi="Verdana"/>
          <w:sz w:val="20"/>
          <w:szCs w:val="20"/>
          <w:lang w:val="es-ES"/>
        </w:rPr>
        <w:t xml:space="preserve"> de que la prisión preventiva </w:t>
      </w:r>
      <w:r w:rsidRPr="00C666CD">
        <w:rPr>
          <w:rFonts w:ascii="Verdana" w:hAnsi="Verdana"/>
          <w:sz w:val="20"/>
          <w:szCs w:val="20"/>
          <w:lang w:val="es-ES"/>
        </w:rPr>
        <w:t xml:space="preserve">era </w:t>
      </w:r>
      <w:r>
        <w:rPr>
          <w:rFonts w:ascii="Verdana" w:hAnsi="Verdana"/>
          <w:sz w:val="20"/>
          <w:szCs w:val="20"/>
          <w:lang w:val="es-ES"/>
        </w:rPr>
        <w:t>“</w:t>
      </w:r>
      <w:r w:rsidRPr="00C666CD">
        <w:rPr>
          <w:rFonts w:ascii="Verdana" w:hAnsi="Verdana"/>
          <w:sz w:val="20"/>
          <w:szCs w:val="20"/>
          <w:lang w:val="es-ES"/>
        </w:rPr>
        <w:t xml:space="preserve">necesaria, en virtud de que </w:t>
      </w:r>
      <w:r>
        <w:rPr>
          <w:rFonts w:ascii="Verdana" w:hAnsi="Verdana"/>
          <w:sz w:val="20"/>
          <w:szCs w:val="20"/>
          <w:lang w:val="es-ES"/>
        </w:rPr>
        <w:t xml:space="preserve">[el señor Carranza] </w:t>
      </w:r>
      <w:r w:rsidRPr="00C666CD">
        <w:rPr>
          <w:rFonts w:ascii="Verdana" w:hAnsi="Verdana"/>
          <w:sz w:val="20"/>
          <w:szCs w:val="20"/>
          <w:lang w:val="es-ES"/>
        </w:rPr>
        <w:t>se encontraba prófugo</w:t>
      </w:r>
      <w:r>
        <w:rPr>
          <w:rFonts w:ascii="Verdana" w:hAnsi="Verdana"/>
          <w:sz w:val="20"/>
          <w:szCs w:val="20"/>
          <w:lang w:val="es-ES"/>
        </w:rPr>
        <w:t>” (</w:t>
      </w:r>
      <w:r>
        <w:rPr>
          <w:rFonts w:ascii="Verdana" w:hAnsi="Verdana"/>
          <w:i/>
          <w:sz w:val="20"/>
          <w:szCs w:val="20"/>
          <w:lang w:val="es-ES"/>
        </w:rPr>
        <w:t>supra</w:t>
      </w:r>
      <w:r>
        <w:rPr>
          <w:rFonts w:ascii="Verdana" w:hAnsi="Verdana"/>
          <w:sz w:val="20"/>
          <w:szCs w:val="20"/>
          <w:lang w:val="es-ES"/>
        </w:rPr>
        <w:t xml:space="preserve"> párr. 59). No obstante, se trata de un alegato del Estado en el proceso ante esta Corte, no de un razonamiento que conste en forma clara de los actos que ordenaron la prisión preventiva. Dichos actos sustentaron la decisión de prisión preventiva en que se presentaron los su</w:t>
      </w:r>
      <w:r w:rsidRPr="009763F2">
        <w:rPr>
          <w:rFonts w:ascii="Verdana" w:hAnsi="Verdana"/>
          <w:sz w:val="20"/>
          <w:szCs w:val="20"/>
          <w:lang w:val="es-ES"/>
        </w:rPr>
        <w:t>puestos mandados por el artículo 177 del CPP. Ya se ha dicho que “[c]</w:t>
      </w:r>
      <w:proofErr w:type="spellStart"/>
      <w:r w:rsidRPr="009763F2">
        <w:rPr>
          <w:rFonts w:ascii="Verdana" w:hAnsi="Verdana"/>
          <w:sz w:val="20"/>
          <w:szCs w:val="20"/>
          <w:lang w:val="es-ES"/>
        </w:rPr>
        <w:t>ualquier</w:t>
      </w:r>
      <w:proofErr w:type="spellEnd"/>
      <w:r w:rsidRPr="009763F2">
        <w:rPr>
          <w:rFonts w:ascii="Verdana" w:hAnsi="Verdana"/>
          <w:sz w:val="20"/>
          <w:szCs w:val="20"/>
          <w:lang w:val="es-ES"/>
        </w:rPr>
        <w:t xml:space="preserve"> restricción a la libertad que no contenga una motivación suficiente que permita evaluar si se ajusta a las condiciones [antes] señaladas [para la procedencia de la prisión preventiva] será arbitraria”, en violación al artículo 7.3 de la Convención</w:t>
      </w:r>
      <w:r w:rsidR="00BF5C7D">
        <w:rPr>
          <w:rFonts w:ascii="Verdana" w:hAnsi="Verdana"/>
          <w:sz w:val="20"/>
          <w:szCs w:val="20"/>
          <w:lang w:val="es-ES"/>
        </w:rPr>
        <w:t xml:space="preserve"> (</w:t>
      </w:r>
      <w:r w:rsidR="00BF5C7D">
        <w:rPr>
          <w:rFonts w:ascii="Verdana" w:hAnsi="Verdana"/>
          <w:i/>
          <w:sz w:val="20"/>
          <w:szCs w:val="20"/>
          <w:lang w:val="es-ES"/>
        </w:rPr>
        <w:t xml:space="preserve">supra </w:t>
      </w:r>
      <w:r w:rsidR="00BF5C7D">
        <w:rPr>
          <w:rFonts w:ascii="Verdana" w:hAnsi="Verdana"/>
          <w:sz w:val="20"/>
          <w:szCs w:val="20"/>
          <w:lang w:val="es-ES"/>
        </w:rPr>
        <w:t>párr. 75)</w:t>
      </w:r>
      <w:r w:rsidRPr="009763F2">
        <w:rPr>
          <w:rFonts w:ascii="Verdana" w:hAnsi="Verdana"/>
          <w:sz w:val="20"/>
          <w:szCs w:val="20"/>
          <w:lang w:val="es-ES"/>
        </w:rPr>
        <w:t xml:space="preserve">. </w:t>
      </w:r>
    </w:p>
    <w:p w14:paraId="536742C0" w14:textId="77777777" w:rsidR="00D1418C" w:rsidRDefault="00D1418C" w:rsidP="00414DEF">
      <w:pPr>
        <w:pStyle w:val="Prrafodelista"/>
        <w:widowControl/>
        <w:spacing w:after="160" w:line="240" w:lineRule="auto"/>
        <w:ind w:left="0"/>
        <w:jc w:val="both"/>
        <w:rPr>
          <w:rFonts w:ascii="Verdana" w:hAnsi="Verdana"/>
          <w:sz w:val="20"/>
          <w:szCs w:val="20"/>
          <w:lang w:val="es-ES"/>
        </w:rPr>
      </w:pPr>
    </w:p>
    <w:p w14:paraId="3B789A7D" w14:textId="77777777" w:rsidR="00D1418C" w:rsidRPr="009763F2" w:rsidRDefault="00D1418C" w:rsidP="00414DEF">
      <w:pPr>
        <w:pStyle w:val="Prrafodelista"/>
        <w:widowControl/>
        <w:numPr>
          <w:ilvl w:val="0"/>
          <w:numId w:val="26"/>
        </w:numPr>
        <w:spacing w:after="160" w:line="240" w:lineRule="auto"/>
        <w:ind w:left="0" w:firstLine="0"/>
        <w:jc w:val="both"/>
        <w:rPr>
          <w:rFonts w:ascii="Verdana" w:hAnsi="Verdana"/>
          <w:sz w:val="20"/>
          <w:szCs w:val="20"/>
          <w:lang w:val="es-ES"/>
        </w:rPr>
      </w:pPr>
      <w:r>
        <w:rPr>
          <w:rFonts w:ascii="Verdana" w:hAnsi="Verdana"/>
          <w:sz w:val="20"/>
          <w:szCs w:val="20"/>
          <w:lang w:val="es-ES"/>
        </w:rPr>
        <w:t xml:space="preserve">Por ende, valen para el caso que aquí se examina los señalamientos efectuados por esta Corte respecto al caso </w:t>
      </w:r>
      <w:r w:rsidRPr="009763F2">
        <w:rPr>
          <w:rFonts w:ascii="Verdana" w:hAnsi="Verdana"/>
          <w:i/>
          <w:sz w:val="20"/>
          <w:szCs w:val="20"/>
          <w:lang w:val="es-ES"/>
        </w:rPr>
        <w:t>Herrera Espinoza</w:t>
      </w:r>
      <w:r>
        <w:rPr>
          <w:rFonts w:ascii="Verdana" w:hAnsi="Verdana"/>
          <w:i/>
          <w:sz w:val="20"/>
          <w:szCs w:val="20"/>
          <w:lang w:val="es-ES"/>
        </w:rPr>
        <w:t xml:space="preserve"> y otros vs. Ecuador</w:t>
      </w:r>
      <w:r>
        <w:rPr>
          <w:rFonts w:ascii="Verdana" w:hAnsi="Verdana"/>
          <w:sz w:val="20"/>
          <w:szCs w:val="20"/>
          <w:lang w:val="es-ES"/>
        </w:rPr>
        <w:t xml:space="preserve">: </w:t>
      </w:r>
    </w:p>
    <w:p w14:paraId="1CCB85FA" w14:textId="77777777" w:rsidR="00D1418C" w:rsidRDefault="00D1418C" w:rsidP="00414DEF">
      <w:pPr>
        <w:pStyle w:val="Prrafodelista"/>
        <w:widowControl/>
        <w:spacing w:after="160" w:line="240" w:lineRule="auto"/>
        <w:ind w:left="0"/>
        <w:jc w:val="both"/>
        <w:rPr>
          <w:rFonts w:ascii="Verdana" w:hAnsi="Verdana"/>
          <w:sz w:val="20"/>
          <w:szCs w:val="20"/>
          <w:lang w:val="es-ES"/>
        </w:rPr>
      </w:pPr>
    </w:p>
    <w:p w14:paraId="46DF961F" w14:textId="77777777" w:rsidR="00D1418C" w:rsidRPr="0020122D" w:rsidRDefault="00D1418C" w:rsidP="00414DEF">
      <w:pPr>
        <w:pStyle w:val="Prrafodelista"/>
        <w:widowControl/>
        <w:spacing w:after="160" w:line="240" w:lineRule="auto"/>
        <w:ind w:left="284" w:right="333"/>
        <w:jc w:val="both"/>
        <w:rPr>
          <w:rFonts w:ascii="Verdana" w:hAnsi="Verdana"/>
          <w:sz w:val="16"/>
          <w:szCs w:val="16"/>
          <w:lang w:val="es-CR"/>
        </w:rPr>
      </w:pPr>
      <w:r w:rsidRPr="0020122D">
        <w:rPr>
          <w:rFonts w:ascii="Verdana" w:hAnsi="Verdana"/>
          <w:sz w:val="16"/>
          <w:szCs w:val="16"/>
          <w:lang w:val="es-CR"/>
        </w:rPr>
        <w:t>La Corte advierte el argumento estatal de que la fuga […] evidenció en el caso la necesidad de la prisión preventiva. No obstante, aun cuando podría eventualmente ser posible evaluar que había motivos fundados para determinar la necesidad de la medida, lo cierto es que la prisión preventiva se dictó […] sin acreditar [la] necesidad, y su aplicación estuvo enmarcada en legislación contraria a la Convención Americana. Por ende, el argumento estatal no resulta suficiente para considerar acorde a la Convención a la privación preventiva de la libertad</w:t>
      </w:r>
      <w:r w:rsidRPr="0020122D">
        <w:rPr>
          <w:rStyle w:val="Refdenotaalpie"/>
          <w:rFonts w:ascii="Verdana" w:hAnsi="Verdana"/>
          <w:sz w:val="16"/>
          <w:szCs w:val="16"/>
          <w:lang w:val="es-CR"/>
        </w:rPr>
        <w:footnoteReference w:id="54"/>
      </w:r>
      <w:r w:rsidRPr="0020122D">
        <w:rPr>
          <w:rFonts w:ascii="Verdana" w:hAnsi="Verdana"/>
          <w:sz w:val="16"/>
          <w:szCs w:val="16"/>
          <w:lang w:val="es-CR"/>
        </w:rPr>
        <w:t>.</w:t>
      </w:r>
    </w:p>
    <w:p w14:paraId="0A8EF5FC" w14:textId="77777777" w:rsidR="00D1418C" w:rsidRDefault="00D1418C" w:rsidP="00414DEF">
      <w:pPr>
        <w:pStyle w:val="Prrafodelista"/>
        <w:widowControl/>
        <w:spacing w:after="160" w:line="240" w:lineRule="auto"/>
        <w:ind w:left="0"/>
        <w:jc w:val="both"/>
        <w:rPr>
          <w:rFonts w:ascii="Verdana" w:hAnsi="Verdana"/>
          <w:sz w:val="20"/>
          <w:szCs w:val="20"/>
          <w:lang w:val="es-ES"/>
        </w:rPr>
      </w:pPr>
    </w:p>
    <w:p w14:paraId="297F8C68" w14:textId="77777777" w:rsidR="00D1418C" w:rsidRDefault="00D1418C" w:rsidP="00414DEF">
      <w:pPr>
        <w:pStyle w:val="Prrafodelista"/>
        <w:widowControl/>
        <w:numPr>
          <w:ilvl w:val="0"/>
          <w:numId w:val="26"/>
        </w:numPr>
        <w:spacing w:after="160" w:line="240" w:lineRule="auto"/>
        <w:ind w:left="0" w:firstLine="0"/>
        <w:jc w:val="both"/>
        <w:rPr>
          <w:rFonts w:ascii="Verdana" w:hAnsi="Verdana"/>
          <w:sz w:val="20"/>
          <w:szCs w:val="20"/>
          <w:lang w:val="es-ES"/>
        </w:rPr>
      </w:pPr>
      <w:r>
        <w:rPr>
          <w:rFonts w:ascii="Verdana" w:hAnsi="Verdana"/>
          <w:sz w:val="20"/>
          <w:szCs w:val="20"/>
          <w:lang w:val="es-ES"/>
        </w:rPr>
        <w:t>La Corte concluye, entonces, que la orden de prisión preventiva dictada contra el señor Carranza fue arbitraria, en contravención a los artículos 7.1 y 7.3 de la Convención Americana sobre Derechos Humanos, en relación con sus artículos 1.1 y 2, dado que se dictó sin una motivación que diera cuenta de su necesidad y se sustentó en una norma que, al establecer la procedencia de la prisión preventiva en términos automáticos, conforme lo señalado (</w:t>
      </w:r>
      <w:r>
        <w:rPr>
          <w:rFonts w:ascii="Verdana" w:hAnsi="Verdana"/>
          <w:i/>
          <w:sz w:val="20"/>
          <w:szCs w:val="20"/>
          <w:lang w:val="es-ES"/>
        </w:rPr>
        <w:t xml:space="preserve">supra </w:t>
      </w:r>
      <w:r>
        <w:rPr>
          <w:rFonts w:ascii="Verdana" w:hAnsi="Verdana"/>
          <w:sz w:val="20"/>
          <w:szCs w:val="20"/>
          <w:lang w:val="es-ES"/>
        </w:rPr>
        <w:t xml:space="preserve">párr. 78), resultó contraria a la Convención. </w:t>
      </w:r>
    </w:p>
    <w:p w14:paraId="1D3A2CAD" w14:textId="77777777" w:rsidR="00D1418C" w:rsidRDefault="00D1418C" w:rsidP="00414DEF">
      <w:pPr>
        <w:pStyle w:val="Prrafodelista"/>
        <w:widowControl/>
        <w:spacing w:after="160" w:line="240" w:lineRule="auto"/>
        <w:ind w:left="0"/>
        <w:jc w:val="both"/>
        <w:rPr>
          <w:rFonts w:ascii="Verdana" w:hAnsi="Verdana"/>
          <w:sz w:val="20"/>
          <w:szCs w:val="20"/>
          <w:lang w:val="es-ES"/>
        </w:rPr>
      </w:pPr>
    </w:p>
    <w:p w14:paraId="71767ADE" w14:textId="245961AE" w:rsidR="00D1418C" w:rsidRDefault="00D1418C" w:rsidP="00414DEF">
      <w:pPr>
        <w:pStyle w:val="Prrafodelista"/>
        <w:widowControl/>
        <w:spacing w:after="160" w:line="240" w:lineRule="auto"/>
        <w:ind w:left="567"/>
        <w:jc w:val="both"/>
        <w:outlineLvl w:val="2"/>
        <w:rPr>
          <w:rFonts w:ascii="Verdana" w:hAnsi="Verdana"/>
          <w:sz w:val="20"/>
          <w:szCs w:val="20"/>
          <w:lang w:val="es-ES"/>
        </w:rPr>
      </w:pPr>
      <w:bookmarkStart w:id="28" w:name="_Toc34817800"/>
      <w:r w:rsidRPr="0020122D">
        <w:rPr>
          <w:rFonts w:ascii="Verdana" w:hAnsi="Verdana"/>
          <w:i/>
          <w:sz w:val="20"/>
          <w:szCs w:val="20"/>
          <w:lang w:val="es-ES"/>
        </w:rPr>
        <w:lastRenderedPageBreak/>
        <w:t xml:space="preserve">B.2 </w:t>
      </w:r>
      <w:r>
        <w:rPr>
          <w:rFonts w:ascii="Verdana" w:hAnsi="Verdana"/>
          <w:i/>
          <w:sz w:val="20"/>
          <w:szCs w:val="20"/>
          <w:u w:val="single"/>
          <w:lang w:val="es-ES"/>
        </w:rPr>
        <w:t>Revisión de la prisión preventiva</w:t>
      </w:r>
      <w:bookmarkEnd w:id="28"/>
    </w:p>
    <w:p w14:paraId="14052496" w14:textId="77777777" w:rsidR="00E83BE1" w:rsidRDefault="00E83BE1" w:rsidP="00414DEF">
      <w:pPr>
        <w:pStyle w:val="Prrafodelista"/>
        <w:widowControl/>
        <w:spacing w:after="160" w:line="240" w:lineRule="auto"/>
        <w:ind w:left="567"/>
        <w:jc w:val="both"/>
        <w:outlineLvl w:val="2"/>
        <w:rPr>
          <w:rFonts w:ascii="Verdana" w:hAnsi="Verdana"/>
          <w:sz w:val="20"/>
          <w:szCs w:val="20"/>
          <w:lang w:val="es-ES"/>
        </w:rPr>
      </w:pPr>
    </w:p>
    <w:p w14:paraId="695489F6" w14:textId="77777777" w:rsidR="00D1418C" w:rsidRDefault="00D1418C" w:rsidP="00414DEF">
      <w:pPr>
        <w:pStyle w:val="Prrafodelista"/>
        <w:widowControl/>
        <w:numPr>
          <w:ilvl w:val="0"/>
          <w:numId w:val="26"/>
        </w:numPr>
        <w:spacing w:after="160" w:line="240" w:lineRule="auto"/>
        <w:ind w:left="0" w:firstLine="0"/>
        <w:jc w:val="both"/>
        <w:rPr>
          <w:rFonts w:ascii="Verdana" w:hAnsi="Verdana"/>
          <w:sz w:val="20"/>
          <w:szCs w:val="20"/>
          <w:lang w:val="es-ES"/>
        </w:rPr>
      </w:pPr>
      <w:r w:rsidRPr="0020122D">
        <w:rPr>
          <w:rFonts w:ascii="Verdana" w:hAnsi="Verdana"/>
          <w:sz w:val="20"/>
          <w:szCs w:val="20"/>
          <w:lang w:val="es-ES"/>
        </w:rPr>
        <w:t>Debe examinarse ahora</w:t>
      </w:r>
      <w:r>
        <w:rPr>
          <w:rFonts w:ascii="Verdana" w:hAnsi="Verdana"/>
          <w:sz w:val="20"/>
          <w:szCs w:val="20"/>
          <w:lang w:val="es-ES"/>
        </w:rPr>
        <w:t>,</w:t>
      </w:r>
      <w:r w:rsidRPr="0020122D">
        <w:rPr>
          <w:rFonts w:ascii="Verdana" w:hAnsi="Verdana"/>
          <w:sz w:val="20"/>
          <w:szCs w:val="20"/>
          <w:lang w:val="es-ES"/>
        </w:rPr>
        <w:t xml:space="preserve"> si el mantenimiento o prolongación de la prisión preventiva, fue en el caso adecuada. </w:t>
      </w:r>
    </w:p>
    <w:p w14:paraId="6B3D912F" w14:textId="77777777" w:rsidR="00D1418C" w:rsidRPr="0020122D" w:rsidRDefault="00D1418C" w:rsidP="00414DEF">
      <w:pPr>
        <w:pStyle w:val="Prrafodelista"/>
        <w:widowControl/>
        <w:spacing w:after="160" w:line="240" w:lineRule="auto"/>
        <w:ind w:left="0"/>
        <w:jc w:val="both"/>
        <w:rPr>
          <w:rFonts w:ascii="Verdana" w:hAnsi="Verdana"/>
          <w:sz w:val="20"/>
          <w:szCs w:val="20"/>
          <w:lang w:val="es-ES"/>
        </w:rPr>
      </w:pPr>
    </w:p>
    <w:p w14:paraId="33F7AAB7" w14:textId="03A3F73D" w:rsidR="00D1418C" w:rsidRPr="007509F4" w:rsidRDefault="00D1418C" w:rsidP="00414DEF">
      <w:pPr>
        <w:pStyle w:val="Prrafodelista"/>
        <w:widowControl/>
        <w:numPr>
          <w:ilvl w:val="0"/>
          <w:numId w:val="26"/>
        </w:numPr>
        <w:spacing w:after="160" w:line="240" w:lineRule="auto"/>
        <w:ind w:left="0" w:firstLine="0"/>
        <w:jc w:val="both"/>
        <w:rPr>
          <w:rFonts w:ascii="Verdana" w:hAnsi="Verdana"/>
          <w:sz w:val="20"/>
          <w:szCs w:val="20"/>
          <w:lang w:val="es-ES"/>
        </w:rPr>
      </w:pPr>
      <w:r w:rsidRPr="007509F4">
        <w:rPr>
          <w:rFonts w:ascii="Verdana" w:hAnsi="Verdana"/>
          <w:sz w:val="20"/>
          <w:szCs w:val="20"/>
          <w:lang w:val="es-ES"/>
        </w:rPr>
        <w:t>La Corte ha determinado que son las autoridades nacionales las encargadas de valorar la pertinencia o no del mantenimiento de las medidas cautela</w:t>
      </w:r>
      <w:r w:rsidRPr="00792B32">
        <w:rPr>
          <w:rFonts w:ascii="Verdana" w:hAnsi="Verdana"/>
          <w:sz w:val="20"/>
          <w:szCs w:val="20"/>
          <w:lang w:val="es-ES"/>
        </w:rPr>
        <w:t>res que emitan conforme a su propio ordenamiento</w:t>
      </w:r>
      <w:r>
        <w:rPr>
          <w:rFonts w:ascii="Verdana" w:hAnsi="Verdana"/>
          <w:sz w:val="20"/>
          <w:szCs w:val="20"/>
          <w:lang w:val="es-ES"/>
        </w:rPr>
        <w:t>.</w:t>
      </w:r>
      <w:r w:rsidRPr="007509F4">
        <w:rPr>
          <w:rFonts w:ascii="Verdana" w:hAnsi="Verdana"/>
          <w:sz w:val="20"/>
          <w:szCs w:val="20"/>
          <w:vertAlign w:val="superscript"/>
          <w:lang w:val="es-ES"/>
        </w:rPr>
        <w:t xml:space="preserve"> </w:t>
      </w:r>
      <w:r w:rsidRPr="007509F4">
        <w:rPr>
          <w:rFonts w:ascii="Verdana" w:hAnsi="Verdana"/>
          <w:sz w:val="20"/>
          <w:szCs w:val="20"/>
          <w:lang w:val="es-ES"/>
        </w:rPr>
        <w:t xml:space="preserve"> </w:t>
      </w:r>
      <w:r w:rsidRPr="00792B32">
        <w:rPr>
          <w:rFonts w:ascii="Verdana" w:hAnsi="Verdana"/>
          <w:sz w:val="20"/>
          <w:szCs w:val="20"/>
          <w:lang w:val="es-ES"/>
        </w:rPr>
        <w:t>L</w:t>
      </w:r>
      <w:r w:rsidRPr="00774CDD">
        <w:rPr>
          <w:rFonts w:ascii="Verdana" w:hAnsi="Verdana"/>
          <w:sz w:val="20"/>
          <w:szCs w:val="20"/>
          <w:lang w:val="es-ES"/>
        </w:rPr>
        <w:t>a detención preventiva debe estar sometida a revisión periódica, de tal forma que no se prolongue cuando no subsistan las razones que motivaron su adopción. El juez debe valorar periódicamente si las causas, necesidad y proporcionalidad de la medida se mantienen, y si el plazo de la detención ha sobrepasado los límites que imponen la ley y la razón. En cualquier momento en que aparezca que la prisión preventiva no satisface estas condiciones, deberá decretarse la libertad</w:t>
      </w:r>
      <w:r>
        <w:rPr>
          <w:rFonts w:ascii="Verdana" w:hAnsi="Verdana"/>
          <w:sz w:val="20"/>
          <w:szCs w:val="20"/>
          <w:lang w:val="es-ES"/>
        </w:rPr>
        <w:t>.</w:t>
      </w:r>
      <w:r w:rsidRPr="007509F4">
        <w:rPr>
          <w:rFonts w:ascii="Verdana" w:hAnsi="Verdana"/>
          <w:sz w:val="20"/>
          <w:szCs w:val="20"/>
          <w:lang w:val="es-ES"/>
        </w:rPr>
        <w:t xml:space="preserve"> </w:t>
      </w:r>
      <w:r w:rsidRPr="00792B32">
        <w:rPr>
          <w:rFonts w:ascii="Verdana" w:hAnsi="Verdana"/>
          <w:sz w:val="20"/>
          <w:szCs w:val="20"/>
          <w:lang w:val="es-CR"/>
        </w:rPr>
        <w:t xml:space="preserve">Al evaluar la continuidad de la medida, las autoridades deben </w:t>
      </w:r>
      <w:r w:rsidR="004C4C88">
        <w:rPr>
          <w:rFonts w:ascii="Verdana" w:hAnsi="Verdana"/>
          <w:sz w:val="20"/>
          <w:szCs w:val="20"/>
          <w:lang w:val="es-CR"/>
        </w:rPr>
        <w:t>dar</w:t>
      </w:r>
      <w:r w:rsidRPr="00792B32">
        <w:rPr>
          <w:rFonts w:ascii="Verdana" w:hAnsi="Verdana"/>
          <w:sz w:val="20"/>
          <w:szCs w:val="20"/>
          <w:lang w:val="es-CR"/>
        </w:rPr>
        <w:t xml:space="preserve"> los fund</w:t>
      </w:r>
      <w:r w:rsidRPr="00310A6B">
        <w:rPr>
          <w:rFonts w:ascii="Verdana" w:hAnsi="Verdana"/>
          <w:sz w:val="20"/>
          <w:szCs w:val="20"/>
          <w:lang w:val="es-CR"/>
        </w:rPr>
        <w:t>amentos suficientes que permitan conocer los motivos por los cuales se mantiene la restricción de la libertad, la cual, para que sea compatible con el artículo 7.3 de la Convención Americana, debe estar fundada en la necesidad de asegurar que el detenido no impedirá el desarrollo eficiente de las investigaciones ni eludirá la acción de la justicia</w:t>
      </w:r>
      <w:r w:rsidRPr="00774CDD">
        <w:rPr>
          <w:rFonts w:ascii="Verdana" w:hAnsi="Verdana"/>
          <w:sz w:val="20"/>
          <w:szCs w:val="20"/>
          <w:lang w:val="es-CR"/>
        </w:rPr>
        <w:t>.</w:t>
      </w:r>
      <w:r w:rsidRPr="007509F4">
        <w:rPr>
          <w:rFonts w:ascii="Verdana" w:hAnsi="Verdana"/>
          <w:sz w:val="20"/>
          <w:szCs w:val="20"/>
          <w:lang w:val="es-ES"/>
        </w:rPr>
        <w:t xml:space="preserve"> De igual forma, ante cada solicitud de liberación del detenido, el juez tiene que motivar aunque sea en forma mínima las razonables por las cuales considera que la prisión preventiva debe mantenerse</w:t>
      </w:r>
      <w:r w:rsidRPr="00774CDD">
        <w:rPr>
          <w:rFonts w:ascii="Verdana" w:hAnsi="Verdana"/>
          <w:sz w:val="20"/>
          <w:szCs w:val="20"/>
          <w:vertAlign w:val="superscript"/>
        </w:rPr>
        <w:footnoteReference w:id="55"/>
      </w:r>
      <w:r>
        <w:rPr>
          <w:rFonts w:ascii="Verdana" w:hAnsi="Verdana"/>
          <w:sz w:val="20"/>
          <w:szCs w:val="20"/>
          <w:lang w:val="es-ES"/>
        </w:rPr>
        <w:t>.</w:t>
      </w:r>
      <w:r w:rsidRPr="007509F4">
        <w:rPr>
          <w:rFonts w:ascii="Verdana" w:hAnsi="Verdana"/>
          <w:sz w:val="20"/>
          <w:szCs w:val="20"/>
          <w:lang w:val="es-ES"/>
        </w:rPr>
        <w:t xml:space="preserve"> </w:t>
      </w:r>
    </w:p>
    <w:p w14:paraId="3F5D0506" w14:textId="77777777" w:rsidR="00D1418C" w:rsidRPr="0077268D" w:rsidRDefault="00D1418C" w:rsidP="00414DEF">
      <w:pPr>
        <w:pStyle w:val="Prrafodelista"/>
        <w:spacing w:line="240" w:lineRule="auto"/>
        <w:ind w:left="0"/>
        <w:rPr>
          <w:rFonts w:ascii="Verdana" w:hAnsi="Verdana"/>
          <w:sz w:val="20"/>
          <w:szCs w:val="20"/>
          <w:lang w:val="es-ES"/>
        </w:rPr>
      </w:pPr>
    </w:p>
    <w:p w14:paraId="6E968926" w14:textId="0BDD29CA" w:rsidR="00D1418C" w:rsidRPr="00635712" w:rsidRDefault="00D1418C" w:rsidP="00414DEF">
      <w:pPr>
        <w:pStyle w:val="Prrafodelista"/>
        <w:widowControl/>
        <w:numPr>
          <w:ilvl w:val="0"/>
          <w:numId w:val="26"/>
        </w:numPr>
        <w:spacing w:after="160" w:line="240" w:lineRule="auto"/>
        <w:ind w:left="0" w:firstLine="0"/>
        <w:jc w:val="both"/>
        <w:rPr>
          <w:rFonts w:ascii="Verdana" w:hAnsi="Verdana"/>
          <w:sz w:val="20"/>
          <w:szCs w:val="20"/>
          <w:vertAlign w:val="superscript"/>
          <w:lang w:val="es-ES"/>
        </w:rPr>
      </w:pPr>
      <w:r>
        <w:rPr>
          <w:rFonts w:ascii="Verdana" w:hAnsi="Verdana"/>
          <w:sz w:val="20"/>
          <w:szCs w:val="20"/>
          <w:lang w:val="es-ES"/>
        </w:rPr>
        <w:t>E</w:t>
      </w:r>
      <w:r w:rsidR="008D66E6">
        <w:rPr>
          <w:rFonts w:ascii="Verdana" w:hAnsi="Verdana"/>
          <w:sz w:val="20"/>
          <w:szCs w:val="20"/>
          <w:lang w:val="es-ES"/>
        </w:rPr>
        <w:t xml:space="preserve">ste Tribunal </w:t>
      </w:r>
      <w:r w:rsidRPr="0077268D">
        <w:rPr>
          <w:rFonts w:ascii="Verdana" w:hAnsi="Verdana"/>
          <w:sz w:val="20"/>
          <w:szCs w:val="20"/>
          <w:lang w:val="es-ES"/>
        </w:rPr>
        <w:t>advierte que</w:t>
      </w:r>
      <w:r w:rsidR="008D66E6">
        <w:rPr>
          <w:rFonts w:ascii="Verdana" w:hAnsi="Verdana"/>
          <w:sz w:val="20"/>
          <w:szCs w:val="20"/>
          <w:lang w:val="es-ES"/>
        </w:rPr>
        <w:t>,</w:t>
      </w:r>
      <w:r w:rsidRPr="0077268D">
        <w:rPr>
          <w:rFonts w:ascii="Verdana" w:hAnsi="Verdana"/>
          <w:sz w:val="20"/>
          <w:szCs w:val="20"/>
          <w:lang w:val="es-ES"/>
        </w:rPr>
        <w:t xml:space="preserve"> </w:t>
      </w:r>
      <w:r>
        <w:rPr>
          <w:rFonts w:ascii="Verdana" w:hAnsi="Verdana"/>
          <w:sz w:val="20"/>
          <w:szCs w:val="20"/>
          <w:lang w:val="es-ES"/>
        </w:rPr>
        <w:t>en el caso</w:t>
      </w:r>
      <w:r w:rsidR="008D66E6">
        <w:rPr>
          <w:rFonts w:ascii="Verdana" w:hAnsi="Verdana"/>
          <w:sz w:val="20"/>
          <w:szCs w:val="20"/>
          <w:lang w:val="es-ES"/>
        </w:rPr>
        <w:t>,</w:t>
      </w:r>
      <w:r>
        <w:rPr>
          <w:rFonts w:ascii="Verdana" w:hAnsi="Verdana"/>
          <w:sz w:val="20"/>
          <w:szCs w:val="20"/>
          <w:lang w:val="es-ES"/>
        </w:rPr>
        <w:t xml:space="preserve"> </w:t>
      </w:r>
      <w:r w:rsidRPr="0077268D">
        <w:rPr>
          <w:rFonts w:ascii="Verdana" w:hAnsi="Verdana"/>
          <w:sz w:val="20"/>
          <w:szCs w:val="20"/>
          <w:lang w:val="es-ES"/>
        </w:rPr>
        <w:t xml:space="preserve">la prisión preventiva duró lo mismo que el proceso penal, y concluyó con la sentencia condenatoria. No consta </w:t>
      </w:r>
      <w:r w:rsidR="00386580" w:rsidRPr="0077268D">
        <w:rPr>
          <w:rFonts w:ascii="Verdana" w:hAnsi="Verdana"/>
          <w:sz w:val="20"/>
          <w:szCs w:val="20"/>
          <w:lang w:val="es-ES"/>
        </w:rPr>
        <w:t>que,</w:t>
      </w:r>
      <w:r w:rsidRPr="0077268D">
        <w:rPr>
          <w:rFonts w:ascii="Verdana" w:hAnsi="Verdana"/>
          <w:sz w:val="20"/>
          <w:szCs w:val="20"/>
          <w:lang w:val="es-ES"/>
        </w:rPr>
        <w:t xml:space="preserve"> a lo largo del periodo </w:t>
      </w:r>
      <w:r w:rsidR="008D66E6">
        <w:rPr>
          <w:rFonts w:ascii="Verdana" w:hAnsi="Verdana"/>
          <w:sz w:val="20"/>
          <w:szCs w:val="20"/>
          <w:lang w:val="es-ES"/>
        </w:rPr>
        <w:t>aludido</w:t>
      </w:r>
      <w:r w:rsidRPr="0077268D">
        <w:rPr>
          <w:rFonts w:ascii="Verdana" w:hAnsi="Verdana"/>
          <w:sz w:val="20"/>
          <w:szCs w:val="20"/>
          <w:lang w:val="es-ES"/>
        </w:rPr>
        <w:t>, se efectuara, por parte de las autoridades judiciales, revisión alguna sobre la continuidad de la procedencia de la detención preventiva. Ello, inclusive pese a que, el señor Carranza solicitó su libertad</w:t>
      </w:r>
      <w:r>
        <w:rPr>
          <w:rFonts w:ascii="Verdana" w:hAnsi="Verdana"/>
          <w:sz w:val="20"/>
          <w:szCs w:val="20"/>
          <w:lang w:val="es-ES"/>
        </w:rPr>
        <w:t xml:space="preserve"> en septiembre de 1995 (</w:t>
      </w:r>
      <w:r>
        <w:rPr>
          <w:rFonts w:ascii="Verdana" w:hAnsi="Verdana"/>
          <w:i/>
          <w:sz w:val="20"/>
          <w:szCs w:val="20"/>
          <w:lang w:val="es-ES"/>
        </w:rPr>
        <w:t>supra</w:t>
      </w:r>
      <w:r>
        <w:rPr>
          <w:rFonts w:ascii="Verdana" w:hAnsi="Verdana"/>
          <w:sz w:val="20"/>
          <w:szCs w:val="20"/>
          <w:lang w:val="es-ES"/>
        </w:rPr>
        <w:t xml:space="preserve"> párr. 4</w:t>
      </w:r>
      <w:r w:rsidR="008D66E6">
        <w:rPr>
          <w:rFonts w:ascii="Verdana" w:hAnsi="Verdana"/>
          <w:sz w:val="20"/>
          <w:szCs w:val="20"/>
          <w:lang w:val="es-ES"/>
        </w:rPr>
        <w:t>4</w:t>
      </w:r>
      <w:r>
        <w:rPr>
          <w:rFonts w:ascii="Verdana" w:hAnsi="Verdana"/>
          <w:sz w:val="20"/>
          <w:szCs w:val="20"/>
          <w:lang w:val="es-ES"/>
        </w:rPr>
        <w:t>)</w:t>
      </w:r>
      <w:r w:rsidRPr="0077268D">
        <w:rPr>
          <w:rFonts w:ascii="Verdana" w:hAnsi="Verdana"/>
          <w:sz w:val="20"/>
          <w:szCs w:val="20"/>
          <w:lang w:val="es-ES"/>
        </w:rPr>
        <w:t xml:space="preserve">, lo que no derivó en respuesta alguna por parte de las autoridades judiciales. </w:t>
      </w:r>
    </w:p>
    <w:p w14:paraId="20186C12" w14:textId="77777777" w:rsidR="00D1418C" w:rsidRPr="00635712" w:rsidRDefault="00D1418C" w:rsidP="00414DEF">
      <w:pPr>
        <w:pStyle w:val="Prrafodelista"/>
        <w:spacing w:line="240" w:lineRule="auto"/>
        <w:rPr>
          <w:rFonts w:ascii="Verdana" w:hAnsi="Verdana"/>
          <w:sz w:val="20"/>
          <w:szCs w:val="20"/>
          <w:vertAlign w:val="superscript"/>
          <w:lang w:val="es-ES"/>
        </w:rPr>
      </w:pPr>
    </w:p>
    <w:p w14:paraId="63F6AC5A" w14:textId="77777777" w:rsidR="00D1418C" w:rsidRPr="00635712" w:rsidRDefault="00D1418C" w:rsidP="00414DEF">
      <w:pPr>
        <w:pStyle w:val="Prrafodelista"/>
        <w:widowControl/>
        <w:numPr>
          <w:ilvl w:val="0"/>
          <w:numId w:val="26"/>
        </w:numPr>
        <w:spacing w:after="160" w:line="240" w:lineRule="auto"/>
        <w:ind w:left="0" w:firstLine="0"/>
        <w:jc w:val="both"/>
        <w:rPr>
          <w:rFonts w:ascii="Verdana" w:hAnsi="Verdana"/>
          <w:sz w:val="20"/>
          <w:szCs w:val="20"/>
          <w:vertAlign w:val="superscript"/>
          <w:lang w:val="es-ES"/>
        </w:rPr>
      </w:pPr>
      <w:r>
        <w:rPr>
          <w:rFonts w:ascii="Verdana" w:hAnsi="Verdana"/>
          <w:sz w:val="20"/>
          <w:szCs w:val="20"/>
          <w:lang w:val="es-ES"/>
        </w:rPr>
        <w:t xml:space="preserve">Por lo expuesto, este Tribunal concluye que la prisión preventiva a la que fue sometido el señor Carranza se desarrolló en forma arbitraria, porque no fue revisada en forma periódica, vulnerándose en su perjuicio los artículos 7.1 y 7.3 de la Convención en relación con el artículo 1.1 del tratado. </w:t>
      </w:r>
    </w:p>
    <w:p w14:paraId="093EF348" w14:textId="77777777" w:rsidR="00B17E84" w:rsidRPr="00B17E84" w:rsidRDefault="00B17E84" w:rsidP="00414DEF">
      <w:pPr>
        <w:pStyle w:val="Prrafodelista"/>
        <w:widowControl/>
        <w:spacing w:after="0" w:line="240" w:lineRule="auto"/>
        <w:ind w:left="0"/>
        <w:contextualSpacing w:val="0"/>
        <w:jc w:val="both"/>
        <w:rPr>
          <w:rFonts w:ascii="Verdana" w:hAnsi="Verdana"/>
          <w:sz w:val="20"/>
          <w:szCs w:val="20"/>
          <w:lang w:val="es-CR"/>
        </w:rPr>
      </w:pPr>
    </w:p>
    <w:p w14:paraId="3618F8DA" w14:textId="7CBA5872" w:rsidR="00E83BE1" w:rsidRPr="00E52B1B" w:rsidRDefault="00E83BE1" w:rsidP="00414DEF">
      <w:pPr>
        <w:pStyle w:val="Prrafodelista"/>
        <w:spacing w:line="240" w:lineRule="auto"/>
        <w:ind w:left="567"/>
        <w:outlineLvl w:val="2"/>
        <w:rPr>
          <w:rFonts w:ascii="Verdana" w:hAnsi="Verdana"/>
          <w:i/>
          <w:sz w:val="20"/>
          <w:szCs w:val="20"/>
          <w:u w:val="single"/>
          <w:lang w:val="es-ES"/>
        </w:rPr>
      </w:pPr>
      <w:bookmarkStart w:id="29" w:name="_Toc34817801"/>
      <w:r w:rsidRPr="00F6747C">
        <w:rPr>
          <w:rFonts w:ascii="Verdana" w:hAnsi="Verdana"/>
          <w:i/>
          <w:sz w:val="20"/>
          <w:szCs w:val="20"/>
          <w:lang w:val="es-ES"/>
        </w:rPr>
        <w:t xml:space="preserve">B.3 </w:t>
      </w:r>
      <w:r w:rsidR="000E25B8">
        <w:rPr>
          <w:rFonts w:ascii="Verdana" w:hAnsi="Verdana"/>
          <w:i/>
          <w:sz w:val="20"/>
          <w:szCs w:val="20"/>
          <w:u w:val="single"/>
          <w:lang w:val="es-ES"/>
        </w:rPr>
        <w:t>Razonabilidad del tiempo</w:t>
      </w:r>
      <w:r w:rsidRPr="00E52B1B">
        <w:rPr>
          <w:rFonts w:ascii="Verdana" w:hAnsi="Verdana"/>
          <w:i/>
          <w:sz w:val="20"/>
          <w:szCs w:val="20"/>
          <w:u w:val="single"/>
          <w:lang w:val="es-ES"/>
        </w:rPr>
        <w:t xml:space="preserve"> de la privación preventiva de la libertad</w:t>
      </w:r>
      <w:bookmarkEnd w:id="29"/>
    </w:p>
    <w:p w14:paraId="770F8E0C" w14:textId="77777777" w:rsidR="00E83BE1" w:rsidRDefault="00E83BE1" w:rsidP="00414DEF">
      <w:pPr>
        <w:pStyle w:val="Prrafodelista"/>
        <w:spacing w:line="240" w:lineRule="auto"/>
        <w:ind w:left="0"/>
        <w:rPr>
          <w:rFonts w:ascii="Verdana" w:hAnsi="Verdana"/>
          <w:sz w:val="20"/>
          <w:szCs w:val="20"/>
          <w:lang w:val="es-ES"/>
        </w:rPr>
      </w:pPr>
    </w:p>
    <w:p w14:paraId="2AC94DCF" w14:textId="127D7A7F" w:rsidR="00E83BE1" w:rsidRDefault="00E83BE1" w:rsidP="00414DEF">
      <w:pPr>
        <w:pStyle w:val="Prrafodelista"/>
        <w:widowControl/>
        <w:numPr>
          <w:ilvl w:val="0"/>
          <w:numId w:val="26"/>
        </w:numPr>
        <w:spacing w:after="160" w:line="240" w:lineRule="auto"/>
        <w:ind w:left="0" w:firstLine="1"/>
        <w:jc w:val="both"/>
        <w:rPr>
          <w:rFonts w:ascii="Verdana" w:hAnsi="Verdana"/>
          <w:sz w:val="20"/>
          <w:szCs w:val="20"/>
          <w:lang w:val="es-ES"/>
        </w:rPr>
      </w:pPr>
      <w:r>
        <w:rPr>
          <w:rFonts w:ascii="Verdana" w:hAnsi="Verdana"/>
          <w:sz w:val="20"/>
          <w:szCs w:val="20"/>
          <w:lang w:val="es-ES"/>
        </w:rPr>
        <w:t xml:space="preserve">La Corte ha señalado que el artículo 7.5 de la Convención impone </w:t>
      </w:r>
      <w:r w:rsidRPr="00C666CD">
        <w:rPr>
          <w:rFonts w:ascii="Verdana" w:hAnsi="Verdana"/>
          <w:sz w:val="20"/>
          <w:szCs w:val="20"/>
          <w:lang w:val="es-ES"/>
        </w:rPr>
        <w:t>límites a la duración de la prisión preventiva y, e</w:t>
      </w:r>
      <w:r w:rsidRPr="00BB4FE2">
        <w:rPr>
          <w:rFonts w:ascii="Verdana" w:hAnsi="Verdana"/>
          <w:sz w:val="20"/>
          <w:szCs w:val="20"/>
          <w:lang w:val="es-ES"/>
        </w:rPr>
        <w:t>n consecuencia, a las facultades del Estado para asegurar los fines del proceso mediante esta medida cautelar. Cuando el plazo de la detención preventiva sobrepasa lo razonable, el Estado podrá limitar la libertad del imputado con otras medidas menos lesivas que aseguren su comparecencia al juicio, distintas de la privación de libertad</w:t>
      </w:r>
      <w:r w:rsidRPr="0050114D">
        <w:rPr>
          <w:vertAlign w:val="superscript"/>
        </w:rPr>
        <w:footnoteReference w:id="56"/>
      </w:r>
      <w:r w:rsidR="004A61CB">
        <w:rPr>
          <w:rFonts w:ascii="Verdana" w:hAnsi="Verdana"/>
          <w:sz w:val="20"/>
          <w:szCs w:val="20"/>
          <w:lang w:val="es-ES"/>
        </w:rPr>
        <w:t>.</w:t>
      </w:r>
      <w:r>
        <w:rPr>
          <w:rFonts w:ascii="Verdana" w:hAnsi="Verdana"/>
          <w:sz w:val="20"/>
          <w:szCs w:val="20"/>
          <w:lang w:val="es-ES"/>
        </w:rPr>
        <w:t xml:space="preserve"> De conformidad </w:t>
      </w:r>
      <w:r w:rsidR="000E25B8">
        <w:rPr>
          <w:rFonts w:ascii="Verdana" w:hAnsi="Verdana"/>
          <w:sz w:val="20"/>
          <w:szCs w:val="20"/>
          <w:lang w:val="es-ES"/>
        </w:rPr>
        <w:t>con</w:t>
      </w:r>
      <w:r>
        <w:rPr>
          <w:rFonts w:ascii="Verdana" w:hAnsi="Verdana"/>
          <w:sz w:val="20"/>
          <w:szCs w:val="20"/>
          <w:lang w:val="es-ES"/>
        </w:rPr>
        <w:t xml:space="preserve"> la norma citada, la persona detenida tiene derecho “a ser juzgada dentro de un plazo razonable o a ser puesta en libertad”. Por ende, si una persona permanece privada preventivamente de su libertad y las actuaciones no transcurren en un tiempo razonable, se vulnera el artículo 7.5 de la Convención. </w:t>
      </w:r>
    </w:p>
    <w:p w14:paraId="07BAC3F6" w14:textId="77777777" w:rsidR="00E83BE1" w:rsidRPr="0077268D" w:rsidRDefault="00E83BE1" w:rsidP="00414DEF">
      <w:pPr>
        <w:pStyle w:val="Prrafodelista"/>
        <w:spacing w:line="240" w:lineRule="auto"/>
        <w:ind w:left="0"/>
        <w:rPr>
          <w:rFonts w:ascii="Verdana" w:hAnsi="Verdana"/>
          <w:sz w:val="20"/>
          <w:szCs w:val="20"/>
          <w:lang w:val="es-ES"/>
        </w:rPr>
      </w:pPr>
    </w:p>
    <w:p w14:paraId="22FC6BF7" w14:textId="3BF4F595" w:rsidR="00E83BE1" w:rsidRPr="00763893" w:rsidRDefault="00E83BE1" w:rsidP="00414DEF">
      <w:pPr>
        <w:pStyle w:val="Prrafodelista"/>
        <w:widowControl/>
        <w:numPr>
          <w:ilvl w:val="0"/>
          <w:numId w:val="26"/>
        </w:numPr>
        <w:spacing w:after="160" w:line="240" w:lineRule="auto"/>
        <w:ind w:left="0" w:firstLine="0"/>
        <w:jc w:val="both"/>
        <w:rPr>
          <w:rFonts w:ascii="Verdana" w:hAnsi="Verdana"/>
          <w:sz w:val="20"/>
          <w:szCs w:val="20"/>
          <w:lang w:val="es-ES"/>
        </w:rPr>
      </w:pPr>
      <w:r w:rsidRPr="0077268D">
        <w:rPr>
          <w:rFonts w:ascii="Verdana" w:hAnsi="Verdana"/>
          <w:sz w:val="20"/>
          <w:szCs w:val="20"/>
          <w:lang w:val="es-ES"/>
        </w:rPr>
        <w:lastRenderedPageBreak/>
        <w:t xml:space="preserve">Esta Corte nota que no constan actos procesales </w:t>
      </w:r>
      <w:r w:rsidRPr="00A40CDA">
        <w:rPr>
          <w:rFonts w:ascii="Verdana" w:hAnsi="Verdana"/>
          <w:sz w:val="20"/>
          <w:szCs w:val="20"/>
          <w:lang w:val="es-ES"/>
        </w:rPr>
        <w:t xml:space="preserve">entre el 13 de septiembre de 1995, cuando se solicitó al Fiscal emitir su criterio sobre la causa y el 30 de septiembre de 1996, </w:t>
      </w:r>
      <w:r w:rsidR="005532F9" w:rsidRPr="00A40CDA">
        <w:rPr>
          <w:rFonts w:ascii="Verdana" w:hAnsi="Verdana"/>
          <w:sz w:val="20"/>
          <w:szCs w:val="20"/>
          <w:lang w:val="es-ES"/>
        </w:rPr>
        <w:t xml:space="preserve">cuando </w:t>
      </w:r>
      <w:r w:rsidRPr="00A40CDA">
        <w:rPr>
          <w:rFonts w:ascii="Verdana" w:hAnsi="Verdana"/>
          <w:sz w:val="20"/>
          <w:szCs w:val="20"/>
          <w:lang w:val="es-ES"/>
        </w:rPr>
        <w:t>se cerró el sumario. En este acto se dio traslado al Fiscal para que emitiera un dictamen, que fue producido más de cinco meses después. A su vez, entre la emisión del dictamen de 4 de marzo de 1997</w:t>
      </w:r>
      <w:r w:rsidRPr="00A40CDA">
        <w:rPr>
          <w:rFonts w:ascii="Verdana" w:hAnsi="Verdana"/>
          <w:sz w:val="20"/>
          <w:szCs w:val="20"/>
          <w:vertAlign w:val="superscript"/>
          <w:lang w:val="es-ES"/>
        </w:rPr>
        <w:t xml:space="preserve"> </w:t>
      </w:r>
      <w:r w:rsidRPr="00A40CDA">
        <w:rPr>
          <w:rFonts w:ascii="Verdana" w:hAnsi="Verdana"/>
          <w:sz w:val="20"/>
          <w:szCs w:val="20"/>
          <w:lang w:val="es-ES"/>
        </w:rPr>
        <w:t xml:space="preserve">y la audiencia de juzgamiento de 1 de diciembre de 1998, transcurrió más de un año y </w:t>
      </w:r>
      <w:r w:rsidR="00A40CDA" w:rsidRPr="00A40CDA">
        <w:rPr>
          <w:rFonts w:ascii="Verdana" w:hAnsi="Verdana"/>
          <w:sz w:val="20"/>
          <w:szCs w:val="20"/>
          <w:lang w:val="es-ES"/>
        </w:rPr>
        <w:t>ocho</w:t>
      </w:r>
      <w:r w:rsidRPr="00A40CDA">
        <w:rPr>
          <w:rFonts w:ascii="Verdana" w:hAnsi="Verdana"/>
          <w:sz w:val="20"/>
          <w:szCs w:val="20"/>
          <w:lang w:val="es-ES"/>
        </w:rPr>
        <w:t xml:space="preserve"> meses,</w:t>
      </w:r>
      <w:r>
        <w:rPr>
          <w:rFonts w:ascii="Verdana" w:hAnsi="Verdana"/>
          <w:sz w:val="20"/>
          <w:szCs w:val="20"/>
          <w:lang w:val="es-ES"/>
        </w:rPr>
        <w:t xml:space="preserve"> pues la audiencia fue suspendida varias veces. </w:t>
      </w:r>
      <w:r w:rsidRPr="0077268D">
        <w:rPr>
          <w:rFonts w:ascii="Verdana" w:hAnsi="Verdana"/>
          <w:sz w:val="20"/>
          <w:szCs w:val="20"/>
          <w:lang w:val="es-ES"/>
        </w:rPr>
        <w:t>Esto evidencia que</w:t>
      </w:r>
      <w:r>
        <w:rPr>
          <w:rFonts w:ascii="Verdana" w:hAnsi="Verdana"/>
          <w:sz w:val="20"/>
          <w:szCs w:val="20"/>
          <w:lang w:val="es-ES"/>
        </w:rPr>
        <w:t xml:space="preserve">, pese a </w:t>
      </w:r>
      <w:r w:rsidR="000E25B8">
        <w:rPr>
          <w:rFonts w:ascii="Verdana" w:hAnsi="Verdana"/>
          <w:sz w:val="20"/>
          <w:szCs w:val="20"/>
          <w:lang w:val="es-ES"/>
        </w:rPr>
        <w:t>que</w:t>
      </w:r>
      <w:r>
        <w:rPr>
          <w:rFonts w:ascii="Verdana" w:hAnsi="Verdana"/>
          <w:sz w:val="20"/>
          <w:szCs w:val="20"/>
          <w:lang w:val="es-ES"/>
        </w:rPr>
        <w:t xml:space="preserve"> el señor Carranza </w:t>
      </w:r>
      <w:r w:rsidR="000E25B8">
        <w:rPr>
          <w:rFonts w:ascii="Verdana" w:hAnsi="Verdana"/>
          <w:sz w:val="20"/>
          <w:szCs w:val="20"/>
          <w:lang w:val="es-ES"/>
        </w:rPr>
        <w:t xml:space="preserve">se encontraba </w:t>
      </w:r>
      <w:r>
        <w:rPr>
          <w:rFonts w:ascii="Verdana" w:hAnsi="Verdana"/>
          <w:sz w:val="20"/>
          <w:szCs w:val="20"/>
          <w:lang w:val="es-ES"/>
        </w:rPr>
        <w:t>privado de libertad, hubo demoras que totalizaron cerca de tres años de los aproximadamente cuatro</w:t>
      </w:r>
      <w:r w:rsidRPr="0077268D">
        <w:rPr>
          <w:rFonts w:ascii="Verdana" w:hAnsi="Verdana"/>
          <w:sz w:val="20"/>
          <w:szCs w:val="20"/>
          <w:lang w:val="es-ES"/>
        </w:rPr>
        <w:t xml:space="preserve"> que duró el proceso penal en total</w:t>
      </w:r>
      <w:r>
        <w:rPr>
          <w:rFonts w:ascii="Verdana" w:hAnsi="Verdana"/>
          <w:sz w:val="20"/>
          <w:szCs w:val="20"/>
          <w:lang w:val="es-ES"/>
        </w:rPr>
        <w:t xml:space="preserve"> desde que </w:t>
      </w:r>
      <w:r w:rsidRPr="00A40CDA">
        <w:rPr>
          <w:rFonts w:ascii="Verdana" w:hAnsi="Verdana"/>
          <w:sz w:val="20"/>
          <w:szCs w:val="20"/>
          <w:lang w:val="es-ES"/>
        </w:rPr>
        <w:t>él</w:t>
      </w:r>
      <w:r>
        <w:rPr>
          <w:rFonts w:ascii="Verdana" w:hAnsi="Verdana"/>
          <w:sz w:val="20"/>
          <w:szCs w:val="20"/>
          <w:lang w:val="es-ES"/>
        </w:rPr>
        <w:t xml:space="preserve"> fue aprehendido</w:t>
      </w:r>
      <w:r w:rsidRPr="0077268D">
        <w:rPr>
          <w:rFonts w:ascii="Verdana" w:hAnsi="Verdana"/>
          <w:sz w:val="20"/>
          <w:szCs w:val="20"/>
          <w:lang w:val="es-ES"/>
        </w:rPr>
        <w:t>. No se advierte justificación de tal tiempo de inactividad, máxime c</w:t>
      </w:r>
      <w:r>
        <w:rPr>
          <w:rFonts w:ascii="Verdana" w:hAnsi="Verdana"/>
          <w:sz w:val="20"/>
          <w:szCs w:val="20"/>
          <w:lang w:val="es-ES"/>
        </w:rPr>
        <w:t>onsiderando</w:t>
      </w:r>
      <w:r w:rsidRPr="0077268D">
        <w:rPr>
          <w:rFonts w:ascii="Verdana" w:hAnsi="Verdana"/>
          <w:sz w:val="20"/>
          <w:szCs w:val="20"/>
          <w:lang w:val="es-ES"/>
        </w:rPr>
        <w:t xml:space="preserve"> que el señor Carranza se encontra</w:t>
      </w:r>
      <w:r w:rsidR="005532F9">
        <w:rPr>
          <w:rFonts w:ascii="Verdana" w:hAnsi="Verdana"/>
          <w:sz w:val="20"/>
          <w:szCs w:val="20"/>
          <w:lang w:val="es-ES"/>
        </w:rPr>
        <w:t>ba</w:t>
      </w:r>
      <w:r w:rsidRPr="0077268D">
        <w:rPr>
          <w:rFonts w:ascii="Verdana" w:hAnsi="Verdana"/>
          <w:sz w:val="20"/>
          <w:szCs w:val="20"/>
          <w:lang w:val="es-ES"/>
        </w:rPr>
        <w:t xml:space="preserve"> privado preventivamente de su libertad</w:t>
      </w:r>
      <w:r>
        <w:rPr>
          <w:rFonts w:ascii="Verdana" w:hAnsi="Verdana"/>
          <w:sz w:val="20"/>
          <w:szCs w:val="20"/>
          <w:lang w:val="es-ES"/>
        </w:rPr>
        <w:t>, lo que</w:t>
      </w:r>
      <w:r w:rsidRPr="0077268D">
        <w:rPr>
          <w:rFonts w:ascii="Verdana" w:hAnsi="Verdana"/>
          <w:sz w:val="20"/>
          <w:szCs w:val="20"/>
          <w:lang w:val="es-ES"/>
        </w:rPr>
        <w:t xml:space="preserve"> debió generar que las autoridades judiciales doten de mayor celeridad posible al proceso</w:t>
      </w:r>
      <w:r>
        <w:rPr>
          <w:rFonts w:ascii="Verdana" w:hAnsi="Verdana"/>
          <w:sz w:val="20"/>
          <w:szCs w:val="20"/>
          <w:lang w:val="es-ES"/>
        </w:rPr>
        <w:t>.</w:t>
      </w:r>
    </w:p>
    <w:p w14:paraId="48C6B407" w14:textId="77777777" w:rsidR="00E83BE1" w:rsidRPr="00763893" w:rsidRDefault="00E83BE1" w:rsidP="00414DEF">
      <w:pPr>
        <w:pStyle w:val="Prrafodelista"/>
        <w:spacing w:line="240" w:lineRule="auto"/>
        <w:ind w:left="0"/>
        <w:jc w:val="both"/>
        <w:rPr>
          <w:rFonts w:ascii="Verdana" w:hAnsi="Verdana"/>
          <w:sz w:val="20"/>
          <w:szCs w:val="20"/>
          <w:lang w:val="es-ES"/>
        </w:rPr>
      </w:pPr>
    </w:p>
    <w:p w14:paraId="1F367067" w14:textId="43F5C8FA" w:rsidR="00E4670F" w:rsidRPr="005A4119" w:rsidRDefault="00E83BE1" w:rsidP="00414DEF">
      <w:pPr>
        <w:pStyle w:val="Prrafodelista"/>
        <w:widowControl/>
        <w:numPr>
          <w:ilvl w:val="0"/>
          <w:numId w:val="26"/>
        </w:numPr>
        <w:spacing w:after="160" w:line="240" w:lineRule="auto"/>
        <w:ind w:left="0" w:firstLine="0"/>
        <w:jc w:val="both"/>
        <w:rPr>
          <w:rFonts w:ascii="Verdana" w:hAnsi="Verdana"/>
          <w:sz w:val="20"/>
          <w:szCs w:val="20"/>
          <w:lang w:val="es-ES"/>
        </w:rPr>
      </w:pPr>
      <w:r>
        <w:rPr>
          <w:rFonts w:ascii="Verdana" w:hAnsi="Verdana"/>
          <w:sz w:val="20"/>
          <w:szCs w:val="20"/>
          <w:lang w:val="es-ES"/>
        </w:rPr>
        <w:t xml:space="preserve">Por lo dicho, la Corte concluye que el Estado transgredió el artículo 7.5 de la Convención. </w:t>
      </w:r>
    </w:p>
    <w:p w14:paraId="0682EA20" w14:textId="77777777" w:rsidR="00E4670F" w:rsidRDefault="00E4670F" w:rsidP="00414DEF">
      <w:pPr>
        <w:pStyle w:val="Prrafodelista"/>
        <w:widowControl/>
        <w:spacing w:after="160" w:line="240" w:lineRule="auto"/>
        <w:ind w:left="0"/>
        <w:jc w:val="both"/>
        <w:rPr>
          <w:rFonts w:ascii="Verdana" w:hAnsi="Verdana"/>
          <w:sz w:val="20"/>
          <w:szCs w:val="20"/>
          <w:lang w:val="es-ES"/>
        </w:rPr>
      </w:pPr>
    </w:p>
    <w:p w14:paraId="4586374B" w14:textId="77777777" w:rsidR="00E83BE1" w:rsidRPr="003F66E1" w:rsidRDefault="00E83BE1" w:rsidP="00414DEF">
      <w:pPr>
        <w:pStyle w:val="Prrafodelista"/>
        <w:widowControl/>
        <w:spacing w:after="0" w:line="240" w:lineRule="auto"/>
        <w:ind w:left="567"/>
        <w:contextualSpacing w:val="0"/>
        <w:jc w:val="both"/>
        <w:outlineLvl w:val="2"/>
        <w:rPr>
          <w:rFonts w:ascii="Verdana" w:hAnsi="Verdana"/>
          <w:i/>
          <w:sz w:val="20"/>
          <w:szCs w:val="20"/>
          <w:lang w:val="es-ES"/>
        </w:rPr>
      </w:pPr>
      <w:bookmarkStart w:id="30" w:name="_Toc34817802"/>
      <w:r>
        <w:rPr>
          <w:rFonts w:ascii="Verdana" w:hAnsi="Verdana"/>
          <w:i/>
          <w:sz w:val="20"/>
          <w:szCs w:val="20"/>
          <w:lang w:val="es-ES"/>
        </w:rPr>
        <w:t xml:space="preserve">B.4 </w:t>
      </w:r>
      <w:r w:rsidRPr="00A71686">
        <w:rPr>
          <w:rFonts w:ascii="Verdana" w:hAnsi="Verdana"/>
          <w:i/>
          <w:sz w:val="20"/>
          <w:szCs w:val="20"/>
          <w:u w:val="single"/>
          <w:lang w:val="es-ES"/>
        </w:rPr>
        <w:t>Presunción de inocencia</w:t>
      </w:r>
      <w:bookmarkEnd w:id="30"/>
    </w:p>
    <w:p w14:paraId="490409C5" w14:textId="77777777" w:rsidR="00E83BE1" w:rsidRDefault="00E83BE1" w:rsidP="00414DEF">
      <w:pPr>
        <w:pStyle w:val="Prrafodelista"/>
        <w:widowControl/>
        <w:spacing w:after="160" w:line="240" w:lineRule="auto"/>
        <w:ind w:left="0"/>
        <w:jc w:val="both"/>
        <w:rPr>
          <w:rFonts w:ascii="Verdana" w:hAnsi="Verdana"/>
          <w:strike/>
          <w:sz w:val="20"/>
          <w:szCs w:val="20"/>
          <w:lang w:val="es-ES"/>
        </w:rPr>
      </w:pPr>
    </w:p>
    <w:p w14:paraId="3AF79605" w14:textId="13045596" w:rsidR="00E83BE1" w:rsidRPr="007B275B" w:rsidRDefault="00E83BE1" w:rsidP="00414DEF">
      <w:pPr>
        <w:pStyle w:val="Prrafodelista"/>
        <w:widowControl/>
        <w:numPr>
          <w:ilvl w:val="0"/>
          <w:numId w:val="26"/>
        </w:numPr>
        <w:spacing w:after="160" w:line="240" w:lineRule="auto"/>
        <w:ind w:left="0" w:firstLine="0"/>
        <w:jc w:val="both"/>
        <w:rPr>
          <w:rFonts w:ascii="Verdana" w:hAnsi="Verdana"/>
          <w:strike/>
          <w:sz w:val="20"/>
          <w:szCs w:val="20"/>
          <w:lang w:val="es-ES"/>
        </w:rPr>
      </w:pPr>
      <w:r>
        <w:rPr>
          <w:rFonts w:ascii="Verdana" w:hAnsi="Verdana"/>
          <w:sz w:val="20"/>
          <w:szCs w:val="20"/>
          <w:lang w:val="es-ES"/>
        </w:rPr>
        <w:t>Dada la presunción de inocencia, garantía receptada en el artículo 8.2 de la Convención, es una regla</w:t>
      </w:r>
      <w:r w:rsidRPr="00A71686">
        <w:rPr>
          <w:rFonts w:ascii="Verdana" w:hAnsi="Verdana"/>
          <w:sz w:val="20"/>
          <w:szCs w:val="20"/>
          <w:lang w:val="es-ES"/>
        </w:rPr>
        <w:t xml:space="preserve"> general que el imputado afront</w:t>
      </w:r>
      <w:r>
        <w:rPr>
          <w:rFonts w:ascii="Verdana" w:hAnsi="Verdana"/>
          <w:sz w:val="20"/>
          <w:szCs w:val="20"/>
          <w:lang w:val="es-ES"/>
        </w:rPr>
        <w:t>e</w:t>
      </w:r>
      <w:r w:rsidRPr="00A71686">
        <w:rPr>
          <w:rFonts w:ascii="Verdana" w:hAnsi="Verdana"/>
          <w:sz w:val="20"/>
          <w:szCs w:val="20"/>
          <w:lang w:val="es-ES"/>
        </w:rPr>
        <w:t xml:space="preserve"> el proceso penal en libertad</w:t>
      </w:r>
      <w:r w:rsidRPr="00763893">
        <w:rPr>
          <w:vertAlign w:val="superscript"/>
        </w:rPr>
        <w:footnoteReference w:id="57"/>
      </w:r>
      <w:r>
        <w:rPr>
          <w:rFonts w:ascii="Verdana" w:hAnsi="Verdana"/>
          <w:sz w:val="20"/>
          <w:szCs w:val="20"/>
          <w:lang w:val="es-ES"/>
        </w:rPr>
        <w:t>.</w:t>
      </w:r>
      <w:r w:rsidRPr="00A71686">
        <w:rPr>
          <w:rFonts w:ascii="Verdana" w:hAnsi="Verdana"/>
          <w:sz w:val="20"/>
          <w:szCs w:val="20"/>
          <w:lang w:val="es-ES"/>
        </w:rPr>
        <w:t xml:space="preserve"> </w:t>
      </w:r>
      <w:r w:rsidRPr="007B275B">
        <w:rPr>
          <w:rFonts w:ascii="Verdana" w:hAnsi="Verdana"/>
          <w:sz w:val="20"/>
          <w:szCs w:val="20"/>
          <w:lang w:val="es-ES"/>
        </w:rPr>
        <w:t>Ya se ha dicho que mantener privada de libertad a una persona más allá del tiempo razonable para el cumplimiento de los fines que justifican su detención equivaldría a una pena anticipada, en transgresión a la presunción de inocencia (</w:t>
      </w:r>
      <w:r w:rsidRPr="007B275B">
        <w:rPr>
          <w:rFonts w:ascii="Verdana" w:hAnsi="Verdana"/>
          <w:i/>
          <w:sz w:val="20"/>
          <w:szCs w:val="20"/>
          <w:lang w:val="es-ES"/>
        </w:rPr>
        <w:t xml:space="preserve">supra </w:t>
      </w:r>
      <w:r w:rsidRPr="007B275B">
        <w:rPr>
          <w:rFonts w:ascii="Verdana" w:hAnsi="Verdana"/>
          <w:sz w:val="20"/>
          <w:szCs w:val="20"/>
          <w:lang w:val="es-ES"/>
        </w:rPr>
        <w:t xml:space="preserve">párr. </w:t>
      </w:r>
      <w:r>
        <w:rPr>
          <w:rFonts w:ascii="Verdana" w:hAnsi="Verdana"/>
          <w:sz w:val="20"/>
          <w:szCs w:val="20"/>
          <w:lang w:val="es-ES"/>
        </w:rPr>
        <w:t>67</w:t>
      </w:r>
      <w:r w:rsidRPr="007B275B">
        <w:rPr>
          <w:rFonts w:ascii="Verdana" w:hAnsi="Verdana"/>
          <w:sz w:val="20"/>
          <w:szCs w:val="20"/>
          <w:lang w:val="es-ES"/>
        </w:rPr>
        <w:t>)</w:t>
      </w:r>
      <w:r>
        <w:rPr>
          <w:rFonts w:ascii="Verdana" w:hAnsi="Verdana"/>
          <w:sz w:val="20"/>
          <w:szCs w:val="20"/>
          <w:lang w:val="es-ES"/>
        </w:rPr>
        <w:t xml:space="preserve">. </w:t>
      </w:r>
    </w:p>
    <w:p w14:paraId="47431449" w14:textId="77777777" w:rsidR="00E83BE1" w:rsidRPr="00763893" w:rsidRDefault="00E83BE1" w:rsidP="00414DEF">
      <w:pPr>
        <w:pStyle w:val="Prrafodelista"/>
        <w:spacing w:line="240" w:lineRule="auto"/>
        <w:ind w:left="0"/>
        <w:rPr>
          <w:rFonts w:ascii="Verdana" w:hAnsi="Verdana"/>
          <w:sz w:val="20"/>
          <w:szCs w:val="20"/>
          <w:lang w:val="es-ES"/>
        </w:rPr>
      </w:pPr>
    </w:p>
    <w:p w14:paraId="736DFF85" w14:textId="77777777" w:rsidR="00E83BE1" w:rsidRDefault="00E83BE1" w:rsidP="00414DEF">
      <w:pPr>
        <w:pStyle w:val="Prrafodelista"/>
        <w:widowControl/>
        <w:numPr>
          <w:ilvl w:val="0"/>
          <w:numId w:val="26"/>
        </w:numPr>
        <w:spacing w:after="160" w:line="240" w:lineRule="auto"/>
        <w:ind w:left="0" w:firstLine="0"/>
        <w:jc w:val="both"/>
        <w:rPr>
          <w:rFonts w:ascii="Verdana" w:hAnsi="Verdana"/>
          <w:sz w:val="20"/>
          <w:szCs w:val="20"/>
          <w:lang w:val="es-ES"/>
        </w:rPr>
      </w:pPr>
      <w:r w:rsidRPr="002B374C">
        <w:rPr>
          <w:rFonts w:ascii="Verdana" w:hAnsi="Verdana"/>
          <w:sz w:val="20"/>
          <w:szCs w:val="20"/>
          <w:lang w:val="es-ES"/>
        </w:rPr>
        <w:t>E</w:t>
      </w:r>
      <w:r>
        <w:rPr>
          <w:rFonts w:ascii="Verdana" w:hAnsi="Verdana"/>
          <w:sz w:val="20"/>
          <w:szCs w:val="20"/>
          <w:lang w:val="es-ES"/>
        </w:rPr>
        <w:t xml:space="preserve">ste Tribunal ha determinado que la orden de prisión preventiva en contra del señor Carranza y su mantenimiento resultaron arbitrarios. Por tanto, la prolongación de la privación de libertad hasta el momento en que se dictó la condena fue equivalente a una pena anticipada, contraria a la presunción de inocencia. El Estado, por ello, violó el derecho a la presunción de inocencia del señor Carranza consagrado en el artículo 8.2 de la Convención, en relación con el artículo 1.1 de la misma. </w:t>
      </w:r>
    </w:p>
    <w:p w14:paraId="5DF08AB3" w14:textId="77777777" w:rsidR="00E83BE1" w:rsidRDefault="00E83BE1" w:rsidP="00414DEF">
      <w:pPr>
        <w:pStyle w:val="Prrafodelista"/>
        <w:spacing w:line="240" w:lineRule="auto"/>
        <w:rPr>
          <w:rFonts w:ascii="Verdana" w:hAnsi="Verdana"/>
          <w:sz w:val="20"/>
          <w:szCs w:val="20"/>
          <w:lang w:val="es-ES"/>
        </w:rPr>
      </w:pPr>
    </w:p>
    <w:p w14:paraId="7005D8C1" w14:textId="77777777" w:rsidR="00E83BE1" w:rsidRPr="00774CDD" w:rsidRDefault="00E83BE1" w:rsidP="00414DEF">
      <w:pPr>
        <w:pStyle w:val="Prrafodelista"/>
        <w:spacing w:line="240" w:lineRule="auto"/>
        <w:ind w:left="567"/>
        <w:outlineLvl w:val="2"/>
        <w:rPr>
          <w:rFonts w:ascii="Verdana" w:hAnsi="Verdana"/>
          <w:i/>
          <w:sz w:val="20"/>
          <w:szCs w:val="20"/>
          <w:lang w:val="es-ES"/>
        </w:rPr>
      </w:pPr>
      <w:bookmarkStart w:id="31" w:name="_Toc34817803"/>
      <w:r w:rsidRPr="00774CDD">
        <w:rPr>
          <w:rFonts w:ascii="Verdana" w:hAnsi="Verdana"/>
          <w:i/>
          <w:sz w:val="20"/>
          <w:szCs w:val="20"/>
          <w:lang w:val="es-ES"/>
        </w:rPr>
        <w:t xml:space="preserve">B.5 </w:t>
      </w:r>
      <w:r w:rsidRPr="00792B32">
        <w:rPr>
          <w:rFonts w:ascii="Verdana" w:hAnsi="Verdana"/>
          <w:i/>
          <w:sz w:val="20"/>
          <w:szCs w:val="20"/>
          <w:u w:val="single"/>
          <w:lang w:val="es-ES"/>
        </w:rPr>
        <w:t>Tiempo insumido en el proceso penal</w:t>
      </w:r>
      <w:bookmarkEnd w:id="31"/>
    </w:p>
    <w:p w14:paraId="2B595B40" w14:textId="77777777" w:rsidR="00E83BE1" w:rsidRDefault="00E83BE1" w:rsidP="00414DEF">
      <w:pPr>
        <w:pStyle w:val="Prrafodelista"/>
        <w:spacing w:line="240" w:lineRule="auto"/>
        <w:rPr>
          <w:rFonts w:ascii="Verdana" w:hAnsi="Verdana"/>
          <w:sz w:val="20"/>
          <w:szCs w:val="20"/>
          <w:lang w:val="es-ES"/>
        </w:rPr>
      </w:pPr>
    </w:p>
    <w:p w14:paraId="1E0E78E6" w14:textId="616C9598" w:rsidR="00E83BE1" w:rsidRPr="00313177" w:rsidRDefault="00E83BE1" w:rsidP="00414DEF">
      <w:pPr>
        <w:pStyle w:val="Prrafodelista"/>
        <w:widowControl/>
        <w:numPr>
          <w:ilvl w:val="0"/>
          <w:numId w:val="26"/>
        </w:numPr>
        <w:spacing w:after="160" w:line="240" w:lineRule="auto"/>
        <w:ind w:left="0" w:firstLine="0"/>
        <w:jc w:val="both"/>
        <w:rPr>
          <w:rFonts w:ascii="Verdana" w:hAnsi="Verdana"/>
          <w:sz w:val="20"/>
          <w:szCs w:val="20"/>
          <w:lang w:val="es-ES"/>
        </w:rPr>
      </w:pPr>
      <w:r w:rsidRPr="00774CDD">
        <w:rPr>
          <w:rFonts w:ascii="Verdana" w:hAnsi="Verdana"/>
          <w:sz w:val="20"/>
          <w:szCs w:val="20"/>
          <w:lang w:val="es-ES"/>
        </w:rPr>
        <w:t xml:space="preserve">Resta examinar la observancia del requisito de que las actuaciones se desarrollen en </w:t>
      </w:r>
      <w:r w:rsidR="00386580" w:rsidRPr="00774CDD">
        <w:rPr>
          <w:rFonts w:ascii="Verdana" w:hAnsi="Verdana"/>
          <w:sz w:val="20"/>
          <w:szCs w:val="20"/>
          <w:lang w:val="es-ES"/>
        </w:rPr>
        <w:t>un “</w:t>
      </w:r>
      <w:r w:rsidRPr="00774CDD">
        <w:rPr>
          <w:rFonts w:ascii="Verdana" w:hAnsi="Verdana"/>
          <w:sz w:val="20"/>
          <w:szCs w:val="20"/>
          <w:lang w:val="es-ES"/>
        </w:rPr>
        <w:t xml:space="preserve">plazo razonable”, que es una de las garantías judiciales previstas por el artículo </w:t>
      </w:r>
      <w:r w:rsidRPr="00313177">
        <w:rPr>
          <w:rFonts w:ascii="Verdana" w:hAnsi="Verdana"/>
          <w:sz w:val="20"/>
          <w:szCs w:val="20"/>
          <w:lang w:val="es-ES"/>
        </w:rPr>
        <w:t xml:space="preserve">8.1 de la Convención. </w:t>
      </w:r>
    </w:p>
    <w:p w14:paraId="2C40D072" w14:textId="77777777" w:rsidR="00E83BE1" w:rsidRPr="00CB1070" w:rsidRDefault="00E83BE1" w:rsidP="00414DEF">
      <w:pPr>
        <w:pStyle w:val="Prrafodelista"/>
        <w:spacing w:line="240" w:lineRule="auto"/>
        <w:rPr>
          <w:rFonts w:ascii="Verdana" w:hAnsi="Verdana"/>
          <w:sz w:val="20"/>
          <w:szCs w:val="20"/>
          <w:lang w:val="es-CR"/>
        </w:rPr>
      </w:pPr>
    </w:p>
    <w:p w14:paraId="4D89646E" w14:textId="3F7E2F58" w:rsidR="00E83BE1" w:rsidRPr="00313177" w:rsidRDefault="00E83BE1" w:rsidP="00414DEF">
      <w:pPr>
        <w:pStyle w:val="Prrafodelista"/>
        <w:widowControl/>
        <w:numPr>
          <w:ilvl w:val="0"/>
          <w:numId w:val="26"/>
        </w:numPr>
        <w:spacing w:after="160" w:line="240" w:lineRule="auto"/>
        <w:ind w:left="0" w:firstLine="0"/>
        <w:jc w:val="both"/>
        <w:rPr>
          <w:rFonts w:ascii="Verdana" w:hAnsi="Verdana"/>
          <w:sz w:val="20"/>
          <w:szCs w:val="20"/>
          <w:lang w:val="es-ES"/>
        </w:rPr>
      </w:pPr>
      <w:r w:rsidRPr="00313177">
        <w:rPr>
          <w:rFonts w:ascii="Verdana" w:hAnsi="Verdana"/>
          <w:sz w:val="20"/>
          <w:szCs w:val="20"/>
          <w:lang w:val="es-CR"/>
        </w:rPr>
        <w:t>Este Tribunal ha señalado que</w:t>
      </w:r>
      <w:r w:rsidR="000E25B8">
        <w:rPr>
          <w:rFonts w:ascii="Verdana" w:hAnsi="Verdana"/>
          <w:sz w:val="20"/>
          <w:szCs w:val="20"/>
          <w:lang w:val="es-CR"/>
        </w:rPr>
        <w:t xml:space="preserve">, en materia penal, </w:t>
      </w:r>
      <w:r w:rsidRPr="00313177">
        <w:rPr>
          <w:rFonts w:ascii="Verdana" w:hAnsi="Verdana"/>
          <w:sz w:val="20"/>
          <w:szCs w:val="20"/>
          <w:lang w:val="es-CR"/>
        </w:rPr>
        <w:t xml:space="preserve"> la razonabilidad del plazo debe apreciarse en relación con la duración total del proceso, desde el primer acto procesal hasta que se dicte sentencia definitiva</w:t>
      </w:r>
      <w:r w:rsidRPr="00313177">
        <w:rPr>
          <w:rStyle w:val="Refdenotaalpie"/>
          <w:rFonts w:ascii="Verdana" w:hAnsi="Verdana"/>
          <w:sz w:val="20"/>
          <w:szCs w:val="20"/>
        </w:rPr>
        <w:footnoteReference w:id="58"/>
      </w:r>
      <w:r w:rsidRPr="00313177">
        <w:rPr>
          <w:rFonts w:ascii="Verdana" w:hAnsi="Verdana"/>
          <w:sz w:val="20"/>
          <w:szCs w:val="20"/>
          <w:lang w:val="es-CR"/>
        </w:rPr>
        <w:t>. De acuerdo con el artículo 8.1 de la Convención y como parte del derecho a la justicia, los procesos deben realizarse dentro de un plazo razonable</w:t>
      </w:r>
      <w:r w:rsidRPr="00313177">
        <w:rPr>
          <w:rStyle w:val="Refdenotaalpie"/>
          <w:rFonts w:ascii="Verdana" w:hAnsi="Verdana"/>
          <w:sz w:val="20"/>
          <w:szCs w:val="20"/>
          <w:lang w:val="es-CR"/>
        </w:rPr>
        <w:footnoteReference w:id="59"/>
      </w:r>
      <w:r w:rsidRPr="00313177">
        <w:rPr>
          <w:rFonts w:ascii="Verdana" w:hAnsi="Verdana"/>
          <w:sz w:val="20"/>
          <w:szCs w:val="20"/>
          <w:lang w:val="es-CR"/>
        </w:rPr>
        <w:t>, por lo que</w:t>
      </w:r>
      <w:r w:rsidR="00010CB3">
        <w:rPr>
          <w:rFonts w:ascii="Verdana" w:hAnsi="Verdana"/>
          <w:sz w:val="20"/>
          <w:szCs w:val="20"/>
          <w:lang w:val="es-CR"/>
        </w:rPr>
        <w:t xml:space="preserve"> </w:t>
      </w:r>
      <w:r w:rsidRPr="00313177">
        <w:rPr>
          <w:rFonts w:ascii="Verdana" w:hAnsi="Verdana"/>
          <w:sz w:val="20"/>
          <w:szCs w:val="20"/>
          <w:lang w:val="es-CR"/>
        </w:rPr>
        <w:t xml:space="preserve">una demora prolongada puede llegar a </w:t>
      </w:r>
      <w:r w:rsidRPr="00313177">
        <w:rPr>
          <w:rFonts w:ascii="Verdana" w:hAnsi="Verdana"/>
          <w:sz w:val="20"/>
          <w:szCs w:val="20"/>
          <w:lang w:val="es-CR"/>
        </w:rPr>
        <w:lastRenderedPageBreak/>
        <w:t>constituir, por sí misma, una violación de las garantías judiciales</w:t>
      </w:r>
      <w:r w:rsidRPr="00313177">
        <w:rPr>
          <w:rStyle w:val="Refdenotaalpie"/>
          <w:rFonts w:ascii="Verdana" w:hAnsi="Verdana"/>
          <w:sz w:val="20"/>
          <w:szCs w:val="20"/>
          <w:lang w:val="es-CR"/>
        </w:rPr>
        <w:footnoteReference w:id="60"/>
      </w:r>
      <w:r w:rsidRPr="00313177">
        <w:rPr>
          <w:rFonts w:ascii="Verdana" w:hAnsi="Verdana"/>
          <w:sz w:val="20"/>
          <w:szCs w:val="20"/>
          <w:lang w:val="es-CR"/>
        </w:rPr>
        <w:t xml:space="preserve">. Esta Corte recuerda que los cuatro elementos </w:t>
      </w:r>
      <w:r w:rsidR="00010CB3">
        <w:rPr>
          <w:rFonts w:ascii="Verdana" w:hAnsi="Verdana"/>
          <w:sz w:val="20"/>
          <w:szCs w:val="20"/>
          <w:lang w:val="es-CR"/>
        </w:rPr>
        <w:t xml:space="preserve">que ha considerado </w:t>
      </w:r>
      <w:r w:rsidRPr="00313177">
        <w:rPr>
          <w:rFonts w:ascii="Verdana" w:hAnsi="Verdana"/>
          <w:sz w:val="20"/>
          <w:szCs w:val="20"/>
          <w:lang w:val="es-CR"/>
        </w:rPr>
        <w:t>para determinar la razonabilidad del plazo</w:t>
      </w:r>
      <w:r w:rsidR="00010CB3">
        <w:rPr>
          <w:rFonts w:ascii="Verdana" w:hAnsi="Verdana"/>
          <w:sz w:val="20"/>
          <w:szCs w:val="20"/>
          <w:lang w:val="es-CR"/>
        </w:rPr>
        <w:t xml:space="preserve"> son</w:t>
      </w:r>
      <w:r w:rsidRPr="00313177">
        <w:rPr>
          <w:rFonts w:ascii="Verdana" w:hAnsi="Verdana"/>
          <w:sz w:val="20"/>
          <w:szCs w:val="20"/>
          <w:lang w:val="es-CR"/>
        </w:rPr>
        <w:t>: i) la complejidad del asunto; ii) la actividad procesal del interesado; iii) la conducta de las autoridades judiciales, y iv) la afectación generada por la situación jurídica de la persona involucrada en el proceso</w:t>
      </w:r>
      <w:r w:rsidRPr="00313177">
        <w:rPr>
          <w:rStyle w:val="Refdenotaalpie"/>
          <w:rFonts w:ascii="Verdana" w:hAnsi="Verdana"/>
          <w:sz w:val="20"/>
          <w:szCs w:val="20"/>
        </w:rPr>
        <w:footnoteReference w:id="61"/>
      </w:r>
      <w:r w:rsidRPr="00313177">
        <w:rPr>
          <w:rFonts w:ascii="Verdana" w:hAnsi="Verdana" w:cs="Tahoma"/>
          <w:sz w:val="20"/>
          <w:szCs w:val="20"/>
          <w:lang w:val="es-CR"/>
        </w:rPr>
        <w:t>.</w:t>
      </w:r>
      <w:r w:rsidRPr="00313177">
        <w:rPr>
          <w:rFonts w:ascii="Verdana" w:hAnsi="Verdana"/>
          <w:sz w:val="20"/>
          <w:szCs w:val="20"/>
          <w:lang w:val="es-CR"/>
        </w:rPr>
        <w:t xml:space="preserve"> </w:t>
      </w:r>
    </w:p>
    <w:p w14:paraId="2ADEA096" w14:textId="77777777" w:rsidR="00E83BE1" w:rsidRPr="00774CDD" w:rsidRDefault="00E83BE1" w:rsidP="00414DEF">
      <w:pPr>
        <w:pStyle w:val="Prrafodelista"/>
        <w:widowControl/>
        <w:spacing w:after="160" w:line="240" w:lineRule="auto"/>
        <w:ind w:left="0"/>
        <w:jc w:val="both"/>
        <w:rPr>
          <w:rFonts w:ascii="Verdana" w:hAnsi="Verdana"/>
          <w:sz w:val="20"/>
          <w:szCs w:val="20"/>
          <w:lang w:val="es-ES"/>
        </w:rPr>
      </w:pPr>
    </w:p>
    <w:p w14:paraId="39C35F0D" w14:textId="0291B67D" w:rsidR="00E83BE1" w:rsidRPr="007574E9" w:rsidRDefault="00E83BE1" w:rsidP="00414DEF">
      <w:pPr>
        <w:pStyle w:val="Prrafodelista"/>
        <w:widowControl/>
        <w:numPr>
          <w:ilvl w:val="0"/>
          <w:numId w:val="26"/>
        </w:numPr>
        <w:spacing w:after="160" w:line="240" w:lineRule="auto"/>
        <w:ind w:left="0" w:firstLine="0"/>
        <w:jc w:val="both"/>
        <w:rPr>
          <w:rFonts w:ascii="Verdana" w:hAnsi="Verdana"/>
          <w:sz w:val="20"/>
          <w:szCs w:val="20"/>
          <w:lang w:val="es-CR"/>
        </w:rPr>
      </w:pPr>
      <w:r>
        <w:rPr>
          <w:rFonts w:ascii="Verdana" w:hAnsi="Verdana"/>
          <w:sz w:val="20"/>
          <w:szCs w:val="20"/>
          <w:lang w:val="es-ES"/>
        </w:rPr>
        <w:t xml:space="preserve">En el caso, si bien al inicio del proceso, durante cerca de un año, no constan actuaciones, ello </w:t>
      </w:r>
      <w:r w:rsidRPr="00774CDD">
        <w:rPr>
          <w:rFonts w:ascii="Verdana" w:hAnsi="Verdana"/>
          <w:sz w:val="20"/>
          <w:szCs w:val="20"/>
          <w:lang w:val="es-ES_tradnl"/>
        </w:rPr>
        <w:t xml:space="preserve">se debió a la falta de </w:t>
      </w:r>
      <w:r>
        <w:rPr>
          <w:rFonts w:ascii="Verdana" w:hAnsi="Verdana"/>
          <w:sz w:val="20"/>
          <w:szCs w:val="20"/>
          <w:lang w:val="es-ES_tradnl"/>
        </w:rPr>
        <w:t>localización del señor Carranza y</w:t>
      </w:r>
      <w:r w:rsidRPr="00774CDD">
        <w:rPr>
          <w:rFonts w:ascii="Verdana" w:hAnsi="Verdana"/>
          <w:sz w:val="20"/>
          <w:szCs w:val="20"/>
          <w:lang w:val="es-ES_tradnl"/>
        </w:rPr>
        <w:t xml:space="preserve"> </w:t>
      </w:r>
      <w:r>
        <w:rPr>
          <w:rFonts w:ascii="Verdana" w:hAnsi="Verdana"/>
          <w:sz w:val="20"/>
          <w:szCs w:val="20"/>
          <w:lang w:val="es-ES_tradnl"/>
        </w:rPr>
        <w:t>l</w:t>
      </w:r>
      <w:r w:rsidRPr="00774CDD">
        <w:rPr>
          <w:rFonts w:ascii="Verdana" w:hAnsi="Verdana"/>
          <w:sz w:val="20"/>
          <w:szCs w:val="20"/>
          <w:lang w:val="es-ES_tradnl"/>
        </w:rPr>
        <w:t>os hechos del caso y los argumentos de las partes no permiten concluir que ese tiempo de demora fuera atribuible al Estado.</w:t>
      </w:r>
      <w:r>
        <w:rPr>
          <w:rFonts w:ascii="Verdana" w:hAnsi="Verdana"/>
          <w:sz w:val="20"/>
          <w:szCs w:val="20"/>
          <w:lang w:val="es-ES"/>
        </w:rPr>
        <w:t xml:space="preserve"> Resulta</w:t>
      </w:r>
      <w:r w:rsidR="00010CB3">
        <w:rPr>
          <w:rFonts w:ascii="Verdana" w:hAnsi="Verdana"/>
          <w:sz w:val="20"/>
          <w:szCs w:val="20"/>
          <w:lang w:val="es-ES"/>
        </w:rPr>
        <w:t xml:space="preserve"> entonces</w:t>
      </w:r>
      <w:r>
        <w:rPr>
          <w:rFonts w:ascii="Verdana" w:hAnsi="Verdana"/>
          <w:sz w:val="20"/>
          <w:szCs w:val="20"/>
          <w:lang w:val="es-ES"/>
        </w:rPr>
        <w:t xml:space="preserve"> </w:t>
      </w:r>
      <w:r w:rsidR="00010CB3">
        <w:rPr>
          <w:rFonts w:ascii="Verdana" w:hAnsi="Verdana"/>
          <w:sz w:val="20"/>
          <w:szCs w:val="20"/>
          <w:lang w:val="es-ES"/>
        </w:rPr>
        <w:t>pertinente</w:t>
      </w:r>
      <w:r w:rsidR="000E25B8">
        <w:rPr>
          <w:rFonts w:ascii="Verdana" w:hAnsi="Verdana"/>
          <w:sz w:val="20"/>
          <w:szCs w:val="20"/>
          <w:lang w:val="es-ES"/>
        </w:rPr>
        <w:t>, en el presente caso,</w:t>
      </w:r>
      <w:r>
        <w:rPr>
          <w:rFonts w:ascii="Verdana" w:hAnsi="Verdana"/>
          <w:sz w:val="20"/>
          <w:szCs w:val="20"/>
          <w:lang w:val="es-ES"/>
        </w:rPr>
        <w:t xml:space="preserve"> centrar el examen en los cuatro años restantes, desde que el señor Carranza fue aprehendido hasta que se emitió la sentencia condenatoria en su contra. </w:t>
      </w:r>
    </w:p>
    <w:p w14:paraId="17225748" w14:textId="77777777" w:rsidR="00E83BE1" w:rsidRPr="007574E9" w:rsidRDefault="00E83BE1" w:rsidP="00414DEF">
      <w:pPr>
        <w:pStyle w:val="Prrafodelista"/>
        <w:spacing w:line="240" w:lineRule="auto"/>
        <w:rPr>
          <w:rFonts w:ascii="Verdana" w:hAnsi="Verdana"/>
          <w:sz w:val="20"/>
          <w:szCs w:val="20"/>
          <w:lang w:val="es-ES"/>
        </w:rPr>
      </w:pPr>
    </w:p>
    <w:p w14:paraId="1B7B2BAB" w14:textId="67766B26" w:rsidR="00E83BE1" w:rsidRPr="004C3EAB" w:rsidRDefault="00E83BE1" w:rsidP="00414DEF">
      <w:pPr>
        <w:pStyle w:val="Prrafodelista"/>
        <w:widowControl/>
        <w:numPr>
          <w:ilvl w:val="0"/>
          <w:numId w:val="26"/>
        </w:numPr>
        <w:spacing w:after="160" w:line="240" w:lineRule="auto"/>
        <w:ind w:left="0" w:firstLine="0"/>
        <w:jc w:val="both"/>
        <w:rPr>
          <w:rFonts w:ascii="Verdana" w:hAnsi="Verdana"/>
          <w:sz w:val="20"/>
          <w:szCs w:val="20"/>
          <w:lang w:val="es-CR"/>
        </w:rPr>
      </w:pPr>
      <w:r>
        <w:rPr>
          <w:rFonts w:ascii="Verdana" w:hAnsi="Verdana"/>
          <w:sz w:val="20"/>
          <w:szCs w:val="20"/>
          <w:lang w:val="es-ES"/>
        </w:rPr>
        <w:t xml:space="preserve">En primer lugar, de los hechos no surge que la causa ofreciera complejidad: se trató de un hecho con una víctima, cometido en presencia de otras personas, </w:t>
      </w:r>
      <w:r w:rsidR="00010CB3">
        <w:rPr>
          <w:rFonts w:ascii="Verdana" w:hAnsi="Verdana"/>
          <w:sz w:val="20"/>
          <w:szCs w:val="20"/>
          <w:lang w:val="es-ES"/>
        </w:rPr>
        <w:t>y</w:t>
      </w:r>
      <w:r>
        <w:rPr>
          <w:rFonts w:ascii="Verdana" w:hAnsi="Verdana"/>
          <w:sz w:val="20"/>
          <w:szCs w:val="20"/>
          <w:lang w:val="es-ES"/>
        </w:rPr>
        <w:t xml:space="preserve"> los presuntos agresores aparecían identificados desde la denuncia inicial. En segundo término, desde que el señor Carranza fue privado de su libertad, no constan hechos que pudieran llevar a concluir que entorpeció de algún modo el avance del procedimiento. Por otra parte, en cuanto a los elementos tercero y cuarto antes señalados, ya se ha indicado que hubo demoras del proceso cercanas a tres años mientras el señor Carranza permanecía privado de su libertad, por lo que dichas demoras afectaron perjudicialmente sus derechos. </w:t>
      </w:r>
    </w:p>
    <w:p w14:paraId="5F46EFAC" w14:textId="77777777" w:rsidR="00E83BE1" w:rsidRPr="004C3EAB" w:rsidRDefault="00E83BE1" w:rsidP="00414DEF">
      <w:pPr>
        <w:pStyle w:val="Prrafodelista"/>
        <w:spacing w:line="240" w:lineRule="auto"/>
        <w:rPr>
          <w:rFonts w:ascii="Verdana" w:hAnsi="Verdana"/>
          <w:sz w:val="20"/>
          <w:szCs w:val="20"/>
          <w:lang w:val="es-ES"/>
        </w:rPr>
      </w:pPr>
    </w:p>
    <w:p w14:paraId="3F658E4C" w14:textId="77777777" w:rsidR="00E83BE1" w:rsidRPr="004C3EAB" w:rsidRDefault="00E83BE1" w:rsidP="00414DEF">
      <w:pPr>
        <w:pStyle w:val="Prrafodelista"/>
        <w:widowControl/>
        <w:numPr>
          <w:ilvl w:val="0"/>
          <w:numId w:val="26"/>
        </w:numPr>
        <w:spacing w:after="160" w:line="240" w:lineRule="auto"/>
        <w:ind w:left="0" w:firstLine="0"/>
        <w:jc w:val="both"/>
        <w:rPr>
          <w:rFonts w:ascii="Verdana" w:hAnsi="Verdana"/>
          <w:sz w:val="20"/>
          <w:szCs w:val="20"/>
          <w:lang w:val="es-CR"/>
        </w:rPr>
      </w:pPr>
      <w:r>
        <w:rPr>
          <w:rFonts w:ascii="Verdana" w:hAnsi="Verdana"/>
          <w:sz w:val="20"/>
          <w:szCs w:val="20"/>
          <w:lang w:val="es-ES"/>
        </w:rPr>
        <w:t xml:space="preserve">Lo anterior muestra que hubo demoras en actuaciones durante cerca de tres de los cuatro años aproximados que duró el proceso penal en contra del señor Carranza desde su aprehensión. </w:t>
      </w:r>
    </w:p>
    <w:p w14:paraId="3610DA45" w14:textId="77777777" w:rsidR="00E83BE1" w:rsidRPr="004C3EAB" w:rsidRDefault="00E83BE1" w:rsidP="00414DEF">
      <w:pPr>
        <w:pStyle w:val="Prrafodelista"/>
        <w:spacing w:line="240" w:lineRule="auto"/>
        <w:rPr>
          <w:rFonts w:ascii="Verdana" w:hAnsi="Verdana"/>
          <w:sz w:val="20"/>
          <w:szCs w:val="20"/>
          <w:lang w:val="es-ES_tradnl"/>
        </w:rPr>
      </w:pPr>
    </w:p>
    <w:p w14:paraId="3F9248AE" w14:textId="674A16EE" w:rsidR="00E83BE1" w:rsidRPr="00774CDD" w:rsidRDefault="00E83BE1" w:rsidP="00414DEF">
      <w:pPr>
        <w:pStyle w:val="Prrafodelista"/>
        <w:widowControl/>
        <w:numPr>
          <w:ilvl w:val="0"/>
          <w:numId w:val="26"/>
        </w:numPr>
        <w:spacing w:after="160" w:line="240" w:lineRule="auto"/>
        <w:ind w:left="0" w:firstLine="0"/>
        <w:jc w:val="both"/>
        <w:rPr>
          <w:rFonts w:ascii="Verdana" w:hAnsi="Verdana"/>
          <w:sz w:val="20"/>
          <w:szCs w:val="20"/>
          <w:lang w:val="es-CR"/>
        </w:rPr>
      </w:pPr>
      <w:r>
        <w:rPr>
          <w:rFonts w:ascii="Verdana" w:hAnsi="Verdana"/>
          <w:sz w:val="20"/>
          <w:szCs w:val="20"/>
          <w:lang w:val="es-ES_tradnl"/>
        </w:rPr>
        <w:t>L</w:t>
      </w:r>
      <w:r w:rsidRPr="00774CDD">
        <w:rPr>
          <w:rFonts w:ascii="Verdana" w:hAnsi="Verdana"/>
          <w:sz w:val="20"/>
          <w:szCs w:val="20"/>
          <w:lang w:val="es-ES_tradnl"/>
        </w:rPr>
        <w:t>a Corte considera</w:t>
      </w:r>
      <w:r>
        <w:rPr>
          <w:rFonts w:ascii="Verdana" w:hAnsi="Verdana"/>
          <w:sz w:val="20"/>
          <w:szCs w:val="20"/>
          <w:lang w:val="es-ES_tradnl"/>
        </w:rPr>
        <w:t xml:space="preserve"> entonces, que Ecuador violó en </w:t>
      </w:r>
      <w:r w:rsidR="00010CB3">
        <w:rPr>
          <w:rFonts w:ascii="Verdana" w:hAnsi="Verdana"/>
          <w:sz w:val="20"/>
          <w:szCs w:val="20"/>
          <w:lang w:val="es-ES_tradnl"/>
        </w:rPr>
        <w:t>perjuicio del señor Carranza las</w:t>
      </w:r>
      <w:r>
        <w:rPr>
          <w:rFonts w:ascii="Verdana" w:hAnsi="Verdana"/>
          <w:sz w:val="20"/>
          <w:szCs w:val="20"/>
          <w:lang w:val="es-ES_tradnl"/>
        </w:rPr>
        <w:t xml:space="preserve"> garantías judiciales establecidas en el artículo 8. 1 de la Convención, por no llevar a cabo el proceso penal en un </w:t>
      </w:r>
      <w:r w:rsidRPr="00774CDD">
        <w:rPr>
          <w:rFonts w:ascii="Verdana" w:hAnsi="Verdana"/>
          <w:sz w:val="20"/>
          <w:szCs w:val="20"/>
          <w:lang w:val="es-CR"/>
        </w:rPr>
        <w:t>plazo razonable</w:t>
      </w:r>
      <w:r>
        <w:rPr>
          <w:rFonts w:ascii="Verdana" w:hAnsi="Verdana"/>
          <w:sz w:val="20"/>
          <w:szCs w:val="20"/>
          <w:lang w:val="es-CR"/>
        </w:rPr>
        <w:t xml:space="preserve">. </w:t>
      </w:r>
      <w:r w:rsidRPr="00774CDD">
        <w:rPr>
          <w:rFonts w:ascii="Verdana" w:hAnsi="Verdana"/>
          <w:sz w:val="20"/>
          <w:szCs w:val="20"/>
          <w:lang w:val="es-CR"/>
        </w:rPr>
        <w:t xml:space="preserve"> </w:t>
      </w:r>
    </w:p>
    <w:p w14:paraId="69FB1D37" w14:textId="77777777" w:rsidR="00E83BE1" w:rsidRDefault="00E83BE1" w:rsidP="00414DEF">
      <w:pPr>
        <w:pStyle w:val="Prrafodelista"/>
        <w:spacing w:line="240" w:lineRule="auto"/>
        <w:rPr>
          <w:rFonts w:ascii="Verdana" w:hAnsi="Verdana"/>
          <w:sz w:val="20"/>
          <w:szCs w:val="20"/>
          <w:lang w:val="es-ES"/>
        </w:rPr>
      </w:pPr>
    </w:p>
    <w:p w14:paraId="619CB74C" w14:textId="77777777" w:rsidR="00E83BE1" w:rsidRPr="003F66E1" w:rsidRDefault="00E83BE1" w:rsidP="00414DEF">
      <w:pPr>
        <w:pStyle w:val="Prrafodelista"/>
        <w:widowControl/>
        <w:spacing w:after="0" w:line="240" w:lineRule="auto"/>
        <w:ind w:left="567"/>
        <w:contextualSpacing w:val="0"/>
        <w:jc w:val="both"/>
        <w:outlineLvl w:val="2"/>
        <w:rPr>
          <w:rFonts w:ascii="Verdana" w:hAnsi="Verdana"/>
          <w:i/>
          <w:sz w:val="20"/>
          <w:szCs w:val="20"/>
          <w:lang w:val="es-ES"/>
        </w:rPr>
      </w:pPr>
      <w:bookmarkStart w:id="32" w:name="_Toc34817804"/>
      <w:r>
        <w:rPr>
          <w:rFonts w:ascii="Verdana" w:hAnsi="Verdana"/>
          <w:i/>
          <w:sz w:val="20"/>
          <w:szCs w:val="20"/>
          <w:lang w:val="es-ES"/>
        </w:rPr>
        <w:t xml:space="preserve">B.6 </w:t>
      </w:r>
      <w:r>
        <w:rPr>
          <w:rFonts w:ascii="Verdana" w:hAnsi="Verdana"/>
          <w:i/>
          <w:sz w:val="20"/>
          <w:szCs w:val="20"/>
          <w:u w:val="single"/>
          <w:lang w:val="es-ES"/>
        </w:rPr>
        <w:t>Conclusión</w:t>
      </w:r>
      <w:bookmarkEnd w:id="32"/>
    </w:p>
    <w:p w14:paraId="5430C32A" w14:textId="77777777" w:rsidR="00E83BE1" w:rsidRPr="007B275B" w:rsidRDefault="00E83BE1" w:rsidP="00414DEF">
      <w:pPr>
        <w:pStyle w:val="Prrafodelista"/>
        <w:spacing w:after="0" w:line="240" w:lineRule="auto"/>
        <w:rPr>
          <w:rFonts w:ascii="Verdana" w:hAnsi="Verdana"/>
          <w:sz w:val="20"/>
          <w:szCs w:val="20"/>
          <w:lang w:val="es-ES"/>
        </w:rPr>
      </w:pPr>
    </w:p>
    <w:p w14:paraId="6DBBF2F4" w14:textId="3384FF30" w:rsidR="00E83BE1" w:rsidRDefault="00E83BE1" w:rsidP="00414DEF">
      <w:pPr>
        <w:pStyle w:val="Prrafodelista"/>
        <w:widowControl/>
        <w:numPr>
          <w:ilvl w:val="0"/>
          <w:numId w:val="26"/>
        </w:numPr>
        <w:spacing w:after="0" w:line="240" w:lineRule="auto"/>
        <w:ind w:left="0" w:firstLine="0"/>
        <w:jc w:val="both"/>
        <w:rPr>
          <w:rFonts w:ascii="Verdana" w:hAnsi="Verdana"/>
          <w:sz w:val="20"/>
          <w:szCs w:val="20"/>
          <w:lang w:val="es-ES"/>
        </w:rPr>
      </w:pPr>
      <w:r>
        <w:rPr>
          <w:rFonts w:ascii="Verdana" w:hAnsi="Verdana"/>
          <w:sz w:val="20"/>
          <w:szCs w:val="20"/>
          <w:lang w:val="es-ES"/>
        </w:rPr>
        <w:t xml:space="preserve">La Corte determina, en los términos señalados en los párrafos precedentes, que Ecuador violó los derechos a la libertad personal y a las garantías judiciales, en tanto la orden de prisión preventiva </w:t>
      </w:r>
      <w:r w:rsidR="000E25B8">
        <w:rPr>
          <w:rFonts w:ascii="Verdana" w:hAnsi="Verdana"/>
          <w:sz w:val="20"/>
          <w:szCs w:val="20"/>
          <w:lang w:val="es-ES"/>
        </w:rPr>
        <w:t>dispuesta</w:t>
      </w:r>
      <w:r>
        <w:rPr>
          <w:rFonts w:ascii="Verdana" w:hAnsi="Verdana"/>
          <w:sz w:val="20"/>
          <w:szCs w:val="20"/>
          <w:lang w:val="es-ES"/>
        </w:rPr>
        <w:t xml:space="preserve"> en el caso y su mantenimiento resultaron arbitrarios y contrarios a la presunción de inocencia, transgrediendo en perjuicio del señor Ramón Rosendo Carranza Alarcón los artículos 7.1, 7.3, y 8.2 de la Convención Americana sobre Derechos Humanos, en relación con las obligaciones de respetar los derechos y adoptar disposiciones de derecho interno</w:t>
      </w:r>
      <w:r w:rsidR="00010CB3">
        <w:rPr>
          <w:rFonts w:ascii="Verdana" w:hAnsi="Verdana"/>
          <w:sz w:val="20"/>
          <w:szCs w:val="20"/>
          <w:lang w:val="es-ES"/>
        </w:rPr>
        <w:t>,</w:t>
      </w:r>
      <w:r>
        <w:rPr>
          <w:rFonts w:ascii="Verdana" w:hAnsi="Verdana"/>
          <w:sz w:val="20"/>
          <w:szCs w:val="20"/>
          <w:lang w:val="es-ES"/>
        </w:rPr>
        <w:t xml:space="preserve"> prescriptas, respectivamente, en los artículos 1.1 y 2 del tratado. Además, en relación con la obligación de respetar los derechos, el Estado violó en perjuicio del señor Carranza su derecho a la libertad personal respecto al mandato convencional de ser juzgado en un plazo razonable o ser puesto en libertad, así como sus garantías judiciales por la afectación a la presunción de inocencia y la duración excesiva del proceso penal. Por esto último, transgredió los artículos 7.1, 7.5 y 8.1 y 8.2 de la Convención, en relación con su artículo 1.1. </w:t>
      </w:r>
    </w:p>
    <w:p w14:paraId="5E646C88" w14:textId="77777777" w:rsidR="00E83BE1" w:rsidRDefault="00E83BE1" w:rsidP="00414DEF">
      <w:pPr>
        <w:pStyle w:val="Sinespaciado"/>
        <w:tabs>
          <w:tab w:val="left" w:pos="2325"/>
        </w:tabs>
        <w:rPr>
          <w:rFonts w:ascii="Verdana" w:hAnsi="Verdana"/>
          <w:b/>
          <w:sz w:val="20"/>
          <w:szCs w:val="20"/>
          <w:lang w:val="es-ES"/>
        </w:rPr>
      </w:pPr>
    </w:p>
    <w:p w14:paraId="4DA47AD7" w14:textId="77777777" w:rsidR="00E83BE1" w:rsidRPr="00630575" w:rsidRDefault="00E83BE1" w:rsidP="00414DEF">
      <w:pPr>
        <w:pStyle w:val="Sinespaciado"/>
        <w:jc w:val="center"/>
        <w:outlineLvl w:val="0"/>
        <w:rPr>
          <w:rFonts w:ascii="Verdana" w:hAnsi="Verdana"/>
          <w:b/>
          <w:sz w:val="20"/>
          <w:szCs w:val="20"/>
        </w:rPr>
      </w:pPr>
      <w:bookmarkStart w:id="33" w:name="_Toc34817805"/>
      <w:r>
        <w:rPr>
          <w:rFonts w:ascii="Verdana" w:hAnsi="Verdana"/>
          <w:b/>
          <w:sz w:val="20"/>
          <w:szCs w:val="20"/>
          <w:lang w:val="es-ES"/>
        </w:rPr>
        <w:t>VII</w:t>
      </w:r>
      <w:r w:rsidRPr="00630575">
        <w:rPr>
          <w:rFonts w:ascii="Verdana" w:hAnsi="Verdana"/>
          <w:b/>
          <w:sz w:val="20"/>
          <w:szCs w:val="20"/>
        </w:rPr>
        <w:t>I</w:t>
      </w:r>
      <w:bookmarkEnd w:id="33"/>
    </w:p>
    <w:p w14:paraId="18348B18" w14:textId="5F594A43" w:rsidR="00E83BE1" w:rsidRPr="00630575" w:rsidRDefault="00E83BE1" w:rsidP="00414DEF">
      <w:pPr>
        <w:pStyle w:val="Sinespaciado"/>
        <w:jc w:val="center"/>
        <w:outlineLvl w:val="0"/>
        <w:rPr>
          <w:rFonts w:ascii="Verdana" w:hAnsi="Verdana"/>
          <w:b/>
          <w:sz w:val="20"/>
          <w:szCs w:val="20"/>
        </w:rPr>
      </w:pPr>
      <w:bookmarkStart w:id="34" w:name="_Toc34817806"/>
      <w:r w:rsidRPr="00630575">
        <w:rPr>
          <w:rFonts w:ascii="Verdana" w:hAnsi="Verdana"/>
          <w:b/>
          <w:sz w:val="20"/>
          <w:szCs w:val="20"/>
        </w:rPr>
        <w:t>REPARACIONES</w:t>
      </w:r>
      <w:bookmarkEnd w:id="34"/>
    </w:p>
    <w:p w14:paraId="32C8D191" w14:textId="77777777" w:rsidR="00E83BE1" w:rsidRPr="00EB5B28" w:rsidRDefault="00E83BE1" w:rsidP="00414DEF">
      <w:pPr>
        <w:spacing w:after="0" w:line="240" w:lineRule="auto"/>
        <w:jc w:val="both"/>
        <w:rPr>
          <w:rFonts w:ascii="Verdana" w:hAnsi="Verdana"/>
          <w:sz w:val="20"/>
          <w:szCs w:val="20"/>
        </w:rPr>
      </w:pPr>
    </w:p>
    <w:p w14:paraId="5D1C63D7" w14:textId="77777777" w:rsidR="00E83BE1" w:rsidRPr="00C947BC" w:rsidRDefault="00E83BE1" w:rsidP="00414DEF">
      <w:pPr>
        <w:pStyle w:val="Prrafodelista"/>
        <w:widowControl/>
        <w:numPr>
          <w:ilvl w:val="0"/>
          <w:numId w:val="26"/>
        </w:numPr>
        <w:spacing w:after="0" w:line="240" w:lineRule="auto"/>
        <w:ind w:left="0" w:firstLine="0"/>
        <w:jc w:val="both"/>
        <w:rPr>
          <w:rFonts w:ascii="Verdana" w:hAnsi="Verdana"/>
          <w:sz w:val="20"/>
          <w:szCs w:val="20"/>
          <w:lang w:val="es-CR"/>
        </w:rPr>
      </w:pPr>
      <w:r w:rsidRPr="00C947BC">
        <w:rPr>
          <w:rFonts w:ascii="Verdana" w:hAnsi="Verdana"/>
          <w:sz w:val="20"/>
          <w:szCs w:val="20"/>
          <w:lang w:val="es-CR"/>
        </w:rPr>
        <w:t>Con base en lo dispuesto en el artículo 63.1 de la Convención Americana,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Pr>
          <w:rStyle w:val="Refdenotaalpie"/>
          <w:rFonts w:ascii="Verdana" w:hAnsi="Verdana"/>
          <w:sz w:val="20"/>
          <w:szCs w:val="20"/>
        </w:rPr>
        <w:footnoteReference w:id="62"/>
      </w:r>
      <w:r w:rsidRPr="00C947BC">
        <w:rPr>
          <w:rFonts w:ascii="Verdana" w:hAnsi="Verdana"/>
          <w:sz w:val="20"/>
          <w:szCs w:val="20"/>
          <w:lang w:val="es-CR"/>
        </w:rPr>
        <w:t>.</w:t>
      </w:r>
    </w:p>
    <w:p w14:paraId="252F29D7" w14:textId="77777777" w:rsidR="00E83BE1" w:rsidRPr="00C947BC" w:rsidRDefault="00E83BE1" w:rsidP="00414DEF">
      <w:pPr>
        <w:pStyle w:val="Prrafodelista"/>
        <w:spacing w:line="240" w:lineRule="auto"/>
        <w:ind w:left="0"/>
        <w:jc w:val="both"/>
        <w:rPr>
          <w:rFonts w:ascii="Verdana" w:hAnsi="Verdana"/>
          <w:sz w:val="20"/>
          <w:szCs w:val="20"/>
          <w:lang w:val="es-CR"/>
        </w:rPr>
      </w:pPr>
    </w:p>
    <w:p w14:paraId="1D64E4D0" w14:textId="2C1F43AB" w:rsidR="00E83BE1" w:rsidRPr="00774CDD" w:rsidRDefault="00E83BE1" w:rsidP="00414DEF">
      <w:pPr>
        <w:pStyle w:val="Prrafodelista"/>
        <w:widowControl/>
        <w:numPr>
          <w:ilvl w:val="0"/>
          <w:numId w:val="26"/>
        </w:numPr>
        <w:spacing w:after="160" w:line="240" w:lineRule="auto"/>
        <w:ind w:left="0" w:firstLine="1"/>
        <w:jc w:val="both"/>
        <w:rPr>
          <w:rFonts w:ascii="Verdana" w:hAnsi="Verdana"/>
          <w:sz w:val="20"/>
          <w:szCs w:val="20"/>
          <w:lang w:val="es-CR"/>
        </w:rPr>
      </w:pPr>
      <w:r w:rsidRPr="00C947BC">
        <w:rPr>
          <w:rFonts w:ascii="Verdana" w:hAnsi="Verdana"/>
          <w:sz w:val="20"/>
          <w:szCs w:val="20"/>
          <w:lang w:val="es-CR"/>
        </w:rPr>
        <w:t>La reparación del daño ocasionado por la infracción de una obligación internacional requiere, siempre que sea posible, la plena restitución (</w:t>
      </w:r>
      <w:proofErr w:type="spellStart"/>
      <w:r w:rsidRPr="00C947BC">
        <w:rPr>
          <w:rFonts w:ascii="Verdana" w:hAnsi="Verdana"/>
          <w:i/>
          <w:sz w:val="20"/>
          <w:szCs w:val="20"/>
          <w:lang w:val="es-CR"/>
        </w:rPr>
        <w:t>restitutio</w:t>
      </w:r>
      <w:proofErr w:type="spellEnd"/>
      <w:r w:rsidRPr="00C947BC">
        <w:rPr>
          <w:rFonts w:ascii="Verdana" w:hAnsi="Verdana"/>
          <w:i/>
          <w:sz w:val="20"/>
          <w:szCs w:val="20"/>
          <w:lang w:val="es-CR"/>
        </w:rPr>
        <w:t xml:space="preserve"> in </w:t>
      </w:r>
      <w:proofErr w:type="spellStart"/>
      <w:r w:rsidRPr="00C947BC">
        <w:rPr>
          <w:rFonts w:ascii="Verdana" w:hAnsi="Verdana"/>
          <w:i/>
          <w:sz w:val="20"/>
          <w:szCs w:val="20"/>
          <w:lang w:val="es-CR"/>
        </w:rPr>
        <w:t>integrum</w:t>
      </w:r>
      <w:proofErr w:type="spellEnd"/>
      <w:r w:rsidRPr="00C947BC">
        <w:rPr>
          <w:rFonts w:ascii="Verdana" w:hAnsi="Verdana"/>
          <w:sz w:val="20"/>
          <w:szCs w:val="20"/>
          <w:lang w:val="es-CR"/>
        </w:rPr>
        <w:t>), que consiste en el restablecimiento de la situación anterior. De no ser esto factible, como ocurre en la mayoría de los casos de violaciones a derechos humanos, este Tribunal determinará medidas para garantizar los derechos conculcados y reparar las consecuencias que las infracciones produjeron</w:t>
      </w:r>
      <w:r>
        <w:rPr>
          <w:rStyle w:val="Refdenotaalpie"/>
          <w:rFonts w:ascii="Verdana" w:hAnsi="Verdana"/>
          <w:sz w:val="20"/>
          <w:szCs w:val="20"/>
        </w:rPr>
        <w:footnoteReference w:id="63"/>
      </w:r>
      <w:r w:rsidR="00E0031B">
        <w:rPr>
          <w:rFonts w:ascii="Verdana" w:hAnsi="Verdana"/>
          <w:sz w:val="20"/>
          <w:szCs w:val="20"/>
          <w:lang w:val="es-CR"/>
        </w:rPr>
        <w:t>.</w:t>
      </w:r>
      <w:r>
        <w:rPr>
          <w:rFonts w:ascii="Verdana" w:hAnsi="Verdana"/>
          <w:sz w:val="20"/>
          <w:szCs w:val="20"/>
          <w:lang w:val="es-CR"/>
        </w:rPr>
        <w:t xml:space="preserve"> L</w:t>
      </w:r>
      <w:r w:rsidRPr="00774CDD">
        <w:rPr>
          <w:rFonts w:ascii="Verdana" w:hAnsi="Verdana"/>
          <w:sz w:val="20"/>
          <w:szCs w:val="20"/>
          <w:lang w:val="es-CR"/>
        </w:rPr>
        <w:t>as reparaciones deben tener un nexo causal con los hechos del c</w:t>
      </w:r>
      <w:r>
        <w:rPr>
          <w:rFonts w:ascii="Verdana" w:hAnsi="Verdana"/>
          <w:sz w:val="20"/>
          <w:szCs w:val="20"/>
          <w:lang w:val="es-CR"/>
        </w:rPr>
        <w:t>aso, las violaciones declaradas y</w:t>
      </w:r>
      <w:r w:rsidRPr="00774CDD">
        <w:rPr>
          <w:rFonts w:ascii="Verdana" w:hAnsi="Verdana"/>
          <w:sz w:val="20"/>
          <w:szCs w:val="20"/>
          <w:lang w:val="es-CR"/>
        </w:rPr>
        <w:t xml:space="preserve"> los daños acreditados</w:t>
      </w:r>
      <w:r>
        <w:rPr>
          <w:rStyle w:val="Refdenotaalpie"/>
          <w:rFonts w:ascii="Verdana" w:hAnsi="Verdana"/>
          <w:sz w:val="20"/>
          <w:szCs w:val="20"/>
        </w:rPr>
        <w:footnoteReference w:id="64"/>
      </w:r>
      <w:r w:rsidRPr="00774CDD">
        <w:rPr>
          <w:rFonts w:ascii="Verdana" w:hAnsi="Verdana"/>
          <w:sz w:val="20"/>
          <w:szCs w:val="20"/>
          <w:lang w:val="es-CR"/>
        </w:rPr>
        <w:t xml:space="preserve">. </w:t>
      </w:r>
    </w:p>
    <w:p w14:paraId="42AAD2E2" w14:textId="77777777" w:rsidR="00E83BE1" w:rsidRPr="00C947BC" w:rsidRDefault="00E83BE1" w:rsidP="00414DEF">
      <w:pPr>
        <w:pStyle w:val="Prrafodelista"/>
        <w:spacing w:line="240" w:lineRule="auto"/>
        <w:ind w:left="0"/>
        <w:rPr>
          <w:rFonts w:ascii="Verdana" w:hAnsi="Verdana"/>
          <w:sz w:val="20"/>
          <w:szCs w:val="20"/>
          <w:lang w:val="es-CR"/>
        </w:rPr>
      </w:pPr>
    </w:p>
    <w:p w14:paraId="2E690158" w14:textId="77777777" w:rsidR="00E83BE1" w:rsidRPr="00C947BC" w:rsidRDefault="00E83BE1" w:rsidP="00414DEF">
      <w:pPr>
        <w:pStyle w:val="Prrafodelista"/>
        <w:widowControl/>
        <w:numPr>
          <w:ilvl w:val="0"/>
          <w:numId w:val="26"/>
        </w:numPr>
        <w:spacing w:after="160" w:line="240" w:lineRule="auto"/>
        <w:ind w:left="0" w:firstLine="1"/>
        <w:jc w:val="both"/>
        <w:rPr>
          <w:rFonts w:ascii="Verdana" w:hAnsi="Verdana"/>
          <w:sz w:val="20"/>
          <w:szCs w:val="20"/>
          <w:lang w:val="es-CR"/>
        </w:rPr>
      </w:pPr>
      <w:r>
        <w:rPr>
          <w:rFonts w:ascii="Verdana" w:hAnsi="Verdana"/>
          <w:sz w:val="20"/>
          <w:szCs w:val="20"/>
          <w:lang w:val="es-CR"/>
        </w:rPr>
        <w:t>E</w:t>
      </w:r>
      <w:r w:rsidRPr="00C947BC">
        <w:rPr>
          <w:rFonts w:ascii="Verdana" w:hAnsi="Verdana"/>
          <w:sz w:val="20"/>
          <w:szCs w:val="20"/>
          <w:lang w:val="es-CR"/>
        </w:rPr>
        <w:t>ste Tribunal analizar</w:t>
      </w:r>
      <w:r>
        <w:rPr>
          <w:rFonts w:ascii="Verdana" w:hAnsi="Verdana"/>
          <w:sz w:val="20"/>
          <w:szCs w:val="20"/>
          <w:lang w:val="es-CR"/>
        </w:rPr>
        <w:t>á</w:t>
      </w:r>
      <w:r w:rsidRPr="00C947BC">
        <w:rPr>
          <w:rFonts w:ascii="Verdana" w:hAnsi="Verdana"/>
          <w:sz w:val="20"/>
          <w:szCs w:val="20"/>
          <w:lang w:val="es-CR"/>
        </w:rPr>
        <w:t xml:space="preserve"> las pretensiones </w:t>
      </w:r>
      <w:r>
        <w:rPr>
          <w:rFonts w:ascii="Verdana" w:hAnsi="Verdana"/>
          <w:sz w:val="20"/>
          <w:szCs w:val="20"/>
          <w:lang w:val="es-CR"/>
        </w:rPr>
        <w:t>de reparación</w:t>
      </w:r>
      <w:r w:rsidRPr="00C947BC">
        <w:rPr>
          <w:rFonts w:ascii="Verdana" w:hAnsi="Verdana"/>
          <w:sz w:val="20"/>
          <w:szCs w:val="20"/>
          <w:lang w:val="es-CR"/>
        </w:rPr>
        <w:t xml:space="preserve"> a la lu</w:t>
      </w:r>
      <w:r>
        <w:rPr>
          <w:rFonts w:ascii="Verdana" w:hAnsi="Verdana"/>
          <w:sz w:val="20"/>
          <w:szCs w:val="20"/>
          <w:lang w:val="es-CR"/>
        </w:rPr>
        <w:t>z de los criterios fijados en su</w:t>
      </w:r>
      <w:r w:rsidRPr="00C947BC">
        <w:rPr>
          <w:rFonts w:ascii="Verdana" w:hAnsi="Verdana"/>
          <w:sz w:val="20"/>
          <w:szCs w:val="20"/>
          <w:lang w:val="es-CR"/>
        </w:rPr>
        <w:t xml:space="preserve"> jurisprudencia en relación con </w:t>
      </w:r>
      <w:r>
        <w:rPr>
          <w:rFonts w:ascii="Verdana" w:hAnsi="Verdana"/>
          <w:sz w:val="20"/>
          <w:szCs w:val="20"/>
          <w:lang w:val="es-CR"/>
        </w:rPr>
        <w:t>el</w:t>
      </w:r>
      <w:r w:rsidRPr="00C947BC">
        <w:rPr>
          <w:rFonts w:ascii="Verdana" w:hAnsi="Verdana"/>
          <w:sz w:val="20"/>
          <w:szCs w:val="20"/>
          <w:lang w:val="es-CR"/>
        </w:rPr>
        <w:t xml:space="preserve"> alcance de la obligación de repara</w:t>
      </w:r>
      <w:r>
        <w:rPr>
          <w:rFonts w:ascii="Verdana" w:hAnsi="Verdana"/>
          <w:sz w:val="20"/>
          <w:szCs w:val="20"/>
          <w:lang w:val="es-CR"/>
        </w:rPr>
        <w:t>r</w:t>
      </w:r>
      <w:r>
        <w:rPr>
          <w:rStyle w:val="Refdenotaalpie"/>
          <w:rFonts w:ascii="Verdana" w:hAnsi="Verdana"/>
          <w:sz w:val="20"/>
          <w:szCs w:val="20"/>
        </w:rPr>
        <w:footnoteReference w:id="65"/>
      </w:r>
      <w:r w:rsidRPr="00C947BC">
        <w:rPr>
          <w:rFonts w:ascii="Verdana" w:hAnsi="Verdana"/>
          <w:sz w:val="20"/>
          <w:szCs w:val="20"/>
          <w:lang w:val="es-CR"/>
        </w:rPr>
        <w:t>.</w:t>
      </w:r>
    </w:p>
    <w:p w14:paraId="0D654D43" w14:textId="77777777" w:rsidR="00E83BE1" w:rsidRDefault="00E83BE1" w:rsidP="00414DEF">
      <w:pPr>
        <w:pStyle w:val="Prrafodelista"/>
        <w:spacing w:line="240" w:lineRule="auto"/>
        <w:ind w:left="0"/>
        <w:rPr>
          <w:rFonts w:ascii="Verdana" w:hAnsi="Verdana"/>
          <w:sz w:val="20"/>
          <w:szCs w:val="20"/>
          <w:lang w:val="es-CR"/>
        </w:rPr>
      </w:pPr>
    </w:p>
    <w:p w14:paraId="35FB859B" w14:textId="77777777" w:rsidR="00992F9F" w:rsidRDefault="00992F9F" w:rsidP="00414DEF">
      <w:pPr>
        <w:pStyle w:val="Prrafodelista"/>
        <w:spacing w:line="240" w:lineRule="auto"/>
        <w:ind w:left="0"/>
        <w:rPr>
          <w:rFonts w:ascii="Verdana" w:hAnsi="Verdana"/>
          <w:sz w:val="20"/>
          <w:szCs w:val="20"/>
          <w:lang w:val="es-CR"/>
        </w:rPr>
      </w:pPr>
    </w:p>
    <w:p w14:paraId="0251B0FA" w14:textId="77777777" w:rsidR="00E83BE1" w:rsidRPr="00C539D7" w:rsidRDefault="00E83BE1" w:rsidP="00414DEF">
      <w:pPr>
        <w:pStyle w:val="Prrafodelista"/>
        <w:numPr>
          <w:ilvl w:val="0"/>
          <w:numId w:val="30"/>
        </w:numPr>
        <w:spacing w:line="240" w:lineRule="auto"/>
        <w:ind w:left="284" w:firstLine="0"/>
        <w:outlineLvl w:val="1"/>
        <w:rPr>
          <w:rFonts w:ascii="Verdana" w:hAnsi="Verdana"/>
          <w:b/>
          <w:i/>
          <w:sz w:val="20"/>
          <w:szCs w:val="20"/>
          <w:lang w:val="es-CR"/>
        </w:rPr>
      </w:pPr>
      <w:bookmarkStart w:id="35" w:name="_Toc34817807"/>
      <w:r w:rsidRPr="00C539D7">
        <w:rPr>
          <w:rFonts w:ascii="Verdana" w:hAnsi="Verdana"/>
          <w:b/>
          <w:i/>
          <w:sz w:val="20"/>
          <w:szCs w:val="20"/>
          <w:lang w:val="es-CR"/>
        </w:rPr>
        <w:t>Parte lesionada</w:t>
      </w:r>
      <w:bookmarkEnd w:id="35"/>
    </w:p>
    <w:p w14:paraId="12FF0BB0" w14:textId="77777777" w:rsidR="00E83BE1" w:rsidRPr="0061734D" w:rsidRDefault="00E83BE1" w:rsidP="00414DEF">
      <w:pPr>
        <w:pStyle w:val="Prrafodelista"/>
        <w:spacing w:line="240" w:lineRule="auto"/>
        <w:ind w:left="0"/>
        <w:rPr>
          <w:rFonts w:ascii="Verdana" w:hAnsi="Verdana"/>
          <w:sz w:val="20"/>
          <w:szCs w:val="20"/>
        </w:rPr>
      </w:pPr>
    </w:p>
    <w:p w14:paraId="5D702080" w14:textId="77777777" w:rsidR="00E83BE1" w:rsidRPr="00735049" w:rsidRDefault="00E83BE1" w:rsidP="00414DEF">
      <w:pPr>
        <w:pStyle w:val="Prrafodelista"/>
        <w:widowControl/>
        <w:numPr>
          <w:ilvl w:val="0"/>
          <w:numId w:val="26"/>
        </w:numPr>
        <w:spacing w:after="160" w:line="240" w:lineRule="auto"/>
        <w:ind w:left="0" w:firstLine="1"/>
        <w:jc w:val="both"/>
        <w:rPr>
          <w:rFonts w:ascii="Verdana" w:hAnsi="Verdana"/>
          <w:sz w:val="20"/>
          <w:szCs w:val="20"/>
          <w:lang w:val="es-CR"/>
        </w:rPr>
      </w:pPr>
      <w:r>
        <w:rPr>
          <w:rFonts w:ascii="Verdana" w:hAnsi="Verdana"/>
          <w:sz w:val="20"/>
          <w:szCs w:val="20"/>
          <w:lang w:val="es-CR"/>
        </w:rPr>
        <w:t>S</w:t>
      </w:r>
      <w:r w:rsidRPr="00C947BC">
        <w:rPr>
          <w:rFonts w:ascii="Verdana" w:hAnsi="Verdana"/>
          <w:sz w:val="20"/>
          <w:szCs w:val="20"/>
          <w:lang w:val="es-CR"/>
        </w:rPr>
        <w:t xml:space="preserve">e considera parte lesionada, en los términos del artículo 63.1 de la Convención, a quien ha sido declarada víctima de la violación de algún derecho reconocido en la misma. Por lo tanto, </w:t>
      </w:r>
      <w:r>
        <w:rPr>
          <w:rFonts w:ascii="Verdana" w:hAnsi="Verdana"/>
          <w:sz w:val="20"/>
          <w:szCs w:val="20"/>
          <w:lang w:val="es-CR"/>
        </w:rPr>
        <w:t xml:space="preserve">es </w:t>
      </w:r>
      <w:r w:rsidRPr="00C947BC">
        <w:rPr>
          <w:rFonts w:ascii="Verdana" w:hAnsi="Verdana"/>
          <w:sz w:val="20"/>
          <w:szCs w:val="20"/>
          <w:lang w:val="es-CR"/>
        </w:rPr>
        <w:t xml:space="preserve">“parte lesionada” </w:t>
      </w:r>
      <w:r>
        <w:rPr>
          <w:rFonts w:ascii="Verdana" w:hAnsi="Verdana"/>
          <w:sz w:val="20"/>
          <w:szCs w:val="20"/>
          <w:lang w:val="es-CR"/>
        </w:rPr>
        <w:t>e</w:t>
      </w:r>
      <w:r w:rsidRPr="00C947BC">
        <w:rPr>
          <w:rFonts w:ascii="Verdana" w:hAnsi="Verdana"/>
          <w:sz w:val="20"/>
          <w:szCs w:val="20"/>
          <w:lang w:val="es-CR"/>
        </w:rPr>
        <w:t>l señor Ramón Rosendo Carranza Alarcón</w:t>
      </w:r>
      <w:r>
        <w:rPr>
          <w:rFonts w:ascii="Verdana" w:hAnsi="Verdana"/>
          <w:sz w:val="20"/>
          <w:szCs w:val="20"/>
          <w:lang w:val="es-CR"/>
        </w:rPr>
        <w:t>, de quien se informó que se encuentra fallecido (</w:t>
      </w:r>
      <w:r w:rsidRPr="00735049">
        <w:rPr>
          <w:rFonts w:ascii="Verdana" w:hAnsi="Verdana"/>
          <w:i/>
          <w:sz w:val="20"/>
          <w:szCs w:val="20"/>
          <w:lang w:val="es-CR"/>
        </w:rPr>
        <w:t xml:space="preserve">supra </w:t>
      </w:r>
      <w:r w:rsidRPr="00735049">
        <w:rPr>
          <w:rFonts w:ascii="Verdana" w:hAnsi="Verdana"/>
          <w:sz w:val="20"/>
          <w:szCs w:val="20"/>
          <w:lang w:val="es-CR"/>
        </w:rPr>
        <w:t>nota a pie de página 4).</w:t>
      </w:r>
    </w:p>
    <w:p w14:paraId="319BBCDF" w14:textId="77777777" w:rsidR="00E83BE1" w:rsidRPr="00C947BC" w:rsidRDefault="00E83BE1" w:rsidP="00414DEF">
      <w:pPr>
        <w:pStyle w:val="Prrafodelista"/>
        <w:spacing w:line="240" w:lineRule="auto"/>
        <w:ind w:left="0"/>
        <w:rPr>
          <w:rFonts w:ascii="Verdana" w:hAnsi="Verdana"/>
          <w:sz w:val="20"/>
          <w:szCs w:val="20"/>
          <w:lang w:val="es-CR"/>
        </w:rPr>
      </w:pPr>
    </w:p>
    <w:p w14:paraId="3EA97FD8" w14:textId="77777777" w:rsidR="00E83BE1" w:rsidRPr="00AA587E" w:rsidRDefault="00E83BE1" w:rsidP="00414DEF">
      <w:pPr>
        <w:pStyle w:val="Prrafodelista"/>
        <w:widowControl/>
        <w:numPr>
          <w:ilvl w:val="0"/>
          <w:numId w:val="30"/>
        </w:numPr>
        <w:spacing w:after="160" w:line="240" w:lineRule="auto"/>
        <w:outlineLvl w:val="1"/>
        <w:rPr>
          <w:rFonts w:ascii="Verdana" w:hAnsi="Verdana"/>
          <w:b/>
          <w:i/>
          <w:sz w:val="20"/>
          <w:szCs w:val="20"/>
          <w:lang w:val="es-CR"/>
        </w:rPr>
      </w:pPr>
      <w:bookmarkStart w:id="36" w:name="_Toc34817808"/>
      <w:r w:rsidRPr="00AA587E">
        <w:rPr>
          <w:rFonts w:ascii="Verdana" w:hAnsi="Verdana"/>
          <w:b/>
          <w:i/>
          <w:sz w:val="20"/>
          <w:szCs w:val="20"/>
          <w:lang w:val="es-CR"/>
        </w:rPr>
        <w:t>Medidas de satisfacción</w:t>
      </w:r>
      <w:bookmarkEnd w:id="36"/>
    </w:p>
    <w:p w14:paraId="079A4A3A" w14:textId="77777777" w:rsidR="00E83BE1" w:rsidRPr="00C947BC" w:rsidRDefault="00E83BE1" w:rsidP="00414DEF">
      <w:pPr>
        <w:pStyle w:val="Prrafodelista"/>
        <w:spacing w:line="240" w:lineRule="auto"/>
        <w:ind w:left="0"/>
        <w:rPr>
          <w:rFonts w:ascii="Verdana" w:hAnsi="Verdana"/>
          <w:sz w:val="20"/>
          <w:szCs w:val="20"/>
          <w:lang w:val="es-CR"/>
        </w:rPr>
      </w:pPr>
    </w:p>
    <w:p w14:paraId="451E54DB" w14:textId="348AC7E0" w:rsidR="00E83BE1" w:rsidRPr="00A40CDA" w:rsidRDefault="00E83BE1" w:rsidP="00414DEF">
      <w:pPr>
        <w:pStyle w:val="Prrafodelista"/>
        <w:widowControl/>
        <w:numPr>
          <w:ilvl w:val="0"/>
          <w:numId w:val="26"/>
        </w:numPr>
        <w:spacing w:after="160" w:line="240" w:lineRule="auto"/>
        <w:ind w:left="0" w:firstLine="1"/>
        <w:jc w:val="both"/>
        <w:rPr>
          <w:rFonts w:ascii="Verdana" w:hAnsi="Verdana"/>
          <w:sz w:val="20"/>
          <w:szCs w:val="20"/>
          <w:lang w:val="es-CR"/>
        </w:rPr>
      </w:pPr>
      <w:r w:rsidRPr="00E9673D">
        <w:rPr>
          <w:rFonts w:ascii="Verdana" w:hAnsi="Verdana"/>
          <w:sz w:val="20"/>
          <w:szCs w:val="20"/>
          <w:lang w:val="es-CR"/>
        </w:rPr>
        <w:t>Este Tribunal ordena, como lo ha dispuesto en otros casos</w:t>
      </w:r>
      <w:r>
        <w:rPr>
          <w:rStyle w:val="Refdenotaalpie"/>
          <w:rFonts w:ascii="Verdana" w:hAnsi="Verdana"/>
          <w:sz w:val="20"/>
          <w:szCs w:val="20"/>
        </w:rPr>
        <w:footnoteReference w:id="66"/>
      </w:r>
      <w:r w:rsidRPr="00E9673D">
        <w:rPr>
          <w:rFonts w:ascii="Verdana" w:hAnsi="Verdana"/>
          <w:sz w:val="20"/>
          <w:szCs w:val="20"/>
          <w:lang w:val="es-CR"/>
        </w:rPr>
        <w:t xml:space="preserve">, que el Estado publique, en el plazo de seis meses, </w:t>
      </w:r>
      <w:r w:rsidRPr="00E9673D">
        <w:rPr>
          <w:rFonts w:ascii="Verdana" w:hAnsi="Verdana"/>
          <w:sz w:val="20"/>
          <w:szCs w:val="20"/>
          <w:lang w:val="es-PE"/>
        </w:rPr>
        <w:t xml:space="preserve">contado a partir de la notificación de la presente Sentencia: a) el resumen oficial de esta Sentencia elaborado por la Corte, por una sola vez, en el Diario Oficial en un tamaño de letra legible y adecuado; b) el resumen oficial de la Sentencia elaborado por la Corte, por una sola vez, en un diario de amplia </w:t>
      </w:r>
      <w:r w:rsidRPr="00E9673D">
        <w:rPr>
          <w:rFonts w:ascii="Verdana" w:hAnsi="Verdana"/>
          <w:sz w:val="20"/>
          <w:szCs w:val="20"/>
          <w:lang w:val="es-PE"/>
        </w:rPr>
        <w:lastRenderedPageBreak/>
        <w:t xml:space="preserve">circulación nacional en un tamaño de letra legible y adecuado, y c) la presente sentencia en su integridad, disponible por un período de un año, en un sitio </w:t>
      </w:r>
      <w:r w:rsidRPr="00E9673D">
        <w:rPr>
          <w:rFonts w:ascii="Verdana" w:hAnsi="Verdana"/>
          <w:i/>
          <w:sz w:val="20"/>
          <w:szCs w:val="20"/>
          <w:lang w:val="es-PE"/>
        </w:rPr>
        <w:t>web</w:t>
      </w:r>
      <w:r w:rsidRPr="00E9673D">
        <w:rPr>
          <w:rFonts w:ascii="Verdana" w:hAnsi="Verdana"/>
          <w:sz w:val="20"/>
          <w:szCs w:val="20"/>
          <w:lang w:val="es-PE"/>
        </w:rPr>
        <w:t xml:space="preserve"> oficial, de manera accesible al público. El Estado deberá comunicar de forma inmediata a la Corte una vez que proceda a realizar cada una de las publicaciones dispuestas, independientemente del plazo de un año para presentar su primer informe dispuesto en el </w:t>
      </w:r>
      <w:r w:rsidRPr="00A40CDA">
        <w:rPr>
          <w:rFonts w:ascii="Verdana" w:hAnsi="Verdana"/>
          <w:sz w:val="20"/>
          <w:szCs w:val="20"/>
          <w:lang w:val="es-PE"/>
        </w:rPr>
        <w:t xml:space="preserve">punto resolutivo </w:t>
      </w:r>
      <w:r w:rsidR="000E25B8">
        <w:rPr>
          <w:rFonts w:ascii="Verdana" w:hAnsi="Verdana"/>
          <w:sz w:val="20"/>
          <w:szCs w:val="20"/>
          <w:lang w:val="es-PE"/>
        </w:rPr>
        <w:t>noveno</w:t>
      </w:r>
      <w:r w:rsidRPr="00A40CDA">
        <w:rPr>
          <w:rFonts w:ascii="Verdana" w:hAnsi="Verdana"/>
          <w:sz w:val="20"/>
          <w:szCs w:val="20"/>
          <w:lang w:val="es-PE"/>
        </w:rPr>
        <w:t xml:space="preserve"> de la presente Sentencia.</w:t>
      </w:r>
    </w:p>
    <w:p w14:paraId="37AA41D5" w14:textId="77777777" w:rsidR="00E83BE1" w:rsidRPr="00C947BC" w:rsidRDefault="00E83BE1" w:rsidP="00414DEF">
      <w:pPr>
        <w:pStyle w:val="Prrafodelista"/>
        <w:spacing w:line="240" w:lineRule="auto"/>
        <w:ind w:left="0"/>
        <w:rPr>
          <w:rFonts w:ascii="Verdana" w:hAnsi="Verdana"/>
          <w:sz w:val="20"/>
          <w:szCs w:val="20"/>
          <w:lang w:val="es-CR"/>
        </w:rPr>
      </w:pPr>
    </w:p>
    <w:p w14:paraId="19AC4DEA" w14:textId="77777777" w:rsidR="00E83BE1" w:rsidRPr="00AA587E" w:rsidRDefault="00E83BE1" w:rsidP="00414DEF">
      <w:pPr>
        <w:pStyle w:val="Prrafodelista"/>
        <w:numPr>
          <w:ilvl w:val="0"/>
          <w:numId w:val="30"/>
        </w:numPr>
        <w:spacing w:line="240" w:lineRule="auto"/>
        <w:jc w:val="both"/>
        <w:outlineLvl w:val="1"/>
        <w:rPr>
          <w:rFonts w:ascii="Verdana" w:hAnsi="Verdana"/>
          <w:b/>
          <w:i/>
          <w:sz w:val="20"/>
          <w:szCs w:val="20"/>
          <w:lang w:val="es-CR"/>
        </w:rPr>
      </w:pPr>
      <w:bookmarkStart w:id="37" w:name="_Toc34817809"/>
      <w:r w:rsidRPr="00AA587E">
        <w:rPr>
          <w:rFonts w:ascii="Verdana" w:hAnsi="Verdana"/>
          <w:b/>
          <w:i/>
          <w:sz w:val="20"/>
          <w:szCs w:val="20"/>
          <w:lang w:val="es-CR"/>
        </w:rPr>
        <w:t>Solicitud de garantías de no repetición</w:t>
      </w:r>
      <w:bookmarkEnd w:id="37"/>
    </w:p>
    <w:p w14:paraId="0235D311" w14:textId="77777777" w:rsidR="00E83BE1" w:rsidRPr="00AA587E" w:rsidRDefault="00E83BE1" w:rsidP="00414DEF">
      <w:pPr>
        <w:pStyle w:val="Prrafodelista"/>
        <w:spacing w:line="240" w:lineRule="auto"/>
        <w:ind w:left="0"/>
        <w:rPr>
          <w:rFonts w:ascii="Verdana" w:hAnsi="Verdana"/>
          <w:sz w:val="20"/>
          <w:szCs w:val="20"/>
          <w:lang w:val="es-CR"/>
        </w:rPr>
      </w:pPr>
    </w:p>
    <w:p w14:paraId="65EEEA79" w14:textId="77777777" w:rsidR="00E83BE1" w:rsidRPr="00AA587E" w:rsidRDefault="00E83BE1" w:rsidP="00414DEF">
      <w:pPr>
        <w:pStyle w:val="Prrafodelista"/>
        <w:widowControl/>
        <w:numPr>
          <w:ilvl w:val="0"/>
          <w:numId w:val="26"/>
        </w:numPr>
        <w:spacing w:after="160" w:line="240" w:lineRule="auto"/>
        <w:ind w:left="0" w:firstLine="1"/>
        <w:jc w:val="both"/>
        <w:rPr>
          <w:rFonts w:ascii="Verdana" w:hAnsi="Verdana"/>
          <w:sz w:val="20"/>
          <w:szCs w:val="20"/>
          <w:lang w:val="es-CR"/>
        </w:rPr>
      </w:pPr>
      <w:r w:rsidRPr="00C947BC">
        <w:rPr>
          <w:rFonts w:ascii="Verdana" w:hAnsi="Verdana"/>
          <w:sz w:val="20"/>
          <w:szCs w:val="20"/>
          <w:lang w:val="es-CR"/>
        </w:rPr>
        <w:t xml:space="preserve">La </w:t>
      </w:r>
      <w:r w:rsidRPr="00C947BC">
        <w:rPr>
          <w:rFonts w:ascii="Verdana" w:hAnsi="Verdana"/>
          <w:b/>
          <w:i/>
          <w:sz w:val="20"/>
          <w:szCs w:val="20"/>
          <w:lang w:val="es-CR"/>
        </w:rPr>
        <w:t>Comisión</w:t>
      </w:r>
      <w:r w:rsidRPr="00C947BC">
        <w:rPr>
          <w:rFonts w:ascii="Verdana" w:hAnsi="Verdana"/>
          <w:sz w:val="20"/>
          <w:szCs w:val="20"/>
          <w:lang w:val="es-CR"/>
        </w:rPr>
        <w:t xml:space="preserve"> solicitó que se dispongan las medidas de no repetición necesarias para asegurar que tanto la normativa aplicable como las prácticas respectivas en materia de detención preventiva, sean compatibles con los estándares interamericanos.</w:t>
      </w:r>
      <w:r>
        <w:rPr>
          <w:rFonts w:ascii="Verdana" w:hAnsi="Verdana"/>
          <w:sz w:val="20"/>
          <w:szCs w:val="20"/>
          <w:lang w:val="es-CR"/>
        </w:rPr>
        <w:t xml:space="preserve"> </w:t>
      </w:r>
      <w:r w:rsidRPr="00AA587E">
        <w:rPr>
          <w:rFonts w:ascii="Verdana" w:hAnsi="Verdana"/>
          <w:sz w:val="20"/>
          <w:szCs w:val="20"/>
          <w:lang w:val="es-CR"/>
        </w:rPr>
        <w:t xml:space="preserve">El </w:t>
      </w:r>
      <w:r w:rsidRPr="00AA587E">
        <w:rPr>
          <w:rFonts w:ascii="Verdana" w:hAnsi="Verdana"/>
          <w:b/>
          <w:i/>
          <w:sz w:val="20"/>
          <w:szCs w:val="20"/>
          <w:lang w:val="es-CR"/>
        </w:rPr>
        <w:t>representante</w:t>
      </w:r>
      <w:r w:rsidRPr="00AA587E">
        <w:rPr>
          <w:rFonts w:ascii="Verdana" w:hAnsi="Verdana"/>
          <w:sz w:val="20"/>
          <w:szCs w:val="20"/>
          <w:lang w:val="es-CR"/>
        </w:rPr>
        <w:t xml:space="preserve"> y el </w:t>
      </w:r>
      <w:r w:rsidRPr="00AA587E">
        <w:rPr>
          <w:rFonts w:ascii="Verdana" w:hAnsi="Verdana"/>
          <w:b/>
          <w:i/>
          <w:sz w:val="20"/>
          <w:szCs w:val="20"/>
          <w:lang w:val="es-CR"/>
        </w:rPr>
        <w:t>Estado</w:t>
      </w:r>
      <w:r w:rsidRPr="00AA587E">
        <w:rPr>
          <w:rFonts w:ascii="Verdana" w:hAnsi="Verdana"/>
          <w:sz w:val="20"/>
          <w:szCs w:val="20"/>
          <w:lang w:val="es-CR"/>
        </w:rPr>
        <w:t xml:space="preserve"> no se refirieron </w:t>
      </w:r>
      <w:r>
        <w:rPr>
          <w:rFonts w:ascii="Verdana" w:hAnsi="Verdana"/>
          <w:sz w:val="20"/>
          <w:szCs w:val="20"/>
          <w:lang w:val="es-CR"/>
        </w:rPr>
        <w:t>a este requerimiento</w:t>
      </w:r>
      <w:r w:rsidRPr="00AA587E">
        <w:rPr>
          <w:rFonts w:ascii="Verdana" w:hAnsi="Verdana"/>
          <w:sz w:val="20"/>
          <w:szCs w:val="20"/>
          <w:lang w:val="es-CR"/>
        </w:rPr>
        <w:t>.</w:t>
      </w:r>
    </w:p>
    <w:p w14:paraId="19A5FFC0" w14:textId="77777777" w:rsidR="00E83BE1" w:rsidRPr="00C947BC" w:rsidRDefault="00E83BE1" w:rsidP="00414DEF">
      <w:pPr>
        <w:pStyle w:val="Prrafodelista"/>
        <w:spacing w:line="240" w:lineRule="auto"/>
        <w:ind w:left="0"/>
        <w:rPr>
          <w:rFonts w:ascii="Verdana" w:hAnsi="Verdana"/>
          <w:sz w:val="20"/>
          <w:szCs w:val="20"/>
          <w:lang w:val="es-CR"/>
        </w:rPr>
      </w:pPr>
    </w:p>
    <w:p w14:paraId="675C84C5" w14:textId="377326AB" w:rsidR="00E4670F" w:rsidRPr="005A4119" w:rsidRDefault="00E83BE1" w:rsidP="00414DEF">
      <w:pPr>
        <w:pStyle w:val="Prrafodelista"/>
        <w:widowControl/>
        <w:numPr>
          <w:ilvl w:val="0"/>
          <w:numId w:val="26"/>
        </w:numPr>
        <w:spacing w:after="160" w:line="240" w:lineRule="auto"/>
        <w:ind w:left="0" w:firstLine="1"/>
        <w:jc w:val="both"/>
        <w:rPr>
          <w:rFonts w:ascii="Verdana" w:hAnsi="Verdana"/>
          <w:sz w:val="20"/>
          <w:szCs w:val="20"/>
          <w:lang w:val="es-CR"/>
        </w:rPr>
      </w:pPr>
      <w:r w:rsidRPr="00C947BC">
        <w:rPr>
          <w:rFonts w:ascii="Verdana" w:hAnsi="Verdana"/>
          <w:sz w:val="20"/>
          <w:szCs w:val="20"/>
          <w:lang w:val="es-CR"/>
        </w:rPr>
        <w:t xml:space="preserve">La </w:t>
      </w:r>
      <w:r w:rsidRPr="00C947BC">
        <w:rPr>
          <w:rFonts w:ascii="Verdana" w:hAnsi="Verdana"/>
          <w:b/>
          <w:i/>
          <w:sz w:val="20"/>
          <w:szCs w:val="20"/>
          <w:lang w:val="es-CR"/>
        </w:rPr>
        <w:t>Corte</w:t>
      </w:r>
      <w:r w:rsidRPr="00C947BC">
        <w:rPr>
          <w:rFonts w:ascii="Verdana" w:hAnsi="Verdana"/>
          <w:sz w:val="20"/>
          <w:szCs w:val="20"/>
          <w:lang w:val="es-CR"/>
        </w:rPr>
        <w:t xml:space="preserve"> nota </w:t>
      </w:r>
      <w:r>
        <w:rPr>
          <w:rFonts w:ascii="Verdana" w:hAnsi="Verdana"/>
          <w:sz w:val="20"/>
          <w:szCs w:val="20"/>
          <w:lang w:val="es-CR"/>
        </w:rPr>
        <w:t xml:space="preserve">que </w:t>
      </w:r>
      <w:r w:rsidRPr="00C947BC">
        <w:rPr>
          <w:rFonts w:ascii="Verdana" w:hAnsi="Verdana"/>
          <w:sz w:val="20"/>
          <w:szCs w:val="20"/>
          <w:lang w:val="es-CR"/>
        </w:rPr>
        <w:t>el artículo 177 del Código de Procedimiento Penal</w:t>
      </w:r>
      <w:r w:rsidR="00E0031B">
        <w:rPr>
          <w:rFonts w:ascii="Verdana" w:hAnsi="Verdana"/>
          <w:sz w:val="20"/>
          <w:szCs w:val="20"/>
          <w:lang w:val="es-CR"/>
        </w:rPr>
        <w:t xml:space="preserve"> aplicado en el caso</w:t>
      </w:r>
      <w:r w:rsidRPr="00C947BC">
        <w:rPr>
          <w:rFonts w:ascii="Verdana" w:hAnsi="Verdana"/>
          <w:sz w:val="20"/>
          <w:szCs w:val="20"/>
          <w:lang w:val="es-CR"/>
        </w:rPr>
        <w:t>, al momento de la emisión de esta sentencia, no se encuentra en vigencia</w:t>
      </w:r>
      <w:r>
        <w:rPr>
          <w:rFonts w:ascii="Verdana" w:hAnsi="Verdana"/>
          <w:sz w:val="20"/>
          <w:szCs w:val="20"/>
          <w:lang w:val="es-CR"/>
        </w:rPr>
        <w:t>.</w:t>
      </w:r>
      <w:r w:rsidRPr="00C947BC">
        <w:rPr>
          <w:rFonts w:ascii="Verdana" w:hAnsi="Verdana"/>
          <w:sz w:val="20"/>
          <w:szCs w:val="20"/>
          <w:lang w:val="es-CR"/>
        </w:rPr>
        <w:t xml:space="preserve"> </w:t>
      </w:r>
      <w:r>
        <w:rPr>
          <w:rFonts w:ascii="Verdana" w:hAnsi="Verdana"/>
          <w:sz w:val="20"/>
          <w:szCs w:val="20"/>
          <w:lang w:val="es-CR"/>
        </w:rPr>
        <w:t>P</w:t>
      </w:r>
      <w:r w:rsidRPr="00C947BC">
        <w:rPr>
          <w:rFonts w:ascii="Verdana" w:hAnsi="Verdana"/>
          <w:sz w:val="20"/>
          <w:szCs w:val="20"/>
          <w:lang w:val="es-CR"/>
        </w:rPr>
        <w:t xml:space="preserve">or lo tanto, no corresponde otorgar garantías de no repetición. </w:t>
      </w:r>
    </w:p>
    <w:p w14:paraId="61E16B0B" w14:textId="77777777" w:rsidR="00E4670F" w:rsidRPr="00C947BC" w:rsidRDefault="00E4670F" w:rsidP="00414DEF">
      <w:pPr>
        <w:pStyle w:val="Prrafodelista"/>
        <w:spacing w:line="240" w:lineRule="auto"/>
        <w:ind w:left="0"/>
        <w:rPr>
          <w:rFonts w:ascii="Verdana" w:hAnsi="Verdana"/>
          <w:sz w:val="20"/>
          <w:szCs w:val="20"/>
          <w:lang w:val="es-CR"/>
        </w:rPr>
      </w:pPr>
    </w:p>
    <w:p w14:paraId="5807B24A" w14:textId="77777777" w:rsidR="00E83BE1" w:rsidRPr="009C0793" w:rsidRDefault="00E83BE1" w:rsidP="00414DEF">
      <w:pPr>
        <w:pStyle w:val="Prrafodelista"/>
        <w:widowControl/>
        <w:numPr>
          <w:ilvl w:val="0"/>
          <w:numId w:val="30"/>
        </w:numPr>
        <w:spacing w:after="160" w:line="240" w:lineRule="auto"/>
        <w:ind w:left="284" w:firstLine="0"/>
        <w:jc w:val="both"/>
        <w:outlineLvl w:val="1"/>
        <w:rPr>
          <w:rFonts w:ascii="Verdana" w:hAnsi="Verdana"/>
          <w:b/>
          <w:i/>
          <w:sz w:val="20"/>
          <w:szCs w:val="20"/>
          <w:lang w:val="es-CR"/>
        </w:rPr>
      </w:pPr>
      <w:bookmarkStart w:id="38" w:name="_Toc34817810"/>
      <w:r w:rsidRPr="009C0793">
        <w:rPr>
          <w:rFonts w:ascii="Verdana" w:hAnsi="Verdana"/>
          <w:b/>
          <w:i/>
          <w:sz w:val="20"/>
          <w:szCs w:val="20"/>
          <w:lang w:val="es-CR"/>
        </w:rPr>
        <w:t>Indemnizaciones compensatorias</w:t>
      </w:r>
      <w:bookmarkEnd w:id="38"/>
    </w:p>
    <w:p w14:paraId="3A4FA417" w14:textId="77777777" w:rsidR="00E83BE1" w:rsidRPr="00FD4C35" w:rsidRDefault="00E83BE1" w:rsidP="00414DEF">
      <w:pPr>
        <w:pStyle w:val="Prrafodelista"/>
        <w:spacing w:line="240" w:lineRule="auto"/>
        <w:ind w:left="0"/>
        <w:jc w:val="both"/>
        <w:rPr>
          <w:rFonts w:ascii="Verdana" w:hAnsi="Verdana"/>
          <w:sz w:val="20"/>
          <w:szCs w:val="20"/>
        </w:rPr>
      </w:pPr>
    </w:p>
    <w:p w14:paraId="1C56CCB7" w14:textId="77777777" w:rsidR="00E83BE1" w:rsidRPr="00C947BC" w:rsidRDefault="00E83BE1" w:rsidP="00414DEF">
      <w:pPr>
        <w:pStyle w:val="Prrafodelista"/>
        <w:widowControl/>
        <w:numPr>
          <w:ilvl w:val="0"/>
          <w:numId w:val="26"/>
        </w:numPr>
        <w:spacing w:after="160" w:line="240" w:lineRule="auto"/>
        <w:ind w:left="0" w:firstLine="1"/>
        <w:jc w:val="both"/>
        <w:rPr>
          <w:rFonts w:ascii="Verdana" w:hAnsi="Verdana"/>
          <w:sz w:val="20"/>
          <w:szCs w:val="20"/>
          <w:lang w:val="es-CR"/>
        </w:rPr>
      </w:pPr>
      <w:r w:rsidRPr="00C947BC">
        <w:rPr>
          <w:rFonts w:ascii="Verdana" w:hAnsi="Verdana"/>
          <w:sz w:val="20"/>
          <w:szCs w:val="20"/>
          <w:lang w:val="es-CR"/>
        </w:rPr>
        <w:t xml:space="preserve">La </w:t>
      </w:r>
      <w:r w:rsidRPr="00C947BC">
        <w:rPr>
          <w:rFonts w:ascii="Verdana" w:hAnsi="Verdana"/>
          <w:b/>
          <w:i/>
          <w:sz w:val="20"/>
          <w:szCs w:val="20"/>
          <w:lang w:val="es-CR"/>
        </w:rPr>
        <w:t>Comisión</w:t>
      </w:r>
      <w:r w:rsidRPr="00C947BC">
        <w:rPr>
          <w:rFonts w:ascii="Verdana" w:hAnsi="Verdana"/>
          <w:sz w:val="20"/>
          <w:szCs w:val="20"/>
          <w:lang w:val="es-CR"/>
        </w:rPr>
        <w:t xml:space="preserve"> solicitó que se repare al señor Carranza </w:t>
      </w:r>
      <w:r>
        <w:rPr>
          <w:rFonts w:ascii="Verdana" w:hAnsi="Verdana"/>
          <w:sz w:val="20"/>
          <w:szCs w:val="20"/>
          <w:lang w:val="es-CR"/>
        </w:rPr>
        <w:t>“</w:t>
      </w:r>
      <w:r w:rsidRPr="00C947BC">
        <w:rPr>
          <w:rFonts w:ascii="Verdana" w:hAnsi="Verdana"/>
          <w:sz w:val="20"/>
          <w:szCs w:val="20"/>
          <w:lang w:val="es-CR"/>
        </w:rPr>
        <w:t>a través de medidas que incluyan daño material e inmaterial</w:t>
      </w:r>
      <w:r>
        <w:rPr>
          <w:rFonts w:ascii="Verdana" w:hAnsi="Verdana"/>
          <w:sz w:val="20"/>
          <w:szCs w:val="20"/>
          <w:lang w:val="es-CR"/>
        </w:rPr>
        <w:t>”</w:t>
      </w:r>
      <w:r w:rsidRPr="00C947BC">
        <w:rPr>
          <w:rFonts w:ascii="Verdana" w:hAnsi="Verdana"/>
          <w:sz w:val="20"/>
          <w:szCs w:val="20"/>
          <w:lang w:val="es-CR"/>
        </w:rPr>
        <w:t>, ocasionado como consecuencia de las violaciones declaradas.</w:t>
      </w:r>
    </w:p>
    <w:p w14:paraId="48F85176" w14:textId="77777777" w:rsidR="00E83BE1" w:rsidRPr="00C947BC" w:rsidRDefault="00E83BE1" w:rsidP="00414DEF">
      <w:pPr>
        <w:pStyle w:val="Prrafodelista"/>
        <w:spacing w:line="240" w:lineRule="auto"/>
        <w:ind w:left="0"/>
        <w:jc w:val="both"/>
        <w:rPr>
          <w:rFonts w:ascii="Verdana" w:hAnsi="Verdana"/>
          <w:sz w:val="20"/>
          <w:szCs w:val="20"/>
          <w:lang w:val="es-CR"/>
        </w:rPr>
      </w:pPr>
    </w:p>
    <w:p w14:paraId="7959F28E" w14:textId="77777777" w:rsidR="00E83BE1" w:rsidRPr="00530684" w:rsidRDefault="00E83BE1" w:rsidP="00414DEF">
      <w:pPr>
        <w:pStyle w:val="Prrafodelista"/>
        <w:widowControl/>
        <w:numPr>
          <w:ilvl w:val="0"/>
          <w:numId w:val="26"/>
        </w:numPr>
        <w:spacing w:after="160" w:line="240" w:lineRule="auto"/>
        <w:ind w:left="0" w:firstLine="1"/>
        <w:jc w:val="both"/>
        <w:rPr>
          <w:rFonts w:ascii="Verdana" w:hAnsi="Verdana"/>
          <w:sz w:val="20"/>
          <w:szCs w:val="20"/>
          <w:lang w:val="es-CR"/>
        </w:rPr>
      </w:pPr>
      <w:r w:rsidRPr="00C947BC">
        <w:rPr>
          <w:rFonts w:ascii="Verdana" w:hAnsi="Verdana"/>
          <w:sz w:val="20"/>
          <w:szCs w:val="20"/>
          <w:lang w:val="es-CR"/>
        </w:rPr>
        <w:t xml:space="preserve">El </w:t>
      </w:r>
      <w:r w:rsidRPr="00C947BC">
        <w:rPr>
          <w:rFonts w:ascii="Verdana" w:hAnsi="Verdana"/>
          <w:b/>
          <w:i/>
          <w:sz w:val="20"/>
          <w:szCs w:val="20"/>
          <w:lang w:val="es-CR"/>
        </w:rPr>
        <w:t>representante</w:t>
      </w:r>
      <w:r w:rsidRPr="00C947BC">
        <w:rPr>
          <w:rFonts w:ascii="Verdana" w:hAnsi="Verdana"/>
          <w:sz w:val="20"/>
          <w:szCs w:val="20"/>
          <w:lang w:val="es-CR"/>
        </w:rPr>
        <w:t xml:space="preserve"> solicitó una reparació</w:t>
      </w:r>
      <w:r>
        <w:rPr>
          <w:rFonts w:ascii="Verdana" w:hAnsi="Verdana"/>
          <w:sz w:val="20"/>
          <w:szCs w:val="20"/>
          <w:lang w:val="es-CR"/>
        </w:rPr>
        <w:t>n material no menor de USD $500,000.</w:t>
      </w:r>
      <w:r w:rsidRPr="00C947BC">
        <w:rPr>
          <w:rFonts w:ascii="Verdana" w:hAnsi="Verdana"/>
          <w:sz w:val="20"/>
          <w:szCs w:val="20"/>
          <w:lang w:val="es-CR"/>
        </w:rPr>
        <w:t xml:space="preserve">00 (quinientos mil dólares de los Estados Unidos de América). </w:t>
      </w:r>
    </w:p>
    <w:p w14:paraId="0ABB37DC" w14:textId="77777777" w:rsidR="00E83BE1" w:rsidRPr="009C0793" w:rsidRDefault="00E83BE1" w:rsidP="00414DEF">
      <w:pPr>
        <w:pStyle w:val="Prrafodelista"/>
        <w:spacing w:line="240" w:lineRule="auto"/>
        <w:rPr>
          <w:rFonts w:ascii="Verdana" w:hAnsi="Verdana"/>
          <w:sz w:val="20"/>
          <w:szCs w:val="20"/>
          <w:lang w:val="es-CR"/>
        </w:rPr>
      </w:pPr>
    </w:p>
    <w:p w14:paraId="4B5AB994" w14:textId="77777777" w:rsidR="00E83BE1" w:rsidRPr="009C0793" w:rsidRDefault="00E83BE1" w:rsidP="00414DEF">
      <w:pPr>
        <w:pStyle w:val="Prrafodelista"/>
        <w:widowControl/>
        <w:numPr>
          <w:ilvl w:val="0"/>
          <w:numId w:val="26"/>
        </w:numPr>
        <w:spacing w:after="160" w:line="240" w:lineRule="auto"/>
        <w:ind w:left="0" w:firstLine="1"/>
        <w:jc w:val="both"/>
        <w:rPr>
          <w:rFonts w:ascii="Verdana" w:hAnsi="Verdana"/>
          <w:sz w:val="20"/>
          <w:szCs w:val="20"/>
          <w:lang w:val="es-CR"/>
        </w:rPr>
      </w:pPr>
      <w:r w:rsidRPr="00C947BC">
        <w:rPr>
          <w:rFonts w:ascii="Verdana" w:hAnsi="Verdana"/>
          <w:sz w:val="20"/>
          <w:szCs w:val="20"/>
          <w:lang w:val="es-CR"/>
        </w:rPr>
        <w:t xml:space="preserve">El </w:t>
      </w:r>
      <w:r w:rsidRPr="009C0793">
        <w:rPr>
          <w:rFonts w:ascii="Verdana" w:hAnsi="Verdana"/>
          <w:b/>
          <w:i/>
          <w:sz w:val="20"/>
          <w:szCs w:val="20"/>
          <w:lang w:val="es-CR"/>
        </w:rPr>
        <w:t>Estado</w:t>
      </w:r>
      <w:r w:rsidRPr="009C0793">
        <w:rPr>
          <w:rFonts w:ascii="Verdana" w:hAnsi="Verdana"/>
          <w:i/>
          <w:sz w:val="20"/>
          <w:szCs w:val="20"/>
          <w:lang w:val="es-CR"/>
        </w:rPr>
        <w:t xml:space="preserve"> </w:t>
      </w:r>
      <w:r w:rsidRPr="00C947BC">
        <w:rPr>
          <w:rFonts w:ascii="Verdana" w:hAnsi="Verdana"/>
          <w:sz w:val="20"/>
          <w:szCs w:val="20"/>
          <w:lang w:val="es-CR"/>
        </w:rPr>
        <w:t xml:space="preserve">rechazó las alegaciones del representante y solicitó a la Corte que “aprecie las circunstancias específicas del caso”. </w:t>
      </w:r>
    </w:p>
    <w:p w14:paraId="728E479E" w14:textId="77777777" w:rsidR="00E83BE1" w:rsidRPr="009C0793" w:rsidRDefault="00E83BE1" w:rsidP="00414DEF">
      <w:pPr>
        <w:pStyle w:val="Prrafodelista"/>
        <w:spacing w:line="240" w:lineRule="auto"/>
        <w:ind w:left="0"/>
        <w:rPr>
          <w:rFonts w:ascii="Verdana" w:hAnsi="Verdana"/>
          <w:sz w:val="20"/>
          <w:szCs w:val="20"/>
          <w:lang w:val="es-CR"/>
        </w:rPr>
      </w:pPr>
    </w:p>
    <w:p w14:paraId="575E64F8" w14:textId="1A8A6B4A" w:rsidR="00E83BE1" w:rsidRPr="00530684" w:rsidRDefault="00E83BE1" w:rsidP="00414DEF">
      <w:pPr>
        <w:pStyle w:val="Prrafodelista"/>
        <w:widowControl/>
        <w:numPr>
          <w:ilvl w:val="0"/>
          <w:numId w:val="26"/>
        </w:numPr>
        <w:spacing w:after="160" w:line="240" w:lineRule="auto"/>
        <w:ind w:left="0" w:firstLine="1"/>
        <w:jc w:val="both"/>
        <w:rPr>
          <w:rFonts w:ascii="Verdana" w:hAnsi="Verdana"/>
          <w:sz w:val="20"/>
          <w:szCs w:val="20"/>
          <w:lang w:val="es-CR"/>
        </w:rPr>
      </w:pPr>
      <w:r>
        <w:rPr>
          <w:rFonts w:ascii="Verdana" w:hAnsi="Verdana"/>
          <w:sz w:val="20"/>
          <w:szCs w:val="20"/>
          <w:lang w:val="es-CR"/>
        </w:rPr>
        <w:t>La</w:t>
      </w:r>
      <w:r w:rsidRPr="00530684">
        <w:rPr>
          <w:rFonts w:ascii="Verdana" w:hAnsi="Verdana"/>
          <w:sz w:val="20"/>
          <w:szCs w:val="20"/>
          <w:lang w:val="es-CR"/>
        </w:rPr>
        <w:t xml:space="preserve"> </w:t>
      </w:r>
      <w:r w:rsidRPr="00530684">
        <w:rPr>
          <w:rFonts w:ascii="Verdana" w:hAnsi="Verdana"/>
          <w:b/>
          <w:i/>
          <w:sz w:val="20"/>
          <w:szCs w:val="20"/>
          <w:lang w:val="es-CR"/>
        </w:rPr>
        <w:t>Corte</w:t>
      </w:r>
      <w:r w:rsidRPr="00530684">
        <w:rPr>
          <w:rFonts w:ascii="Verdana" w:hAnsi="Verdana"/>
          <w:sz w:val="20"/>
          <w:szCs w:val="20"/>
          <w:lang w:val="es-CR"/>
        </w:rPr>
        <w:t xml:space="preserve"> ha desarrollado en su jurisprudencia que el daño material supone la pérdida o detrimento de los ingresos de las víctimas, los gastos efectuados con motivo de los hechos y las consecuencias de carácter pecuniario que tengan un nexo causal con los hechos del caso</w:t>
      </w:r>
      <w:r>
        <w:rPr>
          <w:rStyle w:val="Refdenotaalpie"/>
          <w:rFonts w:ascii="Verdana" w:hAnsi="Verdana"/>
          <w:sz w:val="20"/>
          <w:szCs w:val="20"/>
        </w:rPr>
        <w:footnoteReference w:id="67"/>
      </w:r>
      <w:r w:rsidRPr="00530684">
        <w:rPr>
          <w:rFonts w:ascii="Verdana" w:hAnsi="Verdana"/>
          <w:sz w:val="20"/>
          <w:szCs w:val="20"/>
          <w:lang w:val="es-CR"/>
        </w:rPr>
        <w:t xml:space="preserve">. Respecto al daño inmaterial, </w:t>
      </w:r>
      <w:r w:rsidRPr="00530684">
        <w:rPr>
          <w:rFonts w:ascii="Verdana" w:hAnsi="Verdana"/>
          <w:sz w:val="20"/>
          <w:lang w:val="es-CR"/>
        </w:rPr>
        <w:t>la Corte ha establecido en su jurisprudencia que el daño inmaterial puede comprender tanto los sufrimientos y las aflicciones causados por la violación</w:t>
      </w:r>
      <w:r w:rsidR="001616E1">
        <w:rPr>
          <w:rFonts w:ascii="Verdana" w:hAnsi="Verdana"/>
          <w:sz w:val="20"/>
          <w:lang w:val="es-CR"/>
        </w:rPr>
        <w:t>,</w:t>
      </w:r>
      <w:r w:rsidRPr="00530684">
        <w:rPr>
          <w:rFonts w:ascii="Verdana" w:hAnsi="Verdana"/>
          <w:sz w:val="20"/>
          <w:lang w:val="es-CR"/>
        </w:rPr>
        <w:t xml:space="preserve"> como el menoscabo de valores muy significativos para las personas</w:t>
      </w:r>
      <w:r w:rsidR="001616E1">
        <w:rPr>
          <w:rFonts w:ascii="Verdana" w:hAnsi="Verdana"/>
          <w:sz w:val="20"/>
          <w:lang w:val="es-CR"/>
        </w:rPr>
        <w:t>,</w:t>
      </w:r>
      <w:r w:rsidRPr="00530684">
        <w:rPr>
          <w:rFonts w:ascii="Verdana" w:hAnsi="Verdana"/>
          <w:sz w:val="20"/>
          <w:lang w:val="es-CR"/>
        </w:rPr>
        <w:t xml:space="preserve"> y cualquier alteración, de carácter no pecuniario, en las condiciones de existencia de las víctimas. Por otra parte, dado que no es posible asignar al daño inmaterial un equivalente monetario preciso, solo puede ser objeto de compensación, para los fines de la reparación integral a la víctima, mediante el pago de una cantidad de dinero o la entrega de bienes o servicios apreciables en dinero, que el Tribunal determine en aplicación razonable del arbitrio judicial y en términos de equidad</w:t>
      </w:r>
      <w:r>
        <w:rPr>
          <w:rStyle w:val="Refdenotaalpie"/>
          <w:rFonts w:ascii="Verdana" w:hAnsi="Verdana"/>
          <w:sz w:val="20"/>
        </w:rPr>
        <w:footnoteReference w:id="68"/>
      </w:r>
      <w:r w:rsidRPr="00530684">
        <w:rPr>
          <w:rFonts w:ascii="Verdana" w:hAnsi="Verdana"/>
          <w:sz w:val="20"/>
          <w:lang w:val="es-CR"/>
        </w:rPr>
        <w:t xml:space="preserve">. </w:t>
      </w:r>
    </w:p>
    <w:p w14:paraId="5B545F93" w14:textId="77777777" w:rsidR="00E83BE1" w:rsidRPr="00530684" w:rsidRDefault="00E83BE1" w:rsidP="00414DEF">
      <w:pPr>
        <w:pStyle w:val="Prrafodelista"/>
        <w:spacing w:line="240" w:lineRule="auto"/>
        <w:rPr>
          <w:rFonts w:ascii="Verdana" w:hAnsi="Verdana"/>
          <w:sz w:val="20"/>
          <w:lang w:val="es-CR"/>
        </w:rPr>
      </w:pPr>
    </w:p>
    <w:p w14:paraId="4EE3704E" w14:textId="0A4C1E11" w:rsidR="00E83BE1" w:rsidRPr="00530684" w:rsidRDefault="00E83BE1" w:rsidP="00414DEF">
      <w:pPr>
        <w:pStyle w:val="Prrafodelista"/>
        <w:widowControl/>
        <w:numPr>
          <w:ilvl w:val="0"/>
          <w:numId w:val="26"/>
        </w:numPr>
        <w:spacing w:after="160" w:line="240" w:lineRule="auto"/>
        <w:ind w:left="0" w:firstLine="1"/>
        <w:jc w:val="both"/>
        <w:rPr>
          <w:rFonts w:ascii="Verdana" w:hAnsi="Verdana"/>
          <w:sz w:val="20"/>
          <w:szCs w:val="20"/>
          <w:lang w:val="es-CR"/>
        </w:rPr>
      </w:pPr>
      <w:r>
        <w:rPr>
          <w:rFonts w:ascii="Verdana" w:hAnsi="Verdana"/>
          <w:sz w:val="20"/>
          <w:lang w:val="es-CR"/>
        </w:rPr>
        <w:t xml:space="preserve">La Corte advierte que el representante no explicó los fundamentos de su solicitud monetaria, ni tampoco si correspondería a un daño material o inmaterial. La Corte no tiene elementos de prueba ni se ha esbozado argumentación suficiente para evaluar el supuesto daño material en el presente caso, por lo que no </w:t>
      </w:r>
      <w:r w:rsidR="000E25B8">
        <w:rPr>
          <w:rFonts w:ascii="Verdana" w:hAnsi="Verdana"/>
          <w:sz w:val="20"/>
          <w:lang w:val="es-CR"/>
        </w:rPr>
        <w:t>considera</w:t>
      </w:r>
      <w:r>
        <w:rPr>
          <w:rFonts w:ascii="Verdana" w:hAnsi="Verdana"/>
          <w:sz w:val="20"/>
          <w:lang w:val="es-CR"/>
        </w:rPr>
        <w:t xml:space="preserve"> </w:t>
      </w:r>
      <w:r>
        <w:rPr>
          <w:rFonts w:ascii="Verdana" w:hAnsi="Verdana"/>
          <w:sz w:val="20"/>
          <w:lang w:val="es-CR"/>
        </w:rPr>
        <w:lastRenderedPageBreak/>
        <w:t xml:space="preserve">procedente ordenar su reparación económica. Sí estima razonable asumir que las violaciones a la libertad personal y a las garantías judiciales generaron un daño inmaterial. </w:t>
      </w:r>
      <w:r w:rsidRPr="00530684">
        <w:rPr>
          <w:rFonts w:ascii="Verdana" w:hAnsi="Verdana"/>
          <w:sz w:val="20"/>
          <w:lang w:val="es-CR"/>
        </w:rPr>
        <w:t>Por lo anterior, la Corte e</w:t>
      </w:r>
      <w:r>
        <w:rPr>
          <w:rFonts w:ascii="Verdana" w:hAnsi="Verdana"/>
          <w:sz w:val="20"/>
          <w:lang w:val="es-CR"/>
        </w:rPr>
        <w:t>ntiende razonable</w:t>
      </w:r>
      <w:r w:rsidRPr="00530684">
        <w:rPr>
          <w:rFonts w:ascii="Verdana" w:hAnsi="Verdana"/>
          <w:sz w:val="20"/>
          <w:szCs w:val="20"/>
          <w:lang w:val="es-CR"/>
        </w:rPr>
        <w:t xml:space="preserve"> ordenar, en equidad, el pago de </w:t>
      </w:r>
      <w:r w:rsidRPr="004C3EAB">
        <w:rPr>
          <w:rFonts w:ascii="Verdana" w:hAnsi="Verdana"/>
          <w:sz w:val="20"/>
          <w:szCs w:val="20"/>
          <w:lang w:val="es-CR"/>
        </w:rPr>
        <w:t>USD $25,000.00</w:t>
      </w:r>
      <w:r w:rsidRPr="00E40980">
        <w:rPr>
          <w:rFonts w:ascii="Verdana" w:hAnsi="Verdana"/>
          <w:sz w:val="20"/>
          <w:szCs w:val="20"/>
          <w:lang w:val="es-CR"/>
        </w:rPr>
        <w:t xml:space="preserve"> (</w:t>
      </w:r>
      <w:r>
        <w:rPr>
          <w:rFonts w:ascii="Verdana" w:hAnsi="Verdana"/>
          <w:sz w:val="20"/>
          <w:szCs w:val="20"/>
          <w:lang w:val="es-CR"/>
        </w:rPr>
        <w:t>veinticinco</w:t>
      </w:r>
      <w:r w:rsidRPr="00E40980">
        <w:rPr>
          <w:rFonts w:ascii="Verdana" w:hAnsi="Verdana"/>
          <w:sz w:val="20"/>
          <w:szCs w:val="20"/>
          <w:lang w:val="es-CR"/>
        </w:rPr>
        <w:t xml:space="preserve"> mil dólares de los Estados Unidos de América)</w:t>
      </w:r>
      <w:r>
        <w:rPr>
          <w:rFonts w:ascii="Verdana" w:hAnsi="Verdana"/>
          <w:sz w:val="20"/>
          <w:szCs w:val="20"/>
          <w:lang w:val="es-CR"/>
        </w:rPr>
        <w:t xml:space="preserve"> como </w:t>
      </w:r>
      <w:r w:rsidR="000E25B8">
        <w:rPr>
          <w:rFonts w:ascii="Verdana" w:hAnsi="Verdana"/>
          <w:sz w:val="20"/>
          <w:szCs w:val="20"/>
          <w:lang w:val="es-CR"/>
        </w:rPr>
        <w:t>indemnización</w:t>
      </w:r>
      <w:r>
        <w:rPr>
          <w:rFonts w:ascii="Verdana" w:hAnsi="Verdana"/>
          <w:sz w:val="20"/>
          <w:szCs w:val="20"/>
          <w:lang w:val="es-CR"/>
        </w:rPr>
        <w:t xml:space="preserve"> por el daño inmaterial</w:t>
      </w:r>
      <w:r w:rsidRPr="00530684">
        <w:rPr>
          <w:rFonts w:ascii="Verdana" w:hAnsi="Verdana"/>
          <w:sz w:val="20"/>
          <w:szCs w:val="20"/>
          <w:lang w:val="es-CR"/>
        </w:rPr>
        <w:t xml:space="preserve"> </w:t>
      </w:r>
      <w:r>
        <w:rPr>
          <w:rFonts w:ascii="Verdana" w:hAnsi="Verdana"/>
          <w:sz w:val="20"/>
          <w:szCs w:val="20"/>
          <w:lang w:val="es-CR"/>
        </w:rPr>
        <w:t>sufrido por el</w:t>
      </w:r>
      <w:r w:rsidRPr="00530684">
        <w:rPr>
          <w:rFonts w:ascii="Verdana" w:hAnsi="Verdana"/>
          <w:sz w:val="20"/>
          <w:szCs w:val="20"/>
          <w:lang w:val="es-CR"/>
        </w:rPr>
        <w:t xml:space="preserve"> señor Carranza.</w:t>
      </w:r>
      <w:r>
        <w:rPr>
          <w:rFonts w:ascii="Verdana" w:hAnsi="Verdana"/>
          <w:sz w:val="20"/>
          <w:szCs w:val="20"/>
          <w:lang w:val="es-CR"/>
        </w:rPr>
        <w:t xml:space="preserve"> </w:t>
      </w:r>
    </w:p>
    <w:p w14:paraId="06583B61" w14:textId="77777777" w:rsidR="00E83BE1" w:rsidRPr="00C947BC" w:rsidRDefault="00E83BE1" w:rsidP="00414DEF">
      <w:pPr>
        <w:pStyle w:val="Prrafodelista"/>
        <w:spacing w:line="240" w:lineRule="auto"/>
        <w:ind w:left="0"/>
        <w:rPr>
          <w:rFonts w:ascii="Verdana" w:hAnsi="Verdana"/>
          <w:sz w:val="20"/>
          <w:szCs w:val="20"/>
          <w:lang w:val="es-CR"/>
        </w:rPr>
      </w:pPr>
    </w:p>
    <w:p w14:paraId="01EA9FF4" w14:textId="77777777" w:rsidR="00E83BE1" w:rsidRPr="009A62AB" w:rsidRDefault="00E83BE1" w:rsidP="00414DEF">
      <w:pPr>
        <w:pStyle w:val="Prrafodelista"/>
        <w:widowControl/>
        <w:numPr>
          <w:ilvl w:val="0"/>
          <w:numId w:val="30"/>
        </w:numPr>
        <w:spacing w:after="160" w:line="240" w:lineRule="auto"/>
        <w:ind w:left="284" w:firstLine="0"/>
        <w:jc w:val="both"/>
        <w:outlineLvl w:val="1"/>
        <w:rPr>
          <w:rFonts w:ascii="Verdana" w:hAnsi="Verdana"/>
          <w:b/>
          <w:i/>
          <w:sz w:val="20"/>
          <w:szCs w:val="20"/>
        </w:rPr>
      </w:pPr>
      <w:bookmarkStart w:id="39" w:name="_Toc34817811"/>
      <w:r w:rsidRPr="009A62AB">
        <w:rPr>
          <w:rFonts w:ascii="Verdana" w:hAnsi="Verdana"/>
          <w:b/>
          <w:i/>
          <w:sz w:val="20"/>
          <w:szCs w:val="20"/>
        </w:rPr>
        <w:t xml:space="preserve">Costas y </w:t>
      </w:r>
      <w:proofErr w:type="spellStart"/>
      <w:r w:rsidRPr="009A62AB">
        <w:rPr>
          <w:rFonts w:ascii="Verdana" w:hAnsi="Verdana"/>
          <w:b/>
          <w:i/>
          <w:sz w:val="20"/>
          <w:szCs w:val="20"/>
        </w:rPr>
        <w:t>gastos</w:t>
      </w:r>
      <w:bookmarkEnd w:id="39"/>
      <w:proofErr w:type="spellEnd"/>
    </w:p>
    <w:p w14:paraId="21071175" w14:textId="77777777" w:rsidR="00E83BE1" w:rsidRPr="000603ED" w:rsidRDefault="00E83BE1" w:rsidP="00414DEF">
      <w:pPr>
        <w:pStyle w:val="Prrafodelista"/>
        <w:spacing w:line="240" w:lineRule="auto"/>
        <w:ind w:left="0"/>
        <w:rPr>
          <w:rFonts w:ascii="Verdana" w:hAnsi="Verdana"/>
          <w:sz w:val="20"/>
          <w:szCs w:val="20"/>
        </w:rPr>
      </w:pPr>
    </w:p>
    <w:p w14:paraId="273589BA" w14:textId="77777777" w:rsidR="00E83BE1" w:rsidRPr="00E40980" w:rsidRDefault="00E83BE1" w:rsidP="00414DEF">
      <w:pPr>
        <w:pStyle w:val="Prrafodelista"/>
        <w:widowControl/>
        <w:numPr>
          <w:ilvl w:val="0"/>
          <w:numId w:val="26"/>
        </w:numPr>
        <w:spacing w:after="160" w:line="240" w:lineRule="auto"/>
        <w:ind w:left="0" w:firstLine="1"/>
        <w:jc w:val="both"/>
        <w:rPr>
          <w:rFonts w:ascii="Verdana" w:hAnsi="Verdana"/>
          <w:sz w:val="20"/>
          <w:szCs w:val="20"/>
          <w:lang w:val="es-CR"/>
        </w:rPr>
      </w:pPr>
      <w:r w:rsidRPr="00C947BC">
        <w:rPr>
          <w:rFonts w:ascii="Verdana" w:hAnsi="Verdana"/>
          <w:sz w:val="20"/>
          <w:szCs w:val="20"/>
          <w:lang w:val="es-CR"/>
        </w:rPr>
        <w:t xml:space="preserve">El </w:t>
      </w:r>
      <w:r w:rsidRPr="00C947BC">
        <w:rPr>
          <w:rFonts w:ascii="Verdana" w:hAnsi="Verdana"/>
          <w:b/>
          <w:i/>
          <w:sz w:val="20"/>
          <w:szCs w:val="20"/>
          <w:lang w:val="es-CR"/>
        </w:rPr>
        <w:t>representante</w:t>
      </w:r>
      <w:r w:rsidRPr="00C947BC">
        <w:rPr>
          <w:rFonts w:ascii="Verdana" w:hAnsi="Verdana"/>
          <w:sz w:val="20"/>
          <w:szCs w:val="20"/>
          <w:lang w:val="es-CR"/>
        </w:rPr>
        <w:t xml:space="preserve"> solicitó que la Corte ordene al Estado el pago de los “honorarios […] de todos los años que se ha llevado el caso</w:t>
      </w:r>
      <w:r>
        <w:rPr>
          <w:rFonts w:ascii="Verdana" w:hAnsi="Verdana"/>
          <w:sz w:val="20"/>
          <w:szCs w:val="20"/>
          <w:lang w:val="es-CR"/>
        </w:rPr>
        <w:t>”</w:t>
      </w:r>
      <w:r w:rsidRPr="00C947BC">
        <w:rPr>
          <w:rFonts w:ascii="Verdana" w:hAnsi="Verdana"/>
          <w:sz w:val="20"/>
          <w:szCs w:val="20"/>
          <w:lang w:val="es-CR"/>
        </w:rPr>
        <w:t xml:space="preserve">. </w:t>
      </w:r>
      <w:r>
        <w:rPr>
          <w:rFonts w:ascii="Verdana" w:hAnsi="Verdana"/>
          <w:sz w:val="20"/>
          <w:szCs w:val="20"/>
          <w:lang w:val="es-CR"/>
        </w:rPr>
        <w:t xml:space="preserve">Pidió que esos honorarios sean “regulados” por la Corte. </w:t>
      </w:r>
    </w:p>
    <w:p w14:paraId="4BF17558" w14:textId="77777777" w:rsidR="00E83BE1" w:rsidRPr="00E40980" w:rsidRDefault="00E83BE1" w:rsidP="00414DEF">
      <w:pPr>
        <w:pStyle w:val="Prrafodelista"/>
        <w:spacing w:line="240" w:lineRule="auto"/>
        <w:ind w:left="0"/>
        <w:jc w:val="both"/>
        <w:rPr>
          <w:rFonts w:ascii="Verdana" w:hAnsi="Verdana"/>
          <w:sz w:val="20"/>
          <w:szCs w:val="20"/>
          <w:lang w:val="es-CR"/>
        </w:rPr>
      </w:pPr>
    </w:p>
    <w:p w14:paraId="092F8378" w14:textId="77777777" w:rsidR="00E83BE1" w:rsidRPr="00C947BC" w:rsidRDefault="00E83BE1" w:rsidP="00414DEF">
      <w:pPr>
        <w:pStyle w:val="Prrafodelista"/>
        <w:widowControl/>
        <w:numPr>
          <w:ilvl w:val="0"/>
          <w:numId w:val="26"/>
        </w:numPr>
        <w:spacing w:after="160" w:line="240" w:lineRule="auto"/>
        <w:ind w:left="0" w:firstLine="1"/>
        <w:jc w:val="both"/>
        <w:rPr>
          <w:rFonts w:ascii="Verdana" w:hAnsi="Verdana"/>
          <w:sz w:val="20"/>
          <w:szCs w:val="20"/>
          <w:lang w:val="es-CR"/>
        </w:rPr>
      </w:pPr>
      <w:r>
        <w:rPr>
          <w:rFonts w:ascii="Verdana" w:hAnsi="Verdana"/>
          <w:sz w:val="20"/>
          <w:szCs w:val="20"/>
          <w:lang w:val="es-CR"/>
        </w:rPr>
        <w:t>E</w:t>
      </w:r>
      <w:r w:rsidRPr="00C947BC">
        <w:rPr>
          <w:rFonts w:ascii="Verdana" w:hAnsi="Verdana"/>
          <w:sz w:val="20"/>
          <w:szCs w:val="20"/>
          <w:lang w:val="es-CR"/>
        </w:rPr>
        <w:t xml:space="preserve">l </w:t>
      </w:r>
      <w:r w:rsidRPr="009A62AB">
        <w:rPr>
          <w:rFonts w:ascii="Verdana" w:hAnsi="Verdana"/>
          <w:b/>
          <w:i/>
          <w:sz w:val="20"/>
          <w:szCs w:val="20"/>
          <w:lang w:val="es-CR"/>
        </w:rPr>
        <w:t>Estado</w:t>
      </w:r>
      <w:r w:rsidRPr="00C947BC">
        <w:rPr>
          <w:rFonts w:ascii="Verdana" w:hAnsi="Verdana"/>
          <w:sz w:val="20"/>
          <w:szCs w:val="20"/>
          <w:lang w:val="es-CR"/>
        </w:rPr>
        <w:t xml:space="preserve"> solicitó a la Corte abstenerse de ordenar la medida o en su caso, que se determine un </w:t>
      </w:r>
      <w:r w:rsidRPr="00C947BC">
        <w:rPr>
          <w:rFonts w:ascii="Verdana" w:hAnsi="Verdana"/>
          <w:i/>
          <w:sz w:val="20"/>
          <w:szCs w:val="20"/>
          <w:lang w:val="es-CR"/>
        </w:rPr>
        <w:t>quantum</w:t>
      </w:r>
      <w:r w:rsidRPr="00C947BC">
        <w:rPr>
          <w:rFonts w:ascii="Verdana" w:hAnsi="Verdana"/>
          <w:sz w:val="20"/>
          <w:szCs w:val="20"/>
          <w:lang w:val="es-CR"/>
        </w:rPr>
        <w:t xml:space="preserve"> razonable. </w:t>
      </w:r>
    </w:p>
    <w:p w14:paraId="7ED3458B" w14:textId="77777777" w:rsidR="00E83BE1" w:rsidRPr="00C947BC" w:rsidRDefault="00E83BE1" w:rsidP="00414DEF">
      <w:pPr>
        <w:pStyle w:val="Prrafodelista"/>
        <w:spacing w:line="240" w:lineRule="auto"/>
        <w:ind w:left="0"/>
        <w:rPr>
          <w:rFonts w:ascii="Verdana" w:hAnsi="Verdana"/>
          <w:sz w:val="20"/>
          <w:szCs w:val="20"/>
          <w:lang w:val="es-CR"/>
        </w:rPr>
      </w:pPr>
    </w:p>
    <w:p w14:paraId="0A1FD31F" w14:textId="77777777" w:rsidR="00E83BE1" w:rsidRPr="00C947BC" w:rsidRDefault="00E83BE1" w:rsidP="00414DEF">
      <w:pPr>
        <w:pStyle w:val="Prrafodelista"/>
        <w:widowControl/>
        <w:numPr>
          <w:ilvl w:val="0"/>
          <w:numId w:val="26"/>
        </w:numPr>
        <w:spacing w:after="160" w:line="240" w:lineRule="auto"/>
        <w:ind w:left="0" w:firstLine="1"/>
        <w:jc w:val="both"/>
        <w:rPr>
          <w:rFonts w:ascii="Verdana" w:hAnsi="Verdana"/>
          <w:sz w:val="20"/>
          <w:szCs w:val="20"/>
          <w:lang w:val="es-CR"/>
        </w:rPr>
      </w:pPr>
      <w:r w:rsidRPr="00C947BC">
        <w:rPr>
          <w:rFonts w:ascii="Verdana" w:hAnsi="Verdana"/>
          <w:sz w:val="20"/>
          <w:szCs w:val="20"/>
          <w:lang w:val="es-CR"/>
        </w:rPr>
        <w:t xml:space="preserve">La </w:t>
      </w:r>
      <w:r w:rsidRPr="009A62AB">
        <w:rPr>
          <w:rFonts w:ascii="Verdana" w:hAnsi="Verdana"/>
          <w:b/>
          <w:i/>
          <w:sz w:val="20"/>
          <w:szCs w:val="20"/>
          <w:lang w:val="es-CR"/>
        </w:rPr>
        <w:t>Corte</w:t>
      </w:r>
      <w:r w:rsidRPr="00C947BC">
        <w:rPr>
          <w:rFonts w:ascii="Verdana" w:hAnsi="Verdana"/>
          <w:sz w:val="20"/>
          <w:szCs w:val="20"/>
          <w:lang w:val="es-CR"/>
        </w:rPr>
        <w:t xml:space="preserve"> reitera que, conforme a su jurisprudencia</w:t>
      </w:r>
      <w:r>
        <w:rPr>
          <w:rStyle w:val="Refdenotaalpie"/>
          <w:rFonts w:ascii="Verdana" w:hAnsi="Verdana"/>
          <w:sz w:val="20"/>
          <w:szCs w:val="20"/>
        </w:rPr>
        <w:footnoteReference w:id="69"/>
      </w:r>
      <w:r w:rsidRPr="00C947BC">
        <w:rPr>
          <w:rFonts w:ascii="Verdana" w:hAnsi="Verdana"/>
          <w:sz w:val="20"/>
          <w:szCs w:val="20"/>
          <w:lang w:val="es-CR"/>
        </w:rPr>
        <w:t xml:space="preserve">,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w:t>
      </w:r>
      <w:r>
        <w:rPr>
          <w:rFonts w:ascii="Verdana" w:hAnsi="Verdana"/>
          <w:sz w:val="20"/>
          <w:szCs w:val="20"/>
          <w:lang w:val="es-CR"/>
        </w:rPr>
        <w:t>C</w:t>
      </w:r>
      <w:r w:rsidRPr="00C947BC">
        <w:rPr>
          <w:rFonts w:ascii="Verdana" w:hAnsi="Verdana"/>
          <w:sz w:val="20"/>
          <w:szCs w:val="20"/>
          <w:lang w:val="es-CR"/>
        </w:rPr>
        <w:t xml:space="preserve">orresponde al Tribunal apreciar prudentemente </w:t>
      </w:r>
      <w:r>
        <w:rPr>
          <w:rFonts w:ascii="Verdana" w:hAnsi="Verdana"/>
          <w:sz w:val="20"/>
          <w:szCs w:val="20"/>
          <w:lang w:val="es-CR"/>
        </w:rPr>
        <w:t>el</w:t>
      </w:r>
      <w:r w:rsidRPr="00C947BC">
        <w:rPr>
          <w:rFonts w:ascii="Verdana" w:hAnsi="Verdana"/>
          <w:sz w:val="20"/>
          <w:szCs w:val="20"/>
          <w:lang w:val="es-CR"/>
        </w:rPr>
        <w:t xml:space="preserve"> alcance</w:t>
      </w:r>
      <w:r>
        <w:rPr>
          <w:rFonts w:ascii="Verdana" w:hAnsi="Verdana"/>
          <w:sz w:val="20"/>
          <w:szCs w:val="20"/>
          <w:lang w:val="es-CR"/>
        </w:rPr>
        <w:t xml:space="preserve"> del reembolso por costas y gastos</w:t>
      </w:r>
      <w:r w:rsidRPr="00C947BC">
        <w:rPr>
          <w:rFonts w:ascii="Verdana" w:hAnsi="Verdana"/>
          <w:sz w:val="20"/>
          <w:szCs w:val="20"/>
          <w:lang w:val="es-CR"/>
        </w:rPr>
        <w:t xml:space="preserve">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w:t>
      </w:r>
      <w:r w:rsidRPr="008056E5">
        <w:rPr>
          <w:rFonts w:ascii="Verdana" w:hAnsi="Verdana"/>
          <w:i/>
          <w:sz w:val="20"/>
          <w:szCs w:val="20"/>
          <w:lang w:val="es-CR"/>
        </w:rPr>
        <w:t>quantum</w:t>
      </w:r>
      <w:r w:rsidRPr="00C947BC">
        <w:rPr>
          <w:rFonts w:ascii="Verdana" w:hAnsi="Verdana"/>
          <w:sz w:val="20"/>
          <w:szCs w:val="20"/>
          <w:lang w:val="es-CR"/>
        </w:rPr>
        <w:t xml:space="preserve"> sea razonable.</w:t>
      </w:r>
    </w:p>
    <w:p w14:paraId="01F2F5DA" w14:textId="77777777" w:rsidR="00E83BE1" w:rsidRPr="00C947BC" w:rsidRDefault="00E83BE1" w:rsidP="00414DEF">
      <w:pPr>
        <w:pStyle w:val="Prrafodelista"/>
        <w:spacing w:line="240" w:lineRule="auto"/>
        <w:ind w:left="0"/>
        <w:rPr>
          <w:rFonts w:ascii="Verdana" w:hAnsi="Verdana"/>
          <w:sz w:val="20"/>
          <w:szCs w:val="20"/>
          <w:lang w:val="es-CR"/>
        </w:rPr>
      </w:pPr>
    </w:p>
    <w:p w14:paraId="60CE5867" w14:textId="77777777" w:rsidR="00E83BE1" w:rsidRDefault="00E83BE1" w:rsidP="00414DEF">
      <w:pPr>
        <w:pStyle w:val="Prrafodelista"/>
        <w:widowControl/>
        <w:numPr>
          <w:ilvl w:val="0"/>
          <w:numId w:val="26"/>
        </w:numPr>
        <w:spacing w:after="160" w:line="240" w:lineRule="auto"/>
        <w:ind w:left="0" w:firstLine="1"/>
        <w:jc w:val="both"/>
        <w:rPr>
          <w:rFonts w:ascii="Verdana" w:hAnsi="Verdana"/>
          <w:sz w:val="20"/>
          <w:szCs w:val="20"/>
          <w:lang w:val="es-CR"/>
        </w:rPr>
      </w:pPr>
      <w:r w:rsidRPr="00C947BC">
        <w:rPr>
          <w:rFonts w:ascii="Verdana" w:hAnsi="Verdana"/>
          <w:sz w:val="20"/>
          <w:szCs w:val="20"/>
          <w:lang w:val="es-CR"/>
        </w:rPr>
        <w:t>En el presente caso, el Tribunal observa que</w:t>
      </w:r>
      <w:r>
        <w:rPr>
          <w:rFonts w:ascii="Verdana" w:hAnsi="Verdana"/>
          <w:sz w:val="20"/>
          <w:szCs w:val="20"/>
          <w:lang w:val="es-CR"/>
        </w:rPr>
        <w:t xml:space="preserve"> el representante no mencionó ni acreditó gastos insumidos. Su solicitud fue que la Corte “regule” sus honorarios profesionales. Dicha solicitud no es consistente con la práctica de este Tribunal, que consiste en disponer el reintegro de costas y gastos efectivamente producidos, inclusive, de ser el caso, aquellos ocasionados por el pago de sumas de dinero de parte de las víctimas a sus representantes o a profesionales por la prestación de sus servicios. Además, al notificarse el sometimiento del caso al representante, se le indicó que “el eventual reintegro de costas y gastos se realizará con base en las erogaciones debidamente demostradas ante la Corte”. </w:t>
      </w:r>
    </w:p>
    <w:p w14:paraId="672247B3" w14:textId="77777777" w:rsidR="00E83BE1" w:rsidRPr="009A62AB" w:rsidRDefault="00E83BE1" w:rsidP="00414DEF">
      <w:pPr>
        <w:pStyle w:val="Prrafodelista"/>
        <w:spacing w:line="240" w:lineRule="auto"/>
        <w:rPr>
          <w:rFonts w:ascii="Verdana" w:hAnsi="Verdana"/>
          <w:sz w:val="20"/>
          <w:szCs w:val="20"/>
          <w:lang w:val="es-CR"/>
        </w:rPr>
      </w:pPr>
    </w:p>
    <w:p w14:paraId="29259E88" w14:textId="192E62F6" w:rsidR="00E83BE1" w:rsidRPr="00C947BC" w:rsidRDefault="00E83BE1" w:rsidP="00414DEF">
      <w:pPr>
        <w:pStyle w:val="Prrafodelista"/>
        <w:widowControl/>
        <w:numPr>
          <w:ilvl w:val="0"/>
          <w:numId w:val="26"/>
        </w:numPr>
        <w:spacing w:after="160" w:line="240" w:lineRule="auto"/>
        <w:ind w:left="0" w:firstLine="1"/>
        <w:jc w:val="both"/>
        <w:rPr>
          <w:rFonts w:ascii="Verdana" w:hAnsi="Verdana"/>
          <w:sz w:val="20"/>
          <w:szCs w:val="20"/>
          <w:lang w:val="es-CR"/>
        </w:rPr>
      </w:pPr>
      <w:r>
        <w:rPr>
          <w:rFonts w:ascii="Verdana" w:hAnsi="Verdana"/>
          <w:sz w:val="20"/>
          <w:szCs w:val="20"/>
          <w:lang w:val="es-CR"/>
        </w:rPr>
        <w:t xml:space="preserve"> </w:t>
      </w:r>
      <w:r w:rsidRPr="00C947BC">
        <w:rPr>
          <w:rFonts w:ascii="Verdana" w:hAnsi="Verdana"/>
          <w:sz w:val="20"/>
          <w:szCs w:val="20"/>
          <w:lang w:val="es-CR"/>
        </w:rPr>
        <w:t xml:space="preserve">Sin </w:t>
      </w:r>
      <w:r>
        <w:rPr>
          <w:rFonts w:ascii="Verdana" w:hAnsi="Verdana"/>
          <w:sz w:val="20"/>
          <w:szCs w:val="20"/>
          <w:lang w:val="es-CR"/>
        </w:rPr>
        <w:t>perjuicio de lo anterior, l</w:t>
      </w:r>
      <w:r w:rsidRPr="00C947BC">
        <w:rPr>
          <w:rFonts w:ascii="Verdana" w:hAnsi="Verdana"/>
          <w:sz w:val="20"/>
          <w:szCs w:val="20"/>
          <w:lang w:val="es-CR"/>
        </w:rPr>
        <w:t xml:space="preserve">a Corte considera </w:t>
      </w:r>
      <w:r>
        <w:rPr>
          <w:rFonts w:ascii="Verdana" w:hAnsi="Verdana"/>
          <w:sz w:val="20"/>
          <w:szCs w:val="20"/>
          <w:lang w:val="es-CR"/>
        </w:rPr>
        <w:t xml:space="preserve">evidente </w:t>
      </w:r>
      <w:r w:rsidRPr="00C947BC">
        <w:rPr>
          <w:rFonts w:ascii="Verdana" w:hAnsi="Verdana"/>
          <w:sz w:val="20"/>
          <w:szCs w:val="20"/>
          <w:lang w:val="es-CR"/>
        </w:rPr>
        <w:t xml:space="preserve">que </w:t>
      </w:r>
      <w:r>
        <w:rPr>
          <w:rFonts w:ascii="Verdana" w:hAnsi="Verdana"/>
          <w:sz w:val="20"/>
          <w:szCs w:val="20"/>
          <w:lang w:val="es-CR"/>
        </w:rPr>
        <w:t xml:space="preserve">los trámites realizados </w:t>
      </w:r>
      <w:r w:rsidRPr="00C947BC">
        <w:rPr>
          <w:rFonts w:ascii="Verdana" w:hAnsi="Verdana"/>
          <w:sz w:val="20"/>
          <w:szCs w:val="20"/>
          <w:lang w:val="es-CR"/>
        </w:rPr>
        <w:t>implicaron erogaciones pecuniarias</w:t>
      </w:r>
      <w:r>
        <w:rPr>
          <w:rFonts w:ascii="Verdana" w:hAnsi="Verdana"/>
          <w:sz w:val="20"/>
          <w:szCs w:val="20"/>
          <w:lang w:val="es-CR"/>
        </w:rPr>
        <w:t xml:space="preserve">. Por lo anterior, por considerarlo razonable, </w:t>
      </w:r>
      <w:r w:rsidRPr="00C947BC">
        <w:rPr>
          <w:rFonts w:ascii="Verdana" w:hAnsi="Verdana"/>
          <w:sz w:val="20"/>
          <w:szCs w:val="20"/>
          <w:lang w:val="es-CR"/>
        </w:rPr>
        <w:t xml:space="preserve">determina que el Estado debe </w:t>
      </w:r>
      <w:r>
        <w:rPr>
          <w:rFonts w:ascii="Verdana" w:hAnsi="Verdana"/>
          <w:sz w:val="20"/>
          <w:szCs w:val="20"/>
          <w:lang w:val="es-CR"/>
        </w:rPr>
        <w:t xml:space="preserve">pagar </w:t>
      </w:r>
      <w:r w:rsidRPr="00C947BC">
        <w:rPr>
          <w:rFonts w:ascii="Verdana" w:hAnsi="Verdana"/>
          <w:sz w:val="20"/>
          <w:szCs w:val="20"/>
          <w:lang w:val="es-CR"/>
        </w:rPr>
        <w:t xml:space="preserve">al representante la cantidad de </w:t>
      </w:r>
      <w:r w:rsidR="001A0618">
        <w:rPr>
          <w:rFonts w:ascii="Verdana" w:hAnsi="Verdana"/>
          <w:sz w:val="20"/>
          <w:szCs w:val="20"/>
          <w:lang w:val="es-CR"/>
        </w:rPr>
        <w:t>USD $</w:t>
      </w:r>
      <w:r>
        <w:rPr>
          <w:rFonts w:ascii="Verdana" w:hAnsi="Verdana"/>
          <w:sz w:val="20"/>
          <w:szCs w:val="20"/>
          <w:lang w:val="es-CR"/>
        </w:rPr>
        <w:t>10</w:t>
      </w:r>
      <w:r w:rsidR="000E25B8">
        <w:rPr>
          <w:rFonts w:ascii="Verdana" w:hAnsi="Verdana"/>
          <w:sz w:val="20"/>
          <w:szCs w:val="20"/>
          <w:lang w:val="es-CR"/>
        </w:rPr>
        <w:t>.</w:t>
      </w:r>
      <w:r w:rsidR="001616E1">
        <w:rPr>
          <w:rFonts w:ascii="Verdana" w:hAnsi="Verdana"/>
          <w:sz w:val="20"/>
          <w:szCs w:val="20"/>
          <w:lang w:val="es-CR"/>
        </w:rPr>
        <w:t>000</w:t>
      </w:r>
      <w:r w:rsidR="000E25B8">
        <w:rPr>
          <w:rFonts w:ascii="Verdana" w:hAnsi="Verdana"/>
          <w:sz w:val="20"/>
          <w:szCs w:val="20"/>
          <w:lang w:val="es-CR"/>
        </w:rPr>
        <w:t>,00</w:t>
      </w:r>
      <w:r w:rsidR="001616E1">
        <w:rPr>
          <w:rFonts w:ascii="Verdana" w:hAnsi="Verdana"/>
          <w:sz w:val="20"/>
          <w:szCs w:val="20"/>
          <w:lang w:val="es-CR"/>
        </w:rPr>
        <w:t xml:space="preserve"> (diez</w:t>
      </w:r>
      <w:r w:rsidRPr="004C3EAB">
        <w:rPr>
          <w:rFonts w:ascii="Verdana" w:hAnsi="Verdana"/>
          <w:sz w:val="20"/>
          <w:szCs w:val="20"/>
          <w:lang w:val="es-CR"/>
        </w:rPr>
        <w:t xml:space="preserve"> mil dólares de </w:t>
      </w:r>
      <w:r w:rsidR="000E25B8">
        <w:rPr>
          <w:rFonts w:ascii="Verdana" w:hAnsi="Verdana"/>
          <w:sz w:val="20"/>
          <w:szCs w:val="20"/>
          <w:lang w:val="es-CR"/>
        </w:rPr>
        <w:t xml:space="preserve">los </w:t>
      </w:r>
      <w:r w:rsidRPr="004C3EAB">
        <w:rPr>
          <w:rFonts w:ascii="Verdana" w:hAnsi="Verdana"/>
          <w:sz w:val="20"/>
          <w:szCs w:val="20"/>
          <w:lang w:val="es-CR"/>
        </w:rPr>
        <w:t>Estados Unidos de América) por concepto de costas y g</w:t>
      </w:r>
      <w:r>
        <w:rPr>
          <w:rFonts w:ascii="Verdana" w:hAnsi="Verdana"/>
          <w:sz w:val="20"/>
          <w:szCs w:val="20"/>
          <w:lang w:val="es-CR"/>
        </w:rPr>
        <w:t>astos</w:t>
      </w:r>
      <w:r w:rsidRPr="00C947BC">
        <w:rPr>
          <w:rFonts w:ascii="Verdana" w:hAnsi="Verdana"/>
          <w:sz w:val="20"/>
          <w:szCs w:val="20"/>
          <w:lang w:val="es-CR"/>
        </w:rPr>
        <w:t>. Dicha cantidad deberá ser entregada directamente al representante. En la etapa de supervisión de cumplimiento de la presente Sentencia, la Corte podrá disponer que el Estado reembolse a</w:t>
      </w:r>
      <w:r w:rsidR="00A17CBA">
        <w:rPr>
          <w:rFonts w:ascii="Verdana" w:hAnsi="Verdana"/>
          <w:sz w:val="20"/>
          <w:szCs w:val="20"/>
          <w:lang w:val="es-CR"/>
        </w:rPr>
        <w:t>l</w:t>
      </w:r>
      <w:r w:rsidRPr="00C947BC">
        <w:rPr>
          <w:rFonts w:ascii="Verdana" w:hAnsi="Verdana"/>
          <w:sz w:val="20"/>
          <w:szCs w:val="20"/>
          <w:lang w:val="es-CR"/>
        </w:rPr>
        <w:t xml:space="preserve"> representante los gastos razonables en que incurran en dicha etapa procesal</w:t>
      </w:r>
      <w:r>
        <w:rPr>
          <w:rStyle w:val="Refdenotaalpie"/>
          <w:rFonts w:ascii="Verdana" w:hAnsi="Verdana"/>
          <w:sz w:val="20"/>
          <w:szCs w:val="20"/>
        </w:rPr>
        <w:footnoteReference w:id="70"/>
      </w:r>
      <w:r w:rsidRPr="00C947BC">
        <w:rPr>
          <w:rFonts w:ascii="Verdana" w:hAnsi="Verdana"/>
          <w:sz w:val="20"/>
          <w:szCs w:val="20"/>
          <w:lang w:val="es-CR"/>
        </w:rPr>
        <w:t>.</w:t>
      </w:r>
    </w:p>
    <w:p w14:paraId="233F8E97" w14:textId="77777777" w:rsidR="00E83BE1" w:rsidRDefault="00E83BE1" w:rsidP="00414DEF">
      <w:pPr>
        <w:pStyle w:val="Prrafodelista"/>
        <w:spacing w:line="240" w:lineRule="auto"/>
        <w:ind w:left="0"/>
        <w:rPr>
          <w:rFonts w:ascii="Verdana" w:hAnsi="Verdana"/>
          <w:sz w:val="20"/>
          <w:szCs w:val="20"/>
          <w:lang w:val="es-CR"/>
        </w:rPr>
      </w:pPr>
    </w:p>
    <w:p w14:paraId="579F3527" w14:textId="77777777" w:rsidR="005A4119" w:rsidRDefault="005A4119" w:rsidP="00414DEF">
      <w:pPr>
        <w:pStyle w:val="Prrafodelista"/>
        <w:spacing w:line="240" w:lineRule="auto"/>
        <w:ind w:left="0"/>
        <w:rPr>
          <w:rFonts w:ascii="Verdana" w:hAnsi="Verdana"/>
          <w:sz w:val="20"/>
          <w:szCs w:val="20"/>
          <w:lang w:val="es-CR"/>
        </w:rPr>
      </w:pPr>
    </w:p>
    <w:p w14:paraId="11C6FA81" w14:textId="77777777" w:rsidR="005A4119" w:rsidRDefault="005A4119" w:rsidP="00414DEF">
      <w:pPr>
        <w:pStyle w:val="Prrafodelista"/>
        <w:spacing w:line="240" w:lineRule="auto"/>
        <w:ind w:left="0"/>
        <w:rPr>
          <w:rFonts w:ascii="Verdana" w:hAnsi="Verdana"/>
          <w:sz w:val="20"/>
          <w:szCs w:val="20"/>
          <w:lang w:val="es-CR"/>
        </w:rPr>
      </w:pPr>
    </w:p>
    <w:p w14:paraId="1984D878" w14:textId="77777777" w:rsidR="005A4119" w:rsidRPr="00C947BC" w:rsidRDefault="005A4119" w:rsidP="00414DEF">
      <w:pPr>
        <w:pStyle w:val="Prrafodelista"/>
        <w:spacing w:line="240" w:lineRule="auto"/>
        <w:ind w:left="0"/>
        <w:rPr>
          <w:rFonts w:ascii="Verdana" w:hAnsi="Verdana"/>
          <w:sz w:val="20"/>
          <w:szCs w:val="20"/>
          <w:lang w:val="es-CR"/>
        </w:rPr>
      </w:pPr>
    </w:p>
    <w:p w14:paraId="584DFFC2" w14:textId="77777777" w:rsidR="00E83BE1" w:rsidRPr="009A62AB" w:rsidRDefault="00E83BE1" w:rsidP="00414DEF">
      <w:pPr>
        <w:pStyle w:val="Prrafodelista"/>
        <w:widowControl/>
        <w:numPr>
          <w:ilvl w:val="0"/>
          <w:numId w:val="30"/>
        </w:numPr>
        <w:spacing w:after="160" w:line="240" w:lineRule="auto"/>
        <w:ind w:left="284" w:firstLine="0"/>
        <w:jc w:val="both"/>
        <w:outlineLvl w:val="1"/>
        <w:rPr>
          <w:rFonts w:ascii="Verdana" w:hAnsi="Verdana"/>
          <w:i/>
          <w:sz w:val="20"/>
          <w:szCs w:val="20"/>
          <w:lang w:val="es-CR"/>
        </w:rPr>
      </w:pPr>
      <w:bookmarkStart w:id="40" w:name="_Toc34817812"/>
      <w:r w:rsidRPr="009A62AB">
        <w:rPr>
          <w:rFonts w:ascii="Verdana" w:hAnsi="Verdana"/>
          <w:b/>
          <w:i/>
          <w:sz w:val="20"/>
          <w:szCs w:val="20"/>
          <w:lang w:val="es-CR"/>
        </w:rPr>
        <w:lastRenderedPageBreak/>
        <w:t>Modalidad de cumplimientos de los pagos ordenados</w:t>
      </w:r>
      <w:bookmarkEnd w:id="40"/>
    </w:p>
    <w:p w14:paraId="4359AB90" w14:textId="77777777" w:rsidR="00E83BE1" w:rsidRPr="00C947BC" w:rsidRDefault="00E83BE1" w:rsidP="00414DEF">
      <w:pPr>
        <w:pStyle w:val="Prrafodelista"/>
        <w:spacing w:line="240" w:lineRule="auto"/>
        <w:ind w:left="0"/>
        <w:rPr>
          <w:rFonts w:ascii="Verdana" w:hAnsi="Verdana"/>
          <w:sz w:val="20"/>
          <w:szCs w:val="20"/>
          <w:lang w:val="es-CR"/>
        </w:rPr>
      </w:pPr>
    </w:p>
    <w:p w14:paraId="7E7A7571" w14:textId="1D762E79" w:rsidR="0062656D" w:rsidRPr="0062656D" w:rsidRDefault="00E83BE1" w:rsidP="00414DEF">
      <w:pPr>
        <w:pStyle w:val="Prrafodelista"/>
        <w:widowControl/>
        <w:numPr>
          <w:ilvl w:val="0"/>
          <w:numId w:val="26"/>
        </w:numPr>
        <w:spacing w:after="160" w:line="240" w:lineRule="auto"/>
        <w:ind w:left="0" w:firstLine="1"/>
        <w:jc w:val="both"/>
        <w:rPr>
          <w:rFonts w:ascii="Verdana" w:hAnsi="Verdana"/>
          <w:sz w:val="20"/>
          <w:szCs w:val="20"/>
          <w:lang w:val="es-CR"/>
        </w:rPr>
      </w:pPr>
      <w:r w:rsidRPr="00C947BC">
        <w:rPr>
          <w:rFonts w:ascii="Verdana" w:hAnsi="Verdana"/>
          <w:sz w:val="20"/>
          <w:szCs w:val="20"/>
          <w:lang w:val="es-CR"/>
        </w:rPr>
        <w:t xml:space="preserve">El Estado deberá efectuar el pago </w:t>
      </w:r>
      <w:r>
        <w:rPr>
          <w:rFonts w:ascii="Verdana" w:hAnsi="Verdana"/>
          <w:sz w:val="20"/>
          <w:szCs w:val="20"/>
          <w:lang w:val="es-CR"/>
        </w:rPr>
        <w:t>de</w:t>
      </w:r>
      <w:r w:rsidRPr="00C947BC">
        <w:rPr>
          <w:rFonts w:ascii="Verdana" w:hAnsi="Verdana"/>
          <w:sz w:val="20"/>
          <w:szCs w:val="20"/>
          <w:lang w:val="es-CR"/>
        </w:rPr>
        <w:t xml:space="preserve">l reintegro de costas y gastos establecido en la presente Sentencia </w:t>
      </w:r>
      <w:r>
        <w:rPr>
          <w:rFonts w:ascii="Verdana" w:hAnsi="Verdana"/>
          <w:sz w:val="20"/>
          <w:szCs w:val="20"/>
          <w:lang w:val="es-CR"/>
        </w:rPr>
        <w:t xml:space="preserve">directamente al representante del señor Carranza Alarcón, </w:t>
      </w:r>
      <w:r w:rsidRPr="00C947BC">
        <w:rPr>
          <w:rFonts w:ascii="Verdana" w:hAnsi="Verdana"/>
          <w:sz w:val="20"/>
          <w:szCs w:val="20"/>
          <w:lang w:val="es-CR"/>
        </w:rPr>
        <w:t xml:space="preserve">dentro del plazo de un año contado a partir de la notificación de la </w:t>
      </w:r>
      <w:r>
        <w:rPr>
          <w:rFonts w:ascii="Verdana" w:hAnsi="Verdana"/>
          <w:sz w:val="20"/>
          <w:szCs w:val="20"/>
          <w:lang w:val="es-CR"/>
        </w:rPr>
        <w:t>misma</w:t>
      </w:r>
      <w:r w:rsidR="0062656D">
        <w:rPr>
          <w:rFonts w:ascii="Verdana" w:hAnsi="Verdana"/>
          <w:sz w:val="20"/>
          <w:szCs w:val="20"/>
          <w:lang w:val="es-CR"/>
        </w:rPr>
        <w:t xml:space="preserve">, </w:t>
      </w:r>
      <w:r w:rsidR="0062656D" w:rsidRPr="0062656D">
        <w:rPr>
          <w:rFonts w:ascii="Verdana" w:hAnsi="Verdana"/>
          <w:sz w:val="20"/>
          <w:szCs w:val="20"/>
          <w:lang w:val="es-CR"/>
        </w:rPr>
        <w:t>sin perjuicio de que pueda adelantar el pago</w:t>
      </w:r>
      <w:r w:rsidR="0062656D">
        <w:rPr>
          <w:rFonts w:ascii="Verdana" w:hAnsi="Verdana"/>
          <w:sz w:val="20"/>
          <w:szCs w:val="20"/>
          <w:lang w:val="es-CR"/>
        </w:rPr>
        <w:t xml:space="preserve"> </w:t>
      </w:r>
      <w:r w:rsidR="0062656D" w:rsidRPr="0062656D">
        <w:rPr>
          <w:rFonts w:ascii="Verdana" w:hAnsi="Verdana"/>
          <w:sz w:val="20"/>
          <w:szCs w:val="20"/>
          <w:lang w:val="es-CR"/>
        </w:rPr>
        <w:t>completo en un plazo menor</w:t>
      </w:r>
      <w:r w:rsidR="0062656D">
        <w:rPr>
          <w:rFonts w:ascii="Verdana" w:hAnsi="Verdana"/>
          <w:sz w:val="20"/>
          <w:szCs w:val="20"/>
          <w:lang w:val="es-CR"/>
        </w:rPr>
        <w:t>.</w:t>
      </w:r>
    </w:p>
    <w:p w14:paraId="3E15D140" w14:textId="77777777" w:rsidR="00E83BE1" w:rsidRDefault="00E83BE1" w:rsidP="00414DEF">
      <w:pPr>
        <w:pStyle w:val="Prrafodelista"/>
        <w:widowControl/>
        <w:spacing w:after="160" w:line="240" w:lineRule="auto"/>
        <w:ind w:left="1"/>
        <w:jc w:val="both"/>
        <w:rPr>
          <w:rFonts w:ascii="Verdana" w:hAnsi="Verdana"/>
          <w:sz w:val="20"/>
          <w:szCs w:val="20"/>
          <w:lang w:val="es-CR"/>
        </w:rPr>
      </w:pPr>
    </w:p>
    <w:p w14:paraId="66096CA0" w14:textId="59E1958C" w:rsidR="00E83BE1" w:rsidRDefault="00E83BE1" w:rsidP="00414DEF">
      <w:pPr>
        <w:pStyle w:val="Prrafodelista"/>
        <w:widowControl/>
        <w:numPr>
          <w:ilvl w:val="0"/>
          <w:numId w:val="26"/>
        </w:numPr>
        <w:spacing w:after="160" w:line="240" w:lineRule="auto"/>
        <w:ind w:left="0" w:firstLine="1"/>
        <w:jc w:val="both"/>
        <w:rPr>
          <w:rFonts w:ascii="Verdana" w:hAnsi="Verdana"/>
          <w:sz w:val="20"/>
          <w:szCs w:val="20"/>
          <w:lang w:val="es-CR"/>
        </w:rPr>
      </w:pPr>
      <w:r w:rsidRPr="00ED5021">
        <w:rPr>
          <w:rFonts w:ascii="Verdana" w:hAnsi="Verdana"/>
          <w:sz w:val="20"/>
          <w:szCs w:val="20"/>
          <w:lang w:val="es-PE"/>
        </w:rPr>
        <w:t>El Estado deberá efectuar el pago de la indemnización inmaterial establecida en la presente Sentencia a los derechohabientes del señor Ramón Rosendo Carranza Alarcón, conform</w:t>
      </w:r>
      <w:r>
        <w:rPr>
          <w:rFonts w:ascii="Verdana" w:hAnsi="Verdana"/>
          <w:sz w:val="20"/>
          <w:szCs w:val="20"/>
          <w:lang w:val="es-PE"/>
        </w:rPr>
        <w:t>e al derecho interno aplicable, en el plazo de un año a partir de que se realicen las publicaciones ordenadas en la presente Sentencia (</w:t>
      </w:r>
      <w:r>
        <w:rPr>
          <w:rFonts w:ascii="Verdana" w:hAnsi="Verdana"/>
          <w:i/>
          <w:sz w:val="20"/>
          <w:szCs w:val="20"/>
          <w:lang w:val="es-PE"/>
        </w:rPr>
        <w:t>supra</w:t>
      </w:r>
      <w:r>
        <w:rPr>
          <w:rFonts w:ascii="Verdana" w:hAnsi="Verdana"/>
          <w:sz w:val="20"/>
          <w:szCs w:val="20"/>
          <w:lang w:val="es-PE"/>
        </w:rPr>
        <w:t xml:space="preserve"> párr. 102)</w:t>
      </w:r>
      <w:r w:rsidR="0062656D">
        <w:rPr>
          <w:rFonts w:ascii="Verdana" w:hAnsi="Verdana"/>
          <w:sz w:val="20"/>
          <w:szCs w:val="20"/>
          <w:lang w:val="es-PE"/>
        </w:rPr>
        <w:t>, sin perjuicio de que pueda adelantar el pago completo en un plazo menor</w:t>
      </w:r>
      <w:r>
        <w:rPr>
          <w:rFonts w:ascii="Verdana" w:hAnsi="Verdana"/>
          <w:sz w:val="20"/>
          <w:szCs w:val="20"/>
          <w:lang w:val="es-PE"/>
        </w:rPr>
        <w:t xml:space="preserve">. </w:t>
      </w:r>
    </w:p>
    <w:p w14:paraId="129910F1" w14:textId="77777777" w:rsidR="00E83BE1" w:rsidRPr="00ED5021" w:rsidRDefault="00E83BE1" w:rsidP="00414DEF">
      <w:pPr>
        <w:pStyle w:val="Prrafodelista"/>
        <w:spacing w:line="240" w:lineRule="auto"/>
        <w:rPr>
          <w:rFonts w:ascii="Verdana" w:hAnsi="Verdana"/>
          <w:sz w:val="20"/>
          <w:szCs w:val="20"/>
          <w:lang w:val="es-PE"/>
        </w:rPr>
      </w:pPr>
    </w:p>
    <w:p w14:paraId="152BA6B9" w14:textId="77777777" w:rsidR="00E83BE1" w:rsidRDefault="00E83BE1" w:rsidP="00414DEF">
      <w:pPr>
        <w:pStyle w:val="Prrafodelista"/>
        <w:widowControl/>
        <w:numPr>
          <w:ilvl w:val="0"/>
          <w:numId w:val="26"/>
        </w:numPr>
        <w:spacing w:after="160" w:line="240" w:lineRule="auto"/>
        <w:ind w:left="0" w:firstLine="1"/>
        <w:jc w:val="both"/>
        <w:rPr>
          <w:rFonts w:ascii="Verdana" w:hAnsi="Verdana"/>
          <w:sz w:val="20"/>
          <w:szCs w:val="20"/>
          <w:lang w:val="es-CR"/>
        </w:rPr>
      </w:pPr>
      <w:r w:rsidRPr="00ED5021">
        <w:rPr>
          <w:rFonts w:ascii="Verdana" w:hAnsi="Verdana"/>
          <w:sz w:val="20"/>
          <w:szCs w:val="20"/>
          <w:lang w:val="es-PE"/>
        </w:rPr>
        <w:t>Si por causas atribuibles a los derechohabientes del señor Carranza Alarcón no fuese posible el pago de la cantidad determinada dentro del plazo indicado, el Estado consignará dicho monto a su favor en una cuenta o certificado de depósito en una institución financiera ecuatoriana solvente, en dólares estadounidenses, y en las condiciones financieras más favorables que permitan la legislación y la práctica bancaria. Si no se reclama la indemnización correspondiente una vez transcurridos diez años, las cantidades serán devueltas al Estado con los intereses devengados.</w:t>
      </w:r>
      <w:r w:rsidRPr="00ED5021">
        <w:rPr>
          <w:rFonts w:ascii="Verdana" w:hAnsi="Verdana"/>
          <w:b/>
          <w:sz w:val="20"/>
          <w:szCs w:val="20"/>
          <w:lang w:val="es-PE"/>
        </w:rPr>
        <w:t xml:space="preserve"> </w:t>
      </w:r>
    </w:p>
    <w:p w14:paraId="46A7D163" w14:textId="77777777" w:rsidR="00E83BE1" w:rsidRPr="00ED5021" w:rsidRDefault="00E83BE1" w:rsidP="00414DEF">
      <w:pPr>
        <w:pStyle w:val="Prrafodelista"/>
        <w:spacing w:after="0" w:line="240" w:lineRule="auto"/>
        <w:rPr>
          <w:rFonts w:ascii="Verdana" w:hAnsi="Verdana"/>
          <w:sz w:val="20"/>
          <w:szCs w:val="20"/>
          <w:lang w:val="es-PE"/>
        </w:rPr>
      </w:pPr>
    </w:p>
    <w:p w14:paraId="57B88C7A" w14:textId="7814BE8D" w:rsidR="000E25B8" w:rsidRPr="0062656D" w:rsidRDefault="00E83BE1" w:rsidP="00414DEF">
      <w:pPr>
        <w:pStyle w:val="Prrafodelista"/>
        <w:widowControl/>
        <w:numPr>
          <w:ilvl w:val="0"/>
          <w:numId w:val="26"/>
        </w:numPr>
        <w:spacing w:after="0" w:line="240" w:lineRule="auto"/>
        <w:ind w:left="0" w:firstLine="1"/>
        <w:jc w:val="both"/>
        <w:rPr>
          <w:rFonts w:ascii="Verdana" w:hAnsi="Verdana"/>
          <w:sz w:val="20"/>
          <w:szCs w:val="20"/>
          <w:lang w:val="es-CR"/>
        </w:rPr>
      </w:pPr>
      <w:r w:rsidRPr="00ED5021">
        <w:rPr>
          <w:rFonts w:ascii="Verdana" w:hAnsi="Verdana"/>
          <w:sz w:val="20"/>
          <w:szCs w:val="20"/>
          <w:lang w:val="es-PE"/>
        </w:rPr>
        <w:t>El Estado debe cumplir sus obligaciones monetarias mediante el pago en dólares d</w:t>
      </w:r>
      <w:r w:rsidR="0062656D">
        <w:rPr>
          <w:rFonts w:ascii="Verdana" w:hAnsi="Verdana"/>
          <w:sz w:val="20"/>
          <w:szCs w:val="20"/>
          <w:lang w:val="es-PE"/>
        </w:rPr>
        <w:t xml:space="preserve">e los Estados Unidos de América, </w:t>
      </w:r>
      <w:r w:rsidR="0062656D" w:rsidRPr="0062656D">
        <w:rPr>
          <w:lang w:val="es-CR"/>
        </w:rPr>
        <w:t>sin reducciones derivadas de eventuales cargas fiscales</w:t>
      </w:r>
      <w:r w:rsidR="0062656D">
        <w:rPr>
          <w:lang w:val="es-CR"/>
        </w:rPr>
        <w:t xml:space="preserve">. </w:t>
      </w:r>
      <w:r w:rsidR="000E25B8" w:rsidRPr="0062656D">
        <w:rPr>
          <w:lang w:val="es-CR"/>
        </w:rPr>
        <w:t>En caso de que el Estado incurriera en mora, deberá pagar un interés sobre la cantidad adeudada correspondiente al interés bancario moratorio en la República del Ecuador.</w:t>
      </w:r>
    </w:p>
    <w:p w14:paraId="28D56F60" w14:textId="77777777" w:rsidR="000E25B8" w:rsidRDefault="000E25B8" w:rsidP="00414DEF">
      <w:pPr>
        <w:pStyle w:val="Prrafodelista"/>
        <w:spacing w:after="0" w:line="240" w:lineRule="auto"/>
        <w:rPr>
          <w:rFonts w:ascii="Verdana" w:hAnsi="Verdana"/>
          <w:sz w:val="20"/>
          <w:szCs w:val="20"/>
          <w:lang w:val="es-AR"/>
        </w:rPr>
      </w:pPr>
    </w:p>
    <w:p w14:paraId="3ADC8675" w14:textId="77777777" w:rsidR="00E83BE1" w:rsidRPr="00630575" w:rsidRDefault="00E83BE1" w:rsidP="00414DEF">
      <w:pPr>
        <w:pStyle w:val="Sinespaciado"/>
        <w:jc w:val="center"/>
        <w:outlineLvl w:val="0"/>
        <w:rPr>
          <w:rFonts w:ascii="Verdana" w:hAnsi="Verdana"/>
          <w:b/>
          <w:sz w:val="20"/>
          <w:szCs w:val="20"/>
        </w:rPr>
      </w:pPr>
      <w:bookmarkStart w:id="41" w:name="_Toc34817813"/>
      <w:r>
        <w:rPr>
          <w:rFonts w:ascii="Verdana" w:hAnsi="Verdana"/>
          <w:b/>
          <w:sz w:val="20"/>
          <w:szCs w:val="20"/>
          <w:lang w:val="es-ES"/>
        </w:rPr>
        <w:t>IX</w:t>
      </w:r>
      <w:bookmarkEnd w:id="41"/>
    </w:p>
    <w:p w14:paraId="391F0960" w14:textId="77777777" w:rsidR="00E83BE1" w:rsidRDefault="00E83BE1" w:rsidP="00414DEF">
      <w:pPr>
        <w:pStyle w:val="Sinespaciado"/>
        <w:jc w:val="center"/>
        <w:outlineLvl w:val="0"/>
        <w:rPr>
          <w:rFonts w:ascii="Verdana" w:hAnsi="Verdana"/>
          <w:b/>
          <w:sz w:val="20"/>
          <w:szCs w:val="20"/>
        </w:rPr>
      </w:pPr>
      <w:bookmarkStart w:id="42" w:name="_Toc34817814"/>
      <w:r>
        <w:rPr>
          <w:rFonts w:ascii="Verdana" w:hAnsi="Verdana"/>
          <w:b/>
          <w:sz w:val="20"/>
          <w:szCs w:val="20"/>
        </w:rPr>
        <w:t>PUNTOS RESOLUTIVO</w:t>
      </w:r>
      <w:r w:rsidRPr="00630575">
        <w:rPr>
          <w:rFonts w:ascii="Verdana" w:hAnsi="Verdana"/>
          <w:b/>
          <w:sz w:val="20"/>
          <w:szCs w:val="20"/>
        </w:rPr>
        <w:t>S</w:t>
      </w:r>
      <w:bookmarkEnd w:id="42"/>
    </w:p>
    <w:p w14:paraId="76B77DAA" w14:textId="77777777" w:rsidR="00E83BE1" w:rsidRPr="00196628" w:rsidRDefault="00E83BE1" w:rsidP="00414DEF">
      <w:pPr>
        <w:pStyle w:val="Prrafodelista"/>
        <w:spacing w:after="0" w:line="240" w:lineRule="auto"/>
        <w:rPr>
          <w:rFonts w:ascii="Verdana" w:hAnsi="Verdana"/>
          <w:sz w:val="20"/>
          <w:szCs w:val="20"/>
          <w:lang w:val="es-AR"/>
        </w:rPr>
      </w:pPr>
    </w:p>
    <w:p w14:paraId="785CE222" w14:textId="77777777" w:rsidR="00E83BE1" w:rsidRPr="002E4A38" w:rsidRDefault="00E83BE1" w:rsidP="00414DEF">
      <w:pPr>
        <w:pStyle w:val="Prrafodelista"/>
        <w:widowControl/>
        <w:numPr>
          <w:ilvl w:val="0"/>
          <w:numId w:val="26"/>
        </w:numPr>
        <w:spacing w:after="0" w:line="240" w:lineRule="auto"/>
        <w:ind w:left="1" w:firstLine="1"/>
        <w:jc w:val="both"/>
        <w:rPr>
          <w:rFonts w:ascii="Verdana" w:hAnsi="Verdana"/>
          <w:sz w:val="20"/>
          <w:szCs w:val="20"/>
          <w:lang w:val="es-AR"/>
        </w:rPr>
      </w:pPr>
      <w:r w:rsidRPr="002E4A38">
        <w:rPr>
          <w:rFonts w:ascii="Verdana" w:hAnsi="Verdana"/>
          <w:sz w:val="20"/>
          <w:szCs w:val="20"/>
          <w:lang w:val="es-AR"/>
        </w:rPr>
        <w:t xml:space="preserve">Por todo lo anterior, </w:t>
      </w:r>
    </w:p>
    <w:p w14:paraId="1E5C2A77" w14:textId="77777777" w:rsidR="00E83BE1" w:rsidRPr="002E4A38" w:rsidRDefault="00E83BE1" w:rsidP="00414DEF">
      <w:pPr>
        <w:pStyle w:val="Prrafodelista"/>
        <w:spacing w:after="0" w:line="240" w:lineRule="auto"/>
        <w:ind w:left="0"/>
        <w:jc w:val="both"/>
        <w:rPr>
          <w:rFonts w:ascii="Verdana" w:hAnsi="Verdana"/>
          <w:sz w:val="20"/>
          <w:szCs w:val="20"/>
          <w:lang w:val="es-CR"/>
        </w:rPr>
      </w:pPr>
    </w:p>
    <w:p w14:paraId="50D5D14D" w14:textId="77777777" w:rsidR="00E83BE1" w:rsidRPr="002E4A38" w:rsidRDefault="00E83BE1" w:rsidP="00414DEF">
      <w:pPr>
        <w:tabs>
          <w:tab w:val="left" w:pos="720"/>
        </w:tabs>
        <w:spacing w:after="0" w:line="240" w:lineRule="auto"/>
        <w:ind w:right="-86"/>
        <w:contextualSpacing/>
        <w:jc w:val="both"/>
        <w:rPr>
          <w:rFonts w:ascii="Verdana" w:eastAsia="MS Mincho" w:hAnsi="Verdana"/>
          <w:b/>
          <w:bCs/>
          <w:sz w:val="20"/>
          <w:szCs w:val="20"/>
          <w:lang w:bidi="en-US"/>
        </w:rPr>
      </w:pPr>
      <w:r w:rsidRPr="002E4A38">
        <w:rPr>
          <w:rFonts w:ascii="Verdana" w:eastAsia="MS Mincho" w:hAnsi="Verdana"/>
          <w:b/>
          <w:bCs/>
          <w:sz w:val="20"/>
          <w:szCs w:val="20"/>
          <w:lang w:bidi="en-US"/>
        </w:rPr>
        <w:t>LA CORTE</w:t>
      </w:r>
    </w:p>
    <w:p w14:paraId="35CB480C" w14:textId="77777777" w:rsidR="00E83BE1" w:rsidRPr="002E4A38" w:rsidRDefault="00E83BE1" w:rsidP="00414DEF">
      <w:pPr>
        <w:tabs>
          <w:tab w:val="left" w:pos="720"/>
        </w:tabs>
        <w:spacing w:after="0" w:line="240" w:lineRule="auto"/>
        <w:ind w:right="-90"/>
        <w:contextualSpacing/>
        <w:jc w:val="both"/>
        <w:rPr>
          <w:rFonts w:ascii="Verdana" w:hAnsi="Verdana"/>
          <w:sz w:val="20"/>
          <w:szCs w:val="20"/>
        </w:rPr>
      </w:pPr>
    </w:p>
    <w:p w14:paraId="5297BC5D" w14:textId="77777777" w:rsidR="00E83BE1" w:rsidRPr="002E4A38" w:rsidRDefault="00E83BE1" w:rsidP="00414DEF">
      <w:pPr>
        <w:tabs>
          <w:tab w:val="left" w:pos="720"/>
        </w:tabs>
        <w:spacing w:after="0" w:line="240" w:lineRule="auto"/>
        <w:ind w:right="-86"/>
        <w:contextualSpacing/>
        <w:jc w:val="both"/>
        <w:rPr>
          <w:rFonts w:ascii="Verdana" w:eastAsia="MS Mincho" w:hAnsi="Verdana"/>
          <w:b/>
          <w:bCs/>
          <w:sz w:val="20"/>
          <w:szCs w:val="20"/>
          <w:lang w:bidi="en-US"/>
        </w:rPr>
      </w:pPr>
      <w:r w:rsidRPr="002E4A38">
        <w:rPr>
          <w:rFonts w:ascii="Verdana" w:eastAsia="MS Mincho" w:hAnsi="Verdana"/>
          <w:b/>
          <w:bCs/>
          <w:sz w:val="20"/>
          <w:szCs w:val="20"/>
          <w:lang w:bidi="en-US"/>
        </w:rPr>
        <w:t>DECIDE,</w:t>
      </w:r>
    </w:p>
    <w:p w14:paraId="22222AFB" w14:textId="77777777" w:rsidR="00E83BE1" w:rsidRPr="002E4A38" w:rsidRDefault="00E83BE1" w:rsidP="00414DEF">
      <w:pPr>
        <w:tabs>
          <w:tab w:val="left" w:pos="720"/>
        </w:tabs>
        <w:spacing w:before="360" w:after="360" w:line="240" w:lineRule="auto"/>
        <w:ind w:right="-86"/>
        <w:contextualSpacing/>
        <w:jc w:val="both"/>
        <w:rPr>
          <w:rFonts w:ascii="Verdana" w:eastAsia="MS Mincho" w:hAnsi="Verdana"/>
          <w:b/>
          <w:bCs/>
          <w:sz w:val="20"/>
          <w:szCs w:val="20"/>
          <w:lang w:bidi="en-US"/>
        </w:rPr>
      </w:pPr>
    </w:p>
    <w:p w14:paraId="13D7A7F1" w14:textId="2D5C50BB" w:rsidR="00E83BE1" w:rsidRPr="002E4A38" w:rsidRDefault="00C1128E" w:rsidP="00414DEF">
      <w:pPr>
        <w:tabs>
          <w:tab w:val="left" w:pos="720"/>
        </w:tabs>
        <w:spacing w:line="240" w:lineRule="auto"/>
        <w:ind w:right="-90"/>
        <w:contextualSpacing/>
        <w:jc w:val="both"/>
        <w:rPr>
          <w:rFonts w:ascii="Verdana" w:eastAsia="MS Mincho" w:hAnsi="Verdana"/>
          <w:sz w:val="20"/>
          <w:szCs w:val="20"/>
          <w:lang w:bidi="en-US"/>
        </w:rPr>
      </w:pPr>
      <w:r>
        <w:rPr>
          <w:rFonts w:ascii="Verdana" w:eastAsia="MS Mincho" w:hAnsi="Verdana"/>
          <w:sz w:val="20"/>
          <w:szCs w:val="20"/>
          <w:lang w:bidi="en-US"/>
        </w:rPr>
        <w:t>Por u</w:t>
      </w:r>
      <w:r w:rsidR="00E83BE1">
        <w:rPr>
          <w:rFonts w:ascii="Verdana" w:eastAsia="MS Mincho" w:hAnsi="Verdana"/>
          <w:sz w:val="20"/>
          <w:szCs w:val="20"/>
          <w:lang w:bidi="en-US"/>
        </w:rPr>
        <w:t>nanimidad</w:t>
      </w:r>
      <w:r>
        <w:rPr>
          <w:rFonts w:ascii="Verdana" w:eastAsia="MS Mincho" w:hAnsi="Verdana"/>
          <w:sz w:val="20"/>
          <w:szCs w:val="20"/>
          <w:lang w:bidi="en-US"/>
        </w:rPr>
        <w:t>:</w:t>
      </w:r>
    </w:p>
    <w:p w14:paraId="53528A56" w14:textId="77777777" w:rsidR="00E83BE1" w:rsidRPr="002E4A38" w:rsidRDefault="00E83BE1" w:rsidP="00414DEF">
      <w:pPr>
        <w:tabs>
          <w:tab w:val="left" w:pos="720"/>
        </w:tabs>
        <w:spacing w:line="240" w:lineRule="auto"/>
        <w:ind w:right="-90"/>
        <w:contextualSpacing/>
        <w:jc w:val="both"/>
        <w:rPr>
          <w:rFonts w:ascii="Verdana" w:hAnsi="Verdana"/>
          <w:kern w:val="2"/>
          <w:sz w:val="20"/>
          <w:szCs w:val="20"/>
        </w:rPr>
      </w:pPr>
    </w:p>
    <w:p w14:paraId="2091F184" w14:textId="0AF0263D" w:rsidR="00E83BE1" w:rsidRPr="00774CDD" w:rsidRDefault="00E83BE1" w:rsidP="00414DEF">
      <w:pPr>
        <w:widowControl w:val="0"/>
        <w:numPr>
          <w:ilvl w:val="0"/>
          <w:numId w:val="32"/>
        </w:numPr>
        <w:tabs>
          <w:tab w:val="left" w:pos="720"/>
        </w:tabs>
        <w:adjustRightInd w:val="0"/>
        <w:spacing w:after="0" w:line="240" w:lineRule="auto"/>
        <w:ind w:right="-90"/>
        <w:contextualSpacing/>
        <w:jc w:val="both"/>
        <w:textAlignment w:val="baseline"/>
        <w:rPr>
          <w:rFonts w:ascii="Verdana" w:hAnsi="Verdana"/>
          <w:kern w:val="2"/>
          <w:sz w:val="20"/>
          <w:szCs w:val="20"/>
        </w:rPr>
      </w:pPr>
      <w:r w:rsidRPr="00774CDD">
        <w:rPr>
          <w:rFonts w:ascii="Verdana" w:hAnsi="Verdana"/>
          <w:kern w:val="2"/>
          <w:sz w:val="20"/>
          <w:szCs w:val="20"/>
        </w:rPr>
        <w:t>Desestimar la excepción preliminar opuesta por el Estado relativa a la aducida falta de agotamiento de recursos internos, de</w:t>
      </w:r>
      <w:r w:rsidR="004F5EFD">
        <w:rPr>
          <w:rFonts w:ascii="Verdana" w:hAnsi="Verdana"/>
          <w:kern w:val="2"/>
          <w:sz w:val="20"/>
          <w:szCs w:val="20"/>
        </w:rPr>
        <w:t xml:space="preserve"> conformidad con los párrafos 15</w:t>
      </w:r>
      <w:r>
        <w:rPr>
          <w:rFonts w:ascii="Verdana" w:hAnsi="Verdana"/>
          <w:kern w:val="2"/>
          <w:sz w:val="20"/>
          <w:szCs w:val="20"/>
        </w:rPr>
        <w:t xml:space="preserve"> a 22</w:t>
      </w:r>
      <w:r w:rsidRPr="00774CDD">
        <w:rPr>
          <w:rFonts w:ascii="Verdana" w:hAnsi="Verdana"/>
          <w:kern w:val="2"/>
          <w:sz w:val="20"/>
          <w:szCs w:val="20"/>
        </w:rPr>
        <w:t xml:space="preserve"> de esta Sentencia.</w:t>
      </w:r>
    </w:p>
    <w:p w14:paraId="74F310E3" w14:textId="77777777" w:rsidR="00E83BE1" w:rsidRPr="00774CDD" w:rsidRDefault="00E83BE1" w:rsidP="00414DEF">
      <w:pPr>
        <w:widowControl w:val="0"/>
        <w:tabs>
          <w:tab w:val="left" w:pos="720"/>
        </w:tabs>
        <w:adjustRightInd w:val="0"/>
        <w:spacing w:after="0" w:line="240" w:lineRule="auto"/>
        <w:ind w:right="-90"/>
        <w:contextualSpacing/>
        <w:jc w:val="both"/>
        <w:textAlignment w:val="baseline"/>
        <w:rPr>
          <w:rFonts w:ascii="Verdana" w:hAnsi="Verdana"/>
          <w:kern w:val="2"/>
          <w:sz w:val="20"/>
          <w:szCs w:val="20"/>
        </w:rPr>
      </w:pPr>
    </w:p>
    <w:p w14:paraId="2BDBD6C4" w14:textId="727C3751" w:rsidR="00E83BE1" w:rsidRPr="00774CDD" w:rsidRDefault="00E83BE1" w:rsidP="00414DEF">
      <w:pPr>
        <w:widowControl w:val="0"/>
        <w:numPr>
          <w:ilvl w:val="0"/>
          <w:numId w:val="32"/>
        </w:numPr>
        <w:tabs>
          <w:tab w:val="left" w:pos="720"/>
        </w:tabs>
        <w:adjustRightInd w:val="0"/>
        <w:spacing w:after="0" w:line="240" w:lineRule="auto"/>
        <w:ind w:right="-90"/>
        <w:contextualSpacing/>
        <w:jc w:val="both"/>
        <w:textAlignment w:val="baseline"/>
        <w:rPr>
          <w:rFonts w:ascii="Verdana" w:hAnsi="Verdana"/>
          <w:kern w:val="2"/>
          <w:sz w:val="20"/>
          <w:szCs w:val="20"/>
        </w:rPr>
      </w:pPr>
      <w:r w:rsidRPr="00774CDD">
        <w:rPr>
          <w:rFonts w:ascii="Verdana" w:hAnsi="Verdana"/>
          <w:kern w:val="2"/>
          <w:sz w:val="20"/>
          <w:szCs w:val="20"/>
        </w:rPr>
        <w:t>Desestimar la excepción preliminar opuesta por el Estado relativa a la aducida vulneración de su derecho de defensa, de</w:t>
      </w:r>
      <w:r w:rsidR="004F5EFD">
        <w:rPr>
          <w:rFonts w:ascii="Verdana" w:hAnsi="Verdana"/>
          <w:kern w:val="2"/>
          <w:sz w:val="20"/>
          <w:szCs w:val="20"/>
        </w:rPr>
        <w:t xml:space="preserve"> conformidad con los párrafos 25</w:t>
      </w:r>
      <w:r>
        <w:rPr>
          <w:rFonts w:ascii="Verdana" w:hAnsi="Verdana"/>
          <w:kern w:val="2"/>
          <w:sz w:val="20"/>
          <w:szCs w:val="20"/>
        </w:rPr>
        <w:t xml:space="preserve"> a 33</w:t>
      </w:r>
      <w:r w:rsidRPr="00774CDD">
        <w:rPr>
          <w:rFonts w:ascii="Verdana" w:hAnsi="Verdana"/>
          <w:kern w:val="2"/>
          <w:sz w:val="20"/>
          <w:szCs w:val="20"/>
        </w:rPr>
        <w:t xml:space="preserve"> de esta Sentencia. </w:t>
      </w:r>
    </w:p>
    <w:p w14:paraId="2BCAF240" w14:textId="77777777" w:rsidR="00E83BE1" w:rsidRPr="002E4A38" w:rsidRDefault="00E83BE1" w:rsidP="00414DEF">
      <w:pPr>
        <w:tabs>
          <w:tab w:val="left" w:pos="720"/>
        </w:tabs>
        <w:spacing w:before="360" w:after="360" w:line="240" w:lineRule="auto"/>
        <w:ind w:right="-86"/>
        <w:contextualSpacing/>
        <w:jc w:val="both"/>
        <w:rPr>
          <w:rFonts w:ascii="Verdana" w:eastAsia="MS Mincho" w:hAnsi="Verdana"/>
          <w:b/>
          <w:bCs/>
          <w:sz w:val="20"/>
          <w:szCs w:val="20"/>
          <w:lang w:bidi="en-US"/>
        </w:rPr>
      </w:pPr>
    </w:p>
    <w:p w14:paraId="23BC3AF2" w14:textId="77777777" w:rsidR="00E83BE1" w:rsidRPr="002E4A38" w:rsidRDefault="00E83BE1" w:rsidP="00414DEF">
      <w:pPr>
        <w:tabs>
          <w:tab w:val="left" w:pos="720"/>
        </w:tabs>
        <w:spacing w:before="360" w:after="360" w:line="240" w:lineRule="auto"/>
        <w:ind w:right="-86"/>
        <w:contextualSpacing/>
        <w:jc w:val="both"/>
        <w:rPr>
          <w:rFonts w:ascii="Verdana" w:eastAsia="MS Mincho" w:hAnsi="Verdana"/>
          <w:b/>
          <w:bCs/>
          <w:sz w:val="20"/>
          <w:szCs w:val="20"/>
          <w:lang w:bidi="en-US"/>
        </w:rPr>
      </w:pPr>
      <w:r w:rsidRPr="002E4A38">
        <w:rPr>
          <w:rFonts w:ascii="Verdana" w:eastAsia="MS Mincho" w:hAnsi="Verdana"/>
          <w:b/>
          <w:bCs/>
          <w:sz w:val="20"/>
          <w:szCs w:val="20"/>
          <w:lang w:bidi="en-US"/>
        </w:rPr>
        <w:t>DECLARA,</w:t>
      </w:r>
    </w:p>
    <w:p w14:paraId="072E2A83" w14:textId="77777777" w:rsidR="00E83BE1" w:rsidRPr="002E4A38" w:rsidRDefault="00E83BE1" w:rsidP="00414DEF">
      <w:pPr>
        <w:tabs>
          <w:tab w:val="left" w:pos="720"/>
        </w:tabs>
        <w:spacing w:line="240" w:lineRule="auto"/>
        <w:ind w:right="-90"/>
        <w:contextualSpacing/>
        <w:jc w:val="both"/>
        <w:rPr>
          <w:rFonts w:ascii="Verdana" w:hAnsi="Verdana"/>
          <w:kern w:val="2"/>
          <w:sz w:val="20"/>
          <w:szCs w:val="20"/>
        </w:rPr>
      </w:pPr>
    </w:p>
    <w:p w14:paraId="112199D7" w14:textId="62A4CA95" w:rsidR="00E83BE1" w:rsidRPr="002E4A38" w:rsidRDefault="00E83BE1" w:rsidP="00414DEF">
      <w:pPr>
        <w:tabs>
          <w:tab w:val="left" w:pos="720"/>
        </w:tabs>
        <w:spacing w:line="240" w:lineRule="auto"/>
        <w:ind w:right="-90"/>
        <w:contextualSpacing/>
        <w:jc w:val="both"/>
        <w:rPr>
          <w:rFonts w:ascii="Verdana" w:eastAsia="MS Mincho" w:hAnsi="Verdana"/>
          <w:sz w:val="20"/>
          <w:szCs w:val="20"/>
          <w:lang w:bidi="en-US"/>
        </w:rPr>
      </w:pPr>
      <w:r w:rsidRPr="002E4A38">
        <w:rPr>
          <w:rFonts w:ascii="Verdana" w:eastAsia="MS Mincho" w:hAnsi="Verdana"/>
          <w:sz w:val="20"/>
          <w:szCs w:val="20"/>
          <w:lang w:bidi="en-US"/>
        </w:rPr>
        <w:t xml:space="preserve">Por </w:t>
      </w:r>
      <w:r w:rsidR="0062656D">
        <w:rPr>
          <w:rFonts w:ascii="Verdana" w:eastAsia="MS Mincho" w:hAnsi="Verdana"/>
          <w:sz w:val="20"/>
          <w:szCs w:val="20"/>
          <w:lang w:bidi="en-US"/>
        </w:rPr>
        <w:t>u</w:t>
      </w:r>
      <w:r>
        <w:rPr>
          <w:rFonts w:ascii="Verdana" w:eastAsia="MS Mincho" w:hAnsi="Verdana"/>
          <w:sz w:val="20"/>
          <w:szCs w:val="20"/>
          <w:lang w:bidi="en-US"/>
        </w:rPr>
        <w:t>nanimidad</w:t>
      </w:r>
      <w:r w:rsidRPr="002E4A38">
        <w:rPr>
          <w:rFonts w:ascii="Verdana" w:eastAsia="MS Mincho" w:hAnsi="Verdana"/>
          <w:sz w:val="20"/>
          <w:szCs w:val="20"/>
          <w:lang w:bidi="en-US"/>
        </w:rPr>
        <w:t>, que:</w:t>
      </w:r>
    </w:p>
    <w:p w14:paraId="51179410" w14:textId="77777777" w:rsidR="00E83BE1" w:rsidRDefault="00E83BE1" w:rsidP="00414DEF">
      <w:pPr>
        <w:spacing w:line="240" w:lineRule="auto"/>
        <w:ind w:right="-90"/>
        <w:contextualSpacing/>
        <w:jc w:val="both"/>
        <w:rPr>
          <w:rFonts w:ascii="Verdana" w:eastAsia="MS Mincho" w:hAnsi="Verdana"/>
          <w:sz w:val="20"/>
          <w:szCs w:val="20"/>
          <w:lang w:bidi="en-US"/>
        </w:rPr>
      </w:pPr>
    </w:p>
    <w:p w14:paraId="1098042E" w14:textId="76A27939" w:rsidR="00E83BE1" w:rsidRPr="002E4A38" w:rsidRDefault="00E83BE1" w:rsidP="00414DEF">
      <w:pPr>
        <w:widowControl w:val="0"/>
        <w:numPr>
          <w:ilvl w:val="0"/>
          <w:numId w:val="32"/>
        </w:numPr>
        <w:tabs>
          <w:tab w:val="left" w:pos="720"/>
        </w:tabs>
        <w:adjustRightInd w:val="0"/>
        <w:spacing w:after="0" w:line="240" w:lineRule="auto"/>
        <w:ind w:right="-90"/>
        <w:contextualSpacing/>
        <w:jc w:val="both"/>
        <w:textAlignment w:val="baseline"/>
        <w:rPr>
          <w:rFonts w:ascii="Verdana" w:hAnsi="Verdana"/>
          <w:sz w:val="20"/>
          <w:szCs w:val="20"/>
        </w:rPr>
      </w:pPr>
      <w:r w:rsidRPr="002E4A38">
        <w:rPr>
          <w:rFonts w:ascii="Verdana" w:hAnsi="Verdana"/>
          <w:kern w:val="2"/>
          <w:sz w:val="20"/>
          <w:szCs w:val="20"/>
        </w:rPr>
        <w:t>El Estado es responsable por la violación de</w:t>
      </w:r>
      <w:r>
        <w:rPr>
          <w:rFonts w:ascii="Verdana" w:hAnsi="Verdana"/>
          <w:kern w:val="2"/>
          <w:sz w:val="20"/>
          <w:szCs w:val="20"/>
        </w:rPr>
        <w:t xml:space="preserve"> </w:t>
      </w:r>
      <w:r w:rsidRPr="002E4A38">
        <w:rPr>
          <w:rFonts w:ascii="Verdana" w:hAnsi="Verdana"/>
          <w:kern w:val="2"/>
          <w:sz w:val="20"/>
          <w:szCs w:val="20"/>
        </w:rPr>
        <w:t>l</w:t>
      </w:r>
      <w:r>
        <w:rPr>
          <w:rFonts w:ascii="Verdana" w:hAnsi="Verdana"/>
          <w:kern w:val="2"/>
          <w:sz w:val="20"/>
          <w:szCs w:val="20"/>
        </w:rPr>
        <w:t>os</w:t>
      </w:r>
      <w:r w:rsidRPr="002E4A38">
        <w:rPr>
          <w:rFonts w:ascii="Verdana" w:hAnsi="Verdana"/>
          <w:kern w:val="2"/>
          <w:sz w:val="20"/>
          <w:szCs w:val="20"/>
        </w:rPr>
        <w:t xml:space="preserve"> derecho</w:t>
      </w:r>
      <w:r>
        <w:rPr>
          <w:rFonts w:ascii="Verdana" w:hAnsi="Verdana"/>
          <w:kern w:val="2"/>
          <w:sz w:val="20"/>
          <w:szCs w:val="20"/>
        </w:rPr>
        <w:t>s</w:t>
      </w:r>
      <w:r w:rsidRPr="002E4A38">
        <w:rPr>
          <w:rFonts w:ascii="Verdana" w:hAnsi="Verdana"/>
          <w:kern w:val="2"/>
          <w:sz w:val="20"/>
          <w:szCs w:val="20"/>
        </w:rPr>
        <w:t xml:space="preserve"> a la libertad personal</w:t>
      </w:r>
      <w:r>
        <w:rPr>
          <w:rFonts w:ascii="Verdana" w:hAnsi="Verdana"/>
          <w:kern w:val="2"/>
          <w:sz w:val="20"/>
          <w:szCs w:val="20"/>
        </w:rPr>
        <w:t xml:space="preserve"> y a las garantías judic</w:t>
      </w:r>
      <w:r w:rsidR="004F5EFD">
        <w:rPr>
          <w:rFonts w:ascii="Verdana" w:hAnsi="Verdana"/>
          <w:kern w:val="2"/>
          <w:sz w:val="20"/>
          <w:szCs w:val="20"/>
        </w:rPr>
        <w:t>i</w:t>
      </w:r>
      <w:r>
        <w:rPr>
          <w:rFonts w:ascii="Verdana" w:hAnsi="Verdana"/>
          <w:kern w:val="2"/>
          <w:sz w:val="20"/>
          <w:szCs w:val="20"/>
        </w:rPr>
        <w:t>ales,</w:t>
      </w:r>
      <w:r w:rsidRPr="002E4A38">
        <w:rPr>
          <w:rFonts w:ascii="Verdana" w:hAnsi="Verdana"/>
          <w:kern w:val="2"/>
          <w:sz w:val="20"/>
          <w:szCs w:val="20"/>
        </w:rPr>
        <w:t xml:space="preserve"> consagrado</w:t>
      </w:r>
      <w:r>
        <w:rPr>
          <w:rFonts w:ascii="Verdana" w:hAnsi="Verdana"/>
          <w:kern w:val="2"/>
          <w:sz w:val="20"/>
          <w:szCs w:val="20"/>
        </w:rPr>
        <w:t>s</w:t>
      </w:r>
      <w:r w:rsidRPr="002E4A38">
        <w:rPr>
          <w:rFonts w:ascii="Verdana" w:hAnsi="Verdana"/>
          <w:kern w:val="2"/>
          <w:sz w:val="20"/>
          <w:szCs w:val="20"/>
        </w:rPr>
        <w:t xml:space="preserve"> </w:t>
      </w:r>
      <w:r w:rsidRPr="002E4A38">
        <w:rPr>
          <w:rFonts w:ascii="Verdana" w:hAnsi="Verdana"/>
          <w:sz w:val="20"/>
          <w:szCs w:val="20"/>
        </w:rPr>
        <w:t>en los artículos 7.1</w:t>
      </w:r>
      <w:r>
        <w:rPr>
          <w:rFonts w:ascii="Verdana" w:hAnsi="Verdana"/>
          <w:sz w:val="20"/>
          <w:szCs w:val="20"/>
        </w:rPr>
        <w:t>,</w:t>
      </w:r>
      <w:r w:rsidRPr="002E4A38">
        <w:rPr>
          <w:rFonts w:ascii="Verdana" w:hAnsi="Verdana"/>
          <w:sz w:val="20"/>
          <w:szCs w:val="20"/>
        </w:rPr>
        <w:t xml:space="preserve"> 7.3 </w:t>
      </w:r>
      <w:r>
        <w:rPr>
          <w:rFonts w:ascii="Verdana" w:hAnsi="Verdana"/>
          <w:sz w:val="20"/>
          <w:szCs w:val="20"/>
        </w:rPr>
        <w:t xml:space="preserve">y 8.2 </w:t>
      </w:r>
      <w:r w:rsidRPr="002E4A38">
        <w:rPr>
          <w:rFonts w:ascii="Verdana" w:hAnsi="Verdana"/>
          <w:sz w:val="20"/>
          <w:szCs w:val="20"/>
        </w:rPr>
        <w:t>de la Convención</w:t>
      </w:r>
      <w:r w:rsidRPr="002E4A38">
        <w:rPr>
          <w:rFonts w:ascii="Verdana" w:hAnsi="Verdana"/>
          <w:kern w:val="2"/>
          <w:sz w:val="20"/>
          <w:szCs w:val="20"/>
        </w:rPr>
        <w:t xml:space="preserve"> Americana sobre Derechos Humanos</w:t>
      </w:r>
      <w:r w:rsidRPr="002E4A38">
        <w:rPr>
          <w:rFonts w:ascii="Verdana" w:hAnsi="Verdana"/>
          <w:sz w:val="20"/>
          <w:szCs w:val="20"/>
        </w:rPr>
        <w:t xml:space="preserve">, en relación </w:t>
      </w:r>
      <w:r w:rsidRPr="002E4A38">
        <w:rPr>
          <w:rFonts w:ascii="Verdana" w:hAnsi="Verdana"/>
          <w:kern w:val="2"/>
          <w:sz w:val="20"/>
          <w:szCs w:val="20"/>
        </w:rPr>
        <w:t>con los artículos 1.1 y 2 del mismo instrumento,</w:t>
      </w:r>
      <w:r w:rsidRPr="002E4A38">
        <w:rPr>
          <w:rFonts w:ascii="Verdana" w:hAnsi="Verdana"/>
          <w:sz w:val="20"/>
          <w:szCs w:val="20"/>
        </w:rPr>
        <w:t xml:space="preserve"> </w:t>
      </w:r>
      <w:r w:rsidRPr="002E4A38">
        <w:rPr>
          <w:rFonts w:ascii="Verdana" w:hAnsi="Verdana"/>
          <w:kern w:val="2"/>
          <w:sz w:val="20"/>
          <w:szCs w:val="20"/>
        </w:rPr>
        <w:t xml:space="preserve">en perjuicio del señor </w:t>
      </w:r>
      <w:r w:rsidRPr="002E4A38">
        <w:rPr>
          <w:rFonts w:ascii="Verdana" w:hAnsi="Verdana"/>
          <w:sz w:val="20"/>
          <w:szCs w:val="20"/>
        </w:rPr>
        <w:t>Ramón Rosendo Carranza Alarcón</w:t>
      </w:r>
      <w:r w:rsidRPr="002E4A38">
        <w:rPr>
          <w:rFonts w:ascii="Verdana" w:hAnsi="Verdana"/>
          <w:kern w:val="2"/>
          <w:sz w:val="20"/>
          <w:szCs w:val="20"/>
        </w:rPr>
        <w:t xml:space="preserve">, </w:t>
      </w:r>
      <w:r w:rsidRPr="002E4A38">
        <w:rPr>
          <w:rFonts w:ascii="Verdana" w:hAnsi="Verdana"/>
          <w:sz w:val="20"/>
          <w:szCs w:val="20"/>
        </w:rPr>
        <w:t>en</w:t>
      </w:r>
      <w:r w:rsidR="00887F64">
        <w:rPr>
          <w:rFonts w:ascii="Verdana" w:hAnsi="Verdana"/>
          <w:sz w:val="20"/>
          <w:szCs w:val="20"/>
        </w:rPr>
        <w:t xml:space="preserve"> los términos </w:t>
      </w:r>
      <w:r w:rsidR="00887F64">
        <w:rPr>
          <w:rFonts w:ascii="Verdana" w:hAnsi="Verdana"/>
          <w:sz w:val="20"/>
          <w:szCs w:val="20"/>
        </w:rPr>
        <w:lastRenderedPageBreak/>
        <w:t>de los párrafos 60</w:t>
      </w:r>
      <w:r w:rsidR="000C7F20">
        <w:rPr>
          <w:rFonts w:ascii="Verdana" w:hAnsi="Verdana"/>
          <w:sz w:val="20"/>
          <w:szCs w:val="20"/>
        </w:rPr>
        <w:t>, 62, 65</w:t>
      </w:r>
      <w:r w:rsidR="00C1128E">
        <w:rPr>
          <w:rFonts w:ascii="Verdana" w:hAnsi="Verdana"/>
          <w:sz w:val="20"/>
          <w:szCs w:val="20"/>
        </w:rPr>
        <w:t>, 67</w:t>
      </w:r>
      <w:r w:rsidR="00887F64">
        <w:rPr>
          <w:rFonts w:ascii="Verdana" w:hAnsi="Verdana"/>
          <w:sz w:val="20"/>
          <w:szCs w:val="20"/>
        </w:rPr>
        <w:t xml:space="preserve"> a</w:t>
      </w:r>
      <w:r w:rsidR="000C7F20">
        <w:rPr>
          <w:rFonts w:ascii="Verdana" w:hAnsi="Verdana"/>
          <w:sz w:val="20"/>
          <w:szCs w:val="20"/>
        </w:rPr>
        <w:t xml:space="preserve"> 68, 75</w:t>
      </w:r>
      <w:r w:rsidR="00887F64">
        <w:rPr>
          <w:rFonts w:ascii="Verdana" w:hAnsi="Verdana"/>
          <w:sz w:val="20"/>
          <w:szCs w:val="20"/>
        </w:rPr>
        <w:t xml:space="preserve"> </w:t>
      </w:r>
      <w:r w:rsidR="000C7F20">
        <w:rPr>
          <w:rFonts w:ascii="Verdana" w:hAnsi="Verdana"/>
          <w:sz w:val="20"/>
          <w:szCs w:val="20"/>
        </w:rPr>
        <w:t xml:space="preserve">a 85, </w:t>
      </w:r>
      <w:r w:rsidR="00887F64">
        <w:rPr>
          <w:rFonts w:ascii="Verdana" w:hAnsi="Verdana"/>
          <w:sz w:val="20"/>
          <w:szCs w:val="20"/>
        </w:rPr>
        <w:t>90</w:t>
      </w:r>
      <w:r w:rsidR="000C7F20">
        <w:rPr>
          <w:rFonts w:ascii="Verdana" w:hAnsi="Verdana"/>
          <w:sz w:val="20"/>
          <w:szCs w:val="20"/>
        </w:rPr>
        <w:t xml:space="preserve"> y 97</w:t>
      </w:r>
      <w:r w:rsidRPr="002E4A38">
        <w:rPr>
          <w:rFonts w:ascii="Verdana" w:hAnsi="Verdana"/>
          <w:sz w:val="20"/>
          <w:szCs w:val="20"/>
        </w:rPr>
        <w:t xml:space="preserve"> de la presente Sentencia.</w:t>
      </w:r>
    </w:p>
    <w:p w14:paraId="59BAF748" w14:textId="77777777" w:rsidR="00E83BE1" w:rsidRPr="002E4A38" w:rsidRDefault="00E83BE1" w:rsidP="00414DEF">
      <w:pPr>
        <w:spacing w:line="240" w:lineRule="auto"/>
        <w:ind w:right="-90"/>
        <w:contextualSpacing/>
        <w:jc w:val="both"/>
        <w:rPr>
          <w:rFonts w:ascii="Verdana" w:eastAsia="MS Mincho" w:hAnsi="Verdana"/>
          <w:sz w:val="20"/>
          <w:szCs w:val="20"/>
          <w:lang w:bidi="en-US"/>
        </w:rPr>
      </w:pPr>
    </w:p>
    <w:p w14:paraId="3A6110C5" w14:textId="4BDB7080" w:rsidR="0062656D" w:rsidRPr="0062656D" w:rsidRDefault="00E83BE1" w:rsidP="00414DEF">
      <w:pPr>
        <w:widowControl w:val="0"/>
        <w:numPr>
          <w:ilvl w:val="0"/>
          <w:numId w:val="32"/>
        </w:numPr>
        <w:tabs>
          <w:tab w:val="left" w:pos="720"/>
        </w:tabs>
        <w:adjustRightInd w:val="0"/>
        <w:spacing w:after="0" w:line="240" w:lineRule="auto"/>
        <w:ind w:right="-90"/>
        <w:contextualSpacing/>
        <w:jc w:val="both"/>
        <w:textAlignment w:val="baseline"/>
        <w:rPr>
          <w:rFonts w:ascii="Verdana" w:hAnsi="Verdana"/>
          <w:sz w:val="20"/>
          <w:szCs w:val="20"/>
        </w:rPr>
      </w:pPr>
      <w:r w:rsidRPr="002E4A38">
        <w:rPr>
          <w:rFonts w:ascii="Verdana" w:hAnsi="Verdana"/>
          <w:kern w:val="2"/>
          <w:sz w:val="20"/>
          <w:szCs w:val="20"/>
        </w:rPr>
        <w:t xml:space="preserve">El Estado es responsable por la violación de los derechos a la libertad personal y a las garantías judiciales consagrados </w:t>
      </w:r>
      <w:r w:rsidRPr="002E4A38">
        <w:rPr>
          <w:rFonts w:ascii="Verdana" w:hAnsi="Verdana"/>
          <w:sz w:val="20"/>
          <w:szCs w:val="20"/>
        </w:rPr>
        <w:t>en los artículos 7.1, 7.5</w:t>
      </w:r>
      <w:r>
        <w:rPr>
          <w:rFonts w:ascii="Verdana" w:hAnsi="Verdana"/>
          <w:sz w:val="20"/>
          <w:szCs w:val="20"/>
        </w:rPr>
        <w:t>, 8.1</w:t>
      </w:r>
      <w:r w:rsidRPr="002E4A38">
        <w:rPr>
          <w:rFonts w:ascii="Verdana" w:hAnsi="Verdana"/>
          <w:sz w:val="20"/>
          <w:szCs w:val="20"/>
        </w:rPr>
        <w:t xml:space="preserve"> y 8.2 de la Convención</w:t>
      </w:r>
      <w:r w:rsidRPr="002E4A38">
        <w:rPr>
          <w:rFonts w:ascii="Verdana" w:hAnsi="Verdana"/>
          <w:kern w:val="2"/>
          <w:sz w:val="20"/>
          <w:szCs w:val="20"/>
        </w:rPr>
        <w:t xml:space="preserve"> Americana sobre Derechos Humanos</w:t>
      </w:r>
      <w:r w:rsidRPr="002E4A38">
        <w:rPr>
          <w:rFonts w:ascii="Verdana" w:hAnsi="Verdana"/>
          <w:sz w:val="20"/>
          <w:szCs w:val="20"/>
        </w:rPr>
        <w:t xml:space="preserve">, en relación </w:t>
      </w:r>
      <w:r w:rsidRPr="002E4A38">
        <w:rPr>
          <w:rFonts w:ascii="Verdana" w:hAnsi="Verdana"/>
          <w:kern w:val="2"/>
          <w:sz w:val="20"/>
          <w:szCs w:val="20"/>
        </w:rPr>
        <w:t>con el artículo 1.1 del mismo instrumento,</w:t>
      </w:r>
      <w:r w:rsidRPr="002E4A38">
        <w:rPr>
          <w:rFonts w:ascii="Verdana" w:hAnsi="Verdana"/>
          <w:sz w:val="20"/>
          <w:szCs w:val="20"/>
        </w:rPr>
        <w:t xml:space="preserve"> </w:t>
      </w:r>
      <w:r w:rsidRPr="002E4A38">
        <w:rPr>
          <w:rFonts w:ascii="Verdana" w:hAnsi="Verdana"/>
          <w:kern w:val="2"/>
          <w:sz w:val="20"/>
          <w:szCs w:val="20"/>
        </w:rPr>
        <w:t xml:space="preserve">en perjuicio del señor </w:t>
      </w:r>
      <w:r w:rsidRPr="002E4A38">
        <w:rPr>
          <w:rFonts w:ascii="Verdana" w:hAnsi="Verdana"/>
          <w:sz w:val="20"/>
          <w:szCs w:val="20"/>
        </w:rPr>
        <w:t>Ramón Rosendo Carranza Alarcón</w:t>
      </w:r>
      <w:r w:rsidRPr="002E4A38">
        <w:rPr>
          <w:rFonts w:ascii="Verdana" w:hAnsi="Verdana"/>
          <w:kern w:val="2"/>
          <w:sz w:val="20"/>
          <w:szCs w:val="20"/>
        </w:rPr>
        <w:t xml:space="preserve">, </w:t>
      </w:r>
      <w:r w:rsidRPr="002E4A38">
        <w:rPr>
          <w:rFonts w:ascii="Verdana" w:hAnsi="Verdana"/>
          <w:sz w:val="20"/>
          <w:szCs w:val="20"/>
        </w:rPr>
        <w:t>en</w:t>
      </w:r>
      <w:r>
        <w:rPr>
          <w:rFonts w:ascii="Verdana" w:hAnsi="Verdana"/>
          <w:sz w:val="20"/>
          <w:szCs w:val="20"/>
        </w:rPr>
        <w:t xml:space="preserve"> los términos de los párrafos</w:t>
      </w:r>
      <w:r w:rsidR="000C7F20">
        <w:rPr>
          <w:rFonts w:ascii="Verdana" w:hAnsi="Verdana"/>
          <w:sz w:val="20"/>
          <w:szCs w:val="20"/>
        </w:rPr>
        <w:t xml:space="preserve"> </w:t>
      </w:r>
      <w:r w:rsidR="00C1128E">
        <w:rPr>
          <w:rFonts w:ascii="Verdana" w:hAnsi="Verdana"/>
          <w:sz w:val="20"/>
          <w:szCs w:val="20"/>
        </w:rPr>
        <w:t xml:space="preserve">60, </w:t>
      </w:r>
      <w:r w:rsidR="000C7F20">
        <w:rPr>
          <w:rFonts w:ascii="Verdana" w:hAnsi="Verdana"/>
          <w:sz w:val="20"/>
          <w:szCs w:val="20"/>
        </w:rPr>
        <w:t>6</w:t>
      </w:r>
      <w:r w:rsidR="00C1128E">
        <w:rPr>
          <w:rFonts w:ascii="Verdana" w:hAnsi="Verdana"/>
          <w:sz w:val="20"/>
          <w:szCs w:val="20"/>
        </w:rPr>
        <w:t>4</w:t>
      </w:r>
      <w:r w:rsidR="000C7F20">
        <w:rPr>
          <w:rFonts w:ascii="Verdana" w:hAnsi="Verdana"/>
          <w:sz w:val="20"/>
          <w:szCs w:val="20"/>
        </w:rPr>
        <w:t xml:space="preserve"> a 68</w:t>
      </w:r>
      <w:r w:rsidR="00C1128E">
        <w:rPr>
          <w:rFonts w:ascii="Verdana" w:hAnsi="Verdana"/>
          <w:sz w:val="20"/>
          <w:szCs w:val="20"/>
        </w:rPr>
        <w:t xml:space="preserve"> y</w:t>
      </w:r>
      <w:r w:rsidR="000C7F20">
        <w:rPr>
          <w:rFonts w:ascii="Verdana" w:hAnsi="Verdana"/>
          <w:sz w:val="20"/>
          <w:szCs w:val="20"/>
        </w:rPr>
        <w:t xml:space="preserve"> 86 a 97</w:t>
      </w:r>
      <w:r w:rsidR="0062656D">
        <w:rPr>
          <w:rFonts w:ascii="Verdana" w:hAnsi="Verdana"/>
          <w:sz w:val="20"/>
          <w:szCs w:val="20"/>
        </w:rPr>
        <w:t xml:space="preserve"> </w:t>
      </w:r>
      <w:r w:rsidR="0062656D" w:rsidRPr="0062656D">
        <w:rPr>
          <w:rFonts w:ascii="Verdana" w:hAnsi="Verdana"/>
          <w:sz w:val="20"/>
          <w:szCs w:val="20"/>
        </w:rPr>
        <w:t>de la presente Sentencia</w:t>
      </w:r>
      <w:r w:rsidR="0062656D">
        <w:rPr>
          <w:rFonts w:ascii="Verdana" w:hAnsi="Verdana"/>
          <w:sz w:val="20"/>
          <w:szCs w:val="20"/>
        </w:rPr>
        <w:t>.</w:t>
      </w:r>
    </w:p>
    <w:p w14:paraId="38CD1F39" w14:textId="77777777" w:rsidR="0062656D" w:rsidRPr="002E4A38" w:rsidRDefault="0062656D" w:rsidP="00414DEF">
      <w:pPr>
        <w:tabs>
          <w:tab w:val="left" w:pos="720"/>
        </w:tabs>
        <w:spacing w:line="240" w:lineRule="auto"/>
        <w:ind w:right="-90"/>
        <w:contextualSpacing/>
        <w:jc w:val="both"/>
        <w:rPr>
          <w:rFonts w:ascii="Verdana" w:hAnsi="Verdana"/>
          <w:sz w:val="20"/>
          <w:szCs w:val="20"/>
        </w:rPr>
      </w:pPr>
    </w:p>
    <w:p w14:paraId="3799AAEE" w14:textId="7F2ACFDB" w:rsidR="00E83BE1" w:rsidRPr="002E4A38" w:rsidRDefault="00E83BE1" w:rsidP="00414DEF">
      <w:pPr>
        <w:widowControl w:val="0"/>
        <w:numPr>
          <w:ilvl w:val="0"/>
          <w:numId w:val="32"/>
        </w:numPr>
        <w:tabs>
          <w:tab w:val="left" w:pos="720"/>
        </w:tabs>
        <w:adjustRightInd w:val="0"/>
        <w:spacing w:after="0" w:line="240" w:lineRule="auto"/>
        <w:ind w:right="-90"/>
        <w:contextualSpacing/>
        <w:jc w:val="both"/>
        <w:textAlignment w:val="baseline"/>
        <w:rPr>
          <w:rFonts w:ascii="Verdana" w:hAnsi="Verdana"/>
          <w:sz w:val="20"/>
          <w:szCs w:val="20"/>
        </w:rPr>
      </w:pPr>
      <w:r>
        <w:rPr>
          <w:rFonts w:ascii="Verdana" w:hAnsi="Verdana"/>
          <w:kern w:val="2"/>
          <w:sz w:val="20"/>
          <w:szCs w:val="20"/>
        </w:rPr>
        <w:t xml:space="preserve">No tiene elementos para considerar la alegada </w:t>
      </w:r>
      <w:r w:rsidRPr="002E4A38">
        <w:rPr>
          <w:rFonts w:ascii="Verdana" w:hAnsi="Verdana"/>
          <w:kern w:val="2"/>
          <w:sz w:val="20"/>
          <w:szCs w:val="20"/>
        </w:rPr>
        <w:t xml:space="preserve">violación de los derechos consagrados </w:t>
      </w:r>
      <w:r w:rsidRPr="002E4A38">
        <w:rPr>
          <w:rFonts w:ascii="Verdana" w:hAnsi="Verdana"/>
          <w:sz w:val="20"/>
          <w:szCs w:val="20"/>
        </w:rPr>
        <w:t>en los artículos 5 y 25 de la Convención</w:t>
      </w:r>
      <w:r w:rsidRPr="002E4A38">
        <w:rPr>
          <w:rFonts w:ascii="Verdana" w:hAnsi="Verdana"/>
          <w:kern w:val="2"/>
          <w:sz w:val="20"/>
          <w:szCs w:val="20"/>
        </w:rPr>
        <w:t xml:space="preserve"> Americana sobre Derechos Humanos</w:t>
      </w:r>
      <w:r>
        <w:rPr>
          <w:rFonts w:ascii="Verdana" w:hAnsi="Verdana"/>
          <w:kern w:val="2"/>
          <w:sz w:val="20"/>
          <w:szCs w:val="20"/>
        </w:rPr>
        <w:t xml:space="preserve"> </w:t>
      </w:r>
      <w:r w:rsidRPr="002E4A38">
        <w:rPr>
          <w:rFonts w:ascii="Verdana" w:hAnsi="Verdana"/>
          <w:sz w:val="20"/>
          <w:szCs w:val="20"/>
        </w:rPr>
        <w:t xml:space="preserve">en los términos </w:t>
      </w:r>
      <w:r>
        <w:rPr>
          <w:rFonts w:ascii="Verdana" w:hAnsi="Verdana"/>
          <w:sz w:val="20"/>
          <w:szCs w:val="20"/>
        </w:rPr>
        <w:t xml:space="preserve">del párrafo 56 </w:t>
      </w:r>
      <w:r w:rsidRPr="002E4A38">
        <w:rPr>
          <w:rFonts w:ascii="Verdana" w:hAnsi="Verdana"/>
          <w:sz w:val="20"/>
          <w:szCs w:val="20"/>
        </w:rPr>
        <w:t>de la presente Sentencia.</w:t>
      </w:r>
    </w:p>
    <w:p w14:paraId="1D3F2CC0" w14:textId="77777777" w:rsidR="00E83BE1" w:rsidRPr="002E4A38" w:rsidRDefault="00E83BE1" w:rsidP="00414DEF">
      <w:pPr>
        <w:tabs>
          <w:tab w:val="left" w:pos="720"/>
        </w:tabs>
        <w:spacing w:line="240" w:lineRule="auto"/>
        <w:ind w:right="-90"/>
        <w:contextualSpacing/>
        <w:jc w:val="both"/>
        <w:rPr>
          <w:rFonts w:ascii="Verdana" w:hAnsi="Verdana"/>
          <w:sz w:val="20"/>
          <w:szCs w:val="20"/>
        </w:rPr>
      </w:pPr>
    </w:p>
    <w:p w14:paraId="1BA495BF" w14:textId="77777777" w:rsidR="00E83BE1" w:rsidRPr="002E4A38" w:rsidRDefault="00E83BE1" w:rsidP="00414DEF">
      <w:pPr>
        <w:tabs>
          <w:tab w:val="left" w:pos="720"/>
        </w:tabs>
        <w:spacing w:before="360" w:after="360" w:line="240" w:lineRule="auto"/>
        <w:ind w:right="-86"/>
        <w:contextualSpacing/>
        <w:jc w:val="both"/>
        <w:rPr>
          <w:rFonts w:ascii="Verdana" w:eastAsia="MS Mincho" w:hAnsi="Verdana"/>
          <w:b/>
          <w:bCs/>
          <w:sz w:val="20"/>
          <w:szCs w:val="20"/>
          <w:lang w:bidi="en-US"/>
        </w:rPr>
      </w:pPr>
      <w:r w:rsidRPr="002E4A38">
        <w:rPr>
          <w:rFonts w:ascii="Verdana" w:eastAsia="MS Mincho" w:hAnsi="Verdana"/>
          <w:b/>
          <w:bCs/>
          <w:sz w:val="20"/>
          <w:szCs w:val="20"/>
          <w:lang w:bidi="en-US"/>
        </w:rPr>
        <w:t>Y DISPONE:</w:t>
      </w:r>
    </w:p>
    <w:p w14:paraId="14118B9E" w14:textId="77777777" w:rsidR="00E83BE1" w:rsidRPr="002E4A38" w:rsidRDefault="00E83BE1" w:rsidP="00414DEF">
      <w:pPr>
        <w:tabs>
          <w:tab w:val="left" w:pos="720"/>
        </w:tabs>
        <w:spacing w:line="240" w:lineRule="auto"/>
        <w:ind w:right="-90"/>
        <w:contextualSpacing/>
        <w:jc w:val="both"/>
        <w:rPr>
          <w:rFonts w:ascii="Verdana" w:eastAsia="MS Mincho" w:hAnsi="Verdana"/>
          <w:b/>
          <w:bCs/>
          <w:sz w:val="20"/>
          <w:szCs w:val="20"/>
          <w:lang w:bidi="en-US"/>
        </w:rPr>
      </w:pPr>
    </w:p>
    <w:p w14:paraId="0025EDF7" w14:textId="442B4216" w:rsidR="00E83BE1" w:rsidRPr="002E4A38" w:rsidRDefault="00C1128E" w:rsidP="00414DEF">
      <w:pPr>
        <w:tabs>
          <w:tab w:val="left" w:pos="720"/>
        </w:tabs>
        <w:spacing w:line="240" w:lineRule="auto"/>
        <w:ind w:right="-90"/>
        <w:contextualSpacing/>
        <w:jc w:val="both"/>
        <w:rPr>
          <w:rFonts w:ascii="Verdana" w:eastAsia="MS Mincho" w:hAnsi="Verdana"/>
          <w:sz w:val="20"/>
          <w:szCs w:val="20"/>
          <w:lang w:bidi="en-US"/>
        </w:rPr>
      </w:pPr>
      <w:r>
        <w:rPr>
          <w:rFonts w:ascii="Verdana" w:eastAsia="MS Mincho" w:hAnsi="Verdana"/>
          <w:sz w:val="20"/>
          <w:szCs w:val="20"/>
          <w:lang w:bidi="en-US"/>
        </w:rPr>
        <w:t>Por u</w:t>
      </w:r>
      <w:r w:rsidR="00E83BE1">
        <w:rPr>
          <w:rFonts w:ascii="Verdana" w:eastAsia="MS Mincho" w:hAnsi="Verdana"/>
          <w:sz w:val="20"/>
          <w:szCs w:val="20"/>
          <w:lang w:bidi="en-US"/>
        </w:rPr>
        <w:t>nanimidad</w:t>
      </w:r>
      <w:r w:rsidR="00E83BE1" w:rsidRPr="002E4A38">
        <w:rPr>
          <w:rFonts w:ascii="Verdana" w:eastAsia="MS Mincho" w:hAnsi="Verdana"/>
          <w:sz w:val="20"/>
          <w:szCs w:val="20"/>
          <w:lang w:bidi="en-US"/>
        </w:rPr>
        <w:t>, que:</w:t>
      </w:r>
    </w:p>
    <w:p w14:paraId="4A26CDBC" w14:textId="77777777" w:rsidR="00E83BE1" w:rsidRPr="002E4A38" w:rsidRDefault="00E83BE1" w:rsidP="00414DEF">
      <w:pPr>
        <w:tabs>
          <w:tab w:val="left" w:pos="720"/>
        </w:tabs>
        <w:spacing w:line="240" w:lineRule="auto"/>
        <w:ind w:right="-90"/>
        <w:contextualSpacing/>
        <w:jc w:val="both"/>
        <w:rPr>
          <w:rFonts w:ascii="Verdana" w:eastAsia="MS Mincho" w:hAnsi="Verdana"/>
          <w:bCs/>
          <w:sz w:val="20"/>
          <w:szCs w:val="20"/>
          <w:lang w:bidi="en-US"/>
        </w:rPr>
      </w:pPr>
    </w:p>
    <w:p w14:paraId="4DAF7732" w14:textId="77777777" w:rsidR="00E83BE1" w:rsidRPr="002E4A38" w:rsidRDefault="00E83BE1" w:rsidP="00414DEF">
      <w:pPr>
        <w:widowControl w:val="0"/>
        <w:numPr>
          <w:ilvl w:val="0"/>
          <w:numId w:val="32"/>
        </w:numPr>
        <w:tabs>
          <w:tab w:val="left" w:pos="720"/>
        </w:tabs>
        <w:adjustRightInd w:val="0"/>
        <w:spacing w:after="0" w:line="240" w:lineRule="auto"/>
        <w:ind w:right="-90"/>
        <w:contextualSpacing/>
        <w:jc w:val="both"/>
        <w:textAlignment w:val="baseline"/>
        <w:rPr>
          <w:rFonts w:ascii="Verdana" w:hAnsi="Verdana"/>
          <w:bCs/>
          <w:sz w:val="20"/>
          <w:szCs w:val="20"/>
        </w:rPr>
      </w:pPr>
      <w:r w:rsidRPr="002E4A38">
        <w:rPr>
          <w:rFonts w:ascii="Verdana" w:hAnsi="Verdana"/>
          <w:sz w:val="20"/>
          <w:szCs w:val="20"/>
        </w:rPr>
        <w:t>Esta</w:t>
      </w:r>
      <w:r w:rsidRPr="002E4A38">
        <w:rPr>
          <w:rFonts w:ascii="Verdana" w:hAnsi="Verdana"/>
          <w:bCs/>
          <w:sz w:val="20"/>
          <w:szCs w:val="20"/>
        </w:rPr>
        <w:t xml:space="preserve"> Sentencia constituye, por sí misma, una forma de reparación.</w:t>
      </w:r>
    </w:p>
    <w:p w14:paraId="3AFD44CC" w14:textId="77777777" w:rsidR="00E83BE1" w:rsidRPr="002E4A38" w:rsidRDefault="00E83BE1" w:rsidP="00414DEF">
      <w:pPr>
        <w:tabs>
          <w:tab w:val="left" w:pos="720"/>
        </w:tabs>
        <w:spacing w:line="240" w:lineRule="auto"/>
        <w:ind w:right="-90"/>
        <w:contextualSpacing/>
        <w:jc w:val="both"/>
        <w:rPr>
          <w:rFonts w:ascii="Verdana" w:hAnsi="Verdana"/>
          <w:bCs/>
          <w:sz w:val="20"/>
          <w:szCs w:val="20"/>
        </w:rPr>
      </w:pPr>
    </w:p>
    <w:p w14:paraId="21452918" w14:textId="77777777" w:rsidR="00E83BE1" w:rsidRPr="002E4A38" w:rsidRDefault="00E83BE1" w:rsidP="00414DEF">
      <w:pPr>
        <w:widowControl w:val="0"/>
        <w:numPr>
          <w:ilvl w:val="0"/>
          <w:numId w:val="32"/>
        </w:numPr>
        <w:tabs>
          <w:tab w:val="left" w:pos="720"/>
        </w:tabs>
        <w:adjustRightInd w:val="0"/>
        <w:spacing w:after="0" w:line="240" w:lineRule="auto"/>
        <w:ind w:right="-90"/>
        <w:contextualSpacing/>
        <w:jc w:val="both"/>
        <w:textAlignment w:val="baseline"/>
        <w:rPr>
          <w:rFonts w:ascii="Verdana" w:hAnsi="Verdana"/>
          <w:bCs/>
          <w:sz w:val="20"/>
          <w:szCs w:val="20"/>
        </w:rPr>
      </w:pPr>
      <w:r w:rsidRPr="002E4A38">
        <w:rPr>
          <w:rFonts w:ascii="Verdana" w:hAnsi="Verdana"/>
          <w:bCs/>
          <w:sz w:val="20"/>
          <w:szCs w:val="20"/>
        </w:rPr>
        <w:t>El Estado realizará las publicac</w:t>
      </w:r>
      <w:r>
        <w:rPr>
          <w:rFonts w:ascii="Verdana" w:hAnsi="Verdana"/>
          <w:bCs/>
          <w:sz w:val="20"/>
          <w:szCs w:val="20"/>
        </w:rPr>
        <w:t>iones indicadas en el párrafo 102</w:t>
      </w:r>
      <w:r w:rsidRPr="002E4A38">
        <w:rPr>
          <w:rFonts w:ascii="Verdana" w:hAnsi="Verdana"/>
          <w:bCs/>
          <w:sz w:val="20"/>
          <w:szCs w:val="20"/>
        </w:rPr>
        <w:t xml:space="preserve"> de la presente Sentencia.</w:t>
      </w:r>
    </w:p>
    <w:p w14:paraId="4923EC29" w14:textId="77777777" w:rsidR="00E83BE1" w:rsidRPr="002E4A38" w:rsidRDefault="00E83BE1" w:rsidP="00414DEF">
      <w:pPr>
        <w:tabs>
          <w:tab w:val="left" w:pos="720"/>
        </w:tabs>
        <w:spacing w:line="240" w:lineRule="auto"/>
        <w:ind w:right="-90"/>
        <w:contextualSpacing/>
        <w:jc w:val="both"/>
        <w:rPr>
          <w:rFonts w:ascii="Verdana" w:hAnsi="Verdana"/>
          <w:bCs/>
          <w:sz w:val="20"/>
          <w:szCs w:val="20"/>
        </w:rPr>
      </w:pPr>
    </w:p>
    <w:p w14:paraId="0227ABFA" w14:textId="57385B2A" w:rsidR="00E83BE1" w:rsidRPr="002E4A38" w:rsidRDefault="00E83BE1" w:rsidP="00414DEF">
      <w:pPr>
        <w:widowControl w:val="0"/>
        <w:numPr>
          <w:ilvl w:val="0"/>
          <w:numId w:val="32"/>
        </w:numPr>
        <w:tabs>
          <w:tab w:val="left" w:pos="720"/>
        </w:tabs>
        <w:adjustRightInd w:val="0"/>
        <w:spacing w:after="0" w:line="240" w:lineRule="auto"/>
        <w:ind w:right="-90"/>
        <w:contextualSpacing/>
        <w:jc w:val="both"/>
        <w:textAlignment w:val="baseline"/>
        <w:rPr>
          <w:rFonts w:ascii="Verdana" w:hAnsi="Verdana"/>
          <w:bCs/>
          <w:sz w:val="20"/>
          <w:szCs w:val="20"/>
        </w:rPr>
      </w:pPr>
      <w:r w:rsidRPr="002E4A38">
        <w:rPr>
          <w:rFonts w:ascii="Verdana" w:hAnsi="Verdana"/>
          <w:bCs/>
          <w:sz w:val="20"/>
          <w:szCs w:val="20"/>
        </w:rPr>
        <w:t>El Estado pagará las can</w:t>
      </w:r>
      <w:r>
        <w:rPr>
          <w:rFonts w:ascii="Verdana" w:hAnsi="Verdana"/>
          <w:bCs/>
          <w:sz w:val="20"/>
          <w:szCs w:val="20"/>
        </w:rPr>
        <w:t>tidades fijadas en l</w:t>
      </w:r>
      <w:r w:rsidR="00C1128E">
        <w:rPr>
          <w:rFonts w:ascii="Verdana" w:hAnsi="Verdana"/>
          <w:bCs/>
          <w:sz w:val="20"/>
          <w:szCs w:val="20"/>
        </w:rPr>
        <w:t>os</w:t>
      </w:r>
      <w:r>
        <w:rPr>
          <w:rFonts w:ascii="Verdana" w:hAnsi="Verdana"/>
          <w:bCs/>
          <w:sz w:val="20"/>
          <w:szCs w:val="20"/>
        </w:rPr>
        <w:t xml:space="preserve"> párrafo</w:t>
      </w:r>
      <w:r w:rsidR="00C1128E">
        <w:rPr>
          <w:rFonts w:ascii="Verdana" w:hAnsi="Verdana"/>
          <w:bCs/>
          <w:sz w:val="20"/>
          <w:szCs w:val="20"/>
        </w:rPr>
        <w:t>s</w:t>
      </w:r>
      <w:r>
        <w:rPr>
          <w:rFonts w:ascii="Verdana" w:hAnsi="Verdana"/>
          <w:bCs/>
          <w:sz w:val="20"/>
          <w:szCs w:val="20"/>
        </w:rPr>
        <w:t xml:space="preserve"> 109</w:t>
      </w:r>
      <w:r w:rsidR="00C1128E">
        <w:rPr>
          <w:rFonts w:ascii="Verdana" w:hAnsi="Verdana"/>
          <w:bCs/>
          <w:sz w:val="20"/>
          <w:szCs w:val="20"/>
        </w:rPr>
        <w:t xml:space="preserve"> y 114</w:t>
      </w:r>
      <w:r w:rsidRPr="002E4A38">
        <w:rPr>
          <w:rFonts w:ascii="Verdana" w:hAnsi="Verdana"/>
          <w:bCs/>
          <w:sz w:val="20"/>
          <w:szCs w:val="20"/>
        </w:rPr>
        <w:t xml:space="preserve"> de la presente Sentencia por concepto de indemnización </w:t>
      </w:r>
      <w:r w:rsidR="0062656D">
        <w:rPr>
          <w:rFonts w:ascii="Verdana" w:hAnsi="Verdana"/>
          <w:bCs/>
          <w:sz w:val="20"/>
          <w:szCs w:val="20"/>
        </w:rPr>
        <w:t xml:space="preserve">por daño inmaterial </w:t>
      </w:r>
      <w:r w:rsidRPr="002E4A38">
        <w:rPr>
          <w:rFonts w:ascii="Verdana" w:hAnsi="Verdana"/>
          <w:bCs/>
          <w:sz w:val="20"/>
          <w:szCs w:val="20"/>
        </w:rPr>
        <w:t xml:space="preserve">y </w:t>
      </w:r>
      <w:r w:rsidR="0062656D">
        <w:rPr>
          <w:rFonts w:ascii="Verdana" w:hAnsi="Verdana"/>
          <w:bCs/>
          <w:sz w:val="20"/>
          <w:szCs w:val="20"/>
        </w:rPr>
        <w:t xml:space="preserve">reintegro </w:t>
      </w:r>
      <w:r w:rsidRPr="002E4A38">
        <w:rPr>
          <w:rFonts w:ascii="Verdana" w:hAnsi="Verdana"/>
          <w:bCs/>
          <w:sz w:val="20"/>
          <w:szCs w:val="20"/>
        </w:rPr>
        <w:t>de costas y gastos, en</w:t>
      </w:r>
      <w:r>
        <w:rPr>
          <w:rFonts w:ascii="Verdana" w:hAnsi="Verdana"/>
          <w:bCs/>
          <w:sz w:val="20"/>
          <w:szCs w:val="20"/>
        </w:rPr>
        <w:t xml:space="preserve"> los términos de los párrafos 11</w:t>
      </w:r>
      <w:r w:rsidR="00C1128E">
        <w:rPr>
          <w:rFonts w:ascii="Verdana" w:hAnsi="Verdana"/>
          <w:bCs/>
          <w:sz w:val="20"/>
          <w:szCs w:val="20"/>
        </w:rPr>
        <w:t>5</w:t>
      </w:r>
      <w:r w:rsidRPr="002E4A38">
        <w:rPr>
          <w:rFonts w:ascii="Verdana" w:hAnsi="Verdana"/>
          <w:bCs/>
          <w:sz w:val="20"/>
          <w:szCs w:val="20"/>
        </w:rPr>
        <w:t xml:space="preserve"> a </w:t>
      </w:r>
      <w:r>
        <w:rPr>
          <w:rFonts w:ascii="Verdana" w:hAnsi="Verdana"/>
          <w:bCs/>
          <w:sz w:val="20"/>
          <w:szCs w:val="20"/>
        </w:rPr>
        <w:t>11</w:t>
      </w:r>
      <w:r w:rsidR="00C1128E">
        <w:rPr>
          <w:rFonts w:ascii="Verdana" w:hAnsi="Verdana"/>
          <w:bCs/>
          <w:sz w:val="20"/>
          <w:szCs w:val="20"/>
        </w:rPr>
        <w:t>8</w:t>
      </w:r>
      <w:r w:rsidRPr="002E4A38">
        <w:rPr>
          <w:rFonts w:ascii="Verdana" w:hAnsi="Verdana"/>
          <w:bCs/>
          <w:sz w:val="20"/>
          <w:szCs w:val="20"/>
        </w:rPr>
        <w:t xml:space="preserve"> del presente Fallo.</w:t>
      </w:r>
    </w:p>
    <w:p w14:paraId="1A112055" w14:textId="77777777" w:rsidR="00E83BE1" w:rsidRPr="002E4A38" w:rsidRDefault="00E83BE1" w:rsidP="00414DEF">
      <w:pPr>
        <w:tabs>
          <w:tab w:val="left" w:pos="720"/>
        </w:tabs>
        <w:spacing w:line="240" w:lineRule="auto"/>
        <w:ind w:right="-90"/>
        <w:contextualSpacing/>
        <w:jc w:val="both"/>
        <w:rPr>
          <w:rFonts w:ascii="Verdana" w:hAnsi="Verdana"/>
          <w:sz w:val="20"/>
          <w:szCs w:val="20"/>
        </w:rPr>
      </w:pPr>
    </w:p>
    <w:p w14:paraId="1E1222F0" w14:textId="77777777" w:rsidR="00E83BE1" w:rsidRPr="002E4A38" w:rsidRDefault="00E83BE1" w:rsidP="00414DEF">
      <w:pPr>
        <w:widowControl w:val="0"/>
        <w:numPr>
          <w:ilvl w:val="0"/>
          <w:numId w:val="32"/>
        </w:numPr>
        <w:tabs>
          <w:tab w:val="left" w:pos="720"/>
        </w:tabs>
        <w:adjustRightInd w:val="0"/>
        <w:spacing w:after="0" w:line="240" w:lineRule="auto"/>
        <w:ind w:right="-90"/>
        <w:contextualSpacing/>
        <w:jc w:val="both"/>
        <w:textAlignment w:val="baseline"/>
        <w:rPr>
          <w:rFonts w:ascii="Verdana" w:eastAsia="MS Mincho" w:hAnsi="Verdana"/>
          <w:bCs/>
          <w:sz w:val="20"/>
          <w:szCs w:val="20"/>
          <w:lang w:bidi="en-US"/>
        </w:rPr>
      </w:pPr>
      <w:r w:rsidRPr="002E4A38">
        <w:rPr>
          <w:rFonts w:ascii="Verdana" w:hAnsi="Verdana"/>
          <w:bCs/>
          <w:sz w:val="20"/>
          <w:szCs w:val="20"/>
        </w:rPr>
        <w:t xml:space="preserve">El Estado, dentro del plazo de un año contado a partir de la notificación de esta Sentencia, rendirá al Tribunal un informe sobre las medidas adoptadas para cumplir con la misma, sin perjuicio de lo establecido en el </w:t>
      </w:r>
      <w:r>
        <w:rPr>
          <w:rFonts w:ascii="Verdana" w:hAnsi="Verdana"/>
          <w:bCs/>
          <w:sz w:val="20"/>
          <w:szCs w:val="20"/>
        </w:rPr>
        <w:t>párrafo 102</w:t>
      </w:r>
      <w:r w:rsidRPr="002E4A38">
        <w:rPr>
          <w:rFonts w:ascii="Verdana" w:hAnsi="Verdana"/>
          <w:bCs/>
          <w:sz w:val="20"/>
          <w:szCs w:val="20"/>
        </w:rPr>
        <w:t xml:space="preserve"> de la presente Sentencia.</w:t>
      </w:r>
    </w:p>
    <w:p w14:paraId="7A3D57A9" w14:textId="77777777" w:rsidR="00E83BE1" w:rsidRPr="002E4A38" w:rsidRDefault="00E83BE1" w:rsidP="00414DEF">
      <w:pPr>
        <w:tabs>
          <w:tab w:val="left" w:pos="720"/>
        </w:tabs>
        <w:spacing w:line="240" w:lineRule="auto"/>
        <w:ind w:right="-90"/>
        <w:contextualSpacing/>
        <w:jc w:val="both"/>
        <w:rPr>
          <w:rFonts w:ascii="Verdana" w:eastAsia="MS Mincho" w:hAnsi="Verdana"/>
          <w:bCs/>
          <w:sz w:val="20"/>
          <w:szCs w:val="20"/>
          <w:lang w:bidi="en-US"/>
        </w:rPr>
      </w:pPr>
    </w:p>
    <w:p w14:paraId="1E58E981" w14:textId="77777777" w:rsidR="00E83BE1" w:rsidRPr="002E4A38" w:rsidRDefault="00E83BE1" w:rsidP="00414DEF">
      <w:pPr>
        <w:widowControl w:val="0"/>
        <w:numPr>
          <w:ilvl w:val="0"/>
          <w:numId w:val="32"/>
        </w:numPr>
        <w:tabs>
          <w:tab w:val="left" w:pos="720"/>
        </w:tabs>
        <w:adjustRightInd w:val="0"/>
        <w:spacing w:after="0" w:line="240" w:lineRule="auto"/>
        <w:ind w:right="-90"/>
        <w:contextualSpacing/>
        <w:jc w:val="both"/>
        <w:textAlignment w:val="baseline"/>
        <w:rPr>
          <w:rFonts w:ascii="Verdana" w:hAnsi="Verdana"/>
          <w:b/>
          <w:bCs/>
          <w:sz w:val="20"/>
          <w:szCs w:val="20"/>
        </w:rPr>
      </w:pPr>
      <w:r w:rsidRPr="002E4A38">
        <w:rPr>
          <w:rFonts w:ascii="Verdana" w:hAnsi="Verdana"/>
          <w:bCs/>
          <w:sz w:val="20"/>
          <w:szCs w:val="20"/>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0D414B73" w14:textId="77777777" w:rsidR="00992F9F" w:rsidRDefault="00992F9F" w:rsidP="00414DEF">
      <w:pPr>
        <w:tabs>
          <w:tab w:val="left" w:pos="720"/>
        </w:tabs>
        <w:spacing w:after="0" w:line="240" w:lineRule="auto"/>
        <w:ind w:right="-93"/>
        <w:contextualSpacing/>
        <w:jc w:val="both"/>
        <w:rPr>
          <w:rFonts w:ascii="Verdana" w:hAnsi="Verdana"/>
          <w:sz w:val="20"/>
          <w:szCs w:val="20"/>
        </w:rPr>
      </w:pPr>
    </w:p>
    <w:p w14:paraId="08449750" w14:textId="77777777" w:rsidR="00E83BE1" w:rsidRPr="00EB58A1" w:rsidRDefault="00E83BE1" w:rsidP="00414DEF">
      <w:pPr>
        <w:tabs>
          <w:tab w:val="left" w:pos="720"/>
        </w:tabs>
        <w:spacing w:after="0" w:line="240" w:lineRule="auto"/>
        <w:ind w:right="-93"/>
        <w:contextualSpacing/>
        <w:jc w:val="both"/>
        <w:rPr>
          <w:rFonts w:ascii="Verdana" w:hAnsi="Verdana" w:cs="Verdana"/>
          <w:sz w:val="20"/>
          <w:szCs w:val="20"/>
        </w:rPr>
      </w:pPr>
      <w:r w:rsidRPr="00EB58A1">
        <w:rPr>
          <w:rFonts w:ascii="Verdana" w:hAnsi="Verdana"/>
          <w:sz w:val="20"/>
          <w:szCs w:val="20"/>
        </w:rPr>
        <w:t>El Juez Eduardo Vio Grossi dio a conocer a la Corte su voto individual concurrente, el cual acompaña esta Sentencia.</w:t>
      </w:r>
    </w:p>
    <w:p w14:paraId="4A6D88B1" w14:textId="77777777" w:rsidR="00E83BE1" w:rsidRPr="00EB58A1" w:rsidRDefault="00E83BE1" w:rsidP="00414DEF">
      <w:pPr>
        <w:tabs>
          <w:tab w:val="left" w:pos="720"/>
        </w:tabs>
        <w:spacing w:after="0" w:line="240" w:lineRule="auto"/>
        <w:ind w:right="-93"/>
        <w:contextualSpacing/>
        <w:jc w:val="both"/>
        <w:rPr>
          <w:rFonts w:ascii="Verdana" w:hAnsi="Verdana" w:cs="Verdana"/>
          <w:sz w:val="20"/>
          <w:szCs w:val="20"/>
        </w:rPr>
      </w:pPr>
    </w:p>
    <w:p w14:paraId="6721C3B8" w14:textId="77777777" w:rsidR="00E83BE1" w:rsidRDefault="00E83BE1" w:rsidP="00414DEF">
      <w:pPr>
        <w:tabs>
          <w:tab w:val="left" w:pos="720"/>
        </w:tabs>
        <w:spacing w:after="0" w:line="240" w:lineRule="auto"/>
        <w:ind w:right="-93"/>
        <w:contextualSpacing/>
        <w:jc w:val="both"/>
        <w:rPr>
          <w:rFonts w:ascii="Verdana" w:hAnsi="Verdana" w:cs="Verdana"/>
          <w:sz w:val="20"/>
          <w:szCs w:val="20"/>
        </w:rPr>
      </w:pPr>
      <w:r w:rsidRPr="002E4A38">
        <w:rPr>
          <w:rFonts w:ascii="Verdana" w:hAnsi="Verdana" w:cs="Verdana"/>
          <w:sz w:val="20"/>
          <w:szCs w:val="20"/>
        </w:rPr>
        <w:t xml:space="preserve">Redactada en español en San José, Costa Rica, el </w:t>
      </w:r>
      <w:r>
        <w:rPr>
          <w:rFonts w:ascii="Verdana" w:hAnsi="Verdana" w:cs="Verdana"/>
          <w:sz w:val="20"/>
          <w:szCs w:val="20"/>
        </w:rPr>
        <w:t>3</w:t>
      </w:r>
      <w:r w:rsidRPr="002E4A38">
        <w:rPr>
          <w:rFonts w:ascii="Verdana" w:hAnsi="Verdana" w:cs="Verdana"/>
          <w:sz w:val="20"/>
          <w:szCs w:val="20"/>
        </w:rPr>
        <w:t xml:space="preserve"> de </w:t>
      </w:r>
      <w:r>
        <w:rPr>
          <w:rFonts w:ascii="Verdana" w:hAnsi="Verdana" w:cs="Verdana"/>
          <w:sz w:val="20"/>
          <w:szCs w:val="20"/>
        </w:rPr>
        <w:t>febrero</w:t>
      </w:r>
      <w:r w:rsidRPr="002E4A38">
        <w:rPr>
          <w:rFonts w:ascii="Verdana" w:hAnsi="Verdana" w:cs="Verdana"/>
          <w:sz w:val="20"/>
          <w:szCs w:val="20"/>
        </w:rPr>
        <w:t xml:space="preserve"> de 2020.</w:t>
      </w:r>
    </w:p>
    <w:p w14:paraId="5CE7A418" w14:textId="77777777" w:rsidR="0036712A" w:rsidRDefault="0036712A" w:rsidP="00414DEF">
      <w:pPr>
        <w:tabs>
          <w:tab w:val="left" w:pos="720"/>
        </w:tabs>
        <w:spacing w:after="0" w:line="240" w:lineRule="auto"/>
        <w:ind w:right="-93"/>
        <w:contextualSpacing/>
        <w:jc w:val="both"/>
        <w:rPr>
          <w:rFonts w:ascii="Verdana" w:hAnsi="Verdana" w:cs="Verdana"/>
          <w:sz w:val="20"/>
          <w:szCs w:val="20"/>
        </w:rPr>
      </w:pPr>
    </w:p>
    <w:p w14:paraId="3D8F20A3" w14:textId="77777777" w:rsidR="0036712A" w:rsidRDefault="0036712A" w:rsidP="00414DEF">
      <w:pPr>
        <w:tabs>
          <w:tab w:val="left" w:pos="720"/>
        </w:tabs>
        <w:spacing w:after="0" w:line="240" w:lineRule="auto"/>
        <w:ind w:right="-93"/>
        <w:contextualSpacing/>
        <w:jc w:val="both"/>
        <w:rPr>
          <w:rFonts w:ascii="Verdana" w:hAnsi="Verdana" w:cs="Verdana"/>
          <w:sz w:val="20"/>
          <w:szCs w:val="20"/>
        </w:rPr>
      </w:pPr>
    </w:p>
    <w:p w14:paraId="36E3D79F" w14:textId="77777777" w:rsidR="0036712A" w:rsidRDefault="0036712A" w:rsidP="00414DEF">
      <w:pPr>
        <w:tabs>
          <w:tab w:val="left" w:pos="720"/>
        </w:tabs>
        <w:spacing w:after="0" w:line="240" w:lineRule="auto"/>
        <w:ind w:right="-93"/>
        <w:contextualSpacing/>
        <w:jc w:val="both"/>
        <w:rPr>
          <w:rFonts w:ascii="Verdana" w:hAnsi="Verdana" w:cs="Verdana"/>
          <w:sz w:val="20"/>
          <w:szCs w:val="20"/>
        </w:rPr>
      </w:pPr>
    </w:p>
    <w:p w14:paraId="5DD3B066" w14:textId="77777777" w:rsidR="0036712A" w:rsidRDefault="0036712A" w:rsidP="00414DEF">
      <w:pPr>
        <w:tabs>
          <w:tab w:val="left" w:pos="720"/>
        </w:tabs>
        <w:spacing w:after="0" w:line="240" w:lineRule="auto"/>
        <w:ind w:right="-93"/>
        <w:contextualSpacing/>
        <w:jc w:val="both"/>
        <w:rPr>
          <w:rFonts w:ascii="Verdana" w:hAnsi="Verdana" w:cs="Verdana"/>
          <w:sz w:val="20"/>
          <w:szCs w:val="20"/>
        </w:rPr>
      </w:pPr>
    </w:p>
    <w:p w14:paraId="1D231764" w14:textId="77777777" w:rsidR="0036712A" w:rsidRDefault="0036712A" w:rsidP="00414DEF">
      <w:pPr>
        <w:tabs>
          <w:tab w:val="left" w:pos="720"/>
        </w:tabs>
        <w:spacing w:after="0" w:line="240" w:lineRule="auto"/>
        <w:ind w:right="-93"/>
        <w:contextualSpacing/>
        <w:jc w:val="both"/>
        <w:rPr>
          <w:rFonts w:ascii="Verdana" w:hAnsi="Verdana" w:cs="Verdana"/>
          <w:sz w:val="20"/>
          <w:szCs w:val="20"/>
        </w:rPr>
      </w:pPr>
    </w:p>
    <w:p w14:paraId="6645251A" w14:textId="77777777" w:rsidR="0036712A" w:rsidRDefault="0036712A" w:rsidP="00414DEF">
      <w:pPr>
        <w:tabs>
          <w:tab w:val="left" w:pos="720"/>
        </w:tabs>
        <w:spacing w:after="0" w:line="240" w:lineRule="auto"/>
        <w:ind w:right="-93"/>
        <w:contextualSpacing/>
        <w:jc w:val="both"/>
        <w:rPr>
          <w:rFonts w:ascii="Verdana" w:hAnsi="Verdana" w:cs="Verdana"/>
          <w:sz w:val="20"/>
          <w:szCs w:val="20"/>
        </w:rPr>
      </w:pPr>
    </w:p>
    <w:p w14:paraId="05AD451E" w14:textId="77777777" w:rsidR="0036712A" w:rsidRDefault="0036712A" w:rsidP="00414DEF">
      <w:pPr>
        <w:tabs>
          <w:tab w:val="left" w:pos="720"/>
        </w:tabs>
        <w:spacing w:after="0" w:line="240" w:lineRule="auto"/>
        <w:ind w:right="-93"/>
        <w:contextualSpacing/>
        <w:jc w:val="both"/>
        <w:rPr>
          <w:rFonts w:ascii="Verdana" w:hAnsi="Verdana" w:cs="Verdana"/>
          <w:sz w:val="20"/>
          <w:szCs w:val="20"/>
        </w:rPr>
      </w:pPr>
    </w:p>
    <w:p w14:paraId="63414E3D" w14:textId="77777777" w:rsidR="0036712A" w:rsidRDefault="0036712A" w:rsidP="00414DEF">
      <w:pPr>
        <w:tabs>
          <w:tab w:val="left" w:pos="720"/>
        </w:tabs>
        <w:spacing w:after="0" w:line="240" w:lineRule="auto"/>
        <w:ind w:right="-93"/>
        <w:contextualSpacing/>
        <w:jc w:val="both"/>
        <w:rPr>
          <w:rFonts w:ascii="Verdana" w:hAnsi="Verdana" w:cs="Verdana"/>
          <w:sz w:val="20"/>
          <w:szCs w:val="20"/>
        </w:rPr>
      </w:pPr>
    </w:p>
    <w:p w14:paraId="5B6358CB" w14:textId="77777777" w:rsidR="0036712A" w:rsidRDefault="0036712A" w:rsidP="00414DEF">
      <w:pPr>
        <w:tabs>
          <w:tab w:val="left" w:pos="720"/>
        </w:tabs>
        <w:spacing w:after="0" w:line="240" w:lineRule="auto"/>
        <w:ind w:right="-93"/>
        <w:contextualSpacing/>
        <w:jc w:val="both"/>
        <w:rPr>
          <w:rFonts w:ascii="Verdana" w:hAnsi="Verdana" w:cs="Verdana"/>
          <w:sz w:val="20"/>
          <w:szCs w:val="20"/>
        </w:rPr>
      </w:pPr>
    </w:p>
    <w:p w14:paraId="0D524D66" w14:textId="77777777" w:rsidR="0036712A" w:rsidRDefault="0036712A" w:rsidP="00414DEF">
      <w:pPr>
        <w:tabs>
          <w:tab w:val="left" w:pos="720"/>
        </w:tabs>
        <w:spacing w:after="0" w:line="240" w:lineRule="auto"/>
        <w:ind w:right="-93"/>
        <w:contextualSpacing/>
        <w:jc w:val="both"/>
        <w:rPr>
          <w:rFonts w:ascii="Verdana" w:hAnsi="Verdana" w:cs="Verdana"/>
          <w:sz w:val="20"/>
          <w:szCs w:val="20"/>
        </w:rPr>
      </w:pPr>
    </w:p>
    <w:p w14:paraId="296FF9E1" w14:textId="77777777" w:rsidR="0036712A" w:rsidRDefault="0036712A" w:rsidP="00414DEF">
      <w:pPr>
        <w:tabs>
          <w:tab w:val="left" w:pos="720"/>
        </w:tabs>
        <w:spacing w:after="0" w:line="240" w:lineRule="auto"/>
        <w:ind w:right="-93"/>
        <w:contextualSpacing/>
        <w:jc w:val="both"/>
        <w:rPr>
          <w:rFonts w:ascii="Verdana" w:hAnsi="Verdana" w:cs="Verdana"/>
          <w:sz w:val="20"/>
          <w:szCs w:val="20"/>
        </w:rPr>
      </w:pPr>
    </w:p>
    <w:p w14:paraId="47D1EC94" w14:textId="77777777" w:rsidR="0036712A" w:rsidRDefault="0036712A" w:rsidP="00414DEF">
      <w:pPr>
        <w:tabs>
          <w:tab w:val="left" w:pos="720"/>
        </w:tabs>
        <w:spacing w:after="0" w:line="240" w:lineRule="auto"/>
        <w:ind w:right="-93"/>
        <w:contextualSpacing/>
        <w:jc w:val="both"/>
        <w:rPr>
          <w:rFonts w:ascii="Verdana" w:hAnsi="Verdana" w:cs="Verdana"/>
          <w:sz w:val="20"/>
          <w:szCs w:val="20"/>
        </w:rPr>
      </w:pPr>
    </w:p>
    <w:p w14:paraId="5B6DBA50" w14:textId="77777777" w:rsidR="0036712A" w:rsidRDefault="0036712A" w:rsidP="00414DEF">
      <w:pPr>
        <w:tabs>
          <w:tab w:val="left" w:pos="720"/>
        </w:tabs>
        <w:spacing w:after="0" w:line="240" w:lineRule="auto"/>
        <w:ind w:right="-93"/>
        <w:contextualSpacing/>
        <w:jc w:val="both"/>
        <w:rPr>
          <w:rFonts w:ascii="Verdana" w:hAnsi="Verdana" w:cs="Verdana"/>
          <w:sz w:val="20"/>
          <w:szCs w:val="20"/>
        </w:rPr>
      </w:pPr>
    </w:p>
    <w:p w14:paraId="1B917305" w14:textId="77777777" w:rsidR="0036712A" w:rsidRDefault="0036712A" w:rsidP="00414DEF">
      <w:pPr>
        <w:tabs>
          <w:tab w:val="left" w:pos="720"/>
        </w:tabs>
        <w:spacing w:after="0" w:line="240" w:lineRule="auto"/>
        <w:ind w:right="-93"/>
        <w:contextualSpacing/>
        <w:jc w:val="both"/>
        <w:rPr>
          <w:rFonts w:ascii="Verdana" w:hAnsi="Verdana" w:cs="Verdana"/>
          <w:sz w:val="20"/>
          <w:szCs w:val="20"/>
        </w:rPr>
      </w:pPr>
    </w:p>
    <w:p w14:paraId="35F64622" w14:textId="77777777" w:rsidR="0036712A" w:rsidRDefault="0036712A" w:rsidP="00414DEF">
      <w:pPr>
        <w:tabs>
          <w:tab w:val="left" w:pos="720"/>
        </w:tabs>
        <w:spacing w:after="0" w:line="240" w:lineRule="auto"/>
        <w:ind w:right="-93"/>
        <w:contextualSpacing/>
        <w:jc w:val="both"/>
        <w:rPr>
          <w:rFonts w:ascii="Verdana" w:hAnsi="Verdana" w:cs="Verdana"/>
          <w:sz w:val="20"/>
          <w:szCs w:val="20"/>
        </w:rPr>
      </w:pPr>
    </w:p>
    <w:p w14:paraId="43ED4C7C" w14:textId="77777777" w:rsidR="0036712A" w:rsidRDefault="0036712A" w:rsidP="00414DEF">
      <w:pPr>
        <w:tabs>
          <w:tab w:val="left" w:pos="720"/>
        </w:tabs>
        <w:spacing w:after="0" w:line="240" w:lineRule="auto"/>
        <w:ind w:right="-93"/>
        <w:contextualSpacing/>
        <w:jc w:val="both"/>
        <w:rPr>
          <w:rFonts w:ascii="Verdana" w:hAnsi="Verdana" w:cs="Verdana"/>
          <w:sz w:val="20"/>
          <w:szCs w:val="20"/>
        </w:rPr>
      </w:pPr>
    </w:p>
    <w:p w14:paraId="7E9CAEAF" w14:textId="77777777" w:rsidR="008E295C" w:rsidRPr="002D12F9" w:rsidRDefault="008E295C" w:rsidP="008E295C">
      <w:pPr>
        <w:spacing w:after="0" w:line="240" w:lineRule="auto"/>
        <w:jc w:val="both"/>
        <w:rPr>
          <w:rFonts w:ascii="Verdana" w:hAnsi="Verdana"/>
          <w:strike/>
          <w:sz w:val="20"/>
          <w:lang w:val="es-ES"/>
        </w:rPr>
      </w:pPr>
    </w:p>
    <w:p w14:paraId="5BE65DDE" w14:textId="77777777" w:rsidR="008E295C" w:rsidRPr="002D12F9" w:rsidRDefault="008E295C" w:rsidP="008E295C">
      <w:pPr>
        <w:spacing w:after="0" w:line="240" w:lineRule="auto"/>
        <w:jc w:val="both"/>
        <w:rPr>
          <w:rFonts w:ascii="Verdana" w:hAnsi="Verdana"/>
          <w:sz w:val="20"/>
          <w:lang w:val="es-ES"/>
        </w:rPr>
      </w:pPr>
      <w:r w:rsidRPr="002D12F9">
        <w:rPr>
          <w:rFonts w:ascii="Verdana" w:hAnsi="Verdana"/>
          <w:sz w:val="20"/>
          <w:lang w:val="es-ES"/>
        </w:rPr>
        <w:t xml:space="preserve">Corte IDH. </w:t>
      </w:r>
      <w:r w:rsidRPr="000304D5">
        <w:rPr>
          <w:rFonts w:ascii="Verdana" w:hAnsi="Verdana"/>
          <w:i/>
          <w:sz w:val="20"/>
          <w:lang w:val="es-ES"/>
        </w:rPr>
        <w:t xml:space="preserve">Caso </w:t>
      </w:r>
      <w:r>
        <w:rPr>
          <w:rFonts w:ascii="Verdana" w:hAnsi="Verdana"/>
          <w:i/>
          <w:iCs/>
          <w:sz w:val="20"/>
        </w:rPr>
        <w:t>Carranza Alarcón</w:t>
      </w:r>
      <w:r w:rsidRPr="000304D5">
        <w:rPr>
          <w:rFonts w:ascii="Verdana" w:hAnsi="Verdana"/>
          <w:i/>
          <w:iCs/>
          <w:sz w:val="20"/>
        </w:rPr>
        <w:t xml:space="preserve"> </w:t>
      </w:r>
      <w:r>
        <w:rPr>
          <w:rFonts w:ascii="Verdana" w:hAnsi="Verdana"/>
          <w:i/>
          <w:iCs/>
          <w:sz w:val="20"/>
        </w:rPr>
        <w:t>V</w:t>
      </w:r>
      <w:r w:rsidRPr="000304D5">
        <w:rPr>
          <w:rFonts w:ascii="Verdana" w:hAnsi="Verdana"/>
          <w:i/>
          <w:iCs/>
          <w:sz w:val="20"/>
        </w:rPr>
        <w:t xml:space="preserve">s. </w:t>
      </w:r>
      <w:r>
        <w:rPr>
          <w:rFonts w:ascii="Verdana" w:hAnsi="Verdana"/>
          <w:i/>
          <w:iCs/>
          <w:sz w:val="20"/>
        </w:rPr>
        <w:t>Ecuador</w:t>
      </w:r>
      <w:r w:rsidRPr="006B1112">
        <w:rPr>
          <w:rFonts w:ascii="Verdana" w:hAnsi="Verdana"/>
          <w:iCs/>
          <w:sz w:val="20"/>
        </w:rPr>
        <w:t>. Excepciones Preliminares</w:t>
      </w:r>
      <w:r>
        <w:rPr>
          <w:rFonts w:ascii="Verdana" w:hAnsi="Verdana"/>
          <w:iCs/>
          <w:sz w:val="20"/>
        </w:rPr>
        <w:t>,</w:t>
      </w:r>
      <w:r w:rsidRPr="002D12F9">
        <w:rPr>
          <w:rFonts w:ascii="Verdana" w:hAnsi="Verdana"/>
          <w:sz w:val="20"/>
          <w:lang w:val="es-ES"/>
        </w:rPr>
        <w:t xml:space="preserve"> Fondo, Reparaciones y Costas. Sentencia de </w:t>
      </w:r>
      <w:r>
        <w:rPr>
          <w:rFonts w:ascii="Verdana" w:hAnsi="Verdana"/>
          <w:sz w:val="20"/>
          <w:lang w:val="es-ES"/>
        </w:rPr>
        <w:t>3</w:t>
      </w:r>
      <w:r w:rsidRPr="002D12F9">
        <w:rPr>
          <w:rFonts w:ascii="Verdana" w:hAnsi="Verdana"/>
          <w:sz w:val="20"/>
          <w:lang w:val="es-ES"/>
        </w:rPr>
        <w:t xml:space="preserve"> de </w:t>
      </w:r>
      <w:r>
        <w:rPr>
          <w:rFonts w:ascii="Verdana" w:hAnsi="Verdana"/>
          <w:sz w:val="20"/>
          <w:lang w:val="es-ES"/>
        </w:rPr>
        <w:t>febrero</w:t>
      </w:r>
      <w:r w:rsidRPr="002D12F9">
        <w:rPr>
          <w:rFonts w:ascii="Verdana" w:hAnsi="Verdana"/>
          <w:sz w:val="20"/>
          <w:lang w:val="es-ES"/>
        </w:rPr>
        <w:t xml:space="preserve"> de 20</w:t>
      </w:r>
      <w:r>
        <w:rPr>
          <w:rFonts w:ascii="Verdana" w:hAnsi="Verdana"/>
          <w:sz w:val="20"/>
          <w:lang w:val="es-ES"/>
        </w:rPr>
        <w:t>20</w:t>
      </w:r>
      <w:r w:rsidRPr="002D12F9">
        <w:rPr>
          <w:rFonts w:ascii="Verdana" w:hAnsi="Verdana"/>
          <w:sz w:val="20"/>
          <w:lang w:val="es-ES"/>
        </w:rPr>
        <w:t>.</w:t>
      </w:r>
    </w:p>
    <w:p w14:paraId="2FABF5E0" w14:textId="77777777" w:rsidR="008E295C" w:rsidRPr="002D12F9" w:rsidRDefault="008E295C" w:rsidP="008E295C">
      <w:pPr>
        <w:spacing w:after="0" w:line="240" w:lineRule="auto"/>
        <w:jc w:val="center"/>
        <w:rPr>
          <w:rFonts w:ascii="Verdana" w:hAnsi="Verdana"/>
          <w:sz w:val="20"/>
          <w:lang w:val="pt-BR"/>
        </w:rPr>
      </w:pPr>
    </w:p>
    <w:p w14:paraId="73045F40" w14:textId="77777777" w:rsidR="008E295C" w:rsidRDefault="008E295C" w:rsidP="008E295C">
      <w:pPr>
        <w:spacing w:after="0" w:line="240" w:lineRule="auto"/>
        <w:jc w:val="center"/>
        <w:rPr>
          <w:rFonts w:ascii="Verdana" w:hAnsi="Verdana"/>
          <w:sz w:val="20"/>
          <w:lang w:val="pt-BR"/>
        </w:rPr>
      </w:pPr>
    </w:p>
    <w:p w14:paraId="09C70208" w14:textId="77777777" w:rsidR="008E295C" w:rsidRDefault="008E295C" w:rsidP="008E295C">
      <w:pPr>
        <w:spacing w:after="0" w:line="240" w:lineRule="auto"/>
        <w:jc w:val="center"/>
        <w:rPr>
          <w:rFonts w:ascii="Verdana" w:hAnsi="Verdana"/>
          <w:sz w:val="20"/>
          <w:lang w:val="pt-BR"/>
        </w:rPr>
      </w:pPr>
    </w:p>
    <w:p w14:paraId="32A5900C" w14:textId="77777777" w:rsidR="008E295C" w:rsidRDefault="008E295C" w:rsidP="008E295C">
      <w:pPr>
        <w:spacing w:after="0" w:line="240" w:lineRule="auto"/>
        <w:jc w:val="center"/>
        <w:rPr>
          <w:rFonts w:ascii="Verdana" w:hAnsi="Verdana"/>
          <w:sz w:val="20"/>
          <w:lang w:val="pt-BR"/>
        </w:rPr>
      </w:pPr>
    </w:p>
    <w:p w14:paraId="1493FD78" w14:textId="77777777" w:rsidR="008E295C" w:rsidRDefault="008E295C" w:rsidP="008E295C">
      <w:pPr>
        <w:spacing w:after="0" w:line="240" w:lineRule="auto"/>
        <w:jc w:val="center"/>
        <w:rPr>
          <w:rFonts w:ascii="Verdana" w:hAnsi="Verdana"/>
          <w:sz w:val="20"/>
          <w:lang w:val="pt-BR"/>
        </w:rPr>
      </w:pPr>
    </w:p>
    <w:p w14:paraId="0C6FA7A8" w14:textId="77777777" w:rsidR="008E295C" w:rsidRDefault="008E295C" w:rsidP="008E295C">
      <w:pPr>
        <w:spacing w:after="0" w:line="240" w:lineRule="auto"/>
        <w:jc w:val="center"/>
        <w:rPr>
          <w:rFonts w:ascii="Verdana" w:hAnsi="Verdana"/>
          <w:sz w:val="20"/>
          <w:lang w:val="pt-BR"/>
        </w:rPr>
      </w:pPr>
      <w:r>
        <w:rPr>
          <w:rFonts w:ascii="Verdana" w:hAnsi="Verdana"/>
          <w:sz w:val="20"/>
          <w:lang w:val="pt-BR"/>
        </w:rPr>
        <w:t xml:space="preserve">Elizabeth </w:t>
      </w:r>
      <w:proofErr w:type="spellStart"/>
      <w:r>
        <w:rPr>
          <w:rFonts w:ascii="Verdana" w:hAnsi="Verdana"/>
          <w:sz w:val="20"/>
          <w:lang w:val="pt-BR"/>
        </w:rPr>
        <w:t>Odio</w:t>
      </w:r>
      <w:proofErr w:type="spellEnd"/>
      <w:r>
        <w:rPr>
          <w:rFonts w:ascii="Verdana" w:hAnsi="Verdana"/>
          <w:sz w:val="20"/>
          <w:lang w:val="pt-BR"/>
        </w:rPr>
        <w:t xml:space="preserve"> Benito</w:t>
      </w:r>
    </w:p>
    <w:p w14:paraId="327FA150" w14:textId="77777777" w:rsidR="008E295C" w:rsidRDefault="008E295C" w:rsidP="008E295C">
      <w:pPr>
        <w:spacing w:after="0" w:line="240" w:lineRule="auto"/>
        <w:jc w:val="center"/>
        <w:rPr>
          <w:rFonts w:ascii="Verdana" w:hAnsi="Verdana"/>
          <w:sz w:val="20"/>
          <w:lang w:val="pt-BR"/>
        </w:rPr>
      </w:pPr>
      <w:r>
        <w:rPr>
          <w:rFonts w:ascii="Verdana" w:hAnsi="Verdana"/>
          <w:sz w:val="20"/>
          <w:lang w:val="pt-BR"/>
        </w:rPr>
        <w:t>Presidenta</w:t>
      </w:r>
    </w:p>
    <w:p w14:paraId="655C4643" w14:textId="77777777" w:rsidR="008E295C" w:rsidRDefault="008E295C" w:rsidP="008E295C">
      <w:pPr>
        <w:spacing w:after="0" w:line="240" w:lineRule="auto"/>
        <w:jc w:val="center"/>
        <w:rPr>
          <w:rFonts w:ascii="Verdana" w:hAnsi="Verdana"/>
          <w:sz w:val="20"/>
          <w:lang w:val="pt-BR"/>
        </w:rPr>
      </w:pPr>
    </w:p>
    <w:p w14:paraId="20006E21" w14:textId="77777777" w:rsidR="008E295C" w:rsidRDefault="008E295C" w:rsidP="008E295C">
      <w:pPr>
        <w:spacing w:after="0" w:line="240" w:lineRule="auto"/>
        <w:jc w:val="center"/>
        <w:rPr>
          <w:rFonts w:ascii="Verdana" w:hAnsi="Verdana"/>
          <w:sz w:val="20"/>
          <w:lang w:val="pt-BR"/>
        </w:rPr>
      </w:pPr>
    </w:p>
    <w:p w14:paraId="4B8DB025" w14:textId="77777777" w:rsidR="008E295C" w:rsidRDefault="008E295C" w:rsidP="008E295C">
      <w:pPr>
        <w:spacing w:after="0" w:line="240" w:lineRule="auto"/>
        <w:rPr>
          <w:rFonts w:ascii="Verdana" w:hAnsi="Verdana"/>
          <w:sz w:val="20"/>
          <w:lang w:val="pt-BR"/>
        </w:rPr>
      </w:pPr>
    </w:p>
    <w:p w14:paraId="15AB5236" w14:textId="77777777" w:rsidR="008E295C" w:rsidRDefault="008E295C" w:rsidP="008E295C">
      <w:pPr>
        <w:spacing w:after="0" w:line="240" w:lineRule="auto"/>
        <w:rPr>
          <w:rFonts w:ascii="Verdana" w:hAnsi="Verdana"/>
          <w:sz w:val="20"/>
          <w:lang w:val="pt-BR"/>
        </w:rPr>
      </w:pPr>
    </w:p>
    <w:p w14:paraId="687DA221" w14:textId="16AE3BBD" w:rsidR="008E295C" w:rsidRDefault="008E295C" w:rsidP="008E295C">
      <w:pPr>
        <w:spacing w:after="0" w:line="240" w:lineRule="auto"/>
        <w:rPr>
          <w:rFonts w:ascii="Verdana" w:hAnsi="Verdana"/>
          <w:sz w:val="20"/>
          <w:lang w:val="pt-BR"/>
        </w:rPr>
      </w:pPr>
      <w:r>
        <w:rPr>
          <w:rFonts w:ascii="Verdana" w:hAnsi="Verdana"/>
          <w:sz w:val="20"/>
          <w:lang w:val="pt-BR"/>
        </w:rPr>
        <w:t xml:space="preserve">Eduardo </w:t>
      </w:r>
      <w:proofErr w:type="spellStart"/>
      <w:r>
        <w:rPr>
          <w:rFonts w:ascii="Verdana" w:hAnsi="Verdana"/>
          <w:sz w:val="20"/>
          <w:lang w:val="pt-BR"/>
        </w:rPr>
        <w:t>Vio</w:t>
      </w:r>
      <w:proofErr w:type="spellEnd"/>
      <w:r>
        <w:rPr>
          <w:rFonts w:ascii="Verdana" w:hAnsi="Verdana"/>
          <w:sz w:val="20"/>
          <w:lang w:val="pt-BR"/>
        </w:rPr>
        <w:t xml:space="preserve"> Grossi</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Humberto </w:t>
      </w:r>
      <w:proofErr w:type="spellStart"/>
      <w:r>
        <w:rPr>
          <w:rFonts w:ascii="Verdana" w:hAnsi="Verdana"/>
          <w:sz w:val="20"/>
          <w:lang w:val="pt-BR"/>
        </w:rPr>
        <w:t>Antonio</w:t>
      </w:r>
      <w:proofErr w:type="spellEnd"/>
      <w:r>
        <w:rPr>
          <w:rFonts w:ascii="Verdana" w:hAnsi="Verdana"/>
          <w:sz w:val="20"/>
          <w:lang w:val="pt-BR"/>
        </w:rPr>
        <w:t xml:space="preserve"> </w:t>
      </w:r>
      <w:proofErr w:type="spellStart"/>
      <w:r>
        <w:rPr>
          <w:rFonts w:ascii="Verdana" w:hAnsi="Verdana"/>
          <w:sz w:val="20"/>
          <w:lang w:val="pt-BR"/>
        </w:rPr>
        <w:t>Sierra</w:t>
      </w:r>
      <w:proofErr w:type="spellEnd"/>
      <w:r>
        <w:rPr>
          <w:rFonts w:ascii="Verdana" w:hAnsi="Verdana"/>
          <w:sz w:val="20"/>
          <w:lang w:val="pt-BR"/>
        </w:rPr>
        <w:t xml:space="preserve"> Porto</w:t>
      </w:r>
      <w:r>
        <w:rPr>
          <w:rFonts w:ascii="Verdana" w:hAnsi="Verdana"/>
          <w:sz w:val="20"/>
          <w:lang w:val="pt-BR"/>
        </w:rPr>
        <w:tab/>
      </w:r>
    </w:p>
    <w:p w14:paraId="36C1B4E4" w14:textId="77777777" w:rsidR="008E295C" w:rsidRDefault="008E295C" w:rsidP="008E295C">
      <w:pPr>
        <w:spacing w:after="0" w:line="240" w:lineRule="auto"/>
        <w:rPr>
          <w:rFonts w:ascii="Verdana" w:hAnsi="Verdana"/>
          <w:sz w:val="20"/>
          <w:lang w:val="pt-BR"/>
        </w:rPr>
      </w:pPr>
    </w:p>
    <w:p w14:paraId="40454DB1" w14:textId="77777777" w:rsidR="008E295C" w:rsidRDefault="008E295C" w:rsidP="008E295C">
      <w:pPr>
        <w:spacing w:after="0" w:line="240" w:lineRule="auto"/>
        <w:rPr>
          <w:rFonts w:ascii="Verdana" w:hAnsi="Verdana"/>
          <w:sz w:val="20"/>
          <w:lang w:val="pt-BR"/>
        </w:rPr>
      </w:pPr>
    </w:p>
    <w:p w14:paraId="3DC2685A" w14:textId="77777777" w:rsidR="008E295C" w:rsidRDefault="008E295C" w:rsidP="008E295C">
      <w:pPr>
        <w:spacing w:after="0" w:line="240" w:lineRule="auto"/>
        <w:rPr>
          <w:rFonts w:ascii="Verdana" w:hAnsi="Verdana"/>
          <w:sz w:val="20"/>
          <w:lang w:val="pt-BR"/>
        </w:rPr>
      </w:pPr>
    </w:p>
    <w:p w14:paraId="662A117F" w14:textId="77777777" w:rsidR="008E295C" w:rsidRDefault="008E295C" w:rsidP="008E295C">
      <w:pPr>
        <w:spacing w:after="0" w:line="240" w:lineRule="auto"/>
        <w:rPr>
          <w:rFonts w:ascii="Verdana" w:hAnsi="Verdana"/>
          <w:sz w:val="20"/>
          <w:lang w:val="pt-BR"/>
        </w:rPr>
      </w:pPr>
    </w:p>
    <w:p w14:paraId="76EE15F1" w14:textId="77777777" w:rsidR="008E295C" w:rsidRDefault="008E295C" w:rsidP="008E295C">
      <w:pPr>
        <w:spacing w:after="0" w:line="240" w:lineRule="auto"/>
        <w:rPr>
          <w:rFonts w:ascii="Verdana" w:hAnsi="Verdana"/>
          <w:sz w:val="20"/>
          <w:lang w:val="pt-BR"/>
        </w:rPr>
      </w:pPr>
    </w:p>
    <w:p w14:paraId="26CCB277" w14:textId="1F77FCD6" w:rsidR="008E295C" w:rsidRDefault="008E295C" w:rsidP="008E295C">
      <w:pPr>
        <w:spacing w:after="0" w:line="240" w:lineRule="auto"/>
        <w:rPr>
          <w:rFonts w:ascii="Verdana" w:hAnsi="Verdana"/>
          <w:sz w:val="20"/>
          <w:lang w:val="pt-BR"/>
        </w:rPr>
      </w:pPr>
      <w:r>
        <w:rPr>
          <w:rFonts w:ascii="Verdana" w:hAnsi="Verdana"/>
          <w:sz w:val="20"/>
          <w:lang w:val="pt-BR"/>
        </w:rPr>
        <w:t xml:space="preserve">Eduardo Ferrer </w:t>
      </w:r>
      <w:proofErr w:type="spellStart"/>
      <w:r>
        <w:rPr>
          <w:rFonts w:ascii="Verdana" w:hAnsi="Verdana"/>
          <w:sz w:val="20"/>
          <w:lang w:val="pt-BR"/>
        </w:rPr>
        <w:t>Mac-Gregor</w:t>
      </w:r>
      <w:proofErr w:type="spellEnd"/>
      <w:r>
        <w:rPr>
          <w:rFonts w:ascii="Verdana" w:hAnsi="Verdana"/>
          <w:sz w:val="20"/>
          <w:lang w:val="pt-BR"/>
        </w:rPr>
        <w:t xml:space="preserve"> </w:t>
      </w:r>
      <w:proofErr w:type="spellStart"/>
      <w:r>
        <w:rPr>
          <w:rFonts w:ascii="Verdana" w:hAnsi="Verdana"/>
          <w:sz w:val="20"/>
          <w:lang w:val="pt-BR"/>
        </w:rPr>
        <w:t>Poisot</w:t>
      </w:r>
      <w:proofErr w:type="spellEnd"/>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proofErr w:type="gramStart"/>
      <w:r>
        <w:rPr>
          <w:rFonts w:ascii="Verdana" w:hAnsi="Verdana"/>
          <w:sz w:val="20"/>
          <w:lang w:val="pt-BR"/>
        </w:rPr>
        <w:t xml:space="preserve">  </w:t>
      </w:r>
      <w:proofErr w:type="gramEnd"/>
      <w:r>
        <w:rPr>
          <w:rFonts w:ascii="Verdana" w:hAnsi="Verdana"/>
          <w:sz w:val="20"/>
          <w:lang w:val="pt-BR"/>
        </w:rPr>
        <w:t xml:space="preserve">Eugenio </w:t>
      </w:r>
      <w:proofErr w:type="spellStart"/>
      <w:r>
        <w:rPr>
          <w:rFonts w:ascii="Verdana" w:hAnsi="Verdana"/>
          <w:sz w:val="20"/>
          <w:lang w:val="pt-BR"/>
        </w:rPr>
        <w:t>Raúl</w:t>
      </w:r>
      <w:proofErr w:type="spellEnd"/>
      <w:r>
        <w:rPr>
          <w:rFonts w:ascii="Verdana" w:hAnsi="Verdana"/>
          <w:sz w:val="20"/>
          <w:lang w:val="pt-BR"/>
        </w:rPr>
        <w:t xml:space="preserve"> </w:t>
      </w:r>
      <w:proofErr w:type="spellStart"/>
      <w:r>
        <w:rPr>
          <w:rFonts w:ascii="Verdana" w:hAnsi="Verdana"/>
          <w:sz w:val="20"/>
          <w:lang w:val="pt-BR"/>
        </w:rPr>
        <w:t>Zaffaroni</w:t>
      </w:r>
      <w:proofErr w:type="spellEnd"/>
    </w:p>
    <w:p w14:paraId="15E75913" w14:textId="77777777" w:rsidR="008E295C" w:rsidRDefault="008E295C" w:rsidP="008E295C">
      <w:pPr>
        <w:spacing w:after="0" w:line="240" w:lineRule="auto"/>
        <w:rPr>
          <w:rFonts w:ascii="Verdana" w:hAnsi="Verdana"/>
          <w:sz w:val="20"/>
          <w:lang w:val="pt-BR"/>
        </w:rPr>
      </w:pPr>
    </w:p>
    <w:p w14:paraId="6750D935" w14:textId="77777777" w:rsidR="008E295C" w:rsidRDefault="008E295C" w:rsidP="008E295C">
      <w:pPr>
        <w:spacing w:after="0" w:line="240" w:lineRule="auto"/>
        <w:rPr>
          <w:rFonts w:ascii="Verdana" w:hAnsi="Verdana"/>
          <w:sz w:val="20"/>
          <w:lang w:val="pt-BR"/>
        </w:rPr>
      </w:pPr>
    </w:p>
    <w:p w14:paraId="23A9C602" w14:textId="77777777" w:rsidR="008E295C" w:rsidRDefault="008E295C" w:rsidP="008E295C">
      <w:pPr>
        <w:spacing w:after="0" w:line="240" w:lineRule="auto"/>
        <w:rPr>
          <w:rFonts w:ascii="Verdana" w:hAnsi="Verdana"/>
          <w:sz w:val="20"/>
          <w:lang w:val="pt-BR"/>
        </w:rPr>
      </w:pPr>
    </w:p>
    <w:p w14:paraId="724A4464" w14:textId="77777777" w:rsidR="008E295C" w:rsidRDefault="008E295C" w:rsidP="008E295C">
      <w:pPr>
        <w:spacing w:after="0" w:line="240" w:lineRule="auto"/>
        <w:rPr>
          <w:rFonts w:ascii="Verdana" w:hAnsi="Verdana"/>
          <w:sz w:val="20"/>
          <w:lang w:val="pt-BR"/>
        </w:rPr>
      </w:pPr>
    </w:p>
    <w:p w14:paraId="262EA2AC" w14:textId="77777777" w:rsidR="008E295C" w:rsidRDefault="008E295C" w:rsidP="008E295C">
      <w:pPr>
        <w:spacing w:after="0" w:line="240" w:lineRule="auto"/>
        <w:rPr>
          <w:rFonts w:ascii="Verdana" w:hAnsi="Verdana"/>
          <w:sz w:val="20"/>
          <w:lang w:val="pt-BR"/>
        </w:rPr>
      </w:pPr>
    </w:p>
    <w:p w14:paraId="66235B27" w14:textId="77777777" w:rsidR="008E295C" w:rsidRPr="0019261A" w:rsidRDefault="008E295C" w:rsidP="008E295C">
      <w:pPr>
        <w:spacing w:after="0" w:line="240" w:lineRule="auto"/>
        <w:jc w:val="center"/>
        <w:rPr>
          <w:rFonts w:ascii="Verdana" w:hAnsi="Verdana"/>
          <w:sz w:val="20"/>
          <w:lang w:val="pt-BR"/>
        </w:rPr>
      </w:pPr>
      <w:r>
        <w:rPr>
          <w:rFonts w:ascii="Verdana" w:hAnsi="Verdana"/>
          <w:sz w:val="20"/>
          <w:lang w:val="pt-BR"/>
        </w:rPr>
        <w:t xml:space="preserve">Ricardo C. Pérez </w:t>
      </w:r>
      <w:proofErr w:type="spellStart"/>
      <w:r>
        <w:rPr>
          <w:rFonts w:ascii="Verdana" w:hAnsi="Verdana"/>
          <w:sz w:val="20"/>
          <w:lang w:val="pt-BR"/>
        </w:rPr>
        <w:t>Manrique</w:t>
      </w:r>
      <w:proofErr w:type="spellEnd"/>
    </w:p>
    <w:p w14:paraId="756CC99F" w14:textId="77777777" w:rsidR="008E295C" w:rsidRDefault="008E295C" w:rsidP="008E295C">
      <w:pPr>
        <w:spacing w:after="0" w:line="240" w:lineRule="auto"/>
        <w:jc w:val="both"/>
        <w:rPr>
          <w:rFonts w:ascii="Verdana" w:hAnsi="Verdana"/>
          <w:sz w:val="20"/>
          <w:lang w:val="pt-BR"/>
        </w:rPr>
      </w:pPr>
    </w:p>
    <w:p w14:paraId="697FCC86" w14:textId="77777777" w:rsidR="008E295C" w:rsidRDefault="008E295C" w:rsidP="008E295C">
      <w:pPr>
        <w:spacing w:after="0" w:line="240" w:lineRule="auto"/>
        <w:jc w:val="both"/>
        <w:rPr>
          <w:rFonts w:ascii="Verdana" w:hAnsi="Verdana"/>
          <w:sz w:val="20"/>
          <w:lang w:val="pt-BR"/>
        </w:rPr>
      </w:pPr>
    </w:p>
    <w:p w14:paraId="66D622F1" w14:textId="77777777" w:rsidR="008E295C" w:rsidRDefault="008E295C" w:rsidP="008E295C">
      <w:pPr>
        <w:spacing w:after="0" w:line="240" w:lineRule="auto"/>
        <w:jc w:val="both"/>
        <w:rPr>
          <w:rFonts w:ascii="Verdana" w:hAnsi="Verdana"/>
          <w:sz w:val="20"/>
          <w:lang w:val="pt-BR"/>
        </w:rPr>
      </w:pPr>
    </w:p>
    <w:p w14:paraId="400777D4" w14:textId="77777777" w:rsidR="008E295C" w:rsidRPr="0019261A" w:rsidRDefault="008E295C" w:rsidP="008E295C">
      <w:pPr>
        <w:spacing w:after="0" w:line="240" w:lineRule="auto"/>
        <w:jc w:val="both"/>
        <w:rPr>
          <w:rFonts w:ascii="Verdana" w:hAnsi="Verdana"/>
          <w:sz w:val="20"/>
          <w:lang w:val="pt-BR"/>
        </w:rPr>
      </w:pPr>
    </w:p>
    <w:p w14:paraId="798CD8A7" w14:textId="77777777" w:rsidR="008E295C" w:rsidRPr="0019261A" w:rsidRDefault="008E295C" w:rsidP="008E295C">
      <w:pPr>
        <w:spacing w:after="0" w:line="240" w:lineRule="auto"/>
        <w:jc w:val="both"/>
        <w:rPr>
          <w:rFonts w:ascii="Verdana" w:hAnsi="Verdana"/>
          <w:sz w:val="20"/>
          <w:lang w:val="pt-BR"/>
        </w:rPr>
      </w:pPr>
    </w:p>
    <w:p w14:paraId="2B607A4D" w14:textId="77777777" w:rsidR="008E295C" w:rsidRPr="00FC4051" w:rsidRDefault="008E295C" w:rsidP="008E295C">
      <w:pPr>
        <w:spacing w:after="0" w:line="240" w:lineRule="auto"/>
        <w:jc w:val="center"/>
        <w:rPr>
          <w:rFonts w:ascii="Verdana" w:hAnsi="Verdana"/>
          <w:sz w:val="20"/>
          <w:lang w:val="pt-BR"/>
        </w:rPr>
      </w:pPr>
      <w:r w:rsidRPr="00FC4051">
        <w:rPr>
          <w:rFonts w:ascii="Verdana" w:hAnsi="Verdana"/>
          <w:sz w:val="20"/>
          <w:lang w:val="pt-BR"/>
        </w:rPr>
        <w:t xml:space="preserve">Pablo Saavedra </w:t>
      </w:r>
      <w:proofErr w:type="spellStart"/>
      <w:r w:rsidRPr="00FC4051">
        <w:rPr>
          <w:rFonts w:ascii="Verdana" w:hAnsi="Verdana"/>
          <w:sz w:val="20"/>
          <w:lang w:val="pt-BR"/>
        </w:rPr>
        <w:t>Alessandri</w:t>
      </w:r>
      <w:proofErr w:type="spellEnd"/>
    </w:p>
    <w:p w14:paraId="2F40AAB9" w14:textId="77777777" w:rsidR="008E295C" w:rsidRDefault="008E295C" w:rsidP="008E295C">
      <w:pPr>
        <w:spacing w:after="0" w:line="240" w:lineRule="auto"/>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5EE2515F" w14:textId="77777777" w:rsidR="008E295C" w:rsidRPr="00FC4051" w:rsidRDefault="008E295C" w:rsidP="008E295C">
      <w:pPr>
        <w:pStyle w:val="Textonotapie"/>
        <w:rPr>
          <w:rFonts w:ascii="Verdana" w:hAnsi="Verdana"/>
          <w:lang w:val="pt-BR"/>
        </w:rPr>
      </w:pPr>
    </w:p>
    <w:p w14:paraId="2B58A55F" w14:textId="77777777" w:rsidR="008E295C" w:rsidRDefault="008E295C" w:rsidP="008E295C">
      <w:pPr>
        <w:pStyle w:val="Textonotapie"/>
        <w:rPr>
          <w:rFonts w:ascii="Verdana" w:hAnsi="Verdana"/>
          <w:lang w:val="pt-BR"/>
        </w:rPr>
      </w:pPr>
    </w:p>
    <w:p w14:paraId="02CCEAA8" w14:textId="77777777" w:rsidR="008E295C" w:rsidRPr="00FC4051" w:rsidRDefault="008E295C" w:rsidP="008E295C">
      <w:pPr>
        <w:pStyle w:val="Textonotapie"/>
        <w:rPr>
          <w:rFonts w:ascii="Verdana" w:hAnsi="Verdana"/>
          <w:lang w:val="pt-BR"/>
        </w:rPr>
      </w:pPr>
    </w:p>
    <w:p w14:paraId="2A0A586B" w14:textId="4909FE92" w:rsidR="008E295C" w:rsidRPr="00FC4051" w:rsidRDefault="008E295C" w:rsidP="008E295C">
      <w:pPr>
        <w:spacing w:after="0" w:line="240" w:lineRule="auto"/>
        <w:jc w:val="both"/>
        <w:rPr>
          <w:rFonts w:ascii="Verdana" w:hAnsi="Verdana"/>
          <w:sz w:val="20"/>
          <w:lang w:val="pt-BR"/>
        </w:rPr>
      </w:pPr>
      <w:proofErr w:type="spellStart"/>
      <w:r>
        <w:rPr>
          <w:rFonts w:ascii="Verdana" w:hAnsi="Verdana"/>
          <w:sz w:val="20"/>
          <w:lang w:val="pt-BR"/>
        </w:rPr>
        <w:t>Comuníquese</w:t>
      </w:r>
      <w:proofErr w:type="spellEnd"/>
      <w:r>
        <w:rPr>
          <w:rFonts w:ascii="Verdana" w:hAnsi="Verdana"/>
          <w:sz w:val="20"/>
          <w:lang w:val="pt-BR"/>
        </w:rPr>
        <w:t xml:space="preserve"> y </w:t>
      </w:r>
      <w:proofErr w:type="spellStart"/>
      <w:r>
        <w:rPr>
          <w:rFonts w:ascii="Verdana" w:hAnsi="Verdana"/>
          <w:sz w:val="20"/>
          <w:lang w:val="pt-BR"/>
        </w:rPr>
        <w:t>ejecútese</w:t>
      </w:r>
      <w:proofErr w:type="spellEnd"/>
      <w:r w:rsidRPr="00FC4051">
        <w:rPr>
          <w:rFonts w:ascii="Verdana" w:hAnsi="Verdana"/>
          <w:sz w:val="20"/>
          <w:lang w:val="pt-BR"/>
        </w:rPr>
        <w:t>,</w:t>
      </w:r>
    </w:p>
    <w:p w14:paraId="69EEC9B1" w14:textId="77777777" w:rsidR="008E295C" w:rsidRDefault="008E295C" w:rsidP="008E295C">
      <w:pPr>
        <w:spacing w:after="0" w:line="240" w:lineRule="auto"/>
        <w:jc w:val="center"/>
        <w:rPr>
          <w:rFonts w:ascii="Verdana" w:hAnsi="Verdana"/>
          <w:sz w:val="20"/>
          <w:lang w:val="pt-BR"/>
        </w:rPr>
      </w:pPr>
    </w:p>
    <w:p w14:paraId="08BC6B2D" w14:textId="77777777" w:rsidR="008E295C" w:rsidRDefault="008E295C" w:rsidP="008E295C">
      <w:pPr>
        <w:spacing w:after="0" w:line="240" w:lineRule="auto"/>
        <w:jc w:val="center"/>
        <w:rPr>
          <w:rFonts w:ascii="Verdana" w:hAnsi="Verdana"/>
          <w:sz w:val="20"/>
          <w:lang w:val="pt-BR"/>
        </w:rPr>
      </w:pPr>
    </w:p>
    <w:p w14:paraId="3F684D4D" w14:textId="77777777" w:rsidR="008E295C" w:rsidRPr="00FC4051" w:rsidRDefault="008E295C" w:rsidP="008E295C">
      <w:pPr>
        <w:spacing w:after="0" w:line="240" w:lineRule="auto"/>
        <w:jc w:val="right"/>
        <w:rPr>
          <w:rFonts w:ascii="Verdana" w:hAnsi="Verdana"/>
          <w:sz w:val="20"/>
          <w:lang w:val="pt-BR"/>
        </w:rPr>
      </w:pPr>
    </w:p>
    <w:p w14:paraId="1F6A6668" w14:textId="3BF4C767" w:rsidR="008E295C" w:rsidRDefault="008E295C" w:rsidP="008E295C">
      <w:pPr>
        <w:spacing w:after="0" w:line="240" w:lineRule="auto"/>
        <w:jc w:val="center"/>
        <w:rPr>
          <w:rFonts w:ascii="Verdana" w:hAnsi="Verdana"/>
          <w:sz w:val="20"/>
          <w:lang w:val="pt-BR"/>
        </w:rPr>
      </w:pPr>
      <w:r>
        <w:rPr>
          <w:rFonts w:ascii="Verdana" w:hAnsi="Verdana"/>
          <w:sz w:val="20"/>
          <w:lang w:val="pt-BR"/>
        </w:rPr>
        <w:t xml:space="preserve">                                                                                            Elizabeth </w:t>
      </w:r>
      <w:proofErr w:type="spellStart"/>
      <w:r>
        <w:rPr>
          <w:rFonts w:ascii="Verdana" w:hAnsi="Verdana"/>
          <w:sz w:val="20"/>
          <w:lang w:val="pt-BR"/>
        </w:rPr>
        <w:t>Odio</w:t>
      </w:r>
      <w:proofErr w:type="spellEnd"/>
      <w:r>
        <w:rPr>
          <w:rFonts w:ascii="Verdana" w:hAnsi="Verdana"/>
          <w:sz w:val="20"/>
          <w:lang w:val="pt-BR"/>
        </w:rPr>
        <w:t xml:space="preserve"> Benito</w:t>
      </w:r>
    </w:p>
    <w:p w14:paraId="4FE758AE" w14:textId="580B6AB8" w:rsidR="008E295C" w:rsidRDefault="008E295C" w:rsidP="008E295C">
      <w:pPr>
        <w:spacing w:after="0" w:line="240" w:lineRule="auto"/>
        <w:ind w:firstLine="720"/>
        <w:rPr>
          <w:rFonts w:ascii="Verdana" w:hAnsi="Verdana"/>
          <w:sz w:val="20"/>
          <w:lang w:val="pt-BR"/>
        </w:rPr>
      </w:pPr>
      <w:r>
        <w:rPr>
          <w:rFonts w:ascii="Verdana" w:hAnsi="Verdana"/>
          <w:sz w:val="20"/>
          <w:lang w:val="pt-BR"/>
        </w:rPr>
        <w:t xml:space="preserve">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Presidenta</w:t>
      </w:r>
    </w:p>
    <w:p w14:paraId="7941EE30" w14:textId="77777777" w:rsidR="008E295C" w:rsidRPr="00FC4051" w:rsidRDefault="008E295C" w:rsidP="008E295C">
      <w:pPr>
        <w:spacing w:after="0" w:line="240" w:lineRule="auto"/>
        <w:jc w:val="both"/>
        <w:rPr>
          <w:rFonts w:ascii="Verdana" w:hAnsi="Verdana"/>
          <w:sz w:val="20"/>
          <w:lang w:val="pt-BR"/>
        </w:rPr>
      </w:pPr>
    </w:p>
    <w:p w14:paraId="277E15AB" w14:textId="77777777" w:rsidR="008E295C" w:rsidRPr="00FC4051" w:rsidRDefault="008E295C" w:rsidP="008E295C">
      <w:pPr>
        <w:spacing w:after="0" w:line="240" w:lineRule="auto"/>
        <w:jc w:val="both"/>
        <w:rPr>
          <w:rFonts w:ascii="Verdana" w:hAnsi="Verdana"/>
          <w:sz w:val="20"/>
          <w:lang w:val="pt-BR"/>
        </w:rPr>
      </w:pPr>
    </w:p>
    <w:p w14:paraId="2B120C33" w14:textId="77777777" w:rsidR="008E295C" w:rsidRPr="00FC4051" w:rsidRDefault="008E295C" w:rsidP="008E295C">
      <w:pPr>
        <w:spacing w:after="0" w:line="240" w:lineRule="auto"/>
        <w:jc w:val="both"/>
        <w:rPr>
          <w:rFonts w:ascii="Verdana" w:hAnsi="Verdana"/>
          <w:sz w:val="20"/>
          <w:lang w:val="pt-BR"/>
        </w:rPr>
      </w:pPr>
      <w:r w:rsidRPr="00FC4051">
        <w:rPr>
          <w:rFonts w:ascii="Verdana" w:hAnsi="Verdana"/>
          <w:sz w:val="20"/>
          <w:lang w:val="pt-BR"/>
        </w:rPr>
        <w:t xml:space="preserve">Pablo Saavedra </w:t>
      </w:r>
      <w:proofErr w:type="spellStart"/>
      <w:r w:rsidRPr="00FC4051">
        <w:rPr>
          <w:rFonts w:ascii="Verdana" w:hAnsi="Verdana"/>
          <w:sz w:val="20"/>
          <w:lang w:val="pt-BR"/>
        </w:rPr>
        <w:t>Alessandri</w:t>
      </w:r>
      <w:proofErr w:type="spellEnd"/>
    </w:p>
    <w:p w14:paraId="6E6ADA84" w14:textId="77777777" w:rsidR="008E295C" w:rsidRPr="007E10A8" w:rsidRDefault="008E295C" w:rsidP="008E295C">
      <w:pPr>
        <w:spacing w:after="0" w:line="240" w:lineRule="auto"/>
        <w:rPr>
          <w:lang w:val="es-ES"/>
        </w:rPr>
      </w:pPr>
      <w:r>
        <w:rPr>
          <w:rFonts w:ascii="Verdana" w:hAnsi="Verdana"/>
          <w:sz w:val="20"/>
          <w:lang w:val="pt-BR"/>
        </w:rPr>
        <w:t xml:space="preserve">          </w:t>
      </w:r>
      <w:r w:rsidRPr="0019261A">
        <w:rPr>
          <w:rFonts w:ascii="Verdana" w:hAnsi="Verdana"/>
          <w:sz w:val="20"/>
          <w:lang w:val="es-ES"/>
        </w:rPr>
        <w:t>Secret</w:t>
      </w:r>
      <w:r>
        <w:rPr>
          <w:rFonts w:ascii="Verdana" w:hAnsi="Verdana"/>
          <w:sz w:val="20"/>
          <w:lang w:val="es-ES"/>
        </w:rPr>
        <w:t>ario</w:t>
      </w:r>
    </w:p>
    <w:sectPr w:rsidR="008E295C" w:rsidRPr="007E10A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977D20" w14:textId="77777777" w:rsidR="005F7D12" w:rsidRDefault="005F7D12" w:rsidP="005E2829">
      <w:pPr>
        <w:spacing w:after="0" w:line="240" w:lineRule="auto"/>
      </w:pPr>
      <w:r>
        <w:separator/>
      </w:r>
    </w:p>
  </w:endnote>
  <w:endnote w:type="continuationSeparator" w:id="0">
    <w:p w14:paraId="05049031" w14:textId="77777777" w:rsidR="005F7D12" w:rsidRDefault="005F7D12" w:rsidP="005E2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5652422"/>
      <w:docPartObj>
        <w:docPartGallery w:val="Page Numbers (Bottom of Page)"/>
        <w:docPartUnique/>
      </w:docPartObj>
    </w:sdtPr>
    <w:sdtEndPr/>
    <w:sdtContent>
      <w:p w14:paraId="0EF7CEF3" w14:textId="2A1BBA20" w:rsidR="005A4119" w:rsidRDefault="005A4119">
        <w:pPr>
          <w:pStyle w:val="Piedepgina"/>
          <w:jc w:val="center"/>
        </w:pPr>
        <w:r>
          <w:fldChar w:fldCharType="begin"/>
        </w:r>
        <w:r>
          <w:instrText>PAGE   \* MERGEFORMAT</w:instrText>
        </w:r>
        <w:r>
          <w:fldChar w:fldCharType="separate"/>
        </w:r>
        <w:r w:rsidR="007A2B74" w:rsidRPr="007A2B74">
          <w:rPr>
            <w:noProof/>
            <w:lang w:val="es-ES"/>
          </w:rPr>
          <w:t>2</w:t>
        </w:r>
        <w:r>
          <w:fldChar w:fldCharType="end"/>
        </w:r>
      </w:p>
    </w:sdtContent>
  </w:sdt>
  <w:p w14:paraId="395902BA" w14:textId="77777777" w:rsidR="005A4119" w:rsidRDefault="005A41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6AE693" w14:textId="77777777" w:rsidR="005F7D12" w:rsidRDefault="005F7D12" w:rsidP="005E2829">
      <w:pPr>
        <w:spacing w:after="0" w:line="240" w:lineRule="auto"/>
      </w:pPr>
      <w:r>
        <w:separator/>
      </w:r>
    </w:p>
  </w:footnote>
  <w:footnote w:type="continuationSeparator" w:id="0">
    <w:p w14:paraId="27F55767" w14:textId="77777777" w:rsidR="005F7D12" w:rsidRDefault="005F7D12" w:rsidP="005E2829">
      <w:pPr>
        <w:spacing w:after="0" w:line="240" w:lineRule="auto"/>
      </w:pPr>
      <w:r>
        <w:continuationSeparator/>
      </w:r>
    </w:p>
  </w:footnote>
  <w:footnote w:id="1">
    <w:p w14:paraId="17F72DD2" w14:textId="77777777" w:rsidR="005A4119" w:rsidRDefault="005A4119" w:rsidP="00414DEF">
      <w:pPr>
        <w:pStyle w:val="Textonotapie"/>
        <w:jc w:val="both"/>
        <w:rPr>
          <w:rFonts w:ascii="Verdana" w:hAnsi="Verdana"/>
          <w:sz w:val="16"/>
          <w:szCs w:val="16"/>
        </w:rPr>
      </w:pPr>
      <w:r w:rsidRPr="00E07388">
        <w:rPr>
          <w:rStyle w:val="Refdenotaalpie"/>
          <w:rFonts w:ascii="Verdana" w:hAnsi="Verdana"/>
          <w:sz w:val="16"/>
          <w:szCs w:val="16"/>
        </w:rPr>
        <w:t>*</w:t>
      </w:r>
      <w:r w:rsidRPr="00E07388">
        <w:rPr>
          <w:rFonts w:ascii="Verdana" w:hAnsi="Verdana"/>
          <w:sz w:val="16"/>
          <w:szCs w:val="16"/>
        </w:rPr>
        <w:t xml:space="preserve"> El Juez L Patricio Pazmiño, Vicepresidente de la Corte, de nacionalidad ecuatoriana, no participó en la tramitación del presente caso ni en la deliberación y firma de esta Sentencia, de conformidad con lo dispuesto en los artículos 19.1 y 19.2 del Reglamento de la Corte.</w:t>
      </w:r>
    </w:p>
    <w:p w14:paraId="47C748CE" w14:textId="77777777" w:rsidR="005A4119" w:rsidRPr="00E07388" w:rsidRDefault="005A4119" w:rsidP="00414DEF">
      <w:pPr>
        <w:pStyle w:val="Textonotapie"/>
        <w:jc w:val="both"/>
        <w:rPr>
          <w:rFonts w:ascii="Verdana" w:hAnsi="Verdana"/>
          <w:sz w:val="16"/>
          <w:szCs w:val="16"/>
        </w:rPr>
      </w:pPr>
    </w:p>
  </w:footnote>
  <w:footnote w:id="2">
    <w:p w14:paraId="00A59F25" w14:textId="0BBF7856"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t xml:space="preserve">Afirmó que sometió el caso a este Tribunal por “la necesidad de obtención de justicia en el caso particular”. Designó como sus delegados a la Comisionada Esmeralda Arosemena de </w:t>
      </w:r>
      <w:proofErr w:type="spellStart"/>
      <w:r w:rsidRPr="00E07388">
        <w:rPr>
          <w:rFonts w:ascii="Verdana" w:hAnsi="Verdana"/>
          <w:sz w:val="16"/>
          <w:szCs w:val="16"/>
        </w:rPr>
        <w:t>Troitiño</w:t>
      </w:r>
      <w:proofErr w:type="spellEnd"/>
      <w:r w:rsidRPr="00E07388">
        <w:rPr>
          <w:rFonts w:ascii="Verdana" w:hAnsi="Verdana"/>
          <w:sz w:val="16"/>
          <w:szCs w:val="16"/>
        </w:rPr>
        <w:t xml:space="preserve"> y al Secretario Ejecutivo Paulo </w:t>
      </w:r>
      <w:proofErr w:type="spellStart"/>
      <w:r w:rsidRPr="00E07388">
        <w:rPr>
          <w:rFonts w:ascii="Verdana" w:hAnsi="Verdana"/>
          <w:sz w:val="16"/>
          <w:szCs w:val="16"/>
        </w:rPr>
        <w:t>Abrão</w:t>
      </w:r>
      <w:proofErr w:type="spellEnd"/>
      <w:r w:rsidRPr="00E07388">
        <w:rPr>
          <w:rFonts w:ascii="Verdana" w:hAnsi="Verdana"/>
          <w:sz w:val="16"/>
          <w:szCs w:val="16"/>
        </w:rPr>
        <w:t xml:space="preserve">, y a Elizabeth </w:t>
      </w:r>
      <w:proofErr w:type="spellStart"/>
      <w:r w:rsidRPr="00E07388">
        <w:rPr>
          <w:rFonts w:ascii="Verdana" w:hAnsi="Verdana"/>
          <w:sz w:val="16"/>
          <w:szCs w:val="16"/>
        </w:rPr>
        <w:t>Abi</w:t>
      </w:r>
      <w:proofErr w:type="spellEnd"/>
      <w:r w:rsidRPr="00E07388">
        <w:rPr>
          <w:rFonts w:ascii="Verdana" w:hAnsi="Verdana"/>
          <w:sz w:val="16"/>
          <w:szCs w:val="16"/>
        </w:rPr>
        <w:t xml:space="preserve">- </w:t>
      </w:r>
      <w:proofErr w:type="spellStart"/>
      <w:r w:rsidRPr="00E07388">
        <w:rPr>
          <w:rFonts w:ascii="Verdana" w:hAnsi="Verdana"/>
          <w:sz w:val="16"/>
          <w:szCs w:val="16"/>
        </w:rPr>
        <w:t>Mershed</w:t>
      </w:r>
      <w:proofErr w:type="spellEnd"/>
      <w:r w:rsidRPr="00E07388">
        <w:rPr>
          <w:rFonts w:ascii="Verdana" w:hAnsi="Verdana"/>
          <w:sz w:val="16"/>
          <w:szCs w:val="16"/>
        </w:rPr>
        <w:t xml:space="preserve">, </w:t>
      </w:r>
      <w:r>
        <w:rPr>
          <w:rFonts w:ascii="Verdana" w:hAnsi="Verdana"/>
          <w:sz w:val="16"/>
          <w:szCs w:val="16"/>
        </w:rPr>
        <w:t xml:space="preserve">entonces </w:t>
      </w:r>
      <w:r w:rsidRPr="00E07388">
        <w:rPr>
          <w:rFonts w:ascii="Verdana" w:hAnsi="Verdana"/>
          <w:sz w:val="16"/>
          <w:szCs w:val="16"/>
        </w:rPr>
        <w:t xml:space="preserve">Secretaria Ejecutiva Adjunta, Silvia Serrano Guzmán y Erick Acuña Pereda como asesoras legales y asesor legal. </w:t>
      </w:r>
    </w:p>
    <w:p w14:paraId="7D30D7AC" w14:textId="77777777" w:rsidR="005A4119" w:rsidRPr="00E07388" w:rsidRDefault="005A4119" w:rsidP="00414DEF">
      <w:pPr>
        <w:pStyle w:val="Textonotapie"/>
        <w:jc w:val="both"/>
        <w:rPr>
          <w:rFonts w:ascii="Verdana" w:hAnsi="Verdana"/>
          <w:sz w:val="16"/>
          <w:szCs w:val="16"/>
        </w:rPr>
      </w:pPr>
    </w:p>
  </w:footnote>
  <w:footnote w:id="3">
    <w:p w14:paraId="6CD6F75A" w14:textId="01FBAAAD"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t xml:space="preserve">La Comisión concluyó que Ecuador es responsable por la violación de los derechos a la libertad personal, garantías judiciales y protección judicial, establecidos en los artículos 7.1, 7.3, 7.5, 8.1 y 8.2 de la Convención Americana, en relación con obligaciones establecidas en los artículos 1.1 y 2 del mismo tratado. </w:t>
      </w:r>
    </w:p>
    <w:p w14:paraId="55CEDF37" w14:textId="77777777" w:rsidR="005A4119" w:rsidRPr="00E07388" w:rsidRDefault="005A4119" w:rsidP="00414DEF">
      <w:pPr>
        <w:pStyle w:val="Textonotapie"/>
        <w:jc w:val="both"/>
        <w:rPr>
          <w:rFonts w:ascii="Verdana" w:hAnsi="Verdana"/>
          <w:sz w:val="16"/>
          <w:szCs w:val="16"/>
        </w:rPr>
      </w:pPr>
    </w:p>
  </w:footnote>
  <w:footnote w:id="4">
    <w:p w14:paraId="0DDC1848" w14:textId="2ECF726F" w:rsidR="005A4119" w:rsidRPr="00E07388" w:rsidRDefault="005A4119" w:rsidP="00414DEF">
      <w:pPr>
        <w:pStyle w:val="Textonotapie"/>
        <w:jc w:val="both"/>
        <w:rPr>
          <w:rFonts w:ascii="Verdana" w:hAnsi="Verdana"/>
          <w:b/>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t>Ecuador presentó informes a la Comisión sobre el cumplimiento de sus recomendaciones al menos los días 5 de septiembre de 2017, 4 de enero de 2018 y 29 de marzo de 2018. Es útil resaltar que la Comisión recomendó al Estado “[r]</w:t>
      </w:r>
      <w:proofErr w:type="spellStart"/>
      <w:r w:rsidRPr="00E07388">
        <w:rPr>
          <w:rFonts w:ascii="Verdana" w:hAnsi="Verdana"/>
          <w:sz w:val="16"/>
          <w:szCs w:val="16"/>
        </w:rPr>
        <w:t>eparar</w:t>
      </w:r>
      <w:proofErr w:type="spellEnd"/>
      <w:r w:rsidRPr="00E07388">
        <w:rPr>
          <w:rFonts w:ascii="Verdana" w:hAnsi="Verdana"/>
          <w:sz w:val="16"/>
          <w:szCs w:val="16"/>
        </w:rPr>
        <w:t xml:space="preserve"> integralmente al señor […] Carranza” y “[d]</w:t>
      </w:r>
      <w:proofErr w:type="spellStart"/>
      <w:r w:rsidRPr="00E07388">
        <w:rPr>
          <w:rFonts w:ascii="Verdana" w:hAnsi="Verdana"/>
          <w:sz w:val="16"/>
          <w:szCs w:val="16"/>
        </w:rPr>
        <w:t>isponer</w:t>
      </w:r>
      <w:proofErr w:type="spellEnd"/>
      <w:r w:rsidRPr="00E07388">
        <w:rPr>
          <w:rFonts w:ascii="Verdana" w:hAnsi="Verdana"/>
          <w:sz w:val="16"/>
          <w:szCs w:val="16"/>
        </w:rPr>
        <w:t xml:space="preserve"> las medidas de no repetición necesarias para asegurar que tanto la normativa aplicable como las prácticas respectivas en materia de detención preventiva sean compatibles con los estándares establecidos en el [Informe de Fondo]”. Interesa destacar que en un escrito fechado el 26 de diciembre de 2017, remitido el 4 de enero de 2018 a la Comisión, el Estado, respecto a la primera recomendación, expresó que había “emprendido esfuerzos” para localizar al señor Carranza, y respecto de la segunda recomendación, hizo notar que en 2014 había entrado en vigencia el Código Orgánico Integral Penal, que modificó el régimen legal de la prisión preventiva de modo que, a criterio del Estado, “guarda armonía con los estándares establecidos por la C[omisión]”. Además, informó acciones de capacitación a personal policial, con un “enfoque basado en derechos humanos”, en las que se incluyó un módulo sobre “prisión preventiva”. Luego el Estado envió a la Comisión copia de un escrito de 25 de enero de 2018 del abogado del señor Carranza, dirigido a autoridades estatales, en que dicho abogado dijo estar intentando localizar al señor Carranza y manifestó “</w:t>
      </w:r>
      <w:proofErr w:type="spellStart"/>
      <w:r w:rsidRPr="00E07388">
        <w:rPr>
          <w:rFonts w:ascii="Verdana" w:hAnsi="Verdana"/>
          <w:sz w:val="16"/>
          <w:szCs w:val="16"/>
        </w:rPr>
        <w:t>est</w:t>
      </w:r>
      <w:proofErr w:type="spellEnd"/>
      <w:r w:rsidRPr="00E07388">
        <w:rPr>
          <w:rFonts w:ascii="Verdana" w:hAnsi="Verdana"/>
          <w:sz w:val="16"/>
          <w:szCs w:val="16"/>
        </w:rPr>
        <w:t>[</w:t>
      </w:r>
      <w:proofErr w:type="spellStart"/>
      <w:r w:rsidRPr="00E07388">
        <w:rPr>
          <w:rFonts w:ascii="Verdana" w:hAnsi="Verdana"/>
          <w:sz w:val="16"/>
          <w:szCs w:val="16"/>
        </w:rPr>
        <w:t>ar</w:t>
      </w:r>
      <w:proofErr w:type="spellEnd"/>
      <w:r w:rsidRPr="00E07388">
        <w:rPr>
          <w:rFonts w:ascii="Verdana" w:hAnsi="Verdana"/>
          <w:sz w:val="16"/>
          <w:szCs w:val="16"/>
        </w:rPr>
        <w:t>] plenamente de acuerdo [en] que se puede canalizar ante la C[omisión] una prórroga de por lo menos dos o tres meses, para localizar al s[</w:t>
      </w:r>
      <w:proofErr w:type="spellStart"/>
      <w:r w:rsidRPr="00E07388">
        <w:rPr>
          <w:rFonts w:ascii="Verdana" w:hAnsi="Verdana"/>
          <w:sz w:val="16"/>
          <w:szCs w:val="16"/>
        </w:rPr>
        <w:t>eñor</w:t>
      </w:r>
      <w:proofErr w:type="spellEnd"/>
      <w:r w:rsidRPr="00E07388">
        <w:rPr>
          <w:rFonts w:ascii="Verdana" w:hAnsi="Verdana"/>
          <w:sz w:val="16"/>
          <w:szCs w:val="16"/>
        </w:rPr>
        <w:t>] C[</w:t>
      </w:r>
      <w:proofErr w:type="spellStart"/>
      <w:r w:rsidRPr="00E07388">
        <w:rPr>
          <w:rFonts w:ascii="Verdana" w:hAnsi="Verdana"/>
          <w:sz w:val="16"/>
          <w:szCs w:val="16"/>
        </w:rPr>
        <w:t>arranza</w:t>
      </w:r>
      <w:proofErr w:type="spellEnd"/>
      <w:r w:rsidRPr="00E07388">
        <w:rPr>
          <w:rFonts w:ascii="Verdana" w:hAnsi="Verdana"/>
          <w:sz w:val="16"/>
          <w:szCs w:val="16"/>
        </w:rPr>
        <w:t>….] y llegar a una solución amistosa del caso que conllevaría una reparación material e inmaterial”. En su última presentación, de 29 de marzo de 2018, el Estado informó a la Comisión que había efectuado diversas acciones para identificar el paradero del señor Carranza, y que el abogado de él había señalado tener “indicios de que el señor Carranza habría fallecido”. El Estado manifestó en esa oportunidad que tenía “voluntad de llevar a cabo el proceso de reparación integral recomendando en el Informe de Fondo No. 40/17” y que “la dificultad para identificar el paradero del señor Carranza Alarcón ha[</w:t>
      </w:r>
      <w:proofErr w:type="spellStart"/>
      <w:r w:rsidRPr="00E07388">
        <w:rPr>
          <w:rFonts w:ascii="Verdana" w:hAnsi="Verdana"/>
          <w:sz w:val="16"/>
          <w:szCs w:val="16"/>
        </w:rPr>
        <w:t>bía</w:t>
      </w:r>
      <w:proofErr w:type="spellEnd"/>
      <w:r w:rsidRPr="00E07388">
        <w:rPr>
          <w:rFonts w:ascii="Verdana" w:hAnsi="Verdana"/>
          <w:sz w:val="16"/>
          <w:szCs w:val="16"/>
        </w:rPr>
        <w:t>] hecho imposible cumplir con este cometido”. En la misma oportunidad el Estado señaló que por el motivo expuesto era “necesario solicitar una prórroga” a la Comisión y “</w:t>
      </w:r>
      <w:proofErr w:type="spellStart"/>
      <w:r w:rsidRPr="00E07388">
        <w:rPr>
          <w:rFonts w:ascii="Verdana" w:hAnsi="Verdana"/>
          <w:sz w:val="16"/>
          <w:szCs w:val="16"/>
        </w:rPr>
        <w:t>consider</w:t>
      </w:r>
      <w:proofErr w:type="spellEnd"/>
      <w:r w:rsidRPr="00E07388">
        <w:rPr>
          <w:rFonts w:ascii="Verdana" w:hAnsi="Verdana"/>
          <w:sz w:val="16"/>
          <w:szCs w:val="16"/>
        </w:rPr>
        <w:t>[</w:t>
      </w:r>
      <w:proofErr w:type="spellStart"/>
      <w:r w:rsidRPr="00E07388">
        <w:rPr>
          <w:rFonts w:ascii="Verdana" w:hAnsi="Verdana"/>
          <w:sz w:val="16"/>
          <w:szCs w:val="16"/>
        </w:rPr>
        <w:t>ó</w:t>
      </w:r>
      <w:proofErr w:type="spellEnd"/>
      <w:r w:rsidRPr="00E07388">
        <w:rPr>
          <w:rFonts w:ascii="Verdana" w:hAnsi="Verdana"/>
          <w:sz w:val="16"/>
          <w:szCs w:val="16"/>
        </w:rPr>
        <w:t>] oportuno que en el marco del proceso ante el Sistema Interamericano […] se solicite al representante del peticionario [que] facilite al Estado la información que permita el contacto con el señor Carranza Alarcón”.</w:t>
      </w:r>
      <w:r w:rsidRPr="00E07388">
        <w:rPr>
          <w:rFonts w:ascii="Verdana" w:hAnsi="Verdana"/>
          <w:b/>
          <w:sz w:val="16"/>
          <w:szCs w:val="16"/>
        </w:rPr>
        <w:t xml:space="preserve"> </w:t>
      </w:r>
    </w:p>
    <w:p w14:paraId="6765E005" w14:textId="77777777" w:rsidR="005A4119" w:rsidRPr="00E07388" w:rsidRDefault="005A4119" w:rsidP="00414DEF">
      <w:pPr>
        <w:pStyle w:val="Textonotapie"/>
        <w:jc w:val="both"/>
        <w:rPr>
          <w:rFonts w:ascii="Verdana" w:hAnsi="Verdana"/>
          <w:sz w:val="16"/>
          <w:szCs w:val="16"/>
        </w:rPr>
      </w:pPr>
    </w:p>
  </w:footnote>
  <w:footnote w:id="5">
    <w:p w14:paraId="4F9C466A" w14:textId="062F73BF"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 xml:space="preserve">El </w:t>
      </w:r>
      <w:r w:rsidRPr="00E07388">
        <w:rPr>
          <w:rFonts w:ascii="Verdana" w:hAnsi="Verdana"/>
          <w:sz w:val="16"/>
          <w:szCs w:val="16"/>
        </w:rPr>
        <w:t>15 de junio de 2018, el representante informó que “continuar[</w:t>
      </w:r>
      <w:proofErr w:type="spellStart"/>
      <w:r w:rsidRPr="00E07388">
        <w:rPr>
          <w:rFonts w:ascii="Verdana" w:hAnsi="Verdana"/>
          <w:sz w:val="16"/>
          <w:szCs w:val="16"/>
        </w:rPr>
        <w:t>ía</w:t>
      </w:r>
      <w:proofErr w:type="spellEnd"/>
      <w:r w:rsidRPr="00E07388">
        <w:rPr>
          <w:rFonts w:ascii="Verdana" w:hAnsi="Verdana"/>
          <w:sz w:val="16"/>
          <w:szCs w:val="16"/>
        </w:rPr>
        <w:t>] ejerciendo la representación” del señor Carranza, quien había fallecido, conforme “informa[ci]</w:t>
      </w:r>
      <w:proofErr w:type="spellStart"/>
      <w:r w:rsidRPr="00E07388">
        <w:rPr>
          <w:rFonts w:ascii="Verdana" w:hAnsi="Verdana"/>
          <w:sz w:val="16"/>
          <w:szCs w:val="16"/>
        </w:rPr>
        <w:t>ón</w:t>
      </w:r>
      <w:proofErr w:type="spellEnd"/>
      <w:r w:rsidRPr="00E07388">
        <w:rPr>
          <w:rFonts w:ascii="Verdana" w:hAnsi="Verdana"/>
          <w:sz w:val="16"/>
          <w:szCs w:val="16"/>
        </w:rPr>
        <w:t xml:space="preserve"> de familiares”. Por otra parte, el 9 de julio de 2018 comunicó que el disco compacto que contenía anexos documentales a la notificación del caso fue recibido en mal estado. Por eso, el 13 de julio se le hizo llegar nuevamente esa documentación, con indicación de que a partir de la recepción de la misma debía contarse el plazo reglamentario de dos meses para presentar su escrito de solicitudes, argumentos y pruebas.</w:t>
      </w:r>
    </w:p>
    <w:p w14:paraId="7BFDD31C" w14:textId="77777777" w:rsidR="005A4119" w:rsidRPr="00E07388" w:rsidRDefault="005A4119" w:rsidP="00414DEF">
      <w:pPr>
        <w:pStyle w:val="Textonotapie"/>
        <w:jc w:val="both"/>
        <w:rPr>
          <w:rFonts w:ascii="Verdana" w:hAnsi="Verdana"/>
          <w:sz w:val="16"/>
          <w:szCs w:val="16"/>
        </w:rPr>
      </w:pPr>
    </w:p>
  </w:footnote>
  <w:footnote w:id="6">
    <w:p w14:paraId="427133D2" w14:textId="77777777"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t>En el momento de emitirse la Resolución respectiva, el Presidente de la Corte era el Juez Eduardo Ferrer Mac-</w:t>
      </w:r>
      <w:proofErr w:type="spellStart"/>
      <w:r w:rsidRPr="00E07388">
        <w:rPr>
          <w:rFonts w:ascii="Verdana" w:hAnsi="Verdana"/>
          <w:sz w:val="16"/>
          <w:szCs w:val="16"/>
        </w:rPr>
        <w:t>Gregor</w:t>
      </w:r>
      <w:proofErr w:type="spellEnd"/>
      <w:r w:rsidRPr="00E07388">
        <w:rPr>
          <w:rFonts w:ascii="Verdana" w:hAnsi="Verdana"/>
          <w:sz w:val="16"/>
          <w:szCs w:val="16"/>
        </w:rPr>
        <w:t xml:space="preserve"> </w:t>
      </w:r>
      <w:proofErr w:type="spellStart"/>
      <w:r w:rsidRPr="00E07388">
        <w:rPr>
          <w:rFonts w:ascii="Verdana" w:hAnsi="Verdana"/>
          <w:sz w:val="16"/>
          <w:szCs w:val="16"/>
        </w:rPr>
        <w:t>Poisot</w:t>
      </w:r>
      <w:proofErr w:type="spellEnd"/>
      <w:r w:rsidRPr="00E07388">
        <w:rPr>
          <w:rFonts w:ascii="Verdana" w:hAnsi="Verdana"/>
          <w:sz w:val="16"/>
          <w:szCs w:val="16"/>
        </w:rPr>
        <w:t xml:space="preserve">. </w:t>
      </w:r>
    </w:p>
    <w:p w14:paraId="0BDDD6E2" w14:textId="77777777" w:rsidR="005A4119" w:rsidRPr="00E07388" w:rsidRDefault="005A4119" w:rsidP="00414DEF">
      <w:pPr>
        <w:pStyle w:val="Textonotapie"/>
        <w:jc w:val="both"/>
        <w:rPr>
          <w:rFonts w:ascii="Verdana" w:hAnsi="Verdana"/>
          <w:sz w:val="16"/>
          <w:szCs w:val="16"/>
        </w:rPr>
      </w:pPr>
    </w:p>
  </w:footnote>
  <w:footnote w:id="7">
    <w:p w14:paraId="568DEA94" w14:textId="2671C8F5" w:rsidR="005A4119" w:rsidRPr="00E07388" w:rsidRDefault="005A4119" w:rsidP="00414DEF">
      <w:pPr>
        <w:pStyle w:val="Textonotapie"/>
        <w:jc w:val="both"/>
        <w:rPr>
          <w:rFonts w:ascii="Verdana" w:hAnsi="Verdana"/>
          <w:b/>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t>Como se ha indicado (</w:t>
      </w:r>
      <w:r w:rsidRPr="00E07388">
        <w:rPr>
          <w:rFonts w:ascii="Verdana" w:hAnsi="Verdana"/>
          <w:i/>
          <w:sz w:val="16"/>
          <w:szCs w:val="16"/>
        </w:rPr>
        <w:t>supra</w:t>
      </w:r>
      <w:r w:rsidRPr="00E07388">
        <w:rPr>
          <w:rFonts w:ascii="Verdana" w:hAnsi="Verdana"/>
          <w:sz w:val="16"/>
          <w:szCs w:val="16"/>
        </w:rPr>
        <w:t xml:space="preserve"> párr. 7), no serán consideradas </w:t>
      </w:r>
      <w:r>
        <w:rPr>
          <w:rFonts w:ascii="Verdana" w:hAnsi="Verdana"/>
          <w:sz w:val="16"/>
          <w:szCs w:val="16"/>
        </w:rPr>
        <w:t xml:space="preserve">las </w:t>
      </w:r>
      <w:r w:rsidRPr="00E07388">
        <w:rPr>
          <w:rFonts w:ascii="Verdana" w:hAnsi="Verdana"/>
          <w:sz w:val="16"/>
          <w:szCs w:val="16"/>
        </w:rPr>
        <w:t>observaciones del representante sobre las excepciones preliminares, por haber sido presentadas de forma extemporánea.</w:t>
      </w:r>
    </w:p>
    <w:p w14:paraId="44717F20" w14:textId="77777777" w:rsidR="005A4119" w:rsidRPr="00E07388" w:rsidRDefault="005A4119" w:rsidP="00414DEF">
      <w:pPr>
        <w:pStyle w:val="Textonotapie"/>
        <w:jc w:val="both"/>
        <w:rPr>
          <w:rFonts w:ascii="Verdana" w:hAnsi="Verdana"/>
          <w:sz w:val="16"/>
          <w:szCs w:val="16"/>
        </w:rPr>
      </w:pPr>
    </w:p>
  </w:footnote>
  <w:footnote w:id="8">
    <w:p w14:paraId="1D6D0530" w14:textId="5A40F3BE" w:rsidR="005A4119" w:rsidRPr="00E07388" w:rsidRDefault="005A4119" w:rsidP="00414DEF">
      <w:pPr>
        <w:pStyle w:val="Textonotapie"/>
        <w:jc w:val="both"/>
        <w:rPr>
          <w:rStyle w:val="Textoennegrita"/>
          <w:rFonts w:ascii="Verdana" w:hAnsi="Verdana"/>
          <w:b w:val="0"/>
          <w:color w:val="000000"/>
          <w:sz w:val="16"/>
          <w:szCs w:val="16"/>
          <w:shd w:val="clear" w:color="auto" w:fill="FFFFFF"/>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Cfr.</w:t>
      </w:r>
      <w:r w:rsidRPr="00E07388">
        <w:rPr>
          <w:rFonts w:ascii="Verdana" w:hAnsi="Verdana"/>
          <w:sz w:val="16"/>
          <w:szCs w:val="16"/>
        </w:rPr>
        <w:t xml:space="preserve"> </w:t>
      </w:r>
      <w:r w:rsidRPr="00E07388">
        <w:rPr>
          <w:rFonts w:ascii="Verdana" w:hAnsi="Verdana"/>
          <w:i/>
          <w:sz w:val="16"/>
          <w:szCs w:val="16"/>
        </w:rPr>
        <w:t>Caso Velásquez Rodríguez Vs. Honduras. Excepciones Preliminares.</w:t>
      </w:r>
      <w:r w:rsidRPr="00E07388">
        <w:rPr>
          <w:rFonts w:ascii="Verdana" w:hAnsi="Verdana"/>
          <w:sz w:val="16"/>
          <w:szCs w:val="16"/>
        </w:rPr>
        <w:t xml:space="preserve"> Sentencia de 26 de junio de 1987. Serie C No. 1, párr. 88, y </w:t>
      </w:r>
      <w:r w:rsidRPr="00E07388">
        <w:rPr>
          <w:rFonts w:ascii="Verdana" w:hAnsi="Verdana"/>
          <w:i/>
          <w:sz w:val="16"/>
          <w:szCs w:val="16"/>
        </w:rPr>
        <w:t>Caso Díaz Loreto y otros Vs. Venezuela. Excepciones Preliminares, Fondo, Reparaciones y Costas.</w:t>
      </w:r>
      <w:r w:rsidRPr="00E07388">
        <w:rPr>
          <w:rFonts w:ascii="Verdana" w:hAnsi="Verdana"/>
          <w:sz w:val="16"/>
          <w:szCs w:val="16"/>
        </w:rPr>
        <w:t xml:space="preserve"> Sentencia de 19 de noviembre de 2019. Serie C No. 392, párr. 16</w:t>
      </w:r>
      <w:r w:rsidRPr="00E07388">
        <w:rPr>
          <w:rStyle w:val="Textoennegrita"/>
          <w:rFonts w:ascii="Verdana" w:hAnsi="Verdana"/>
          <w:b w:val="0"/>
          <w:color w:val="000000"/>
          <w:sz w:val="16"/>
          <w:szCs w:val="16"/>
          <w:shd w:val="clear" w:color="auto" w:fill="FFFFFF"/>
        </w:rPr>
        <w:t>.</w:t>
      </w:r>
    </w:p>
    <w:p w14:paraId="3B3AE882" w14:textId="77777777" w:rsidR="005A4119" w:rsidRPr="00E07388" w:rsidRDefault="005A4119" w:rsidP="00414DEF">
      <w:pPr>
        <w:pStyle w:val="Textonotapie"/>
        <w:jc w:val="both"/>
        <w:rPr>
          <w:rFonts w:ascii="Verdana" w:hAnsi="Verdana"/>
          <w:b/>
          <w:sz w:val="16"/>
          <w:szCs w:val="16"/>
        </w:rPr>
      </w:pPr>
    </w:p>
  </w:footnote>
  <w:footnote w:id="9">
    <w:p w14:paraId="7A6CB89B" w14:textId="0F6EB279" w:rsidR="005A4119" w:rsidRPr="00E07388" w:rsidRDefault="005A4119" w:rsidP="00414DEF">
      <w:pPr>
        <w:pStyle w:val="Textonotapie"/>
        <w:jc w:val="both"/>
        <w:rPr>
          <w:rStyle w:val="Textoennegrita"/>
          <w:rFonts w:ascii="Verdana" w:hAnsi="Verdana"/>
          <w:b w:val="0"/>
          <w:color w:val="000000"/>
          <w:sz w:val="16"/>
          <w:szCs w:val="16"/>
          <w:shd w:val="clear" w:color="auto" w:fill="FFFFFF"/>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t xml:space="preserve">En se sentido: </w:t>
      </w:r>
      <w:r w:rsidRPr="00E07388">
        <w:rPr>
          <w:rFonts w:ascii="Verdana" w:hAnsi="Verdana"/>
          <w:i/>
          <w:sz w:val="16"/>
          <w:szCs w:val="16"/>
        </w:rPr>
        <w:t>Caso Velásquez Rodríguez Vs. Honduras. Excepciones Preliminares</w:t>
      </w:r>
      <w:r w:rsidRPr="00E07388">
        <w:rPr>
          <w:rFonts w:ascii="Verdana" w:hAnsi="Verdana"/>
          <w:sz w:val="16"/>
          <w:szCs w:val="16"/>
        </w:rPr>
        <w:t xml:space="preserve">, párr. 88, y </w:t>
      </w:r>
      <w:r w:rsidRPr="00E07388">
        <w:rPr>
          <w:rStyle w:val="Textoennegrita"/>
          <w:rFonts w:ascii="Verdana" w:hAnsi="Verdana"/>
          <w:b w:val="0"/>
          <w:i/>
          <w:color w:val="000000"/>
          <w:sz w:val="16"/>
          <w:szCs w:val="16"/>
          <w:shd w:val="clear" w:color="auto" w:fill="FFFFFF"/>
        </w:rPr>
        <w:t xml:space="preserve">Caso </w:t>
      </w:r>
      <w:proofErr w:type="spellStart"/>
      <w:r w:rsidRPr="00E07388">
        <w:rPr>
          <w:rStyle w:val="Textoennegrita"/>
          <w:rFonts w:ascii="Verdana" w:hAnsi="Verdana"/>
          <w:b w:val="0"/>
          <w:i/>
          <w:color w:val="000000"/>
          <w:sz w:val="16"/>
          <w:szCs w:val="16"/>
          <w:shd w:val="clear" w:color="auto" w:fill="FFFFFF"/>
        </w:rPr>
        <w:t>Perrone</w:t>
      </w:r>
      <w:proofErr w:type="spellEnd"/>
      <w:r w:rsidRPr="00E07388">
        <w:rPr>
          <w:rStyle w:val="Textoennegrita"/>
          <w:rFonts w:ascii="Verdana" w:hAnsi="Verdana"/>
          <w:b w:val="0"/>
          <w:i/>
          <w:color w:val="000000"/>
          <w:sz w:val="16"/>
          <w:szCs w:val="16"/>
          <w:shd w:val="clear" w:color="auto" w:fill="FFFFFF"/>
        </w:rPr>
        <w:t xml:space="preserve"> y </w:t>
      </w:r>
      <w:proofErr w:type="spellStart"/>
      <w:r w:rsidRPr="00E07388">
        <w:rPr>
          <w:rStyle w:val="Textoennegrita"/>
          <w:rFonts w:ascii="Verdana" w:hAnsi="Verdana"/>
          <w:b w:val="0"/>
          <w:i/>
          <w:color w:val="000000"/>
          <w:sz w:val="16"/>
          <w:szCs w:val="16"/>
          <w:shd w:val="clear" w:color="auto" w:fill="FFFFFF"/>
        </w:rPr>
        <w:t>Preckel</w:t>
      </w:r>
      <w:proofErr w:type="spellEnd"/>
      <w:r w:rsidRPr="00E07388">
        <w:rPr>
          <w:rStyle w:val="Textoennegrita"/>
          <w:rFonts w:ascii="Verdana" w:hAnsi="Verdana"/>
          <w:b w:val="0"/>
          <w:i/>
          <w:color w:val="000000"/>
          <w:sz w:val="16"/>
          <w:szCs w:val="16"/>
          <w:shd w:val="clear" w:color="auto" w:fill="FFFFFF"/>
        </w:rPr>
        <w:t xml:space="preserve"> Vs. Argentina. Excepciones Preliminares, Fondo, Reparaciones y Costas. </w:t>
      </w:r>
      <w:r w:rsidRPr="00E07388">
        <w:rPr>
          <w:rStyle w:val="Textoennegrita"/>
          <w:rFonts w:ascii="Verdana" w:hAnsi="Verdana"/>
          <w:b w:val="0"/>
          <w:color w:val="000000"/>
          <w:sz w:val="16"/>
          <w:szCs w:val="16"/>
          <w:shd w:val="clear" w:color="auto" w:fill="FFFFFF"/>
        </w:rPr>
        <w:t>Sentencia de 8 de octubre de 2019. Serie C No. 384, párr.33.</w:t>
      </w:r>
    </w:p>
    <w:p w14:paraId="1796600A" w14:textId="77777777" w:rsidR="005A4119" w:rsidRPr="00E07388" w:rsidRDefault="005A4119" w:rsidP="00414DEF">
      <w:pPr>
        <w:pStyle w:val="Textonotapie"/>
        <w:jc w:val="both"/>
        <w:rPr>
          <w:rFonts w:ascii="Verdana" w:hAnsi="Verdana"/>
          <w:i/>
          <w:sz w:val="16"/>
          <w:szCs w:val="16"/>
        </w:rPr>
      </w:pPr>
    </w:p>
  </w:footnote>
  <w:footnote w:id="10">
    <w:p w14:paraId="37F31F06" w14:textId="1FDE22EA" w:rsidR="005A4119" w:rsidRPr="00E07388" w:rsidRDefault="005A4119" w:rsidP="00414DEF">
      <w:pPr>
        <w:pStyle w:val="Textonotapie"/>
        <w:jc w:val="both"/>
        <w:rPr>
          <w:rFonts w:ascii="Verdana" w:hAnsi="Verdana"/>
          <w:sz w:val="16"/>
          <w:szCs w:val="16"/>
          <w:lang w:val="es-ES"/>
        </w:rPr>
      </w:pPr>
      <w:r w:rsidRPr="00E07388">
        <w:rPr>
          <w:rStyle w:val="Refdenotaalpie"/>
          <w:rFonts w:ascii="Verdana" w:hAnsi="Verdana"/>
          <w:sz w:val="16"/>
          <w:szCs w:val="16"/>
        </w:rPr>
        <w:footnoteRef/>
      </w:r>
      <w:r w:rsidRPr="00E07388">
        <w:rPr>
          <w:rFonts w:ascii="Verdana" w:hAnsi="Verdana"/>
          <w:sz w:val="16"/>
          <w:szCs w:val="16"/>
          <w:lang w:val="es-ES"/>
        </w:rPr>
        <w:t xml:space="preserve"> </w:t>
      </w:r>
      <w:r w:rsidRPr="00E07388">
        <w:rPr>
          <w:rFonts w:ascii="Verdana" w:hAnsi="Verdana"/>
          <w:sz w:val="16"/>
          <w:szCs w:val="16"/>
          <w:lang w:val="es-ES"/>
        </w:rPr>
        <w:tab/>
      </w:r>
      <w:r w:rsidRPr="00E07388">
        <w:rPr>
          <w:rFonts w:ascii="Verdana" w:hAnsi="Verdana"/>
          <w:i/>
          <w:sz w:val="16"/>
          <w:szCs w:val="16"/>
        </w:rPr>
        <w:t>Cfr. Caso Velásquez Rodríguez Vs. Honduras. Fondo.</w:t>
      </w:r>
      <w:r w:rsidRPr="00E07388">
        <w:rPr>
          <w:rFonts w:ascii="Verdana" w:hAnsi="Verdana"/>
          <w:sz w:val="16"/>
          <w:szCs w:val="16"/>
        </w:rPr>
        <w:t xml:space="preserve"> Sentencia de 26 de junio de 1987. Serie C No. 1, párr. 66 y </w:t>
      </w:r>
      <w:r w:rsidRPr="00E07388">
        <w:rPr>
          <w:rFonts w:ascii="Verdana" w:hAnsi="Verdana"/>
          <w:i/>
          <w:sz w:val="16"/>
          <w:szCs w:val="16"/>
          <w:lang w:val="es-ES"/>
        </w:rPr>
        <w:t xml:space="preserve">Caso </w:t>
      </w:r>
      <w:proofErr w:type="spellStart"/>
      <w:r w:rsidRPr="00E07388">
        <w:rPr>
          <w:rFonts w:ascii="Verdana" w:hAnsi="Verdana"/>
          <w:i/>
          <w:sz w:val="16"/>
          <w:szCs w:val="16"/>
          <w:lang w:val="es-ES"/>
        </w:rPr>
        <w:t>Perrone</w:t>
      </w:r>
      <w:proofErr w:type="spellEnd"/>
      <w:r w:rsidRPr="00E07388">
        <w:rPr>
          <w:rFonts w:ascii="Verdana" w:hAnsi="Verdana"/>
          <w:i/>
          <w:sz w:val="16"/>
          <w:szCs w:val="16"/>
          <w:lang w:val="es-ES"/>
        </w:rPr>
        <w:t xml:space="preserve"> y </w:t>
      </w:r>
      <w:proofErr w:type="spellStart"/>
      <w:r w:rsidRPr="00E07388">
        <w:rPr>
          <w:rFonts w:ascii="Verdana" w:hAnsi="Verdana"/>
          <w:i/>
          <w:sz w:val="16"/>
          <w:szCs w:val="16"/>
          <w:lang w:val="es-ES"/>
        </w:rPr>
        <w:t>Preckel</w:t>
      </w:r>
      <w:proofErr w:type="spellEnd"/>
      <w:r w:rsidRPr="00E07388">
        <w:rPr>
          <w:rFonts w:ascii="Verdana" w:hAnsi="Verdana"/>
          <w:i/>
          <w:sz w:val="16"/>
          <w:szCs w:val="16"/>
          <w:lang w:val="es-ES"/>
        </w:rPr>
        <w:t xml:space="preserve"> Vs. Argentina</w:t>
      </w:r>
      <w:r w:rsidRPr="00E07388">
        <w:rPr>
          <w:rFonts w:ascii="Verdana" w:hAnsi="Verdana"/>
          <w:sz w:val="16"/>
          <w:szCs w:val="16"/>
          <w:lang w:val="es-ES"/>
        </w:rPr>
        <w:t xml:space="preserve">, </w:t>
      </w:r>
      <w:proofErr w:type="spellStart"/>
      <w:r w:rsidRPr="00E07388">
        <w:rPr>
          <w:rFonts w:ascii="Verdana" w:hAnsi="Verdana"/>
          <w:sz w:val="16"/>
          <w:szCs w:val="16"/>
          <w:lang w:val="es-ES"/>
        </w:rPr>
        <w:t>párrs</w:t>
      </w:r>
      <w:proofErr w:type="spellEnd"/>
      <w:r w:rsidRPr="00E07388">
        <w:rPr>
          <w:rFonts w:ascii="Verdana" w:hAnsi="Verdana"/>
          <w:sz w:val="16"/>
          <w:szCs w:val="16"/>
          <w:lang w:val="es-ES"/>
        </w:rPr>
        <w:t xml:space="preserve">. 33 y 36. </w:t>
      </w:r>
    </w:p>
    <w:p w14:paraId="7EEF3007" w14:textId="77777777" w:rsidR="005A4119" w:rsidRPr="00E07388" w:rsidRDefault="005A4119" w:rsidP="00414DEF">
      <w:pPr>
        <w:pStyle w:val="Textonotapie"/>
        <w:jc w:val="both"/>
        <w:rPr>
          <w:rFonts w:ascii="Verdana" w:hAnsi="Verdana"/>
          <w:sz w:val="16"/>
          <w:szCs w:val="16"/>
          <w:lang w:val="es-ES"/>
        </w:rPr>
      </w:pPr>
    </w:p>
  </w:footnote>
  <w:footnote w:id="11">
    <w:p w14:paraId="04FA07D1" w14:textId="35086022" w:rsidR="005A4119" w:rsidRPr="00E07388" w:rsidRDefault="005A4119" w:rsidP="00414DEF">
      <w:pPr>
        <w:pStyle w:val="Textonotapie"/>
        <w:jc w:val="both"/>
        <w:rPr>
          <w:rFonts w:ascii="Verdana" w:hAnsi="Verdana"/>
          <w:sz w:val="16"/>
          <w:szCs w:val="16"/>
          <w:lang w:val="es-ES"/>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lang w:val="es-ES"/>
        </w:rPr>
        <w:t>Caso Chaparro Álvarez y Lapo Iñiguez Vs. Ecuador, Excepciones Preliminares, Fondo, Reparaciones y Costas</w:t>
      </w:r>
      <w:r w:rsidRPr="00E07388">
        <w:rPr>
          <w:rFonts w:ascii="Verdana" w:hAnsi="Verdana"/>
          <w:sz w:val="16"/>
          <w:szCs w:val="16"/>
          <w:lang w:val="es-ES"/>
        </w:rPr>
        <w:t xml:space="preserve">, Sentencia de 21 de noviembre de 2007. Serie C No. 170, párr. 122 y </w:t>
      </w:r>
      <w:r w:rsidRPr="00E07388">
        <w:rPr>
          <w:rFonts w:ascii="Verdana" w:hAnsi="Verdana"/>
          <w:i/>
          <w:sz w:val="16"/>
          <w:szCs w:val="16"/>
        </w:rPr>
        <w:t xml:space="preserve">Caso Herrera Espinoza y Otros Vs. Ecuador. Excepciones Preliminares, Fondo, Reparaciones y Costas. </w:t>
      </w:r>
      <w:r w:rsidRPr="00E07388">
        <w:rPr>
          <w:rFonts w:ascii="Verdana" w:hAnsi="Verdana"/>
          <w:sz w:val="16"/>
          <w:szCs w:val="16"/>
        </w:rPr>
        <w:t>Sentencia de 1 de septiembre de 2016. Serie C No. 316, párr. 167</w:t>
      </w:r>
      <w:r w:rsidRPr="00E07388">
        <w:rPr>
          <w:rFonts w:ascii="Verdana" w:hAnsi="Verdana"/>
          <w:sz w:val="16"/>
          <w:szCs w:val="16"/>
          <w:lang w:val="es-ES"/>
        </w:rPr>
        <w:t>.</w:t>
      </w:r>
    </w:p>
    <w:p w14:paraId="400F8A15" w14:textId="77777777" w:rsidR="005A4119" w:rsidRPr="00E07388" w:rsidRDefault="005A4119" w:rsidP="00414DEF">
      <w:pPr>
        <w:pStyle w:val="Textonotapie"/>
        <w:jc w:val="both"/>
        <w:rPr>
          <w:rFonts w:ascii="Verdana" w:hAnsi="Verdana"/>
          <w:sz w:val="16"/>
          <w:szCs w:val="16"/>
        </w:rPr>
      </w:pPr>
    </w:p>
  </w:footnote>
  <w:footnote w:id="12">
    <w:p w14:paraId="070AA037" w14:textId="2F31121C" w:rsidR="005A4119" w:rsidRPr="00E07388" w:rsidRDefault="005A4119" w:rsidP="00414DEF">
      <w:pPr>
        <w:pStyle w:val="Prrafodelista"/>
        <w:widowControl/>
        <w:spacing w:after="0" w:line="240" w:lineRule="auto"/>
        <w:ind w:left="0"/>
        <w:jc w:val="both"/>
        <w:rPr>
          <w:rFonts w:ascii="Verdana" w:hAnsi="Verdana"/>
          <w:sz w:val="16"/>
          <w:szCs w:val="16"/>
          <w:lang w:val="es-CR"/>
        </w:rPr>
      </w:pPr>
      <w:r w:rsidRPr="00E07388">
        <w:rPr>
          <w:rStyle w:val="Refdenotaalpie"/>
          <w:rFonts w:ascii="Verdana" w:hAnsi="Verdana"/>
          <w:sz w:val="16"/>
          <w:szCs w:val="16"/>
        </w:rPr>
        <w:footnoteRef/>
      </w:r>
      <w:r w:rsidRPr="00E07388">
        <w:rPr>
          <w:rFonts w:ascii="Verdana" w:hAnsi="Verdana"/>
          <w:sz w:val="16"/>
          <w:szCs w:val="16"/>
          <w:lang w:val="es-CR"/>
        </w:rPr>
        <w:t xml:space="preserve"> </w:t>
      </w:r>
      <w:r w:rsidRPr="00E07388">
        <w:rPr>
          <w:rFonts w:ascii="Verdana" w:hAnsi="Verdana"/>
          <w:sz w:val="16"/>
          <w:szCs w:val="16"/>
          <w:lang w:val="es-CR"/>
        </w:rPr>
        <w:tab/>
        <w:t>Ecuador sostuvo que la Comisión remitió el caso a la Corte, sin considerar que, como era de su conocimiento, las acciones tendientes a dar cumplimiento a las recomendaciones estaban siendo coordinadas con el representante de la presunta víctima.</w:t>
      </w:r>
    </w:p>
    <w:p w14:paraId="089084C8" w14:textId="77777777" w:rsidR="005A4119" w:rsidRPr="00E07388" w:rsidRDefault="005A4119" w:rsidP="00414DEF">
      <w:pPr>
        <w:pStyle w:val="Prrafodelista"/>
        <w:widowControl/>
        <w:spacing w:after="0" w:line="240" w:lineRule="auto"/>
        <w:ind w:left="0"/>
        <w:jc w:val="both"/>
        <w:rPr>
          <w:rFonts w:ascii="Verdana" w:hAnsi="Verdana"/>
          <w:sz w:val="16"/>
          <w:szCs w:val="16"/>
          <w:lang w:val="es-ES"/>
        </w:rPr>
      </w:pPr>
    </w:p>
  </w:footnote>
  <w:footnote w:id="13">
    <w:p w14:paraId="3DB115CD" w14:textId="4B0EB801" w:rsidR="005A4119" w:rsidRPr="00E07388" w:rsidRDefault="005A4119" w:rsidP="00414DEF">
      <w:pPr>
        <w:pStyle w:val="Textonotapie"/>
        <w:jc w:val="both"/>
        <w:rPr>
          <w:rFonts w:ascii="Verdana" w:hAnsi="Verdana"/>
          <w:sz w:val="16"/>
          <w:szCs w:val="16"/>
          <w:lang w:val="es-ES"/>
        </w:rPr>
      </w:pPr>
      <w:r w:rsidRPr="00E07388">
        <w:rPr>
          <w:rStyle w:val="Refdenotaalpie"/>
          <w:rFonts w:ascii="Verdana" w:hAnsi="Verdana"/>
          <w:sz w:val="16"/>
          <w:szCs w:val="16"/>
        </w:rPr>
        <w:footnoteRef/>
      </w:r>
      <w:r w:rsidRPr="00E07388">
        <w:rPr>
          <w:rFonts w:ascii="Verdana" w:hAnsi="Verdana"/>
          <w:sz w:val="16"/>
          <w:szCs w:val="16"/>
          <w:lang w:val="es-ES"/>
        </w:rPr>
        <w:t xml:space="preserve"> </w:t>
      </w:r>
      <w:r w:rsidRPr="00E07388">
        <w:rPr>
          <w:rFonts w:ascii="Verdana" w:hAnsi="Verdana"/>
          <w:i/>
          <w:sz w:val="16"/>
          <w:szCs w:val="16"/>
          <w:lang w:val="es-ES"/>
        </w:rPr>
        <w:tab/>
        <w:t xml:space="preserve">Cfr. </w:t>
      </w:r>
      <w:r w:rsidRPr="00E07388">
        <w:rPr>
          <w:rFonts w:ascii="Verdana" w:hAnsi="Verdana"/>
          <w:i/>
          <w:sz w:val="16"/>
          <w:szCs w:val="16"/>
        </w:rPr>
        <w:t xml:space="preserve">Caso del Pueblo </w:t>
      </w:r>
      <w:proofErr w:type="spellStart"/>
      <w:r w:rsidRPr="00E07388">
        <w:rPr>
          <w:rFonts w:ascii="Verdana" w:hAnsi="Verdana"/>
          <w:i/>
          <w:sz w:val="16"/>
          <w:szCs w:val="16"/>
        </w:rPr>
        <w:t>Saramaka</w:t>
      </w:r>
      <w:proofErr w:type="spellEnd"/>
      <w:r w:rsidRPr="00E07388">
        <w:rPr>
          <w:rFonts w:ascii="Verdana" w:hAnsi="Verdana"/>
          <w:i/>
          <w:sz w:val="16"/>
          <w:szCs w:val="16"/>
        </w:rPr>
        <w:t xml:space="preserve"> Vs. </w:t>
      </w:r>
      <w:proofErr w:type="spellStart"/>
      <w:r w:rsidRPr="00E07388">
        <w:rPr>
          <w:rFonts w:ascii="Verdana" w:hAnsi="Verdana"/>
          <w:i/>
          <w:sz w:val="16"/>
          <w:szCs w:val="16"/>
        </w:rPr>
        <w:t>Suriname</w:t>
      </w:r>
      <w:proofErr w:type="spellEnd"/>
      <w:r w:rsidRPr="00E07388">
        <w:rPr>
          <w:rFonts w:ascii="Verdana" w:hAnsi="Verdana"/>
          <w:i/>
          <w:sz w:val="16"/>
          <w:szCs w:val="16"/>
        </w:rPr>
        <w:t xml:space="preserve">. Excepciones Preliminares, Fondo, Reparaciones y Costas. </w:t>
      </w:r>
      <w:r w:rsidRPr="00E07388">
        <w:rPr>
          <w:rFonts w:ascii="Verdana" w:hAnsi="Verdana"/>
          <w:sz w:val="16"/>
          <w:szCs w:val="16"/>
        </w:rPr>
        <w:t xml:space="preserve">Sentencia de 28 de noviembre de 2007. Serie C No. 172, párr. 32, y </w:t>
      </w:r>
      <w:r w:rsidRPr="00E07388">
        <w:rPr>
          <w:rStyle w:val="Textoennegrita"/>
          <w:rFonts w:ascii="Verdana" w:hAnsi="Verdana"/>
          <w:b w:val="0"/>
          <w:i/>
          <w:color w:val="000000"/>
          <w:sz w:val="16"/>
          <w:szCs w:val="16"/>
          <w:shd w:val="clear" w:color="auto" w:fill="FFFFFF"/>
        </w:rPr>
        <w:t>Caso Mujeres Víctimas de Tortura Sexual en Atenco Vs. México. Excepción Preliminar, Fondo, Reparaciones y Costas.</w:t>
      </w:r>
      <w:r w:rsidRPr="00E07388">
        <w:rPr>
          <w:rStyle w:val="Textoennegrita"/>
          <w:rFonts w:ascii="Verdana" w:hAnsi="Verdana"/>
          <w:b w:val="0"/>
          <w:color w:val="000000"/>
          <w:sz w:val="16"/>
          <w:szCs w:val="16"/>
          <w:shd w:val="clear" w:color="auto" w:fill="FFFFFF"/>
        </w:rPr>
        <w:t xml:space="preserve"> Sentencia de 28 de noviembre de 2018. Serie C No. 371, párr. </w:t>
      </w:r>
      <w:r w:rsidRPr="00E07388">
        <w:rPr>
          <w:rFonts w:ascii="Verdana" w:hAnsi="Verdana"/>
          <w:sz w:val="16"/>
          <w:szCs w:val="16"/>
        </w:rPr>
        <w:t>23</w:t>
      </w:r>
      <w:r w:rsidRPr="00E07388">
        <w:rPr>
          <w:rFonts w:ascii="Verdana" w:hAnsi="Verdana"/>
          <w:sz w:val="16"/>
          <w:szCs w:val="16"/>
          <w:lang w:val="es-ES"/>
        </w:rPr>
        <w:t>.</w:t>
      </w:r>
    </w:p>
    <w:p w14:paraId="3EA9B4A3" w14:textId="77777777" w:rsidR="005A4119" w:rsidRPr="00E07388" w:rsidRDefault="005A4119" w:rsidP="00414DEF">
      <w:pPr>
        <w:pStyle w:val="Textonotapie"/>
        <w:jc w:val="both"/>
        <w:rPr>
          <w:rFonts w:ascii="Verdana" w:hAnsi="Verdana"/>
          <w:sz w:val="16"/>
          <w:szCs w:val="16"/>
          <w:lang w:val="es-ES"/>
        </w:rPr>
      </w:pPr>
    </w:p>
  </w:footnote>
  <w:footnote w:id="14">
    <w:p w14:paraId="59D4A514" w14:textId="72FDCFE7" w:rsidR="005A4119" w:rsidRPr="00E07388" w:rsidRDefault="005A4119" w:rsidP="00414DEF">
      <w:pPr>
        <w:pStyle w:val="Textonotapie"/>
        <w:jc w:val="both"/>
        <w:rPr>
          <w:rFonts w:ascii="Verdana" w:hAnsi="Verdana"/>
          <w:sz w:val="16"/>
          <w:szCs w:val="16"/>
          <w:lang w:val="es-ES"/>
        </w:rPr>
      </w:pPr>
      <w:r w:rsidRPr="00E07388">
        <w:rPr>
          <w:rStyle w:val="Refdenotaalpie"/>
          <w:rFonts w:ascii="Verdana" w:hAnsi="Verdana"/>
          <w:sz w:val="16"/>
          <w:szCs w:val="16"/>
        </w:rPr>
        <w:footnoteRef/>
      </w:r>
      <w:r w:rsidRPr="00E07388">
        <w:rPr>
          <w:rFonts w:ascii="Verdana" w:hAnsi="Verdana"/>
          <w:sz w:val="16"/>
          <w:szCs w:val="16"/>
          <w:lang w:val="es-ES"/>
        </w:rPr>
        <w:t xml:space="preserve"> </w:t>
      </w:r>
      <w:r w:rsidRPr="00E07388">
        <w:rPr>
          <w:rFonts w:ascii="Verdana" w:hAnsi="Verdana"/>
          <w:sz w:val="16"/>
          <w:szCs w:val="16"/>
          <w:lang w:val="es-ES"/>
        </w:rPr>
        <w:tab/>
        <w:t xml:space="preserve">En ese sentido, son pertinentes </w:t>
      </w:r>
      <w:r>
        <w:rPr>
          <w:rFonts w:ascii="Verdana" w:hAnsi="Verdana"/>
          <w:sz w:val="16"/>
          <w:szCs w:val="16"/>
          <w:lang w:val="es-ES"/>
        </w:rPr>
        <w:t xml:space="preserve">las </w:t>
      </w:r>
      <w:r w:rsidRPr="00E07388">
        <w:rPr>
          <w:rFonts w:ascii="Verdana" w:hAnsi="Verdana"/>
          <w:sz w:val="16"/>
          <w:szCs w:val="16"/>
          <w:lang w:val="es-ES"/>
        </w:rPr>
        <w:t xml:space="preserve">consideraciones efectuadas por este Tribunal en su jurisprudencia: </w:t>
      </w:r>
      <w:r w:rsidRPr="00E07388">
        <w:rPr>
          <w:rFonts w:ascii="Verdana" w:hAnsi="Verdana"/>
          <w:i/>
          <w:sz w:val="16"/>
          <w:szCs w:val="16"/>
          <w:lang w:val="es-ES"/>
        </w:rPr>
        <w:t>cfr.</w:t>
      </w:r>
      <w:r w:rsidRPr="00E07388">
        <w:rPr>
          <w:rFonts w:ascii="Verdana" w:hAnsi="Verdana"/>
          <w:sz w:val="16"/>
          <w:szCs w:val="16"/>
          <w:lang w:val="es-ES"/>
        </w:rPr>
        <w:t xml:space="preserve"> </w:t>
      </w:r>
      <w:r w:rsidRPr="00E07388">
        <w:rPr>
          <w:rStyle w:val="Textoennegrita"/>
          <w:rFonts w:ascii="Verdana" w:hAnsi="Verdana"/>
          <w:b w:val="0"/>
          <w:i/>
          <w:color w:val="000000"/>
          <w:sz w:val="16"/>
          <w:szCs w:val="16"/>
          <w:shd w:val="clear" w:color="auto" w:fill="FFFFFF"/>
        </w:rPr>
        <w:t xml:space="preserve">Caso </w:t>
      </w:r>
      <w:proofErr w:type="spellStart"/>
      <w:r w:rsidRPr="00E07388">
        <w:rPr>
          <w:rStyle w:val="Textoennegrita"/>
          <w:rFonts w:ascii="Verdana" w:hAnsi="Verdana"/>
          <w:b w:val="0"/>
          <w:i/>
          <w:color w:val="000000"/>
          <w:sz w:val="16"/>
          <w:szCs w:val="16"/>
          <w:shd w:val="clear" w:color="auto" w:fill="FFFFFF"/>
        </w:rPr>
        <w:t>Apitz</w:t>
      </w:r>
      <w:proofErr w:type="spellEnd"/>
      <w:r w:rsidRPr="00E07388">
        <w:rPr>
          <w:rStyle w:val="Textoennegrita"/>
          <w:rFonts w:ascii="Verdana" w:hAnsi="Verdana"/>
          <w:b w:val="0"/>
          <w:i/>
          <w:color w:val="000000"/>
          <w:sz w:val="16"/>
          <w:szCs w:val="16"/>
          <w:shd w:val="clear" w:color="auto" w:fill="FFFFFF"/>
        </w:rPr>
        <w:t xml:space="preserve"> Barbera y otros (“Corte Primera de lo Contencioso Administrativo”) Vs. Venezuela. Excepción Preliminar, Fondo, Reparaciones y Costas. </w:t>
      </w:r>
      <w:r w:rsidRPr="00E07388">
        <w:rPr>
          <w:rStyle w:val="Textoennegrita"/>
          <w:rFonts w:ascii="Verdana" w:hAnsi="Verdana"/>
          <w:b w:val="0"/>
          <w:color w:val="000000"/>
          <w:sz w:val="16"/>
          <w:szCs w:val="16"/>
          <w:shd w:val="clear" w:color="auto" w:fill="FFFFFF"/>
        </w:rPr>
        <w:t>Sentencia de 5 de agosto de 2008. Serie C No. 182</w:t>
      </w:r>
      <w:r w:rsidRPr="00E07388">
        <w:rPr>
          <w:rFonts w:ascii="Verdana" w:hAnsi="Verdana"/>
          <w:sz w:val="16"/>
          <w:szCs w:val="16"/>
        </w:rPr>
        <w:t xml:space="preserve">, párr. 90, y </w:t>
      </w:r>
      <w:r w:rsidRPr="00E07388">
        <w:rPr>
          <w:rFonts w:ascii="Verdana" w:hAnsi="Verdana"/>
          <w:i/>
          <w:sz w:val="16"/>
          <w:szCs w:val="16"/>
          <w:lang w:val="es-ES"/>
        </w:rPr>
        <w:t xml:space="preserve">Caso Rico Vs. Argentina. Excepción Preliminar y Fondo. </w:t>
      </w:r>
      <w:r w:rsidRPr="00E07388">
        <w:rPr>
          <w:rFonts w:ascii="Verdana" w:hAnsi="Verdana"/>
          <w:sz w:val="16"/>
          <w:szCs w:val="16"/>
          <w:lang w:val="es-ES"/>
        </w:rPr>
        <w:t>Sentencia de 2 de septiembre de 2019. Serie C No. 383, párr. 75.</w:t>
      </w:r>
    </w:p>
    <w:p w14:paraId="695EA6DC" w14:textId="77777777" w:rsidR="005A4119" w:rsidRPr="00E07388" w:rsidRDefault="005A4119" w:rsidP="00414DEF">
      <w:pPr>
        <w:pStyle w:val="Textonotapie"/>
        <w:jc w:val="both"/>
        <w:rPr>
          <w:rFonts w:ascii="Verdana" w:hAnsi="Verdana"/>
          <w:sz w:val="16"/>
          <w:szCs w:val="16"/>
          <w:lang w:val="es-ES"/>
        </w:rPr>
      </w:pPr>
    </w:p>
  </w:footnote>
  <w:footnote w:id="15">
    <w:p w14:paraId="1D7A6D9F" w14:textId="3ECE6813"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t xml:space="preserve">El Reglamento de la Comisión, en su redacción actual y vigente al momento en que se emitió el Informe de Fondo en el presente caso, en su artículo 45 establece, en su primer inciso, que si “la Comisión considera que [el Estado] no ha cumplido las recomendaciones del informe aprobado de acuerdo al artículo 50 de [la Convención Americana], someterá el caso a la Corte, salvo por decisión fundada de la mayoría absoluta de los miembros de la Comisión”. De la lectura de dicha norma surge que es posible que la Comisión decida no someter el caso a la Corte. El segundo inciso del mismo artículo señala que “[l]a Comisión considerará fundamentalmente la obtención de justicia en el caso particular, fundada entre otros, en los siguientes elementos: a. la posición del peticionario; b. la naturaleza y gravedad de la violación; c. la necesidad de desarrollar o aclarar la jurisprudencia del sistema; y d. el eventual efecto de la decisión en los ordenamientos jurídicos de los Estados miembros”. No compete a esta Corte evaluar tales “elementos” respecto al caso concreto. Sin perjuicio de ello, la Corte considera evidente que el hecho de que la única persona que la Comisión consideró víctima y beneficiaria de las medidas que recomendó hubiera muerto es una circunstancia que, al menos </w:t>
      </w:r>
      <w:r w:rsidRPr="00E07388">
        <w:rPr>
          <w:rFonts w:ascii="Verdana" w:hAnsi="Verdana"/>
          <w:i/>
          <w:sz w:val="16"/>
          <w:szCs w:val="16"/>
        </w:rPr>
        <w:t>a priori</w:t>
      </w:r>
      <w:r w:rsidRPr="00E07388">
        <w:rPr>
          <w:rFonts w:ascii="Verdana" w:hAnsi="Verdana"/>
          <w:sz w:val="16"/>
          <w:szCs w:val="16"/>
        </w:rPr>
        <w:t>, parece relevante en relación con la consideración sobre las posibilidades de “obtención de justicia en el caso particular”.</w:t>
      </w:r>
    </w:p>
    <w:p w14:paraId="0F7B63F7" w14:textId="77777777" w:rsidR="005A4119" w:rsidRPr="00E07388" w:rsidRDefault="005A4119" w:rsidP="00414DEF">
      <w:pPr>
        <w:pStyle w:val="Textonotapie"/>
        <w:jc w:val="both"/>
        <w:rPr>
          <w:rFonts w:ascii="Verdana" w:hAnsi="Verdana"/>
          <w:sz w:val="16"/>
          <w:szCs w:val="16"/>
        </w:rPr>
      </w:pPr>
    </w:p>
  </w:footnote>
  <w:footnote w:id="16">
    <w:p w14:paraId="7CCC32F7" w14:textId="5F07D08A"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Cfr. Caso Velásquez Rodríguez Vs. Honduras. Fondo</w:t>
      </w:r>
      <w:r w:rsidRPr="00E07388">
        <w:rPr>
          <w:rFonts w:ascii="Verdana" w:hAnsi="Verdana"/>
          <w:sz w:val="16"/>
          <w:szCs w:val="16"/>
        </w:rPr>
        <w:t xml:space="preserve">, párr. 140, y </w:t>
      </w:r>
      <w:r w:rsidRPr="00E07388">
        <w:rPr>
          <w:rFonts w:ascii="Verdana" w:hAnsi="Verdana"/>
          <w:i/>
          <w:sz w:val="16"/>
          <w:szCs w:val="16"/>
        </w:rPr>
        <w:t xml:space="preserve">Caso Jenkins Vs. Argentina. Excepciones Preliminares, Fondo, Reparaciones y Costas. </w:t>
      </w:r>
      <w:r w:rsidRPr="00E07388">
        <w:rPr>
          <w:rFonts w:ascii="Verdana" w:hAnsi="Verdana"/>
          <w:sz w:val="16"/>
          <w:szCs w:val="16"/>
        </w:rPr>
        <w:t>Sentencia de 26 de noviembre de 2019. Serie C No. 397, párr. 38.</w:t>
      </w:r>
    </w:p>
    <w:p w14:paraId="70046D2A" w14:textId="77777777" w:rsidR="005A4119" w:rsidRPr="00E07388" w:rsidRDefault="005A4119" w:rsidP="00414DEF">
      <w:pPr>
        <w:pStyle w:val="Textonotapie"/>
        <w:jc w:val="both"/>
        <w:rPr>
          <w:rFonts w:ascii="Verdana" w:hAnsi="Verdana"/>
          <w:sz w:val="16"/>
          <w:szCs w:val="16"/>
        </w:rPr>
      </w:pPr>
    </w:p>
  </w:footnote>
  <w:footnote w:id="17">
    <w:p w14:paraId="40CC3580" w14:textId="74DCD639"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t>De acuerdo a la descripción de hechos que consta en el “auto cabeza de proceso” de 17 de agosto de 1993, el día 15 de ese mes, luego de producidos los disparos, el señor Carranza huyó a caballo (</w:t>
      </w:r>
      <w:r w:rsidRPr="00E07388">
        <w:rPr>
          <w:rFonts w:ascii="Verdana" w:hAnsi="Verdana"/>
          <w:i/>
          <w:sz w:val="16"/>
          <w:szCs w:val="16"/>
        </w:rPr>
        <w:t>cfr.</w:t>
      </w:r>
      <w:r w:rsidRPr="00E07388">
        <w:rPr>
          <w:rFonts w:ascii="Verdana" w:hAnsi="Verdana"/>
          <w:sz w:val="16"/>
          <w:szCs w:val="16"/>
        </w:rPr>
        <w:t xml:space="preserve"> Auto de cabeza de proceso de 17 de agosto de 1993. Expediente de prueba, anexo 2 al Informe de Fondo, fs. 402 a 405).  </w:t>
      </w:r>
    </w:p>
    <w:p w14:paraId="57132D2F" w14:textId="77777777" w:rsidR="005A4119" w:rsidRPr="00E07388" w:rsidRDefault="005A4119" w:rsidP="00414DEF">
      <w:pPr>
        <w:pStyle w:val="Textonotapie"/>
        <w:jc w:val="both"/>
        <w:rPr>
          <w:rFonts w:ascii="Verdana" w:hAnsi="Verdana"/>
          <w:sz w:val="16"/>
          <w:szCs w:val="16"/>
        </w:rPr>
      </w:pPr>
    </w:p>
  </w:footnote>
  <w:footnote w:id="18">
    <w:p w14:paraId="752D4E6E" w14:textId="613526BF"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Caso Chaparro Álvarez y Lapo Íñiguez Vs. Ecuador</w:t>
      </w:r>
      <w:r w:rsidRPr="00E07388">
        <w:rPr>
          <w:rFonts w:ascii="Verdana" w:hAnsi="Verdana"/>
          <w:sz w:val="16"/>
          <w:szCs w:val="16"/>
        </w:rPr>
        <w:t xml:space="preserve">, párr. 104. En el Informe de Fondo, la Comisión remitió a la Sentencia indicada al describir el texto del mencionado artículo 177. La Corte, además, entiende que el texto del CPP es un hecho </w:t>
      </w:r>
      <w:r>
        <w:rPr>
          <w:rFonts w:ascii="Verdana" w:hAnsi="Verdana"/>
          <w:sz w:val="16"/>
          <w:szCs w:val="16"/>
        </w:rPr>
        <w:t>público</w:t>
      </w:r>
      <w:r w:rsidRPr="00E07388">
        <w:rPr>
          <w:rFonts w:ascii="Verdana" w:hAnsi="Verdana"/>
          <w:sz w:val="16"/>
          <w:szCs w:val="16"/>
        </w:rPr>
        <w:t xml:space="preserve">. </w:t>
      </w:r>
    </w:p>
    <w:p w14:paraId="01E1A525" w14:textId="77777777" w:rsidR="005A4119" w:rsidRPr="00E07388" w:rsidRDefault="005A4119" w:rsidP="00414DEF">
      <w:pPr>
        <w:pStyle w:val="Textonotapie"/>
        <w:jc w:val="both"/>
        <w:rPr>
          <w:rFonts w:ascii="Verdana" w:hAnsi="Verdana"/>
          <w:sz w:val="16"/>
          <w:szCs w:val="16"/>
        </w:rPr>
      </w:pPr>
    </w:p>
  </w:footnote>
  <w:footnote w:id="19">
    <w:p w14:paraId="6626D77B" w14:textId="48892F05"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t xml:space="preserve">En el mismo sentido, la perita </w:t>
      </w:r>
      <w:proofErr w:type="spellStart"/>
      <w:r w:rsidRPr="00E07388">
        <w:rPr>
          <w:rFonts w:ascii="Verdana" w:hAnsi="Verdana"/>
          <w:sz w:val="16"/>
          <w:szCs w:val="16"/>
        </w:rPr>
        <w:t>Fonte</w:t>
      </w:r>
      <w:proofErr w:type="spellEnd"/>
      <w:r w:rsidRPr="00E07388">
        <w:rPr>
          <w:rFonts w:ascii="Verdana" w:hAnsi="Verdana"/>
          <w:sz w:val="16"/>
          <w:szCs w:val="16"/>
        </w:rPr>
        <w:t xml:space="preserve"> Carvalho explicó, aludiendo a la prisión preventiva, que hubo un “marco legal” entre los años 1983 y 2000; que luego “[e]</w:t>
      </w:r>
      <w:proofErr w:type="spellStart"/>
      <w:r w:rsidRPr="00E07388">
        <w:rPr>
          <w:rFonts w:ascii="Verdana" w:hAnsi="Verdana"/>
          <w:sz w:val="16"/>
          <w:szCs w:val="16"/>
        </w:rPr>
        <w:t>ntre</w:t>
      </w:r>
      <w:proofErr w:type="spellEnd"/>
      <w:r w:rsidRPr="00E07388">
        <w:rPr>
          <w:rFonts w:ascii="Verdana" w:hAnsi="Verdana"/>
          <w:sz w:val="16"/>
          <w:szCs w:val="16"/>
        </w:rPr>
        <w:t xml:space="preserve"> el 13 de enero de 2000 y el 10 de febrero de 2014, se encontró vigente el Código de Procedimiento Penal”, y que en la última fecha indicada “entró en vigencia el Código Orgánico Integral Penal”. </w:t>
      </w:r>
    </w:p>
    <w:p w14:paraId="51DD9D99" w14:textId="77777777" w:rsidR="005A4119" w:rsidRPr="00E07388" w:rsidRDefault="005A4119" w:rsidP="00414DEF">
      <w:pPr>
        <w:pStyle w:val="Textonotapie"/>
        <w:jc w:val="both"/>
        <w:rPr>
          <w:rFonts w:ascii="Verdana" w:hAnsi="Verdana"/>
          <w:sz w:val="16"/>
          <w:szCs w:val="16"/>
        </w:rPr>
      </w:pPr>
    </w:p>
  </w:footnote>
  <w:footnote w:id="20">
    <w:p w14:paraId="7B257DE5" w14:textId="3DF3CBB3" w:rsidR="005A4119" w:rsidRPr="00E07388" w:rsidRDefault="005A4119" w:rsidP="00414DEF">
      <w:pPr>
        <w:pStyle w:val="Prrafodelista"/>
        <w:widowControl/>
        <w:spacing w:after="0" w:line="240" w:lineRule="auto"/>
        <w:ind w:left="0"/>
        <w:jc w:val="both"/>
        <w:rPr>
          <w:rFonts w:ascii="Verdana" w:hAnsi="Verdana"/>
          <w:sz w:val="16"/>
          <w:szCs w:val="16"/>
          <w:lang w:val="es-CR"/>
        </w:rPr>
      </w:pPr>
      <w:r w:rsidRPr="00E07388">
        <w:rPr>
          <w:rStyle w:val="Refdenotaalpie"/>
          <w:rFonts w:ascii="Verdana" w:hAnsi="Verdana"/>
          <w:sz w:val="16"/>
          <w:szCs w:val="16"/>
        </w:rPr>
        <w:footnoteRef/>
      </w:r>
      <w:r w:rsidRPr="00E07388">
        <w:rPr>
          <w:rFonts w:ascii="Verdana" w:hAnsi="Verdana"/>
          <w:sz w:val="16"/>
          <w:szCs w:val="16"/>
          <w:lang w:val="es-CR"/>
        </w:rPr>
        <w:t xml:space="preserve"> </w:t>
      </w:r>
      <w:r w:rsidRPr="00E07388">
        <w:rPr>
          <w:rFonts w:ascii="Verdana" w:hAnsi="Verdana"/>
          <w:sz w:val="16"/>
          <w:szCs w:val="16"/>
          <w:lang w:val="es-CR"/>
        </w:rPr>
        <w:tab/>
        <w:t xml:space="preserve">El Estado señaló que más adelante, el 28 de agosto de 1998, el señor Carranza volvió a designar abogado defensor. </w:t>
      </w:r>
    </w:p>
    <w:p w14:paraId="78C87CDC" w14:textId="77777777" w:rsidR="005A4119" w:rsidRPr="00E07388" w:rsidRDefault="005A4119" w:rsidP="00414DEF">
      <w:pPr>
        <w:pStyle w:val="Prrafodelista"/>
        <w:widowControl/>
        <w:spacing w:after="0" w:line="240" w:lineRule="auto"/>
        <w:ind w:left="0"/>
        <w:jc w:val="both"/>
        <w:rPr>
          <w:rFonts w:ascii="Verdana" w:hAnsi="Verdana"/>
          <w:sz w:val="16"/>
          <w:szCs w:val="16"/>
          <w:lang w:val="es-ES"/>
        </w:rPr>
      </w:pPr>
    </w:p>
  </w:footnote>
  <w:footnote w:id="21">
    <w:p w14:paraId="685BAFD4" w14:textId="2018F700"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t>Si bien el representante aseveró que este acto ocurrió el 21 de abril de 1997, consta en la prueba que el acto tiene fecha 4 de marzo de 1997 (</w:t>
      </w:r>
      <w:r w:rsidRPr="00E07388">
        <w:rPr>
          <w:rFonts w:ascii="Verdana" w:hAnsi="Verdana"/>
          <w:i/>
          <w:sz w:val="16"/>
          <w:szCs w:val="16"/>
        </w:rPr>
        <w:t xml:space="preserve">cfr. </w:t>
      </w:r>
      <w:r w:rsidRPr="00E07388">
        <w:rPr>
          <w:rFonts w:ascii="Verdana" w:hAnsi="Verdana"/>
          <w:sz w:val="16"/>
          <w:szCs w:val="16"/>
        </w:rPr>
        <w:t xml:space="preserve">Dictamen Fiscal de 4 de marzo de 1997. Expediente de prueba, anexo 19 a la contestación, fs. 563 a 567). </w:t>
      </w:r>
    </w:p>
    <w:p w14:paraId="3E6AF729" w14:textId="77777777" w:rsidR="005A4119" w:rsidRPr="00E07388" w:rsidRDefault="005A4119" w:rsidP="00414DEF">
      <w:pPr>
        <w:pStyle w:val="Textonotapie"/>
        <w:jc w:val="both"/>
        <w:rPr>
          <w:rFonts w:ascii="Verdana" w:hAnsi="Verdana"/>
          <w:sz w:val="16"/>
          <w:szCs w:val="16"/>
        </w:rPr>
      </w:pPr>
    </w:p>
  </w:footnote>
  <w:footnote w:id="22">
    <w:p w14:paraId="207538C0" w14:textId="4003C77B" w:rsidR="005A4119" w:rsidRPr="00E07388" w:rsidRDefault="005A4119" w:rsidP="00414DEF">
      <w:pPr>
        <w:pStyle w:val="Prrafodelista"/>
        <w:widowControl/>
        <w:spacing w:after="0" w:line="240" w:lineRule="auto"/>
        <w:ind w:left="0"/>
        <w:jc w:val="both"/>
        <w:rPr>
          <w:rFonts w:ascii="Verdana" w:hAnsi="Verdana" w:cs="Times New Roman"/>
          <w:color w:val="292929"/>
          <w:sz w:val="16"/>
          <w:szCs w:val="16"/>
          <w:lang w:val="es-CR"/>
        </w:rPr>
      </w:pPr>
      <w:r w:rsidRPr="00E07388">
        <w:rPr>
          <w:rStyle w:val="Refdenotaalpie"/>
          <w:rFonts w:ascii="Verdana" w:hAnsi="Verdana"/>
          <w:sz w:val="16"/>
          <w:szCs w:val="16"/>
        </w:rPr>
        <w:footnoteRef/>
      </w:r>
      <w:r w:rsidRPr="00E07388">
        <w:rPr>
          <w:rFonts w:ascii="Verdana" w:hAnsi="Verdana"/>
          <w:sz w:val="16"/>
          <w:szCs w:val="16"/>
          <w:lang w:val="es-CR"/>
        </w:rPr>
        <w:t xml:space="preserve"> </w:t>
      </w:r>
      <w:r w:rsidRPr="00E07388">
        <w:rPr>
          <w:rFonts w:ascii="Verdana" w:hAnsi="Verdana"/>
          <w:sz w:val="16"/>
          <w:szCs w:val="16"/>
          <w:lang w:val="es-CR"/>
        </w:rPr>
        <w:tab/>
        <w:t>El 27 de julio de 1998 el señor Carranza se negó a asistir a la audiencia por enfermedad. El Tribunal Penal difirió el desarrollo de la audiencia para el 4 de agosto siguiente. No consta qué sucedió en esa fecha, o el motivo por el cual la audiencia se habría suspendido, pero el</w:t>
      </w:r>
      <w:r w:rsidRPr="00E07388">
        <w:rPr>
          <w:rFonts w:ascii="Verdana" w:hAnsi="Verdana"/>
          <w:b/>
          <w:sz w:val="16"/>
          <w:szCs w:val="16"/>
          <w:lang w:val="es-CR"/>
        </w:rPr>
        <w:t xml:space="preserve"> </w:t>
      </w:r>
      <w:r w:rsidRPr="00E07388">
        <w:rPr>
          <w:rFonts w:ascii="Verdana" w:hAnsi="Verdana"/>
          <w:sz w:val="16"/>
          <w:szCs w:val="16"/>
          <w:lang w:val="es-CR"/>
        </w:rPr>
        <w:t>11 de agosto de 1998 el Tribunal Penal difirió el desarrollo de la audiencia y el 24 del mismo mes la misma fue convocada para realizarse dos días después. El 26 de agosto de 1998, el Fiscal solicitó al Tribunal Penal excusarse de la audiencia, pues había sido notificado con otra audiencia pública el 21 de agosto.</w:t>
      </w:r>
      <w:r w:rsidRPr="00E07388">
        <w:rPr>
          <w:rFonts w:ascii="Verdana" w:hAnsi="Verdana" w:cs="Times New Roman"/>
          <w:b/>
          <w:color w:val="212121"/>
          <w:sz w:val="16"/>
          <w:szCs w:val="16"/>
          <w:lang w:val="es-CR"/>
        </w:rPr>
        <w:t xml:space="preserve"> </w:t>
      </w:r>
      <w:r w:rsidRPr="00E07388">
        <w:rPr>
          <w:rFonts w:ascii="Verdana" w:hAnsi="Verdana"/>
          <w:sz w:val="16"/>
          <w:szCs w:val="16"/>
          <w:lang w:val="es-CR"/>
        </w:rPr>
        <w:t xml:space="preserve">El 31 de ese mes el Tribunal Penal fijó el 3 de septiembre siguiente como fecha de audiencia. </w:t>
      </w:r>
      <w:r w:rsidRPr="00E07388">
        <w:rPr>
          <w:rFonts w:ascii="Verdana" w:hAnsi="Verdana" w:cs="Times New Roman"/>
          <w:color w:val="212121"/>
          <w:sz w:val="16"/>
          <w:szCs w:val="16"/>
          <w:lang w:val="es-CR"/>
        </w:rPr>
        <w:t>Ese día no se llevó a cabo, pues</w:t>
      </w:r>
      <w:r w:rsidRPr="00E07388">
        <w:rPr>
          <w:rFonts w:ascii="Verdana" w:hAnsi="Verdana" w:cs="Times New Roman"/>
          <w:b/>
          <w:color w:val="212121"/>
          <w:sz w:val="16"/>
          <w:szCs w:val="16"/>
          <w:lang w:val="es-CR"/>
        </w:rPr>
        <w:t xml:space="preserve"> </w:t>
      </w:r>
      <w:r w:rsidRPr="00E07388">
        <w:rPr>
          <w:rFonts w:ascii="Verdana" w:hAnsi="Verdana"/>
          <w:sz w:val="16"/>
          <w:szCs w:val="16"/>
          <w:lang w:val="es-CR"/>
        </w:rPr>
        <w:t>el Presidente del</w:t>
      </w:r>
      <w:r w:rsidRPr="00E07388">
        <w:rPr>
          <w:rFonts w:ascii="Verdana" w:hAnsi="Verdana" w:cs="Times New Roman"/>
          <w:color w:val="292929"/>
          <w:sz w:val="16"/>
          <w:szCs w:val="16"/>
          <w:lang w:val="es-CR"/>
        </w:rPr>
        <w:t xml:space="preserve"> </w:t>
      </w:r>
      <w:r w:rsidRPr="00E07388">
        <w:rPr>
          <w:rFonts w:ascii="Verdana" w:hAnsi="Verdana" w:cs="Times New Roman"/>
          <w:color w:val="171717"/>
          <w:sz w:val="16"/>
          <w:szCs w:val="16"/>
          <w:lang w:val="es-CR"/>
        </w:rPr>
        <w:t xml:space="preserve">Tribunal </w:t>
      </w:r>
      <w:r w:rsidRPr="00E07388">
        <w:rPr>
          <w:rFonts w:ascii="Verdana" w:hAnsi="Verdana" w:cs="Times New Roman"/>
          <w:color w:val="292929"/>
          <w:sz w:val="16"/>
          <w:szCs w:val="16"/>
          <w:lang w:val="es-CR"/>
        </w:rPr>
        <w:t xml:space="preserve">Penal se encontraba en una reunión de trabajo con integrantes de la Corte Suprema de Justicia. </w:t>
      </w:r>
      <w:r w:rsidRPr="00E07388">
        <w:rPr>
          <w:rFonts w:ascii="Verdana" w:hAnsi="Verdana"/>
          <w:sz w:val="16"/>
          <w:szCs w:val="16"/>
          <w:lang w:val="es-CR"/>
        </w:rPr>
        <w:t>El 17 de septiembre de 1998 se convocó la audiencia para que tenga lugar el 21 del mismo mes.</w:t>
      </w:r>
      <w:r w:rsidRPr="00E07388">
        <w:rPr>
          <w:rFonts w:ascii="Verdana" w:hAnsi="Verdana" w:cs="Times New Roman"/>
          <w:b/>
          <w:color w:val="212121"/>
          <w:sz w:val="16"/>
          <w:szCs w:val="16"/>
          <w:lang w:val="es-CR"/>
        </w:rPr>
        <w:t xml:space="preserve"> </w:t>
      </w:r>
      <w:r w:rsidRPr="00E07388">
        <w:rPr>
          <w:rFonts w:ascii="Verdana" w:hAnsi="Verdana" w:cs="Times New Roman"/>
          <w:color w:val="212121"/>
          <w:sz w:val="16"/>
          <w:szCs w:val="16"/>
          <w:lang w:val="es-CR"/>
        </w:rPr>
        <w:t xml:space="preserve">Pese a ello, conforme indicó el Estado, el </w:t>
      </w:r>
      <w:r w:rsidRPr="00E07388">
        <w:rPr>
          <w:rFonts w:ascii="Verdana" w:hAnsi="Verdana"/>
          <w:sz w:val="16"/>
          <w:szCs w:val="16"/>
          <w:lang w:val="es-CR"/>
        </w:rPr>
        <w:t xml:space="preserve">27 de noviembre de 1998 el </w:t>
      </w:r>
      <w:r w:rsidRPr="00E07388">
        <w:rPr>
          <w:rFonts w:ascii="Verdana" w:hAnsi="Verdana" w:cs="Times New Roman"/>
          <w:color w:val="171717"/>
          <w:sz w:val="16"/>
          <w:szCs w:val="16"/>
          <w:lang w:val="es-CR"/>
        </w:rPr>
        <w:t xml:space="preserve">Tribunal </w:t>
      </w:r>
      <w:r w:rsidRPr="00E07388">
        <w:rPr>
          <w:rFonts w:ascii="Verdana" w:hAnsi="Verdana" w:cs="Times New Roman"/>
          <w:color w:val="292929"/>
          <w:sz w:val="16"/>
          <w:szCs w:val="16"/>
          <w:lang w:val="es-CR"/>
        </w:rPr>
        <w:t xml:space="preserve">Penal convocó a la audiencia pública para el 1 de diciembre de ese año. No consta por qué no se celebró la audiencia el 21 de septiembre de 1998. </w:t>
      </w:r>
    </w:p>
    <w:p w14:paraId="7FB85C5E" w14:textId="77777777" w:rsidR="005A4119" w:rsidRPr="00E07388" w:rsidRDefault="005A4119" w:rsidP="00414DEF">
      <w:pPr>
        <w:pStyle w:val="Prrafodelista"/>
        <w:widowControl/>
        <w:spacing w:after="0" w:line="240" w:lineRule="auto"/>
        <w:ind w:left="0"/>
        <w:jc w:val="both"/>
        <w:rPr>
          <w:rFonts w:ascii="Verdana" w:hAnsi="Verdana"/>
          <w:sz w:val="16"/>
          <w:szCs w:val="16"/>
          <w:lang w:val="es-CR"/>
        </w:rPr>
      </w:pPr>
    </w:p>
  </w:footnote>
  <w:footnote w:id="23">
    <w:p w14:paraId="42E7AC3F" w14:textId="2498D7D5" w:rsidR="005A4119" w:rsidRPr="00E07388" w:rsidRDefault="005A4119" w:rsidP="00414DEF">
      <w:pPr>
        <w:pStyle w:val="Textonotapie"/>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t>Artículos 7 y 8 de la Convención Americana.</w:t>
      </w:r>
    </w:p>
    <w:p w14:paraId="37F73D5C" w14:textId="77777777" w:rsidR="005A4119" w:rsidRPr="00E07388" w:rsidRDefault="005A4119" w:rsidP="00414DEF">
      <w:pPr>
        <w:pStyle w:val="Textonotapie"/>
        <w:rPr>
          <w:rFonts w:ascii="Verdana" w:hAnsi="Verdana"/>
          <w:sz w:val="16"/>
          <w:szCs w:val="16"/>
        </w:rPr>
      </w:pPr>
    </w:p>
  </w:footnote>
  <w:footnote w:id="24">
    <w:p w14:paraId="4C0EE455" w14:textId="695BBEEC"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t>La Comisión indicó que “el 23 de febrero de 1995 el Juez dispuso [el] traslado [del señor Carranza] para rendir testimonio indagatorio, lo que se realizó recién el 25 de agosto siguiente. Asimismo, entre el 11 de septiembre de 1995 que el señor Carranza presentó un escrito y un año después, el 30 de septiembre de 1996 se cerró el sumario y se remitió el proceso al fiscal para dictamen. [Además,] entre la emisión del dictamen en marzo de 1997 y la audiencia pública en diciembre de 1998 transcurrió un año y nueve meses adicionales”.</w:t>
      </w:r>
    </w:p>
    <w:p w14:paraId="5EBC6CEB" w14:textId="77777777" w:rsidR="005A4119" w:rsidRPr="00E07388" w:rsidRDefault="005A4119" w:rsidP="00414DEF">
      <w:pPr>
        <w:pStyle w:val="Textonotapie"/>
        <w:jc w:val="both"/>
        <w:rPr>
          <w:rFonts w:ascii="Verdana" w:hAnsi="Verdana"/>
          <w:sz w:val="16"/>
          <w:szCs w:val="16"/>
        </w:rPr>
      </w:pPr>
    </w:p>
  </w:footnote>
  <w:footnote w:id="25">
    <w:p w14:paraId="725A6EC3" w14:textId="0C1265C7" w:rsidR="005A4119" w:rsidRPr="00E07388" w:rsidRDefault="005A4119" w:rsidP="00414DEF">
      <w:pPr>
        <w:pStyle w:val="Prrafodelista"/>
        <w:widowControl/>
        <w:spacing w:after="0" w:line="240" w:lineRule="auto"/>
        <w:ind w:left="0"/>
        <w:jc w:val="both"/>
        <w:rPr>
          <w:rFonts w:ascii="Verdana" w:hAnsi="Verdana"/>
          <w:sz w:val="16"/>
          <w:szCs w:val="16"/>
          <w:lang w:val="es-CR"/>
        </w:rPr>
      </w:pPr>
      <w:r w:rsidRPr="00E07388">
        <w:rPr>
          <w:rStyle w:val="Refdenotaalpie"/>
          <w:rFonts w:ascii="Verdana" w:hAnsi="Verdana"/>
          <w:sz w:val="16"/>
          <w:szCs w:val="16"/>
        </w:rPr>
        <w:footnoteRef/>
      </w:r>
      <w:r w:rsidRPr="00E07388">
        <w:rPr>
          <w:rFonts w:ascii="Verdana" w:hAnsi="Verdana"/>
          <w:sz w:val="16"/>
          <w:szCs w:val="16"/>
          <w:lang w:val="es-CR"/>
        </w:rPr>
        <w:t xml:space="preserve"> </w:t>
      </w:r>
      <w:r w:rsidRPr="00E07388">
        <w:rPr>
          <w:rFonts w:ascii="Verdana" w:hAnsi="Verdana"/>
          <w:sz w:val="16"/>
          <w:szCs w:val="16"/>
          <w:lang w:val="es-CR"/>
        </w:rPr>
        <w:tab/>
        <w:t>El representante, entre sus argumentos sobre vulneración al plazo razonable, señaló el señor Carranza “</w:t>
      </w:r>
      <w:proofErr w:type="spellStart"/>
      <w:r w:rsidRPr="00E07388">
        <w:rPr>
          <w:rFonts w:ascii="Verdana" w:hAnsi="Verdana"/>
          <w:sz w:val="16"/>
          <w:szCs w:val="16"/>
          <w:lang w:val="es-CR"/>
        </w:rPr>
        <w:t>termin</w:t>
      </w:r>
      <w:proofErr w:type="spellEnd"/>
      <w:r w:rsidRPr="00E07388">
        <w:rPr>
          <w:rFonts w:ascii="Verdana" w:hAnsi="Verdana"/>
          <w:sz w:val="16"/>
          <w:szCs w:val="16"/>
          <w:lang w:val="es-CR"/>
        </w:rPr>
        <w:t>[</w:t>
      </w:r>
      <w:proofErr w:type="spellStart"/>
      <w:r w:rsidRPr="00E07388">
        <w:rPr>
          <w:rFonts w:ascii="Verdana" w:hAnsi="Verdana"/>
          <w:sz w:val="16"/>
          <w:szCs w:val="16"/>
          <w:lang w:val="es-CR"/>
        </w:rPr>
        <w:t>ó</w:t>
      </w:r>
      <w:proofErr w:type="spellEnd"/>
      <w:r w:rsidRPr="00E07388">
        <w:rPr>
          <w:rFonts w:ascii="Verdana" w:hAnsi="Verdana"/>
          <w:sz w:val="16"/>
          <w:szCs w:val="16"/>
          <w:lang w:val="es-CR"/>
        </w:rPr>
        <w:t>] cumpliendo más del tiempo de la pena”, pues “el 17 de mayo de 1997, antes de que [él] fuera sentenciado, se reformaron los [a]</w:t>
      </w:r>
      <w:proofErr w:type="spellStart"/>
      <w:r w:rsidRPr="00E07388">
        <w:rPr>
          <w:rFonts w:ascii="Verdana" w:hAnsi="Verdana"/>
          <w:sz w:val="16"/>
          <w:szCs w:val="16"/>
          <w:lang w:val="es-CR"/>
        </w:rPr>
        <w:t>rtículos</w:t>
      </w:r>
      <w:proofErr w:type="spellEnd"/>
      <w:r w:rsidRPr="00E07388">
        <w:rPr>
          <w:rFonts w:ascii="Verdana" w:hAnsi="Verdana"/>
          <w:sz w:val="16"/>
          <w:szCs w:val="16"/>
          <w:lang w:val="es-CR"/>
        </w:rPr>
        <w:t xml:space="preserve"> 33 y 34 del Código de Ejecución de Penas y </w:t>
      </w:r>
      <w:proofErr w:type="gramStart"/>
      <w:r w:rsidRPr="00E07388">
        <w:rPr>
          <w:rFonts w:ascii="Verdana" w:hAnsi="Verdana"/>
          <w:sz w:val="16"/>
          <w:szCs w:val="16"/>
          <w:lang w:val="es-CR"/>
        </w:rPr>
        <w:t>Rehabilitación[</w:t>
      </w:r>
      <w:proofErr w:type="gramEnd"/>
      <w:r w:rsidRPr="00E07388">
        <w:rPr>
          <w:rFonts w:ascii="Verdana" w:hAnsi="Verdana"/>
          <w:sz w:val="16"/>
          <w:szCs w:val="16"/>
          <w:lang w:val="es-CR"/>
        </w:rPr>
        <w:t xml:space="preserve">,] reduciendo automáticamente la condena a 180 días anuales para aquellos internos sentenciados y aquellos sin condena que observaran buena conducta”.  Señaló que Carranza “solo debió cumplir tres años de cárcel”. </w:t>
      </w:r>
    </w:p>
    <w:p w14:paraId="38D74A67" w14:textId="77777777" w:rsidR="005A4119" w:rsidRPr="00E07388" w:rsidRDefault="005A4119" w:rsidP="00414DEF">
      <w:pPr>
        <w:pStyle w:val="Prrafodelista"/>
        <w:widowControl/>
        <w:spacing w:after="0" w:line="240" w:lineRule="auto"/>
        <w:ind w:left="0"/>
        <w:jc w:val="both"/>
        <w:rPr>
          <w:rFonts w:ascii="Verdana" w:hAnsi="Verdana"/>
          <w:sz w:val="16"/>
          <w:szCs w:val="16"/>
          <w:lang w:val="es-CR"/>
        </w:rPr>
      </w:pPr>
    </w:p>
  </w:footnote>
  <w:footnote w:id="26">
    <w:p w14:paraId="12581F89" w14:textId="323F5F12"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Cfr. Caso "Instituto de Reeducación del Menor" Vs. Paraguay. Excepciones Preliminares, Fondo, Reparaciones y Costas</w:t>
      </w:r>
      <w:r w:rsidRPr="00E07388">
        <w:rPr>
          <w:rFonts w:ascii="Verdana" w:hAnsi="Verdana"/>
          <w:sz w:val="16"/>
          <w:szCs w:val="16"/>
        </w:rPr>
        <w:t xml:space="preserve">. Sentencia de 2 de septiembre de 2004. Serie C No. 112, párr. 223, y </w:t>
      </w:r>
      <w:r w:rsidRPr="00E07388">
        <w:rPr>
          <w:rFonts w:ascii="Verdana" w:hAnsi="Verdana"/>
          <w:i/>
          <w:sz w:val="16"/>
          <w:szCs w:val="16"/>
        </w:rPr>
        <w:t>Caso Jenkins Vs. Argentina</w:t>
      </w:r>
      <w:r w:rsidRPr="00E07388">
        <w:rPr>
          <w:rFonts w:ascii="Verdana" w:hAnsi="Verdana"/>
          <w:sz w:val="16"/>
          <w:szCs w:val="16"/>
        </w:rPr>
        <w:t>, párr. 71.</w:t>
      </w:r>
    </w:p>
    <w:p w14:paraId="6C495DE7" w14:textId="77777777" w:rsidR="005A4119" w:rsidRPr="00E07388" w:rsidRDefault="005A4119" w:rsidP="00414DEF">
      <w:pPr>
        <w:pStyle w:val="Textonotapie"/>
        <w:jc w:val="both"/>
        <w:rPr>
          <w:rFonts w:ascii="Verdana" w:hAnsi="Verdana"/>
          <w:sz w:val="16"/>
          <w:szCs w:val="16"/>
        </w:rPr>
      </w:pPr>
    </w:p>
  </w:footnote>
  <w:footnote w:id="27">
    <w:p w14:paraId="59BE8570" w14:textId="442F0BEE" w:rsidR="005A4119" w:rsidRPr="00E07388" w:rsidRDefault="005A4119" w:rsidP="00414DEF">
      <w:pPr>
        <w:pStyle w:val="Textonotapie"/>
        <w:jc w:val="both"/>
        <w:rPr>
          <w:rFonts w:ascii="Verdana" w:hAnsi="Verdana"/>
          <w:sz w:val="16"/>
          <w:szCs w:val="16"/>
        </w:rPr>
      </w:pPr>
      <w:r w:rsidRPr="00E07388">
        <w:rPr>
          <w:rFonts w:ascii="Verdana" w:hAnsi="Verdana"/>
          <w:iCs/>
          <w:sz w:val="16"/>
          <w:szCs w:val="16"/>
          <w:vertAlign w:val="superscript"/>
        </w:rPr>
        <w:footnoteRef/>
      </w:r>
      <w:r w:rsidRPr="00E07388">
        <w:rPr>
          <w:rFonts w:ascii="Verdana" w:hAnsi="Verdana"/>
          <w:i/>
          <w:sz w:val="16"/>
          <w:szCs w:val="16"/>
        </w:rPr>
        <w:t xml:space="preserve"> </w:t>
      </w:r>
      <w:r w:rsidRPr="00E07388">
        <w:rPr>
          <w:rFonts w:ascii="Verdana" w:hAnsi="Verdana"/>
          <w:i/>
          <w:sz w:val="16"/>
          <w:szCs w:val="16"/>
        </w:rPr>
        <w:tab/>
      </w:r>
      <w:r w:rsidRPr="00E07388">
        <w:rPr>
          <w:rFonts w:ascii="Verdana" w:hAnsi="Verdana"/>
          <w:i/>
          <w:iCs/>
          <w:sz w:val="16"/>
          <w:szCs w:val="16"/>
        </w:rPr>
        <w:t>Cfr. Caso Chaparro Álvarez y Lapo Íñiguez Vs. Ecuador</w:t>
      </w:r>
      <w:r w:rsidRPr="00E07388">
        <w:rPr>
          <w:rFonts w:ascii="Verdana" w:hAnsi="Verdana"/>
          <w:iCs/>
          <w:sz w:val="16"/>
          <w:szCs w:val="16"/>
        </w:rPr>
        <w:t>, párr. 51,</w:t>
      </w:r>
      <w:r w:rsidRPr="00E07388">
        <w:rPr>
          <w:rFonts w:ascii="Verdana" w:hAnsi="Verdana"/>
          <w:i/>
          <w:iCs/>
          <w:sz w:val="16"/>
          <w:szCs w:val="16"/>
        </w:rPr>
        <w:t xml:space="preserve"> </w:t>
      </w:r>
      <w:r w:rsidRPr="00E07388">
        <w:rPr>
          <w:rFonts w:ascii="Verdana" w:hAnsi="Verdana"/>
          <w:iCs/>
          <w:sz w:val="16"/>
          <w:szCs w:val="16"/>
        </w:rPr>
        <w:t>y</w:t>
      </w:r>
      <w:r w:rsidRPr="00E07388">
        <w:rPr>
          <w:rFonts w:ascii="Verdana" w:hAnsi="Verdana"/>
          <w:i/>
          <w:iCs/>
          <w:sz w:val="16"/>
          <w:szCs w:val="16"/>
        </w:rPr>
        <w:t xml:space="preserve"> </w:t>
      </w:r>
      <w:r w:rsidRPr="00E07388">
        <w:rPr>
          <w:rFonts w:ascii="Verdana" w:hAnsi="Verdana"/>
          <w:i/>
          <w:sz w:val="16"/>
          <w:szCs w:val="16"/>
        </w:rPr>
        <w:t>Caso Jenkins Vs. Argentina</w:t>
      </w:r>
      <w:r w:rsidRPr="00E07388">
        <w:rPr>
          <w:rFonts w:ascii="Verdana" w:hAnsi="Verdana"/>
          <w:sz w:val="16"/>
          <w:szCs w:val="16"/>
        </w:rPr>
        <w:t>, párr. 71.</w:t>
      </w:r>
    </w:p>
    <w:p w14:paraId="1ACDB35C" w14:textId="77777777" w:rsidR="005A4119" w:rsidRPr="00E07388" w:rsidRDefault="005A4119" w:rsidP="00414DEF">
      <w:pPr>
        <w:pStyle w:val="Textonotapie"/>
        <w:jc w:val="both"/>
        <w:rPr>
          <w:rFonts w:ascii="Verdana" w:hAnsi="Verdana"/>
          <w:iCs/>
          <w:sz w:val="16"/>
          <w:szCs w:val="16"/>
        </w:rPr>
      </w:pPr>
    </w:p>
  </w:footnote>
  <w:footnote w:id="28">
    <w:p w14:paraId="7D11FC24" w14:textId="60E39269" w:rsidR="005A4119" w:rsidRPr="00E07388" w:rsidRDefault="005A4119" w:rsidP="00414DEF">
      <w:pPr>
        <w:pStyle w:val="Textonotapie"/>
        <w:jc w:val="both"/>
        <w:rPr>
          <w:rFonts w:ascii="Verdana" w:hAnsi="Verdana"/>
          <w:iCs/>
          <w:sz w:val="16"/>
          <w:szCs w:val="16"/>
        </w:rPr>
      </w:pPr>
      <w:r w:rsidRPr="00E07388">
        <w:rPr>
          <w:rFonts w:ascii="Verdana" w:hAnsi="Verdana"/>
          <w:iCs/>
          <w:sz w:val="16"/>
          <w:szCs w:val="16"/>
          <w:vertAlign w:val="superscript"/>
        </w:rPr>
        <w:footnoteRef/>
      </w:r>
      <w:r w:rsidRPr="00E07388">
        <w:rPr>
          <w:rFonts w:ascii="Verdana" w:hAnsi="Verdana"/>
          <w:i/>
          <w:iCs/>
          <w:sz w:val="16"/>
          <w:szCs w:val="16"/>
        </w:rPr>
        <w:t xml:space="preserve"> </w:t>
      </w:r>
      <w:r w:rsidRPr="00E07388">
        <w:rPr>
          <w:rFonts w:ascii="Verdana" w:hAnsi="Verdana"/>
          <w:i/>
          <w:iCs/>
          <w:sz w:val="16"/>
          <w:szCs w:val="16"/>
        </w:rPr>
        <w:tab/>
        <w:t>Cfr. Caso Chaparro Álvarez y Lapo Íñiguez Vs. Ecuador</w:t>
      </w:r>
      <w:r w:rsidRPr="00E07388">
        <w:rPr>
          <w:rFonts w:ascii="Verdana" w:hAnsi="Verdana"/>
          <w:iCs/>
          <w:sz w:val="16"/>
          <w:szCs w:val="16"/>
        </w:rPr>
        <w:t xml:space="preserve">, </w:t>
      </w:r>
      <w:r>
        <w:rPr>
          <w:rFonts w:ascii="Verdana" w:hAnsi="Verdana"/>
          <w:iCs/>
          <w:sz w:val="16"/>
          <w:szCs w:val="16"/>
        </w:rPr>
        <w:t xml:space="preserve">párr. 54, </w:t>
      </w:r>
      <w:r w:rsidRPr="00E07388">
        <w:rPr>
          <w:rFonts w:ascii="Verdana" w:hAnsi="Verdana"/>
          <w:iCs/>
          <w:sz w:val="16"/>
          <w:szCs w:val="16"/>
        </w:rPr>
        <w:t xml:space="preserve">y </w:t>
      </w:r>
      <w:r w:rsidRPr="00E07388">
        <w:rPr>
          <w:rFonts w:ascii="Verdana" w:hAnsi="Verdana"/>
          <w:i/>
          <w:sz w:val="16"/>
          <w:szCs w:val="16"/>
        </w:rPr>
        <w:t>Caso Jenkins Vs. Argentina</w:t>
      </w:r>
      <w:r w:rsidRPr="00E07388">
        <w:rPr>
          <w:rFonts w:ascii="Verdana" w:hAnsi="Verdana"/>
          <w:sz w:val="16"/>
          <w:szCs w:val="16"/>
        </w:rPr>
        <w:t>, párr. 71</w:t>
      </w:r>
      <w:r w:rsidRPr="00E07388">
        <w:rPr>
          <w:rFonts w:ascii="Verdana" w:hAnsi="Verdana"/>
          <w:iCs/>
          <w:sz w:val="16"/>
          <w:szCs w:val="16"/>
        </w:rPr>
        <w:t>.</w:t>
      </w:r>
    </w:p>
    <w:p w14:paraId="256C4C17" w14:textId="77777777" w:rsidR="005A4119" w:rsidRPr="00E07388" w:rsidRDefault="005A4119" w:rsidP="00414DEF">
      <w:pPr>
        <w:pStyle w:val="Textonotapie"/>
        <w:jc w:val="both"/>
        <w:rPr>
          <w:rFonts w:ascii="Verdana" w:hAnsi="Verdana"/>
          <w:iCs/>
          <w:sz w:val="16"/>
          <w:szCs w:val="16"/>
        </w:rPr>
      </w:pPr>
    </w:p>
  </w:footnote>
  <w:footnote w:id="29">
    <w:p w14:paraId="3602E4D8" w14:textId="6294588E"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Cfr. Caso Chaparro Álvarez y Lapo Íñiguez Vs. Ecuador</w:t>
      </w:r>
      <w:r w:rsidRPr="00E07388">
        <w:rPr>
          <w:rFonts w:ascii="Verdana" w:hAnsi="Verdana"/>
          <w:sz w:val="16"/>
          <w:szCs w:val="16"/>
        </w:rPr>
        <w:t xml:space="preserve">, párr. 55, y </w:t>
      </w:r>
      <w:r w:rsidRPr="00E07388">
        <w:rPr>
          <w:rFonts w:ascii="Verdana" w:hAnsi="Verdana"/>
          <w:i/>
          <w:sz w:val="16"/>
          <w:szCs w:val="16"/>
        </w:rPr>
        <w:t xml:space="preserve">Caso Romero </w:t>
      </w:r>
      <w:proofErr w:type="spellStart"/>
      <w:r w:rsidRPr="00E07388">
        <w:rPr>
          <w:rFonts w:ascii="Verdana" w:hAnsi="Verdana"/>
          <w:i/>
          <w:sz w:val="16"/>
          <w:szCs w:val="16"/>
        </w:rPr>
        <w:t>Feris</w:t>
      </w:r>
      <w:proofErr w:type="spellEnd"/>
      <w:r w:rsidRPr="00E07388">
        <w:rPr>
          <w:rFonts w:ascii="Verdana" w:hAnsi="Verdana"/>
          <w:i/>
          <w:sz w:val="16"/>
          <w:szCs w:val="16"/>
        </w:rPr>
        <w:t xml:space="preserve"> Vs. Argentina. Fondo, Reparaciones y Costas.</w:t>
      </w:r>
      <w:r w:rsidRPr="00E07388">
        <w:rPr>
          <w:rFonts w:ascii="Verdana" w:hAnsi="Verdana"/>
          <w:sz w:val="16"/>
          <w:szCs w:val="16"/>
        </w:rPr>
        <w:t xml:space="preserve"> Sentencia de 15 de octubre de 2019. Serie C No. 391, párr. 77.</w:t>
      </w:r>
    </w:p>
    <w:p w14:paraId="70161FCB" w14:textId="77777777" w:rsidR="005A4119" w:rsidRPr="00E07388" w:rsidRDefault="005A4119" w:rsidP="00414DEF">
      <w:pPr>
        <w:pStyle w:val="Textonotapie"/>
        <w:jc w:val="both"/>
        <w:rPr>
          <w:rFonts w:ascii="Verdana" w:hAnsi="Verdana"/>
          <w:sz w:val="16"/>
          <w:szCs w:val="16"/>
        </w:rPr>
      </w:pPr>
    </w:p>
  </w:footnote>
  <w:footnote w:id="30">
    <w:p w14:paraId="2811FE5F" w14:textId="1574C35A"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Pr>
          <w:rFonts w:ascii="Verdana" w:hAnsi="Verdana"/>
          <w:sz w:val="16"/>
          <w:szCs w:val="16"/>
        </w:rPr>
        <w:tab/>
      </w:r>
      <w:r w:rsidRPr="00E07388">
        <w:rPr>
          <w:rFonts w:ascii="Verdana" w:hAnsi="Verdana"/>
          <w:i/>
          <w:sz w:val="16"/>
          <w:szCs w:val="16"/>
        </w:rPr>
        <w:t>Cfr. Caso Chaparro Álvarez y Lapo Íñiguez Vs. Ecuador</w:t>
      </w:r>
      <w:r w:rsidRPr="00E07388">
        <w:rPr>
          <w:rFonts w:ascii="Verdana" w:hAnsi="Verdana"/>
          <w:sz w:val="16"/>
          <w:szCs w:val="16"/>
        </w:rPr>
        <w:t xml:space="preserve">, párr. 57, y </w:t>
      </w:r>
      <w:r w:rsidRPr="00E07388">
        <w:rPr>
          <w:rFonts w:ascii="Verdana" w:hAnsi="Verdana"/>
          <w:i/>
          <w:sz w:val="16"/>
          <w:szCs w:val="16"/>
        </w:rPr>
        <w:t xml:space="preserve">Caso Romero </w:t>
      </w:r>
      <w:proofErr w:type="spellStart"/>
      <w:r w:rsidRPr="00E07388">
        <w:rPr>
          <w:rFonts w:ascii="Verdana" w:hAnsi="Verdana"/>
          <w:i/>
          <w:sz w:val="16"/>
          <w:szCs w:val="16"/>
        </w:rPr>
        <w:t>Feris</w:t>
      </w:r>
      <w:proofErr w:type="spellEnd"/>
      <w:r w:rsidRPr="00E07388">
        <w:rPr>
          <w:rFonts w:ascii="Verdana" w:hAnsi="Verdana"/>
          <w:i/>
          <w:sz w:val="16"/>
          <w:szCs w:val="16"/>
        </w:rPr>
        <w:t xml:space="preserve"> Vs. Argentina</w:t>
      </w:r>
      <w:r w:rsidRPr="00E07388">
        <w:rPr>
          <w:rFonts w:ascii="Verdana" w:hAnsi="Verdana"/>
          <w:sz w:val="16"/>
          <w:szCs w:val="16"/>
        </w:rPr>
        <w:t>, párr. 77.</w:t>
      </w:r>
    </w:p>
    <w:p w14:paraId="0D41619A" w14:textId="77777777" w:rsidR="005A4119" w:rsidRPr="00E07388" w:rsidRDefault="005A4119" w:rsidP="00414DEF">
      <w:pPr>
        <w:pStyle w:val="Textonotapie"/>
        <w:jc w:val="both"/>
        <w:rPr>
          <w:rFonts w:ascii="Verdana" w:hAnsi="Verdana"/>
          <w:sz w:val="16"/>
          <w:szCs w:val="16"/>
        </w:rPr>
      </w:pPr>
    </w:p>
  </w:footnote>
  <w:footnote w:id="31">
    <w:p w14:paraId="55585C6D" w14:textId="41D6B295"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Cfr.</w:t>
      </w:r>
      <w:r w:rsidRPr="00E07388">
        <w:rPr>
          <w:rFonts w:ascii="Verdana" w:hAnsi="Verdana"/>
          <w:sz w:val="16"/>
          <w:szCs w:val="16"/>
        </w:rPr>
        <w:t xml:space="preserve"> </w:t>
      </w:r>
      <w:r w:rsidRPr="00E07388">
        <w:rPr>
          <w:rFonts w:ascii="Verdana" w:hAnsi="Verdana"/>
          <w:i/>
          <w:sz w:val="16"/>
          <w:szCs w:val="16"/>
        </w:rPr>
        <w:t>Caso Chaparro Álvarez y Lapo Íñiguez Vs. Ecuador</w:t>
      </w:r>
      <w:r w:rsidRPr="00E07388">
        <w:rPr>
          <w:rFonts w:ascii="Verdana" w:hAnsi="Verdana"/>
          <w:sz w:val="16"/>
          <w:szCs w:val="16"/>
        </w:rPr>
        <w:t xml:space="preserve">, párr. 57, y </w:t>
      </w:r>
      <w:r w:rsidRPr="00E07388">
        <w:rPr>
          <w:rFonts w:ascii="Verdana" w:hAnsi="Verdana"/>
          <w:i/>
          <w:sz w:val="16"/>
          <w:szCs w:val="16"/>
        </w:rPr>
        <w:t xml:space="preserve">Caso Romero </w:t>
      </w:r>
      <w:proofErr w:type="spellStart"/>
      <w:r w:rsidRPr="00E07388">
        <w:rPr>
          <w:rFonts w:ascii="Verdana" w:hAnsi="Verdana"/>
          <w:i/>
          <w:sz w:val="16"/>
          <w:szCs w:val="16"/>
        </w:rPr>
        <w:t>Feris</w:t>
      </w:r>
      <w:proofErr w:type="spellEnd"/>
      <w:r w:rsidRPr="00E07388">
        <w:rPr>
          <w:rFonts w:ascii="Verdana" w:hAnsi="Verdana"/>
          <w:i/>
          <w:sz w:val="16"/>
          <w:szCs w:val="16"/>
        </w:rPr>
        <w:t xml:space="preserve"> Vs. Argentina</w:t>
      </w:r>
      <w:r w:rsidRPr="00E07388">
        <w:rPr>
          <w:rFonts w:ascii="Verdana" w:hAnsi="Verdana"/>
          <w:sz w:val="16"/>
          <w:szCs w:val="16"/>
        </w:rPr>
        <w:t>, párr. 77.</w:t>
      </w:r>
    </w:p>
    <w:p w14:paraId="602E87CA" w14:textId="77777777" w:rsidR="005A4119" w:rsidRPr="00E07388" w:rsidRDefault="005A4119" w:rsidP="00414DEF">
      <w:pPr>
        <w:pStyle w:val="Textonotapie"/>
        <w:jc w:val="both"/>
        <w:rPr>
          <w:rFonts w:ascii="Verdana" w:hAnsi="Verdana"/>
          <w:sz w:val="16"/>
          <w:szCs w:val="16"/>
        </w:rPr>
      </w:pPr>
    </w:p>
  </w:footnote>
  <w:footnote w:id="32">
    <w:p w14:paraId="39DE9A3D" w14:textId="2ADA3611"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 xml:space="preserve">Cfr. Caso </w:t>
      </w:r>
      <w:proofErr w:type="spellStart"/>
      <w:r w:rsidRPr="00E07388">
        <w:rPr>
          <w:rFonts w:ascii="Verdana" w:hAnsi="Verdana"/>
          <w:i/>
          <w:sz w:val="16"/>
          <w:szCs w:val="16"/>
        </w:rPr>
        <w:t>Gangaram</w:t>
      </w:r>
      <w:proofErr w:type="spellEnd"/>
      <w:r w:rsidRPr="00E07388">
        <w:rPr>
          <w:rFonts w:ascii="Verdana" w:hAnsi="Verdana"/>
          <w:i/>
          <w:sz w:val="16"/>
          <w:szCs w:val="16"/>
        </w:rPr>
        <w:t xml:space="preserve"> </w:t>
      </w:r>
      <w:proofErr w:type="spellStart"/>
      <w:r w:rsidRPr="00E07388">
        <w:rPr>
          <w:rFonts w:ascii="Verdana" w:hAnsi="Verdana"/>
          <w:i/>
          <w:sz w:val="16"/>
          <w:szCs w:val="16"/>
        </w:rPr>
        <w:t>Panday</w:t>
      </w:r>
      <w:proofErr w:type="spellEnd"/>
      <w:r w:rsidRPr="00E07388">
        <w:rPr>
          <w:rFonts w:ascii="Verdana" w:hAnsi="Verdana"/>
          <w:i/>
          <w:sz w:val="16"/>
          <w:szCs w:val="16"/>
        </w:rPr>
        <w:t xml:space="preserve"> Vs. Surinam. Fondo, Reparaciones y Costas.</w:t>
      </w:r>
      <w:r w:rsidRPr="00E07388">
        <w:rPr>
          <w:rFonts w:ascii="Verdana" w:hAnsi="Verdana"/>
          <w:sz w:val="16"/>
          <w:szCs w:val="16"/>
        </w:rPr>
        <w:t xml:space="preserve"> Sentencia de 21 de enero de 1994. Serie C No. 16, párr. 47, y </w:t>
      </w:r>
      <w:r w:rsidRPr="00E07388">
        <w:rPr>
          <w:rFonts w:ascii="Verdana" w:hAnsi="Verdana"/>
          <w:i/>
          <w:sz w:val="16"/>
          <w:szCs w:val="16"/>
        </w:rPr>
        <w:t>Caso Jenkins Vs. Argentina</w:t>
      </w:r>
      <w:r w:rsidRPr="00E07388">
        <w:rPr>
          <w:rFonts w:ascii="Verdana" w:hAnsi="Verdana"/>
          <w:sz w:val="16"/>
          <w:szCs w:val="16"/>
        </w:rPr>
        <w:t>, párr. 73.</w:t>
      </w:r>
    </w:p>
    <w:p w14:paraId="77366241" w14:textId="77777777" w:rsidR="005A4119" w:rsidRPr="00E07388" w:rsidRDefault="005A4119" w:rsidP="00414DEF">
      <w:pPr>
        <w:pStyle w:val="Textonotapie"/>
        <w:jc w:val="both"/>
        <w:rPr>
          <w:rFonts w:ascii="Verdana" w:hAnsi="Verdana"/>
          <w:sz w:val="16"/>
          <w:szCs w:val="16"/>
        </w:rPr>
      </w:pPr>
    </w:p>
  </w:footnote>
  <w:footnote w:id="33">
    <w:p w14:paraId="2BCFEB6E" w14:textId="614C4682"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Cfr. Caso Chaparro Álvarez y Lapo Íñiguez Vs. Ecuador</w:t>
      </w:r>
      <w:r w:rsidRPr="00E07388">
        <w:rPr>
          <w:rFonts w:ascii="Verdana" w:hAnsi="Verdana"/>
          <w:sz w:val="16"/>
          <w:szCs w:val="16"/>
        </w:rPr>
        <w:t xml:space="preserve">, párr. 92, y </w:t>
      </w:r>
      <w:r w:rsidRPr="00E07388">
        <w:rPr>
          <w:rFonts w:ascii="Verdana" w:hAnsi="Verdana"/>
          <w:i/>
          <w:sz w:val="16"/>
          <w:szCs w:val="16"/>
        </w:rPr>
        <w:t>Caso Jenkins Vs. Argentina</w:t>
      </w:r>
      <w:r w:rsidRPr="00E07388">
        <w:rPr>
          <w:rFonts w:ascii="Verdana" w:hAnsi="Verdana"/>
          <w:sz w:val="16"/>
          <w:szCs w:val="16"/>
        </w:rPr>
        <w:t>, párr. 73.</w:t>
      </w:r>
    </w:p>
    <w:p w14:paraId="31C030B5" w14:textId="77777777" w:rsidR="005A4119" w:rsidRPr="00E07388" w:rsidRDefault="005A4119" w:rsidP="00414DEF">
      <w:pPr>
        <w:pStyle w:val="Textonotapie"/>
        <w:jc w:val="both"/>
        <w:rPr>
          <w:rFonts w:ascii="Verdana" w:hAnsi="Verdana"/>
          <w:sz w:val="16"/>
          <w:szCs w:val="16"/>
        </w:rPr>
      </w:pPr>
    </w:p>
  </w:footnote>
  <w:footnote w:id="34">
    <w:p w14:paraId="6287A98F" w14:textId="58C6E4C8" w:rsidR="005A4119" w:rsidRPr="00E07388" w:rsidRDefault="005A4119" w:rsidP="00414DEF">
      <w:pPr>
        <w:pStyle w:val="Textonotapie"/>
        <w:tabs>
          <w:tab w:val="left" w:pos="426"/>
        </w:tabs>
        <w:jc w:val="both"/>
        <w:rPr>
          <w:rFonts w:ascii="Verdana" w:hAnsi="Verdana"/>
          <w:sz w:val="16"/>
          <w:szCs w:val="16"/>
          <w:lang w:val="pt-BR"/>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sz w:val="16"/>
          <w:szCs w:val="16"/>
        </w:rPr>
        <w:tab/>
        <w:t>La Corte ha explicado que</w:t>
      </w:r>
      <w:r>
        <w:rPr>
          <w:rFonts w:ascii="Verdana" w:hAnsi="Verdana"/>
          <w:sz w:val="16"/>
          <w:szCs w:val="16"/>
        </w:rPr>
        <w:t>:</w:t>
      </w:r>
      <w:r w:rsidRPr="00E07388">
        <w:rPr>
          <w:rFonts w:ascii="Verdana" w:hAnsi="Verdana"/>
          <w:sz w:val="16"/>
          <w:szCs w:val="16"/>
        </w:rPr>
        <w:t xml:space="preserve"> “</w:t>
      </w:r>
      <w:r>
        <w:rPr>
          <w:rFonts w:ascii="Verdana" w:hAnsi="Verdana"/>
          <w:sz w:val="16"/>
          <w:szCs w:val="16"/>
        </w:rPr>
        <w:t>[l]</w:t>
      </w:r>
      <w:r w:rsidRPr="00E07388">
        <w:rPr>
          <w:rFonts w:ascii="Verdana" w:hAnsi="Verdana"/>
          <w:sz w:val="16"/>
          <w:szCs w:val="16"/>
        </w:rPr>
        <w:t xml:space="preserve">a información de los ‘motivos y razones’ de la detención debe darse ‘cuando ésta se produce’, lo cual constituye un mecanismo para evitar detenciones ilegales o arbitrarias desde el momento mismo de la privación de libertad y, a su vez, garantiza el derecho de defensa del individuo. Asimismo, esta Corte ha señalado que el agente que lleva a cabo la detención debe informar en un lenguaje simple, libre de tecnicismos, los hechos y bases jurídicas esenciales en los que se basa la detención y que no se satisface el artículo 7.4 de la Convención si solo se menciona la base legal si la persona no es informada adecuadamente de las razones de la detención, incluyendo los hechos y su base jurídica, no sabe contra cuál cargo defenderse y, en forma concatenada, se hace ilusorio el control judicial”. </w:t>
      </w:r>
      <w:r w:rsidRPr="00E07388">
        <w:rPr>
          <w:rFonts w:ascii="Verdana" w:hAnsi="Verdana"/>
          <w:i/>
          <w:sz w:val="16"/>
          <w:szCs w:val="16"/>
        </w:rPr>
        <w:t xml:space="preserve">Caso </w:t>
      </w:r>
      <w:proofErr w:type="spellStart"/>
      <w:r w:rsidRPr="00E07388">
        <w:rPr>
          <w:rFonts w:ascii="Verdana" w:hAnsi="Verdana"/>
          <w:i/>
          <w:sz w:val="16"/>
          <w:szCs w:val="16"/>
        </w:rPr>
        <w:t>Yvon</w:t>
      </w:r>
      <w:proofErr w:type="spellEnd"/>
      <w:r w:rsidRPr="00E07388">
        <w:rPr>
          <w:rFonts w:ascii="Verdana" w:hAnsi="Verdana"/>
          <w:i/>
          <w:sz w:val="16"/>
          <w:szCs w:val="16"/>
        </w:rPr>
        <w:t xml:space="preserve"> </w:t>
      </w:r>
      <w:proofErr w:type="spellStart"/>
      <w:r w:rsidRPr="00E07388">
        <w:rPr>
          <w:rFonts w:ascii="Verdana" w:hAnsi="Verdana"/>
          <w:i/>
          <w:sz w:val="16"/>
          <w:szCs w:val="16"/>
        </w:rPr>
        <w:t>Neptune</w:t>
      </w:r>
      <w:proofErr w:type="spellEnd"/>
      <w:r w:rsidRPr="00E07388">
        <w:rPr>
          <w:rFonts w:ascii="Verdana" w:hAnsi="Verdana"/>
          <w:i/>
          <w:sz w:val="16"/>
          <w:szCs w:val="16"/>
        </w:rPr>
        <w:t xml:space="preserve"> Vs. Haití. Fondo, Reparaciones y Costas. </w:t>
      </w:r>
      <w:r w:rsidRPr="00E07388">
        <w:rPr>
          <w:rFonts w:ascii="Verdana" w:hAnsi="Verdana"/>
          <w:sz w:val="16"/>
          <w:szCs w:val="16"/>
        </w:rPr>
        <w:t xml:space="preserve">Sentencia de 6 de mayo de 2008. Serie C No. 180, párr. 105, y </w:t>
      </w:r>
      <w:r w:rsidRPr="00E07388">
        <w:rPr>
          <w:rFonts w:ascii="Verdana" w:hAnsi="Verdana"/>
          <w:i/>
          <w:iCs/>
          <w:sz w:val="16"/>
          <w:szCs w:val="16"/>
        </w:rPr>
        <w:t>Caso Mujeres Víctimas de Tortura Sexual en Atenco Vs. México</w:t>
      </w:r>
      <w:r w:rsidRPr="00E07388">
        <w:rPr>
          <w:rFonts w:ascii="Verdana" w:hAnsi="Verdana"/>
          <w:iCs/>
          <w:sz w:val="16"/>
          <w:szCs w:val="16"/>
        </w:rPr>
        <w:t xml:space="preserve">, </w:t>
      </w:r>
      <w:proofErr w:type="spellStart"/>
      <w:r w:rsidRPr="00E07388">
        <w:rPr>
          <w:rFonts w:ascii="Verdana" w:hAnsi="Verdana"/>
          <w:iCs/>
          <w:sz w:val="16"/>
          <w:szCs w:val="16"/>
        </w:rPr>
        <w:t>párr</w:t>
      </w:r>
      <w:proofErr w:type="spellEnd"/>
      <w:r w:rsidRPr="00E07388">
        <w:rPr>
          <w:rFonts w:ascii="Verdana" w:hAnsi="Verdana"/>
          <w:sz w:val="16"/>
          <w:szCs w:val="16"/>
          <w:lang w:val="es-ES"/>
        </w:rPr>
        <w:t>. 246</w:t>
      </w:r>
      <w:r w:rsidRPr="00E07388">
        <w:rPr>
          <w:rFonts w:ascii="Verdana" w:hAnsi="Verdana"/>
          <w:sz w:val="16"/>
          <w:szCs w:val="16"/>
          <w:lang w:val="pt-BR"/>
        </w:rPr>
        <w:t xml:space="preserve">. </w:t>
      </w:r>
    </w:p>
    <w:p w14:paraId="091FAF81" w14:textId="77777777" w:rsidR="005A4119" w:rsidRPr="00E07388" w:rsidRDefault="005A4119" w:rsidP="00414DEF">
      <w:pPr>
        <w:pStyle w:val="Textonotapie"/>
        <w:tabs>
          <w:tab w:val="left" w:pos="426"/>
        </w:tabs>
        <w:jc w:val="both"/>
        <w:rPr>
          <w:rFonts w:ascii="Verdana" w:hAnsi="Verdana"/>
          <w:sz w:val="16"/>
          <w:szCs w:val="16"/>
        </w:rPr>
      </w:pPr>
    </w:p>
  </w:footnote>
  <w:footnote w:id="35">
    <w:p w14:paraId="0980C18C" w14:textId="30F91607"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Cfr.</w:t>
      </w:r>
      <w:r w:rsidRPr="00E07388">
        <w:rPr>
          <w:rFonts w:ascii="Verdana" w:hAnsi="Verdana"/>
          <w:sz w:val="16"/>
          <w:szCs w:val="16"/>
        </w:rPr>
        <w:t xml:space="preserve"> </w:t>
      </w:r>
      <w:r w:rsidRPr="00E07388">
        <w:rPr>
          <w:rFonts w:ascii="Verdana" w:hAnsi="Verdana"/>
          <w:i/>
          <w:sz w:val="16"/>
          <w:szCs w:val="16"/>
        </w:rPr>
        <w:t xml:space="preserve">Caso Romero </w:t>
      </w:r>
      <w:proofErr w:type="spellStart"/>
      <w:r w:rsidRPr="00E07388">
        <w:rPr>
          <w:rFonts w:ascii="Verdana" w:hAnsi="Verdana"/>
          <w:i/>
          <w:sz w:val="16"/>
          <w:szCs w:val="16"/>
        </w:rPr>
        <w:t>Feris</w:t>
      </w:r>
      <w:proofErr w:type="spellEnd"/>
      <w:r w:rsidRPr="00E07388">
        <w:rPr>
          <w:rFonts w:ascii="Verdana" w:hAnsi="Verdana"/>
          <w:i/>
          <w:sz w:val="16"/>
          <w:szCs w:val="16"/>
        </w:rPr>
        <w:t xml:space="preserve"> Vs. Argentina</w:t>
      </w:r>
      <w:r w:rsidRPr="00E07388">
        <w:rPr>
          <w:rFonts w:ascii="Verdana" w:hAnsi="Verdana"/>
          <w:sz w:val="16"/>
          <w:szCs w:val="16"/>
        </w:rPr>
        <w:t>, párr. 100.</w:t>
      </w:r>
    </w:p>
    <w:p w14:paraId="2DE19D06" w14:textId="77777777" w:rsidR="005A4119" w:rsidRPr="00E07388" w:rsidRDefault="005A4119" w:rsidP="00414DEF">
      <w:pPr>
        <w:pStyle w:val="Textonotapie"/>
        <w:jc w:val="both"/>
        <w:rPr>
          <w:rFonts w:ascii="Verdana" w:hAnsi="Verdana"/>
          <w:sz w:val="16"/>
          <w:szCs w:val="16"/>
        </w:rPr>
      </w:pPr>
    </w:p>
  </w:footnote>
  <w:footnote w:id="36">
    <w:p w14:paraId="15553DC9" w14:textId="586DA349"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lang w:val="es-ES"/>
        </w:rPr>
        <w:t xml:space="preserve"> </w:t>
      </w:r>
      <w:r w:rsidRPr="00E07388">
        <w:rPr>
          <w:rFonts w:ascii="Verdana" w:hAnsi="Verdana"/>
          <w:sz w:val="16"/>
          <w:szCs w:val="16"/>
          <w:lang w:val="es-ES"/>
        </w:rPr>
        <w:tab/>
      </w:r>
      <w:r w:rsidRPr="00E07388">
        <w:rPr>
          <w:rFonts w:ascii="Verdana" w:hAnsi="Verdana"/>
          <w:i/>
          <w:sz w:val="16"/>
          <w:szCs w:val="16"/>
        </w:rPr>
        <w:t>Cfr. Caso López Álvarez Vs. Honduras. Fondo, Reparaciones y Costas.</w:t>
      </w:r>
      <w:r w:rsidRPr="00E07388">
        <w:rPr>
          <w:rFonts w:ascii="Verdana" w:hAnsi="Verdana"/>
          <w:sz w:val="16"/>
          <w:szCs w:val="16"/>
        </w:rPr>
        <w:t xml:space="preserve"> Sentencia de 1 de febrero de 2006. Serie C No.141, párr. 67, y </w:t>
      </w:r>
      <w:r w:rsidRPr="00E07388">
        <w:rPr>
          <w:rFonts w:ascii="Verdana" w:hAnsi="Verdana"/>
          <w:i/>
          <w:sz w:val="16"/>
          <w:szCs w:val="16"/>
        </w:rPr>
        <w:t>Caso Jenkins Vs. Argentina</w:t>
      </w:r>
      <w:r w:rsidRPr="00E07388">
        <w:rPr>
          <w:rFonts w:ascii="Verdana" w:hAnsi="Verdana"/>
          <w:sz w:val="16"/>
          <w:szCs w:val="16"/>
        </w:rPr>
        <w:t xml:space="preserve">, </w:t>
      </w:r>
      <w:proofErr w:type="spellStart"/>
      <w:r w:rsidRPr="00E07388">
        <w:rPr>
          <w:rFonts w:ascii="Verdana" w:hAnsi="Verdana"/>
          <w:sz w:val="16"/>
          <w:szCs w:val="16"/>
        </w:rPr>
        <w:t>párr</w:t>
      </w:r>
      <w:proofErr w:type="spellEnd"/>
      <w:r w:rsidRPr="00E07388">
        <w:rPr>
          <w:rFonts w:ascii="Verdana" w:hAnsi="Verdana"/>
          <w:sz w:val="16"/>
          <w:szCs w:val="16"/>
        </w:rPr>
        <w:t xml:space="preserve"> 72.</w:t>
      </w:r>
    </w:p>
    <w:p w14:paraId="2B8DCF3C" w14:textId="023003BE" w:rsidR="005A4119" w:rsidRPr="00E07388" w:rsidRDefault="005A4119" w:rsidP="00414DEF">
      <w:pPr>
        <w:pStyle w:val="Textonotapie"/>
        <w:jc w:val="both"/>
        <w:rPr>
          <w:rFonts w:ascii="Verdana" w:hAnsi="Verdana"/>
          <w:sz w:val="16"/>
          <w:szCs w:val="16"/>
          <w:lang w:val="es-ES"/>
        </w:rPr>
      </w:pPr>
      <w:r w:rsidRPr="00E07388">
        <w:rPr>
          <w:rFonts w:ascii="Verdana" w:hAnsi="Verdana"/>
          <w:sz w:val="16"/>
          <w:szCs w:val="16"/>
          <w:lang w:val="es-ES"/>
        </w:rPr>
        <w:t xml:space="preserve">. </w:t>
      </w:r>
    </w:p>
  </w:footnote>
  <w:footnote w:id="37">
    <w:p w14:paraId="7A53ED30" w14:textId="26AD3FF6"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Cfr</w:t>
      </w:r>
      <w:r w:rsidRPr="00E07388">
        <w:rPr>
          <w:rFonts w:ascii="Verdana" w:hAnsi="Verdana"/>
          <w:sz w:val="16"/>
          <w:szCs w:val="16"/>
        </w:rPr>
        <w:t xml:space="preserve">. </w:t>
      </w:r>
      <w:r w:rsidRPr="00E07388">
        <w:rPr>
          <w:rStyle w:val="Textoennegrita"/>
          <w:rFonts w:ascii="Verdana" w:hAnsi="Verdana"/>
          <w:b w:val="0"/>
          <w:i/>
          <w:color w:val="000000"/>
          <w:sz w:val="16"/>
          <w:szCs w:val="16"/>
          <w:shd w:val="clear" w:color="auto" w:fill="FFFFFF"/>
        </w:rPr>
        <w:t xml:space="preserve">Caso </w:t>
      </w:r>
      <w:proofErr w:type="spellStart"/>
      <w:r w:rsidRPr="00E07388">
        <w:rPr>
          <w:rStyle w:val="Textoennegrita"/>
          <w:rFonts w:ascii="Verdana" w:hAnsi="Verdana"/>
          <w:b w:val="0"/>
          <w:i/>
          <w:color w:val="000000"/>
          <w:sz w:val="16"/>
          <w:szCs w:val="16"/>
          <w:shd w:val="clear" w:color="auto" w:fill="FFFFFF"/>
        </w:rPr>
        <w:t>Amrhein</w:t>
      </w:r>
      <w:proofErr w:type="spellEnd"/>
      <w:r w:rsidRPr="00E07388">
        <w:rPr>
          <w:rStyle w:val="Textoennegrita"/>
          <w:rFonts w:ascii="Verdana" w:hAnsi="Verdana"/>
          <w:b w:val="0"/>
          <w:i/>
          <w:color w:val="000000"/>
          <w:sz w:val="16"/>
          <w:szCs w:val="16"/>
          <w:shd w:val="clear" w:color="auto" w:fill="FFFFFF"/>
        </w:rPr>
        <w:t xml:space="preserve"> y otros Vs. Costa Rica. Excepciones Preliminares, Fondo, Reparaciones y Costas. </w:t>
      </w:r>
      <w:r w:rsidRPr="00E07388">
        <w:rPr>
          <w:rStyle w:val="Textoennegrita"/>
          <w:rFonts w:ascii="Verdana" w:hAnsi="Verdana"/>
          <w:b w:val="0"/>
          <w:color w:val="000000"/>
          <w:sz w:val="16"/>
          <w:szCs w:val="16"/>
          <w:shd w:val="clear" w:color="auto" w:fill="FFFFFF"/>
        </w:rPr>
        <w:t>Sentencia de 25 de abril de 2018. Serie C No. 354</w:t>
      </w:r>
      <w:r w:rsidRPr="00E07388">
        <w:rPr>
          <w:rFonts w:ascii="Verdana" w:hAnsi="Verdana"/>
          <w:sz w:val="16"/>
          <w:szCs w:val="16"/>
        </w:rPr>
        <w:t xml:space="preserve">, párr. 357, y </w:t>
      </w:r>
      <w:r w:rsidRPr="00E07388">
        <w:rPr>
          <w:rFonts w:ascii="Verdana" w:hAnsi="Verdana"/>
          <w:i/>
          <w:sz w:val="16"/>
          <w:szCs w:val="16"/>
        </w:rPr>
        <w:t xml:space="preserve">Caso Romero </w:t>
      </w:r>
      <w:proofErr w:type="spellStart"/>
      <w:r w:rsidRPr="00E07388">
        <w:rPr>
          <w:rFonts w:ascii="Verdana" w:hAnsi="Verdana"/>
          <w:i/>
          <w:sz w:val="16"/>
          <w:szCs w:val="16"/>
        </w:rPr>
        <w:t>Feris</w:t>
      </w:r>
      <w:proofErr w:type="spellEnd"/>
      <w:r w:rsidRPr="00E07388">
        <w:rPr>
          <w:rFonts w:ascii="Verdana" w:hAnsi="Verdana"/>
          <w:i/>
          <w:sz w:val="16"/>
          <w:szCs w:val="16"/>
        </w:rPr>
        <w:t xml:space="preserve"> Vs. Argentina</w:t>
      </w:r>
      <w:r w:rsidRPr="00E07388">
        <w:rPr>
          <w:rFonts w:ascii="Verdana" w:hAnsi="Verdana"/>
          <w:sz w:val="16"/>
          <w:szCs w:val="16"/>
        </w:rPr>
        <w:t>, párr. 101.</w:t>
      </w:r>
    </w:p>
    <w:p w14:paraId="21DD2F98" w14:textId="77777777" w:rsidR="005A4119" w:rsidRPr="00E07388" w:rsidRDefault="005A4119" w:rsidP="00414DEF">
      <w:pPr>
        <w:pStyle w:val="Textonotapie"/>
        <w:jc w:val="both"/>
        <w:rPr>
          <w:rFonts w:ascii="Verdana" w:hAnsi="Verdana"/>
          <w:sz w:val="16"/>
          <w:szCs w:val="16"/>
        </w:rPr>
      </w:pPr>
    </w:p>
  </w:footnote>
  <w:footnote w:id="38">
    <w:p w14:paraId="00BF33B7" w14:textId="161E2829"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 xml:space="preserve">Cfr. Caso </w:t>
      </w:r>
      <w:proofErr w:type="spellStart"/>
      <w:r w:rsidRPr="00E07388">
        <w:rPr>
          <w:rFonts w:ascii="Verdana" w:hAnsi="Verdana"/>
          <w:i/>
          <w:sz w:val="16"/>
          <w:szCs w:val="16"/>
        </w:rPr>
        <w:t>Bayarri</w:t>
      </w:r>
      <w:proofErr w:type="spellEnd"/>
      <w:r w:rsidRPr="00E07388">
        <w:rPr>
          <w:rFonts w:ascii="Verdana" w:hAnsi="Verdana"/>
          <w:i/>
          <w:sz w:val="16"/>
          <w:szCs w:val="16"/>
        </w:rPr>
        <w:t xml:space="preserve"> Vs. Argentina. Excepción Preliminar, Fondo, Reparaciones y Costas.</w:t>
      </w:r>
      <w:r w:rsidRPr="00E07388">
        <w:rPr>
          <w:rFonts w:ascii="Verdana" w:hAnsi="Verdana"/>
          <w:sz w:val="16"/>
          <w:szCs w:val="16"/>
        </w:rPr>
        <w:t xml:space="preserve"> Sentencia de 30 de octubre de 2008. Serie C No. 187, párr. 74; </w:t>
      </w:r>
      <w:r w:rsidRPr="00E07388">
        <w:rPr>
          <w:rFonts w:ascii="Verdana" w:hAnsi="Verdana" w:cs="Calibri"/>
          <w:i/>
          <w:sz w:val="16"/>
          <w:szCs w:val="16"/>
        </w:rPr>
        <w:t xml:space="preserve">Caso J. Vs. Perú. Excepción Preliminar, Fondo, Reparaciones y Costas. </w:t>
      </w:r>
      <w:r w:rsidRPr="00E07388">
        <w:rPr>
          <w:rFonts w:ascii="Verdana" w:hAnsi="Verdana" w:cs="Calibri"/>
          <w:sz w:val="16"/>
          <w:szCs w:val="16"/>
        </w:rPr>
        <w:t>Sentencia de 27 de noviembre de 2013. Serie C No. 275, párr. 159, y</w:t>
      </w:r>
      <w:r w:rsidRPr="00E07388">
        <w:rPr>
          <w:rFonts w:ascii="Verdana" w:hAnsi="Verdana"/>
          <w:sz w:val="16"/>
          <w:szCs w:val="16"/>
        </w:rPr>
        <w:t xml:space="preserve"> </w:t>
      </w:r>
      <w:r w:rsidRPr="00E07388">
        <w:rPr>
          <w:rFonts w:ascii="Verdana" w:hAnsi="Verdana"/>
          <w:i/>
          <w:sz w:val="16"/>
          <w:szCs w:val="16"/>
        </w:rPr>
        <w:t xml:space="preserve">Caso Romero </w:t>
      </w:r>
      <w:proofErr w:type="spellStart"/>
      <w:r w:rsidRPr="00E07388">
        <w:rPr>
          <w:rFonts w:ascii="Verdana" w:hAnsi="Verdana"/>
          <w:i/>
          <w:sz w:val="16"/>
          <w:szCs w:val="16"/>
        </w:rPr>
        <w:t>Feris</w:t>
      </w:r>
      <w:proofErr w:type="spellEnd"/>
      <w:r w:rsidRPr="00E07388">
        <w:rPr>
          <w:rFonts w:ascii="Verdana" w:hAnsi="Verdana"/>
          <w:i/>
          <w:sz w:val="16"/>
          <w:szCs w:val="16"/>
        </w:rPr>
        <w:t xml:space="preserve"> Vs. Argentina</w:t>
      </w:r>
      <w:r w:rsidRPr="00E07388">
        <w:rPr>
          <w:rFonts w:ascii="Verdana" w:hAnsi="Verdana"/>
          <w:sz w:val="16"/>
          <w:szCs w:val="16"/>
        </w:rPr>
        <w:t>, párr. 101.</w:t>
      </w:r>
    </w:p>
    <w:p w14:paraId="4FD222D0" w14:textId="77777777" w:rsidR="005A4119" w:rsidRPr="00E07388" w:rsidRDefault="005A4119" w:rsidP="00414DEF">
      <w:pPr>
        <w:pStyle w:val="Textonotapie"/>
        <w:jc w:val="both"/>
        <w:rPr>
          <w:rFonts w:ascii="Verdana" w:hAnsi="Verdana"/>
          <w:sz w:val="16"/>
          <w:szCs w:val="16"/>
        </w:rPr>
      </w:pPr>
    </w:p>
  </w:footnote>
  <w:footnote w:id="39">
    <w:p w14:paraId="3A5588F8" w14:textId="46F4E390" w:rsidR="005A4119" w:rsidRPr="00E07388" w:rsidRDefault="005A4119" w:rsidP="00414DEF">
      <w:pPr>
        <w:pStyle w:val="Textonotapie"/>
        <w:tabs>
          <w:tab w:val="left" w:pos="567"/>
        </w:tabs>
        <w:jc w:val="both"/>
        <w:rPr>
          <w:rFonts w:ascii="Verdana" w:hAnsi="Verdana"/>
          <w:sz w:val="16"/>
          <w:szCs w:val="16"/>
        </w:rPr>
      </w:pPr>
      <w:r w:rsidRPr="00E07388">
        <w:rPr>
          <w:rFonts w:ascii="Verdana" w:hAnsi="Verdana"/>
          <w:sz w:val="16"/>
          <w:szCs w:val="16"/>
          <w:vertAlign w:val="superscript"/>
        </w:rPr>
        <w:footnoteRef/>
      </w:r>
      <w:r w:rsidRPr="00E07388">
        <w:rPr>
          <w:rFonts w:ascii="Verdana" w:hAnsi="Verdana"/>
          <w:sz w:val="16"/>
          <w:szCs w:val="16"/>
          <w:vertAlign w:val="superscript"/>
        </w:rPr>
        <w:t xml:space="preserve"> </w:t>
      </w:r>
      <w:r>
        <w:rPr>
          <w:rFonts w:ascii="Verdana" w:hAnsi="Verdana"/>
          <w:sz w:val="16"/>
          <w:szCs w:val="16"/>
          <w:vertAlign w:val="superscript"/>
        </w:rPr>
        <w:tab/>
      </w:r>
      <w:r>
        <w:rPr>
          <w:rFonts w:ascii="Verdana" w:hAnsi="Verdana"/>
          <w:sz w:val="16"/>
          <w:szCs w:val="16"/>
          <w:vertAlign w:val="superscript"/>
        </w:rPr>
        <w:tab/>
      </w:r>
      <w:r w:rsidRPr="00E07388">
        <w:rPr>
          <w:rFonts w:ascii="Verdana" w:hAnsi="Verdana"/>
          <w:i/>
          <w:sz w:val="16"/>
          <w:szCs w:val="16"/>
        </w:rPr>
        <w:t xml:space="preserve">Cfr. Caso </w:t>
      </w:r>
      <w:proofErr w:type="spellStart"/>
      <w:r w:rsidRPr="00E07388">
        <w:rPr>
          <w:rFonts w:ascii="Verdana" w:hAnsi="Verdana"/>
          <w:i/>
          <w:sz w:val="16"/>
          <w:szCs w:val="16"/>
        </w:rPr>
        <w:t>Bayarri</w:t>
      </w:r>
      <w:proofErr w:type="spellEnd"/>
      <w:r w:rsidRPr="00E07388">
        <w:rPr>
          <w:rFonts w:ascii="Verdana" w:hAnsi="Verdana"/>
          <w:i/>
          <w:sz w:val="16"/>
          <w:szCs w:val="16"/>
        </w:rPr>
        <w:t xml:space="preserve"> Vs. Argentina</w:t>
      </w:r>
      <w:r w:rsidRPr="00E07388">
        <w:rPr>
          <w:rFonts w:ascii="Verdana" w:hAnsi="Verdana"/>
          <w:sz w:val="16"/>
          <w:szCs w:val="16"/>
        </w:rPr>
        <w:t xml:space="preserve">, párr. 74 y </w:t>
      </w:r>
      <w:r w:rsidRPr="00E07388">
        <w:rPr>
          <w:rFonts w:ascii="Verdana" w:hAnsi="Verdana"/>
          <w:i/>
          <w:sz w:val="16"/>
          <w:szCs w:val="16"/>
        </w:rPr>
        <w:t>Caso Jenkins Vs. Argentina</w:t>
      </w:r>
      <w:r w:rsidRPr="00E07388">
        <w:rPr>
          <w:rFonts w:ascii="Verdana" w:hAnsi="Verdana"/>
          <w:sz w:val="16"/>
          <w:szCs w:val="16"/>
        </w:rPr>
        <w:t>, párr. 84.</w:t>
      </w:r>
    </w:p>
    <w:p w14:paraId="17575B93" w14:textId="77777777" w:rsidR="005A4119" w:rsidRPr="00E07388" w:rsidRDefault="005A4119" w:rsidP="00414DEF">
      <w:pPr>
        <w:pStyle w:val="Textonotapie"/>
        <w:tabs>
          <w:tab w:val="left" w:pos="567"/>
        </w:tabs>
        <w:jc w:val="both"/>
        <w:rPr>
          <w:rFonts w:ascii="Verdana" w:hAnsi="Verdana"/>
          <w:sz w:val="16"/>
          <w:szCs w:val="16"/>
        </w:rPr>
      </w:pPr>
    </w:p>
  </w:footnote>
  <w:footnote w:id="40">
    <w:p w14:paraId="52430E75" w14:textId="73AE84DA"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lang w:val="es-ES"/>
        </w:rPr>
        <w:t xml:space="preserve"> </w:t>
      </w:r>
      <w:r w:rsidRPr="00E07388">
        <w:rPr>
          <w:rFonts w:ascii="Verdana" w:hAnsi="Verdana"/>
          <w:sz w:val="16"/>
          <w:szCs w:val="16"/>
          <w:lang w:val="es-ES"/>
        </w:rPr>
        <w:tab/>
      </w:r>
      <w:r w:rsidRPr="00F774A7">
        <w:rPr>
          <w:rFonts w:ascii="Verdana" w:hAnsi="Verdana"/>
          <w:i/>
          <w:sz w:val="16"/>
          <w:szCs w:val="16"/>
          <w:lang w:val="es-ES"/>
        </w:rPr>
        <w:t>Cfr.</w:t>
      </w:r>
      <w:r>
        <w:rPr>
          <w:rFonts w:ascii="Verdana" w:hAnsi="Verdana"/>
          <w:sz w:val="16"/>
          <w:szCs w:val="16"/>
          <w:lang w:val="es-ES"/>
        </w:rPr>
        <w:t xml:space="preserve"> </w:t>
      </w:r>
      <w:r w:rsidRPr="00E07388">
        <w:rPr>
          <w:rStyle w:val="Textoennegrita"/>
          <w:rFonts w:ascii="Verdana" w:hAnsi="Verdana"/>
          <w:b w:val="0"/>
          <w:i/>
          <w:color w:val="000000"/>
          <w:sz w:val="16"/>
          <w:szCs w:val="16"/>
          <w:shd w:val="clear" w:color="auto" w:fill="FFFFFF"/>
        </w:rPr>
        <w:t>Caso Pollo Rivera y otros Vs. Perú. Fondo, Reparaciones y Costas.</w:t>
      </w:r>
      <w:r w:rsidRPr="00E07388">
        <w:rPr>
          <w:rStyle w:val="Textoennegrita"/>
          <w:rFonts w:ascii="Verdana" w:hAnsi="Verdana"/>
          <w:b w:val="0"/>
          <w:color w:val="000000"/>
          <w:sz w:val="16"/>
          <w:szCs w:val="16"/>
          <w:shd w:val="clear" w:color="auto" w:fill="FFFFFF"/>
        </w:rPr>
        <w:t xml:space="preserve"> Sentencia de 21 de octubre de 2016. Serie C No. 319</w:t>
      </w:r>
      <w:r w:rsidRPr="00E07388">
        <w:rPr>
          <w:rFonts w:ascii="Verdana" w:hAnsi="Verdana"/>
          <w:sz w:val="16"/>
          <w:szCs w:val="16"/>
        </w:rPr>
        <w:t xml:space="preserve">, párr. 122, y </w:t>
      </w:r>
      <w:r w:rsidRPr="00E07388">
        <w:rPr>
          <w:rFonts w:ascii="Verdana" w:hAnsi="Verdana"/>
          <w:i/>
          <w:sz w:val="16"/>
          <w:szCs w:val="16"/>
        </w:rPr>
        <w:t xml:space="preserve">Caso Romero </w:t>
      </w:r>
      <w:proofErr w:type="spellStart"/>
      <w:r w:rsidRPr="00E07388">
        <w:rPr>
          <w:rFonts w:ascii="Verdana" w:hAnsi="Verdana"/>
          <w:i/>
          <w:sz w:val="16"/>
          <w:szCs w:val="16"/>
        </w:rPr>
        <w:t>Feris</w:t>
      </w:r>
      <w:proofErr w:type="spellEnd"/>
      <w:r w:rsidRPr="00E07388">
        <w:rPr>
          <w:rFonts w:ascii="Verdana" w:hAnsi="Verdana"/>
          <w:i/>
          <w:sz w:val="16"/>
          <w:szCs w:val="16"/>
        </w:rPr>
        <w:t xml:space="preserve"> Vs. Argentina</w:t>
      </w:r>
      <w:r w:rsidRPr="00E07388">
        <w:rPr>
          <w:rFonts w:ascii="Verdana" w:hAnsi="Verdana"/>
          <w:sz w:val="16"/>
          <w:szCs w:val="16"/>
        </w:rPr>
        <w:t>, párr. 97.</w:t>
      </w:r>
    </w:p>
    <w:p w14:paraId="15747483" w14:textId="77777777" w:rsidR="005A4119" w:rsidRPr="00E07388" w:rsidRDefault="005A4119" w:rsidP="00414DEF">
      <w:pPr>
        <w:pStyle w:val="Textonotapie"/>
        <w:jc w:val="both"/>
        <w:rPr>
          <w:rFonts w:ascii="Verdana" w:hAnsi="Verdana"/>
          <w:sz w:val="16"/>
          <w:szCs w:val="16"/>
          <w:lang w:val="es-ES"/>
        </w:rPr>
      </w:pPr>
    </w:p>
  </w:footnote>
  <w:footnote w:id="41">
    <w:p w14:paraId="52CAE817" w14:textId="092B94E9" w:rsidR="005A4119" w:rsidRPr="00E07388" w:rsidRDefault="005A4119" w:rsidP="00414DEF">
      <w:pPr>
        <w:pStyle w:val="Textonotapie"/>
        <w:jc w:val="both"/>
        <w:rPr>
          <w:rFonts w:ascii="Verdana" w:hAnsi="Verdana"/>
          <w:i/>
          <w:sz w:val="16"/>
          <w:szCs w:val="16"/>
          <w:lang w:val="es-ES"/>
        </w:rPr>
      </w:pPr>
      <w:r w:rsidRPr="00E07388">
        <w:rPr>
          <w:rStyle w:val="Refdenotaalpie"/>
          <w:rFonts w:ascii="Verdana" w:hAnsi="Verdana"/>
          <w:sz w:val="16"/>
          <w:szCs w:val="16"/>
        </w:rPr>
        <w:footnoteRef/>
      </w:r>
      <w:r w:rsidRPr="00E07388">
        <w:rPr>
          <w:rFonts w:ascii="Verdana" w:hAnsi="Verdana"/>
          <w:sz w:val="16"/>
          <w:szCs w:val="16"/>
          <w:lang w:val="es-ES"/>
        </w:rPr>
        <w:t xml:space="preserve"> </w:t>
      </w:r>
      <w:r w:rsidRPr="00E07388">
        <w:rPr>
          <w:rFonts w:ascii="Verdana" w:hAnsi="Verdana"/>
          <w:sz w:val="16"/>
          <w:szCs w:val="16"/>
          <w:lang w:val="es-ES"/>
        </w:rPr>
        <w:tab/>
      </w:r>
      <w:r w:rsidRPr="00E07388">
        <w:rPr>
          <w:rFonts w:ascii="Verdana" w:hAnsi="Verdana"/>
          <w:i/>
          <w:sz w:val="16"/>
          <w:szCs w:val="16"/>
          <w:lang w:val="es-ES"/>
        </w:rPr>
        <w:t>Cfr.</w:t>
      </w:r>
      <w:r w:rsidRPr="00E07388">
        <w:rPr>
          <w:rFonts w:ascii="Verdana" w:hAnsi="Verdana"/>
          <w:sz w:val="16"/>
          <w:szCs w:val="16"/>
          <w:lang w:val="es-ES"/>
        </w:rPr>
        <w:t xml:space="preserve"> </w:t>
      </w:r>
      <w:r w:rsidRPr="00E07388">
        <w:rPr>
          <w:rFonts w:ascii="Verdana" w:hAnsi="Verdana"/>
          <w:i/>
          <w:sz w:val="16"/>
          <w:szCs w:val="16"/>
        </w:rPr>
        <w:t>Caso Suárez Rosero Vs. Ecuador. Fondo.</w:t>
      </w:r>
      <w:r w:rsidRPr="00E07388">
        <w:rPr>
          <w:rFonts w:ascii="Verdana" w:hAnsi="Verdana"/>
          <w:sz w:val="16"/>
          <w:szCs w:val="16"/>
        </w:rPr>
        <w:t xml:space="preserve"> Sentencia de 12 de noviembre de 1997. Serie C No. 35, párr. 77</w:t>
      </w:r>
      <w:r>
        <w:rPr>
          <w:rFonts w:ascii="Verdana" w:hAnsi="Verdana"/>
          <w:sz w:val="16"/>
          <w:szCs w:val="16"/>
        </w:rPr>
        <w:t>,</w:t>
      </w:r>
      <w:r w:rsidRPr="00E07388">
        <w:rPr>
          <w:rFonts w:ascii="Verdana" w:hAnsi="Verdana"/>
          <w:sz w:val="16"/>
          <w:szCs w:val="16"/>
        </w:rPr>
        <w:t xml:space="preserve"> y </w:t>
      </w:r>
      <w:r w:rsidRPr="00E07388">
        <w:rPr>
          <w:rFonts w:ascii="Verdana" w:hAnsi="Verdana"/>
          <w:i/>
          <w:sz w:val="16"/>
          <w:szCs w:val="16"/>
        </w:rPr>
        <w:t xml:space="preserve">Caso </w:t>
      </w:r>
      <w:proofErr w:type="spellStart"/>
      <w:r w:rsidRPr="00E07388">
        <w:rPr>
          <w:rFonts w:ascii="Verdana" w:hAnsi="Verdana"/>
          <w:i/>
          <w:sz w:val="16"/>
          <w:szCs w:val="16"/>
        </w:rPr>
        <w:t>Rosadio</w:t>
      </w:r>
      <w:proofErr w:type="spellEnd"/>
      <w:r w:rsidRPr="00E07388">
        <w:rPr>
          <w:rFonts w:ascii="Verdana" w:hAnsi="Verdana"/>
          <w:i/>
          <w:sz w:val="16"/>
          <w:szCs w:val="16"/>
        </w:rPr>
        <w:t xml:space="preserve"> Villavicencio Vs. Perú. Excepciones Preliminares, Fondo, Reparaciones y Costas.</w:t>
      </w:r>
      <w:r w:rsidRPr="00E07388">
        <w:rPr>
          <w:rFonts w:ascii="Verdana" w:hAnsi="Verdana"/>
          <w:sz w:val="16"/>
          <w:szCs w:val="16"/>
        </w:rPr>
        <w:t xml:space="preserve"> Sentencia de 14 de octubre de 2019. Serie C No. 388, párr. 214.</w:t>
      </w:r>
      <w:r w:rsidRPr="00E07388" w:rsidDel="00BC20AA">
        <w:rPr>
          <w:rFonts w:ascii="Verdana" w:hAnsi="Verdana"/>
          <w:i/>
          <w:sz w:val="16"/>
          <w:szCs w:val="16"/>
          <w:lang w:val="es-ES"/>
        </w:rPr>
        <w:t xml:space="preserve"> </w:t>
      </w:r>
    </w:p>
    <w:p w14:paraId="104B4707" w14:textId="77777777" w:rsidR="005A4119" w:rsidRPr="00E07388" w:rsidRDefault="005A4119" w:rsidP="00414DEF">
      <w:pPr>
        <w:pStyle w:val="Textonotapie"/>
        <w:jc w:val="both"/>
        <w:rPr>
          <w:rFonts w:ascii="Verdana" w:hAnsi="Verdana"/>
          <w:sz w:val="16"/>
          <w:szCs w:val="16"/>
          <w:lang w:val="es-ES"/>
        </w:rPr>
      </w:pPr>
    </w:p>
  </w:footnote>
  <w:footnote w:id="42">
    <w:p w14:paraId="4D36A62D" w14:textId="1DF76AB6" w:rsidR="005A4119" w:rsidRPr="00E07388" w:rsidRDefault="005A4119" w:rsidP="00414DEF">
      <w:pPr>
        <w:pStyle w:val="Textonotapie"/>
        <w:jc w:val="both"/>
        <w:rPr>
          <w:rFonts w:ascii="Verdana" w:hAnsi="Verdana"/>
          <w:sz w:val="16"/>
          <w:szCs w:val="16"/>
          <w:lang w:val="es-ES"/>
        </w:rPr>
      </w:pPr>
      <w:r w:rsidRPr="00E07388">
        <w:rPr>
          <w:rStyle w:val="Refdenotaalpie"/>
          <w:rFonts w:ascii="Verdana" w:hAnsi="Verdana"/>
          <w:sz w:val="16"/>
          <w:szCs w:val="16"/>
        </w:rPr>
        <w:footnoteRef/>
      </w:r>
      <w:r w:rsidRPr="00E07388">
        <w:rPr>
          <w:rFonts w:ascii="Verdana" w:hAnsi="Verdana"/>
          <w:sz w:val="16"/>
          <w:szCs w:val="16"/>
          <w:lang w:val="es-ES"/>
        </w:rPr>
        <w:t xml:space="preserve"> </w:t>
      </w:r>
      <w:r w:rsidRPr="00E07388">
        <w:rPr>
          <w:rFonts w:ascii="Verdana" w:hAnsi="Verdana"/>
          <w:sz w:val="16"/>
          <w:szCs w:val="16"/>
          <w:lang w:val="es-ES"/>
        </w:rPr>
        <w:tab/>
      </w:r>
      <w:r w:rsidRPr="00E07388">
        <w:rPr>
          <w:rFonts w:ascii="Verdana" w:hAnsi="Verdana"/>
          <w:i/>
          <w:sz w:val="16"/>
          <w:szCs w:val="16"/>
          <w:lang w:val="es-ES"/>
        </w:rPr>
        <w:t>Caso Suárez Rosero Vs. Ecuador. Fondo</w:t>
      </w:r>
      <w:r w:rsidRPr="00E07388">
        <w:rPr>
          <w:rFonts w:ascii="Verdana" w:hAnsi="Verdana"/>
          <w:sz w:val="16"/>
          <w:szCs w:val="16"/>
          <w:lang w:val="es-ES"/>
        </w:rPr>
        <w:t>, párr. 70.</w:t>
      </w:r>
    </w:p>
    <w:p w14:paraId="32F0A40C" w14:textId="77777777" w:rsidR="005A4119" w:rsidRPr="00E07388" w:rsidRDefault="005A4119" w:rsidP="00414DEF">
      <w:pPr>
        <w:pStyle w:val="Textonotapie"/>
        <w:jc w:val="both"/>
        <w:rPr>
          <w:rFonts w:ascii="Verdana" w:hAnsi="Verdana"/>
          <w:sz w:val="16"/>
          <w:szCs w:val="16"/>
          <w:lang w:val="es-ES"/>
        </w:rPr>
      </w:pPr>
    </w:p>
  </w:footnote>
  <w:footnote w:id="43">
    <w:p w14:paraId="1CED8C49" w14:textId="77777777" w:rsidR="005A4119" w:rsidRPr="00E07388" w:rsidRDefault="005A4119" w:rsidP="00414DEF">
      <w:pPr>
        <w:pStyle w:val="Textonotapie"/>
        <w:jc w:val="both"/>
        <w:rPr>
          <w:rFonts w:ascii="Verdana" w:hAnsi="Verdana" w:cs="Arial"/>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t xml:space="preserve">Respecto a la actuación del Comisario, la Corte advierte que el CPP de 1983 señalaba en su artículo 4 que </w:t>
      </w:r>
      <w:r w:rsidRPr="00E07388">
        <w:rPr>
          <w:rFonts w:ascii="Verdana" w:hAnsi="Verdana" w:cs="Arial"/>
          <w:sz w:val="16"/>
          <w:szCs w:val="16"/>
        </w:rPr>
        <w:t>“[t]</w:t>
      </w:r>
      <w:proofErr w:type="spellStart"/>
      <w:r w:rsidRPr="00E07388">
        <w:rPr>
          <w:rFonts w:ascii="Verdana" w:hAnsi="Verdana" w:cs="Arial"/>
          <w:sz w:val="16"/>
          <w:szCs w:val="16"/>
        </w:rPr>
        <w:t>iene</w:t>
      </w:r>
      <w:proofErr w:type="spellEnd"/>
      <w:r w:rsidRPr="00E07388">
        <w:rPr>
          <w:rFonts w:ascii="Verdana" w:hAnsi="Verdana" w:cs="Arial"/>
          <w:sz w:val="16"/>
          <w:szCs w:val="16"/>
        </w:rPr>
        <w:t>[n] competencia penal en los casos, formas y modos que las leyes determinan: […l]os […] comisarios de policía”. Ni la Comisión ni las partes esbozaron argumentos relacionados a las atribuciones del Comisario.</w:t>
      </w:r>
    </w:p>
    <w:p w14:paraId="4491F4CC" w14:textId="602B7E6C" w:rsidR="005A4119" w:rsidRPr="00E07388" w:rsidRDefault="005A4119" w:rsidP="00414DEF">
      <w:pPr>
        <w:pStyle w:val="Textonotapie"/>
        <w:jc w:val="both"/>
        <w:rPr>
          <w:rFonts w:ascii="Verdana" w:hAnsi="Verdana"/>
          <w:sz w:val="16"/>
          <w:szCs w:val="16"/>
        </w:rPr>
      </w:pPr>
      <w:r w:rsidRPr="00E07388">
        <w:rPr>
          <w:rFonts w:ascii="Verdana" w:hAnsi="Verdana" w:cs="Arial"/>
          <w:sz w:val="16"/>
          <w:szCs w:val="16"/>
        </w:rPr>
        <w:t xml:space="preserve"> </w:t>
      </w:r>
    </w:p>
  </w:footnote>
  <w:footnote w:id="44">
    <w:p w14:paraId="2E6917E4" w14:textId="7F9DCE05"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Cfr.</w:t>
      </w:r>
      <w:r w:rsidRPr="00E07388">
        <w:rPr>
          <w:rFonts w:ascii="Verdana" w:hAnsi="Verdana"/>
          <w:sz w:val="16"/>
          <w:szCs w:val="16"/>
        </w:rPr>
        <w:t xml:space="preserve"> Decreto de 15 de agosto de 1993. Expediente de prueba, anexo 2 a la contestación, fs. 524 a 526. </w:t>
      </w:r>
    </w:p>
  </w:footnote>
  <w:footnote w:id="45">
    <w:p w14:paraId="10C6613E" w14:textId="02EB9DAB"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t>Esto no debe constituir en sí mismo un elemento que sea susceptible de menoscabar el principio de presunción de inocencia contenido en el artículo 8.2 de la Convención. Por el contrario, se trata de un supuesto adicional a los otros requisitos. Esta decisión no debe tener ningún efecto frente a la decisión del juzgador respecto de la responsabilidad del procesado. La sospecha tiene que estar fundada en hechos específicos y articulados con palabras, esto es, no en meras conjeturas o intuiciones abstractas. De allí se deduce que el Estado no debe detener para luego investigar, por el contrario, sólo está autorizado a privar de la libertad a una persona cuando alcance el conocimiento suficiente para poder llevarla a juicio (</w:t>
      </w:r>
      <w:r w:rsidRPr="00E07388">
        <w:rPr>
          <w:rFonts w:ascii="Verdana" w:hAnsi="Verdana"/>
          <w:i/>
          <w:sz w:val="16"/>
          <w:szCs w:val="16"/>
        </w:rPr>
        <w:t>cfr.</w:t>
      </w:r>
      <w:r w:rsidRPr="00E07388">
        <w:rPr>
          <w:rFonts w:ascii="Verdana" w:hAnsi="Verdana"/>
          <w:sz w:val="16"/>
          <w:szCs w:val="16"/>
        </w:rPr>
        <w:t xml:space="preserve"> </w:t>
      </w:r>
      <w:r w:rsidRPr="00E07388">
        <w:rPr>
          <w:rFonts w:ascii="Verdana" w:hAnsi="Verdana"/>
          <w:i/>
          <w:sz w:val="16"/>
          <w:szCs w:val="16"/>
        </w:rPr>
        <w:t xml:space="preserve">Caso </w:t>
      </w:r>
      <w:proofErr w:type="spellStart"/>
      <w:r w:rsidRPr="00E07388">
        <w:rPr>
          <w:rFonts w:ascii="Verdana" w:hAnsi="Verdana"/>
          <w:i/>
          <w:sz w:val="16"/>
          <w:szCs w:val="16"/>
        </w:rPr>
        <w:t>Servellón</w:t>
      </w:r>
      <w:proofErr w:type="spellEnd"/>
      <w:r w:rsidRPr="00E07388">
        <w:rPr>
          <w:rFonts w:ascii="Verdana" w:hAnsi="Verdana"/>
          <w:i/>
          <w:sz w:val="16"/>
          <w:szCs w:val="16"/>
        </w:rPr>
        <w:t xml:space="preserve"> García y otros Vs. Honduras. Excepción Preliminar, Fondo, Reparaciones y Costas.</w:t>
      </w:r>
      <w:r w:rsidRPr="00E07388">
        <w:rPr>
          <w:rFonts w:ascii="Verdana" w:hAnsi="Verdana"/>
          <w:sz w:val="16"/>
          <w:szCs w:val="16"/>
        </w:rPr>
        <w:t xml:space="preserve"> Sentencia de 21 de septiembre de 2006. Serie C No. 152, párr. 90, y </w:t>
      </w:r>
      <w:r w:rsidRPr="00E07388">
        <w:rPr>
          <w:rFonts w:ascii="Verdana" w:hAnsi="Verdana"/>
          <w:i/>
          <w:sz w:val="16"/>
          <w:szCs w:val="16"/>
        </w:rPr>
        <w:t>Caso Jenkins Vs. Argentina</w:t>
      </w:r>
      <w:r w:rsidRPr="00E07388">
        <w:rPr>
          <w:rFonts w:ascii="Verdana" w:hAnsi="Verdana"/>
          <w:sz w:val="16"/>
          <w:szCs w:val="16"/>
        </w:rPr>
        <w:t>, párr. 75).</w:t>
      </w:r>
    </w:p>
    <w:p w14:paraId="258F3B0C" w14:textId="77777777" w:rsidR="005A4119" w:rsidRPr="00E07388" w:rsidRDefault="005A4119" w:rsidP="00414DEF">
      <w:pPr>
        <w:pStyle w:val="Textonotapie"/>
        <w:jc w:val="both"/>
        <w:rPr>
          <w:rFonts w:ascii="Verdana" w:hAnsi="Verdana"/>
          <w:sz w:val="16"/>
          <w:szCs w:val="16"/>
        </w:rPr>
      </w:pPr>
    </w:p>
  </w:footnote>
  <w:footnote w:id="46">
    <w:p w14:paraId="258D5214" w14:textId="55244E2D"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 xml:space="preserve">Cfr. Caso </w:t>
      </w:r>
      <w:proofErr w:type="spellStart"/>
      <w:r w:rsidRPr="00E07388">
        <w:rPr>
          <w:rFonts w:ascii="Verdana" w:hAnsi="Verdana"/>
          <w:i/>
          <w:sz w:val="16"/>
          <w:szCs w:val="16"/>
        </w:rPr>
        <w:t>Servellón</w:t>
      </w:r>
      <w:proofErr w:type="spellEnd"/>
      <w:r w:rsidRPr="00E07388">
        <w:rPr>
          <w:rFonts w:ascii="Verdana" w:hAnsi="Verdana"/>
          <w:i/>
          <w:sz w:val="16"/>
          <w:szCs w:val="16"/>
        </w:rPr>
        <w:t xml:space="preserve"> García y otros Vs. Honduras.</w:t>
      </w:r>
      <w:r w:rsidRPr="00E07388">
        <w:rPr>
          <w:rFonts w:ascii="Verdana" w:hAnsi="Verdana"/>
          <w:sz w:val="16"/>
          <w:szCs w:val="16"/>
        </w:rPr>
        <w:t xml:space="preserve">, párr. 90, y </w:t>
      </w:r>
      <w:r w:rsidRPr="00E07388">
        <w:rPr>
          <w:rFonts w:ascii="Verdana" w:hAnsi="Verdana"/>
          <w:i/>
          <w:sz w:val="16"/>
          <w:szCs w:val="16"/>
        </w:rPr>
        <w:t>Caso Jenkins Vs. Argentina</w:t>
      </w:r>
      <w:r w:rsidRPr="00E07388">
        <w:rPr>
          <w:rFonts w:ascii="Verdana" w:hAnsi="Verdana"/>
          <w:sz w:val="16"/>
          <w:szCs w:val="16"/>
        </w:rPr>
        <w:t xml:space="preserve">, párr. 74. </w:t>
      </w:r>
    </w:p>
    <w:p w14:paraId="58383A70" w14:textId="77777777" w:rsidR="005A4119" w:rsidRPr="00E07388" w:rsidRDefault="005A4119" w:rsidP="00414DEF">
      <w:pPr>
        <w:pStyle w:val="Textonotapie"/>
        <w:jc w:val="both"/>
        <w:rPr>
          <w:rFonts w:ascii="Verdana" w:hAnsi="Verdana"/>
          <w:sz w:val="16"/>
          <w:szCs w:val="16"/>
        </w:rPr>
      </w:pPr>
    </w:p>
  </w:footnote>
  <w:footnote w:id="47">
    <w:p w14:paraId="399298D7" w14:textId="2FEE8388"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Cfr</w:t>
      </w:r>
      <w:r w:rsidRPr="00E07388">
        <w:rPr>
          <w:rFonts w:ascii="Verdana" w:hAnsi="Verdana"/>
          <w:sz w:val="16"/>
          <w:szCs w:val="16"/>
        </w:rPr>
        <w:t xml:space="preserve">. </w:t>
      </w:r>
      <w:r w:rsidRPr="00E07388">
        <w:rPr>
          <w:rFonts w:ascii="Verdana" w:hAnsi="Verdana"/>
          <w:i/>
          <w:sz w:val="16"/>
          <w:szCs w:val="16"/>
        </w:rPr>
        <w:t>Caso Suárez Rosero Vs. Ecuador. Reparaciones y Costas</w:t>
      </w:r>
      <w:r w:rsidRPr="00E07388">
        <w:rPr>
          <w:rFonts w:ascii="Verdana" w:hAnsi="Verdana"/>
          <w:sz w:val="16"/>
          <w:szCs w:val="16"/>
        </w:rPr>
        <w:t xml:space="preserve">. Sentencia de 20 de enero de 1999. Serie C No. 44, párr. 77, y </w:t>
      </w:r>
      <w:r w:rsidRPr="00E07388">
        <w:rPr>
          <w:rFonts w:ascii="Verdana" w:hAnsi="Verdana"/>
          <w:i/>
          <w:sz w:val="16"/>
          <w:szCs w:val="16"/>
        </w:rPr>
        <w:t>Caso Jenkins Vs. Argentina</w:t>
      </w:r>
      <w:r w:rsidRPr="00E07388">
        <w:rPr>
          <w:rFonts w:ascii="Verdana" w:hAnsi="Verdana"/>
          <w:sz w:val="16"/>
          <w:szCs w:val="16"/>
        </w:rPr>
        <w:t xml:space="preserve">, párr. 76. </w:t>
      </w:r>
      <w:r w:rsidRPr="00E07388">
        <w:rPr>
          <w:rFonts w:ascii="Verdana" w:hAnsi="Verdana"/>
          <w:sz w:val="16"/>
          <w:szCs w:val="16"/>
          <w:lang w:val="es-ES"/>
        </w:rPr>
        <w:t xml:space="preserve">La exigencia de dichos fines, encuentra fundamento en los artículos 7.3, 7.5 y 8.2 de la </w:t>
      </w:r>
      <w:r w:rsidRPr="00E07388">
        <w:rPr>
          <w:rFonts w:ascii="Verdana" w:hAnsi="Verdana"/>
          <w:sz w:val="16"/>
          <w:szCs w:val="16"/>
        </w:rPr>
        <w:t>Convención (</w:t>
      </w:r>
      <w:r w:rsidRPr="00E07388">
        <w:rPr>
          <w:rFonts w:ascii="Verdana" w:hAnsi="Verdana"/>
          <w:i/>
          <w:sz w:val="16"/>
          <w:szCs w:val="16"/>
        </w:rPr>
        <w:t>cfr</w:t>
      </w:r>
      <w:r w:rsidRPr="00E07388">
        <w:rPr>
          <w:rFonts w:ascii="Verdana" w:hAnsi="Verdana"/>
          <w:sz w:val="16"/>
          <w:szCs w:val="16"/>
        </w:rPr>
        <w:t xml:space="preserve">. </w:t>
      </w:r>
      <w:r w:rsidRPr="00E07388">
        <w:rPr>
          <w:rFonts w:ascii="Verdana" w:hAnsi="Verdana"/>
          <w:i/>
          <w:sz w:val="16"/>
          <w:szCs w:val="16"/>
        </w:rPr>
        <w:t xml:space="preserve">Caso Romero </w:t>
      </w:r>
      <w:proofErr w:type="spellStart"/>
      <w:r w:rsidRPr="00E07388">
        <w:rPr>
          <w:rFonts w:ascii="Verdana" w:hAnsi="Verdana"/>
          <w:i/>
          <w:sz w:val="16"/>
          <w:szCs w:val="16"/>
        </w:rPr>
        <w:t>Feris</w:t>
      </w:r>
      <w:proofErr w:type="spellEnd"/>
      <w:r w:rsidRPr="00E07388">
        <w:rPr>
          <w:rFonts w:ascii="Verdana" w:hAnsi="Verdana"/>
          <w:i/>
          <w:sz w:val="16"/>
          <w:szCs w:val="16"/>
        </w:rPr>
        <w:t xml:space="preserve"> Vs. Argentina</w:t>
      </w:r>
      <w:r w:rsidRPr="00E07388">
        <w:rPr>
          <w:rFonts w:ascii="Verdana" w:hAnsi="Verdana"/>
          <w:sz w:val="16"/>
          <w:szCs w:val="16"/>
        </w:rPr>
        <w:t>, párr. 99).</w:t>
      </w:r>
    </w:p>
    <w:p w14:paraId="3FAE35DF" w14:textId="77777777" w:rsidR="005A4119" w:rsidRPr="00E07388" w:rsidRDefault="005A4119" w:rsidP="00414DEF">
      <w:pPr>
        <w:pStyle w:val="Textonotapie"/>
        <w:jc w:val="both"/>
        <w:rPr>
          <w:rFonts w:ascii="Verdana" w:hAnsi="Verdana"/>
          <w:sz w:val="16"/>
          <w:szCs w:val="16"/>
        </w:rPr>
      </w:pPr>
    </w:p>
  </w:footnote>
  <w:footnote w:id="48">
    <w:p w14:paraId="47FE4633" w14:textId="0FD5AEE8"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 xml:space="preserve">Cfr. </w:t>
      </w:r>
      <w:r w:rsidRPr="00E07388">
        <w:rPr>
          <w:rStyle w:val="Textoennegrita"/>
          <w:rFonts w:ascii="Verdana" w:hAnsi="Verdana"/>
          <w:b w:val="0"/>
          <w:i/>
          <w:color w:val="000000"/>
          <w:sz w:val="16"/>
          <w:szCs w:val="16"/>
          <w:shd w:val="clear" w:color="auto" w:fill="FFFFFF"/>
        </w:rPr>
        <w:t>Caso Tibi Vs. Ecuador. Excepciones Preliminares, Fondo, Reparaciones y Costas</w:t>
      </w:r>
      <w:r w:rsidRPr="00E07388">
        <w:rPr>
          <w:rStyle w:val="Textoennegrita"/>
          <w:rFonts w:ascii="Verdana" w:hAnsi="Verdana"/>
          <w:b w:val="0"/>
          <w:color w:val="000000"/>
          <w:sz w:val="16"/>
          <w:szCs w:val="16"/>
          <w:shd w:val="clear" w:color="auto" w:fill="FFFFFF"/>
        </w:rPr>
        <w:t>. Sentencia de 7 de septiembre de 2004. Serie C No. 114, párr. 106</w:t>
      </w:r>
      <w:r w:rsidRPr="00E07388">
        <w:rPr>
          <w:rFonts w:ascii="Verdana" w:hAnsi="Verdana"/>
          <w:sz w:val="16"/>
          <w:szCs w:val="16"/>
        </w:rPr>
        <w:t xml:space="preserve">; </w:t>
      </w:r>
      <w:r w:rsidRPr="00E07388">
        <w:rPr>
          <w:rFonts w:ascii="Verdana" w:hAnsi="Verdana"/>
          <w:i/>
          <w:sz w:val="16"/>
          <w:szCs w:val="16"/>
        </w:rPr>
        <w:t>Caso Argüelles y otros Vs. Argentina. Excepciones Preliminares, Fondo, Reparaciones y Costas.</w:t>
      </w:r>
      <w:r w:rsidRPr="00E07388">
        <w:rPr>
          <w:rFonts w:ascii="Verdana" w:hAnsi="Verdana"/>
          <w:sz w:val="16"/>
          <w:szCs w:val="16"/>
        </w:rPr>
        <w:t xml:space="preserve"> Sentencia de 20 de noviembre de 2014. Serie C No. 288, párr. 120 y </w:t>
      </w:r>
      <w:r w:rsidRPr="00E07388">
        <w:rPr>
          <w:rFonts w:ascii="Verdana" w:hAnsi="Verdana"/>
          <w:i/>
          <w:sz w:val="16"/>
          <w:szCs w:val="16"/>
        </w:rPr>
        <w:t>Caso Jenkins Vs. Argentina</w:t>
      </w:r>
      <w:r w:rsidRPr="00E07388">
        <w:rPr>
          <w:rFonts w:ascii="Verdana" w:hAnsi="Verdana"/>
          <w:sz w:val="16"/>
          <w:szCs w:val="16"/>
        </w:rPr>
        <w:t xml:space="preserve">, párr. 76. Las características indicadas, que debe cumplir la medida privativa de libertad significan lo que sigue: i) </w:t>
      </w:r>
      <w:r w:rsidRPr="00E07388">
        <w:rPr>
          <w:rFonts w:ascii="Verdana" w:hAnsi="Verdana"/>
          <w:i/>
          <w:sz w:val="16"/>
          <w:szCs w:val="16"/>
        </w:rPr>
        <w:t>idoneidad:</w:t>
      </w:r>
      <w:r w:rsidRPr="00E07388">
        <w:rPr>
          <w:rFonts w:ascii="Verdana" w:hAnsi="Verdana"/>
          <w:sz w:val="16"/>
          <w:szCs w:val="16"/>
        </w:rPr>
        <w:t xml:space="preserve"> aptitud de la medida</w:t>
      </w:r>
      <w:r w:rsidRPr="00E07388">
        <w:rPr>
          <w:rFonts w:ascii="Verdana" w:hAnsi="Verdana"/>
          <w:i/>
          <w:sz w:val="16"/>
          <w:szCs w:val="16"/>
        </w:rPr>
        <w:t xml:space="preserve"> </w:t>
      </w:r>
      <w:r w:rsidRPr="00E07388">
        <w:rPr>
          <w:rFonts w:ascii="Verdana" w:hAnsi="Verdana"/>
          <w:sz w:val="16"/>
          <w:szCs w:val="16"/>
        </w:rPr>
        <w:t xml:space="preserve">para cumplir con el fin perseguido; ii) </w:t>
      </w:r>
      <w:r w:rsidRPr="00E07388">
        <w:rPr>
          <w:rFonts w:ascii="Verdana" w:hAnsi="Verdana"/>
          <w:i/>
          <w:sz w:val="16"/>
          <w:szCs w:val="16"/>
        </w:rPr>
        <w:t>necesidad:</w:t>
      </w:r>
      <w:r w:rsidRPr="00E07388">
        <w:rPr>
          <w:rFonts w:ascii="Verdana" w:hAnsi="Verdana"/>
          <w:sz w:val="16"/>
          <w:szCs w:val="16"/>
        </w:rPr>
        <w:t xml:space="preserve"> que la medida sea absolutamente indispensable para conseguir el fin deseado y que no exista una medida menos gravosa respecto al derecho intervenido entre todas aquellas que cuentan con la misma idoneidad para alcanzar el objetivo propuesto, y iii) </w:t>
      </w:r>
      <w:r w:rsidRPr="00E07388">
        <w:rPr>
          <w:rFonts w:ascii="Verdana" w:hAnsi="Verdana"/>
          <w:i/>
          <w:sz w:val="16"/>
          <w:szCs w:val="16"/>
        </w:rPr>
        <w:t>estricta proporcionalidad</w:t>
      </w:r>
      <w:r w:rsidRPr="00E07388">
        <w:rPr>
          <w:rFonts w:ascii="Verdana" w:hAnsi="Verdana"/>
          <w:sz w:val="16"/>
          <w:szCs w:val="16"/>
        </w:rPr>
        <w:t>: que el sacrificio inherente a la restricción del derecho a la libertad no resulte exagerado o desmedido frente a las ventajas que se obtienen mediante tal restricción y el cumplimiento de la finalidad perseguida (</w:t>
      </w:r>
      <w:r w:rsidRPr="00E07388">
        <w:rPr>
          <w:rFonts w:ascii="Verdana" w:hAnsi="Verdana"/>
          <w:i/>
          <w:sz w:val="16"/>
          <w:szCs w:val="16"/>
        </w:rPr>
        <w:t>cfr. Caso Chaparro Álvarez y Lapo Íñiguez Vs. Ecuador</w:t>
      </w:r>
      <w:r>
        <w:rPr>
          <w:rFonts w:ascii="Verdana" w:hAnsi="Verdana"/>
          <w:sz w:val="16"/>
          <w:szCs w:val="16"/>
        </w:rPr>
        <w:t>, párr. 92,</w:t>
      </w:r>
      <w:r w:rsidRPr="00E07388">
        <w:rPr>
          <w:rFonts w:ascii="Verdana" w:hAnsi="Verdana"/>
          <w:sz w:val="16"/>
          <w:szCs w:val="16"/>
        </w:rPr>
        <w:t xml:space="preserve"> y </w:t>
      </w:r>
      <w:r w:rsidRPr="00E07388">
        <w:rPr>
          <w:rFonts w:ascii="Verdana" w:hAnsi="Verdana"/>
          <w:i/>
          <w:sz w:val="16"/>
          <w:szCs w:val="16"/>
        </w:rPr>
        <w:t xml:space="preserve">Caso </w:t>
      </w:r>
      <w:proofErr w:type="spellStart"/>
      <w:r w:rsidRPr="00E07388">
        <w:rPr>
          <w:rFonts w:ascii="Verdana" w:hAnsi="Verdana"/>
          <w:i/>
          <w:sz w:val="16"/>
          <w:szCs w:val="16"/>
        </w:rPr>
        <w:t>Amrhein</w:t>
      </w:r>
      <w:proofErr w:type="spellEnd"/>
      <w:r w:rsidRPr="00E07388">
        <w:rPr>
          <w:rFonts w:ascii="Verdana" w:hAnsi="Verdana"/>
          <w:i/>
          <w:sz w:val="16"/>
          <w:szCs w:val="16"/>
        </w:rPr>
        <w:t xml:space="preserve"> y otros Vs. Costa Rica</w:t>
      </w:r>
      <w:r w:rsidRPr="00E07388">
        <w:rPr>
          <w:rFonts w:ascii="Verdana" w:hAnsi="Verdana"/>
          <w:sz w:val="16"/>
          <w:szCs w:val="16"/>
        </w:rPr>
        <w:t xml:space="preserve">, párr. 356, y </w:t>
      </w:r>
      <w:r w:rsidRPr="00E07388">
        <w:rPr>
          <w:rStyle w:val="Textoennegrita"/>
          <w:rFonts w:ascii="Verdana" w:hAnsi="Verdana"/>
          <w:b w:val="0"/>
          <w:i/>
          <w:color w:val="000000"/>
          <w:sz w:val="16"/>
          <w:szCs w:val="16"/>
          <w:shd w:val="clear" w:color="auto" w:fill="FFFFFF"/>
        </w:rPr>
        <w:t xml:space="preserve">Caso Romero </w:t>
      </w:r>
      <w:proofErr w:type="spellStart"/>
      <w:r w:rsidRPr="00E07388">
        <w:rPr>
          <w:rStyle w:val="Textoennegrita"/>
          <w:rFonts w:ascii="Verdana" w:hAnsi="Verdana"/>
          <w:b w:val="0"/>
          <w:i/>
          <w:color w:val="000000"/>
          <w:sz w:val="16"/>
          <w:szCs w:val="16"/>
          <w:shd w:val="clear" w:color="auto" w:fill="FFFFFF"/>
        </w:rPr>
        <w:t>Feris</w:t>
      </w:r>
      <w:proofErr w:type="spellEnd"/>
      <w:r w:rsidRPr="00E07388">
        <w:rPr>
          <w:rStyle w:val="Textoennegrita"/>
          <w:rFonts w:ascii="Verdana" w:hAnsi="Verdana"/>
          <w:b w:val="0"/>
          <w:i/>
          <w:color w:val="000000"/>
          <w:sz w:val="16"/>
          <w:szCs w:val="16"/>
          <w:shd w:val="clear" w:color="auto" w:fill="FFFFFF"/>
        </w:rPr>
        <w:t xml:space="preserve"> Vs. Argentina</w:t>
      </w:r>
      <w:r w:rsidRPr="00E07388">
        <w:rPr>
          <w:rStyle w:val="Textoennegrita"/>
          <w:rFonts w:ascii="Verdana" w:hAnsi="Verdana"/>
          <w:b w:val="0"/>
          <w:color w:val="000000"/>
          <w:sz w:val="16"/>
          <w:szCs w:val="16"/>
          <w:shd w:val="clear" w:color="auto" w:fill="FFFFFF"/>
        </w:rPr>
        <w:t>, párr. 98</w:t>
      </w:r>
      <w:r w:rsidRPr="00E07388">
        <w:rPr>
          <w:rFonts w:ascii="Verdana" w:hAnsi="Verdana"/>
          <w:sz w:val="16"/>
          <w:szCs w:val="16"/>
        </w:rPr>
        <w:t xml:space="preserve">. </w:t>
      </w:r>
    </w:p>
    <w:p w14:paraId="75A910F9" w14:textId="77777777" w:rsidR="005A4119" w:rsidRPr="00E07388" w:rsidRDefault="005A4119" w:rsidP="00414DEF">
      <w:pPr>
        <w:pStyle w:val="Textonotapie"/>
        <w:jc w:val="both"/>
        <w:rPr>
          <w:rFonts w:ascii="Verdana" w:hAnsi="Verdana"/>
          <w:sz w:val="16"/>
          <w:szCs w:val="16"/>
        </w:rPr>
      </w:pPr>
    </w:p>
  </w:footnote>
  <w:footnote w:id="49">
    <w:p w14:paraId="00D7E10E" w14:textId="3DB014CD" w:rsidR="005A4119" w:rsidRPr="00E07388" w:rsidRDefault="005A4119" w:rsidP="00414DEF">
      <w:pPr>
        <w:pStyle w:val="Textonotapie"/>
        <w:jc w:val="both"/>
        <w:rPr>
          <w:rFonts w:ascii="Verdana" w:hAnsi="Verdana"/>
          <w:sz w:val="16"/>
          <w:szCs w:val="16"/>
          <w:lang w:val="es-ES" w:eastAsia="es-ES"/>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 xml:space="preserve">Cfr. Caso García </w:t>
      </w:r>
      <w:proofErr w:type="spellStart"/>
      <w:r w:rsidRPr="00E07388">
        <w:rPr>
          <w:rFonts w:ascii="Verdana" w:hAnsi="Verdana"/>
          <w:i/>
          <w:sz w:val="16"/>
          <w:szCs w:val="16"/>
        </w:rPr>
        <w:t>Asto</w:t>
      </w:r>
      <w:proofErr w:type="spellEnd"/>
      <w:r w:rsidRPr="00E07388">
        <w:rPr>
          <w:rFonts w:ascii="Verdana" w:hAnsi="Verdana"/>
          <w:i/>
          <w:sz w:val="16"/>
          <w:szCs w:val="16"/>
        </w:rPr>
        <w:t xml:space="preserve"> y Ramírez Rojas Vs. Perú. Excepción Preliminar, Fondo, Reparaciones y Costas. </w:t>
      </w:r>
      <w:r w:rsidRPr="00E07388">
        <w:rPr>
          <w:rFonts w:ascii="Verdana" w:hAnsi="Verdana"/>
          <w:sz w:val="16"/>
          <w:szCs w:val="16"/>
        </w:rPr>
        <w:t xml:space="preserve">Sentencia de 25 de noviembre de 2005. Serie C No. 137, párr. 128, y </w:t>
      </w:r>
      <w:r w:rsidRPr="00E07388">
        <w:rPr>
          <w:rFonts w:ascii="Verdana" w:hAnsi="Verdana"/>
          <w:i/>
          <w:sz w:val="16"/>
          <w:szCs w:val="16"/>
        </w:rPr>
        <w:t>Caso Jenkins Vs. Argentina</w:t>
      </w:r>
      <w:r w:rsidRPr="00E07388">
        <w:rPr>
          <w:rFonts w:ascii="Verdana" w:hAnsi="Verdana"/>
          <w:sz w:val="16"/>
          <w:szCs w:val="16"/>
        </w:rPr>
        <w:t>, párr. 74. El requisito de motivación tiene relación con las garantías judiciales</w:t>
      </w:r>
      <w:r w:rsidRPr="00E07388">
        <w:rPr>
          <w:rFonts w:ascii="Verdana" w:hAnsi="Verdana"/>
          <w:sz w:val="16"/>
          <w:szCs w:val="16"/>
          <w:lang w:val="es-ES" w:eastAsia="es-ES"/>
        </w:rPr>
        <w:t xml:space="preserve"> (artículo 8.1 de la Convención). Asimismo, para que se respete la presunción de inocencia (artículo 8.2) al ordenarse medidas cautelares restrictivas de la libertad, es preciso que el Estado fundamente y acredite, de manera clara y motivada, según cada caso concreto, la existencia de los referidos requisitos exigidos por la Convención (</w:t>
      </w:r>
      <w:r w:rsidRPr="00E07388">
        <w:rPr>
          <w:rFonts w:ascii="Verdana" w:hAnsi="Verdana"/>
          <w:i/>
          <w:sz w:val="16"/>
          <w:szCs w:val="16"/>
          <w:lang w:val="es-ES" w:eastAsia="es-ES"/>
        </w:rPr>
        <w:t xml:space="preserve">cfr. </w:t>
      </w:r>
      <w:r w:rsidRPr="00E07388">
        <w:rPr>
          <w:rFonts w:ascii="Verdana" w:hAnsi="Verdana"/>
          <w:i/>
          <w:sz w:val="16"/>
          <w:szCs w:val="16"/>
        </w:rPr>
        <w:t xml:space="preserve">Caso García </w:t>
      </w:r>
      <w:proofErr w:type="spellStart"/>
      <w:r w:rsidRPr="00E07388">
        <w:rPr>
          <w:rFonts w:ascii="Verdana" w:hAnsi="Verdana"/>
          <w:i/>
          <w:sz w:val="16"/>
          <w:szCs w:val="16"/>
        </w:rPr>
        <w:t>Asto</w:t>
      </w:r>
      <w:proofErr w:type="spellEnd"/>
      <w:r w:rsidRPr="00E07388">
        <w:rPr>
          <w:rFonts w:ascii="Verdana" w:hAnsi="Verdana"/>
          <w:i/>
          <w:sz w:val="16"/>
          <w:szCs w:val="16"/>
        </w:rPr>
        <w:t xml:space="preserve"> y Ramírez Rojas Vs. Perú</w:t>
      </w:r>
      <w:r w:rsidRPr="00E07388">
        <w:rPr>
          <w:rFonts w:ascii="Verdana" w:hAnsi="Verdana"/>
          <w:sz w:val="16"/>
          <w:szCs w:val="16"/>
        </w:rPr>
        <w:t xml:space="preserve">, párr. 128; </w:t>
      </w:r>
      <w:r w:rsidRPr="00E07388">
        <w:rPr>
          <w:rFonts w:ascii="Verdana" w:hAnsi="Verdana"/>
          <w:i/>
          <w:sz w:val="16"/>
          <w:szCs w:val="16"/>
        </w:rPr>
        <w:t>Caso J. Vs. Perú</w:t>
      </w:r>
      <w:r w:rsidRPr="00E07388">
        <w:rPr>
          <w:rFonts w:ascii="Verdana" w:hAnsi="Verdana"/>
          <w:sz w:val="16"/>
          <w:szCs w:val="16"/>
        </w:rPr>
        <w:t xml:space="preserve">, párr. 159, </w:t>
      </w:r>
      <w:r w:rsidRPr="00E07388">
        <w:rPr>
          <w:rFonts w:ascii="Verdana" w:hAnsi="Verdana"/>
          <w:sz w:val="16"/>
          <w:szCs w:val="16"/>
          <w:lang w:val="es-ES" w:eastAsia="es-ES"/>
        </w:rPr>
        <w:t xml:space="preserve">y </w:t>
      </w:r>
      <w:r w:rsidRPr="00E07388">
        <w:rPr>
          <w:rFonts w:ascii="Verdana" w:hAnsi="Verdana"/>
          <w:i/>
          <w:sz w:val="16"/>
          <w:szCs w:val="16"/>
        </w:rPr>
        <w:t>Caso Jenkins Vs. Argentina</w:t>
      </w:r>
      <w:r w:rsidRPr="00E07388">
        <w:rPr>
          <w:rFonts w:ascii="Verdana" w:hAnsi="Verdana"/>
          <w:sz w:val="16"/>
          <w:szCs w:val="16"/>
        </w:rPr>
        <w:t>, párr. 77</w:t>
      </w:r>
      <w:r w:rsidRPr="00E07388">
        <w:rPr>
          <w:rFonts w:ascii="Verdana" w:hAnsi="Verdana"/>
          <w:sz w:val="16"/>
          <w:szCs w:val="16"/>
          <w:lang w:val="es-ES" w:eastAsia="es-ES"/>
        </w:rPr>
        <w:t>).</w:t>
      </w:r>
    </w:p>
    <w:p w14:paraId="3EBF6BD2" w14:textId="77777777" w:rsidR="005A4119" w:rsidRPr="00E07388" w:rsidRDefault="005A4119" w:rsidP="00414DEF">
      <w:pPr>
        <w:pStyle w:val="Textonotapie"/>
        <w:jc w:val="both"/>
        <w:rPr>
          <w:rFonts w:ascii="Verdana" w:hAnsi="Verdana"/>
          <w:sz w:val="16"/>
          <w:szCs w:val="16"/>
        </w:rPr>
      </w:pPr>
    </w:p>
  </w:footnote>
  <w:footnote w:id="50">
    <w:p w14:paraId="74E19758" w14:textId="4A2C9D4A" w:rsidR="005A4119" w:rsidRPr="00E07388" w:rsidRDefault="005A4119" w:rsidP="00414DEF">
      <w:pPr>
        <w:pStyle w:val="Textonotapie"/>
        <w:jc w:val="both"/>
        <w:rPr>
          <w:rFonts w:ascii="Verdana" w:hAnsi="Verdana"/>
          <w:color w:val="000000" w:themeColor="text1"/>
          <w:sz w:val="16"/>
          <w:szCs w:val="16"/>
          <w:lang w:val="es-ES"/>
        </w:rPr>
      </w:pPr>
      <w:r w:rsidRPr="00E07388">
        <w:rPr>
          <w:rStyle w:val="Refdenotaalpie"/>
          <w:rFonts w:ascii="Verdana" w:hAnsi="Verdana"/>
          <w:color w:val="000000" w:themeColor="text1"/>
          <w:sz w:val="16"/>
          <w:szCs w:val="16"/>
        </w:rPr>
        <w:footnoteRef/>
      </w:r>
      <w:r w:rsidRPr="00E07388">
        <w:rPr>
          <w:rFonts w:ascii="Verdana" w:hAnsi="Verdana"/>
          <w:color w:val="000000" w:themeColor="text1"/>
          <w:sz w:val="16"/>
          <w:szCs w:val="16"/>
          <w:lang w:val="es-ES"/>
        </w:rPr>
        <w:t xml:space="preserve"> </w:t>
      </w:r>
      <w:r w:rsidRPr="00E07388">
        <w:rPr>
          <w:rFonts w:ascii="Verdana" w:hAnsi="Verdana"/>
          <w:color w:val="000000" w:themeColor="text1"/>
          <w:sz w:val="16"/>
          <w:szCs w:val="16"/>
          <w:lang w:val="es-ES"/>
        </w:rPr>
        <w:tab/>
      </w:r>
      <w:r w:rsidRPr="00E07388">
        <w:rPr>
          <w:rFonts w:ascii="Verdana" w:hAnsi="Verdana"/>
          <w:i/>
          <w:sz w:val="16"/>
          <w:szCs w:val="16"/>
        </w:rPr>
        <w:t>C</w:t>
      </w:r>
      <w:r>
        <w:rPr>
          <w:rFonts w:ascii="Verdana" w:hAnsi="Verdana"/>
          <w:i/>
          <w:sz w:val="16"/>
          <w:szCs w:val="16"/>
        </w:rPr>
        <w:t>fr. C</w:t>
      </w:r>
      <w:r w:rsidRPr="00E07388">
        <w:rPr>
          <w:rFonts w:ascii="Verdana" w:hAnsi="Verdana"/>
          <w:i/>
          <w:sz w:val="16"/>
          <w:szCs w:val="16"/>
        </w:rPr>
        <w:t xml:space="preserve">aso García </w:t>
      </w:r>
      <w:proofErr w:type="spellStart"/>
      <w:r w:rsidRPr="00E07388">
        <w:rPr>
          <w:rFonts w:ascii="Verdana" w:hAnsi="Verdana"/>
          <w:i/>
          <w:sz w:val="16"/>
          <w:szCs w:val="16"/>
        </w:rPr>
        <w:t>Asto</w:t>
      </w:r>
      <w:proofErr w:type="spellEnd"/>
      <w:r w:rsidRPr="00E07388">
        <w:rPr>
          <w:rFonts w:ascii="Verdana" w:hAnsi="Verdana"/>
          <w:i/>
          <w:sz w:val="16"/>
          <w:szCs w:val="16"/>
        </w:rPr>
        <w:t xml:space="preserve"> y Ramírez Rojas Vs. Perú</w:t>
      </w:r>
      <w:r w:rsidRPr="00E07388">
        <w:rPr>
          <w:rFonts w:ascii="Verdana" w:hAnsi="Verdana"/>
          <w:sz w:val="16"/>
          <w:szCs w:val="16"/>
        </w:rPr>
        <w:t>, párr. 128,</w:t>
      </w:r>
      <w:r w:rsidRPr="00E07388">
        <w:rPr>
          <w:rFonts w:ascii="Verdana" w:hAnsi="Verdana"/>
          <w:color w:val="000000" w:themeColor="text1"/>
          <w:sz w:val="16"/>
          <w:szCs w:val="16"/>
          <w:lang w:val="es-ES"/>
        </w:rPr>
        <w:t xml:space="preserve"> y </w:t>
      </w:r>
      <w:r w:rsidRPr="00E07388">
        <w:rPr>
          <w:rFonts w:ascii="Verdana" w:hAnsi="Verdana"/>
          <w:i/>
          <w:sz w:val="16"/>
          <w:szCs w:val="16"/>
        </w:rPr>
        <w:t>Caso Jenkins Vs. Argentina</w:t>
      </w:r>
      <w:r w:rsidRPr="00E07388">
        <w:rPr>
          <w:rFonts w:ascii="Verdana" w:hAnsi="Verdana"/>
          <w:sz w:val="16"/>
          <w:szCs w:val="16"/>
        </w:rPr>
        <w:t>, párr. 77</w:t>
      </w:r>
      <w:r w:rsidRPr="00E07388">
        <w:rPr>
          <w:rFonts w:ascii="Verdana" w:hAnsi="Verdana"/>
          <w:color w:val="000000" w:themeColor="text1"/>
          <w:sz w:val="16"/>
          <w:szCs w:val="16"/>
          <w:lang w:val="es-ES"/>
        </w:rPr>
        <w:t>.</w:t>
      </w:r>
    </w:p>
    <w:p w14:paraId="42111DDF" w14:textId="77777777" w:rsidR="005A4119" w:rsidRPr="00E07388" w:rsidRDefault="005A4119" w:rsidP="00414DEF">
      <w:pPr>
        <w:pStyle w:val="Textonotapie"/>
        <w:jc w:val="both"/>
        <w:rPr>
          <w:rFonts w:ascii="Verdana" w:hAnsi="Verdana"/>
          <w:color w:val="000000" w:themeColor="text1"/>
          <w:sz w:val="16"/>
          <w:szCs w:val="16"/>
          <w:lang w:val="es-ES"/>
        </w:rPr>
      </w:pPr>
    </w:p>
  </w:footnote>
  <w:footnote w:id="51">
    <w:p w14:paraId="0D781331" w14:textId="5962E5A7"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t xml:space="preserve">En el mismo sentido, la perita </w:t>
      </w:r>
      <w:proofErr w:type="spellStart"/>
      <w:r w:rsidRPr="00E07388">
        <w:rPr>
          <w:rFonts w:ascii="Verdana" w:hAnsi="Verdana"/>
          <w:sz w:val="16"/>
          <w:szCs w:val="16"/>
        </w:rPr>
        <w:t>Fonte</w:t>
      </w:r>
      <w:proofErr w:type="spellEnd"/>
      <w:r w:rsidRPr="00E07388">
        <w:rPr>
          <w:rFonts w:ascii="Verdana" w:hAnsi="Verdana"/>
          <w:sz w:val="16"/>
          <w:szCs w:val="16"/>
        </w:rPr>
        <w:t xml:space="preserve"> Carvalho aseveró que en el “marco legal vigente entre los años 1983 hasta 2000”, los “fundamentos” que posibilitaban la orden de prisión preventiva eran “los indicios que presumieran la existencia de un delito que merezca pena privativa de libertad; así como los indicios que hagan presumir que el sindicado es autor o cómplice del delito que es objeto del proceso. Si el delito objeto del proceso era de aquellos sancionados con una pena que no exceda de un año de prisión y [si] el acusado no ha sufrido una condena anterior, el Juez se debía abstener de dictar auto de prisión preventiva”.</w:t>
      </w:r>
    </w:p>
    <w:p w14:paraId="25B3C490" w14:textId="77777777" w:rsidR="005A4119" w:rsidRPr="00E07388" w:rsidRDefault="005A4119" w:rsidP="00414DEF">
      <w:pPr>
        <w:pStyle w:val="Textonotapie"/>
        <w:jc w:val="both"/>
        <w:rPr>
          <w:rFonts w:ascii="Verdana" w:hAnsi="Verdana"/>
          <w:sz w:val="16"/>
          <w:szCs w:val="16"/>
        </w:rPr>
      </w:pPr>
    </w:p>
  </w:footnote>
  <w:footnote w:id="52">
    <w:p w14:paraId="5285065B" w14:textId="46199AE9" w:rsidR="005A4119" w:rsidRPr="00E07388" w:rsidRDefault="005A4119" w:rsidP="00414DEF">
      <w:pPr>
        <w:pStyle w:val="Textonotapie"/>
        <w:tabs>
          <w:tab w:val="left" w:pos="709"/>
        </w:tabs>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t>El texto de la orden judicial dice “como [el señor Carranza y otra persona] se encuentran prófugos ofíciese a las autoridades de [p]</w:t>
      </w:r>
      <w:proofErr w:type="spellStart"/>
      <w:r w:rsidRPr="00E07388">
        <w:rPr>
          <w:rFonts w:ascii="Verdana" w:hAnsi="Verdana"/>
          <w:sz w:val="16"/>
          <w:szCs w:val="16"/>
        </w:rPr>
        <w:t>olicía</w:t>
      </w:r>
      <w:proofErr w:type="spellEnd"/>
      <w:r w:rsidRPr="00E07388">
        <w:rPr>
          <w:rFonts w:ascii="Verdana" w:hAnsi="Verdana"/>
          <w:sz w:val="16"/>
          <w:szCs w:val="16"/>
        </w:rPr>
        <w:t xml:space="preserve"> para sus capturas”. </w:t>
      </w:r>
    </w:p>
    <w:p w14:paraId="641CF616" w14:textId="77777777" w:rsidR="005A4119" w:rsidRPr="00E07388" w:rsidRDefault="005A4119" w:rsidP="00414DEF">
      <w:pPr>
        <w:pStyle w:val="Textonotapie"/>
        <w:tabs>
          <w:tab w:val="left" w:pos="1755"/>
        </w:tabs>
        <w:jc w:val="both"/>
        <w:rPr>
          <w:rFonts w:ascii="Verdana" w:hAnsi="Verdana"/>
          <w:sz w:val="16"/>
          <w:szCs w:val="16"/>
        </w:rPr>
      </w:pPr>
    </w:p>
  </w:footnote>
  <w:footnote w:id="53">
    <w:p w14:paraId="5451BCCE" w14:textId="181072A6"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Caso Herrera Espinoza y otros Vs. Ecuador</w:t>
      </w:r>
      <w:r w:rsidRPr="00E07388">
        <w:rPr>
          <w:rFonts w:ascii="Verdana" w:hAnsi="Verdana"/>
          <w:sz w:val="16"/>
          <w:szCs w:val="16"/>
        </w:rPr>
        <w:t xml:space="preserve">, </w:t>
      </w:r>
      <w:proofErr w:type="spellStart"/>
      <w:r w:rsidRPr="00E07388">
        <w:rPr>
          <w:rFonts w:ascii="Verdana" w:hAnsi="Verdana"/>
          <w:sz w:val="16"/>
          <w:szCs w:val="16"/>
        </w:rPr>
        <w:t>párrs</w:t>
      </w:r>
      <w:proofErr w:type="spellEnd"/>
      <w:r w:rsidRPr="00E07388">
        <w:rPr>
          <w:rFonts w:ascii="Verdana" w:hAnsi="Verdana"/>
          <w:sz w:val="16"/>
          <w:szCs w:val="16"/>
        </w:rPr>
        <w:t xml:space="preserve">. 148, 149 y 150. En la misma sentencia, en el párrafo 153 se expresa la conclusión que indica la vulneración al artículo 2 convencional. </w:t>
      </w:r>
    </w:p>
    <w:p w14:paraId="19CCBE59" w14:textId="77777777" w:rsidR="005A4119" w:rsidRPr="00E07388" w:rsidRDefault="005A4119" w:rsidP="00414DEF">
      <w:pPr>
        <w:pStyle w:val="Textonotapie"/>
        <w:jc w:val="both"/>
        <w:rPr>
          <w:rFonts w:ascii="Verdana" w:hAnsi="Verdana"/>
          <w:sz w:val="16"/>
          <w:szCs w:val="16"/>
        </w:rPr>
      </w:pPr>
    </w:p>
  </w:footnote>
  <w:footnote w:id="54">
    <w:p w14:paraId="48766554" w14:textId="1275722C"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Caso Herrera Espinoza y otros Vs. Ecuador</w:t>
      </w:r>
      <w:r w:rsidRPr="00E07388">
        <w:rPr>
          <w:rFonts w:ascii="Verdana" w:hAnsi="Verdana"/>
          <w:sz w:val="16"/>
          <w:szCs w:val="16"/>
        </w:rPr>
        <w:t xml:space="preserve">, párr. 152. </w:t>
      </w:r>
    </w:p>
    <w:p w14:paraId="5A4EBD9B" w14:textId="77777777" w:rsidR="005A4119" w:rsidRPr="00E07388" w:rsidRDefault="005A4119" w:rsidP="00414DEF">
      <w:pPr>
        <w:pStyle w:val="Textonotapie"/>
        <w:jc w:val="both"/>
        <w:rPr>
          <w:rFonts w:ascii="Verdana" w:hAnsi="Verdana"/>
          <w:sz w:val="16"/>
          <w:szCs w:val="16"/>
        </w:rPr>
      </w:pPr>
    </w:p>
  </w:footnote>
  <w:footnote w:id="55">
    <w:p w14:paraId="3C850916" w14:textId="3DD45719"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lang w:val="es-ES"/>
        </w:rPr>
        <w:t xml:space="preserve"> </w:t>
      </w:r>
      <w:r w:rsidRPr="00E07388">
        <w:rPr>
          <w:rFonts w:ascii="Verdana" w:hAnsi="Verdana"/>
          <w:sz w:val="16"/>
          <w:szCs w:val="16"/>
          <w:lang w:val="es-ES"/>
        </w:rPr>
        <w:tab/>
      </w:r>
      <w:r w:rsidRPr="00E07388">
        <w:rPr>
          <w:rFonts w:ascii="Verdana" w:hAnsi="Verdana"/>
          <w:i/>
          <w:sz w:val="16"/>
          <w:szCs w:val="16"/>
          <w:lang w:val="es-ES"/>
        </w:rPr>
        <w:t>Cfr.</w:t>
      </w:r>
      <w:r w:rsidRPr="00E07388">
        <w:rPr>
          <w:rFonts w:ascii="Verdana" w:hAnsi="Verdana"/>
          <w:sz w:val="16"/>
          <w:szCs w:val="16"/>
          <w:lang w:val="es-ES"/>
        </w:rPr>
        <w:t xml:space="preserve"> </w:t>
      </w:r>
      <w:r w:rsidRPr="00E07388">
        <w:rPr>
          <w:rFonts w:ascii="Verdana" w:hAnsi="Verdana"/>
          <w:i/>
          <w:sz w:val="16"/>
          <w:szCs w:val="16"/>
          <w:lang w:val="es-ES"/>
        </w:rPr>
        <w:t>Caso Chaparro Álvarez y Lapo Íñiguez Vs. Ecuador</w:t>
      </w:r>
      <w:r w:rsidRPr="00E07388">
        <w:rPr>
          <w:rFonts w:ascii="Verdana" w:hAnsi="Verdana"/>
          <w:sz w:val="16"/>
          <w:szCs w:val="16"/>
          <w:lang w:val="es-ES"/>
        </w:rPr>
        <w:t xml:space="preserve">, </w:t>
      </w:r>
      <w:proofErr w:type="spellStart"/>
      <w:r w:rsidRPr="00E07388">
        <w:rPr>
          <w:rFonts w:ascii="Verdana" w:hAnsi="Verdana"/>
          <w:sz w:val="16"/>
          <w:szCs w:val="16"/>
          <w:lang w:val="es-ES"/>
        </w:rPr>
        <w:t>párrs</w:t>
      </w:r>
      <w:proofErr w:type="spellEnd"/>
      <w:r w:rsidRPr="00E07388">
        <w:rPr>
          <w:rFonts w:ascii="Verdana" w:hAnsi="Verdana"/>
          <w:sz w:val="16"/>
          <w:szCs w:val="16"/>
          <w:lang w:val="es-ES"/>
        </w:rPr>
        <w:t xml:space="preserve">. 107 y 117; </w:t>
      </w:r>
      <w:r w:rsidRPr="00E07388">
        <w:rPr>
          <w:rFonts w:ascii="Verdana" w:hAnsi="Verdana"/>
          <w:i/>
          <w:sz w:val="16"/>
          <w:szCs w:val="16"/>
          <w:lang w:val="es-ES"/>
        </w:rPr>
        <w:t xml:space="preserve">Caso </w:t>
      </w:r>
      <w:proofErr w:type="spellStart"/>
      <w:r w:rsidRPr="00E07388">
        <w:rPr>
          <w:rFonts w:ascii="Verdana" w:hAnsi="Verdana"/>
          <w:i/>
          <w:sz w:val="16"/>
          <w:szCs w:val="16"/>
          <w:lang w:val="es-ES"/>
        </w:rPr>
        <w:t>Bayarri</w:t>
      </w:r>
      <w:proofErr w:type="spellEnd"/>
      <w:r w:rsidRPr="00E07388">
        <w:rPr>
          <w:rFonts w:ascii="Verdana" w:hAnsi="Verdana"/>
          <w:i/>
          <w:sz w:val="16"/>
          <w:szCs w:val="16"/>
          <w:lang w:val="es-ES"/>
        </w:rPr>
        <w:t xml:space="preserve"> Vs. Argentina</w:t>
      </w:r>
      <w:r w:rsidRPr="00E07388">
        <w:rPr>
          <w:rFonts w:ascii="Verdana" w:hAnsi="Verdana"/>
          <w:sz w:val="16"/>
          <w:szCs w:val="16"/>
          <w:lang w:val="es-ES"/>
        </w:rPr>
        <w:t xml:space="preserve">, párr. 74, y </w:t>
      </w:r>
      <w:r w:rsidRPr="00E07388">
        <w:rPr>
          <w:rFonts w:ascii="Verdana" w:hAnsi="Verdana"/>
          <w:i/>
          <w:sz w:val="16"/>
          <w:szCs w:val="16"/>
        </w:rPr>
        <w:t>Caso Jenkins Vs. Argentina</w:t>
      </w:r>
      <w:r w:rsidRPr="00E07388">
        <w:rPr>
          <w:rFonts w:ascii="Verdana" w:hAnsi="Verdana"/>
          <w:sz w:val="16"/>
          <w:szCs w:val="16"/>
        </w:rPr>
        <w:t>, párr. 85.</w:t>
      </w:r>
    </w:p>
    <w:p w14:paraId="7546DC45" w14:textId="77777777" w:rsidR="005A4119" w:rsidRPr="00E07388" w:rsidRDefault="005A4119" w:rsidP="00414DEF">
      <w:pPr>
        <w:pStyle w:val="Textonotapie"/>
        <w:jc w:val="both"/>
        <w:rPr>
          <w:rFonts w:ascii="Verdana" w:hAnsi="Verdana"/>
          <w:sz w:val="16"/>
          <w:szCs w:val="16"/>
          <w:lang w:val="es-ES"/>
        </w:rPr>
      </w:pPr>
    </w:p>
  </w:footnote>
  <w:footnote w:id="56">
    <w:p w14:paraId="45DBD9E5" w14:textId="3377AC77"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lang w:val="es-ES"/>
        </w:rPr>
        <w:t xml:space="preserve"> </w:t>
      </w:r>
      <w:r w:rsidRPr="00E07388">
        <w:rPr>
          <w:rFonts w:ascii="Verdana" w:hAnsi="Verdana"/>
          <w:sz w:val="16"/>
          <w:szCs w:val="16"/>
          <w:lang w:val="es-ES"/>
        </w:rPr>
        <w:tab/>
      </w:r>
      <w:r w:rsidRPr="00E07388">
        <w:rPr>
          <w:rFonts w:ascii="Verdana" w:hAnsi="Verdana"/>
          <w:i/>
          <w:sz w:val="16"/>
          <w:szCs w:val="16"/>
          <w:lang w:val="es-ES"/>
        </w:rPr>
        <w:t>Cfr</w:t>
      </w:r>
      <w:r w:rsidRPr="00E07388">
        <w:rPr>
          <w:rFonts w:ascii="Verdana" w:hAnsi="Verdana"/>
          <w:sz w:val="16"/>
          <w:szCs w:val="16"/>
          <w:lang w:val="es-ES"/>
        </w:rPr>
        <w:t xml:space="preserve">. </w:t>
      </w:r>
      <w:r w:rsidRPr="00E07388">
        <w:rPr>
          <w:rFonts w:ascii="Verdana" w:hAnsi="Verdana"/>
          <w:i/>
          <w:sz w:val="16"/>
          <w:szCs w:val="16"/>
        </w:rPr>
        <w:t xml:space="preserve">Caso </w:t>
      </w:r>
      <w:proofErr w:type="spellStart"/>
      <w:r w:rsidRPr="00E07388">
        <w:rPr>
          <w:rFonts w:ascii="Verdana" w:hAnsi="Verdana"/>
          <w:i/>
          <w:sz w:val="16"/>
          <w:szCs w:val="16"/>
        </w:rPr>
        <w:t>Amrhein</w:t>
      </w:r>
      <w:proofErr w:type="spellEnd"/>
      <w:r w:rsidRPr="00E07388">
        <w:rPr>
          <w:rFonts w:ascii="Verdana" w:hAnsi="Verdana"/>
          <w:i/>
          <w:sz w:val="16"/>
          <w:szCs w:val="16"/>
        </w:rPr>
        <w:t xml:space="preserve"> y otros Vs. Costa Rica</w:t>
      </w:r>
      <w:r w:rsidRPr="00E07388">
        <w:rPr>
          <w:rFonts w:ascii="Verdana" w:hAnsi="Verdana"/>
          <w:sz w:val="16"/>
          <w:szCs w:val="16"/>
        </w:rPr>
        <w:t>, párr. 361</w:t>
      </w:r>
      <w:r w:rsidRPr="00E07388">
        <w:rPr>
          <w:rFonts w:ascii="Verdana" w:hAnsi="Verdana"/>
          <w:sz w:val="16"/>
          <w:szCs w:val="16"/>
          <w:lang w:val="es-ES"/>
        </w:rPr>
        <w:t>, y</w:t>
      </w:r>
      <w:r w:rsidRPr="00E07388">
        <w:rPr>
          <w:rFonts w:ascii="Verdana" w:hAnsi="Verdana"/>
          <w:i/>
          <w:sz w:val="16"/>
          <w:szCs w:val="16"/>
          <w:lang w:val="es-ES"/>
        </w:rPr>
        <w:t xml:space="preserve"> </w:t>
      </w:r>
      <w:hyperlink r:id="rId1" w:history="1">
        <w:r w:rsidRPr="00E07388">
          <w:rPr>
            <w:rStyle w:val="Hipervnculo"/>
            <w:rFonts w:ascii="Verdana" w:hAnsi="Verdana" w:cs="Arial"/>
            <w:i/>
            <w:color w:val="auto"/>
            <w:sz w:val="16"/>
            <w:szCs w:val="16"/>
            <w:u w:val="none"/>
          </w:rPr>
          <w:t>Caso Jenkins Vs. Argentina</w:t>
        </w:r>
        <w:r w:rsidRPr="00E07388">
          <w:rPr>
            <w:rStyle w:val="Hipervnculo"/>
            <w:rFonts w:ascii="Verdana" w:hAnsi="Verdana" w:cs="Arial"/>
            <w:color w:val="auto"/>
            <w:sz w:val="16"/>
            <w:szCs w:val="16"/>
            <w:u w:val="none"/>
          </w:rPr>
          <w:t xml:space="preserve">, párr. 84. </w:t>
        </w:r>
      </w:hyperlink>
    </w:p>
    <w:p w14:paraId="7C1FB3A6" w14:textId="77777777" w:rsidR="005A4119" w:rsidRPr="00E07388" w:rsidRDefault="005A4119" w:rsidP="00414DEF">
      <w:pPr>
        <w:pStyle w:val="Textonotapie"/>
        <w:jc w:val="both"/>
        <w:rPr>
          <w:rFonts w:ascii="Verdana" w:hAnsi="Verdana"/>
          <w:sz w:val="16"/>
          <w:szCs w:val="16"/>
          <w:lang w:val="es-ES"/>
        </w:rPr>
      </w:pPr>
    </w:p>
  </w:footnote>
  <w:footnote w:id="57">
    <w:p w14:paraId="1E430D12" w14:textId="72E1B870" w:rsidR="005A4119" w:rsidRPr="00E07388" w:rsidRDefault="005A4119" w:rsidP="00414DEF">
      <w:pPr>
        <w:pStyle w:val="Textonotapie"/>
        <w:jc w:val="both"/>
        <w:rPr>
          <w:rFonts w:ascii="Verdana" w:hAnsi="Verdana"/>
          <w:sz w:val="16"/>
          <w:szCs w:val="16"/>
          <w:lang w:val="es-ES"/>
        </w:rPr>
      </w:pPr>
      <w:r w:rsidRPr="00E07388">
        <w:rPr>
          <w:rStyle w:val="Refdenotaalpie"/>
          <w:rFonts w:ascii="Verdana" w:hAnsi="Verdana"/>
          <w:sz w:val="16"/>
          <w:szCs w:val="16"/>
        </w:rPr>
        <w:footnoteRef/>
      </w:r>
      <w:r w:rsidRPr="00E07388">
        <w:rPr>
          <w:rFonts w:ascii="Verdana" w:hAnsi="Verdana"/>
          <w:sz w:val="16"/>
          <w:szCs w:val="16"/>
          <w:lang w:val="es-ES"/>
        </w:rPr>
        <w:t xml:space="preserve"> </w:t>
      </w:r>
      <w:r w:rsidRPr="00E07388">
        <w:rPr>
          <w:rFonts w:ascii="Verdana" w:hAnsi="Verdana"/>
          <w:sz w:val="16"/>
          <w:szCs w:val="16"/>
          <w:lang w:val="es-ES"/>
        </w:rPr>
        <w:tab/>
      </w:r>
      <w:r w:rsidRPr="00E07388">
        <w:rPr>
          <w:rFonts w:ascii="Verdana" w:hAnsi="Verdana"/>
          <w:i/>
          <w:sz w:val="16"/>
          <w:szCs w:val="16"/>
          <w:lang w:val="es-ES"/>
        </w:rPr>
        <w:t>Cfr.</w:t>
      </w:r>
      <w:r w:rsidRPr="00E07388">
        <w:rPr>
          <w:rFonts w:ascii="Verdana" w:hAnsi="Verdana"/>
          <w:sz w:val="16"/>
          <w:szCs w:val="16"/>
          <w:lang w:val="es-ES"/>
        </w:rPr>
        <w:t xml:space="preserve"> </w:t>
      </w:r>
      <w:r w:rsidRPr="00E07388">
        <w:rPr>
          <w:rFonts w:ascii="Verdana" w:hAnsi="Verdana"/>
          <w:i/>
          <w:sz w:val="16"/>
          <w:szCs w:val="16"/>
          <w:lang w:val="es-ES"/>
        </w:rPr>
        <w:t>Caso López Álvarez Vs. Honduras</w:t>
      </w:r>
      <w:r w:rsidRPr="00E07388">
        <w:rPr>
          <w:rFonts w:ascii="Verdana" w:hAnsi="Verdana"/>
          <w:sz w:val="16"/>
          <w:szCs w:val="16"/>
          <w:lang w:val="es-ES"/>
        </w:rPr>
        <w:t xml:space="preserve">, párr. 67, y </w:t>
      </w:r>
      <w:r w:rsidRPr="00E07388">
        <w:rPr>
          <w:rFonts w:ascii="Verdana" w:hAnsi="Verdana"/>
          <w:i/>
          <w:sz w:val="16"/>
          <w:szCs w:val="16"/>
          <w:lang w:val="es-ES"/>
        </w:rPr>
        <w:t>Caso Jenkins Vs. Argentina</w:t>
      </w:r>
      <w:r w:rsidRPr="00E07388">
        <w:rPr>
          <w:rFonts w:ascii="Verdana" w:hAnsi="Verdana"/>
          <w:sz w:val="16"/>
          <w:szCs w:val="16"/>
          <w:lang w:val="es-ES"/>
        </w:rPr>
        <w:t>, párr. 72.</w:t>
      </w:r>
    </w:p>
    <w:p w14:paraId="673BEBA0" w14:textId="77777777" w:rsidR="005A4119" w:rsidRPr="00E07388" w:rsidRDefault="005A4119" w:rsidP="00414DEF">
      <w:pPr>
        <w:pStyle w:val="Textonotapie"/>
        <w:jc w:val="both"/>
        <w:rPr>
          <w:rFonts w:ascii="Verdana" w:hAnsi="Verdana"/>
          <w:sz w:val="16"/>
          <w:szCs w:val="16"/>
          <w:lang w:val="es-ES"/>
        </w:rPr>
      </w:pPr>
    </w:p>
  </w:footnote>
  <w:footnote w:id="58">
    <w:p w14:paraId="31497422" w14:textId="0A693E8F"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Cfr. Caso Suárez Rosero Vs. Ecuador. Fondo</w:t>
      </w:r>
      <w:r w:rsidRPr="00E07388">
        <w:rPr>
          <w:rFonts w:ascii="Verdana" w:hAnsi="Verdana"/>
          <w:sz w:val="16"/>
          <w:szCs w:val="16"/>
        </w:rPr>
        <w:t xml:space="preserve">, </w:t>
      </w:r>
      <w:proofErr w:type="spellStart"/>
      <w:r w:rsidRPr="00E07388">
        <w:rPr>
          <w:rFonts w:ascii="Verdana" w:hAnsi="Verdana"/>
          <w:sz w:val="16"/>
          <w:szCs w:val="16"/>
        </w:rPr>
        <w:t>párrs</w:t>
      </w:r>
      <w:proofErr w:type="spellEnd"/>
      <w:r w:rsidRPr="00E07388">
        <w:rPr>
          <w:rFonts w:ascii="Verdana" w:hAnsi="Verdana"/>
          <w:sz w:val="16"/>
          <w:szCs w:val="16"/>
        </w:rPr>
        <w:t>. 70 y 71</w:t>
      </w:r>
      <w:r>
        <w:rPr>
          <w:rFonts w:ascii="Verdana" w:hAnsi="Verdana"/>
          <w:sz w:val="16"/>
          <w:szCs w:val="16"/>
        </w:rPr>
        <w:t xml:space="preserve">; </w:t>
      </w:r>
      <w:r w:rsidRPr="00E07388">
        <w:rPr>
          <w:rFonts w:ascii="Verdana" w:hAnsi="Verdana"/>
          <w:i/>
          <w:sz w:val="16"/>
          <w:szCs w:val="16"/>
          <w:lang w:val="es-ES"/>
        </w:rPr>
        <w:t>Caso López Álvarez Vs. Honduras</w:t>
      </w:r>
      <w:r>
        <w:rPr>
          <w:rFonts w:ascii="Verdana" w:hAnsi="Verdana"/>
          <w:sz w:val="16"/>
          <w:szCs w:val="16"/>
          <w:lang w:val="es-ES"/>
        </w:rPr>
        <w:t>, párr. 129,</w:t>
      </w:r>
      <w:r w:rsidRPr="00E07388">
        <w:rPr>
          <w:rFonts w:ascii="Verdana" w:hAnsi="Verdana"/>
          <w:sz w:val="16"/>
          <w:szCs w:val="16"/>
        </w:rPr>
        <w:t xml:space="preserve"> y </w:t>
      </w:r>
      <w:r w:rsidRPr="00E07388">
        <w:rPr>
          <w:rFonts w:ascii="Verdana" w:hAnsi="Verdana"/>
          <w:i/>
          <w:sz w:val="16"/>
          <w:szCs w:val="16"/>
          <w:lang w:val="es-ES"/>
        </w:rPr>
        <w:t>Caso Jenkins Vs. Argentina</w:t>
      </w:r>
      <w:r w:rsidRPr="00E07388">
        <w:rPr>
          <w:rFonts w:ascii="Verdana" w:hAnsi="Verdana"/>
          <w:sz w:val="16"/>
          <w:szCs w:val="16"/>
          <w:lang w:val="es-ES"/>
        </w:rPr>
        <w:t>, párr. 106</w:t>
      </w:r>
      <w:r w:rsidRPr="00E07388">
        <w:rPr>
          <w:rFonts w:ascii="Verdana" w:hAnsi="Verdana"/>
          <w:sz w:val="16"/>
          <w:szCs w:val="16"/>
        </w:rPr>
        <w:t>.</w:t>
      </w:r>
    </w:p>
    <w:p w14:paraId="721F5C8D" w14:textId="77777777" w:rsidR="005A4119" w:rsidRPr="00E07388" w:rsidRDefault="005A4119" w:rsidP="00414DEF">
      <w:pPr>
        <w:pStyle w:val="Textonotapie"/>
        <w:jc w:val="both"/>
        <w:rPr>
          <w:rFonts w:ascii="Verdana" w:hAnsi="Verdana"/>
          <w:sz w:val="16"/>
          <w:szCs w:val="16"/>
          <w:lang w:val="es-MX"/>
        </w:rPr>
      </w:pPr>
    </w:p>
  </w:footnote>
  <w:footnote w:id="59">
    <w:p w14:paraId="69F8FF09" w14:textId="75C3A4D4"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 xml:space="preserve">Cfr. Caso </w:t>
      </w:r>
      <w:proofErr w:type="spellStart"/>
      <w:r w:rsidRPr="00E07388">
        <w:rPr>
          <w:rFonts w:ascii="Verdana" w:hAnsi="Verdana"/>
          <w:i/>
          <w:sz w:val="16"/>
          <w:szCs w:val="16"/>
        </w:rPr>
        <w:t>Bulacio</w:t>
      </w:r>
      <w:proofErr w:type="spellEnd"/>
      <w:r w:rsidRPr="00E07388">
        <w:rPr>
          <w:rFonts w:ascii="Verdana" w:hAnsi="Verdana"/>
          <w:i/>
          <w:sz w:val="16"/>
          <w:szCs w:val="16"/>
        </w:rPr>
        <w:t xml:space="preserve"> Vs. Argentina. Fondo, Reparaciones y Costas</w:t>
      </w:r>
      <w:r w:rsidRPr="00E07388">
        <w:rPr>
          <w:rFonts w:ascii="Verdana" w:hAnsi="Verdana"/>
          <w:sz w:val="16"/>
          <w:szCs w:val="16"/>
        </w:rPr>
        <w:t xml:space="preserve">. Sentencia de 18 de septiembre de 2003. Serie C No. 100, párr. 114, y </w:t>
      </w:r>
      <w:r w:rsidRPr="00E07388">
        <w:rPr>
          <w:rStyle w:val="Textoennegrita"/>
          <w:rFonts w:ascii="Verdana" w:hAnsi="Verdana"/>
          <w:b w:val="0"/>
          <w:i/>
          <w:color w:val="000000"/>
          <w:sz w:val="16"/>
          <w:szCs w:val="16"/>
          <w:shd w:val="clear" w:color="auto" w:fill="FFFFFF"/>
        </w:rPr>
        <w:t xml:space="preserve">Caso </w:t>
      </w:r>
      <w:proofErr w:type="spellStart"/>
      <w:r w:rsidRPr="00E07388">
        <w:rPr>
          <w:rStyle w:val="Textoennegrita"/>
          <w:rFonts w:ascii="Verdana" w:hAnsi="Verdana"/>
          <w:b w:val="0"/>
          <w:i/>
          <w:color w:val="000000"/>
          <w:sz w:val="16"/>
          <w:szCs w:val="16"/>
          <w:shd w:val="clear" w:color="auto" w:fill="FFFFFF"/>
        </w:rPr>
        <w:t>Perrone</w:t>
      </w:r>
      <w:proofErr w:type="spellEnd"/>
      <w:r w:rsidRPr="00E07388">
        <w:rPr>
          <w:rStyle w:val="Textoennegrita"/>
          <w:rFonts w:ascii="Verdana" w:hAnsi="Verdana"/>
          <w:b w:val="0"/>
          <w:i/>
          <w:color w:val="000000"/>
          <w:sz w:val="16"/>
          <w:szCs w:val="16"/>
          <w:shd w:val="clear" w:color="auto" w:fill="FFFFFF"/>
        </w:rPr>
        <w:t xml:space="preserve"> y </w:t>
      </w:r>
      <w:proofErr w:type="spellStart"/>
      <w:r w:rsidRPr="00E07388">
        <w:rPr>
          <w:rStyle w:val="Textoennegrita"/>
          <w:rFonts w:ascii="Verdana" w:hAnsi="Verdana"/>
          <w:b w:val="0"/>
          <w:i/>
          <w:color w:val="000000"/>
          <w:sz w:val="16"/>
          <w:szCs w:val="16"/>
          <w:shd w:val="clear" w:color="auto" w:fill="FFFFFF"/>
        </w:rPr>
        <w:t>Preckel</w:t>
      </w:r>
      <w:proofErr w:type="spellEnd"/>
      <w:r w:rsidRPr="00E07388">
        <w:rPr>
          <w:rStyle w:val="Textoennegrita"/>
          <w:rFonts w:ascii="Verdana" w:hAnsi="Verdana"/>
          <w:b w:val="0"/>
          <w:i/>
          <w:color w:val="000000"/>
          <w:sz w:val="16"/>
          <w:szCs w:val="16"/>
          <w:shd w:val="clear" w:color="auto" w:fill="FFFFFF"/>
        </w:rPr>
        <w:t xml:space="preserve"> Vs. Argentina</w:t>
      </w:r>
      <w:r w:rsidRPr="00E07388">
        <w:rPr>
          <w:rFonts w:ascii="Verdana" w:hAnsi="Verdana"/>
          <w:sz w:val="16"/>
          <w:szCs w:val="16"/>
        </w:rPr>
        <w:t>, párr. 141.</w:t>
      </w:r>
    </w:p>
    <w:p w14:paraId="6261590B" w14:textId="77777777" w:rsidR="005A4119" w:rsidRPr="00E07388" w:rsidRDefault="005A4119" w:rsidP="00414DEF">
      <w:pPr>
        <w:pStyle w:val="Textonotapie"/>
        <w:jc w:val="both"/>
        <w:rPr>
          <w:rFonts w:ascii="Verdana" w:hAnsi="Verdana"/>
          <w:sz w:val="16"/>
          <w:szCs w:val="16"/>
        </w:rPr>
      </w:pPr>
    </w:p>
  </w:footnote>
  <w:footnote w:id="60">
    <w:p w14:paraId="588FABD1" w14:textId="762E8B84" w:rsidR="005A4119" w:rsidRPr="00E07388" w:rsidRDefault="005A4119" w:rsidP="00414DEF">
      <w:pPr>
        <w:pStyle w:val="Textonotapie"/>
        <w:jc w:val="both"/>
        <w:rPr>
          <w:rFonts w:ascii="Verdana" w:hAnsi="Verdana"/>
          <w:sz w:val="16"/>
          <w:szCs w:val="16"/>
          <w:lang w:val="es-ES"/>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 xml:space="preserve">Cfr. Caso </w:t>
      </w:r>
      <w:proofErr w:type="spellStart"/>
      <w:r w:rsidRPr="00E07388">
        <w:rPr>
          <w:rFonts w:ascii="Verdana" w:hAnsi="Verdana"/>
          <w:i/>
          <w:sz w:val="16"/>
          <w:szCs w:val="16"/>
        </w:rPr>
        <w:t>Hilaire</w:t>
      </w:r>
      <w:proofErr w:type="spellEnd"/>
      <w:r w:rsidRPr="00E07388">
        <w:rPr>
          <w:rFonts w:ascii="Verdana" w:hAnsi="Verdana"/>
          <w:i/>
          <w:sz w:val="16"/>
          <w:szCs w:val="16"/>
        </w:rPr>
        <w:t xml:space="preserve">, </w:t>
      </w:r>
      <w:proofErr w:type="spellStart"/>
      <w:r w:rsidRPr="00E07388">
        <w:rPr>
          <w:rFonts w:ascii="Verdana" w:hAnsi="Verdana"/>
          <w:i/>
          <w:sz w:val="16"/>
          <w:szCs w:val="16"/>
        </w:rPr>
        <w:t>Constantine</w:t>
      </w:r>
      <w:proofErr w:type="spellEnd"/>
      <w:r w:rsidRPr="00E07388">
        <w:rPr>
          <w:rFonts w:ascii="Verdana" w:hAnsi="Verdana"/>
          <w:i/>
          <w:sz w:val="16"/>
          <w:szCs w:val="16"/>
        </w:rPr>
        <w:t xml:space="preserve"> y </w:t>
      </w:r>
      <w:proofErr w:type="spellStart"/>
      <w:r w:rsidRPr="00E07388">
        <w:rPr>
          <w:rFonts w:ascii="Verdana" w:hAnsi="Verdana"/>
          <w:i/>
          <w:sz w:val="16"/>
          <w:szCs w:val="16"/>
        </w:rPr>
        <w:t>Benjamin</w:t>
      </w:r>
      <w:proofErr w:type="spellEnd"/>
      <w:r w:rsidRPr="00E07388">
        <w:rPr>
          <w:rFonts w:ascii="Verdana" w:hAnsi="Verdana"/>
          <w:i/>
          <w:sz w:val="16"/>
          <w:szCs w:val="16"/>
        </w:rPr>
        <w:t xml:space="preserve"> y otros Vs. Trinidad y Tobago</w:t>
      </w:r>
      <w:r w:rsidRPr="00E07388">
        <w:rPr>
          <w:rFonts w:ascii="Verdana" w:hAnsi="Verdana"/>
          <w:sz w:val="16"/>
          <w:szCs w:val="16"/>
        </w:rPr>
        <w:t xml:space="preserve">. </w:t>
      </w:r>
      <w:r w:rsidRPr="00E07388">
        <w:rPr>
          <w:rFonts w:ascii="Verdana" w:hAnsi="Verdana"/>
          <w:i/>
          <w:sz w:val="16"/>
          <w:szCs w:val="16"/>
        </w:rPr>
        <w:t>Fondo, Reparaciones y Costas</w:t>
      </w:r>
      <w:r w:rsidRPr="00E07388">
        <w:rPr>
          <w:rFonts w:ascii="Verdana" w:hAnsi="Verdana"/>
          <w:sz w:val="16"/>
          <w:szCs w:val="16"/>
        </w:rPr>
        <w:t xml:space="preserve">. Sentencia de 21 de junio de 2002. Serie C No. 94, párr. 145, y </w:t>
      </w:r>
      <w:r w:rsidRPr="00E07388">
        <w:rPr>
          <w:rFonts w:ascii="Verdana" w:hAnsi="Verdana"/>
          <w:i/>
          <w:sz w:val="16"/>
          <w:szCs w:val="16"/>
          <w:lang w:val="es-ES"/>
        </w:rPr>
        <w:t>Caso Jenkins Vs. Argentina</w:t>
      </w:r>
      <w:r w:rsidRPr="00E07388">
        <w:rPr>
          <w:rFonts w:ascii="Verdana" w:hAnsi="Verdana"/>
          <w:sz w:val="16"/>
          <w:szCs w:val="16"/>
          <w:lang w:val="es-ES"/>
        </w:rPr>
        <w:t>, párr. 106.</w:t>
      </w:r>
    </w:p>
    <w:p w14:paraId="105CEF70" w14:textId="1ABF65E4" w:rsidR="005A4119" w:rsidRPr="00E07388" w:rsidRDefault="005A4119" w:rsidP="00414DEF">
      <w:pPr>
        <w:pStyle w:val="Textonotapie"/>
        <w:jc w:val="both"/>
        <w:rPr>
          <w:rFonts w:ascii="Verdana" w:hAnsi="Verdana"/>
          <w:sz w:val="16"/>
          <w:szCs w:val="16"/>
        </w:rPr>
      </w:pPr>
      <w:r w:rsidRPr="00E07388">
        <w:rPr>
          <w:rFonts w:ascii="Verdana" w:hAnsi="Verdana"/>
          <w:sz w:val="16"/>
          <w:szCs w:val="16"/>
        </w:rPr>
        <w:t xml:space="preserve"> </w:t>
      </w:r>
    </w:p>
  </w:footnote>
  <w:footnote w:id="61">
    <w:p w14:paraId="7DDE51A5" w14:textId="72AB4820" w:rsidR="005A4119" w:rsidRPr="00E07388" w:rsidRDefault="005A4119" w:rsidP="00414DEF">
      <w:pPr>
        <w:pStyle w:val="Textonotapie"/>
        <w:jc w:val="both"/>
        <w:rPr>
          <w:rFonts w:ascii="Verdana" w:hAnsi="Verdana"/>
          <w:sz w:val="16"/>
          <w:szCs w:val="16"/>
          <w:lang w:val="es-ES"/>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 xml:space="preserve">Cfr. Caso </w:t>
      </w:r>
      <w:proofErr w:type="spellStart"/>
      <w:r w:rsidRPr="00E07388">
        <w:rPr>
          <w:rFonts w:ascii="Verdana" w:hAnsi="Verdana"/>
          <w:i/>
          <w:sz w:val="16"/>
          <w:szCs w:val="16"/>
        </w:rPr>
        <w:t>Genie</w:t>
      </w:r>
      <w:proofErr w:type="spellEnd"/>
      <w:r w:rsidRPr="00E07388">
        <w:rPr>
          <w:rFonts w:ascii="Verdana" w:hAnsi="Verdana"/>
          <w:i/>
          <w:sz w:val="16"/>
          <w:szCs w:val="16"/>
        </w:rPr>
        <w:t xml:space="preserve"> Lacayo Vs. Nicaragua. Fondo, Reparaciones y Costas.</w:t>
      </w:r>
      <w:r w:rsidRPr="00E07388">
        <w:rPr>
          <w:rFonts w:ascii="Verdana" w:hAnsi="Verdana"/>
          <w:sz w:val="16"/>
          <w:szCs w:val="16"/>
        </w:rPr>
        <w:t xml:space="preserve"> Sentencia del 29 de enero de 1997. Serie C No. 30, párr. 77; </w:t>
      </w:r>
      <w:r w:rsidRPr="00E07388">
        <w:rPr>
          <w:rFonts w:ascii="Verdana" w:hAnsi="Verdana" w:cs="Tahoma"/>
          <w:i/>
          <w:sz w:val="16"/>
          <w:szCs w:val="16"/>
        </w:rPr>
        <w:t>Caso Valle Jaramillo y otros Vs. Colombia. Fondo, Reparaciones y Costas</w:t>
      </w:r>
      <w:r w:rsidRPr="00E07388">
        <w:rPr>
          <w:rFonts w:ascii="Verdana" w:hAnsi="Verdana" w:cs="Tahoma"/>
          <w:sz w:val="16"/>
          <w:szCs w:val="16"/>
        </w:rPr>
        <w:t xml:space="preserve">. Sentencia de 27 de noviembre de 2008.Serie C No. 192, párr. 155, y </w:t>
      </w:r>
      <w:r w:rsidRPr="00E07388">
        <w:rPr>
          <w:rFonts w:ascii="Verdana" w:hAnsi="Verdana"/>
          <w:i/>
          <w:sz w:val="16"/>
          <w:szCs w:val="16"/>
          <w:lang w:val="es-ES"/>
        </w:rPr>
        <w:t>Caso Jenkins Vs. Argentina</w:t>
      </w:r>
      <w:r w:rsidRPr="00E07388">
        <w:rPr>
          <w:rFonts w:ascii="Verdana" w:hAnsi="Verdana"/>
          <w:sz w:val="16"/>
          <w:szCs w:val="16"/>
          <w:lang w:val="es-ES"/>
        </w:rPr>
        <w:t>, párr. 106.</w:t>
      </w:r>
    </w:p>
    <w:p w14:paraId="585A5621" w14:textId="580FBD52" w:rsidR="005A4119" w:rsidRPr="00E07388" w:rsidRDefault="005A4119" w:rsidP="00414DEF">
      <w:pPr>
        <w:pStyle w:val="Textonotapie"/>
        <w:jc w:val="both"/>
        <w:rPr>
          <w:rFonts w:ascii="Verdana" w:hAnsi="Verdana"/>
          <w:sz w:val="16"/>
          <w:szCs w:val="16"/>
        </w:rPr>
      </w:pPr>
    </w:p>
  </w:footnote>
  <w:footnote w:id="62">
    <w:p w14:paraId="1CA723E8" w14:textId="2FFAF986"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Cfr.</w:t>
      </w:r>
      <w:r w:rsidRPr="00E07388">
        <w:rPr>
          <w:rFonts w:ascii="Verdana" w:hAnsi="Verdana"/>
          <w:sz w:val="16"/>
          <w:szCs w:val="16"/>
        </w:rPr>
        <w:t xml:space="preserve"> </w:t>
      </w:r>
      <w:r w:rsidRPr="00E07388">
        <w:rPr>
          <w:rFonts w:ascii="Verdana" w:hAnsi="Verdana"/>
          <w:i/>
          <w:sz w:val="16"/>
          <w:szCs w:val="16"/>
        </w:rPr>
        <w:t>Caso Velásquez Rodríguez Vs. Honduras. Reparaciones y Costas.</w:t>
      </w:r>
      <w:r w:rsidRPr="00E07388">
        <w:rPr>
          <w:rFonts w:ascii="Verdana" w:hAnsi="Verdana"/>
          <w:sz w:val="16"/>
          <w:szCs w:val="16"/>
        </w:rPr>
        <w:t xml:space="preserve"> Sentencia de 21 de julio de 1989. Serie C No. 7, párr. 25, y </w:t>
      </w:r>
      <w:r w:rsidRPr="00E07388">
        <w:rPr>
          <w:rFonts w:ascii="Verdana" w:hAnsi="Verdana"/>
          <w:i/>
          <w:sz w:val="16"/>
          <w:szCs w:val="16"/>
        </w:rPr>
        <w:t>Caso Jenkins Vs. Argentina</w:t>
      </w:r>
      <w:r w:rsidRPr="00E07388">
        <w:rPr>
          <w:rFonts w:ascii="Verdana" w:hAnsi="Verdana"/>
          <w:sz w:val="16"/>
          <w:szCs w:val="16"/>
        </w:rPr>
        <w:t>, párr. 122.</w:t>
      </w:r>
    </w:p>
    <w:p w14:paraId="7F82D0BD" w14:textId="77777777" w:rsidR="005A4119" w:rsidRPr="00E07388" w:rsidRDefault="005A4119" w:rsidP="00414DEF">
      <w:pPr>
        <w:pStyle w:val="Textonotapie"/>
        <w:jc w:val="both"/>
        <w:rPr>
          <w:rFonts w:ascii="Verdana" w:hAnsi="Verdana"/>
          <w:sz w:val="16"/>
          <w:szCs w:val="16"/>
        </w:rPr>
      </w:pPr>
    </w:p>
  </w:footnote>
  <w:footnote w:id="63">
    <w:p w14:paraId="53192EAE" w14:textId="01A4FDA2"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Cfr</w:t>
      </w:r>
      <w:r w:rsidRPr="00E07388">
        <w:rPr>
          <w:rFonts w:ascii="Verdana" w:hAnsi="Verdana"/>
          <w:sz w:val="16"/>
          <w:szCs w:val="16"/>
        </w:rPr>
        <w:t xml:space="preserve">. </w:t>
      </w:r>
      <w:r w:rsidRPr="00E07388">
        <w:rPr>
          <w:rFonts w:ascii="Verdana" w:hAnsi="Verdana"/>
          <w:i/>
          <w:sz w:val="16"/>
          <w:szCs w:val="16"/>
        </w:rPr>
        <w:t>Caso Velásquez Rodríguez Vs. Honduras. Reparaciones y Costas</w:t>
      </w:r>
      <w:r w:rsidRPr="00E07388">
        <w:rPr>
          <w:rFonts w:ascii="Verdana" w:hAnsi="Verdana"/>
          <w:sz w:val="16"/>
          <w:szCs w:val="16"/>
        </w:rPr>
        <w:t xml:space="preserve">, párr. 26, y </w:t>
      </w:r>
      <w:r w:rsidRPr="00E07388">
        <w:rPr>
          <w:rFonts w:ascii="Verdana" w:hAnsi="Verdana"/>
          <w:i/>
          <w:sz w:val="16"/>
          <w:szCs w:val="16"/>
        </w:rPr>
        <w:t>Caso Jenkins Vs. Argentina</w:t>
      </w:r>
      <w:r w:rsidRPr="00E07388">
        <w:rPr>
          <w:rFonts w:ascii="Verdana" w:hAnsi="Verdana"/>
          <w:sz w:val="16"/>
          <w:szCs w:val="16"/>
        </w:rPr>
        <w:t>, párr. 123.</w:t>
      </w:r>
    </w:p>
    <w:p w14:paraId="4673C2A6" w14:textId="77777777" w:rsidR="005A4119" w:rsidRPr="00E07388" w:rsidRDefault="005A4119" w:rsidP="00414DEF">
      <w:pPr>
        <w:pStyle w:val="Textonotapie"/>
        <w:jc w:val="both"/>
        <w:rPr>
          <w:rFonts w:ascii="Verdana" w:hAnsi="Verdana"/>
          <w:sz w:val="16"/>
          <w:szCs w:val="16"/>
        </w:rPr>
      </w:pPr>
    </w:p>
  </w:footnote>
  <w:footnote w:id="64">
    <w:p w14:paraId="0820BA48" w14:textId="13F7D1E4"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Cfr</w:t>
      </w:r>
      <w:r w:rsidRPr="00E07388">
        <w:rPr>
          <w:rFonts w:ascii="Verdana" w:hAnsi="Verdana"/>
          <w:sz w:val="16"/>
          <w:szCs w:val="16"/>
        </w:rPr>
        <w:t xml:space="preserve">. </w:t>
      </w:r>
      <w:r w:rsidRPr="00E07388">
        <w:rPr>
          <w:rFonts w:ascii="Verdana" w:hAnsi="Verdana"/>
          <w:i/>
          <w:sz w:val="16"/>
          <w:szCs w:val="16"/>
        </w:rPr>
        <w:t xml:space="preserve">Caso </w:t>
      </w:r>
      <w:proofErr w:type="spellStart"/>
      <w:r w:rsidRPr="00E07388">
        <w:rPr>
          <w:rFonts w:ascii="Verdana" w:hAnsi="Verdana"/>
          <w:i/>
          <w:sz w:val="16"/>
          <w:szCs w:val="16"/>
        </w:rPr>
        <w:t>Ticona</w:t>
      </w:r>
      <w:proofErr w:type="spellEnd"/>
      <w:r w:rsidRPr="00E07388">
        <w:rPr>
          <w:rFonts w:ascii="Verdana" w:hAnsi="Verdana"/>
          <w:i/>
          <w:sz w:val="16"/>
          <w:szCs w:val="16"/>
        </w:rPr>
        <w:t xml:space="preserve"> Estrada y otros Vs. Bolivia. Fondo, Reparaciones y Costas</w:t>
      </w:r>
      <w:r w:rsidRPr="00E07388">
        <w:rPr>
          <w:rFonts w:ascii="Verdana" w:hAnsi="Verdana"/>
          <w:sz w:val="16"/>
          <w:szCs w:val="16"/>
        </w:rPr>
        <w:t xml:space="preserve">. Sentencia de 27 de noviembre de 2008. Serie C No. 191, párr. 110, y </w:t>
      </w:r>
      <w:r w:rsidRPr="00E07388">
        <w:rPr>
          <w:rFonts w:ascii="Verdana" w:hAnsi="Verdana"/>
          <w:i/>
          <w:sz w:val="16"/>
          <w:szCs w:val="16"/>
        </w:rPr>
        <w:t>Caso Jenkins Vs. Argentina</w:t>
      </w:r>
      <w:r w:rsidRPr="00E07388">
        <w:rPr>
          <w:rFonts w:ascii="Verdana" w:hAnsi="Verdana"/>
          <w:sz w:val="16"/>
          <w:szCs w:val="16"/>
        </w:rPr>
        <w:t>, párr. 124.</w:t>
      </w:r>
    </w:p>
    <w:p w14:paraId="170A3AE9" w14:textId="77777777" w:rsidR="005A4119" w:rsidRPr="00E07388" w:rsidRDefault="005A4119" w:rsidP="00414DEF">
      <w:pPr>
        <w:pStyle w:val="Textonotapie"/>
        <w:jc w:val="both"/>
        <w:rPr>
          <w:rFonts w:ascii="Verdana" w:hAnsi="Verdana"/>
          <w:sz w:val="16"/>
          <w:szCs w:val="16"/>
        </w:rPr>
      </w:pPr>
    </w:p>
  </w:footnote>
  <w:footnote w:id="65">
    <w:p w14:paraId="6A97134D" w14:textId="253BD80B"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Cfr</w:t>
      </w:r>
      <w:r w:rsidRPr="00E07388">
        <w:rPr>
          <w:rFonts w:ascii="Verdana" w:hAnsi="Verdana"/>
          <w:sz w:val="16"/>
          <w:szCs w:val="16"/>
        </w:rPr>
        <w:t xml:space="preserve">. </w:t>
      </w:r>
      <w:r w:rsidRPr="00E07388">
        <w:rPr>
          <w:rFonts w:ascii="Verdana" w:hAnsi="Verdana"/>
          <w:i/>
          <w:sz w:val="16"/>
          <w:szCs w:val="16"/>
        </w:rPr>
        <w:t>Caso Velásquez Rodríguez Vs. Honduras. Reparaciones y Costas</w:t>
      </w:r>
      <w:r w:rsidRPr="00E07388">
        <w:rPr>
          <w:rFonts w:ascii="Verdana" w:hAnsi="Verdana"/>
          <w:sz w:val="16"/>
          <w:szCs w:val="16"/>
        </w:rPr>
        <w:t xml:space="preserve">, </w:t>
      </w:r>
      <w:proofErr w:type="spellStart"/>
      <w:r w:rsidRPr="00E07388">
        <w:rPr>
          <w:rFonts w:ascii="Verdana" w:hAnsi="Verdana"/>
          <w:sz w:val="16"/>
          <w:szCs w:val="16"/>
        </w:rPr>
        <w:t>párrs</w:t>
      </w:r>
      <w:proofErr w:type="spellEnd"/>
      <w:r w:rsidRPr="00E07388">
        <w:rPr>
          <w:rFonts w:ascii="Verdana" w:hAnsi="Verdana"/>
          <w:sz w:val="16"/>
          <w:szCs w:val="16"/>
        </w:rPr>
        <w:t>. 25 a 27,</w:t>
      </w:r>
      <w:r w:rsidRPr="00E07388">
        <w:rPr>
          <w:rFonts w:ascii="Verdana" w:hAnsi="Verdana"/>
          <w:i/>
          <w:sz w:val="16"/>
          <w:szCs w:val="16"/>
        </w:rPr>
        <w:t xml:space="preserve"> </w:t>
      </w:r>
      <w:r w:rsidRPr="00E07388">
        <w:rPr>
          <w:rFonts w:ascii="Verdana" w:hAnsi="Verdana"/>
          <w:sz w:val="16"/>
          <w:szCs w:val="16"/>
        </w:rPr>
        <w:t xml:space="preserve">y </w:t>
      </w:r>
      <w:r w:rsidRPr="00E07388">
        <w:rPr>
          <w:rFonts w:ascii="Verdana" w:hAnsi="Verdana"/>
          <w:i/>
          <w:sz w:val="16"/>
          <w:szCs w:val="16"/>
        </w:rPr>
        <w:t>Caso Jenkins Vs. Argentina</w:t>
      </w:r>
      <w:r w:rsidRPr="00E07388">
        <w:rPr>
          <w:rFonts w:ascii="Verdana" w:hAnsi="Verdana"/>
          <w:sz w:val="16"/>
          <w:szCs w:val="16"/>
        </w:rPr>
        <w:t>, párr. 125.</w:t>
      </w:r>
    </w:p>
    <w:p w14:paraId="24C19204" w14:textId="77777777" w:rsidR="005A4119" w:rsidRPr="00E07388" w:rsidRDefault="005A4119" w:rsidP="00414DEF">
      <w:pPr>
        <w:pStyle w:val="Textonotapie"/>
        <w:jc w:val="both"/>
        <w:rPr>
          <w:rFonts w:ascii="Verdana" w:hAnsi="Verdana"/>
          <w:sz w:val="16"/>
          <w:szCs w:val="16"/>
        </w:rPr>
      </w:pPr>
    </w:p>
  </w:footnote>
  <w:footnote w:id="66">
    <w:p w14:paraId="40CC6530" w14:textId="7338838F"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t>Inclusive en ausencia de solicitud expresa, como ocurrió en este caso (</w:t>
      </w:r>
      <w:r w:rsidRPr="00E07388">
        <w:rPr>
          <w:rFonts w:ascii="Verdana" w:hAnsi="Verdana"/>
          <w:i/>
          <w:sz w:val="16"/>
          <w:szCs w:val="16"/>
        </w:rPr>
        <w:t>cfr.</w:t>
      </w:r>
      <w:r w:rsidRPr="00E07388">
        <w:rPr>
          <w:rFonts w:ascii="Verdana" w:hAnsi="Verdana"/>
          <w:sz w:val="16"/>
          <w:szCs w:val="16"/>
        </w:rPr>
        <w:t xml:space="preserve"> </w:t>
      </w:r>
      <w:r w:rsidRPr="00E07388">
        <w:rPr>
          <w:rFonts w:ascii="Verdana" w:hAnsi="Verdana"/>
          <w:i/>
          <w:sz w:val="16"/>
          <w:szCs w:val="16"/>
        </w:rPr>
        <w:t>Caso Cantoral Benavides Vs. Perú</w:t>
      </w:r>
      <w:r w:rsidRPr="00E07388">
        <w:rPr>
          <w:rFonts w:ascii="Verdana" w:hAnsi="Verdana"/>
          <w:sz w:val="16"/>
          <w:szCs w:val="16"/>
        </w:rPr>
        <w:t xml:space="preserve">, </w:t>
      </w:r>
      <w:r w:rsidRPr="00E07388">
        <w:rPr>
          <w:rFonts w:ascii="Verdana" w:hAnsi="Verdana"/>
          <w:i/>
          <w:sz w:val="16"/>
          <w:szCs w:val="16"/>
        </w:rPr>
        <w:t>Reparaciones y Costas.</w:t>
      </w:r>
      <w:r w:rsidRPr="00E07388">
        <w:rPr>
          <w:rFonts w:ascii="Verdana" w:hAnsi="Verdana"/>
          <w:sz w:val="16"/>
          <w:szCs w:val="16"/>
        </w:rPr>
        <w:t xml:space="preserve"> Sentencia de 3 de diciembre de 2001. Serie C No 88, párr. 79, y </w:t>
      </w:r>
      <w:r w:rsidRPr="00E07388">
        <w:rPr>
          <w:rFonts w:ascii="Verdana" w:hAnsi="Verdana"/>
          <w:i/>
          <w:sz w:val="16"/>
          <w:szCs w:val="16"/>
        </w:rPr>
        <w:t xml:space="preserve">Caso Hernández Vs. Argentina. Excepción Preliminar, Fondo, Reparaciones y Costas. </w:t>
      </w:r>
      <w:r w:rsidRPr="00E07388">
        <w:rPr>
          <w:rFonts w:ascii="Verdana" w:hAnsi="Verdana"/>
          <w:sz w:val="16"/>
          <w:szCs w:val="16"/>
        </w:rPr>
        <w:t xml:space="preserve">Sentencia de 22 de noviembre de 2019. Serie C No. 395, nota a pie de página 232). </w:t>
      </w:r>
    </w:p>
    <w:p w14:paraId="20691D4D" w14:textId="77777777" w:rsidR="005A4119" w:rsidRPr="00E07388" w:rsidRDefault="005A4119" w:rsidP="00414DEF">
      <w:pPr>
        <w:pStyle w:val="Textonotapie"/>
        <w:jc w:val="both"/>
        <w:rPr>
          <w:rFonts w:ascii="Verdana" w:hAnsi="Verdana"/>
          <w:sz w:val="16"/>
          <w:szCs w:val="16"/>
        </w:rPr>
      </w:pPr>
    </w:p>
  </w:footnote>
  <w:footnote w:id="67">
    <w:p w14:paraId="7C52B1B5" w14:textId="103E982D"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Cfr</w:t>
      </w:r>
      <w:r w:rsidRPr="00E07388">
        <w:rPr>
          <w:rFonts w:ascii="Verdana" w:hAnsi="Verdana"/>
          <w:sz w:val="16"/>
          <w:szCs w:val="16"/>
        </w:rPr>
        <w:t xml:space="preserve">. </w:t>
      </w:r>
      <w:r w:rsidRPr="00E07388">
        <w:rPr>
          <w:rFonts w:ascii="Verdana" w:hAnsi="Verdana"/>
          <w:i/>
          <w:sz w:val="16"/>
          <w:szCs w:val="16"/>
        </w:rPr>
        <w:t xml:space="preserve">Caso </w:t>
      </w:r>
      <w:proofErr w:type="spellStart"/>
      <w:r w:rsidRPr="00E07388">
        <w:rPr>
          <w:rFonts w:ascii="Verdana" w:hAnsi="Verdana"/>
          <w:i/>
          <w:sz w:val="16"/>
          <w:szCs w:val="16"/>
        </w:rPr>
        <w:t>Bámaca</w:t>
      </w:r>
      <w:proofErr w:type="spellEnd"/>
      <w:r w:rsidRPr="00E07388">
        <w:rPr>
          <w:rFonts w:ascii="Verdana" w:hAnsi="Verdana"/>
          <w:i/>
          <w:sz w:val="16"/>
          <w:szCs w:val="16"/>
        </w:rPr>
        <w:t xml:space="preserve"> Velásquez Vs. Guatemala. Reparaciones y Costas</w:t>
      </w:r>
      <w:r w:rsidRPr="00E07388">
        <w:rPr>
          <w:rFonts w:ascii="Verdana" w:hAnsi="Verdana"/>
          <w:sz w:val="16"/>
          <w:szCs w:val="16"/>
        </w:rPr>
        <w:t>. Sentencia de 22 de febrero de 2002. Serie C No. 91, párr. 43</w:t>
      </w:r>
      <w:r>
        <w:rPr>
          <w:rFonts w:ascii="Verdana" w:hAnsi="Verdana"/>
          <w:sz w:val="16"/>
          <w:szCs w:val="16"/>
        </w:rPr>
        <w:t>,</w:t>
      </w:r>
      <w:r w:rsidRPr="00E07388">
        <w:rPr>
          <w:rFonts w:ascii="Verdana" w:hAnsi="Verdana"/>
          <w:sz w:val="16"/>
          <w:szCs w:val="16"/>
        </w:rPr>
        <w:t xml:space="preserve"> y </w:t>
      </w:r>
      <w:r w:rsidRPr="00E07388">
        <w:rPr>
          <w:rFonts w:ascii="Verdana" w:hAnsi="Verdana"/>
          <w:i/>
          <w:sz w:val="16"/>
          <w:szCs w:val="16"/>
        </w:rPr>
        <w:t>Caso Jenkins Vs. Argentina</w:t>
      </w:r>
      <w:r w:rsidRPr="00E07388">
        <w:rPr>
          <w:rFonts w:ascii="Verdana" w:hAnsi="Verdana"/>
          <w:sz w:val="16"/>
          <w:szCs w:val="16"/>
        </w:rPr>
        <w:t>, párr. 145.</w:t>
      </w:r>
    </w:p>
    <w:p w14:paraId="4B42A9BC" w14:textId="77777777" w:rsidR="005A4119" w:rsidRPr="00E07388" w:rsidRDefault="005A4119" w:rsidP="00414DEF">
      <w:pPr>
        <w:pStyle w:val="Textonotapie"/>
        <w:jc w:val="both"/>
        <w:rPr>
          <w:rFonts w:ascii="Verdana" w:hAnsi="Verdana"/>
          <w:sz w:val="16"/>
          <w:szCs w:val="16"/>
        </w:rPr>
      </w:pPr>
    </w:p>
  </w:footnote>
  <w:footnote w:id="68">
    <w:p w14:paraId="0B7873B4" w14:textId="26D41488"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Cfr. Caso de los “Niños de la Calle” (Villagrán Morales y otros) Vs. Guatemala. Reparaciones y Costas</w:t>
      </w:r>
      <w:r w:rsidRPr="00E07388">
        <w:rPr>
          <w:rFonts w:ascii="Verdana" w:hAnsi="Verdana"/>
          <w:sz w:val="16"/>
          <w:szCs w:val="16"/>
        </w:rPr>
        <w:t xml:space="preserve">. Sentencia de 26 de mayo de 2001. Serie C No. 77, párr. 84, y </w:t>
      </w:r>
      <w:r w:rsidRPr="00E07388">
        <w:rPr>
          <w:rFonts w:ascii="Verdana" w:hAnsi="Verdana"/>
          <w:i/>
          <w:sz w:val="16"/>
          <w:szCs w:val="16"/>
        </w:rPr>
        <w:t>Caso Jenkins Vs. Argentina</w:t>
      </w:r>
      <w:r w:rsidRPr="00E07388">
        <w:rPr>
          <w:rFonts w:ascii="Verdana" w:hAnsi="Verdana"/>
          <w:sz w:val="16"/>
          <w:szCs w:val="16"/>
        </w:rPr>
        <w:t>, párr. 158.</w:t>
      </w:r>
    </w:p>
    <w:p w14:paraId="31246698" w14:textId="77777777" w:rsidR="005A4119" w:rsidRPr="00E07388" w:rsidRDefault="005A4119" w:rsidP="00414DEF">
      <w:pPr>
        <w:pStyle w:val="Textonotapie"/>
        <w:jc w:val="both"/>
        <w:rPr>
          <w:rFonts w:ascii="Verdana" w:hAnsi="Verdana"/>
          <w:sz w:val="16"/>
          <w:szCs w:val="16"/>
        </w:rPr>
      </w:pPr>
    </w:p>
  </w:footnote>
  <w:footnote w:id="69">
    <w:p w14:paraId="26FB791D" w14:textId="23973E07" w:rsidR="005A4119" w:rsidRPr="00E07388"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Cfr</w:t>
      </w:r>
      <w:r w:rsidRPr="00E07388">
        <w:rPr>
          <w:rFonts w:ascii="Verdana" w:hAnsi="Verdana"/>
          <w:sz w:val="16"/>
          <w:szCs w:val="16"/>
        </w:rPr>
        <w:t xml:space="preserve">. </w:t>
      </w:r>
      <w:r w:rsidRPr="00E07388">
        <w:rPr>
          <w:rFonts w:ascii="Verdana" w:hAnsi="Verdana"/>
          <w:i/>
          <w:sz w:val="16"/>
          <w:szCs w:val="16"/>
        </w:rPr>
        <w:t xml:space="preserve">Caso Garrido y </w:t>
      </w:r>
      <w:proofErr w:type="spellStart"/>
      <w:r w:rsidRPr="00E07388">
        <w:rPr>
          <w:rFonts w:ascii="Verdana" w:hAnsi="Verdana"/>
          <w:i/>
          <w:sz w:val="16"/>
          <w:szCs w:val="16"/>
        </w:rPr>
        <w:t>Baigorria</w:t>
      </w:r>
      <w:proofErr w:type="spellEnd"/>
      <w:r w:rsidRPr="00E07388">
        <w:rPr>
          <w:rFonts w:ascii="Verdana" w:hAnsi="Verdana"/>
          <w:i/>
          <w:sz w:val="16"/>
          <w:szCs w:val="16"/>
        </w:rPr>
        <w:t xml:space="preserve"> Vs. Argentina. Reparaciones y Costas.</w:t>
      </w:r>
      <w:r w:rsidRPr="00E07388">
        <w:rPr>
          <w:rFonts w:ascii="Verdana" w:hAnsi="Verdana"/>
          <w:sz w:val="16"/>
          <w:szCs w:val="16"/>
        </w:rPr>
        <w:t xml:space="preserve"> Sentencia de 27 de agosto de 1998. Serie C No. 39, párr. 79</w:t>
      </w:r>
      <w:r>
        <w:rPr>
          <w:rFonts w:ascii="Verdana" w:hAnsi="Verdana"/>
          <w:sz w:val="16"/>
          <w:szCs w:val="16"/>
        </w:rPr>
        <w:t>,</w:t>
      </w:r>
      <w:r w:rsidRPr="00E07388">
        <w:rPr>
          <w:rFonts w:ascii="Verdana" w:hAnsi="Verdana"/>
          <w:sz w:val="16"/>
          <w:szCs w:val="16"/>
        </w:rPr>
        <w:t xml:space="preserve"> y </w:t>
      </w:r>
      <w:r w:rsidRPr="00E07388">
        <w:rPr>
          <w:rFonts w:ascii="Verdana" w:hAnsi="Verdana"/>
          <w:i/>
          <w:sz w:val="16"/>
          <w:szCs w:val="16"/>
        </w:rPr>
        <w:t>Caso Jenkins Vs. Argentina</w:t>
      </w:r>
      <w:r w:rsidRPr="00E07388">
        <w:rPr>
          <w:rFonts w:ascii="Verdana" w:hAnsi="Verdana"/>
          <w:sz w:val="16"/>
          <w:szCs w:val="16"/>
        </w:rPr>
        <w:t>, párr. 164.</w:t>
      </w:r>
    </w:p>
    <w:p w14:paraId="1BBB4F0D" w14:textId="77777777" w:rsidR="005A4119" w:rsidRPr="00E07388" w:rsidRDefault="005A4119" w:rsidP="00414DEF">
      <w:pPr>
        <w:pStyle w:val="Textonotapie"/>
        <w:jc w:val="both"/>
        <w:rPr>
          <w:rFonts w:ascii="Verdana" w:hAnsi="Verdana"/>
          <w:sz w:val="16"/>
          <w:szCs w:val="16"/>
        </w:rPr>
      </w:pPr>
    </w:p>
  </w:footnote>
  <w:footnote w:id="70">
    <w:p w14:paraId="18621445" w14:textId="66FCABC4" w:rsidR="005A4119" w:rsidRPr="00765DA6" w:rsidRDefault="005A4119" w:rsidP="00414DEF">
      <w:pPr>
        <w:pStyle w:val="Textonotapie"/>
        <w:jc w:val="both"/>
        <w:rPr>
          <w:rFonts w:ascii="Verdana" w:hAnsi="Verdana"/>
          <w:sz w:val="16"/>
          <w:szCs w:val="16"/>
        </w:rPr>
      </w:pPr>
      <w:r w:rsidRPr="00E07388">
        <w:rPr>
          <w:rStyle w:val="Refdenotaalpie"/>
          <w:rFonts w:ascii="Verdana" w:hAnsi="Verdana"/>
          <w:sz w:val="16"/>
          <w:szCs w:val="16"/>
        </w:rPr>
        <w:footnoteRef/>
      </w:r>
      <w:r w:rsidRPr="00E07388">
        <w:rPr>
          <w:rFonts w:ascii="Verdana" w:hAnsi="Verdana"/>
          <w:sz w:val="16"/>
          <w:szCs w:val="16"/>
        </w:rPr>
        <w:t xml:space="preserve"> </w:t>
      </w:r>
      <w:r w:rsidRPr="00E07388">
        <w:rPr>
          <w:rFonts w:ascii="Verdana" w:hAnsi="Verdana"/>
          <w:sz w:val="16"/>
          <w:szCs w:val="16"/>
        </w:rPr>
        <w:tab/>
      </w:r>
      <w:r w:rsidRPr="00E07388">
        <w:rPr>
          <w:rFonts w:ascii="Verdana" w:hAnsi="Verdana"/>
          <w:i/>
          <w:sz w:val="16"/>
          <w:szCs w:val="16"/>
        </w:rPr>
        <w:t>Cfr. Caso</w:t>
      </w:r>
      <w:r w:rsidRPr="00E07388">
        <w:rPr>
          <w:rFonts w:ascii="Verdana" w:hAnsi="Verdana"/>
          <w:sz w:val="16"/>
          <w:szCs w:val="16"/>
        </w:rPr>
        <w:t xml:space="preserve"> </w:t>
      </w:r>
      <w:proofErr w:type="spellStart"/>
      <w:r w:rsidRPr="00E07388">
        <w:rPr>
          <w:rFonts w:ascii="Verdana" w:hAnsi="Verdana"/>
          <w:i/>
          <w:sz w:val="16"/>
          <w:szCs w:val="16"/>
        </w:rPr>
        <w:t>Gudiel</w:t>
      </w:r>
      <w:proofErr w:type="spellEnd"/>
      <w:r w:rsidRPr="00E07388">
        <w:rPr>
          <w:rFonts w:ascii="Verdana" w:hAnsi="Verdana"/>
          <w:i/>
          <w:sz w:val="16"/>
          <w:szCs w:val="16"/>
        </w:rPr>
        <w:t xml:space="preserve"> Álvarez y otros (Diario Militar) Vs. Guatemala. Interpretación de la Sentencia de Fondo, Reparaciones y Costas.</w:t>
      </w:r>
      <w:r w:rsidRPr="00E07388">
        <w:rPr>
          <w:rFonts w:ascii="Verdana" w:hAnsi="Verdana"/>
          <w:sz w:val="16"/>
          <w:szCs w:val="16"/>
        </w:rPr>
        <w:t xml:space="preserve"> Sentencia de 19 de agosto de 2013. Serie C No. 262, párr. 62</w:t>
      </w:r>
      <w:r>
        <w:rPr>
          <w:rFonts w:ascii="Verdana" w:hAnsi="Verdana"/>
          <w:sz w:val="16"/>
          <w:szCs w:val="16"/>
        </w:rPr>
        <w:t>,</w:t>
      </w:r>
      <w:r w:rsidRPr="00E07388">
        <w:rPr>
          <w:rFonts w:ascii="Verdana" w:hAnsi="Verdana"/>
          <w:sz w:val="16"/>
          <w:szCs w:val="16"/>
        </w:rPr>
        <w:t xml:space="preserve"> y </w:t>
      </w:r>
      <w:r w:rsidRPr="00E07388">
        <w:rPr>
          <w:rFonts w:ascii="Verdana" w:hAnsi="Verdana"/>
          <w:i/>
          <w:sz w:val="16"/>
          <w:szCs w:val="16"/>
        </w:rPr>
        <w:t>Caso Jenkins Vs. Argentina</w:t>
      </w:r>
      <w:r w:rsidRPr="00E07388">
        <w:rPr>
          <w:rFonts w:ascii="Verdana" w:hAnsi="Verdana"/>
          <w:sz w:val="16"/>
          <w:szCs w:val="16"/>
        </w:rPr>
        <w:t>, párr. 165.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D4C5A4" w14:textId="77777777" w:rsidR="005A4119" w:rsidRDefault="005A4119">
    <w:pPr>
      <w:spacing w:after="0" w:line="200" w:lineRule="exact"/>
      <w:rPr>
        <w:sz w:val="20"/>
        <w:szCs w:val="20"/>
      </w:rPr>
    </w:pPr>
    <w:r>
      <w:rPr>
        <w:noProof/>
        <w:lang w:val="es-AR" w:eastAsia="es-AR"/>
      </w:rPr>
      <mc:AlternateContent>
        <mc:Choice Requires="wps">
          <w:drawing>
            <wp:anchor distT="0" distB="0" distL="114300" distR="114300" simplePos="0" relativeHeight="251659264" behindDoc="1" locked="0" layoutInCell="1" allowOverlap="1" wp14:anchorId="7C34CD59" wp14:editId="10B6CAF8">
              <wp:simplePos x="0" y="0"/>
              <wp:positionH relativeFrom="page">
                <wp:posOffset>3799205</wp:posOffset>
              </wp:positionH>
              <wp:positionV relativeFrom="page">
                <wp:posOffset>467995</wp:posOffset>
              </wp:positionV>
              <wp:extent cx="212090" cy="151765"/>
              <wp:effectExtent l="0" t="1270" r="0" b="0"/>
              <wp:wrapNone/>
              <wp:docPr id="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F2206" w14:textId="6447DAC2" w:rsidR="005A4119" w:rsidRDefault="005A4119">
                          <w:pPr>
                            <w:spacing w:after="0" w:line="227" w:lineRule="exact"/>
                            <w:ind w:left="40" w:right="-20"/>
                            <w:rPr>
                              <w:rFonts w:ascii="Verdana" w:eastAsia="Verdana" w:hAnsi="Verdana" w:cs="Verdana"/>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34CD59" id="_x0000_t202" coordsize="21600,21600" o:spt="202" path="m,l,21600r21600,l21600,xe">
              <v:stroke joinstyle="miter"/>
              <v:path gradientshapeok="t" o:connecttype="rect"/>
            </v:shapetype>
            <v:shape id="Text Box 47" o:spid="_x0000_s1026" type="#_x0000_t202" style="position:absolute;margin-left:299.15pt;margin-top:36.85pt;width:16.7pt;height:11.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" filled="f" stroked="f">
              <v:textbox inset="0,0,0,0">
                <w:txbxContent>
                  <w:p w14:paraId="485F2206" w14:textId="6447DAC2" w:rsidR="005A4119" w:rsidRDefault="005A4119">
                    <w:pPr>
                      <w:spacing w:after="0" w:line="227" w:lineRule="exact"/>
                      <w:ind w:left="40" w:right="-20"/>
                      <w:rPr>
                        <w:rFonts w:ascii="Verdana" w:eastAsia="Verdana" w:hAnsi="Verdana" w:cs="Verdana"/>
                        <w:sz w:val="20"/>
                        <w:szCs w:val="20"/>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933F6"/>
    <w:multiLevelType w:val="hybridMultilevel"/>
    <w:tmpl w:val="3EE2BEA4"/>
    <w:lvl w:ilvl="0" w:tplc="D6808E7E">
      <w:start w:val="13"/>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094E3648"/>
    <w:multiLevelType w:val="hybridMultilevel"/>
    <w:tmpl w:val="C2B2E1CC"/>
    <w:lvl w:ilvl="0" w:tplc="A3BE345A">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9610A8A"/>
    <w:multiLevelType w:val="hybridMultilevel"/>
    <w:tmpl w:val="809C8430"/>
    <w:lvl w:ilvl="0" w:tplc="BA74704E">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0FC5276E"/>
    <w:multiLevelType w:val="hybridMultilevel"/>
    <w:tmpl w:val="8AE87F3A"/>
    <w:lvl w:ilvl="0" w:tplc="B916F2A0">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106364A0"/>
    <w:multiLevelType w:val="hybridMultilevel"/>
    <w:tmpl w:val="DB4A5C66"/>
    <w:lvl w:ilvl="0" w:tplc="49326DFE">
      <w:start w:val="1"/>
      <w:numFmt w:val="upperLetter"/>
      <w:lvlText w:val="%1."/>
      <w:lvlJc w:val="left"/>
      <w:pPr>
        <w:ind w:left="-348" w:hanging="360"/>
      </w:pPr>
      <w:rPr>
        <w:rFonts w:hint="default"/>
        <w:b/>
      </w:rPr>
    </w:lvl>
    <w:lvl w:ilvl="1" w:tplc="140A0019">
      <w:start w:val="1"/>
      <w:numFmt w:val="lowerLetter"/>
      <w:lvlText w:val="%2."/>
      <w:lvlJc w:val="left"/>
      <w:pPr>
        <w:ind w:left="372" w:hanging="360"/>
      </w:pPr>
    </w:lvl>
    <w:lvl w:ilvl="2" w:tplc="140A001B" w:tentative="1">
      <w:start w:val="1"/>
      <w:numFmt w:val="lowerRoman"/>
      <w:lvlText w:val="%3."/>
      <w:lvlJc w:val="right"/>
      <w:pPr>
        <w:ind w:left="1092" w:hanging="180"/>
      </w:pPr>
    </w:lvl>
    <w:lvl w:ilvl="3" w:tplc="140A000F" w:tentative="1">
      <w:start w:val="1"/>
      <w:numFmt w:val="decimal"/>
      <w:lvlText w:val="%4."/>
      <w:lvlJc w:val="left"/>
      <w:pPr>
        <w:ind w:left="1812" w:hanging="360"/>
      </w:pPr>
    </w:lvl>
    <w:lvl w:ilvl="4" w:tplc="140A0019" w:tentative="1">
      <w:start w:val="1"/>
      <w:numFmt w:val="lowerLetter"/>
      <w:lvlText w:val="%5."/>
      <w:lvlJc w:val="left"/>
      <w:pPr>
        <w:ind w:left="2532" w:hanging="360"/>
      </w:pPr>
    </w:lvl>
    <w:lvl w:ilvl="5" w:tplc="140A001B" w:tentative="1">
      <w:start w:val="1"/>
      <w:numFmt w:val="lowerRoman"/>
      <w:lvlText w:val="%6."/>
      <w:lvlJc w:val="right"/>
      <w:pPr>
        <w:ind w:left="3252" w:hanging="180"/>
      </w:pPr>
    </w:lvl>
    <w:lvl w:ilvl="6" w:tplc="140A000F" w:tentative="1">
      <w:start w:val="1"/>
      <w:numFmt w:val="decimal"/>
      <w:lvlText w:val="%7."/>
      <w:lvlJc w:val="left"/>
      <w:pPr>
        <w:ind w:left="3972" w:hanging="360"/>
      </w:pPr>
    </w:lvl>
    <w:lvl w:ilvl="7" w:tplc="140A0019" w:tentative="1">
      <w:start w:val="1"/>
      <w:numFmt w:val="lowerLetter"/>
      <w:lvlText w:val="%8."/>
      <w:lvlJc w:val="left"/>
      <w:pPr>
        <w:ind w:left="4692" w:hanging="360"/>
      </w:pPr>
    </w:lvl>
    <w:lvl w:ilvl="8" w:tplc="140A001B" w:tentative="1">
      <w:start w:val="1"/>
      <w:numFmt w:val="lowerRoman"/>
      <w:lvlText w:val="%9."/>
      <w:lvlJc w:val="right"/>
      <w:pPr>
        <w:ind w:left="5412" w:hanging="180"/>
      </w:pPr>
    </w:lvl>
  </w:abstractNum>
  <w:abstractNum w:abstractNumId="5">
    <w:nsid w:val="10F70402"/>
    <w:multiLevelType w:val="hybridMultilevel"/>
    <w:tmpl w:val="470E6C14"/>
    <w:lvl w:ilvl="0" w:tplc="D5B07B3A">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14485019"/>
    <w:multiLevelType w:val="hybridMultilevel"/>
    <w:tmpl w:val="B1D013B2"/>
    <w:lvl w:ilvl="0" w:tplc="274E3F52">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1AEC009F"/>
    <w:multiLevelType w:val="hybridMultilevel"/>
    <w:tmpl w:val="154AFEEA"/>
    <w:lvl w:ilvl="0" w:tplc="468AA07A">
      <w:start w:val="1"/>
      <w:numFmt w:val="decimal"/>
      <w:lvlText w:val="%1."/>
      <w:lvlJc w:val="left"/>
      <w:pPr>
        <w:ind w:left="720" w:hanging="360"/>
      </w:pPr>
      <w:rPr>
        <w:rFonts w:ascii="Verdana" w:eastAsia="Batang" w:hAnsi="Verdana" w:cs="Times" w:hint="default"/>
        <w:b w:val="0"/>
        <w:i w:val="0"/>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246A2AF2"/>
    <w:multiLevelType w:val="hybridMultilevel"/>
    <w:tmpl w:val="F69EAAFE"/>
    <w:lvl w:ilvl="0" w:tplc="F0E4EF90">
      <w:start w:val="1"/>
      <w:numFmt w:val="upperLetter"/>
      <w:lvlText w:val="%1)"/>
      <w:lvlJc w:val="left"/>
      <w:pPr>
        <w:ind w:left="720" w:hanging="360"/>
      </w:pPr>
      <w:rPr>
        <w:rFonts w:eastAsiaTheme="minorHAnsi" w:cstheme="minorBid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2D0667E2"/>
    <w:multiLevelType w:val="hybridMultilevel"/>
    <w:tmpl w:val="50A645A0"/>
    <w:lvl w:ilvl="0" w:tplc="D97C050E">
      <w:start w:val="19"/>
      <w:numFmt w:val="decimal"/>
      <w:lvlText w:val="%1."/>
      <w:lvlJc w:val="left"/>
      <w:pPr>
        <w:ind w:left="360" w:hanging="360"/>
      </w:pPr>
      <w:rPr>
        <w:rFonts w:ascii="Verdana" w:hAnsi="Verdana" w:hint="default"/>
        <w:sz w:val="20"/>
        <w:szCs w:val="20"/>
      </w:rPr>
    </w:lvl>
    <w:lvl w:ilvl="1" w:tplc="140A0019" w:tentative="1">
      <w:start w:val="1"/>
      <w:numFmt w:val="lowerLetter"/>
      <w:lvlText w:val="%2."/>
      <w:lvlJc w:val="left"/>
      <w:pPr>
        <w:ind w:left="872" w:hanging="360"/>
      </w:pPr>
    </w:lvl>
    <w:lvl w:ilvl="2" w:tplc="140A001B" w:tentative="1">
      <w:start w:val="1"/>
      <w:numFmt w:val="lowerRoman"/>
      <w:lvlText w:val="%3."/>
      <w:lvlJc w:val="right"/>
      <w:pPr>
        <w:ind w:left="1592" w:hanging="180"/>
      </w:pPr>
    </w:lvl>
    <w:lvl w:ilvl="3" w:tplc="140A000F" w:tentative="1">
      <w:start w:val="1"/>
      <w:numFmt w:val="decimal"/>
      <w:lvlText w:val="%4."/>
      <w:lvlJc w:val="left"/>
      <w:pPr>
        <w:ind w:left="2312" w:hanging="360"/>
      </w:pPr>
    </w:lvl>
    <w:lvl w:ilvl="4" w:tplc="140A0019" w:tentative="1">
      <w:start w:val="1"/>
      <w:numFmt w:val="lowerLetter"/>
      <w:lvlText w:val="%5."/>
      <w:lvlJc w:val="left"/>
      <w:pPr>
        <w:ind w:left="3032" w:hanging="360"/>
      </w:pPr>
    </w:lvl>
    <w:lvl w:ilvl="5" w:tplc="140A001B" w:tentative="1">
      <w:start w:val="1"/>
      <w:numFmt w:val="lowerRoman"/>
      <w:lvlText w:val="%6."/>
      <w:lvlJc w:val="right"/>
      <w:pPr>
        <w:ind w:left="3752" w:hanging="180"/>
      </w:pPr>
    </w:lvl>
    <w:lvl w:ilvl="6" w:tplc="140A000F" w:tentative="1">
      <w:start w:val="1"/>
      <w:numFmt w:val="decimal"/>
      <w:lvlText w:val="%7."/>
      <w:lvlJc w:val="left"/>
      <w:pPr>
        <w:ind w:left="4472" w:hanging="360"/>
      </w:pPr>
    </w:lvl>
    <w:lvl w:ilvl="7" w:tplc="140A0019" w:tentative="1">
      <w:start w:val="1"/>
      <w:numFmt w:val="lowerLetter"/>
      <w:lvlText w:val="%8."/>
      <w:lvlJc w:val="left"/>
      <w:pPr>
        <w:ind w:left="5192" w:hanging="360"/>
      </w:pPr>
    </w:lvl>
    <w:lvl w:ilvl="8" w:tplc="140A001B" w:tentative="1">
      <w:start w:val="1"/>
      <w:numFmt w:val="lowerRoman"/>
      <w:lvlText w:val="%9."/>
      <w:lvlJc w:val="right"/>
      <w:pPr>
        <w:ind w:left="5912" w:hanging="180"/>
      </w:pPr>
    </w:lvl>
  </w:abstractNum>
  <w:abstractNum w:abstractNumId="10">
    <w:nsid w:val="2E0A7AE1"/>
    <w:multiLevelType w:val="multilevel"/>
    <w:tmpl w:val="976A5FA6"/>
    <w:lvl w:ilvl="0">
      <w:start w:val="1"/>
      <w:numFmt w:val="decimal"/>
      <w:lvlText w:val="%1."/>
      <w:lvlJc w:val="left"/>
      <w:pPr>
        <w:ind w:left="1211" w:hanging="360"/>
      </w:pPr>
      <w:rPr>
        <w:rFonts w:ascii="Verdana" w:hAnsi="Verdana" w:hint="default"/>
        <w:b w:val="0"/>
        <w:i w:val="0"/>
        <w:sz w:val="20"/>
        <w:szCs w:val="20"/>
        <w:lang w:val="es-CR"/>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1640A48"/>
    <w:multiLevelType w:val="hybridMultilevel"/>
    <w:tmpl w:val="BB28866E"/>
    <w:lvl w:ilvl="0" w:tplc="4EF0C380">
      <w:start w:val="1"/>
      <w:numFmt w:val="upperLetter"/>
      <w:lvlText w:val="%1."/>
      <w:lvlJc w:val="left"/>
      <w:pPr>
        <w:ind w:left="761" w:hanging="432"/>
      </w:pPr>
      <w:rPr>
        <w:rFonts w:hint="default"/>
      </w:rPr>
    </w:lvl>
    <w:lvl w:ilvl="1" w:tplc="140A0019" w:tentative="1">
      <w:start w:val="1"/>
      <w:numFmt w:val="lowerLetter"/>
      <w:lvlText w:val="%2."/>
      <w:lvlJc w:val="left"/>
      <w:pPr>
        <w:ind w:left="1409" w:hanging="360"/>
      </w:pPr>
    </w:lvl>
    <w:lvl w:ilvl="2" w:tplc="140A001B" w:tentative="1">
      <w:start w:val="1"/>
      <w:numFmt w:val="lowerRoman"/>
      <w:lvlText w:val="%3."/>
      <w:lvlJc w:val="right"/>
      <w:pPr>
        <w:ind w:left="2129" w:hanging="180"/>
      </w:pPr>
    </w:lvl>
    <w:lvl w:ilvl="3" w:tplc="140A000F" w:tentative="1">
      <w:start w:val="1"/>
      <w:numFmt w:val="decimal"/>
      <w:lvlText w:val="%4."/>
      <w:lvlJc w:val="left"/>
      <w:pPr>
        <w:ind w:left="2849" w:hanging="360"/>
      </w:pPr>
    </w:lvl>
    <w:lvl w:ilvl="4" w:tplc="140A0019" w:tentative="1">
      <w:start w:val="1"/>
      <w:numFmt w:val="lowerLetter"/>
      <w:lvlText w:val="%5."/>
      <w:lvlJc w:val="left"/>
      <w:pPr>
        <w:ind w:left="3569" w:hanging="360"/>
      </w:pPr>
    </w:lvl>
    <w:lvl w:ilvl="5" w:tplc="140A001B" w:tentative="1">
      <w:start w:val="1"/>
      <w:numFmt w:val="lowerRoman"/>
      <w:lvlText w:val="%6."/>
      <w:lvlJc w:val="right"/>
      <w:pPr>
        <w:ind w:left="4289" w:hanging="180"/>
      </w:pPr>
    </w:lvl>
    <w:lvl w:ilvl="6" w:tplc="140A000F" w:tentative="1">
      <w:start w:val="1"/>
      <w:numFmt w:val="decimal"/>
      <w:lvlText w:val="%7."/>
      <w:lvlJc w:val="left"/>
      <w:pPr>
        <w:ind w:left="5009" w:hanging="360"/>
      </w:pPr>
    </w:lvl>
    <w:lvl w:ilvl="7" w:tplc="140A0019" w:tentative="1">
      <w:start w:val="1"/>
      <w:numFmt w:val="lowerLetter"/>
      <w:lvlText w:val="%8."/>
      <w:lvlJc w:val="left"/>
      <w:pPr>
        <w:ind w:left="5729" w:hanging="360"/>
      </w:pPr>
    </w:lvl>
    <w:lvl w:ilvl="8" w:tplc="140A001B" w:tentative="1">
      <w:start w:val="1"/>
      <w:numFmt w:val="lowerRoman"/>
      <w:lvlText w:val="%9."/>
      <w:lvlJc w:val="right"/>
      <w:pPr>
        <w:ind w:left="6449" w:hanging="180"/>
      </w:pPr>
    </w:lvl>
  </w:abstractNum>
  <w:abstractNum w:abstractNumId="12">
    <w:nsid w:val="328965D2"/>
    <w:multiLevelType w:val="hybridMultilevel"/>
    <w:tmpl w:val="A8B25D9C"/>
    <w:lvl w:ilvl="0" w:tplc="33E441B8">
      <w:start w:val="1"/>
      <w:numFmt w:val="upperLetter"/>
      <w:lvlText w:val="%1."/>
      <w:lvlJc w:val="left"/>
      <w:pPr>
        <w:ind w:left="1153" w:hanging="360"/>
      </w:pPr>
      <w:rPr>
        <w:rFonts w:hint="default"/>
      </w:rPr>
    </w:lvl>
    <w:lvl w:ilvl="1" w:tplc="140A0019" w:tentative="1">
      <w:start w:val="1"/>
      <w:numFmt w:val="lowerLetter"/>
      <w:lvlText w:val="%2."/>
      <w:lvlJc w:val="left"/>
      <w:pPr>
        <w:ind w:left="1873" w:hanging="360"/>
      </w:pPr>
    </w:lvl>
    <w:lvl w:ilvl="2" w:tplc="140A001B" w:tentative="1">
      <w:start w:val="1"/>
      <w:numFmt w:val="lowerRoman"/>
      <w:lvlText w:val="%3."/>
      <w:lvlJc w:val="right"/>
      <w:pPr>
        <w:ind w:left="2593" w:hanging="180"/>
      </w:pPr>
    </w:lvl>
    <w:lvl w:ilvl="3" w:tplc="140A000F" w:tentative="1">
      <w:start w:val="1"/>
      <w:numFmt w:val="decimal"/>
      <w:lvlText w:val="%4."/>
      <w:lvlJc w:val="left"/>
      <w:pPr>
        <w:ind w:left="3313" w:hanging="360"/>
      </w:pPr>
    </w:lvl>
    <w:lvl w:ilvl="4" w:tplc="140A0019" w:tentative="1">
      <w:start w:val="1"/>
      <w:numFmt w:val="lowerLetter"/>
      <w:lvlText w:val="%5."/>
      <w:lvlJc w:val="left"/>
      <w:pPr>
        <w:ind w:left="4033" w:hanging="360"/>
      </w:pPr>
    </w:lvl>
    <w:lvl w:ilvl="5" w:tplc="140A001B" w:tentative="1">
      <w:start w:val="1"/>
      <w:numFmt w:val="lowerRoman"/>
      <w:lvlText w:val="%6."/>
      <w:lvlJc w:val="right"/>
      <w:pPr>
        <w:ind w:left="4753" w:hanging="180"/>
      </w:pPr>
    </w:lvl>
    <w:lvl w:ilvl="6" w:tplc="140A000F" w:tentative="1">
      <w:start w:val="1"/>
      <w:numFmt w:val="decimal"/>
      <w:lvlText w:val="%7."/>
      <w:lvlJc w:val="left"/>
      <w:pPr>
        <w:ind w:left="5473" w:hanging="360"/>
      </w:pPr>
    </w:lvl>
    <w:lvl w:ilvl="7" w:tplc="140A0019" w:tentative="1">
      <w:start w:val="1"/>
      <w:numFmt w:val="lowerLetter"/>
      <w:lvlText w:val="%8."/>
      <w:lvlJc w:val="left"/>
      <w:pPr>
        <w:ind w:left="6193" w:hanging="360"/>
      </w:pPr>
    </w:lvl>
    <w:lvl w:ilvl="8" w:tplc="140A001B" w:tentative="1">
      <w:start w:val="1"/>
      <w:numFmt w:val="lowerRoman"/>
      <w:lvlText w:val="%9."/>
      <w:lvlJc w:val="right"/>
      <w:pPr>
        <w:ind w:left="6913" w:hanging="180"/>
      </w:pPr>
    </w:lvl>
  </w:abstractNum>
  <w:abstractNum w:abstractNumId="13">
    <w:nsid w:val="33366414"/>
    <w:multiLevelType w:val="hybridMultilevel"/>
    <w:tmpl w:val="82B83708"/>
    <w:lvl w:ilvl="0" w:tplc="EFEAA542">
      <w:start w:val="60"/>
      <w:numFmt w:val="decimal"/>
      <w:lvlText w:val="%1."/>
      <w:lvlJc w:val="left"/>
      <w:pPr>
        <w:ind w:left="630" w:hanging="360"/>
      </w:pPr>
      <w:rPr>
        <w:rFonts w:hint="default"/>
        <w:b w:val="0"/>
        <w:i w:val="0"/>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A74B02"/>
    <w:multiLevelType w:val="hybridMultilevel"/>
    <w:tmpl w:val="8D1CFEA2"/>
    <w:lvl w:ilvl="0" w:tplc="0838AC74">
      <w:start w:val="1"/>
      <w:numFmt w:val="upperRoman"/>
      <w:lvlText w:val="%1."/>
      <w:lvlJc w:val="left"/>
      <w:pPr>
        <w:ind w:left="793" w:hanging="720"/>
      </w:pPr>
      <w:rPr>
        <w:rFonts w:hint="default"/>
        <w:b/>
      </w:rPr>
    </w:lvl>
    <w:lvl w:ilvl="1" w:tplc="140A0019" w:tentative="1">
      <w:start w:val="1"/>
      <w:numFmt w:val="lowerLetter"/>
      <w:lvlText w:val="%2."/>
      <w:lvlJc w:val="left"/>
      <w:pPr>
        <w:ind w:left="1153" w:hanging="360"/>
      </w:pPr>
    </w:lvl>
    <w:lvl w:ilvl="2" w:tplc="140A001B" w:tentative="1">
      <w:start w:val="1"/>
      <w:numFmt w:val="lowerRoman"/>
      <w:lvlText w:val="%3."/>
      <w:lvlJc w:val="right"/>
      <w:pPr>
        <w:ind w:left="1873" w:hanging="180"/>
      </w:pPr>
    </w:lvl>
    <w:lvl w:ilvl="3" w:tplc="140A000F" w:tentative="1">
      <w:start w:val="1"/>
      <w:numFmt w:val="decimal"/>
      <w:lvlText w:val="%4."/>
      <w:lvlJc w:val="left"/>
      <w:pPr>
        <w:ind w:left="2593" w:hanging="360"/>
      </w:pPr>
    </w:lvl>
    <w:lvl w:ilvl="4" w:tplc="140A0019" w:tentative="1">
      <w:start w:val="1"/>
      <w:numFmt w:val="lowerLetter"/>
      <w:lvlText w:val="%5."/>
      <w:lvlJc w:val="left"/>
      <w:pPr>
        <w:ind w:left="3313" w:hanging="360"/>
      </w:pPr>
    </w:lvl>
    <w:lvl w:ilvl="5" w:tplc="140A001B" w:tentative="1">
      <w:start w:val="1"/>
      <w:numFmt w:val="lowerRoman"/>
      <w:lvlText w:val="%6."/>
      <w:lvlJc w:val="right"/>
      <w:pPr>
        <w:ind w:left="4033" w:hanging="180"/>
      </w:pPr>
    </w:lvl>
    <w:lvl w:ilvl="6" w:tplc="140A000F" w:tentative="1">
      <w:start w:val="1"/>
      <w:numFmt w:val="decimal"/>
      <w:lvlText w:val="%7."/>
      <w:lvlJc w:val="left"/>
      <w:pPr>
        <w:ind w:left="4753" w:hanging="360"/>
      </w:pPr>
    </w:lvl>
    <w:lvl w:ilvl="7" w:tplc="140A0019" w:tentative="1">
      <w:start w:val="1"/>
      <w:numFmt w:val="lowerLetter"/>
      <w:lvlText w:val="%8."/>
      <w:lvlJc w:val="left"/>
      <w:pPr>
        <w:ind w:left="5473" w:hanging="360"/>
      </w:pPr>
    </w:lvl>
    <w:lvl w:ilvl="8" w:tplc="140A001B" w:tentative="1">
      <w:start w:val="1"/>
      <w:numFmt w:val="lowerRoman"/>
      <w:lvlText w:val="%9."/>
      <w:lvlJc w:val="right"/>
      <w:pPr>
        <w:ind w:left="6193" w:hanging="180"/>
      </w:pPr>
    </w:lvl>
  </w:abstractNum>
  <w:abstractNum w:abstractNumId="15">
    <w:nsid w:val="33CA0A6C"/>
    <w:multiLevelType w:val="hybridMultilevel"/>
    <w:tmpl w:val="26167A1C"/>
    <w:lvl w:ilvl="0" w:tplc="9C5859D8">
      <w:start w:val="1"/>
      <w:numFmt w:val="decimal"/>
      <w:lvlText w:val="%1."/>
      <w:lvlJc w:val="left"/>
      <w:pPr>
        <w:ind w:left="990" w:hanging="360"/>
      </w:pPr>
      <w:rPr>
        <w:rFonts w:hint="default"/>
        <w:b w:val="0"/>
        <w:vertAlign w:val="baseline"/>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386E0490"/>
    <w:multiLevelType w:val="hybridMultilevel"/>
    <w:tmpl w:val="071ACB82"/>
    <w:lvl w:ilvl="0" w:tplc="BAD290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890F3A"/>
    <w:multiLevelType w:val="hybridMultilevel"/>
    <w:tmpl w:val="3FBC9408"/>
    <w:lvl w:ilvl="0" w:tplc="064E5BB4">
      <w:start w:val="1"/>
      <w:numFmt w:val="upperLetter"/>
      <w:lvlText w:val="%1."/>
      <w:lvlJc w:val="left"/>
      <w:pPr>
        <w:ind w:left="1610" w:hanging="900"/>
      </w:pPr>
      <w:rPr>
        <w:rFonts w:hint="default"/>
      </w:rPr>
    </w:lvl>
    <w:lvl w:ilvl="1" w:tplc="140A0019">
      <w:start w:val="1"/>
      <w:numFmt w:val="lowerLetter"/>
      <w:lvlText w:val="%2."/>
      <w:lvlJc w:val="left"/>
      <w:pPr>
        <w:ind w:left="1790" w:hanging="360"/>
      </w:pPr>
    </w:lvl>
    <w:lvl w:ilvl="2" w:tplc="140A001B" w:tentative="1">
      <w:start w:val="1"/>
      <w:numFmt w:val="lowerRoman"/>
      <w:lvlText w:val="%3."/>
      <w:lvlJc w:val="right"/>
      <w:pPr>
        <w:ind w:left="2510" w:hanging="180"/>
      </w:pPr>
    </w:lvl>
    <w:lvl w:ilvl="3" w:tplc="140A000F" w:tentative="1">
      <w:start w:val="1"/>
      <w:numFmt w:val="decimal"/>
      <w:lvlText w:val="%4."/>
      <w:lvlJc w:val="left"/>
      <w:pPr>
        <w:ind w:left="3230" w:hanging="360"/>
      </w:pPr>
    </w:lvl>
    <w:lvl w:ilvl="4" w:tplc="140A0019" w:tentative="1">
      <w:start w:val="1"/>
      <w:numFmt w:val="lowerLetter"/>
      <w:lvlText w:val="%5."/>
      <w:lvlJc w:val="left"/>
      <w:pPr>
        <w:ind w:left="3950" w:hanging="360"/>
      </w:pPr>
    </w:lvl>
    <w:lvl w:ilvl="5" w:tplc="140A001B" w:tentative="1">
      <w:start w:val="1"/>
      <w:numFmt w:val="lowerRoman"/>
      <w:lvlText w:val="%6."/>
      <w:lvlJc w:val="right"/>
      <w:pPr>
        <w:ind w:left="4670" w:hanging="180"/>
      </w:pPr>
    </w:lvl>
    <w:lvl w:ilvl="6" w:tplc="140A000F" w:tentative="1">
      <w:start w:val="1"/>
      <w:numFmt w:val="decimal"/>
      <w:lvlText w:val="%7."/>
      <w:lvlJc w:val="left"/>
      <w:pPr>
        <w:ind w:left="5390" w:hanging="360"/>
      </w:pPr>
    </w:lvl>
    <w:lvl w:ilvl="7" w:tplc="140A0019" w:tentative="1">
      <w:start w:val="1"/>
      <w:numFmt w:val="lowerLetter"/>
      <w:lvlText w:val="%8."/>
      <w:lvlJc w:val="left"/>
      <w:pPr>
        <w:ind w:left="6110" w:hanging="360"/>
      </w:pPr>
    </w:lvl>
    <w:lvl w:ilvl="8" w:tplc="140A001B" w:tentative="1">
      <w:start w:val="1"/>
      <w:numFmt w:val="lowerRoman"/>
      <w:lvlText w:val="%9."/>
      <w:lvlJc w:val="right"/>
      <w:pPr>
        <w:ind w:left="6830" w:hanging="180"/>
      </w:pPr>
    </w:lvl>
  </w:abstractNum>
  <w:abstractNum w:abstractNumId="18">
    <w:nsid w:val="3AFA3C49"/>
    <w:multiLevelType w:val="hybridMultilevel"/>
    <w:tmpl w:val="9FA87F28"/>
    <w:lvl w:ilvl="0" w:tplc="3E163042">
      <w:start w:val="1"/>
      <w:numFmt w:val="lowerLetter"/>
      <w:lvlText w:val="%1)"/>
      <w:lvlJc w:val="left"/>
      <w:pPr>
        <w:ind w:left="361" w:hanging="360"/>
      </w:pPr>
      <w:rPr>
        <w:rFonts w:hint="default"/>
      </w:rPr>
    </w:lvl>
    <w:lvl w:ilvl="1" w:tplc="140A0019" w:tentative="1">
      <w:start w:val="1"/>
      <w:numFmt w:val="lowerLetter"/>
      <w:lvlText w:val="%2."/>
      <w:lvlJc w:val="left"/>
      <w:pPr>
        <w:ind w:left="1081" w:hanging="360"/>
      </w:pPr>
    </w:lvl>
    <w:lvl w:ilvl="2" w:tplc="140A001B" w:tentative="1">
      <w:start w:val="1"/>
      <w:numFmt w:val="lowerRoman"/>
      <w:lvlText w:val="%3."/>
      <w:lvlJc w:val="right"/>
      <w:pPr>
        <w:ind w:left="1801" w:hanging="180"/>
      </w:pPr>
    </w:lvl>
    <w:lvl w:ilvl="3" w:tplc="140A000F" w:tentative="1">
      <w:start w:val="1"/>
      <w:numFmt w:val="decimal"/>
      <w:lvlText w:val="%4."/>
      <w:lvlJc w:val="left"/>
      <w:pPr>
        <w:ind w:left="2521" w:hanging="360"/>
      </w:pPr>
    </w:lvl>
    <w:lvl w:ilvl="4" w:tplc="140A0019" w:tentative="1">
      <w:start w:val="1"/>
      <w:numFmt w:val="lowerLetter"/>
      <w:lvlText w:val="%5."/>
      <w:lvlJc w:val="left"/>
      <w:pPr>
        <w:ind w:left="3241" w:hanging="360"/>
      </w:pPr>
    </w:lvl>
    <w:lvl w:ilvl="5" w:tplc="140A001B" w:tentative="1">
      <w:start w:val="1"/>
      <w:numFmt w:val="lowerRoman"/>
      <w:lvlText w:val="%6."/>
      <w:lvlJc w:val="right"/>
      <w:pPr>
        <w:ind w:left="3961" w:hanging="180"/>
      </w:pPr>
    </w:lvl>
    <w:lvl w:ilvl="6" w:tplc="140A000F" w:tentative="1">
      <w:start w:val="1"/>
      <w:numFmt w:val="decimal"/>
      <w:lvlText w:val="%7."/>
      <w:lvlJc w:val="left"/>
      <w:pPr>
        <w:ind w:left="4681" w:hanging="360"/>
      </w:pPr>
    </w:lvl>
    <w:lvl w:ilvl="7" w:tplc="140A0019" w:tentative="1">
      <w:start w:val="1"/>
      <w:numFmt w:val="lowerLetter"/>
      <w:lvlText w:val="%8."/>
      <w:lvlJc w:val="left"/>
      <w:pPr>
        <w:ind w:left="5401" w:hanging="360"/>
      </w:pPr>
    </w:lvl>
    <w:lvl w:ilvl="8" w:tplc="140A001B" w:tentative="1">
      <w:start w:val="1"/>
      <w:numFmt w:val="lowerRoman"/>
      <w:lvlText w:val="%9."/>
      <w:lvlJc w:val="right"/>
      <w:pPr>
        <w:ind w:left="6121" w:hanging="180"/>
      </w:pPr>
    </w:lvl>
  </w:abstractNum>
  <w:abstractNum w:abstractNumId="19">
    <w:nsid w:val="3B5D2F9F"/>
    <w:multiLevelType w:val="hybridMultilevel"/>
    <w:tmpl w:val="695A122E"/>
    <w:lvl w:ilvl="0" w:tplc="87CC3F94">
      <w:start w:val="1"/>
      <w:numFmt w:val="decimal"/>
      <w:lvlText w:val="%1."/>
      <w:lvlJc w:val="left"/>
      <w:pPr>
        <w:ind w:left="720" w:hanging="360"/>
      </w:pPr>
      <w:rPr>
        <w:rFonts w:ascii="Verdana" w:eastAsia="Batang" w:hAnsi="Verdana" w:cs="Times" w:hint="default"/>
        <w:b w:val="0"/>
        <w:i w:val="0"/>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nsid w:val="46C23B99"/>
    <w:multiLevelType w:val="hybridMultilevel"/>
    <w:tmpl w:val="DCB48F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AF027A"/>
    <w:multiLevelType w:val="hybridMultilevel"/>
    <w:tmpl w:val="EF64502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nsid w:val="4CCD1B5F"/>
    <w:multiLevelType w:val="hybridMultilevel"/>
    <w:tmpl w:val="A7B675EA"/>
    <w:lvl w:ilvl="0" w:tplc="987A0574">
      <w:start w:val="1"/>
      <w:numFmt w:val="decimal"/>
      <w:lvlText w:val="%1."/>
      <w:lvlJc w:val="left"/>
      <w:pPr>
        <w:ind w:left="928" w:hanging="360"/>
      </w:pPr>
      <w:rPr>
        <w:rFonts w:ascii="Verdana" w:eastAsia="Batang" w:hAnsi="Verdana" w:cs="Times"/>
        <w:b w:val="0"/>
        <w:i w:val="0"/>
        <w:color w:val="auto"/>
        <w:sz w:val="20"/>
        <w:szCs w:val="20"/>
      </w:rPr>
    </w:lvl>
    <w:lvl w:ilvl="1" w:tplc="62A25344">
      <w:start w:val="1"/>
      <w:numFmt w:val="lowerLetter"/>
      <w:lvlText w:val="%2)"/>
      <w:lvlJc w:val="left"/>
      <w:pPr>
        <w:ind w:left="1080" w:hanging="360"/>
      </w:pPr>
      <w:rPr>
        <w:rFonts w:ascii="Verdana" w:eastAsia="Batang" w:hAnsi="Verdana" w:cs="Times"/>
      </w:rPr>
    </w:lvl>
    <w:lvl w:ilvl="2" w:tplc="487AF94A">
      <w:start w:val="1"/>
      <w:numFmt w:val="upperLetter"/>
      <w:lvlText w:val="%3."/>
      <w:lvlJc w:val="left"/>
      <w:pPr>
        <w:ind w:left="1980" w:hanging="360"/>
      </w:pPr>
      <w:rPr>
        <w:rFonts w:cs="Tahoma" w:hint="default"/>
      </w:rPr>
    </w:lvl>
    <w:lvl w:ilvl="3" w:tplc="F50C6474">
      <w:start w:val="1"/>
      <w:numFmt w:val="lowerLetter"/>
      <w:lvlText w:val="%4)"/>
      <w:lvlJc w:val="left"/>
      <w:pPr>
        <w:ind w:left="2520" w:hanging="360"/>
      </w:pPr>
      <w:rPr>
        <w:rFonts w:hint="default"/>
      </w:rPr>
    </w:lvl>
    <w:lvl w:ilvl="4" w:tplc="86144CC8">
      <w:start w:val="7"/>
      <w:numFmt w:val="decimal"/>
      <w:lvlText w:val="%5"/>
      <w:lvlJc w:val="left"/>
      <w:pPr>
        <w:ind w:left="3240" w:hanging="360"/>
      </w:pPr>
      <w:rPr>
        <w:rFonts w:hint="default"/>
        <w:i/>
      </w:r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4DFA2BAF"/>
    <w:multiLevelType w:val="hybridMultilevel"/>
    <w:tmpl w:val="7DFA4B26"/>
    <w:lvl w:ilvl="0" w:tplc="EB88639A">
      <w:start w:val="1"/>
      <w:numFmt w:val="lowerLetter"/>
      <w:lvlText w:val="%1)"/>
      <w:lvlJc w:val="left"/>
      <w:pPr>
        <w:ind w:left="644" w:hanging="360"/>
      </w:pPr>
      <w:rPr>
        <w:rFonts w:hint="default"/>
        <w:b w:val="0"/>
        <w:sz w:val="20"/>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4">
    <w:nsid w:val="52F72670"/>
    <w:multiLevelType w:val="hybridMultilevel"/>
    <w:tmpl w:val="55422308"/>
    <w:lvl w:ilvl="0" w:tplc="51B03CFA">
      <w:start w:val="1"/>
      <w:numFmt w:val="decimal"/>
      <w:lvlText w:val="%1."/>
      <w:lvlJc w:val="left"/>
      <w:pPr>
        <w:ind w:left="-66" w:hanging="360"/>
      </w:pPr>
      <w:rPr>
        <w:rFonts w:eastAsiaTheme="minorHAnsi" w:cstheme="minorBidi" w:hint="default"/>
        <w:b w:val="0"/>
        <w:i w:val="0"/>
        <w:vertAlign w:val="baseline"/>
      </w:rPr>
    </w:lvl>
    <w:lvl w:ilvl="1" w:tplc="04090019">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25">
    <w:nsid w:val="53E06E32"/>
    <w:multiLevelType w:val="hybridMultilevel"/>
    <w:tmpl w:val="FABE0216"/>
    <w:lvl w:ilvl="0" w:tplc="6F323408">
      <w:start w:val="1"/>
      <w:numFmt w:val="decimal"/>
      <w:lvlText w:val="%1."/>
      <w:lvlJc w:val="left"/>
      <w:pPr>
        <w:tabs>
          <w:tab w:val="num" w:pos="5057"/>
        </w:tabs>
      </w:pPr>
      <w:rPr>
        <w:rFonts w:ascii="Verdana" w:eastAsia="Times New Roman" w:hAnsi="Verdana" w:cs="Times New Roman" w:hint="default"/>
        <w:b w:val="0"/>
        <w:i w:val="0"/>
        <w:strike w:val="0"/>
        <w:color w:val="auto"/>
        <w:sz w:val="20"/>
        <w:lang w:val="es-ES"/>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6">
    <w:nsid w:val="55C93AC8"/>
    <w:multiLevelType w:val="hybridMultilevel"/>
    <w:tmpl w:val="C4E625A4"/>
    <w:lvl w:ilvl="0" w:tplc="6EBCBE78">
      <w:start w:val="1"/>
      <w:numFmt w:val="decimal"/>
      <w:lvlText w:val="%1."/>
      <w:lvlJc w:val="left"/>
      <w:pPr>
        <w:ind w:left="3827" w:hanging="708"/>
      </w:pPr>
      <w:rPr>
        <w:rFonts w:ascii="Verdana" w:hAnsi="Verdana" w:hint="default"/>
        <w:b w:val="0"/>
        <w:i w:val="0"/>
        <w:strike w:val="0"/>
        <w:sz w:val="20"/>
        <w:szCs w:val="20"/>
        <w:vertAlign w:val="baseline"/>
      </w:rPr>
    </w:lvl>
    <w:lvl w:ilvl="1" w:tplc="140A0019" w:tentative="1">
      <w:start w:val="1"/>
      <w:numFmt w:val="lowerLetter"/>
      <w:lvlText w:val="%2."/>
      <w:lvlJc w:val="left"/>
      <w:pPr>
        <w:ind w:left="371" w:hanging="360"/>
      </w:pPr>
    </w:lvl>
    <w:lvl w:ilvl="2" w:tplc="140A001B" w:tentative="1">
      <w:start w:val="1"/>
      <w:numFmt w:val="lowerRoman"/>
      <w:lvlText w:val="%3."/>
      <w:lvlJc w:val="right"/>
      <w:pPr>
        <w:ind w:left="1091" w:hanging="180"/>
      </w:pPr>
    </w:lvl>
    <w:lvl w:ilvl="3" w:tplc="140A000F" w:tentative="1">
      <w:start w:val="1"/>
      <w:numFmt w:val="decimal"/>
      <w:lvlText w:val="%4."/>
      <w:lvlJc w:val="left"/>
      <w:pPr>
        <w:ind w:left="1811" w:hanging="360"/>
      </w:pPr>
    </w:lvl>
    <w:lvl w:ilvl="4" w:tplc="140A0019" w:tentative="1">
      <w:start w:val="1"/>
      <w:numFmt w:val="lowerLetter"/>
      <w:lvlText w:val="%5."/>
      <w:lvlJc w:val="left"/>
      <w:pPr>
        <w:ind w:left="2531" w:hanging="360"/>
      </w:pPr>
    </w:lvl>
    <w:lvl w:ilvl="5" w:tplc="140A001B" w:tentative="1">
      <w:start w:val="1"/>
      <w:numFmt w:val="lowerRoman"/>
      <w:lvlText w:val="%6."/>
      <w:lvlJc w:val="right"/>
      <w:pPr>
        <w:ind w:left="3251" w:hanging="180"/>
      </w:pPr>
    </w:lvl>
    <w:lvl w:ilvl="6" w:tplc="140A000F" w:tentative="1">
      <w:start w:val="1"/>
      <w:numFmt w:val="decimal"/>
      <w:lvlText w:val="%7."/>
      <w:lvlJc w:val="left"/>
      <w:pPr>
        <w:ind w:left="3971" w:hanging="360"/>
      </w:pPr>
    </w:lvl>
    <w:lvl w:ilvl="7" w:tplc="140A0019" w:tentative="1">
      <w:start w:val="1"/>
      <w:numFmt w:val="lowerLetter"/>
      <w:lvlText w:val="%8."/>
      <w:lvlJc w:val="left"/>
      <w:pPr>
        <w:ind w:left="4691" w:hanging="360"/>
      </w:pPr>
    </w:lvl>
    <w:lvl w:ilvl="8" w:tplc="140A001B" w:tentative="1">
      <w:start w:val="1"/>
      <w:numFmt w:val="lowerRoman"/>
      <w:lvlText w:val="%9."/>
      <w:lvlJc w:val="right"/>
      <w:pPr>
        <w:ind w:left="5411" w:hanging="180"/>
      </w:pPr>
    </w:lvl>
  </w:abstractNum>
  <w:abstractNum w:abstractNumId="27">
    <w:nsid w:val="59F37F33"/>
    <w:multiLevelType w:val="hybridMultilevel"/>
    <w:tmpl w:val="6658CC06"/>
    <w:lvl w:ilvl="0" w:tplc="9DA43882">
      <w:start w:val="1"/>
      <w:numFmt w:val="decimal"/>
      <w:lvlText w:val="%1."/>
      <w:lvlJc w:val="left"/>
      <w:pPr>
        <w:ind w:left="720" w:hanging="360"/>
      </w:pPr>
      <w:rPr>
        <w:rFonts w:ascii="Verdana" w:eastAsia="Batang" w:hAnsi="Verdana" w:cs="Times" w:hint="default"/>
        <w:b w:val="0"/>
        <w:i w:val="0"/>
        <w:sz w:val="20"/>
        <w:vertAlign w:val="baseline"/>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nsid w:val="5B6E4AA5"/>
    <w:multiLevelType w:val="hybridMultilevel"/>
    <w:tmpl w:val="F2C2C012"/>
    <w:lvl w:ilvl="0" w:tplc="5D5C18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994687"/>
    <w:multiLevelType w:val="hybridMultilevel"/>
    <w:tmpl w:val="154AFEEA"/>
    <w:lvl w:ilvl="0" w:tplc="468AA07A">
      <w:start w:val="1"/>
      <w:numFmt w:val="decimal"/>
      <w:lvlText w:val="%1."/>
      <w:lvlJc w:val="left"/>
      <w:pPr>
        <w:ind w:left="720" w:hanging="360"/>
      </w:pPr>
      <w:rPr>
        <w:rFonts w:ascii="Verdana" w:eastAsia="Batang" w:hAnsi="Verdana" w:cs="Times" w:hint="default"/>
        <w:b w:val="0"/>
        <w:i w:val="0"/>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nsid w:val="61427E98"/>
    <w:multiLevelType w:val="hybridMultilevel"/>
    <w:tmpl w:val="154AFEEA"/>
    <w:lvl w:ilvl="0" w:tplc="468AA07A">
      <w:start w:val="1"/>
      <w:numFmt w:val="decimal"/>
      <w:lvlText w:val="%1."/>
      <w:lvlJc w:val="left"/>
      <w:pPr>
        <w:ind w:left="720" w:hanging="360"/>
      </w:pPr>
      <w:rPr>
        <w:rFonts w:ascii="Verdana" w:eastAsia="Batang" w:hAnsi="Verdana" w:cs="Times" w:hint="default"/>
        <w:b w:val="0"/>
        <w:i w:val="0"/>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nsid w:val="631A2843"/>
    <w:multiLevelType w:val="hybridMultilevel"/>
    <w:tmpl w:val="A5B6B824"/>
    <w:lvl w:ilvl="0" w:tplc="22CE9E5C">
      <w:start w:val="53"/>
      <w:numFmt w:val="decimal"/>
      <w:lvlText w:val="%1."/>
      <w:lvlJc w:val="left"/>
      <w:pPr>
        <w:ind w:left="720" w:hanging="360"/>
      </w:pPr>
      <w:rPr>
        <w:rFonts w:hint="default"/>
        <w:b w:val="0"/>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nsid w:val="693B420D"/>
    <w:multiLevelType w:val="hybridMultilevel"/>
    <w:tmpl w:val="9BA47382"/>
    <w:lvl w:ilvl="0" w:tplc="C0507558">
      <w:start w:val="1"/>
      <w:numFmt w:val="lowerLetter"/>
      <w:lvlText w:val="%1)"/>
      <w:lvlJc w:val="left"/>
      <w:pPr>
        <w:ind w:left="720" w:hanging="360"/>
      </w:pPr>
      <w:rPr>
        <w:rFonts w:hint="default"/>
        <w:b w:val="0"/>
        <w:sz w:val="20"/>
        <w:szCs w:val="20"/>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nsid w:val="6DA344DC"/>
    <w:multiLevelType w:val="hybridMultilevel"/>
    <w:tmpl w:val="7EE44E1E"/>
    <w:lvl w:ilvl="0" w:tplc="B0A2D016">
      <w:start w:val="1"/>
      <w:numFmt w:val="upperLetter"/>
      <w:lvlText w:val="%1."/>
      <w:lvlJc w:val="left"/>
      <w:pPr>
        <w:ind w:left="942" w:hanging="648"/>
      </w:pPr>
      <w:rPr>
        <w:rFonts w:hint="default"/>
      </w:rPr>
    </w:lvl>
    <w:lvl w:ilvl="1" w:tplc="140A0019" w:tentative="1">
      <w:start w:val="1"/>
      <w:numFmt w:val="lowerLetter"/>
      <w:lvlText w:val="%2."/>
      <w:lvlJc w:val="left"/>
      <w:pPr>
        <w:ind w:left="1374" w:hanging="360"/>
      </w:pPr>
    </w:lvl>
    <w:lvl w:ilvl="2" w:tplc="140A001B" w:tentative="1">
      <w:start w:val="1"/>
      <w:numFmt w:val="lowerRoman"/>
      <w:lvlText w:val="%3."/>
      <w:lvlJc w:val="right"/>
      <w:pPr>
        <w:ind w:left="2094" w:hanging="180"/>
      </w:pPr>
    </w:lvl>
    <w:lvl w:ilvl="3" w:tplc="140A000F" w:tentative="1">
      <w:start w:val="1"/>
      <w:numFmt w:val="decimal"/>
      <w:lvlText w:val="%4."/>
      <w:lvlJc w:val="left"/>
      <w:pPr>
        <w:ind w:left="2814" w:hanging="360"/>
      </w:pPr>
    </w:lvl>
    <w:lvl w:ilvl="4" w:tplc="140A0019" w:tentative="1">
      <w:start w:val="1"/>
      <w:numFmt w:val="lowerLetter"/>
      <w:lvlText w:val="%5."/>
      <w:lvlJc w:val="left"/>
      <w:pPr>
        <w:ind w:left="3534" w:hanging="360"/>
      </w:pPr>
    </w:lvl>
    <w:lvl w:ilvl="5" w:tplc="140A001B" w:tentative="1">
      <w:start w:val="1"/>
      <w:numFmt w:val="lowerRoman"/>
      <w:lvlText w:val="%6."/>
      <w:lvlJc w:val="right"/>
      <w:pPr>
        <w:ind w:left="4254" w:hanging="180"/>
      </w:pPr>
    </w:lvl>
    <w:lvl w:ilvl="6" w:tplc="140A000F" w:tentative="1">
      <w:start w:val="1"/>
      <w:numFmt w:val="decimal"/>
      <w:lvlText w:val="%7."/>
      <w:lvlJc w:val="left"/>
      <w:pPr>
        <w:ind w:left="4974" w:hanging="360"/>
      </w:pPr>
    </w:lvl>
    <w:lvl w:ilvl="7" w:tplc="140A0019" w:tentative="1">
      <w:start w:val="1"/>
      <w:numFmt w:val="lowerLetter"/>
      <w:lvlText w:val="%8."/>
      <w:lvlJc w:val="left"/>
      <w:pPr>
        <w:ind w:left="5694" w:hanging="360"/>
      </w:pPr>
    </w:lvl>
    <w:lvl w:ilvl="8" w:tplc="140A001B" w:tentative="1">
      <w:start w:val="1"/>
      <w:numFmt w:val="lowerRoman"/>
      <w:lvlText w:val="%9."/>
      <w:lvlJc w:val="right"/>
      <w:pPr>
        <w:ind w:left="6414" w:hanging="180"/>
      </w:pPr>
    </w:lvl>
  </w:abstractNum>
  <w:abstractNum w:abstractNumId="34">
    <w:nsid w:val="6E0450AD"/>
    <w:multiLevelType w:val="hybridMultilevel"/>
    <w:tmpl w:val="202E10AC"/>
    <w:lvl w:ilvl="0" w:tplc="F208AF98">
      <w:start w:val="1"/>
      <w:numFmt w:val="lowerLetter"/>
      <w:lvlText w:val="%1)"/>
      <w:lvlJc w:val="left"/>
      <w:pPr>
        <w:ind w:left="294" w:hanging="360"/>
      </w:pPr>
      <w:rPr>
        <w:rFonts w:hint="default"/>
        <w:b w:val="0"/>
        <w:lang w:val="es-CR"/>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35">
    <w:nsid w:val="70083642"/>
    <w:multiLevelType w:val="hybridMultilevel"/>
    <w:tmpl w:val="7E7E142C"/>
    <w:lvl w:ilvl="0" w:tplc="7DB65396">
      <w:start w:val="1"/>
      <w:numFmt w:val="upperLetter"/>
      <w:lvlText w:val="%1."/>
      <w:lvlJc w:val="left"/>
      <w:pPr>
        <w:ind w:left="4210" w:hanging="360"/>
      </w:pPr>
      <w:rPr>
        <w:rFonts w:hint="default"/>
      </w:rPr>
    </w:lvl>
    <w:lvl w:ilvl="1" w:tplc="140A0019" w:tentative="1">
      <w:start w:val="1"/>
      <w:numFmt w:val="lowerLetter"/>
      <w:lvlText w:val="%2."/>
      <w:lvlJc w:val="left"/>
      <w:pPr>
        <w:ind w:left="4930" w:hanging="360"/>
      </w:pPr>
    </w:lvl>
    <w:lvl w:ilvl="2" w:tplc="140A001B" w:tentative="1">
      <w:start w:val="1"/>
      <w:numFmt w:val="lowerRoman"/>
      <w:lvlText w:val="%3."/>
      <w:lvlJc w:val="right"/>
      <w:pPr>
        <w:ind w:left="5650" w:hanging="180"/>
      </w:pPr>
    </w:lvl>
    <w:lvl w:ilvl="3" w:tplc="140A000F" w:tentative="1">
      <w:start w:val="1"/>
      <w:numFmt w:val="decimal"/>
      <w:lvlText w:val="%4."/>
      <w:lvlJc w:val="left"/>
      <w:pPr>
        <w:ind w:left="6370" w:hanging="360"/>
      </w:pPr>
    </w:lvl>
    <w:lvl w:ilvl="4" w:tplc="140A0019" w:tentative="1">
      <w:start w:val="1"/>
      <w:numFmt w:val="lowerLetter"/>
      <w:lvlText w:val="%5."/>
      <w:lvlJc w:val="left"/>
      <w:pPr>
        <w:ind w:left="7090" w:hanging="360"/>
      </w:pPr>
    </w:lvl>
    <w:lvl w:ilvl="5" w:tplc="140A001B" w:tentative="1">
      <w:start w:val="1"/>
      <w:numFmt w:val="lowerRoman"/>
      <w:lvlText w:val="%6."/>
      <w:lvlJc w:val="right"/>
      <w:pPr>
        <w:ind w:left="7810" w:hanging="180"/>
      </w:pPr>
    </w:lvl>
    <w:lvl w:ilvl="6" w:tplc="140A000F" w:tentative="1">
      <w:start w:val="1"/>
      <w:numFmt w:val="decimal"/>
      <w:lvlText w:val="%7."/>
      <w:lvlJc w:val="left"/>
      <w:pPr>
        <w:ind w:left="8530" w:hanging="360"/>
      </w:pPr>
    </w:lvl>
    <w:lvl w:ilvl="7" w:tplc="140A0019" w:tentative="1">
      <w:start w:val="1"/>
      <w:numFmt w:val="lowerLetter"/>
      <w:lvlText w:val="%8."/>
      <w:lvlJc w:val="left"/>
      <w:pPr>
        <w:ind w:left="9250" w:hanging="360"/>
      </w:pPr>
    </w:lvl>
    <w:lvl w:ilvl="8" w:tplc="140A001B" w:tentative="1">
      <w:start w:val="1"/>
      <w:numFmt w:val="lowerRoman"/>
      <w:lvlText w:val="%9."/>
      <w:lvlJc w:val="right"/>
      <w:pPr>
        <w:ind w:left="9970" w:hanging="180"/>
      </w:pPr>
    </w:lvl>
  </w:abstractNum>
  <w:abstractNum w:abstractNumId="36">
    <w:nsid w:val="79354707"/>
    <w:multiLevelType w:val="hybridMultilevel"/>
    <w:tmpl w:val="FE1C3586"/>
    <w:lvl w:ilvl="0" w:tplc="98A461BC">
      <w:start w:val="1"/>
      <w:numFmt w:val="decimal"/>
      <w:lvlText w:val="%1."/>
      <w:lvlJc w:val="left"/>
      <w:pPr>
        <w:ind w:left="1393" w:hanging="825"/>
      </w:pPr>
      <w:rPr>
        <w:rFonts w:ascii="Verdana" w:eastAsia="Verdana" w:hAnsi="Verdana" w:cs="Verdana" w:hint="default"/>
        <w:b w:val="0"/>
        <w:i w:val="0"/>
        <w:strike w:val="0"/>
        <w:dstrike w:val="0"/>
        <w:color w:val="auto"/>
        <w:sz w:val="20"/>
        <w:szCs w:val="20"/>
        <w:u w:val="none"/>
        <w:effect w:val="none"/>
        <w:lang w:val="es-MX"/>
      </w:rPr>
    </w:lvl>
    <w:lvl w:ilvl="1" w:tplc="140A001B">
      <w:start w:val="1"/>
      <w:numFmt w:val="lowerRoman"/>
      <w:lvlText w:val="%2."/>
      <w:lvlJc w:val="right"/>
      <w:pPr>
        <w:ind w:left="1440" w:hanging="360"/>
      </w:pPr>
    </w:lvl>
    <w:lvl w:ilvl="2" w:tplc="811CA528">
      <w:start w:val="1"/>
      <w:numFmt w:val="lowerRoman"/>
      <w:lvlText w:val="%3."/>
      <w:lvlJc w:val="right"/>
      <w:pPr>
        <w:ind w:left="1031" w:hanging="180"/>
      </w:pPr>
      <w:rPr>
        <w:rFonts w:ascii="Verdana" w:eastAsia="Batang" w:hAnsi="Verdana" w:cstheme="minorBidi"/>
        <w:i w:val="0"/>
      </w:rPr>
    </w:lvl>
    <w:lvl w:ilvl="3" w:tplc="664CD6A6">
      <w:start w:val="1"/>
      <w:numFmt w:val="decimal"/>
      <w:lvlText w:val="D.7.%4."/>
      <w:lvlJc w:val="left"/>
      <w:pPr>
        <w:ind w:left="2880" w:hanging="360"/>
      </w:pPr>
      <w:rPr>
        <w:lang w:val="es-AR"/>
      </w:r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5B9ABF92">
      <w:start w:val="1"/>
      <w:numFmt w:val="decimal"/>
      <w:lvlText w:val="A.%7."/>
      <w:lvlJc w:val="left"/>
      <w:pPr>
        <w:ind w:left="1778" w:hanging="360"/>
      </w:pPr>
      <w:rPr>
        <w:b w:val="0"/>
        <w:i/>
      </w:r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33"/>
  </w:num>
  <w:num w:numId="2">
    <w:abstractNumId w:val="14"/>
  </w:num>
  <w:num w:numId="3">
    <w:abstractNumId w:val="12"/>
  </w:num>
  <w:num w:numId="4">
    <w:abstractNumId w:val="11"/>
  </w:num>
  <w:num w:numId="5">
    <w:abstractNumId w:val="21"/>
  </w:num>
  <w:num w:numId="6">
    <w:abstractNumId w:val="27"/>
  </w:num>
  <w:num w:numId="7">
    <w:abstractNumId w:val="32"/>
  </w:num>
  <w:num w:numId="8">
    <w:abstractNumId w:val="5"/>
  </w:num>
  <w:num w:numId="9">
    <w:abstractNumId w:val="8"/>
  </w:num>
  <w:num w:numId="10">
    <w:abstractNumId w:val="0"/>
  </w:num>
  <w:num w:numId="11">
    <w:abstractNumId w:val="17"/>
  </w:num>
  <w:num w:numId="12">
    <w:abstractNumId w:val="9"/>
  </w:num>
  <w:num w:numId="13">
    <w:abstractNumId w:val="35"/>
  </w:num>
  <w:num w:numId="14">
    <w:abstractNumId w:val="24"/>
  </w:num>
  <w:num w:numId="15">
    <w:abstractNumId w:val="34"/>
  </w:num>
  <w:num w:numId="16">
    <w:abstractNumId w:val="28"/>
  </w:num>
  <w:num w:numId="17">
    <w:abstractNumId w:val="20"/>
  </w:num>
  <w:num w:numId="18">
    <w:abstractNumId w:val="15"/>
  </w:num>
  <w:num w:numId="19">
    <w:abstractNumId w:val="16"/>
  </w:num>
  <w:num w:numId="20">
    <w:abstractNumId w:val="31"/>
  </w:num>
  <w:num w:numId="21">
    <w:abstractNumId w:val="19"/>
  </w:num>
  <w:num w:numId="22">
    <w:abstractNumId w:val="7"/>
  </w:num>
  <w:num w:numId="23">
    <w:abstractNumId w:val="29"/>
  </w:num>
  <w:num w:numId="24">
    <w:abstractNumId w:val="30"/>
  </w:num>
  <w:num w:numId="25">
    <w:abstractNumId w:val="23"/>
  </w:num>
  <w:num w:numId="26">
    <w:abstractNumId w:val="26"/>
  </w:num>
  <w:num w:numId="27">
    <w:abstractNumId w:val="4"/>
  </w:num>
  <w:num w:numId="28">
    <w:abstractNumId w:val="1"/>
  </w:num>
  <w:num w:numId="29">
    <w:abstractNumId w:val="3"/>
  </w:num>
  <w:num w:numId="30">
    <w:abstractNumId w:val="2"/>
  </w:num>
  <w:num w:numId="31">
    <w:abstractNumId w:val="18"/>
  </w:num>
  <w:num w:numId="32">
    <w:abstractNumId w:val="25"/>
  </w:num>
  <w:num w:numId="33">
    <w:abstractNumId w:val="6"/>
  </w:num>
  <w:num w:numId="34">
    <w:abstractNumId w:val="22"/>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829"/>
    <w:rsid w:val="00010CB3"/>
    <w:rsid w:val="000229A7"/>
    <w:rsid w:val="0009529E"/>
    <w:rsid w:val="000A7258"/>
    <w:rsid w:val="000B2F1D"/>
    <w:rsid w:val="000C7F20"/>
    <w:rsid w:val="000E25B8"/>
    <w:rsid w:val="000F7DA4"/>
    <w:rsid w:val="0012793D"/>
    <w:rsid w:val="00127CB6"/>
    <w:rsid w:val="001539E4"/>
    <w:rsid w:val="00155CE1"/>
    <w:rsid w:val="001616E1"/>
    <w:rsid w:val="00186114"/>
    <w:rsid w:val="001A0618"/>
    <w:rsid w:val="001D4BAE"/>
    <w:rsid w:val="001E46B6"/>
    <w:rsid w:val="002209CF"/>
    <w:rsid w:val="00267004"/>
    <w:rsid w:val="002777DA"/>
    <w:rsid w:val="00287340"/>
    <w:rsid w:val="002D2ED3"/>
    <w:rsid w:val="002D3452"/>
    <w:rsid w:val="00335398"/>
    <w:rsid w:val="0036712A"/>
    <w:rsid w:val="00386580"/>
    <w:rsid w:val="003A4044"/>
    <w:rsid w:val="003B7FBE"/>
    <w:rsid w:val="003D5A36"/>
    <w:rsid w:val="00405CFA"/>
    <w:rsid w:val="00414DEF"/>
    <w:rsid w:val="004A61CB"/>
    <w:rsid w:val="004C4C88"/>
    <w:rsid w:val="004F5EFD"/>
    <w:rsid w:val="0050510A"/>
    <w:rsid w:val="00507B4E"/>
    <w:rsid w:val="00507D34"/>
    <w:rsid w:val="005221D7"/>
    <w:rsid w:val="005532F9"/>
    <w:rsid w:val="005756BD"/>
    <w:rsid w:val="005A4119"/>
    <w:rsid w:val="005B5E05"/>
    <w:rsid w:val="005E2829"/>
    <w:rsid w:val="005F7D12"/>
    <w:rsid w:val="0062656D"/>
    <w:rsid w:val="00635C7A"/>
    <w:rsid w:val="00636BD8"/>
    <w:rsid w:val="00695688"/>
    <w:rsid w:val="006F0229"/>
    <w:rsid w:val="0070495E"/>
    <w:rsid w:val="00735049"/>
    <w:rsid w:val="00742BD2"/>
    <w:rsid w:val="0074333F"/>
    <w:rsid w:val="00793E1E"/>
    <w:rsid w:val="007A0CA6"/>
    <w:rsid w:val="007A2B74"/>
    <w:rsid w:val="007C7465"/>
    <w:rsid w:val="007E56B4"/>
    <w:rsid w:val="007F4BDC"/>
    <w:rsid w:val="00883C50"/>
    <w:rsid w:val="00887F64"/>
    <w:rsid w:val="00897585"/>
    <w:rsid w:val="008D66E6"/>
    <w:rsid w:val="008E295C"/>
    <w:rsid w:val="00901112"/>
    <w:rsid w:val="00992F9F"/>
    <w:rsid w:val="009B6B9D"/>
    <w:rsid w:val="009E0A71"/>
    <w:rsid w:val="00A033B0"/>
    <w:rsid w:val="00A16EB4"/>
    <w:rsid w:val="00A17CBA"/>
    <w:rsid w:val="00A35831"/>
    <w:rsid w:val="00A40CDA"/>
    <w:rsid w:val="00A62AAE"/>
    <w:rsid w:val="00A85FFA"/>
    <w:rsid w:val="00AA6E24"/>
    <w:rsid w:val="00AB7BA4"/>
    <w:rsid w:val="00AD03C9"/>
    <w:rsid w:val="00B17E84"/>
    <w:rsid w:val="00B463F2"/>
    <w:rsid w:val="00B80291"/>
    <w:rsid w:val="00BC3133"/>
    <w:rsid w:val="00BD2998"/>
    <w:rsid w:val="00BF3F9B"/>
    <w:rsid w:val="00BF5C7D"/>
    <w:rsid w:val="00C1128E"/>
    <w:rsid w:val="00C81DBD"/>
    <w:rsid w:val="00C84ED4"/>
    <w:rsid w:val="00CA17C9"/>
    <w:rsid w:val="00CE6A4F"/>
    <w:rsid w:val="00CF09EC"/>
    <w:rsid w:val="00D02090"/>
    <w:rsid w:val="00D1418C"/>
    <w:rsid w:val="00D20E81"/>
    <w:rsid w:val="00D27006"/>
    <w:rsid w:val="00D563C3"/>
    <w:rsid w:val="00D9051D"/>
    <w:rsid w:val="00DF21F2"/>
    <w:rsid w:val="00E0031B"/>
    <w:rsid w:val="00E046D5"/>
    <w:rsid w:val="00E07388"/>
    <w:rsid w:val="00E17B7E"/>
    <w:rsid w:val="00E26329"/>
    <w:rsid w:val="00E4670F"/>
    <w:rsid w:val="00E83BE1"/>
    <w:rsid w:val="00E85286"/>
    <w:rsid w:val="00E970DD"/>
    <w:rsid w:val="00EA1A7E"/>
    <w:rsid w:val="00ED364F"/>
    <w:rsid w:val="00F774A7"/>
    <w:rsid w:val="00F8748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F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829"/>
  </w:style>
  <w:style w:type="paragraph" w:styleId="Ttulo1">
    <w:name w:val="heading 1"/>
    <w:basedOn w:val="Normal"/>
    <w:next w:val="Normal"/>
    <w:link w:val="Ttulo1Car"/>
    <w:uiPriority w:val="9"/>
    <w:qFormat/>
    <w:rsid w:val="005E2829"/>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E2829"/>
    <w:rPr>
      <w:rFonts w:asciiTheme="majorHAnsi" w:eastAsiaTheme="majorEastAsia" w:hAnsiTheme="majorHAnsi" w:cstheme="majorBidi"/>
      <w:b/>
      <w:bCs/>
      <w:color w:val="2E74B5" w:themeColor="accent1" w:themeShade="BF"/>
      <w:sz w:val="28"/>
      <w:szCs w:val="28"/>
      <w:lang w:val="es-ES_tradnl"/>
    </w:rPr>
  </w:style>
  <w:style w:type="paragraph" w:styleId="Encabezado">
    <w:name w:val="header"/>
    <w:basedOn w:val="Normal"/>
    <w:link w:val="EncabezadoCar"/>
    <w:uiPriority w:val="99"/>
    <w:unhideWhenUsed/>
    <w:rsid w:val="005E2829"/>
    <w:pPr>
      <w:tabs>
        <w:tab w:val="center" w:pos="4419"/>
        <w:tab w:val="right" w:pos="8838"/>
      </w:tabs>
      <w:spacing w:after="0" w:line="240" w:lineRule="auto"/>
    </w:pPr>
    <w:rPr>
      <w:lang w:val="es-ES_tradnl"/>
    </w:rPr>
  </w:style>
  <w:style w:type="character" w:customStyle="1" w:styleId="EncabezadoCar">
    <w:name w:val="Encabezado Car"/>
    <w:basedOn w:val="Fuentedeprrafopredeter"/>
    <w:link w:val="Encabezado"/>
    <w:uiPriority w:val="99"/>
    <w:rsid w:val="005E2829"/>
    <w:rPr>
      <w:lang w:val="es-ES_tradnl"/>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unhideWhenUsed/>
    <w:qFormat/>
    <w:rsid w:val="005E2829"/>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qFormat/>
    <w:rsid w:val="005E2829"/>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5E2829"/>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E2829"/>
    <w:pPr>
      <w:spacing w:after="0" w:line="240" w:lineRule="auto"/>
      <w:jc w:val="both"/>
    </w:pPr>
    <w:rPr>
      <w:vertAlign w:val="superscript"/>
    </w:rPr>
  </w:style>
  <w:style w:type="paragraph" w:styleId="Prrafodelista">
    <w:name w:val="List Paragraph"/>
    <w:aliases w:val="Footnote,List Paragraph1,Colorful List - Accent 11,Párrafo de lista1,List Paragraph2,Lista vistosa - Énfasis 11,Subtle Emphasis1,Footnote1,Parrafos,List Paragraph11"/>
    <w:basedOn w:val="Normal"/>
    <w:link w:val="PrrafodelistaCar"/>
    <w:uiPriority w:val="34"/>
    <w:qFormat/>
    <w:rsid w:val="005E2829"/>
    <w:pPr>
      <w:widowControl w:val="0"/>
      <w:spacing w:after="200" w:line="276" w:lineRule="auto"/>
      <w:ind w:left="720"/>
      <w:contextualSpacing/>
    </w:pPr>
    <w:rPr>
      <w:lang w:val="en-US"/>
    </w:rPr>
  </w:style>
  <w:style w:type="character" w:styleId="Refdecomentario">
    <w:name w:val="annotation reference"/>
    <w:basedOn w:val="Fuentedeprrafopredeter"/>
    <w:uiPriority w:val="99"/>
    <w:semiHidden/>
    <w:unhideWhenUsed/>
    <w:rsid w:val="005E2829"/>
    <w:rPr>
      <w:sz w:val="16"/>
      <w:szCs w:val="16"/>
    </w:rPr>
  </w:style>
  <w:style w:type="paragraph" w:styleId="Textocomentario">
    <w:name w:val="annotation text"/>
    <w:basedOn w:val="Normal"/>
    <w:link w:val="TextocomentarioCar"/>
    <w:uiPriority w:val="99"/>
    <w:semiHidden/>
    <w:unhideWhenUsed/>
    <w:rsid w:val="005E282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E2829"/>
    <w:rPr>
      <w:sz w:val="20"/>
      <w:szCs w:val="20"/>
    </w:rPr>
  </w:style>
  <w:style w:type="paragraph" w:styleId="Textodeglobo">
    <w:name w:val="Balloon Text"/>
    <w:basedOn w:val="Normal"/>
    <w:link w:val="TextodegloboCar"/>
    <w:uiPriority w:val="99"/>
    <w:semiHidden/>
    <w:unhideWhenUsed/>
    <w:rsid w:val="005E282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2829"/>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5E2829"/>
    <w:rPr>
      <w:b/>
      <w:bCs/>
    </w:rPr>
  </w:style>
  <w:style w:type="character" w:customStyle="1" w:styleId="AsuntodelcomentarioCar">
    <w:name w:val="Asunto del comentario Car"/>
    <w:basedOn w:val="TextocomentarioCar"/>
    <w:link w:val="Asuntodelcomentario"/>
    <w:uiPriority w:val="99"/>
    <w:semiHidden/>
    <w:rsid w:val="005E2829"/>
    <w:rPr>
      <w:b/>
      <w:bCs/>
      <w:sz w:val="20"/>
      <w:szCs w:val="20"/>
    </w:rPr>
  </w:style>
  <w:style w:type="paragraph" w:styleId="Revisin">
    <w:name w:val="Revision"/>
    <w:hidden/>
    <w:uiPriority w:val="99"/>
    <w:semiHidden/>
    <w:rsid w:val="005E2829"/>
    <w:pPr>
      <w:spacing w:after="0" w:line="240" w:lineRule="auto"/>
    </w:pPr>
  </w:style>
  <w:style w:type="character" w:styleId="Hipervnculo">
    <w:name w:val="Hyperlink"/>
    <w:basedOn w:val="Fuentedeprrafopredeter"/>
    <w:uiPriority w:val="99"/>
    <w:unhideWhenUsed/>
    <w:rsid w:val="005E2829"/>
    <w:rPr>
      <w:color w:val="0000FF"/>
      <w:u w:val="single"/>
    </w:rPr>
  </w:style>
  <w:style w:type="paragraph" w:styleId="Sinespaciado">
    <w:name w:val="No Spacing"/>
    <w:uiPriority w:val="1"/>
    <w:qFormat/>
    <w:rsid w:val="005E2829"/>
    <w:pPr>
      <w:spacing w:after="0" w:line="240" w:lineRule="auto"/>
    </w:pPr>
  </w:style>
  <w:style w:type="character" w:styleId="Nmerodelnea">
    <w:name w:val="line number"/>
    <w:basedOn w:val="Fuentedeprrafopredeter"/>
    <w:uiPriority w:val="99"/>
    <w:semiHidden/>
    <w:unhideWhenUsed/>
    <w:rsid w:val="005E2829"/>
  </w:style>
  <w:style w:type="paragraph" w:styleId="TDC1">
    <w:name w:val="toc 1"/>
    <w:basedOn w:val="Normal"/>
    <w:next w:val="Normal"/>
    <w:autoRedefine/>
    <w:uiPriority w:val="39"/>
    <w:unhideWhenUsed/>
    <w:rsid w:val="005E2829"/>
    <w:pPr>
      <w:spacing w:after="100"/>
    </w:pPr>
  </w:style>
  <w:style w:type="paragraph" w:styleId="TDC2">
    <w:name w:val="toc 2"/>
    <w:basedOn w:val="Normal"/>
    <w:next w:val="Normal"/>
    <w:autoRedefine/>
    <w:uiPriority w:val="39"/>
    <w:unhideWhenUsed/>
    <w:rsid w:val="005E2829"/>
    <w:pPr>
      <w:spacing w:after="100"/>
      <w:ind w:left="220"/>
    </w:pPr>
  </w:style>
  <w:style w:type="paragraph" w:styleId="TDC3">
    <w:name w:val="toc 3"/>
    <w:basedOn w:val="Normal"/>
    <w:next w:val="Normal"/>
    <w:autoRedefine/>
    <w:uiPriority w:val="39"/>
    <w:unhideWhenUsed/>
    <w:rsid w:val="005E2829"/>
    <w:pPr>
      <w:spacing w:after="100"/>
      <w:ind w:left="440"/>
    </w:pPr>
  </w:style>
  <w:style w:type="paragraph" w:styleId="TDC4">
    <w:name w:val="toc 4"/>
    <w:basedOn w:val="Normal"/>
    <w:next w:val="Normal"/>
    <w:autoRedefine/>
    <w:uiPriority w:val="39"/>
    <w:unhideWhenUsed/>
    <w:rsid w:val="005E2829"/>
    <w:pPr>
      <w:spacing w:after="100"/>
      <w:ind w:left="660"/>
    </w:p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uiPriority w:val="99"/>
    <w:qFormat/>
    <w:rsid w:val="005E2829"/>
    <w:rPr>
      <w:rFonts w:ascii="Verdana" w:eastAsia="Batang" w:hAnsi="Verdana" w:cs="Times"/>
      <w:noProof/>
      <w:sz w:val="16"/>
      <w:szCs w:val="20"/>
      <w:lang w:val="es-ES_tradnl"/>
    </w:rPr>
  </w:style>
  <w:style w:type="character" w:customStyle="1" w:styleId="PrrafodelistaCar">
    <w:name w:val="Párrafo de lista Car"/>
    <w:aliases w:val="Footnote Car,List Paragraph1 Car,Colorful List - Accent 11 Car,Párrafo de lista1 Car,List Paragraph2 Car,Lista vistosa - Énfasis 11 Car,Subtle Emphasis1 Car,Footnote1 Car,Parrafos Car,List Paragraph11 Car"/>
    <w:basedOn w:val="Fuentedeprrafopredeter"/>
    <w:link w:val="Prrafodelista"/>
    <w:uiPriority w:val="34"/>
    <w:locked/>
    <w:rsid w:val="005E2829"/>
    <w:rPr>
      <w:lang w:val="en-US"/>
    </w:rPr>
  </w:style>
  <w:style w:type="paragraph" w:styleId="Piedepgina">
    <w:name w:val="footer"/>
    <w:basedOn w:val="Normal"/>
    <w:link w:val="PiedepginaCar"/>
    <w:uiPriority w:val="99"/>
    <w:unhideWhenUsed/>
    <w:rsid w:val="005E28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2829"/>
  </w:style>
  <w:style w:type="paragraph" w:customStyle="1" w:styleId="Normal1">
    <w:name w:val="Normal1"/>
    <w:rsid w:val="005E2829"/>
    <w:pPr>
      <w:widowControl w:val="0"/>
      <w:spacing w:after="0"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5E282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829"/>
  </w:style>
  <w:style w:type="paragraph" w:styleId="Ttulo1">
    <w:name w:val="heading 1"/>
    <w:basedOn w:val="Normal"/>
    <w:next w:val="Normal"/>
    <w:link w:val="Ttulo1Car"/>
    <w:uiPriority w:val="9"/>
    <w:qFormat/>
    <w:rsid w:val="005E2829"/>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E2829"/>
    <w:rPr>
      <w:rFonts w:asciiTheme="majorHAnsi" w:eastAsiaTheme="majorEastAsia" w:hAnsiTheme="majorHAnsi" w:cstheme="majorBidi"/>
      <w:b/>
      <w:bCs/>
      <w:color w:val="2E74B5" w:themeColor="accent1" w:themeShade="BF"/>
      <w:sz w:val="28"/>
      <w:szCs w:val="28"/>
      <w:lang w:val="es-ES_tradnl"/>
    </w:rPr>
  </w:style>
  <w:style w:type="paragraph" w:styleId="Encabezado">
    <w:name w:val="header"/>
    <w:basedOn w:val="Normal"/>
    <w:link w:val="EncabezadoCar"/>
    <w:uiPriority w:val="99"/>
    <w:unhideWhenUsed/>
    <w:rsid w:val="005E2829"/>
    <w:pPr>
      <w:tabs>
        <w:tab w:val="center" w:pos="4419"/>
        <w:tab w:val="right" w:pos="8838"/>
      </w:tabs>
      <w:spacing w:after="0" w:line="240" w:lineRule="auto"/>
    </w:pPr>
    <w:rPr>
      <w:lang w:val="es-ES_tradnl"/>
    </w:rPr>
  </w:style>
  <w:style w:type="character" w:customStyle="1" w:styleId="EncabezadoCar">
    <w:name w:val="Encabezado Car"/>
    <w:basedOn w:val="Fuentedeprrafopredeter"/>
    <w:link w:val="Encabezado"/>
    <w:uiPriority w:val="99"/>
    <w:rsid w:val="005E2829"/>
    <w:rPr>
      <w:lang w:val="es-ES_tradnl"/>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unhideWhenUsed/>
    <w:qFormat/>
    <w:rsid w:val="005E2829"/>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qFormat/>
    <w:rsid w:val="005E2829"/>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5E2829"/>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E2829"/>
    <w:pPr>
      <w:spacing w:after="0" w:line="240" w:lineRule="auto"/>
      <w:jc w:val="both"/>
    </w:pPr>
    <w:rPr>
      <w:vertAlign w:val="superscript"/>
    </w:rPr>
  </w:style>
  <w:style w:type="paragraph" w:styleId="Prrafodelista">
    <w:name w:val="List Paragraph"/>
    <w:aliases w:val="Footnote,List Paragraph1,Colorful List - Accent 11,Párrafo de lista1,List Paragraph2,Lista vistosa - Énfasis 11,Subtle Emphasis1,Footnote1,Parrafos,List Paragraph11"/>
    <w:basedOn w:val="Normal"/>
    <w:link w:val="PrrafodelistaCar"/>
    <w:uiPriority w:val="34"/>
    <w:qFormat/>
    <w:rsid w:val="005E2829"/>
    <w:pPr>
      <w:widowControl w:val="0"/>
      <w:spacing w:after="200" w:line="276" w:lineRule="auto"/>
      <w:ind w:left="720"/>
      <w:contextualSpacing/>
    </w:pPr>
    <w:rPr>
      <w:lang w:val="en-US"/>
    </w:rPr>
  </w:style>
  <w:style w:type="character" w:styleId="Refdecomentario">
    <w:name w:val="annotation reference"/>
    <w:basedOn w:val="Fuentedeprrafopredeter"/>
    <w:uiPriority w:val="99"/>
    <w:semiHidden/>
    <w:unhideWhenUsed/>
    <w:rsid w:val="005E2829"/>
    <w:rPr>
      <w:sz w:val="16"/>
      <w:szCs w:val="16"/>
    </w:rPr>
  </w:style>
  <w:style w:type="paragraph" w:styleId="Textocomentario">
    <w:name w:val="annotation text"/>
    <w:basedOn w:val="Normal"/>
    <w:link w:val="TextocomentarioCar"/>
    <w:uiPriority w:val="99"/>
    <w:semiHidden/>
    <w:unhideWhenUsed/>
    <w:rsid w:val="005E282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E2829"/>
    <w:rPr>
      <w:sz w:val="20"/>
      <w:szCs w:val="20"/>
    </w:rPr>
  </w:style>
  <w:style w:type="paragraph" w:styleId="Textodeglobo">
    <w:name w:val="Balloon Text"/>
    <w:basedOn w:val="Normal"/>
    <w:link w:val="TextodegloboCar"/>
    <w:uiPriority w:val="99"/>
    <w:semiHidden/>
    <w:unhideWhenUsed/>
    <w:rsid w:val="005E282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2829"/>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5E2829"/>
    <w:rPr>
      <w:b/>
      <w:bCs/>
    </w:rPr>
  </w:style>
  <w:style w:type="character" w:customStyle="1" w:styleId="AsuntodelcomentarioCar">
    <w:name w:val="Asunto del comentario Car"/>
    <w:basedOn w:val="TextocomentarioCar"/>
    <w:link w:val="Asuntodelcomentario"/>
    <w:uiPriority w:val="99"/>
    <w:semiHidden/>
    <w:rsid w:val="005E2829"/>
    <w:rPr>
      <w:b/>
      <w:bCs/>
      <w:sz w:val="20"/>
      <w:szCs w:val="20"/>
    </w:rPr>
  </w:style>
  <w:style w:type="paragraph" w:styleId="Revisin">
    <w:name w:val="Revision"/>
    <w:hidden/>
    <w:uiPriority w:val="99"/>
    <w:semiHidden/>
    <w:rsid w:val="005E2829"/>
    <w:pPr>
      <w:spacing w:after="0" w:line="240" w:lineRule="auto"/>
    </w:pPr>
  </w:style>
  <w:style w:type="character" w:styleId="Hipervnculo">
    <w:name w:val="Hyperlink"/>
    <w:basedOn w:val="Fuentedeprrafopredeter"/>
    <w:uiPriority w:val="99"/>
    <w:unhideWhenUsed/>
    <w:rsid w:val="005E2829"/>
    <w:rPr>
      <w:color w:val="0000FF"/>
      <w:u w:val="single"/>
    </w:rPr>
  </w:style>
  <w:style w:type="paragraph" w:styleId="Sinespaciado">
    <w:name w:val="No Spacing"/>
    <w:uiPriority w:val="1"/>
    <w:qFormat/>
    <w:rsid w:val="005E2829"/>
    <w:pPr>
      <w:spacing w:after="0" w:line="240" w:lineRule="auto"/>
    </w:pPr>
  </w:style>
  <w:style w:type="character" w:styleId="Nmerodelnea">
    <w:name w:val="line number"/>
    <w:basedOn w:val="Fuentedeprrafopredeter"/>
    <w:uiPriority w:val="99"/>
    <w:semiHidden/>
    <w:unhideWhenUsed/>
    <w:rsid w:val="005E2829"/>
  </w:style>
  <w:style w:type="paragraph" w:styleId="TDC1">
    <w:name w:val="toc 1"/>
    <w:basedOn w:val="Normal"/>
    <w:next w:val="Normal"/>
    <w:autoRedefine/>
    <w:uiPriority w:val="39"/>
    <w:unhideWhenUsed/>
    <w:rsid w:val="005E2829"/>
    <w:pPr>
      <w:spacing w:after="100"/>
    </w:pPr>
  </w:style>
  <w:style w:type="paragraph" w:styleId="TDC2">
    <w:name w:val="toc 2"/>
    <w:basedOn w:val="Normal"/>
    <w:next w:val="Normal"/>
    <w:autoRedefine/>
    <w:uiPriority w:val="39"/>
    <w:unhideWhenUsed/>
    <w:rsid w:val="005E2829"/>
    <w:pPr>
      <w:spacing w:after="100"/>
      <w:ind w:left="220"/>
    </w:pPr>
  </w:style>
  <w:style w:type="paragraph" w:styleId="TDC3">
    <w:name w:val="toc 3"/>
    <w:basedOn w:val="Normal"/>
    <w:next w:val="Normal"/>
    <w:autoRedefine/>
    <w:uiPriority w:val="39"/>
    <w:unhideWhenUsed/>
    <w:rsid w:val="005E2829"/>
    <w:pPr>
      <w:spacing w:after="100"/>
      <w:ind w:left="440"/>
    </w:pPr>
  </w:style>
  <w:style w:type="paragraph" w:styleId="TDC4">
    <w:name w:val="toc 4"/>
    <w:basedOn w:val="Normal"/>
    <w:next w:val="Normal"/>
    <w:autoRedefine/>
    <w:uiPriority w:val="39"/>
    <w:unhideWhenUsed/>
    <w:rsid w:val="005E2829"/>
    <w:pPr>
      <w:spacing w:after="100"/>
      <w:ind w:left="660"/>
    </w:p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uiPriority w:val="99"/>
    <w:qFormat/>
    <w:rsid w:val="005E2829"/>
    <w:rPr>
      <w:rFonts w:ascii="Verdana" w:eastAsia="Batang" w:hAnsi="Verdana" w:cs="Times"/>
      <w:noProof/>
      <w:sz w:val="16"/>
      <w:szCs w:val="20"/>
      <w:lang w:val="es-ES_tradnl"/>
    </w:rPr>
  </w:style>
  <w:style w:type="character" w:customStyle="1" w:styleId="PrrafodelistaCar">
    <w:name w:val="Párrafo de lista Car"/>
    <w:aliases w:val="Footnote Car,List Paragraph1 Car,Colorful List - Accent 11 Car,Párrafo de lista1 Car,List Paragraph2 Car,Lista vistosa - Énfasis 11 Car,Subtle Emphasis1 Car,Footnote1 Car,Parrafos Car,List Paragraph11 Car"/>
    <w:basedOn w:val="Fuentedeprrafopredeter"/>
    <w:link w:val="Prrafodelista"/>
    <w:uiPriority w:val="34"/>
    <w:locked/>
    <w:rsid w:val="005E2829"/>
    <w:rPr>
      <w:lang w:val="en-US"/>
    </w:rPr>
  </w:style>
  <w:style w:type="paragraph" w:styleId="Piedepgina">
    <w:name w:val="footer"/>
    <w:basedOn w:val="Normal"/>
    <w:link w:val="PiedepginaCar"/>
    <w:uiPriority w:val="99"/>
    <w:unhideWhenUsed/>
    <w:rsid w:val="005E28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2829"/>
  </w:style>
  <w:style w:type="paragraph" w:customStyle="1" w:styleId="Normal1">
    <w:name w:val="Normal1"/>
    <w:rsid w:val="005E2829"/>
    <w:pPr>
      <w:widowControl w:val="0"/>
      <w:spacing w:after="0"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5E28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bjdh.org.mx/interamericano/busqued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1F79A-BF9A-454D-A214-CEFDA4DD0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11090</Words>
  <Characters>60999</Characters>
  <Application>Microsoft Office Word</Application>
  <DocSecurity>0</DocSecurity>
  <Lines>508</Lines>
  <Paragraphs>143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Company>
  <LinksUpToDate>false</LinksUpToDate>
  <CharactersWithSpaces>71946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2020-04-08T22:27:00Z</cp:lastPrinted>
  <dcterms:created xsi:type="dcterms:W3CDTF">2020-04-08T22:27:00Z</dcterms:created>
  <dcterms:modified xsi:type="dcterms:W3CDTF">2020-04-08T22:27:00Z</dcterms:modified>
</cp:coreProperties>
</file>