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AB0" w:rsidRDefault="00CF1AB0" w:rsidP="00B10467">
      <w:pPr>
        <w:suppressAutoHyphens/>
        <w:spacing w:after="0" w:line="240" w:lineRule="auto"/>
        <w:jc w:val="right"/>
        <w:rPr>
          <w:rFonts w:ascii="Cambria" w:hAnsi="Cambria" w:cs="Arial"/>
          <w:lang w:val="es-CO"/>
        </w:rPr>
      </w:pPr>
      <w:bookmarkStart w:id="0" w:name="_GoBack"/>
      <w:bookmarkEnd w:id="0"/>
    </w:p>
    <w:p w:rsidR="00CF1AB0" w:rsidRDefault="00CF1AB0" w:rsidP="00B10467">
      <w:pPr>
        <w:suppressAutoHyphens/>
        <w:spacing w:after="0" w:line="240" w:lineRule="auto"/>
        <w:jc w:val="right"/>
        <w:rPr>
          <w:rFonts w:ascii="Cambria" w:hAnsi="Cambria" w:cs="Arial"/>
          <w:lang w:val="es-CO"/>
        </w:rPr>
      </w:pPr>
    </w:p>
    <w:p w:rsidR="00251530" w:rsidRPr="0062724F" w:rsidRDefault="000F4D9B" w:rsidP="00B10467">
      <w:pPr>
        <w:suppressAutoHyphens/>
        <w:spacing w:after="0" w:line="240" w:lineRule="auto"/>
        <w:jc w:val="right"/>
        <w:rPr>
          <w:rFonts w:ascii="Cambria" w:hAnsi="Cambria" w:cs="Arial"/>
          <w:b/>
          <w:lang w:val="es-CO"/>
        </w:rPr>
      </w:pPr>
      <w:r w:rsidRPr="0062724F">
        <w:rPr>
          <w:rFonts w:ascii="Cambria" w:hAnsi="Cambria" w:cs="Arial"/>
          <w:lang w:val="es-CO"/>
        </w:rPr>
        <w:t>9</w:t>
      </w:r>
      <w:r w:rsidR="00251530" w:rsidRPr="0062724F">
        <w:rPr>
          <w:rFonts w:ascii="Cambria" w:hAnsi="Cambria" w:cs="Arial"/>
          <w:lang w:val="es-CO"/>
        </w:rPr>
        <w:t xml:space="preserve"> de </w:t>
      </w:r>
      <w:r w:rsidR="0038611D">
        <w:rPr>
          <w:rFonts w:ascii="Cambria" w:hAnsi="Cambria" w:cs="Arial"/>
          <w:lang w:val="es-CO"/>
        </w:rPr>
        <w:t xml:space="preserve">enero </w:t>
      </w:r>
      <w:r w:rsidR="00251530" w:rsidRPr="0062724F">
        <w:rPr>
          <w:rFonts w:ascii="Cambria" w:hAnsi="Cambria" w:cs="Arial"/>
          <w:lang w:val="es-CO"/>
        </w:rPr>
        <w:t>de 20</w:t>
      </w:r>
      <w:r w:rsidR="0038611D">
        <w:rPr>
          <w:rFonts w:ascii="Cambria" w:hAnsi="Cambria" w:cs="Arial"/>
          <w:lang w:val="es-CO"/>
        </w:rPr>
        <w:t>20</w:t>
      </w:r>
    </w:p>
    <w:p w:rsidR="00CF1AB0" w:rsidRDefault="00CF1AB0" w:rsidP="00B10467">
      <w:pPr>
        <w:tabs>
          <w:tab w:val="left" w:pos="720"/>
          <w:tab w:val="center" w:pos="6480"/>
        </w:tabs>
        <w:spacing w:after="0" w:line="240" w:lineRule="auto"/>
        <w:jc w:val="both"/>
        <w:rPr>
          <w:rFonts w:ascii="Cambria" w:hAnsi="Cambria" w:cs="Arial"/>
          <w:b/>
          <w:lang w:val="es-CO"/>
        </w:rPr>
      </w:pPr>
    </w:p>
    <w:p w:rsidR="00CF1AB0" w:rsidRDefault="00CF1AB0" w:rsidP="00B10467">
      <w:pPr>
        <w:tabs>
          <w:tab w:val="left" w:pos="720"/>
          <w:tab w:val="center" w:pos="6480"/>
        </w:tabs>
        <w:spacing w:after="0" w:line="240" w:lineRule="auto"/>
        <w:jc w:val="both"/>
        <w:rPr>
          <w:rFonts w:ascii="Cambria" w:hAnsi="Cambria" w:cs="Arial"/>
          <w:b/>
          <w:lang w:val="es-CO"/>
        </w:rPr>
      </w:pPr>
    </w:p>
    <w:p w:rsidR="00251530" w:rsidRPr="0062724F" w:rsidRDefault="00251530" w:rsidP="00B10467">
      <w:pPr>
        <w:tabs>
          <w:tab w:val="left" w:pos="720"/>
          <w:tab w:val="center" w:pos="6480"/>
        </w:tabs>
        <w:spacing w:after="0" w:line="240" w:lineRule="auto"/>
        <w:jc w:val="both"/>
        <w:rPr>
          <w:rFonts w:ascii="Cambria" w:hAnsi="Cambria" w:cs="Arial"/>
          <w:b/>
          <w:lang w:val="es-CO"/>
        </w:rPr>
      </w:pPr>
      <w:r w:rsidRPr="0062724F">
        <w:rPr>
          <w:rFonts w:ascii="Cambria" w:hAnsi="Cambria" w:cs="Arial"/>
          <w:b/>
          <w:lang w:val="es-CO"/>
        </w:rPr>
        <w:t>Ref.:</w:t>
      </w:r>
      <w:bookmarkStart w:id="1" w:name="Peticion_n"/>
      <w:bookmarkEnd w:id="1"/>
      <w:r w:rsidRPr="0062724F">
        <w:rPr>
          <w:rFonts w:ascii="Cambria" w:hAnsi="Cambria" w:cs="Arial"/>
          <w:b/>
          <w:lang w:val="es-CO"/>
        </w:rPr>
        <w:tab/>
        <w:t xml:space="preserve">Caso No. </w:t>
      </w:r>
      <w:r w:rsidRPr="0062724F">
        <w:rPr>
          <w:rFonts w:ascii="Cambria" w:hAnsi="Cambria"/>
          <w:b/>
          <w:lang w:val="es-CO"/>
        </w:rPr>
        <w:t>1</w:t>
      </w:r>
      <w:r w:rsidR="0038611D">
        <w:rPr>
          <w:rFonts w:ascii="Cambria" w:hAnsi="Cambria"/>
          <w:b/>
          <w:lang w:val="es-CO"/>
        </w:rPr>
        <w:t>3</w:t>
      </w:r>
      <w:r w:rsidRPr="0062724F">
        <w:rPr>
          <w:rFonts w:ascii="Cambria" w:hAnsi="Cambria"/>
          <w:b/>
          <w:lang w:val="es-CO"/>
        </w:rPr>
        <w:t>.</w:t>
      </w:r>
      <w:r w:rsidR="0038611D">
        <w:rPr>
          <w:rFonts w:ascii="Cambria" w:hAnsi="Cambria"/>
          <w:b/>
          <w:lang w:val="es-CO"/>
        </w:rPr>
        <w:t>036</w:t>
      </w:r>
    </w:p>
    <w:p w:rsidR="00251530" w:rsidRPr="0062724F" w:rsidRDefault="0038611D" w:rsidP="00B10467">
      <w:pPr>
        <w:tabs>
          <w:tab w:val="left" w:pos="720"/>
          <w:tab w:val="center" w:pos="6480"/>
        </w:tabs>
        <w:spacing w:after="0" w:line="240" w:lineRule="auto"/>
        <w:ind w:left="720"/>
        <w:jc w:val="both"/>
        <w:rPr>
          <w:rFonts w:ascii="Cambria" w:hAnsi="Cambria" w:cs="Arial"/>
          <w:b/>
          <w:lang w:val="es-CR"/>
        </w:rPr>
      </w:pPr>
      <w:r>
        <w:rPr>
          <w:rFonts w:ascii="Cambria" w:hAnsi="Cambria" w:cs="Arial"/>
          <w:b/>
          <w:lang w:val="es-CR"/>
        </w:rPr>
        <w:t>Norka Moya Sol</w:t>
      </w:r>
      <w:r>
        <w:rPr>
          <w:rFonts w:ascii="Cambria" w:hAnsi="Cambria" w:cs="Arial"/>
          <w:b/>
          <w:lang w:val="es-MX"/>
        </w:rPr>
        <w:t>ís</w:t>
      </w:r>
      <w:r w:rsidR="00964313" w:rsidRPr="0062724F">
        <w:rPr>
          <w:rFonts w:ascii="Cambria" w:hAnsi="Cambria" w:cs="Arial"/>
          <w:b/>
          <w:lang w:val="es-CR"/>
        </w:rPr>
        <w:t xml:space="preserve"> </w:t>
      </w:r>
    </w:p>
    <w:p w:rsidR="00251530" w:rsidRPr="0062724F" w:rsidRDefault="00251530" w:rsidP="00B10467">
      <w:pPr>
        <w:tabs>
          <w:tab w:val="left" w:pos="720"/>
          <w:tab w:val="center" w:pos="6480"/>
        </w:tabs>
        <w:spacing w:after="0" w:line="240" w:lineRule="auto"/>
        <w:ind w:left="720"/>
        <w:jc w:val="both"/>
        <w:rPr>
          <w:rFonts w:ascii="Cambria" w:hAnsi="Cambria" w:cs="Arial"/>
          <w:b/>
          <w:lang w:val="es-ES_tradnl"/>
        </w:rPr>
      </w:pPr>
      <w:r w:rsidRPr="0062724F">
        <w:rPr>
          <w:rFonts w:ascii="Cambria" w:hAnsi="Cambria" w:cs="Arial"/>
          <w:b/>
          <w:lang w:val="es-ES_tradnl"/>
        </w:rPr>
        <w:t xml:space="preserve">Perú </w:t>
      </w:r>
    </w:p>
    <w:p w:rsidR="00251530" w:rsidRPr="0062724F" w:rsidRDefault="00251530" w:rsidP="00B10467">
      <w:pPr>
        <w:tabs>
          <w:tab w:val="left" w:pos="720"/>
          <w:tab w:val="center" w:pos="6480"/>
        </w:tabs>
        <w:spacing w:after="0" w:line="240" w:lineRule="auto"/>
        <w:jc w:val="both"/>
        <w:rPr>
          <w:rFonts w:ascii="Cambria" w:hAnsi="Cambria" w:cs="Arial"/>
          <w:lang w:val="es-PE"/>
        </w:rPr>
      </w:pPr>
    </w:p>
    <w:p w:rsidR="00251530" w:rsidRPr="0062724F" w:rsidRDefault="00251530" w:rsidP="00B10467">
      <w:pPr>
        <w:tabs>
          <w:tab w:val="left" w:pos="720"/>
          <w:tab w:val="center" w:pos="6480"/>
        </w:tabs>
        <w:spacing w:after="0" w:line="240" w:lineRule="auto"/>
        <w:jc w:val="both"/>
        <w:rPr>
          <w:rFonts w:ascii="Cambria" w:hAnsi="Cambria" w:cs="Arial"/>
          <w:lang w:val="es-PE"/>
        </w:rPr>
      </w:pPr>
      <w:r w:rsidRPr="0062724F">
        <w:rPr>
          <w:rFonts w:ascii="Cambria" w:hAnsi="Cambria" w:cs="Arial"/>
          <w:lang w:val="es-PE"/>
        </w:rPr>
        <w:t>Señor Secretario:</w:t>
      </w:r>
    </w:p>
    <w:p w:rsidR="00251530" w:rsidRPr="0062724F" w:rsidRDefault="00251530" w:rsidP="00B10467">
      <w:pPr>
        <w:spacing w:after="0" w:line="240" w:lineRule="auto"/>
        <w:rPr>
          <w:rFonts w:ascii="Cambria" w:hAnsi="Cambria" w:cs="Arial"/>
          <w:lang w:val="es-CO"/>
        </w:rPr>
      </w:pPr>
    </w:p>
    <w:p w:rsidR="0038611D" w:rsidRDefault="00251530" w:rsidP="0038611D">
      <w:pPr>
        <w:widowControl w:val="0"/>
        <w:autoSpaceDE w:val="0"/>
        <w:autoSpaceDN w:val="0"/>
        <w:adjustRightInd w:val="0"/>
        <w:spacing w:after="0" w:line="240" w:lineRule="auto"/>
        <w:ind w:firstLine="720"/>
        <w:jc w:val="both"/>
        <w:rPr>
          <w:rFonts w:ascii="Cambria" w:hAnsi="Cambria" w:cs="Arial"/>
          <w:lang w:val="es-CO"/>
        </w:rPr>
      </w:pPr>
      <w:r w:rsidRPr="0062724F">
        <w:rPr>
          <w:rFonts w:ascii="Cambria" w:hAnsi="Cambria"/>
          <w:lang w:val="es-CO"/>
        </w:rPr>
        <w:t>Tengo el agrado de dirigirme a usted</w:t>
      </w:r>
      <w:r w:rsidR="00927010">
        <w:rPr>
          <w:rFonts w:ascii="Cambria" w:hAnsi="Cambria"/>
          <w:lang w:val="es-CO"/>
        </w:rPr>
        <w:t>,</w:t>
      </w:r>
      <w:r w:rsidRPr="0062724F">
        <w:rPr>
          <w:rFonts w:ascii="Cambria" w:hAnsi="Cambria"/>
          <w:lang w:val="es-CO"/>
        </w:rPr>
        <w:t xml:space="preserve"> en nombre de la Comisión Interamericana de Derechos Humanos</w:t>
      </w:r>
      <w:r w:rsidR="00927010">
        <w:rPr>
          <w:rFonts w:ascii="Cambria" w:hAnsi="Cambria"/>
          <w:lang w:val="es-CO"/>
        </w:rPr>
        <w:t>,</w:t>
      </w:r>
      <w:r w:rsidRPr="0062724F">
        <w:rPr>
          <w:rFonts w:ascii="Cambria" w:hAnsi="Cambria"/>
          <w:lang w:val="es-CO"/>
        </w:rPr>
        <w:t xml:space="preserve"> con el objeto</w:t>
      </w:r>
      <w:r w:rsidRPr="0062724F">
        <w:rPr>
          <w:rFonts w:ascii="Cambria" w:hAnsi="Cambria" w:cs="Arial"/>
          <w:lang w:val="es-CO"/>
        </w:rPr>
        <w:t xml:space="preserve"> de someter a la jurisdicción de la Honorable Corte Interame</w:t>
      </w:r>
      <w:r w:rsidR="00927010">
        <w:rPr>
          <w:rFonts w:ascii="Cambria" w:hAnsi="Cambria" w:cs="Arial"/>
          <w:lang w:val="es-CO"/>
        </w:rPr>
        <w:t xml:space="preserve">ricana de </w:t>
      </w:r>
      <w:r w:rsidR="00927010" w:rsidRPr="0038611D">
        <w:rPr>
          <w:rFonts w:ascii="Cambria" w:hAnsi="Cambria" w:cs="Arial"/>
          <w:lang w:val="es-CO"/>
        </w:rPr>
        <w:t>Derechos Humanos, el C</w:t>
      </w:r>
      <w:r w:rsidRPr="0038611D">
        <w:rPr>
          <w:rFonts w:ascii="Cambria" w:hAnsi="Cambria" w:cs="Arial"/>
          <w:lang w:val="es-CO"/>
        </w:rPr>
        <w:t>aso</w:t>
      </w:r>
      <w:r w:rsidR="00927010" w:rsidRPr="0038611D">
        <w:rPr>
          <w:rFonts w:ascii="Cambria" w:hAnsi="Cambria" w:cs="Arial"/>
          <w:lang w:val="es-CO"/>
        </w:rPr>
        <w:t xml:space="preserve"> Nº</w:t>
      </w:r>
      <w:r w:rsidRPr="0038611D">
        <w:rPr>
          <w:rFonts w:ascii="Cambria" w:hAnsi="Cambria" w:cs="Arial"/>
          <w:lang w:val="es-CO"/>
        </w:rPr>
        <w:t xml:space="preserve"> 1</w:t>
      </w:r>
      <w:r w:rsidR="0038611D" w:rsidRPr="0038611D">
        <w:rPr>
          <w:rFonts w:ascii="Cambria" w:hAnsi="Cambria" w:cs="Arial"/>
          <w:lang w:val="es-CO"/>
        </w:rPr>
        <w:t>3</w:t>
      </w:r>
      <w:r w:rsidRPr="0038611D">
        <w:rPr>
          <w:rFonts w:ascii="Cambria" w:hAnsi="Cambria" w:cs="Arial"/>
          <w:lang w:val="es-CO"/>
        </w:rPr>
        <w:t>.</w:t>
      </w:r>
      <w:r w:rsidR="0038611D" w:rsidRPr="0038611D">
        <w:rPr>
          <w:rFonts w:ascii="Cambria" w:hAnsi="Cambria" w:cs="Arial"/>
          <w:lang w:val="es-CO"/>
        </w:rPr>
        <w:t>036</w:t>
      </w:r>
      <w:r w:rsidRPr="0038611D">
        <w:rPr>
          <w:rFonts w:ascii="Cambria" w:hAnsi="Cambria" w:cs="Arial"/>
          <w:lang w:val="es-CO"/>
        </w:rPr>
        <w:t xml:space="preserve"> – </w:t>
      </w:r>
      <w:r w:rsidR="0038611D" w:rsidRPr="0038611D">
        <w:rPr>
          <w:rFonts w:ascii="Cambria" w:hAnsi="Cambria" w:cs="Arial"/>
          <w:lang w:val="es-CO"/>
        </w:rPr>
        <w:t>Norka Moya Solís</w:t>
      </w:r>
      <w:r w:rsidR="00841921" w:rsidRPr="0038611D">
        <w:rPr>
          <w:rFonts w:ascii="Cambria" w:hAnsi="Cambria" w:cs="Arial"/>
          <w:lang w:val="es-CO"/>
        </w:rPr>
        <w:t xml:space="preserve"> </w:t>
      </w:r>
      <w:r w:rsidRPr="0038611D">
        <w:rPr>
          <w:rFonts w:ascii="Cambria" w:hAnsi="Cambria" w:cs="Arial"/>
          <w:lang w:val="es-CO"/>
        </w:rPr>
        <w:t xml:space="preserve">respecto de la República de Perú (en adelante “el Estado”, </w:t>
      </w:r>
      <w:r w:rsidR="0038611D">
        <w:rPr>
          <w:rFonts w:ascii="Cambria" w:hAnsi="Cambria" w:cs="Arial"/>
          <w:lang w:val="es-CO"/>
        </w:rPr>
        <w:t xml:space="preserve">“el Estado peruano” o “Perú”). </w:t>
      </w:r>
    </w:p>
    <w:p w:rsidR="0038611D" w:rsidRDefault="0038611D" w:rsidP="0038611D">
      <w:pPr>
        <w:widowControl w:val="0"/>
        <w:autoSpaceDE w:val="0"/>
        <w:autoSpaceDN w:val="0"/>
        <w:adjustRightInd w:val="0"/>
        <w:spacing w:after="0" w:line="240" w:lineRule="auto"/>
        <w:ind w:firstLine="720"/>
        <w:jc w:val="both"/>
        <w:rPr>
          <w:rFonts w:ascii="Cambria" w:hAnsi="Cambria" w:cs="Arial"/>
          <w:lang w:val="es-CO"/>
        </w:rPr>
      </w:pPr>
    </w:p>
    <w:p w:rsidR="0038611D" w:rsidRDefault="00251530" w:rsidP="0038611D">
      <w:pPr>
        <w:widowControl w:val="0"/>
        <w:autoSpaceDE w:val="0"/>
        <w:autoSpaceDN w:val="0"/>
        <w:adjustRightInd w:val="0"/>
        <w:spacing w:after="0" w:line="240" w:lineRule="auto"/>
        <w:ind w:firstLine="720"/>
        <w:jc w:val="both"/>
        <w:rPr>
          <w:rFonts w:ascii="Cambria" w:hAnsi="Cambria" w:cs="Arial"/>
          <w:lang w:val="es-CO"/>
        </w:rPr>
      </w:pPr>
      <w:r w:rsidRPr="0038611D">
        <w:rPr>
          <w:rFonts w:ascii="Cambria" w:hAnsi="Cambria"/>
          <w:lang w:val="es-ES"/>
        </w:rPr>
        <w:t xml:space="preserve">El presente caso se </w:t>
      </w:r>
      <w:r w:rsidR="0038611D" w:rsidRPr="0038611D">
        <w:rPr>
          <w:rFonts w:ascii="Cambria" w:hAnsi="Cambria"/>
          <w:lang w:val="es-CO"/>
        </w:rPr>
        <w:t xml:space="preserve">refiere a la violación de varios derechos convencionales en el marco del proceso administrativo sancionatorio de ratificación que culminó con la destitución de la víctima de su cargo de Secretaria Judicial del Tercer Juzgado del Fuero Privativo del Trabajo y Comunidades Laborales del Perú. </w:t>
      </w:r>
    </w:p>
    <w:p w:rsidR="0038611D" w:rsidRDefault="0038611D" w:rsidP="0038611D">
      <w:pPr>
        <w:widowControl w:val="0"/>
        <w:autoSpaceDE w:val="0"/>
        <w:autoSpaceDN w:val="0"/>
        <w:adjustRightInd w:val="0"/>
        <w:spacing w:after="0" w:line="240" w:lineRule="auto"/>
        <w:ind w:firstLine="720"/>
        <w:jc w:val="both"/>
        <w:rPr>
          <w:rFonts w:ascii="Cambria" w:hAnsi="Cambria" w:cs="Arial"/>
          <w:lang w:val="es-CO"/>
        </w:rPr>
      </w:pPr>
    </w:p>
    <w:p w:rsidR="0038611D" w:rsidRDefault="0038611D" w:rsidP="0038611D">
      <w:pPr>
        <w:widowControl w:val="0"/>
        <w:autoSpaceDE w:val="0"/>
        <w:autoSpaceDN w:val="0"/>
        <w:adjustRightInd w:val="0"/>
        <w:spacing w:after="0" w:line="240" w:lineRule="auto"/>
        <w:ind w:firstLine="720"/>
        <w:jc w:val="both"/>
        <w:rPr>
          <w:rFonts w:ascii="Cambria" w:hAnsi="Cambria"/>
          <w:lang w:val="es-ES"/>
        </w:rPr>
      </w:pPr>
      <w:r w:rsidRPr="0038611D">
        <w:rPr>
          <w:rFonts w:ascii="Cambria" w:hAnsi="Cambria"/>
          <w:lang w:val="es-CO"/>
        </w:rPr>
        <w:t xml:space="preserve">La Comisión determinó que el Estado violó el derecho a conocer previa y detalladamente la acusación formulada y de tener el tiempo y los medios adecuados para la defensa, tomando en cuenta </w:t>
      </w:r>
      <w:proofErr w:type="gramStart"/>
      <w:r w:rsidRPr="0038611D">
        <w:rPr>
          <w:rFonts w:ascii="Cambria" w:hAnsi="Cambria"/>
          <w:lang w:val="es-CO"/>
        </w:rPr>
        <w:t>que</w:t>
      </w:r>
      <w:proofErr w:type="gramEnd"/>
      <w:r w:rsidRPr="0038611D">
        <w:rPr>
          <w:rFonts w:ascii="Cambria" w:hAnsi="Cambria"/>
          <w:lang w:val="es-CO"/>
        </w:rPr>
        <w:t xml:space="preserve"> </w:t>
      </w:r>
      <w:r w:rsidRPr="0038611D">
        <w:rPr>
          <w:rFonts w:ascii="Cambria" w:hAnsi="Cambria"/>
          <w:lang w:val="es-ES"/>
        </w:rPr>
        <w:t>durante el proceso de ratificación, la víctima no fue notificada de los cargos o acusación en su contra, ni se le informó de denuncias o quejas que le permitieran presentar pruebas o descargos respecto de las mismas</w:t>
      </w:r>
      <w:r w:rsidRPr="0038611D">
        <w:rPr>
          <w:rFonts w:ascii="Cambria" w:hAnsi="Cambria"/>
          <w:lang w:val="es-CO"/>
        </w:rPr>
        <w:t xml:space="preserve">. </w:t>
      </w:r>
      <w:r w:rsidRPr="0038611D">
        <w:rPr>
          <w:rFonts w:ascii="Cambria" w:hAnsi="Cambria"/>
          <w:lang w:val="es-ES"/>
        </w:rPr>
        <w:t>Según consta en el expediente, en el marco del procedimiento se presentó un informe negativo respecto del desempeño de la víctima</w:t>
      </w:r>
      <w:r>
        <w:rPr>
          <w:rFonts w:ascii="Cambria" w:hAnsi="Cambria"/>
          <w:lang w:val="es-ES"/>
        </w:rPr>
        <w:t>;</w:t>
      </w:r>
      <w:r w:rsidRPr="0038611D">
        <w:rPr>
          <w:rFonts w:ascii="Cambria" w:hAnsi="Cambria"/>
          <w:lang w:val="es-ES"/>
        </w:rPr>
        <w:t xml:space="preserve"> sin embargo, el mismo no le fue notificado, de tal forma que pudiera presentar argumentos y pruebas de descargo respecto de</w:t>
      </w:r>
      <w:r w:rsidR="0055690C">
        <w:rPr>
          <w:rFonts w:ascii="Cambria" w:hAnsi="Cambria"/>
          <w:lang w:val="es-ES"/>
        </w:rPr>
        <w:t xml:space="preserve"> este</w:t>
      </w:r>
      <w:r w:rsidRPr="0038611D">
        <w:rPr>
          <w:rFonts w:ascii="Cambria" w:hAnsi="Cambria"/>
          <w:lang w:val="es-ES"/>
        </w:rPr>
        <w:t xml:space="preserve">. Por otra parte, fue notificada verbalmente de la decisión de no ratificación, lo cual afectó el derecho de defensa en las instancias de apelación porque no conoció las razones que llevaron a la Comisión de Vocales a decidir su no ratificación. Adicionalmente, según consta en el expediente, ni en el trámite del recurso de revisión, ni en el del amparo, las autoridades competentes permitieron a la víctima acceso al expediente de ratificaciones que podía dar cuenta </w:t>
      </w:r>
      <w:proofErr w:type="gramStart"/>
      <w:r w:rsidRPr="0038611D">
        <w:rPr>
          <w:rFonts w:ascii="Cambria" w:hAnsi="Cambria"/>
          <w:lang w:val="es-ES"/>
        </w:rPr>
        <w:t>del detalles</w:t>
      </w:r>
      <w:proofErr w:type="gramEnd"/>
      <w:r w:rsidRPr="0038611D">
        <w:rPr>
          <w:rFonts w:ascii="Cambria" w:hAnsi="Cambria"/>
          <w:lang w:val="es-ES"/>
        </w:rPr>
        <w:t xml:space="preserve"> de las razones y las pruebas presentadas en su contra que condujeron a no ratificarla de tal forma que pudiera controvertirlas con sus argumentos o presentar pruebas de descargo. </w:t>
      </w:r>
    </w:p>
    <w:p w:rsidR="00CF1AB0" w:rsidRDefault="00CF1AB0" w:rsidP="0038611D">
      <w:pPr>
        <w:widowControl w:val="0"/>
        <w:autoSpaceDE w:val="0"/>
        <w:autoSpaceDN w:val="0"/>
        <w:adjustRightInd w:val="0"/>
        <w:spacing w:after="0" w:line="240" w:lineRule="auto"/>
        <w:ind w:firstLine="720"/>
        <w:jc w:val="both"/>
        <w:rPr>
          <w:rFonts w:ascii="Cambria" w:hAnsi="Cambria"/>
          <w:lang w:val="es-ES"/>
        </w:rPr>
      </w:pPr>
    </w:p>
    <w:p w:rsidR="00CF1AB0" w:rsidRDefault="00CF1AB0" w:rsidP="0038611D">
      <w:pPr>
        <w:widowControl w:val="0"/>
        <w:autoSpaceDE w:val="0"/>
        <w:autoSpaceDN w:val="0"/>
        <w:adjustRightInd w:val="0"/>
        <w:spacing w:after="0" w:line="240" w:lineRule="auto"/>
        <w:ind w:firstLine="720"/>
        <w:jc w:val="both"/>
        <w:rPr>
          <w:rFonts w:ascii="Cambria" w:hAnsi="Cambria"/>
          <w:lang w:val="es-ES"/>
        </w:rPr>
      </w:pPr>
    </w:p>
    <w:p w:rsidR="00CF1AB0" w:rsidRPr="0062724F" w:rsidRDefault="00CF1AB0" w:rsidP="00CF1AB0">
      <w:pPr>
        <w:widowControl w:val="0"/>
        <w:autoSpaceDE w:val="0"/>
        <w:autoSpaceDN w:val="0"/>
        <w:adjustRightInd w:val="0"/>
        <w:spacing w:after="0" w:line="240" w:lineRule="auto"/>
        <w:ind w:firstLine="720"/>
        <w:jc w:val="both"/>
        <w:rPr>
          <w:rFonts w:ascii="Cambria" w:hAnsi="Cambria"/>
          <w:lang w:val="es-ES"/>
        </w:rPr>
      </w:pPr>
    </w:p>
    <w:p w:rsidR="00CF1AB0" w:rsidRPr="0062724F" w:rsidRDefault="00CF1AB0" w:rsidP="00CF1AB0">
      <w:pPr>
        <w:spacing w:after="0" w:line="240" w:lineRule="auto"/>
        <w:jc w:val="both"/>
        <w:rPr>
          <w:rFonts w:ascii="Cambria" w:hAnsi="Cambria" w:cs="Arial"/>
          <w:snapToGrid w:val="0"/>
          <w:lang w:val="es-CO"/>
        </w:rPr>
      </w:pPr>
      <w:r w:rsidRPr="0062724F">
        <w:rPr>
          <w:rFonts w:ascii="Cambria" w:hAnsi="Cambria" w:cs="Arial"/>
          <w:snapToGrid w:val="0"/>
          <w:lang w:val="es-CO"/>
        </w:rPr>
        <w:t>Señor</w:t>
      </w:r>
    </w:p>
    <w:p w:rsidR="00CF1AB0" w:rsidRPr="0062724F" w:rsidRDefault="00CF1AB0" w:rsidP="00CF1AB0">
      <w:pPr>
        <w:suppressAutoHyphens/>
        <w:spacing w:after="0" w:line="240" w:lineRule="auto"/>
        <w:rPr>
          <w:rFonts w:ascii="Cambria" w:hAnsi="Cambria" w:cs="Arial"/>
          <w:snapToGrid w:val="0"/>
          <w:lang w:val="es-CO"/>
        </w:rPr>
      </w:pPr>
      <w:r w:rsidRPr="0062724F">
        <w:rPr>
          <w:rFonts w:ascii="Cambria" w:hAnsi="Cambria" w:cs="Arial"/>
          <w:snapToGrid w:val="0"/>
          <w:lang w:val="es-CO"/>
        </w:rPr>
        <w:t>Pablo Saavedra Alessandri, Secretario</w:t>
      </w:r>
    </w:p>
    <w:p w:rsidR="00CF1AB0" w:rsidRPr="0062724F" w:rsidRDefault="00CF1AB0" w:rsidP="00CF1AB0">
      <w:pPr>
        <w:suppressAutoHyphens/>
        <w:spacing w:after="0" w:line="240" w:lineRule="auto"/>
        <w:rPr>
          <w:rFonts w:ascii="Cambria" w:hAnsi="Cambria" w:cs="Arial"/>
          <w:snapToGrid w:val="0"/>
          <w:lang w:val="es-ES_tradnl"/>
        </w:rPr>
      </w:pPr>
      <w:r w:rsidRPr="0062724F">
        <w:rPr>
          <w:rFonts w:ascii="Cambria" w:hAnsi="Cambria" w:cs="Arial"/>
          <w:snapToGrid w:val="0"/>
          <w:lang w:val="es-ES_tradnl"/>
        </w:rPr>
        <w:t>Corte Interamericana de Derechos Humanos</w:t>
      </w:r>
    </w:p>
    <w:p w:rsidR="00CF1AB0" w:rsidRPr="0062724F" w:rsidRDefault="00CF1AB0" w:rsidP="00CF1AB0">
      <w:pPr>
        <w:suppressAutoHyphens/>
        <w:spacing w:after="0" w:line="240" w:lineRule="auto"/>
        <w:rPr>
          <w:rFonts w:ascii="Cambria" w:hAnsi="Cambria" w:cs="Arial"/>
          <w:snapToGrid w:val="0"/>
          <w:lang w:val="es-ES_tradnl"/>
        </w:rPr>
      </w:pPr>
      <w:r w:rsidRPr="0062724F">
        <w:rPr>
          <w:rFonts w:ascii="Cambria" w:hAnsi="Cambria" w:cs="Arial"/>
          <w:snapToGrid w:val="0"/>
          <w:lang w:val="es-ES_tradnl"/>
        </w:rPr>
        <w:t>Apartado 6906-1000</w:t>
      </w:r>
    </w:p>
    <w:p w:rsidR="00CF1AB0" w:rsidRPr="0062724F" w:rsidRDefault="00CF1AB0" w:rsidP="00CF1AB0">
      <w:pPr>
        <w:suppressAutoHyphens/>
        <w:spacing w:after="0" w:line="240" w:lineRule="auto"/>
        <w:rPr>
          <w:rFonts w:ascii="Cambria" w:hAnsi="Cambria" w:cs="Arial"/>
          <w:snapToGrid w:val="0"/>
          <w:lang w:val="es-ES_tradnl"/>
        </w:rPr>
      </w:pPr>
      <w:r w:rsidRPr="0062724F">
        <w:rPr>
          <w:rFonts w:ascii="Cambria" w:hAnsi="Cambria" w:cs="Arial"/>
          <w:snapToGrid w:val="0"/>
          <w:lang w:val="es-ES_tradnl"/>
        </w:rPr>
        <w:t>San José, Costa Rica</w:t>
      </w:r>
    </w:p>
    <w:p w:rsidR="00CF1AB0" w:rsidRDefault="00CF1AB0" w:rsidP="0038611D">
      <w:pPr>
        <w:widowControl w:val="0"/>
        <w:autoSpaceDE w:val="0"/>
        <w:autoSpaceDN w:val="0"/>
        <w:adjustRightInd w:val="0"/>
        <w:spacing w:after="0" w:line="240" w:lineRule="auto"/>
        <w:ind w:firstLine="720"/>
        <w:jc w:val="both"/>
        <w:rPr>
          <w:rFonts w:ascii="Cambria" w:hAnsi="Cambria"/>
          <w:lang w:val="es-ES"/>
        </w:rPr>
      </w:pPr>
    </w:p>
    <w:p w:rsidR="00CF1AB0" w:rsidRDefault="00CF1AB0" w:rsidP="0038611D">
      <w:pPr>
        <w:widowControl w:val="0"/>
        <w:autoSpaceDE w:val="0"/>
        <w:autoSpaceDN w:val="0"/>
        <w:adjustRightInd w:val="0"/>
        <w:spacing w:after="0" w:line="240" w:lineRule="auto"/>
        <w:ind w:firstLine="720"/>
        <w:jc w:val="both"/>
        <w:rPr>
          <w:rFonts w:ascii="Cambria" w:hAnsi="Cambria"/>
          <w:lang w:val="es-ES"/>
        </w:rPr>
      </w:pPr>
    </w:p>
    <w:p w:rsidR="00CF1AB0" w:rsidRDefault="00CF1AB0" w:rsidP="0038611D">
      <w:pPr>
        <w:widowControl w:val="0"/>
        <w:autoSpaceDE w:val="0"/>
        <w:autoSpaceDN w:val="0"/>
        <w:adjustRightInd w:val="0"/>
        <w:spacing w:after="0" w:line="240" w:lineRule="auto"/>
        <w:ind w:firstLine="720"/>
        <w:jc w:val="both"/>
        <w:rPr>
          <w:rFonts w:ascii="Cambria" w:hAnsi="Cambria"/>
          <w:lang w:val="es-ES"/>
        </w:rPr>
      </w:pPr>
    </w:p>
    <w:p w:rsidR="0038611D" w:rsidRDefault="0038611D" w:rsidP="0038611D">
      <w:pPr>
        <w:widowControl w:val="0"/>
        <w:autoSpaceDE w:val="0"/>
        <w:autoSpaceDN w:val="0"/>
        <w:adjustRightInd w:val="0"/>
        <w:spacing w:after="0" w:line="240" w:lineRule="auto"/>
        <w:ind w:firstLine="720"/>
        <w:jc w:val="both"/>
        <w:rPr>
          <w:rFonts w:ascii="Cambria" w:hAnsi="Cambria" w:cs="Arial"/>
          <w:lang w:val="es-CO"/>
        </w:rPr>
      </w:pPr>
      <w:r w:rsidRPr="0038611D">
        <w:rPr>
          <w:rFonts w:ascii="Cambria" w:hAnsi="Cambria"/>
          <w:lang w:val="es-CO"/>
        </w:rPr>
        <w:lastRenderedPageBreak/>
        <w:t xml:space="preserve">Igualmente, la CIDH concluyó que el Estado violó el derecho a contar con decisiones debidamente motivadas y el principio de legalidad, tomando en cuenta que </w:t>
      </w:r>
      <w:r w:rsidRPr="0038611D">
        <w:rPr>
          <w:rFonts w:ascii="Cambria" w:hAnsi="Cambria"/>
          <w:lang w:val="es-ES" w:eastAsia="es-ES"/>
        </w:rPr>
        <w:t xml:space="preserve">el marco legal del proceso de ratificación no establecía causales debidamente delimitadas que permitieran a la víctima entender las conductas que serían evaluadas por la Comisión de Vocales, encargada del proceso de ratificación. Por otra parte, la decisión de no ratificación carece de una motivación adecuada que justifique las razones por las que correspondía no ratificar a la víctima en su cargo, y además se hicieron constar cuestiones que no guardan relación con el desempeño de la víctima, tales como tener “deudas económicas” y un “negocio propio”. Asimismo, se hace constar que la víctima “tiene informe favorable en parte”, sin </w:t>
      </w:r>
      <w:proofErr w:type="gramStart"/>
      <w:r w:rsidRPr="0038611D">
        <w:rPr>
          <w:rFonts w:ascii="Cambria" w:hAnsi="Cambria"/>
          <w:lang w:val="es-ES" w:eastAsia="es-ES"/>
        </w:rPr>
        <w:t>embargo</w:t>
      </w:r>
      <w:proofErr w:type="gramEnd"/>
      <w:r w:rsidRPr="0038611D">
        <w:rPr>
          <w:rFonts w:ascii="Cambria" w:hAnsi="Cambria"/>
          <w:lang w:val="es-ES" w:eastAsia="es-ES"/>
        </w:rPr>
        <w:t xml:space="preserve"> no se realiza ningún análisis sobre el peso probatorio de dicho documento, o las razones por las que, pese a dicho informe, la víctima no debía ser ratificada. Por otra parte, en la votación de no ratificación se suscitó un empate</w:t>
      </w:r>
      <w:r w:rsidR="00CF1AB0">
        <w:rPr>
          <w:rFonts w:ascii="Cambria" w:hAnsi="Cambria"/>
          <w:lang w:val="es-ES" w:eastAsia="es-ES"/>
        </w:rPr>
        <w:t>;</w:t>
      </w:r>
      <w:r w:rsidRPr="0038611D">
        <w:rPr>
          <w:rFonts w:ascii="Cambria" w:hAnsi="Cambria"/>
          <w:lang w:val="es-ES" w:eastAsia="es-ES"/>
        </w:rPr>
        <w:t xml:space="preserve"> sin embargo</w:t>
      </w:r>
      <w:r w:rsidR="00CF1AB0">
        <w:rPr>
          <w:rFonts w:ascii="Cambria" w:hAnsi="Cambria"/>
          <w:lang w:val="es-ES" w:eastAsia="es-ES"/>
        </w:rPr>
        <w:t>,</w:t>
      </w:r>
      <w:r w:rsidRPr="0038611D">
        <w:rPr>
          <w:rFonts w:ascii="Cambria" w:hAnsi="Cambria"/>
          <w:lang w:val="es-ES" w:eastAsia="es-ES"/>
        </w:rPr>
        <w:t xml:space="preserve"> no se proporcionaron las razones o fundamento legal, según el cual, correspondía la no ratificación en una situación de empate. Asimismo, la Corte Suprema de Justicia al resolver el recurso de revisión interpuesto, tampoco hizo un análisis justificando las razones por las que las conductas de la víctima ameritaban su no ratificación, o refiriendo porque tener deudas podía ameritar la imposición de una sanción. </w:t>
      </w:r>
    </w:p>
    <w:p w:rsidR="0038611D" w:rsidRDefault="0038611D" w:rsidP="0038611D">
      <w:pPr>
        <w:widowControl w:val="0"/>
        <w:autoSpaceDE w:val="0"/>
        <w:autoSpaceDN w:val="0"/>
        <w:adjustRightInd w:val="0"/>
        <w:spacing w:after="0" w:line="240" w:lineRule="auto"/>
        <w:ind w:firstLine="720"/>
        <w:jc w:val="both"/>
        <w:rPr>
          <w:rFonts w:ascii="Cambria" w:hAnsi="Cambria" w:cs="Arial"/>
          <w:lang w:val="es-CO"/>
        </w:rPr>
      </w:pPr>
    </w:p>
    <w:p w:rsidR="0038611D" w:rsidRPr="0038611D" w:rsidRDefault="0038611D" w:rsidP="0038611D">
      <w:pPr>
        <w:widowControl w:val="0"/>
        <w:autoSpaceDE w:val="0"/>
        <w:autoSpaceDN w:val="0"/>
        <w:adjustRightInd w:val="0"/>
        <w:spacing w:after="0" w:line="240" w:lineRule="auto"/>
        <w:ind w:firstLine="720"/>
        <w:jc w:val="both"/>
        <w:rPr>
          <w:rFonts w:ascii="Cambria" w:hAnsi="Cambria" w:cs="Arial"/>
          <w:lang w:val="es-CO"/>
        </w:rPr>
      </w:pPr>
      <w:r w:rsidRPr="0038611D">
        <w:rPr>
          <w:rFonts w:ascii="Cambria" w:hAnsi="Cambria"/>
          <w:lang w:val="es-ES" w:eastAsia="es-ES"/>
        </w:rPr>
        <w:t xml:space="preserve">Asimismo, la Comisión consideró que el Estado peruano violó el derecho al plazo razonable y a la protección judicial en vista </w:t>
      </w:r>
      <w:proofErr w:type="gramStart"/>
      <w:r w:rsidRPr="0038611D">
        <w:rPr>
          <w:rFonts w:ascii="Cambria" w:hAnsi="Cambria"/>
          <w:lang w:val="es-ES" w:eastAsia="es-ES"/>
        </w:rPr>
        <w:t>que</w:t>
      </w:r>
      <w:proofErr w:type="gramEnd"/>
      <w:r w:rsidRPr="0038611D">
        <w:rPr>
          <w:rFonts w:ascii="Cambria" w:hAnsi="Cambria"/>
          <w:lang w:val="es-ES" w:eastAsia="es-ES"/>
        </w:rPr>
        <w:t xml:space="preserve"> </w:t>
      </w:r>
      <w:r w:rsidRPr="0038611D">
        <w:rPr>
          <w:rFonts w:ascii="Cambria" w:hAnsi="Cambria"/>
          <w:lang w:val="es-AR"/>
        </w:rPr>
        <w:t xml:space="preserve">tras la decisión de no ratificación, la víctima interpuso recursos de revisión, amparo, apelación y nulidad. Sin </w:t>
      </w:r>
      <w:proofErr w:type="gramStart"/>
      <w:r w:rsidRPr="0038611D">
        <w:rPr>
          <w:rFonts w:ascii="Cambria" w:hAnsi="Cambria"/>
          <w:lang w:val="es-AR"/>
        </w:rPr>
        <w:t>embargo</w:t>
      </w:r>
      <w:proofErr w:type="gramEnd"/>
      <w:r w:rsidRPr="0038611D">
        <w:rPr>
          <w:rFonts w:ascii="Cambria" w:hAnsi="Cambria"/>
          <w:lang w:val="es-AR"/>
        </w:rPr>
        <w:t xml:space="preserve"> todos fueron rechazados sin realizar un análisis sustantivo de las violaciones al debido proceso que la víctima argumentó se produjeron como consecuencia de su no ratificación, especialmente el derecho de defensa. Específicamente con respecto al plazo razonable, la CIDH hizo notar que ante la denegatoria del primer recurso de amparo, la víctima presentó un recurso de apelación y con posterioridad un recurso de nulidad contra la denegatoria del recurso de apelación, argumentando que las decisiones de amparo y apelación se tomaron sin tener en cuenta el expediente de ratificaciones, que permitiría conocer si se cometieron violaciones al debido proceso en el marco del proceso que culminó </w:t>
      </w:r>
      <w:r w:rsidR="0055690C">
        <w:rPr>
          <w:rFonts w:ascii="Cambria" w:hAnsi="Cambria"/>
          <w:lang w:val="es-AR"/>
        </w:rPr>
        <w:t xml:space="preserve">en su no ratificación. </w:t>
      </w:r>
      <w:r w:rsidRPr="0038611D">
        <w:rPr>
          <w:rFonts w:ascii="Cambria" w:hAnsi="Cambria"/>
          <w:lang w:val="es-AR"/>
        </w:rPr>
        <w:t>El 4 de agosto de 1986 la Corte Suprema de Justicia declaró nulas las sentencias de amparo y apelación de amparo y ordenó que el juez de la causa expida un nuevo fallo teniendo a la vista el expediente de ratificaciones. No obstante</w:t>
      </w:r>
      <w:r w:rsidR="00CF1AB0">
        <w:rPr>
          <w:rFonts w:ascii="Cambria" w:hAnsi="Cambria"/>
          <w:lang w:val="es-AR"/>
        </w:rPr>
        <w:t>,</w:t>
      </w:r>
      <w:r w:rsidRPr="0038611D">
        <w:rPr>
          <w:rFonts w:ascii="Cambria" w:hAnsi="Cambria"/>
          <w:lang w:val="es-AR"/>
        </w:rPr>
        <w:t xml:space="preserve"> dicha decisión se emitió más de 10 años después de ordenada, lo cual también afectó el derecho de garantizar el cumplimiento efectivo de decisiones judiciales. </w:t>
      </w:r>
      <w:r w:rsidRPr="0038611D">
        <w:rPr>
          <w:rFonts w:ascii="Cambria" w:hAnsi="Cambria"/>
          <w:lang w:val="es-ES" w:eastAsia="es-ES"/>
        </w:rPr>
        <w:t xml:space="preserve">Finalmente, la Comisión concluyó que el Estado peruano violó los derechos políticos de la víctima, tomando en cuenta que la víctima </w:t>
      </w:r>
      <w:r w:rsidRPr="0038611D">
        <w:rPr>
          <w:rFonts w:ascii="Cambria" w:hAnsi="Cambria"/>
          <w:lang w:val="es-VE"/>
        </w:rPr>
        <w:t>fue separada de su cargo en un proceso arbitrario en el cual se cometieron diversas violaciones tanto al debido proceso como al principio de legalidad en los términos descritos a lo largo del Informe de Fondo</w:t>
      </w:r>
      <w:r w:rsidR="00EE4146">
        <w:rPr>
          <w:rFonts w:ascii="Cambria" w:hAnsi="Cambria"/>
          <w:lang w:val="es-VE"/>
        </w:rPr>
        <w:t xml:space="preserve"> </w:t>
      </w:r>
      <w:r w:rsidR="003175D8">
        <w:rPr>
          <w:rFonts w:ascii="Cambria" w:hAnsi="Cambria"/>
          <w:lang w:val="es-VE"/>
        </w:rPr>
        <w:t>No. 63/19</w:t>
      </w:r>
      <w:r w:rsidRPr="0038611D">
        <w:rPr>
          <w:rFonts w:ascii="Cambria" w:hAnsi="Cambria"/>
          <w:lang w:val="es-VE"/>
        </w:rPr>
        <w:t xml:space="preserve">. </w:t>
      </w:r>
    </w:p>
    <w:p w:rsidR="00841921" w:rsidRPr="0062724F" w:rsidRDefault="00841921" w:rsidP="00B10467">
      <w:pPr>
        <w:widowControl w:val="0"/>
        <w:autoSpaceDE w:val="0"/>
        <w:autoSpaceDN w:val="0"/>
        <w:adjustRightInd w:val="0"/>
        <w:spacing w:after="0" w:line="240" w:lineRule="auto"/>
        <w:ind w:firstLine="720"/>
        <w:jc w:val="both"/>
        <w:rPr>
          <w:rFonts w:ascii="Cambria" w:hAnsi="Cambria"/>
          <w:lang w:val="es-ES"/>
        </w:rPr>
      </w:pPr>
    </w:p>
    <w:p w:rsidR="00251530" w:rsidRPr="0062724F" w:rsidRDefault="00251530" w:rsidP="00B10467">
      <w:pPr>
        <w:widowControl w:val="0"/>
        <w:autoSpaceDE w:val="0"/>
        <w:autoSpaceDN w:val="0"/>
        <w:adjustRightInd w:val="0"/>
        <w:spacing w:after="0" w:line="240" w:lineRule="auto"/>
        <w:ind w:firstLine="720"/>
        <w:jc w:val="both"/>
        <w:rPr>
          <w:rFonts w:ascii="Cambria" w:hAnsi="Cambria" w:cs="Arial"/>
          <w:lang w:val="es-CO"/>
        </w:rPr>
      </w:pPr>
      <w:r w:rsidRPr="0062724F">
        <w:rPr>
          <w:rFonts w:ascii="Cambria" w:hAnsi="Cambria" w:cs="Arial"/>
          <w:lang w:val="es-CO"/>
        </w:rPr>
        <w:t xml:space="preserve">El Estado </w:t>
      </w:r>
      <w:r w:rsidR="00DC3674">
        <w:rPr>
          <w:rFonts w:ascii="Cambria" w:hAnsi="Cambria" w:cs="Arial"/>
          <w:lang w:val="es-CO"/>
        </w:rPr>
        <w:t xml:space="preserve">de Perú </w:t>
      </w:r>
      <w:r w:rsidRPr="0062724F">
        <w:rPr>
          <w:rFonts w:ascii="Cambria" w:hAnsi="Cambria" w:cs="Arial"/>
          <w:lang w:val="es-CO"/>
        </w:rPr>
        <w:t xml:space="preserve">ratificó la Convención Americana sobre Derechos Humanos el 12 de julio de 1978 y aceptó la competencia contenciosa de la Corte el 21 de enero de 1981. </w:t>
      </w:r>
      <w:r w:rsidR="00927010">
        <w:rPr>
          <w:rFonts w:ascii="Cambria" w:hAnsi="Cambria" w:cs="Arial"/>
          <w:lang w:val="es-CO"/>
        </w:rPr>
        <w:t xml:space="preserve"> </w:t>
      </w:r>
    </w:p>
    <w:p w:rsidR="00251530" w:rsidRPr="0062724F" w:rsidRDefault="00251530" w:rsidP="00B10467">
      <w:pPr>
        <w:spacing w:after="0" w:line="240" w:lineRule="auto"/>
        <w:jc w:val="both"/>
        <w:rPr>
          <w:rFonts w:ascii="Cambria" w:hAnsi="Cambria" w:cs="Arial"/>
          <w:snapToGrid w:val="0"/>
          <w:lang w:val="es-CO"/>
        </w:rPr>
      </w:pPr>
    </w:p>
    <w:p w:rsidR="00251530" w:rsidRPr="0062724F" w:rsidRDefault="00251530" w:rsidP="00B10467">
      <w:pPr>
        <w:widowControl w:val="0"/>
        <w:autoSpaceDE w:val="0"/>
        <w:autoSpaceDN w:val="0"/>
        <w:adjustRightInd w:val="0"/>
        <w:spacing w:after="0" w:line="240" w:lineRule="auto"/>
        <w:ind w:firstLine="720"/>
        <w:jc w:val="both"/>
        <w:rPr>
          <w:rFonts w:ascii="Cambria" w:hAnsi="Cambria" w:cs="Arial"/>
          <w:lang w:val="es-CO"/>
        </w:rPr>
      </w:pPr>
      <w:r w:rsidRPr="0062724F">
        <w:rPr>
          <w:rFonts w:ascii="Cambria" w:hAnsi="Cambria"/>
          <w:lang w:val="es-CO"/>
        </w:rPr>
        <w:t xml:space="preserve">La Comisión ha designado al Comisionado </w:t>
      </w:r>
      <w:r w:rsidR="003175D8">
        <w:rPr>
          <w:rFonts w:ascii="Cambria" w:hAnsi="Cambria"/>
          <w:lang w:val="es-CO"/>
        </w:rPr>
        <w:t xml:space="preserve">Joel Hernández García </w:t>
      </w:r>
      <w:r w:rsidRPr="0062724F">
        <w:rPr>
          <w:rFonts w:ascii="Cambria" w:hAnsi="Cambria"/>
          <w:lang w:val="es-CO"/>
        </w:rPr>
        <w:t xml:space="preserve">y al Secretario Ejecutivo </w:t>
      </w:r>
      <w:r w:rsidR="000933BD" w:rsidRPr="0062724F">
        <w:rPr>
          <w:rFonts w:ascii="Cambria" w:hAnsi="Cambria"/>
          <w:lang w:val="es-CO"/>
        </w:rPr>
        <w:t>Paulo Abrão</w:t>
      </w:r>
      <w:r w:rsidR="008F541D" w:rsidRPr="0062724F">
        <w:rPr>
          <w:rFonts w:ascii="Cambria" w:hAnsi="Cambria"/>
          <w:lang w:val="es-CO"/>
        </w:rPr>
        <w:t>,</w:t>
      </w:r>
      <w:r w:rsidRPr="0062724F">
        <w:rPr>
          <w:rFonts w:ascii="Cambria" w:hAnsi="Cambria"/>
          <w:lang w:val="es-CO"/>
        </w:rPr>
        <w:t xml:space="preserve"> como </w:t>
      </w:r>
      <w:r w:rsidRPr="0062724F">
        <w:rPr>
          <w:rFonts w:ascii="Cambria" w:hAnsi="Cambria" w:cs="Arial"/>
          <w:lang w:val="es-CO"/>
        </w:rPr>
        <w:t>sus</w:t>
      </w:r>
      <w:r w:rsidRPr="0062724F">
        <w:rPr>
          <w:rFonts w:ascii="Cambria" w:hAnsi="Cambria"/>
          <w:lang w:val="es-CO"/>
        </w:rPr>
        <w:t xml:space="preserve"> delegados. Asimismo, </w:t>
      </w:r>
      <w:r w:rsidR="003175D8">
        <w:rPr>
          <w:rFonts w:ascii="Cambria" w:hAnsi="Cambria"/>
          <w:lang w:val="es-CO"/>
        </w:rPr>
        <w:t>Marisol Blanchard, Secretaria Ejecutiva Adjunta, Jorge Humberto Meza Flores y Christian González Chacón</w:t>
      </w:r>
      <w:r w:rsidR="008F541D" w:rsidRPr="0062724F">
        <w:rPr>
          <w:rFonts w:ascii="Cambria" w:hAnsi="Cambria"/>
          <w:lang w:val="es-CO"/>
        </w:rPr>
        <w:t>,</w:t>
      </w:r>
      <w:r w:rsidRPr="0062724F">
        <w:rPr>
          <w:rFonts w:ascii="Cambria" w:hAnsi="Cambria"/>
          <w:lang w:val="es-CO"/>
        </w:rPr>
        <w:t xml:space="preserve"> abogad</w:t>
      </w:r>
      <w:r w:rsidR="003175D8">
        <w:rPr>
          <w:rFonts w:ascii="Cambria" w:hAnsi="Cambria"/>
          <w:lang w:val="es-CO"/>
        </w:rPr>
        <w:t>os</w:t>
      </w:r>
      <w:r w:rsidRPr="0062724F">
        <w:rPr>
          <w:rFonts w:ascii="Cambria" w:hAnsi="Cambria"/>
          <w:lang w:val="es-CO"/>
        </w:rPr>
        <w:t xml:space="preserve"> de la Secretaría Ejecutiva de la CIDH, actuarán como asesor</w:t>
      </w:r>
      <w:r w:rsidR="003175D8">
        <w:rPr>
          <w:rFonts w:ascii="Cambria" w:hAnsi="Cambria"/>
          <w:lang w:val="es-CO"/>
        </w:rPr>
        <w:t>a y asesores</w:t>
      </w:r>
      <w:r w:rsidRPr="0062724F">
        <w:rPr>
          <w:rFonts w:ascii="Cambria" w:hAnsi="Cambria"/>
          <w:lang w:val="es-CO"/>
        </w:rPr>
        <w:t xml:space="preserve"> legales.</w:t>
      </w:r>
    </w:p>
    <w:p w:rsidR="00251530" w:rsidRPr="0062724F" w:rsidRDefault="00251530" w:rsidP="00B10467">
      <w:pPr>
        <w:autoSpaceDE w:val="0"/>
        <w:autoSpaceDN w:val="0"/>
        <w:adjustRightInd w:val="0"/>
        <w:spacing w:after="0" w:line="240" w:lineRule="auto"/>
        <w:ind w:right="480"/>
        <w:jc w:val="both"/>
        <w:rPr>
          <w:rFonts w:ascii="Cambria" w:hAnsi="Cambria"/>
          <w:b/>
          <w:lang w:val="es-CO"/>
        </w:rPr>
      </w:pPr>
    </w:p>
    <w:p w:rsidR="004E4A7E" w:rsidRPr="0062724F" w:rsidRDefault="00251530" w:rsidP="00B10467">
      <w:pPr>
        <w:widowControl w:val="0"/>
        <w:autoSpaceDE w:val="0"/>
        <w:autoSpaceDN w:val="0"/>
        <w:adjustRightInd w:val="0"/>
        <w:spacing w:after="0" w:line="240" w:lineRule="auto"/>
        <w:ind w:firstLine="720"/>
        <w:jc w:val="both"/>
        <w:rPr>
          <w:rFonts w:ascii="Cambria" w:hAnsi="Cambria"/>
          <w:lang w:val="es-AR"/>
        </w:rPr>
      </w:pPr>
      <w:r w:rsidRPr="0062724F">
        <w:rPr>
          <w:rFonts w:ascii="Cambria" w:hAnsi="Cambria" w:cs="Arial"/>
          <w:lang w:val="es-CO"/>
        </w:rPr>
        <w:t xml:space="preserve">De conformidad con el artículo 35 del Reglamento de la Corte Interamericana, la Comisión adjunta </w:t>
      </w:r>
      <w:r w:rsidR="003175D8">
        <w:rPr>
          <w:rFonts w:ascii="Cambria" w:hAnsi="Cambria"/>
          <w:lang w:val="es-CO"/>
        </w:rPr>
        <w:t xml:space="preserve">copia del Informe de Fondo </w:t>
      </w:r>
      <w:r w:rsidR="00EE4146">
        <w:rPr>
          <w:rFonts w:ascii="Cambria" w:hAnsi="Cambria"/>
          <w:lang w:val="es-CO"/>
        </w:rPr>
        <w:t xml:space="preserve">No. </w:t>
      </w:r>
      <w:r w:rsidR="003175D8">
        <w:rPr>
          <w:rFonts w:ascii="Cambria" w:hAnsi="Cambria"/>
          <w:lang w:val="es-CO"/>
        </w:rPr>
        <w:t>63</w:t>
      </w:r>
      <w:r w:rsidR="00BE3F28" w:rsidRPr="0062724F">
        <w:rPr>
          <w:rFonts w:ascii="Cambria" w:hAnsi="Cambria"/>
          <w:lang w:val="es-CO"/>
        </w:rPr>
        <w:t>/</w:t>
      </w:r>
      <w:r w:rsidRPr="0062724F">
        <w:rPr>
          <w:rFonts w:ascii="Cambria" w:hAnsi="Cambria"/>
          <w:lang w:val="es-CO"/>
        </w:rPr>
        <w:t>1</w:t>
      </w:r>
      <w:r w:rsidR="003175D8">
        <w:rPr>
          <w:rFonts w:ascii="Cambria" w:hAnsi="Cambria"/>
          <w:lang w:val="es-CO"/>
        </w:rPr>
        <w:t>9</w:t>
      </w:r>
      <w:r w:rsidRPr="0062724F">
        <w:rPr>
          <w:rFonts w:ascii="Cambria" w:hAnsi="Cambria"/>
          <w:lang w:val="es-CO"/>
        </w:rPr>
        <w:t xml:space="preserve"> elaborado en observancia del artículo 50 de la Convención, así como copia de la totalidad del expediente ante la Comisión Interamericana (Apéndice I) y los anexos ut</w:t>
      </w:r>
      <w:r w:rsidR="003175D8">
        <w:rPr>
          <w:rFonts w:ascii="Cambria" w:hAnsi="Cambria"/>
          <w:lang w:val="es-CO"/>
        </w:rPr>
        <w:t xml:space="preserve">ilizados en </w:t>
      </w:r>
      <w:r w:rsidR="003175D8">
        <w:rPr>
          <w:rFonts w:ascii="Cambria" w:hAnsi="Cambria"/>
          <w:lang w:val="es-CO"/>
        </w:rPr>
        <w:lastRenderedPageBreak/>
        <w:t>la elaboración del I</w:t>
      </w:r>
      <w:r w:rsidRPr="0062724F">
        <w:rPr>
          <w:rFonts w:ascii="Cambria" w:hAnsi="Cambria"/>
          <w:lang w:val="es-CO"/>
        </w:rPr>
        <w:t>nforme</w:t>
      </w:r>
      <w:r w:rsidR="003175D8">
        <w:rPr>
          <w:rFonts w:ascii="Cambria" w:hAnsi="Cambria"/>
          <w:lang w:val="es-CO"/>
        </w:rPr>
        <w:t xml:space="preserve"> de Fondo</w:t>
      </w:r>
      <w:r w:rsidRPr="0062724F">
        <w:rPr>
          <w:rFonts w:ascii="Cambria" w:hAnsi="Cambria"/>
          <w:lang w:val="es-CO"/>
        </w:rPr>
        <w:t xml:space="preserve"> </w:t>
      </w:r>
      <w:r w:rsidR="00EE4146">
        <w:rPr>
          <w:rFonts w:ascii="Cambria" w:hAnsi="Cambria"/>
          <w:lang w:val="es-CO"/>
        </w:rPr>
        <w:t xml:space="preserve">No. </w:t>
      </w:r>
      <w:r w:rsidR="003175D8">
        <w:rPr>
          <w:rFonts w:ascii="Cambria" w:hAnsi="Cambria"/>
          <w:lang w:val="es-CO"/>
        </w:rPr>
        <w:t>63</w:t>
      </w:r>
      <w:r w:rsidRPr="0062724F">
        <w:rPr>
          <w:rFonts w:ascii="Cambria" w:hAnsi="Cambria"/>
          <w:lang w:val="es-CO"/>
        </w:rPr>
        <w:t>/1</w:t>
      </w:r>
      <w:r w:rsidR="003175D8">
        <w:rPr>
          <w:rFonts w:ascii="Cambria" w:hAnsi="Cambria"/>
          <w:lang w:val="es-CO"/>
        </w:rPr>
        <w:t>9</w:t>
      </w:r>
      <w:r w:rsidRPr="0062724F">
        <w:rPr>
          <w:rFonts w:ascii="Cambria" w:hAnsi="Cambria"/>
          <w:lang w:val="es-CO"/>
        </w:rPr>
        <w:t xml:space="preserve"> (Anexos). Dicho </w:t>
      </w:r>
      <w:r w:rsidR="003175D8">
        <w:rPr>
          <w:rFonts w:ascii="Cambria" w:hAnsi="Cambria"/>
          <w:lang w:val="es-CO"/>
        </w:rPr>
        <w:t>I</w:t>
      </w:r>
      <w:r w:rsidRPr="0062724F">
        <w:rPr>
          <w:rFonts w:ascii="Cambria" w:hAnsi="Cambria"/>
          <w:lang w:val="es-CO"/>
        </w:rPr>
        <w:t xml:space="preserve">nforme de </w:t>
      </w:r>
      <w:r w:rsidR="003175D8">
        <w:rPr>
          <w:rFonts w:ascii="Cambria" w:hAnsi="Cambria"/>
          <w:lang w:val="es-CO"/>
        </w:rPr>
        <w:t>F</w:t>
      </w:r>
      <w:r w:rsidRPr="0062724F">
        <w:rPr>
          <w:rFonts w:ascii="Cambria" w:hAnsi="Cambria"/>
          <w:lang w:val="es-CO"/>
        </w:rPr>
        <w:t xml:space="preserve">ondo </w:t>
      </w:r>
      <w:r w:rsidRPr="0062724F">
        <w:rPr>
          <w:rFonts w:ascii="Cambria" w:hAnsi="Cambria"/>
          <w:lang w:val="es-AR"/>
        </w:rPr>
        <w:t xml:space="preserve">fue notificado al Estado de Perú mediante comunicación de </w:t>
      </w:r>
      <w:r w:rsidR="003175D8">
        <w:rPr>
          <w:rFonts w:ascii="Cambria" w:hAnsi="Cambria"/>
          <w:lang w:val="es-AR"/>
        </w:rPr>
        <w:t>9</w:t>
      </w:r>
      <w:r w:rsidR="004E4A7E" w:rsidRPr="0062724F">
        <w:rPr>
          <w:rFonts w:ascii="Cambria" w:hAnsi="Cambria"/>
          <w:lang w:val="es-AR"/>
        </w:rPr>
        <w:t xml:space="preserve"> de </w:t>
      </w:r>
      <w:r w:rsidR="003175D8">
        <w:rPr>
          <w:rFonts w:ascii="Cambria" w:hAnsi="Cambria"/>
          <w:lang w:val="es-AR"/>
        </w:rPr>
        <w:t>julio de 2019</w:t>
      </w:r>
      <w:r w:rsidRPr="0062724F">
        <w:rPr>
          <w:rFonts w:ascii="Cambria" w:hAnsi="Cambria"/>
          <w:lang w:val="es-AR"/>
        </w:rPr>
        <w:t xml:space="preserve">, otorgándole un plazo de dos meses para informar sobre el cumplimiento de las </w:t>
      </w:r>
      <w:r w:rsidRPr="0062724F">
        <w:rPr>
          <w:rFonts w:ascii="Cambria" w:hAnsi="Cambria" w:cs="Arial"/>
          <w:lang w:val="es-CO"/>
        </w:rPr>
        <w:t>recomendaciones</w:t>
      </w:r>
      <w:r w:rsidRPr="0062724F">
        <w:rPr>
          <w:rFonts w:ascii="Cambria" w:hAnsi="Cambria"/>
          <w:lang w:val="es-AR"/>
        </w:rPr>
        <w:t>. El Estado de Perú</w:t>
      </w:r>
      <w:r w:rsidR="004E4A7E" w:rsidRPr="0062724F">
        <w:rPr>
          <w:rFonts w:ascii="Cambria" w:hAnsi="Cambria"/>
          <w:lang w:val="es-AR"/>
        </w:rPr>
        <w:t xml:space="preserve"> solicitó una primera prórroga, la cual fue otorgada por la Comisión. </w:t>
      </w:r>
      <w:r w:rsidR="00EE4146">
        <w:rPr>
          <w:rFonts w:ascii="Cambria" w:hAnsi="Cambria"/>
          <w:lang w:val="es-AR"/>
        </w:rPr>
        <w:t>En su segundo informe de cumplimiento, e</w:t>
      </w:r>
      <w:r w:rsidR="004E4A7E" w:rsidRPr="0062724F">
        <w:rPr>
          <w:rFonts w:ascii="Cambria" w:hAnsi="Cambria"/>
          <w:lang w:val="es-AR"/>
        </w:rPr>
        <w:t>l Estado</w:t>
      </w:r>
      <w:r w:rsidR="00EE4146">
        <w:rPr>
          <w:rFonts w:ascii="Cambria" w:hAnsi="Cambria"/>
          <w:lang w:val="es-AR"/>
        </w:rPr>
        <w:t xml:space="preserve"> solicitó a la Comisión la publicación del Informe de Fondo No. 63/19 y</w:t>
      </w:r>
      <w:r w:rsidR="004E4A7E" w:rsidRPr="0062724F">
        <w:rPr>
          <w:rFonts w:ascii="Cambria" w:hAnsi="Cambria"/>
          <w:lang w:val="es-AR"/>
        </w:rPr>
        <w:t xml:space="preserve"> no presentó información sustantiva que revelara avances relevantes en el cumplimiento de las recomendaciones </w:t>
      </w:r>
      <w:r w:rsidR="00EE4146">
        <w:rPr>
          <w:rFonts w:ascii="Cambria" w:hAnsi="Cambria"/>
          <w:lang w:val="es-AR"/>
        </w:rPr>
        <w:t>contenidas en el mismo</w:t>
      </w:r>
      <w:r w:rsidR="004E4A7E" w:rsidRPr="0062724F">
        <w:rPr>
          <w:rFonts w:ascii="Cambria" w:hAnsi="Cambria"/>
          <w:lang w:val="es-AR"/>
        </w:rPr>
        <w:t xml:space="preserve">. </w:t>
      </w:r>
    </w:p>
    <w:p w:rsidR="00251530" w:rsidRPr="0062724F" w:rsidRDefault="00251530" w:rsidP="00B10467">
      <w:pPr>
        <w:widowControl w:val="0"/>
        <w:autoSpaceDE w:val="0"/>
        <w:autoSpaceDN w:val="0"/>
        <w:adjustRightInd w:val="0"/>
        <w:spacing w:after="0" w:line="240" w:lineRule="auto"/>
        <w:ind w:firstLine="720"/>
        <w:jc w:val="both"/>
        <w:rPr>
          <w:rFonts w:ascii="Cambria" w:hAnsi="Cambria"/>
          <w:lang w:val="es-AR"/>
        </w:rPr>
      </w:pPr>
      <w:r w:rsidRPr="0062724F">
        <w:rPr>
          <w:rFonts w:ascii="Cambria" w:hAnsi="Cambria" w:cs="Arial"/>
          <w:lang w:val="es-AR"/>
        </w:rPr>
        <w:t xml:space="preserve"> </w:t>
      </w:r>
      <w:r w:rsidRPr="0062724F">
        <w:rPr>
          <w:rFonts w:ascii="Cambria" w:hAnsi="Cambria" w:cs="Arial"/>
          <w:lang w:val="es-AR"/>
        </w:rPr>
        <w:tab/>
      </w:r>
      <w:r w:rsidRPr="0062724F">
        <w:rPr>
          <w:rFonts w:ascii="Cambria" w:hAnsi="Cambria" w:cs="Arial"/>
          <w:lang w:val="es-AR"/>
        </w:rPr>
        <w:tab/>
      </w:r>
    </w:p>
    <w:p w:rsidR="00E3024D" w:rsidRPr="0062724F" w:rsidRDefault="00251530" w:rsidP="00B10467">
      <w:pPr>
        <w:widowControl w:val="0"/>
        <w:autoSpaceDE w:val="0"/>
        <w:autoSpaceDN w:val="0"/>
        <w:adjustRightInd w:val="0"/>
        <w:spacing w:after="0" w:line="240" w:lineRule="auto"/>
        <w:ind w:firstLine="720"/>
        <w:jc w:val="both"/>
        <w:rPr>
          <w:rFonts w:ascii="Cambria" w:hAnsi="Cambria"/>
          <w:lang w:val="es-AR"/>
        </w:rPr>
      </w:pPr>
      <w:r w:rsidRPr="0062724F">
        <w:rPr>
          <w:rFonts w:ascii="Cambria" w:hAnsi="Cambria"/>
          <w:lang w:val="es-AR"/>
        </w:rPr>
        <w:t>En consecuencia, la Comisión decidió</w:t>
      </w:r>
      <w:r w:rsidR="004E4A7E" w:rsidRPr="0062724F">
        <w:rPr>
          <w:rFonts w:ascii="Cambria" w:hAnsi="Cambria"/>
          <w:lang w:val="es-AR"/>
        </w:rPr>
        <w:t xml:space="preserve"> </w:t>
      </w:r>
      <w:r w:rsidRPr="0062724F">
        <w:rPr>
          <w:rFonts w:ascii="Cambria" w:hAnsi="Cambria"/>
          <w:lang w:val="es-AR"/>
        </w:rPr>
        <w:t xml:space="preserve">someter el presente caso a la jurisdicción de la Corte Interamericana por la </w:t>
      </w:r>
      <w:r w:rsidRPr="0062724F">
        <w:rPr>
          <w:rFonts w:ascii="Cambria" w:hAnsi="Cambria" w:cs="Arial"/>
          <w:lang w:val="es-CO"/>
        </w:rPr>
        <w:t>necesidad</w:t>
      </w:r>
      <w:r w:rsidRPr="0062724F">
        <w:rPr>
          <w:rFonts w:ascii="Cambria" w:hAnsi="Cambria"/>
          <w:lang w:val="es-AR"/>
        </w:rPr>
        <w:t xml:space="preserve"> de obtención de justicia para la víctima. </w:t>
      </w:r>
      <w:r w:rsidRPr="0062724F">
        <w:rPr>
          <w:rFonts w:ascii="Cambria" w:hAnsi="Cambria"/>
          <w:lang w:val="es-CO"/>
        </w:rPr>
        <w:t>La Comisión Interamericana somete a la jurisdicción de la Corte la totalidad de los hechos y violaciones de derechos humanos descritos en e</w:t>
      </w:r>
      <w:r w:rsidR="00EE4146">
        <w:rPr>
          <w:rFonts w:ascii="Cambria" w:hAnsi="Cambria"/>
          <w:lang w:val="es-CO"/>
        </w:rPr>
        <w:t>l Informe de F</w:t>
      </w:r>
      <w:r w:rsidRPr="0062724F">
        <w:rPr>
          <w:rFonts w:ascii="Cambria" w:hAnsi="Cambria"/>
          <w:lang w:val="es-CO"/>
        </w:rPr>
        <w:t xml:space="preserve">ondo </w:t>
      </w:r>
      <w:r w:rsidR="00EE4146">
        <w:rPr>
          <w:rFonts w:ascii="Cambria" w:hAnsi="Cambria"/>
          <w:lang w:val="es-CO"/>
        </w:rPr>
        <w:t>No. 63</w:t>
      </w:r>
      <w:r w:rsidRPr="0062724F">
        <w:rPr>
          <w:rFonts w:ascii="Cambria" w:hAnsi="Cambria"/>
          <w:lang w:val="es-CO"/>
        </w:rPr>
        <w:t>/1</w:t>
      </w:r>
      <w:r w:rsidR="00EE4146">
        <w:rPr>
          <w:rFonts w:ascii="Cambria" w:hAnsi="Cambria"/>
          <w:lang w:val="es-CO"/>
        </w:rPr>
        <w:t>9</w:t>
      </w:r>
      <w:r w:rsidRPr="0062724F">
        <w:rPr>
          <w:rFonts w:ascii="Cambria" w:hAnsi="Cambria"/>
          <w:lang w:val="es-CO"/>
        </w:rPr>
        <w:t xml:space="preserve">. </w:t>
      </w:r>
    </w:p>
    <w:p w:rsidR="00E3024D" w:rsidRPr="0062724F" w:rsidRDefault="00E3024D" w:rsidP="00B10467">
      <w:pPr>
        <w:widowControl w:val="0"/>
        <w:autoSpaceDE w:val="0"/>
        <w:autoSpaceDN w:val="0"/>
        <w:adjustRightInd w:val="0"/>
        <w:spacing w:after="0" w:line="240" w:lineRule="auto"/>
        <w:ind w:firstLine="720"/>
        <w:jc w:val="both"/>
        <w:rPr>
          <w:rFonts w:ascii="Cambria" w:hAnsi="Cambria"/>
          <w:lang w:val="es-AR"/>
        </w:rPr>
      </w:pPr>
    </w:p>
    <w:p w:rsidR="00E3024D" w:rsidRPr="0062724F" w:rsidRDefault="00251530" w:rsidP="00B10467">
      <w:pPr>
        <w:widowControl w:val="0"/>
        <w:autoSpaceDE w:val="0"/>
        <w:autoSpaceDN w:val="0"/>
        <w:adjustRightInd w:val="0"/>
        <w:spacing w:after="0" w:line="240" w:lineRule="auto"/>
        <w:ind w:firstLine="720"/>
        <w:jc w:val="both"/>
        <w:rPr>
          <w:rFonts w:ascii="Cambria" w:hAnsi="Cambria"/>
          <w:lang w:val="es-AR"/>
        </w:rPr>
      </w:pPr>
      <w:r w:rsidRPr="0062724F">
        <w:rPr>
          <w:rFonts w:ascii="Cambria" w:hAnsi="Cambria"/>
          <w:lang w:val="es-CO"/>
        </w:rPr>
        <w:t>En ese sentido, la Comisión solicita a la Corte que concluya y declare la responsabilidad internacional del</w:t>
      </w:r>
      <w:r w:rsidRPr="0062724F">
        <w:rPr>
          <w:rFonts w:ascii="Cambria" w:hAnsi="Cambria" w:cs="Arial"/>
          <w:lang w:val="es-CL"/>
        </w:rPr>
        <w:t xml:space="preserve"> Estado de </w:t>
      </w:r>
      <w:r w:rsidRPr="0062724F">
        <w:rPr>
          <w:rFonts w:ascii="Cambria" w:hAnsi="Cambria" w:cs="Arial"/>
          <w:lang w:val="es-CO"/>
        </w:rPr>
        <w:t>Perú</w:t>
      </w:r>
      <w:r w:rsidR="00E3024D" w:rsidRPr="0062724F">
        <w:rPr>
          <w:rFonts w:ascii="Cambria" w:hAnsi="Cambria" w:cs="Arial"/>
          <w:lang w:val="es-CO"/>
        </w:rPr>
        <w:t xml:space="preserve"> por</w:t>
      </w:r>
      <w:r w:rsidRPr="0062724F">
        <w:rPr>
          <w:rFonts w:ascii="Cambria" w:hAnsi="Cambria" w:cs="Arial"/>
          <w:lang w:val="es-CL"/>
        </w:rPr>
        <w:t xml:space="preserve"> </w:t>
      </w:r>
      <w:r w:rsidR="00E3024D" w:rsidRPr="0062724F">
        <w:rPr>
          <w:rFonts w:ascii="Cambria" w:eastAsia="Times New Roman" w:hAnsi="Cambria"/>
          <w:color w:val="000000"/>
          <w:u w:color="000000"/>
          <w:lang w:val="es-ES" w:eastAsia="es-ES"/>
        </w:rPr>
        <w:t>la violación de los der</w:t>
      </w:r>
      <w:r w:rsidR="00E3024D" w:rsidRPr="0062724F">
        <w:rPr>
          <w:rFonts w:ascii="Cambria" w:eastAsia="Times New Roman" w:hAnsi="Cambria" w:cs="Arial"/>
          <w:color w:val="000000"/>
          <w:u w:color="000000"/>
          <w:lang w:val="es-ES" w:eastAsia="es-ES"/>
        </w:rPr>
        <w:t xml:space="preserve">echos </w:t>
      </w:r>
      <w:r w:rsidR="00EE4146">
        <w:rPr>
          <w:rFonts w:ascii="Cambria" w:eastAsia="Times New Roman" w:hAnsi="Cambria" w:cs="Arial"/>
          <w:color w:val="000000"/>
          <w:u w:color="000000"/>
          <w:lang w:val="es-ES" w:eastAsia="es-ES"/>
        </w:rPr>
        <w:t xml:space="preserve">a las garantías judiciales, </w:t>
      </w:r>
      <w:r w:rsidR="00DC3674">
        <w:rPr>
          <w:rFonts w:ascii="Cambria" w:eastAsia="Times New Roman" w:hAnsi="Cambria" w:cs="Arial"/>
          <w:color w:val="000000"/>
          <w:u w:color="000000"/>
          <w:lang w:val="es-ES" w:eastAsia="es-ES"/>
        </w:rPr>
        <w:t xml:space="preserve">al </w:t>
      </w:r>
      <w:r w:rsidR="00EE4146">
        <w:rPr>
          <w:rFonts w:ascii="Cambria" w:eastAsia="Times New Roman" w:hAnsi="Cambria" w:cs="Arial"/>
          <w:color w:val="000000"/>
          <w:u w:color="000000"/>
          <w:lang w:val="es-ES" w:eastAsia="es-ES"/>
        </w:rPr>
        <w:t xml:space="preserve">principio de legalidad, </w:t>
      </w:r>
      <w:r w:rsidR="00DC3674">
        <w:rPr>
          <w:rFonts w:ascii="Cambria" w:eastAsia="Times New Roman" w:hAnsi="Cambria" w:cs="Arial"/>
          <w:color w:val="000000"/>
          <w:u w:color="000000"/>
          <w:lang w:val="es-ES" w:eastAsia="es-ES"/>
        </w:rPr>
        <w:t xml:space="preserve">a los </w:t>
      </w:r>
      <w:r w:rsidR="00EE4146">
        <w:rPr>
          <w:rFonts w:ascii="Cambria" w:eastAsia="Times New Roman" w:hAnsi="Cambria" w:cs="Arial"/>
          <w:color w:val="000000"/>
          <w:u w:color="000000"/>
          <w:lang w:val="es-ES" w:eastAsia="es-ES"/>
        </w:rPr>
        <w:t xml:space="preserve">derechos políticos y </w:t>
      </w:r>
      <w:r w:rsidR="00DC3674">
        <w:rPr>
          <w:rFonts w:ascii="Cambria" w:eastAsia="Times New Roman" w:hAnsi="Cambria" w:cs="Arial"/>
          <w:color w:val="000000"/>
          <w:u w:color="000000"/>
          <w:lang w:val="es-ES" w:eastAsia="es-ES"/>
        </w:rPr>
        <w:t xml:space="preserve">a la </w:t>
      </w:r>
      <w:r w:rsidR="00EE4146">
        <w:rPr>
          <w:rFonts w:ascii="Cambria" w:eastAsia="Times New Roman" w:hAnsi="Cambria" w:cs="Arial"/>
          <w:color w:val="000000"/>
          <w:u w:color="000000"/>
          <w:lang w:val="es-ES" w:eastAsia="es-ES"/>
        </w:rPr>
        <w:t xml:space="preserve">protección judicial, </w:t>
      </w:r>
      <w:r w:rsidR="00E3024D" w:rsidRPr="0062724F">
        <w:rPr>
          <w:rFonts w:ascii="Cambria" w:eastAsia="Times New Roman" w:hAnsi="Cambria" w:cs="Arial"/>
          <w:color w:val="000000"/>
          <w:u w:color="000000"/>
          <w:lang w:val="es-ES" w:eastAsia="es-ES"/>
        </w:rPr>
        <w:t>consagrados en los artículos 8.1</w:t>
      </w:r>
      <w:r w:rsidR="00EE4146">
        <w:rPr>
          <w:rFonts w:ascii="Cambria" w:eastAsia="Times New Roman" w:hAnsi="Cambria" w:cs="Arial"/>
          <w:color w:val="000000"/>
          <w:u w:color="000000"/>
          <w:lang w:val="es-ES" w:eastAsia="es-ES"/>
        </w:rPr>
        <w:t>, 8.2 b), 8.2 c), 9, 23.1 c)</w:t>
      </w:r>
      <w:r w:rsidR="00E3024D" w:rsidRPr="0062724F">
        <w:rPr>
          <w:rFonts w:ascii="Cambria" w:eastAsia="Times New Roman" w:hAnsi="Cambria" w:cs="Arial"/>
          <w:color w:val="000000"/>
          <w:u w:color="000000"/>
          <w:lang w:val="es-ES" w:eastAsia="es-ES"/>
        </w:rPr>
        <w:t xml:space="preserve"> y 25.1 de la Convención Americana </w:t>
      </w:r>
      <w:r w:rsidR="00DC3674">
        <w:rPr>
          <w:rFonts w:ascii="Cambria" w:eastAsia="Times New Roman" w:hAnsi="Cambria" w:cs="Arial"/>
          <w:color w:val="000000"/>
          <w:u w:color="000000"/>
          <w:lang w:val="es-ES" w:eastAsia="es-ES"/>
        </w:rPr>
        <w:t xml:space="preserve">sobre Derechos Humanos, </w:t>
      </w:r>
      <w:r w:rsidR="00E3024D" w:rsidRPr="0062724F">
        <w:rPr>
          <w:rFonts w:ascii="Cambria" w:eastAsia="Times New Roman" w:hAnsi="Cambria" w:cs="Arial"/>
          <w:color w:val="000000"/>
          <w:u w:color="000000"/>
          <w:lang w:val="es-ES" w:eastAsia="es-ES"/>
        </w:rPr>
        <w:t xml:space="preserve">en relación con </w:t>
      </w:r>
      <w:r w:rsidR="00DC3674">
        <w:rPr>
          <w:rFonts w:ascii="Cambria" w:eastAsia="Times New Roman" w:hAnsi="Cambria" w:cs="Arial"/>
          <w:color w:val="000000"/>
          <w:u w:color="000000"/>
          <w:lang w:val="es-ES" w:eastAsia="es-ES"/>
        </w:rPr>
        <w:t xml:space="preserve">las obligaciones establecidas en los </w:t>
      </w:r>
      <w:r w:rsidR="00E3024D" w:rsidRPr="0062724F">
        <w:rPr>
          <w:rFonts w:ascii="Cambria" w:eastAsia="Times New Roman" w:hAnsi="Cambria" w:cs="Arial"/>
          <w:color w:val="000000"/>
          <w:u w:color="000000"/>
          <w:lang w:val="es-ES" w:eastAsia="es-ES"/>
        </w:rPr>
        <w:t>artículo</w:t>
      </w:r>
      <w:r w:rsidR="00DC3674">
        <w:rPr>
          <w:rFonts w:ascii="Cambria" w:eastAsia="Times New Roman" w:hAnsi="Cambria" w:cs="Arial"/>
          <w:color w:val="000000"/>
          <w:u w:color="000000"/>
          <w:lang w:val="es-ES" w:eastAsia="es-ES"/>
        </w:rPr>
        <w:t>s</w:t>
      </w:r>
      <w:r w:rsidR="00E3024D" w:rsidRPr="0062724F">
        <w:rPr>
          <w:rFonts w:ascii="Cambria" w:eastAsia="Times New Roman" w:hAnsi="Cambria" w:cs="Arial"/>
          <w:color w:val="000000"/>
          <w:u w:color="000000"/>
          <w:lang w:val="es-ES" w:eastAsia="es-ES"/>
        </w:rPr>
        <w:t xml:space="preserve"> 1.1  y 2 del mismo instrumento</w:t>
      </w:r>
      <w:r w:rsidR="00DC3674">
        <w:rPr>
          <w:rFonts w:ascii="Cambria" w:eastAsia="Times New Roman" w:hAnsi="Cambria" w:cs="Arial"/>
          <w:color w:val="000000"/>
          <w:u w:color="000000"/>
          <w:lang w:val="es-ES" w:eastAsia="es-ES"/>
        </w:rPr>
        <w:t>,</w:t>
      </w:r>
      <w:r w:rsidR="00E3024D" w:rsidRPr="0062724F">
        <w:rPr>
          <w:rFonts w:ascii="Cambria" w:eastAsia="Times New Roman" w:hAnsi="Cambria" w:cs="Arial"/>
          <w:color w:val="000000"/>
          <w:u w:color="000000"/>
          <w:lang w:val="es-ES" w:eastAsia="es-ES"/>
        </w:rPr>
        <w:t xml:space="preserve"> en perjuicio de</w:t>
      </w:r>
      <w:r w:rsidR="00EE4146">
        <w:rPr>
          <w:rFonts w:ascii="Cambria" w:eastAsia="Times New Roman" w:hAnsi="Cambria" w:cs="Arial"/>
          <w:color w:val="000000"/>
          <w:u w:color="000000"/>
          <w:lang w:val="es-ES" w:eastAsia="es-ES"/>
        </w:rPr>
        <w:t xml:space="preserve"> la señora Norka Moya Solís</w:t>
      </w:r>
      <w:r w:rsidR="00E3024D" w:rsidRPr="0062724F">
        <w:rPr>
          <w:rFonts w:ascii="Cambria" w:eastAsia="Times New Roman" w:hAnsi="Cambria" w:cs="Arial"/>
          <w:color w:val="000000"/>
          <w:u w:color="000000"/>
          <w:lang w:val="es-ES" w:eastAsia="es-ES"/>
        </w:rPr>
        <w:t xml:space="preserve">. </w:t>
      </w:r>
      <w:r w:rsidR="005A32EA">
        <w:rPr>
          <w:rFonts w:ascii="Cambria" w:eastAsia="Times New Roman" w:hAnsi="Cambria" w:cs="Arial"/>
          <w:color w:val="000000"/>
          <w:u w:color="000000"/>
          <w:lang w:val="es-ES" w:eastAsia="es-ES"/>
        </w:rPr>
        <w:t xml:space="preserve"> </w:t>
      </w:r>
    </w:p>
    <w:p w:rsidR="00251530" w:rsidRPr="00DC3674" w:rsidRDefault="00251530" w:rsidP="00B10467">
      <w:pPr>
        <w:autoSpaceDE w:val="0"/>
        <w:autoSpaceDN w:val="0"/>
        <w:adjustRightInd w:val="0"/>
        <w:spacing w:after="0" w:line="240" w:lineRule="auto"/>
        <w:ind w:left="720" w:right="480"/>
        <w:jc w:val="both"/>
        <w:rPr>
          <w:rFonts w:ascii="Cambria" w:hAnsi="Cambria"/>
          <w:lang w:val="es-AR"/>
        </w:rPr>
      </w:pPr>
    </w:p>
    <w:p w:rsidR="00251530" w:rsidRPr="0062724F" w:rsidRDefault="00251530" w:rsidP="00B10467">
      <w:pPr>
        <w:autoSpaceDE w:val="0"/>
        <w:autoSpaceDN w:val="0"/>
        <w:adjustRightInd w:val="0"/>
        <w:spacing w:after="0" w:line="240" w:lineRule="auto"/>
        <w:ind w:left="720" w:right="480"/>
        <w:jc w:val="both"/>
        <w:rPr>
          <w:rFonts w:ascii="Cambria" w:hAnsi="Cambria"/>
          <w:lang w:val="es-CO"/>
        </w:rPr>
      </w:pPr>
      <w:r w:rsidRPr="0062724F">
        <w:rPr>
          <w:rFonts w:ascii="Cambria" w:hAnsi="Cambria"/>
          <w:lang w:val="es-CO"/>
        </w:rPr>
        <w:t>Asimismo, la Comisión solicita a la Corte que establezca las siguientes medidas de reparación:</w:t>
      </w:r>
    </w:p>
    <w:p w:rsidR="00B10467" w:rsidRPr="0062724F" w:rsidRDefault="00B10467" w:rsidP="00B10467">
      <w:pPr>
        <w:autoSpaceDE w:val="0"/>
        <w:autoSpaceDN w:val="0"/>
        <w:adjustRightInd w:val="0"/>
        <w:spacing w:after="0" w:line="240" w:lineRule="auto"/>
        <w:ind w:left="720" w:right="480"/>
        <w:jc w:val="both"/>
        <w:rPr>
          <w:rFonts w:ascii="Cambria" w:hAnsi="Cambria"/>
          <w:lang w:val="es-CO"/>
        </w:rPr>
      </w:pPr>
    </w:p>
    <w:p w:rsidR="00EE4146" w:rsidRDefault="00EE4146" w:rsidP="00B10467">
      <w:pPr>
        <w:numPr>
          <w:ilvl w:val="0"/>
          <w:numId w:val="3"/>
        </w:numPr>
        <w:autoSpaceDE w:val="0"/>
        <w:autoSpaceDN w:val="0"/>
        <w:adjustRightInd w:val="0"/>
        <w:spacing w:after="0" w:line="240" w:lineRule="auto"/>
        <w:ind w:left="0" w:firstLine="720"/>
        <w:jc w:val="both"/>
        <w:rPr>
          <w:rFonts w:ascii="Cambria" w:eastAsia="Times New Roman" w:hAnsi="Cambria"/>
          <w:color w:val="000000"/>
          <w:u w:color="000000"/>
          <w:lang w:val="es-ES" w:eastAsia="es-ES"/>
        </w:rPr>
      </w:pPr>
      <w:r w:rsidRPr="00EE4146">
        <w:rPr>
          <w:rFonts w:ascii="Cambria" w:eastAsia="Times New Roman" w:hAnsi="Cambria"/>
          <w:color w:val="000000"/>
          <w:u w:color="000000"/>
          <w:lang w:val="es-VE" w:eastAsia="es-ES"/>
        </w:rPr>
        <w:t>Reincorporar a Norka Moya Solís, en caso de ser este su deseo, en un cargo similar al que desempeñaba en el Poder Judicial, con la misma remuneración, beneficios sociales y rango equiparable a los que le correspondería el día de hoy si no hubiera sido destituida. Si por razones fundadas no es posible la reincorporación</w:t>
      </w:r>
      <w:r w:rsidR="00DC3674">
        <w:rPr>
          <w:rFonts w:ascii="Cambria" w:eastAsia="Times New Roman" w:hAnsi="Cambria"/>
          <w:color w:val="000000"/>
          <w:u w:color="000000"/>
          <w:lang w:val="es-VE" w:eastAsia="es-ES"/>
        </w:rPr>
        <w:t>,</w:t>
      </w:r>
      <w:r w:rsidR="00AF21ED">
        <w:rPr>
          <w:rFonts w:ascii="Cambria" w:eastAsia="Times New Roman" w:hAnsi="Cambria"/>
          <w:color w:val="000000"/>
          <w:u w:color="000000"/>
          <w:lang w:val="es-VE" w:eastAsia="es-ES"/>
        </w:rPr>
        <w:t xml:space="preserve"> </w:t>
      </w:r>
      <w:r w:rsidRPr="00EE4146">
        <w:rPr>
          <w:rFonts w:ascii="Cambria" w:eastAsia="Times New Roman" w:hAnsi="Cambria"/>
          <w:color w:val="000000"/>
          <w:u w:color="000000"/>
          <w:lang w:val="es-VE" w:eastAsia="es-ES"/>
        </w:rPr>
        <w:t>pagar una indemnización alternativa.</w:t>
      </w:r>
    </w:p>
    <w:p w:rsidR="00EE4146" w:rsidRDefault="00EE4146" w:rsidP="00AF21ED">
      <w:pPr>
        <w:autoSpaceDE w:val="0"/>
        <w:autoSpaceDN w:val="0"/>
        <w:adjustRightInd w:val="0"/>
        <w:spacing w:after="0" w:line="240" w:lineRule="auto"/>
        <w:ind w:left="720"/>
        <w:jc w:val="both"/>
        <w:rPr>
          <w:rFonts w:ascii="Cambria" w:eastAsia="Times New Roman" w:hAnsi="Cambria"/>
          <w:color w:val="000000"/>
          <w:u w:color="000000"/>
          <w:lang w:val="es-ES" w:eastAsia="es-ES"/>
        </w:rPr>
      </w:pPr>
    </w:p>
    <w:p w:rsidR="00B10467" w:rsidRPr="0062724F" w:rsidRDefault="00B10467" w:rsidP="00B10467">
      <w:pPr>
        <w:numPr>
          <w:ilvl w:val="0"/>
          <w:numId w:val="3"/>
        </w:numPr>
        <w:autoSpaceDE w:val="0"/>
        <w:autoSpaceDN w:val="0"/>
        <w:adjustRightInd w:val="0"/>
        <w:spacing w:after="0" w:line="240" w:lineRule="auto"/>
        <w:ind w:left="0" w:firstLine="720"/>
        <w:jc w:val="both"/>
        <w:rPr>
          <w:rFonts w:ascii="Cambria" w:eastAsia="Times New Roman" w:hAnsi="Cambria"/>
          <w:color w:val="000000"/>
          <w:u w:color="000000"/>
          <w:lang w:val="es-ES" w:eastAsia="es-ES"/>
        </w:rPr>
      </w:pPr>
      <w:r w:rsidRPr="0062724F">
        <w:rPr>
          <w:rFonts w:ascii="Cambria" w:eastAsia="Times New Roman" w:hAnsi="Cambria"/>
          <w:color w:val="000000"/>
          <w:u w:color="000000"/>
          <w:lang w:val="es-ES" w:eastAsia="es-ES"/>
        </w:rPr>
        <w:t xml:space="preserve">Reparar </w:t>
      </w:r>
      <w:r w:rsidR="00AF21ED">
        <w:rPr>
          <w:rFonts w:ascii="Cambria" w:eastAsia="Times New Roman" w:hAnsi="Cambria"/>
          <w:color w:val="000000"/>
          <w:u w:color="000000"/>
          <w:lang w:val="es-ES" w:eastAsia="es-ES"/>
        </w:rPr>
        <w:t xml:space="preserve">integralmente </w:t>
      </w:r>
      <w:r w:rsidRPr="0062724F">
        <w:rPr>
          <w:rFonts w:ascii="Cambria" w:eastAsia="Times New Roman" w:hAnsi="Cambria"/>
          <w:color w:val="000000"/>
          <w:u w:color="000000"/>
          <w:lang w:val="es-ES" w:eastAsia="es-ES"/>
        </w:rPr>
        <w:t xml:space="preserve">las violaciones de derechos humanos declaradas en el </w:t>
      </w:r>
      <w:r w:rsidR="00AF21ED">
        <w:rPr>
          <w:rFonts w:ascii="Cambria" w:eastAsia="Times New Roman" w:hAnsi="Cambria"/>
          <w:color w:val="000000"/>
          <w:u w:color="000000"/>
          <w:lang w:val="es-ES" w:eastAsia="es-ES"/>
        </w:rPr>
        <w:t>I</w:t>
      </w:r>
      <w:r w:rsidRPr="0062724F">
        <w:rPr>
          <w:rFonts w:ascii="Cambria" w:eastAsia="Times New Roman" w:hAnsi="Cambria"/>
          <w:color w:val="000000"/>
          <w:u w:color="000000"/>
          <w:lang w:val="es-ES" w:eastAsia="es-ES"/>
        </w:rPr>
        <w:t xml:space="preserve">nforme </w:t>
      </w:r>
      <w:r w:rsidR="00AF21ED">
        <w:rPr>
          <w:rFonts w:ascii="Cambria" w:eastAsia="Times New Roman" w:hAnsi="Cambria"/>
          <w:color w:val="000000"/>
          <w:u w:color="000000"/>
          <w:lang w:val="es-ES" w:eastAsia="es-ES"/>
        </w:rPr>
        <w:t xml:space="preserve">de Fondo No. 63/19, incluyendo </w:t>
      </w:r>
      <w:r w:rsidRPr="0062724F">
        <w:rPr>
          <w:rFonts w:ascii="Cambria" w:eastAsia="Times New Roman" w:hAnsi="Cambria"/>
          <w:color w:val="000000"/>
          <w:u w:color="000000"/>
          <w:lang w:val="es-ES" w:eastAsia="es-ES"/>
        </w:rPr>
        <w:t xml:space="preserve">el aspecto material </w:t>
      </w:r>
      <w:r w:rsidR="00AF21ED">
        <w:rPr>
          <w:rFonts w:ascii="Cambria" w:eastAsia="Times New Roman" w:hAnsi="Cambria"/>
          <w:color w:val="000000"/>
          <w:u w:color="000000"/>
          <w:lang w:val="es-ES" w:eastAsia="es-ES"/>
        </w:rPr>
        <w:t xml:space="preserve">e inmaterial. </w:t>
      </w:r>
    </w:p>
    <w:p w:rsidR="00B10467" w:rsidRPr="0062724F" w:rsidRDefault="00B10467" w:rsidP="00B10467">
      <w:pPr>
        <w:spacing w:after="0" w:line="240" w:lineRule="auto"/>
        <w:rPr>
          <w:rFonts w:ascii="Cambria" w:hAnsi="Cambria"/>
          <w:lang w:val="es-ES"/>
        </w:rPr>
      </w:pPr>
    </w:p>
    <w:p w:rsidR="00AF21ED" w:rsidRDefault="00AF21ED" w:rsidP="00B10467">
      <w:pPr>
        <w:numPr>
          <w:ilvl w:val="0"/>
          <w:numId w:val="3"/>
        </w:numPr>
        <w:autoSpaceDE w:val="0"/>
        <w:autoSpaceDN w:val="0"/>
        <w:adjustRightInd w:val="0"/>
        <w:spacing w:after="0" w:line="240" w:lineRule="auto"/>
        <w:ind w:left="0" w:firstLine="720"/>
        <w:jc w:val="both"/>
        <w:rPr>
          <w:rFonts w:ascii="Cambria" w:eastAsia="Times New Roman" w:hAnsi="Cambria"/>
          <w:color w:val="000000"/>
          <w:u w:color="000000"/>
          <w:lang w:val="es-ES" w:eastAsia="es-ES"/>
        </w:rPr>
      </w:pPr>
      <w:r>
        <w:rPr>
          <w:rFonts w:ascii="Cambria" w:eastAsia="Times New Roman" w:hAnsi="Cambria"/>
          <w:color w:val="000000"/>
          <w:u w:color="000000"/>
          <w:lang w:val="es-ES" w:eastAsia="es-ES"/>
        </w:rPr>
        <w:t xml:space="preserve">Disponer las </w:t>
      </w:r>
      <w:r w:rsidR="00B10467" w:rsidRPr="0062724F">
        <w:rPr>
          <w:rFonts w:ascii="Cambria" w:eastAsia="Times New Roman" w:hAnsi="Cambria"/>
          <w:color w:val="000000"/>
          <w:u w:color="000000"/>
          <w:lang w:val="es-ES" w:eastAsia="es-ES"/>
        </w:rPr>
        <w:t xml:space="preserve">medidas de no repetición necesarias para </w:t>
      </w:r>
      <w:r w:rsidRPr="00AF21ED">
        <w:rPr>
          <w:rFonts w:ascii="Cambria" w:eastAsia="Times New Roman" w:hAnsi="Cambria"/>
          <w:color w:val="000000"/>
          <w:u w:color="000000"/>
          <w:lang w:val="es-VE" w:eastAsia="es-ES"/>
        </w:rPr>
        <w:t>asegurar que los procesos de ratificación de funcionarios del Poder Judicial, en la ley y en la práctica: i) regulen debidamente las faltas cometidas que dan lugar a la no ratificación de un funcionario del Poder Judicial, con base en criterios objetivos y de manera proporcional; ii) permitan que el funcionario sometido al proceso pueda defenderse frente a los cargos puntuales en su contra a la luz de dichos criterios objetivos, así como contar con un recurso efectivo  para enmendar posibles violaciones al debido proceso.</w:t>
      </w:r>
    </w:p>
    <w:p w:rsidR="00B10467" w:rsidRPr="0062724F" w:rsidRDefault="00B10467" w:rsidP="00B10467">
      <w:pPr>
        <w:spacing w:after="0" w:line="240" w:lineRule="auto"/>
        <w:rPr>
          <w:rFonts w:ascii="Cambria" w:hAnsi="Cambria"/>
          <w:lang w:val="es-ES"/>
        </w:rPr>
      </w:pPr>
    </w:p>
    <w:p w:rsidR="00AF21ED" w:rsidRDefault="00251530" w:rsidP="004A5EBE">
      <w:pPr>
        <w:widowControl w:val="0"/>
        <w:autoSpaceDE w:val="0"/>
        <w:autoSpaceDN w:val="0"/>
        <w:adjustRightInd w:val="0"/>
        <w:spacing w:after="0" w:line="240" w:lineRule="auto"/>
        <w:ind w:firstLine="720"/>
        <w:jc w:val="both"/>
        <w:rPr>
          <w:rFonts w:ascii="Cambria" w:hAnsi="Cambria" w:cs="Arial"/>
          <w:lang w:val="es-CL"/>
        </w:rPr>
      </w:pPr>
      <w:r w:rsidRPr="0062724F">
        <w:rPr>
          <w:rFonts w:ascii="Cambria" w:hAnsi="Cambria" w:cs="Arial"/>
          <w:lang w:val="es-CL"/>
        </w:rPr>
        <w:t xml:space="preserve">Además de la necesidad de obtención de justicia por la falta de cumplimiento de las recomendaciones del </w:t>
      </w:r>
      <w:r w:rsidR="00AF21ED">
        <w:rPr>
          <w:rFonts w:ascii="Cambria" w:hAnsi="Cambria" w:cs="Arial"/>
          <w:lang w:val="es-CL"/>
        </w:rPr>
        <w:t>I</w:t>
      </w:r>
      <w:r w:rsidRPr="0062724F">
        <w:rPr>
          <w:rFonts w:ascii="Cambria" w:hAnsi="Cambria" w:cs="Arial"/>
          <w:lang w:val="es-CO"/>
        </w:rPr>
        <w:t>nforme</w:t>
      </w:r>
      <w:r w:rsidRPr="0062724F">
        <w:rPr>
          <w:rFonts w:ascii="Cambria" w:hAnsi="Cambria" w:cs="Arial"/>
          <w:lang w:val="es-CL"/>
        </w:rPr>
        <w:t xml:space="preserve"> de </w:t>
      </w:r>
      <w:r w:rsidR="00AF21ED">
        <w:rPr>
          <w:rFonts w:ascii="Cambria" w:hAnsi="Cambria" w:cs="Arial"/>
          <w:lang w:val="es-CL"/>
        </w:rPr>
        <w:t>F</w:t>
      </w:r>
      <w:r w:rsidRPr="0062724F">
        <w:rPr>
          <w:rFonts w:ascii="Cambria" w:hAnsi="Cambria" w:cs="Arial"/>
          <w:lang w:val="es-CL"/>
        </w:rPr>
        <w:t>ondo</w:t>
      </w:r>
      <w:r w:rsidR="00AF21ED">
        <w:rPr>
          <w:rFonts w:ascii="Cambria" w:hAnsi="Cambria" w:cs="Arial"/>
          <w:lang w:val="es-CL"/>
        </w:rPr>
        <w:t xml:space="preserve"> No. 63/19</w:t>
      </w:r>
      <w:r w:rsidRPr="0062724F">
        <w:rPr>
          <w:rFonts w:ascii="Cambria" w:hAnsi="Cambria" w:cs="Arial"/>
          <w:lang w:val="es-CL"/>
        </w:rPr>
        <w:t xml:space="preserve">, la Comisión considera que el caso presenta cuestiones de orden público interamericano. </w:t>
      </w:r>
      <w:r w:rsidR="00AF21ED">
        <w:rPr>
          <w:rFonts w:ascii="Cambria" w:hAnsi="Cambria" w:cs="Arial"/>
          <w:lang w:val="es-CL"/>
        </w:rPr>
        <w:t>E</w:t>
      </w:r>
      <w:r w:rsidR="00DC3674">
        <w:rPr>
          <w:rFonts w:ascii="Cambria" w:hAnsi="Cambria" w:cs="Arial"/>
          <w:lang w:val="es-CL"/>
        </w:rPr>
        <w:t>specíficamente, e</w:t>
      </w:r>
      <w:r w:rsidR="00AF21ED" w:rsidRPr="00AF21ED">
        <w:rPr>
          <w:rFonts w:ascii="Cambria" w:hAnsi="Cambria" w:cs="Arial"/>
          <w:lang w:val="es-CO"/>
        </w:rPr>
        <w:t xml:space="preserve">l presente caso permitiría a la Corte Interamericana desarrollar y consolidar su jurisprudencia sobre los procesos de ratificación de operadores judiciales como mecanismos de rendición de cuentas y las salvaguardas para que dichos procesos cumplan con las garantías del debido proceso y principio de legalidad previstas en la Convención Americana, así como con la finalidad de asegurar la idoneidad de las y los funcionarios públicos. </w:t>
      </w:r>
    </w:p>
    <w:p w:rsidR="00AF21ED" w:rsidRDefault="00AF21ED" w:rsidP="004A5EBE">
      <w:pPr>
        <w:widowControl w:val="0"/>
        <w:autoSpaceDE w:val="0"/>
        <w:autoSpaceDN w:val="0"/>
        <w:adjustRightInd w:val="0"/>
        <w:spacing w:after="0" w:line="240" w:lineRule="auto"/>
        <w:ind w:firstLine="720"/>
        <w:jc w:val="both"/>
        <w:rPr>
          <w:rFonts w:ascii="Cambria" w:hAnsi="Cambria" w:cs="Arial"/>
          <w:lang w:val="es-CL"/>
        </w:rPr>
      </w:pPr>
    </w:p>
    <w:p w:rsidR="00251530" w:rsidRPr="0062724F" w:rsidRDefault="00251530" w:rsidP="00B10467">
      <w:pPr>
        <w:widowControl w:val="0"/>
        <w:autoSpaceDE w:val="0"/>
        <w:autoSpaceDN w:val="0"/>
        <w:adjustRightInd w:val="0"/>
        <w:spacing w:after="0" w:line="240" w:lineRule="auto"/>
        <w:ind w:firstLine="720"/>
        <w:jc w:val="both"/>
        <w:rPr>
          <w:rFonts w:ascii="Cambria" w:hAnsi="Cambria" w:cs="Arial"/>
          <w:lang w:val="es-CL"/>
        </w:rPr>
      </w:pPr>
      <w:r w:rsidRPr="0062724F">
        <w:rPr>
          <w:rFonts w:ascii="Cambria" w:hAnsi="Cambria" w:cs="Arial"/>
          <w:lang w:val="es-CL"/>
        </w:rPr>
        <w:t xml:space="preserve">En virtud de que estas cuestiones afectan de manera relevante el orden público interamericano, de </w:t>
      </w:r>
      <w:r w:rsidRPr="0062724F">
        <w:rPr>
          <w:rFonts w:ascii="Cambria" w:hAnsi="Cambria" w:cs="Arial"/>
          <w:lang w:val="es-CL"/>
        </w:rPr>
        <w:lastRenderedPageBreak/>
        <w:t xml:space="preserve">conformidad </w:t>
      </w:r>
      <w:r w:rsidRPr="0062724F">
        <w:rPr>
          <w:rFonts w:ascii="Cambria" w:eastAsia="Times New Roman" w:hAnsi="Cambria" w:cs="Cambria"/>
          <w:lang w:val="es-CO"/>
        </w:rPr>
        <w:t>con</w:t>
      </w:r>
      <w:r w:rsidRPr="0062724F">
        <w:rPr>
          <w:rFonts w:ascii="Cambria" w:hAnsi="Cambria" w:cs="Arial"/>
          <w:lang w:val="es-CL"/>
        </w:rPr>
        <w:t xml:space="preserve"> el artículo 35.1 f) del Reglamento de la Corte Interamericana, la Comisión se permite ofrecer la siguiente declaración pericial:</w:t>
      </w:r>
    </w:p>
    <w:p w:rsidR="00251530" w:rsidRPr="0062724F" w:rsidRDefault="00251530" w:rsidP="00B10467">
      <w:pPr>
        <w:autoSpaceDE w:val="0"/>
        <w:autoSpaceDN w:val="0"/>
        <w:adjustRightInd w:val="0"/>
        <w:spacing w:after="0" w:line="240" w:lineRule="auto"/>
        <w:ind w:right="480"/>
        <w:jc w:val="both"/>
        <w:rPr>
          <w:rFonts w:ascii="Cambria" w:hAnsi="Cambria" w:cs="Arial"/>
          <w:lang w:val="es-CL"/>
        </w:rPr>
      </w:pPr>
    </w:p>
    <w:p w:rsidR="00580556" w:rsidRPr="00580556" w:rsidRDefault="00251530" w:rsidP="00580556">
      <w:pPr>
        <w:widowControl w:val="0"/>
        <w:autoSpaceDE w:val="0"/>
        <w:autoSpaceDN w:val="0"/>
        <w:adjustRightInd w:val="0"/>
        <w:spacing w:after="0" w:line="240" w:lineRule="auto"/>
        <w:ind w:firstLine="720"/>
        <w:jc w:val="both"/>
        <w:rPr>
          <w:rFonts w:ascii="Cambria" w:hAnsi="Cambria" w:cs="Courier New"/>
          <w:lang w:val="es-CO"/>
        </w:rPr>
      </w:pPr>
      <w:r w:rsidRPr="0062724F">
        <w:rPr>
          <w:rFonts w:ascii="Cambria" w:hAnsi="Cambria" w:cs="Courier New"/>
          <w:b/>
          <w:lang w:val="es-ES_tradnl"/>
        </w:rPr>
        <w:t>Perito/a cuyo nombre será informado a la brevedad</w:t>
      </w:r>
      <w:r w:rsidRPr="0062724F">
        <w:rPr>
          <w:rFonts w:ascii="Cambria" w:hAnsi="Cambria" w:cs="Courier New"/>
          <w:lang w:val="es-ES_tradnl"/>
        </w:rPr>
        <w:t xml:space="preserve">, </w:t>
      </w:r>
      <w:r w:rsidRPr="001C27A0">
        <w:rPr>
          <w:rFonts w:ascii="Cambria" w:hAnsi="Cambria"/>
          <w:lang w:val="es-ES_tradnl"/>
        </w:rPr>
        <w:t xml:space="preserve">quien declarará </w:t>
      </w:r>
      <w:r w:rsidR="0077407E" w:rsidRPr="001C27A0">
        <w:rPr>
          <w:rFonts w:ascii="Cambria" w:hAnsi="Cambria"/>
          <w:lang w:val="es-ES_tradnl"/>
        </w:rPr>
        <w:t>sobre</w:t>
      </w:r>
      <w:r w:rsidR="00580556" w:rsidRPr="001C27A0">
        <w:rPr>
          <w:rFonts w:ascii="Cambria" w:hAnsi="Cambria"/>
          <w:lang w:val="es-ES_tradnl"/>
        </w:rPr>
        <w:t xml:space="preserve"> </w:t>
      </w:r>
      <w:r w:rsidR="001C27A0" w:rsidRPr="001C27A0">
        <w:rPr>
          <w:rFonts w:ascii="Cambria" w:hAnsi="Cambria"/>
          <w:lang w:val="es-ES_tradnl"/>
        </w:rPr>
        <w:t xml:space="preserve">las garantías de debido proceso y principio de legalidad aplicables en los procesos de ratificación de funcionarios públicos, </w:t>
      </w:r>
      <w:r w:rsidR="001C27A0">
        <w:rPr>
          <w:rFonts w:ascii="Cambria" w:hAnsi="Cambria"/>
          <w:lang w:val="es-ES_tradnl"/>
        </w:rPr>
        <w:t xml:space="preserve">como mecanismos de rendición de cuentas y las salvaguardas para que dichos procesos sean compatibles con la Convención Americana y logren cumplir con la finalidad de garantizar la idoneidad de las y los funcionarios públicos. </w:t>
      </w:r>
    </w:p>
    <w:p w:rsidR="00251530" w:rsidRPr="001C27A0" w:rsidRDefault="00251530" w:rsidP="001C27A0">
      <w:pPr>
        <w:widowControl w:val="0"/>
        <w:autoSpaceDE w:val="0"/>
        <w:autoSpaceDN w:val="0"/>
        <w:adjustRightInd w:val="0"/>
        <w:spacing w:after="0" w:line="240" w:lineRule="auto"/>
        <w:jc w:val="both"/>
        <w:rPr>
          <w:rFonts w:ascii="Cambria" w:eastAsia="Times New Roman" w:hAnsi="Cambria" w:cs="Cambria"/>
          <w:lang w:val="es-CO"/>
        </w:rPr>
      </w:pPr>
    </w:p>
    <w:p w:rsidR="00251530" w:rsidRPr="0062724F" w:rsidRDefault="00251530" w:rsidP="00B10467">
      <w:pPr>
        <w:widowControl w:val="0"/>
        <w:autoSpaceDE w:val="0"/>
        <w:autoSpaceDN w:val="0"/>
        <w:adjustRightInd w:val="0"/>
        <w:spacing w:after="0" w:line="240" w:lineRule="auto"/>
        <w:ind w:firstLine="720"/>
        <w:jc w:val="both"/>
        <w:rPr>
          <w:rFonts w:ascii="Cambria" w:hAnsi="Cambria"/>
          <w:lang w:val="es-CO"/>
        </w:rPr>
      </w:pPr>
      <w:r w:rsidRPr="0062724F">
        <w:rPr>
          <w:rFonts w:ascii="Cambria" w:hAnsi="Cambria"/>
          <w:lang w:val="es-AR"/>
        </w:rPr>
        <w:t xml:space="preserve">El CV del/la perito/a ofrecido/a </w:t>
      </w:r>
      <w:r w:rsidRPr="0062724F">
        <w:rPr>
          <w:rFonts w:ascii="Cambria" w:hAnsi="Cambria"/>
          <w:lang w:val="es-CO"/>
        </w:rPr>
        <w:t xml:space="preserve">será incluido en los anexos al </w:t>
      </w:r>
      <w:r w:rsidR="00580556">
        <w:rPr>
          <w:rFonts w:ascii="Cambria" w:hAnsi="Cambria"/>
          <w:lang w:val="es-CO"/>
        </w:rPr>
        <w:t>I</w:t>
      </w:r>
      <w:r w:rsidRPr="0062724F">
        <w:rPr>
          <w:rFonts w:ascii="Cambria" w:hAnsi="Cambria"/>
          <w:lang w:val="es-CO"/>
        </w:rPr>
        <w:t xml:space="preserve">nforme de </w:t>
      </w:r>
      <w:r w:rsidR="00580556">
        <w:rPr>
          <w:rFonts w:ascii="Cambria" w:hAnsi="Cambria"/>
          <w:lang w:val="es-CO"/>
        </w:rPr>
        <w:t>F</w:t>
      </w:r>
      <w:r w:rsidRPr="0062724F">
        <w:rPr>
          <w:rFonts w:ascii="Cambria" w:hAnsi="Cambria"/>
          <w:lang w:val="es-CO"/>
        </w:rPr>
        <w:t xml:space="preserve">ondo </w:t>
      </w:r>
      <w:r w:rsidR="00580556">
        <w:rPr>
          <w:rFonts w:ascii="Cambria" w:hAnsi="Cambria"/>
          <w:lang w:val="es-CO"/>
        </w:rPr>
        <w:t>No. 63</w:t>
      </w:r>
      <w:r w:rsidRPr="0062724F">
        <w:rPr>
          <w:rFonts w:ascii="Cambria" w:hAnsi="Cambria"/>
          <w:lang w:val="es-CO"/>
        </w:rPr>
        <w:t>/1</w:t>
      </w:r>
      <w:r w:rsidR="00580556">
        <w:rPr>
          <w:rFonts w:ascii="Cambria" w:hAnsi="Cambria"/>
          <w:lang w:val="es-CO"/>
        </w:rPr>
        <w:t>9</w:t>
      </w:r>
      <w:r w:rsidRPr="0062724F">
        <w:rPr>
          <w:rFonts w:ascii="Cambria" w:hAnsi="Cambria"/>
          <w:lang w:val="es-CO"/>
        </w:rPr>
        <w:t xml:space="preserve">. </w:t>
      </w:r>
      <w:r w:rsidR="002450AA">
        <w:rPr>
          <w:rFonts w:ascii="Cambria" w:hAnsi="Cambria"/>
          <w:lang w:val="es-CO"/>
        </w:rPr>
        <w:t xml:space="preserve"> </w:t>
      </w:r>
      <w:r w:rsidRPr="0062724F">
        <w:rPr>
          <w:rFonts w:ascii="Cambria" w:hAnsi="Cambria"/>
          <w:lang w:val="es-ES_tradnl"/>
        </w:rPr>
        <w:t xml:space="preserve">La Comisión pone en conocimiento de la Corte </w:t>
      </w:r>
      <w:r w:rsidR="008106B9" w:rsidRPr="0062724F">
        <w:rPr>
          <w:rFonts w:ascii="Cambria" w:hAnsi="Cambria"/>
          <w:lang w:val="es-ES_tradnl"/>
        </w:rPr>
        <w:t>los siguientes datos de quien ha actuado como peticionari</w:t>
      </w:r>
      <w:r w:rsidR="00580556">
        <w:rPr>
          <w:rFonts w:ascii="Cambria" w:hAnsi="Cambria"/>
          <w:lang w:val="es-ES_tradnl"/>
        </w:rPr>
        <w:t>a</w:t>
      </w:r>
      <w:r w:rsidR="008106B9" w:rsidRPr="0062724F">
        <w:rPr>
          <w:rFonts w:ascii="Cambria" w:hAnsi="Cambria"/>
          <w:lang w:val="es-ES_tradnl"/>
        </w:rPr>
        <w:t xml:space="preserve"> a lo largo del trámite interamericano: </w:t>
      </w:r>
    </w:p>
    <w:p w:rsidR="00251530" w:rsidRDefault="002450AA" w:rsidP="00B10467">
      <w:pPr>
        <w:autoSpaceDE w:val="0"/>
        <w:autoSpaceDN w:val="0"/>
        <w:adjustRightInd w:val="0"/>
        <w:spacing w:after="0" w:line="240" w:lineRule="auto"/>
        <w:jc w:val="center"/>
        <w:rPr>
          <w:rFonts w:ascii="Cambria" w:hAnsi="Cambria" w:cs="Arial"/>
          <w:lang w:val="es-ES_tradnl"/>
        </w:rPr>
      </w:pPr>
      <w:r>
        <w:rPr>
          <w:rFonts w:ascii="Cambria" w:hAnsi="Cambria" w:cs="Arial"/>
          <w:lang w:val="es-ES_tradnl"/>
        </w:rPr>
        <w:t>Señor</w:t>
      </w:r>
      <w:r w:rsidR="00580556">
        <w:rPr>
          <w:rFonts w:ascii="Cambria" w:hAnsi="Cambria" w:cs="Arial"/>
          <w:lang w:val="es-ES_tradnl"/>
        </w:rPr>
        <w:t>a</w:t>
      </w:r>
    </w:p>
    <w:p w:rsidR="002450AA" w:rsidRDefault="00580556" w:rsidP="00B10467">
      <w:pPr>
        <w:autoSpaceDE w:val="0"/>
        <w:autoSpaceDN w:val="0"/>
        <w:adjustRightInd w:val="0"/>
        <w:spacing w:after="0" w:line="240" w:lineRule="auto"/>
        <w:jc w:val="center"/>
        <w:rPr>
          <w:rFonts w:ascii="Cambria" w:hAnsi="Cambria" w:cs="Arial"/>
          <w:lang w:val="es-ES_tradnl"/>
        </w:rPr>
      </w:pPr>
      <w:r>
        <w:rPr>
          <w:rFonts w:ascii="Cambria" w:hAnsi="Cambria" w:cs="Arial"/>
          <w:lang w:val="es-ES_tradnl"/>
        </w:rPr>
        <w:t>Norka Moya Solís</w:t>
      </w:r>
    </w:p>
    <w:p w:rsidR="00580556" w:rsidRPr="00580556" w:rsidRDefault="002C1B58" w:rsidP="00B10467">
      <w:pPr>
        <w:autoSpaceDE w:val="0"/>
        <w:autoSpaceDN w:val="0"/>
        <w:adjustRightInd w:val="0"/>
        <w:spacing w:after="0" w:line="240" w:lineRule="auto"/>
        <w:jc w:val="center"/>
        <w:rPr>
          <w:rFonts w:ascii="Cambria" w:hAnsi="Cambria" w:cs="Arial"/>
          <w:bCs/>
          <w:lang w:val="es-ES_tradnl"/>
        </w:rPr>
      </w:pPr>
      <w:r w:rsidRPr="002C1B58">
        <w:rPr>
          <w:rFonts w:ascii="Cambria" w:hAnsi="Cambria" w:cs="Arial"/>
          <w:bCs/>
          <w:highlight w:val="black"/>
          <w:lang w:val="es-ES_tradnl"/>
        </w:rPr>
        <w:t>xxxxxxxxxxxxxxxxxxxxxxxxxx</w:t>
      </w:r>
    </w:p>
    <w:p w:rsidR="002450AA" w:rsidRPr="00580556" w:rsidRDefault="00580556" w:rsidP="00B10467">
      <w:pPr>
        <w:autoSpaceDE w:val="0"/>
        <w:autoSpaceDN w:val="0"/>
        <w:adjustRightInd w:val="0"/>
        <w:spacing w:after="0" w:line="240" w:lineRule="auto"/>
        <w:jc w:val="center"/>
        <w:rPr>
          <w:rFonts w:ascii="Segoe UI Symbol" w:hAnsi="Segoe UI Symbol" w:cs="Arial"/>
          <w:lang w:val="es-ES_tradnl"/>
        </w:rPr>
      </w:pPr>
      <w:r w:rsidRPr="00580556">
        <w:rPr>
          <w:rFonts w:ascii="Cambria" w:hAnsi="Cambria" w:cs="Arial"/>
          <w:b/>
          <w:bCs/>
          <w:lang w:val="es-ES_tradnl"/>
        </w:rPr>
        <w:t xml:space="preserve"> </w:t>
      </w:r>
    </w:p>
    <w:p w:rsidR="00742334" w:rsidRPr="002450AA" w:rsidRDefault="00742334" w:rsidP="00B10467">
      <w:pPr>
        <w:autoSpaceDE w:val="0"/>
        <w:autoSpaceDN w:val="0"/>
        <w:adjustRightInd w:val="0"/>
        <w:spacing w:after="0" w:line="240" w:lineRule="auto"/>
        <w:jc w:val="center"/>
        <w:rPr>
          <w:rFonts w:ascii="Cambria" w:hAnsi="Cambria" w:cs="Arial"/>
          <w:sz w:val="28"/>
          <w:szCs w:val="28"/>
          <w:lang w:val="es-ES_tradnl"/>
        </w:rPr>
      </w:pPr>
    </w:p>
    <w:p w:rsidR="00251530" w:rsidRPr="0062724F" w:rsidRDefault="00251530" w:rsidP="00B10467">
      <w:pPr>
        <w:tabs>
          <w:tab w:val="left" w:pos="0"/>
        </w:tabs>
        <w:spacing w:after="0" w:line="240" w:lineRule="auto"/>
        <w:ind w:firstLine="720"/>
        <w:jc w:val="both"/>
        <w:rPr>
          <w:rFonts w:ascii="Cambria" w:hAnsi="Cambria" w:cs="Arial"/>
          <w:lang w:val="es-CO"/>
        </w:rPr>
      </w:pPr>
      <w:r w:rsidRPr="0062724F">
        <w:rPr>
          <w:rFonts w:ascii="Cambria" w:hAnsi="Cambria" w:cs="Arial"/>
          <w:lang w:val="es-CO"/>
        </w:rPr>
        <w:t>Aprovecho la oportunidad para saludar a usted muy atentamente,</w:t>
      </w:r>
    </w:p>
    <w:p w:rsidR="00251530" w:rsidRDefault="00251530" w:rsidP="00B10467">
      <w:pPr>
        <w:suppressAutoHyphens/>
        <w:spacing w:after="0" w:line="240" w:lineRule="auto"/>
        <w:rPr>
          <w:rFonts w:ascii="Cambria" w:hAnsi="Cambria" w:cs="Arial"/>
          <w:snapToGrid w:val="0"/>
          <w:lang w:val="es-CO"/>
        </w:rPr>
      </w:pPr>
    </w:p>
    <w:p w:rsidR="002450AA" w:rsidRDefault="002450AA" w:rsidP="00B10467">
      <w:pPr>
        <w:suppressAutoHyphens/>
        <w:spacing w:after="0" w:line="240" w:lineRule="auto"/>
        <w:rPr>
          <w:rFonts w:ascii="Cambria" w:hAnsi="Cambria" w:cs="Arial"/>
          <w:snapToGrid w:val="0"/>
          <w:lang w:val="es-CO"/>
        </w:rPr>
      </w:pPr>
    </w:p>
    <w:p w:rsidR="002450AA" w:rsidRDefault="002450AA" w:rsidP="00B10467">
      <w:pPr>
        <w:suppressAutoHyphens/>
        <w:spacing w:after="0" w:line="240" w:lineRule="auto"/>
        <w:rPr>
          <w:rFonts w:ascii="Cambria" w:hAnsi="Cambria" w:cs="Arial"/>
          <w:snapToGrid w:val="0"/>
          <w:lang w:val="es-CO"/>
        </w:rPr>
      </w:pPr>
    </w:p>
    <w:p w:rsidR="002450AA" w:rsidRPr="0062724F" w:rsidRDefault="002450AA" w:rsidP="00B10467">
      <w:pPr>
        <w:suppressAutoHyphens/>
        <w:spacing w:after="0" w:line="240" w:lineRule="auto"/>
        <w:rPr>
          <w:rFonts w:ascii="Cambria" w:hAnsi="Cambria" w:cs="Arial"/>
          <w:snapToGrid w:val="0"/>
          <w:lang w:val="es-CO"/>
        </w:rPr>
      </w:pPr>
    </w:p>
    <w:p w:rsidR="00251530" w:rsidRPr="00C70144" w:rsidRDefault="002C1B58" w:rsidP="002C1B58">
      <w:pPr>
        <w:suppressAutoHyphens/>
        <w:spacing w:after="0" w:line="240" w:lineRule="auto"/>
        <w:ind w:left="3600" w:firstLine="720"/>
        <w:rPr>
          <w:rFonts w:ascii="Cambria" w:hAnsi="Cambria" w:cs="Arial"/>
          <w:snapToGrid w:val="0"/>
          <w:color w:val="A6A6A6"/>
          <w:sz w:val="20"/>
          <w:lang w:val="es-CO"/>
        </w:rPr>
      </w:pPr>
      <w:r w:rsidRPr="00C70144">
        <w:rPr>
          <w:rFonts w:ascii="Cambria" w:hAnsi="Cambria" w:cs="Arial"/>
          <w:snapToGrid w:val="0"/>
          <w:color w:val="A6A6A6"/>
          <w:lang w:val="es-CO"/>
        </w:rPr>
        <w:t xml:space="preserve">     </w:t>
      </w:r>
      <w:r w:rsidRPr="00C70144">
        <w:rPr>
          <w:rFonts w:ascii="Cambria" w:hAnsi="Cambria" w:cs="Arial"/>
          <w:snapToGrid w:val="0"/>
          <w:color w:val="A6A6A6"/>
          <w:sz w:val="20"/>
          <w:lang w:val="es-CO"/>
        </w:rPr>
        <w:t>Firmado en el original</w:t>
      </w:r>
    </w:p>
    <w:p w:rsidR="00251530" w:rsidRPr="0062724F" w:rsidRDefault="00251530" w:rsidP="002450AA">
      <w:pPr>
        <w:suppressAutoHyphens/>
        <w:spacing w:after="0" w:line="240" w:lineRule="auto"/>
        <w:ind w:left="3600" w:firstLine="720"/>
        <w:rPr>
          <w:rFonts w:ascii="Cambria" w:hAnsi="Cambria" w:cs="Arial"/>
          <w:snapToGrid w:val="0"/>
          <w:lang w:val="es-CO"/>
        </w:rPr>
      </w:pPr>
      <w:r w:rsidRPr="0062724F">
        <w:rPr>
          <w:rFonts w:ascii="Cambria" w:hAnsi="Cambria" w:cs="Arial"/>
          <w:snapToGrid w:val="0"/>
          <w:lang w:val="es-CO"/>
        </w:rPr>
        <w:t xml:space="preserve"> </w:t>
      </w:r>
      <w:r w:rsidR="002972D3" w:rsidRPr="0062724F">
        <w:rPr>
          <w:rFonts w:ascii="Cambria" w:hAnsi="Cambria" w:cs="Arial"/>
          <w:snapToGrid w:val="0"/>
          <w:lang w:val="es-CO"/>
        </w:rPr>
        <w:t xml:space="preserve">  </w:t>
      </w:r>
      <w:r w:rsidRPr="0062724F">
        <w:rPr>
          <w:rFonts w:ascii="Cambria" w:hAnsi="Cambria" w:cs="Arial"/>
          <w:snapToGrid w:val="0"/>
          <w:lang w:val="es-CO"/>
        </w:rPr>
        <w:t xml:space="preserve"> </w:t>
      </w:r>
      <w:r w:rsidR="00580556">
        <w:rPr>
          <w:rFonts w:ascii="Cambria" w:hAnsi="Cambria" w:cs="Arial"/>
          <w:snapToGrid w:val="0"/>
          <w:lang w:val="es-CO"/>
        </w:rPr>
        <w:t xml:space="preserve">   Marisol Blanchard</w:t>
      </w:r>
      <w:r w:rsidR="00DA4AD1" w:rsidRPr="0062724F">
        <w:rPr>
          <w:rFonts w:ascii="Cambria" w:hAnsi="Cambria" w:cs="Arial"/>
          <w:snapToGrid w:val="0"/>
          <w:lang w:val="es-CO"/>
        </w:rPr>
        <w:t xml:space="preserve"> </w:t>
      </w:r>
    </w:p>
    <w:p w:rsidR="00251530" w:rsidRPr="0062724F" w:rsidRDefault="002450AA" w:rsidP="002450AA">
      <w:pPr>
        <w:suppressAutoHyphens/>
        <w:spacing w:after="0" w:line="240" w:lineRule="auto"/>
        <w:ind w:left="3600"/>
        <w:rPr>
          <w:rFonts w:ascii="Cambria" w:hAnsi="Cambria"/>
          <w:lang w:val="es-CO"/>
        </w:rPr>
      </w:pPr>
      <w:r>
        <w:rPr>
          <w:rFonts w:ascii="Cambria" w:hAnsi="Cambria" w:cs="Arial"/>
          <w:snapToGrid w:val="0"/>
          <w:lang w:val="es-CO"/>
        </w:rPr>
        <w:t xml:space="preserve">              </w:t>
      </w:r>
      <w:r w:rsidR="00DA4AD1" w:rsidRPr="0062724F">
        <w:rPr>
          <w:rFonts w:ascii="Cambria" w:hAnsi="Cambria" w:cs="Arial"/>
          <w:snapToGrid w:val="0"/>
          <w:lang w:val="es-CO"/>
        </w:rPr>
        <w:t>Secretaria Ejecutiva Adjunta</w:t>
      </w:r>
      <w:r w:rsidR="00251530" w:rsidRPr="0062724F">
        <w:rPr>
          <w:rFonts w:ascii="Cambria" w:hAnsi="Cambria" w:cs="Arial"/>
          <w:snapToGrid w:val="0"/>
          <w:lang w:val="es-CO"/>
        </w:rPr>
        <w:t xml:space="preserve"> </w:t>
      </w:r>
    </w:p>
    <w:p w:rsidR="00251530" w:rsidRPr="0062724F" w:rsidRDefault="00251530" w:rsidP="00B10467">
      <w:pPr>
        <w:spacing w:after="0" w:line="240" w:lineRule="auto"/>
        <w:rPr>
          <w:rFonts w:ascii="Cambria" w:hAnsi="Cambria"/>
          <w:lang w:val="es-CO"/>
        </w:rPr>
      </w:pPr>
    </w:p>
    <w:p w:rsidR="007E2CE9" w:rsidRPr="0062724F" w:rsidRDefault="007E2CE9" w:rsidP="00B10467">
      <w:pPr>
        <w:spacing w:after="0" w:line="240" w:lineRule="auto"/>
        <w:rPr>
          <w:rFonts w:ascii="Cambria" w:hAnsi="Cambria"/>
          <w:lang w:val="es-CO"/>
        </w:rPr>
      </w:pPr>
    </w:p>
    <w:sectPr w:rsidR="007E2CE9" w:rsidRPr="0062724F" w:rsidSect="0062724F">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426" w:rsidRDefault="00746426">
      <w:pPr>
        <w:spacing w:after="0" w:line="240" w:lineRule="auto"/>
      </w:pPr>
      <w:r>
        <w:separator/>
      </w:r>
    </w:p>
  </w:endnote>
  <w:endnote w:type="continuationSeparator" w:id="0">
    <w:p w:rsidR="00746426" w:rsidRDefault="00746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24F" w:rsidRDefault="0062724F" w:rsidP="0062724F">
    <w:pPr>
      <w:pStyle w:val="Piedepgina"/>
      <w:spacing w:line="360" w:lineRule="auto"/>
    </w:pPr>
    <w:r>
      <w:pict>
        <v:rect id="_x0000_i1026" style="width:0;height:1.5pt" o:hralign="center" o:hrstd="t" o:hr="t" fillcolor="#a0a0a0" stroked="f"/>
      </w:pict>
    </w:r>
  </w:p>
  <w:p w:rsidR="0062724F" w:rsidRDefault="00783BC8" w:rsidP="0062724F">
    <w:pPr>
      <w:pStyle w:val="Piedepgina"/>
      <w:jc w:val="center"/>
    </w:pPr>
    <w:r w:rsidRPr="008A5CB5">
      <w:rPr>
        <w:noProof/>
        <w:lang w:val="es-AR" w:eastAsia="es-AR"/>
      </w:rPr>
      <w:drawing>
        <wp:inline distT="0" distB="0" distL="0" distR="0">
          <wp:extent cx="5114925" cy="323850"/>
          <wp:effectExtent l="0" t="0" r="0" b="0"/>
          <wp:docPr id="5"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p w:rsidR="0062724F" w:rsidRDefault="0062724F" w:rsidP="0062724F">
    <w:pPr>
      <w:pStyle w:val="Piedepgina"/>
    </w:pPr>
  </w:p>
  <w:p w:rsidR="0062724F" w:rsidRDefault="006272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426" w:rsidRDefault="00746426">
      <w:pPr>
        <w:spacing w:after="0" w:line="240" w:lineRule="auto"/>
      </w:pPr>
      <w:r>
        <w:separator/>
      </w:r>
    </w:p>
  </w:footnote>
  <w:footnote w:type="continuationSeparator" w:id="0">
    <w:p w:rsidR="00746426" w:rsidRDefault="00746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24F" w:rsidRDefault="00783BC8" w:rsidP="0062724F">
    <w:pPr>
      <w:pStyle w:val="Encabezado"/>
    </w:pPr>
    <w:r w:rsidRPr="008A5CB5">
      <w:rPr>
        <w:noProof/>
        <w:lang w:val="es-AR" w:eastAsia="es-AR"/>
      </w:rPr>
      <w:drawing>
        <wp:inline distT="0" distB="0" distL="0" distR="0">
          <wp:extent cx="2352675" cy="457200"/>
          <wp:effectExtent l="0" t="0" r="0" b="0"/>
          <wp:docPr id="3"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62724F">
      <w:tab/>
      <w:t xml:space="preserve">                                                                            </w:t>
    </w:r>
    <w:r w:rsidRPr="008A5CB5">
      <w:rPr>
        <w:noProof/>
        <w:lang w:val="es-AR" w:eastAsia="es-AR"/>
      </w:rPr>
      <w:drawing>
        <wp:inline distT="0" distB="0" distL="0" distR="0">
          <wp:extent cx="1647825" cy="476250"/>
          <wp:effectExtent l="0" t="0" r="0" b="0"/>
          <wp:docPr id="4"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rsidR="0062724F" w:rsidRDefault="0062724F" w:rsidP="0062724F">
    <w:pPr>
      <w:pStyle w:val="Encabezado"/>
    </w:pPr>
  </w:p>
  <w:p w:rsidR="0062724F" w:rsidRDefault="0062724F" w:rsidP="0062724F">
    <w:pPr>
      <w:pStyle w:val="Encabezado"/>
    </w:pPr>
    <w:r>
      <w:pict>
        <v:rect id="_x0000_i1025" style="width:0;height:1.5pt" o:hralign="center" o:hrstd="t" o:hr="t" fillcolor="#a0a0a0" stroked="f"/>
      </w:pict>
    </w:r>
  </w:p>
  <w:p w:rsidR="0062724F" w:rsidRDefault="006272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4834"/>
    <w:multiLevelType w:val="hybridMultilevel"/>
    <w:tmpl w:val="8DF0B26A"/>
    <w:lvl w:ilvl="0" w:tplc="91A00AB4">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0"/>
    <w:rsid w:val="00041929"/>
    <w:rsid w:val="0008211C"/>
    <w:rsid w:val="000933BD"/>
    <w:rsid w:val="000C6AFC"/>
    <w:rsid w:val="000F4D9B"/>
    <w:rsid w:val="00113BFB"/>
    <w:rsid w:val="001C27A0"/>
    <w:rsid w:val="001E7791"/>
    <w:rsid w:val="002366E8"/>
    <w:rsid w:val="002450AA"/>
    <w:rsid w:val="00251530"/>
    <w:rsid w:val="00274A40"/>
    <w:rsid w:val="002972D3"/>
    <w:rsid w:val="002C1B58"/>
    <w:rsid w:val="002C22E4"/>
    <w:rsid w:val="002F014C"/>
    <w:rsid w:val="003175D8"/>
    <w:rsid w:val="00342E3D"/>
    <w:rsid w:val="00374388"/>
    <w:rsid w:val="0038611D"/>
    <w:rsid w:val="003B657C"/>
    <w:rsid w:val="003E77F3"/>
    <w:rsid w:val="0045699E"/>
    <w:rsid w:val="00485836"/>
    <w:rsid w:val="004A5EBE"/>
    <w:rsid w:val="004C6BEC"/>
    <w:rsid w:val="004E4A7E"/>
    <w:rsid w:val="0055690C"/>
    <w:rsid w:val="00580556"/>
    <w:rsid w:val="005A32EA"/>
    <w:rsid w:val="0062724F"/>
    <w:rsid w:val="006458EC"/>
    <w:rsid w:val="00673082"/>
    <w:rsid w:val="006A6638"/>
    <w:rsid w:val="006B40F2"/>
    <w:rsid w:val="00742334"/>
    <w:rsid w:val="00746426"/>
    <w:rsid w:val="00767063"/>
    <w:rsid w:val="0077407E"/>
    <w:rsid w:val="00783BC8"/>
    <w:rsid w:val="0079151B"/>
    <w:rsid w:val="007E2CE9"/>
    <w:rsid w:val="008106B9"/>
    <w:rsid w:val="00825FE0"/>
    <w:rsid w:val="0082634B"/>
    <w:rsid w:val="00841921"/>
    <w:rsid w:val="008B02C6"/>
    <w:rsid w:val="008E29E9"/>
    <w:rsid w:val="008E3FAA"/>
    <w:rsid w:val="008F541D"/>
    <w:rsid w:val="00927010"/>
    <w:rsid w:val="00964313"/>
    <w:rsid w:val="00A30255"/>
    <w:rsid w:val="00A40D90"/>
    <w:rsid w:val="00A60B0E"/>
    <w:rsid w:val="00AF21ED"/>
    <w:rsid w:val="00B10467"/>
    <w:rsid w:val="00B351E4"/>
    <w:rsid w:val="00BC65EB"/>
    <w:rsid w:val="00BD19E3"/>
    <w:rsid w:val="00BE39C8"/>
    <w:rsid w:val="00BE3F28"/>
    <w:rsid w:val="00C70144"/>
    <w:rsid w:val="00C75663"/>
    <w:rsid w:val="00CB36B9"/>
    <w:rsid w:val="00CE3CE3"/>
    <w:rsid w:val="00CF1AB0"/>
    <w:rsid w:val="00D57F7B"/>
    <w:rsid w:val="00DA4AD1"/>
    <w:rsid w:val="00DC3674"/>
    <w:rsid w:val="00E3024D"/>
    <w:rsid w:val="00E61031"/>
    <w:rsid w:val="00EE4146"/>
    <w:rsid w:val="00F713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535FD9-FEC6-42CB-AFB4-D8BD2A4B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1530"/>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251530"/>
    <w:rPr>
      <w:rFonts w:eastAsia="Batang"/>
      <w:sz w:val="22"/>
      <w:szCs w:val="22"/>
    </w:rPr>
  </w:style>
  <w:style w:type="paragraph" w:styleId="Piedepgina">
    <w:name w:val="footer"/>
    <w:basedOn w:val="Normal"/>
    <w:link w:val="PiedepginaCar"/>
    <w:rsid w:val="00251530"/>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251530"/>
    <w:rPr>
      <w:rFonts w:ascii="Times New Roman" w:eastAsia="Times New Roman" w:hAnsi="Times New Roman"/>
      <w:sz w:val="24"/>
      <w:szCs w:val="24"/>
      <w:lang w:val="es-ES" w:eastAsia="es-ES"/>
    </w:rPr>
  </w:style>
  <w:style w:type="paragraph" w:styleId="Sangradetextonormal">
    <w:name w:val="Body Text Indent"/>
    <w:link w:val="SangradetextonormalCar"/>
    <w:rsid w:val="0084192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841921"/>
    <w:rPr>
      <w:rFonts w:ascii="Times New Roman" w:eastAsia="Times New Roman" w:hAnsi="Times New Roman"/>
      <w:color w:val="000000"/>
      <w:sz w:val="24"/>
      <w:szCs w:val="24"/>
      <w:u w:color="000000"/>
      <w:bdr w:val="nil"/>
      <w:lang w:val="es-ES_tradnl" w:eastAsia="es-ES"/>
    </w:rPr>
  </w:style>
  <w:style w:type="paragraph" w:customStyle="1" w:styleId="MediumGrid1-Accent21">
    <w:name w:val="Medium Grid 1 - Accent 21"/>
    <w:uiPriority w:val="34"/>
    <w:qFormat/>
    <w:rsid w:val="00B1046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styleId="Hipervnculo">
    <w:name w:val="Hyperlink"/>
    <w:uiPriority w:val="99"/>
    <w:unhideWhenUsed/>
    <w:rsid w:val="002450AA"/>
    <w:rPr>
      <w:color w:val="0000FF"/>
      <w:u w:val="single"/>
    </w:rPr>
  </w:style>
  <w:style w:type="paragraph" w:styleId="Prrafodelista">
    <w:name w:val="List Paragraph"/>
    <w:basedOn w:val="Normal"/>
    <w:uiPriority w:val="34"/>
    <w:qFormat/>
    <w:rsid w:val="00AF21E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A6FC0-80EB-4001-92E3-A5DABE3C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1636</Words>
  <Characters>8998</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2020-05-15T15:38:00Z</cp:lastPrinted>
  <dcterms:created xsi:type="dcterms:W3CDTF">2020-05-15T15:38:00Z</dcterms:created>
  <dcterms:modified xsi:type="dcterms:W3CDTF">2020-05-15T15:38:00Z</dcterms:modified>
</cp:coreProperties>
</file>