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0D5C6" w14:textId="77777777" w:rsidR="00175ABB" w:rsidRPr="00EA6C7A" w:rsidRDefault="00175ABB" w:rsidP="00F912BD">
      <w:pPr>
        <w:spacing w:after="0" w:line="240" w:lineRule="auto"/>
        <w:rPr>
          <w:rFonts w:ascii="Verdana" w:eastAsia="Calibri" w:hAnsi="Verdana"/>
          <w:b/>
          <w:sz w:val="20"/>
          <w:szCs w:val="20"/>
          <w:lang w:val="en-US"/>
        </w:rPr>
      </w:pPr>
      <w:bookmarkStart w:id="0" w:name="_GoBack"/>
      <w:bookmarkEnd w:id="0"/>
    </w:p>
    <w:p w14:paraId="7AB5C3B3" w14:textId="1E6C9013" w:rsidR="00F40F45" w:rsidRPr="00EA6C7A" w:rsidRDefault="00F40F45" w:rsidP="00F912BD">
      <w:pPr>
        <w:spacing w:after="0" w:line="240" w:lineRule="auto"/>
        <w:rPr>
          <w:rFonts w:ascii="Verdana" w:eastAsia="Calibri" w:hAnsi="Verdana"/>
          <w:b/>
          <w:sz w:val="20"/>
          <w:szCs w:val="20"/>
          <w:lang w:val="en-US"/>
        </w:rPr>
      </w:pPr>
    </w:p>
    <w:p w14:paraId="2A21A1C4" w14:textId="77777777" w:rsidR="00175ABB" w:rsidRPr="00EA6C7A" w:rsidRDefault="00175ABB" w:rsidP="00175ABB">
      <w:pPr>
        <w:spacing w:after="0" w:line="240" w:lineRule="auto"/>
        <w:jc w:val="center"/>
        <w:rPr>
          <w:rFonts w:ascii="Verdana" w:eastAsia="Calibri" w:hAnsi="Verdana"/>
          <w:b/>
          <w:sz w:val="20"/>
          <w:szCs w:val="20"/>
          <w:lang w:val="en-US"/>
        </w:rPr>
      </w:pPr>
    </w:p>
    <w:p w14:paraId="674799DE" w14:textId="77777777" w:rsidR="00175ABB" w:rsidRPr="00EA6C7A" w:rsidRDefault="00C20BDF" w:rsidP="00F912BD">
      <w:pPr>
        <w:spacing w:after="0" w:line="240" w:lineRule="auto"/>
        <w:jc w:val="center"/>
        <w:rPr>
          <w:rFonts w:ascii="Verdana" w:eastAsia="Calibri" w:hAnsi="Verdana"/>
          <w:b/>
          <w:sz w:val="20"/>
          <w:szCs w:val="20"/>
          <w:lang w:val="en-US"/>
        </w:rPr>
      </w:pPr>
      <w:r w:rsidRPr="00EA6C7A">
        <w:rPr>
          <w:rFonts w:ascii="Verdana" w:eastAsia="Calibri" w:hAnsi="Verdana"/>
          <w:b/>
          <w:sz w:val="20"/>
          <w:szCs w:val="20"/>
          <w:lang w:val="en-US"/>
        </w:rPr>
        <w:t>SEPARATE OPINION OF</w:t>
      </w:r>
    </w:p>
    <w:p w14:paraId="40E6C64B" w14:textId="77777777" w:rsidR="00175ABB" w:rsidRPr="00EA6C7A" w:rsidRDefault="00175ABB" w:rsidP="00F912BD">
      <w:pPr>
        <w:spacing w:after="0" w:line="240" w:lineRule="auto"/>
        <w:jc w:val="center"/>
        <w:rPr>
          <w:rFonts w:ascii="Verdana" w:eastAsia="Calibri" w:hAnsi="Verdana"/>
          <w:b/>
          <w:sz w:val="20"/>
          <w:szCs w:val="20"/>
          <w:lang w:val="en-US"/>
        </w:rPr>
      </w:pPr>
      <w:r w:rsidRPr="00EA6C7A">
        <w:rPr>
          <w:rFonts w:ascii="Verdana" w:eastAsia="Calibri" w:hAnsi="Verdana"/>
          <w:b/>
          <w:sz w:val="20"/>
          <w:szCs w:val="20"/>
          <w:lang w:val="en-US"/>
        </w:rPr>
        <w:t>JUEZ EDUARDO FERRER MAC-GREGOR POISOT</w:t>
      </w:r>
    </w:p>
    <w:p w14:paraId="7052139E" w14:textId="77777777" w:rsidR="00175ABB" w:rsidRPr="00EA6C7A" w:rsidRDefault="00175ABB" w:rsidP="00175ABB">
      <w:pPr>
        <w:spacing w:after="0" w:line="240" w:lineRule="auto"/>
        <w:jc w:val="center"/>
        <w:rPr>
          <w:rFonts w:ascii="Verdana" w:eastAsia="Calibri" w:hAnsi="Verdana"/>
          <w:b/>
          <w:sz w:val="20"/>
          <w:szCs w:val="20"/>
          <w:lang w:val="en-US"/>
        </w:rPr>
      </w:pPr>
    </w:p>
    <w:p w14:paraId="17C79594" w14:textId="77777777" w:rsidR="00175ABB" w:rsidRPr="00EA6C7A" w:rsidRDefault="00175ABB" w:rsidP="00175ABB">
      <w:pPr>
        <w:spacing w:after="0" w:line="240" w:lineRule="auto"/>
        <w:jc w:val="center"/>
        <w:rPr>
          <w:rFonts w:ascii="Verdana" w:eastAsia="Calibri" w:hAnsi="Verdana"/>
          <w:b/>
          <w:i/>
          <w:sz w:val="20"/>
          <w:szCs w:val="20"/>
          <w:u w:val="single"/>
          <w:lang w:val="en-US"/>
        </w:rPr>
      </w:pPr>
      <w:r w:rsidRPr="00EA6C7A">
        <w:rPr>
          <w:rFonts w:ascii="Verdana" w:eastAsia="Calibri" w:hAnsi="Verdana"/>
          <w:b/>
          <w:i/>
          <w:sz w:val="20"/>
          <w:szCs w:val="20"/>
          <w:u w:val="single"/>
          <w:lang w:val="en-US"/>
        </w:rPr>
        <w:t>CAS</w:t>
      </w:r>
      <w:r w:rsidR="00C20BDF" w:rsidRPr="00EA6C7A">
        <w:rPr>
          <w:rFonts w:ascii="Verdana" w:eastAsia="Calibri" w:hAnsi="Verdana"/>
          <w:b/>
          <w:i/>
          <w:sz w:val="20"/>
          <w:szCs w:val="20"/>
          <w:u w:val="single"/>
          <w:lang w:val="en-US"/>
        </w:rPr>
        <w:t>E OF</w:t>
      </w:r>
      <w:r w:rsidRPr="00EA6C7A">
        <w:rPr>
          <w:rFonts w:ascii="Verdana" w:eastAsia="Calibri" w:hAnsi="Verdana"/>
          <w:b/>
          <w:i/>
          <w:sz w:val="20"/>
          <w:szCs w:val="20"/>
          <w:u w:val="single"/>
          <w:lang w:val="en-US"/>
        </w:rPr>
        <w:t xml:space="preserve"> VELÁSQUEZ PAIZ </w:t>
      </w:r>
      <w:r w:rsidR="00C20BDF" w:rsidRPr="00EA6C7A">
        <w:rPr>
          <w:rFonts w:ascii="Verdana" w:eastAsia="Calibri" w:hAnsi="Verdana"/>
          <w:b/>
          <w:i/>
          <w:sz w:val="20"/>
          <w:szCs w:val="20"/>
          <w:u w:val="single"/>
          <w:lang w:val="en-US"/>
        </w:rPr>
        <w:t>ET AL.</w:t>
      </w:r>
      <w:r w:rsidRPr="00EA6C7A">
        <w:rPr>
          <w:rFonts w:ascii="Verdana" w:eastAsia="Calibri" w:hAnsi="Verdana"/>
          <w:b/>
          <w:i/>
          <w:sz w:val="20"/>
          <w:szCs w:val="20"/>
          <w:u w:val="single"/>
          <w:lang w:val="en-US"/>
        </w:rPr>
        <w:t xml:space="preserve"> V. GUATEMALA</w:t>
      </w:r>
    </w:p>
    <w:p w14:paraId="5EC207EF" w14:textId="77777777" w:rsidR="00175ABB" w:rsidRPr="00EA6C7A" w:rsidRDefault="00175ABB" w:rsidP="00175ABB">
      <w:pPr>
        <w:spacing w:after="0" w:line="240" w:lineRule="auto"/>
        <w:jc w:val="center"/>
        <w:rPr>
          <w:rFonts w:ascii="Verdana" w:eastAsia="Calibri" w:hAnsi="Verdana"/>
          <w:b/>
          <w:sz w:val="20"/>
          <w:szCs w:val="20"/>
          <w:u w:val="single"/>
          <w:lang w:val="en-US"/>
        </w:rPr>
      </w:pPr>
    </w:p>
    <w:p w14:paraId="54B74C5E" w14:textId="77777777" w:rsidR="00175ABB" w:rsidRPr="00EA6C7A" w:rsidRDefault="00C20BDF" w:rsidP="00175ABB">
      <w:pPr>
        <w:spacing w:after="0" w:line="240" w:lineRule="auto"/>
        <w:jc w:val="center"/>
        <w:rPr>
          <w:rFonts w:ascii="Verdana" w:eastAsia="Calibri" w:hAnsi="Verdana"/>
          <w:b/>
          <w:sz w:val="18"/>
          <w:szCs w:val="18"/>
          <w:lang w:val="en-US"/>
        </w:rPr>
      </w:pPr>
      <w:r w:rsidRPr="00EA6C7A">
        <w:rPr>
          <w:rFonts w:ascii="Verdana" w:eastAsia="Calibri" w:hAnsi="Verdana"/>
          <w:b/>
          <w:sz w:val="18"/>
          <w:szCs w:val="18"/>
          <w:lang w:val="en-US"/>
        </w:rPr>
        <w:t>JUDGME</w:t>
      </w:r>
      <w:r w:rsidR="00C91C95" w:rsidRPr="00EA6C7A">
        <w:rPr>
          <w:rFonts w:ascii="Verdana" w:eastAsia="Calibri" w:hAnsi="Verdana"/>
          <w:b/>
          <w:sz w:val="18"/>
          <w:szCs w:val="18"/>
          <w:lang w:val="en-US"/>
        </w:rPr>
        <w:t>N</w:t>
      </w:r>
      <w:r w:rsidRPr="00EA6C7A">
        <w:rPr>
          <w:rFonts w:ascii="Verdana" w:eastAsia="Calibri" w:hAnsi="Verdana"/>
          <w:b/>
          <w:sz w:val="18"/>
          <w:szCs w:val="18"/>
          <w:lang w:val="en-US"/>
        </w:rPr>
        <w:t>T OF NOVEMBER</w:t>
      </w:r>
      <w:r w:rsidR="00175ABB" w:rsidRPr="00EA6C7A">
        <w:rPr>
          <w:rFonts w:ascii="Verdana" w:eastAsia="Calibri" w:hAnsi="Verdana"/>
          <w:b/>
          <w:sz w:val="18"/>
          <w:szCs w:val="18"/>
          <w:lang w:val="en-US"/>
        </w:rPr>
        <w:t xml:space="preserve"> 19</w:t>
      </w:r>
      <w:r w:rsidRPr="00EA6C7A">
        <w:rPr>
          <w:rFonts w:ascii="Verdana" w:eastAsia="Calibri" w:hAnsi="Verdana"/>
          <w:b/>
          <w:sz w:val="18"/>
          <w:szCs w:val="18"/>
          <w:lang w:val="en-US"/>
        </w:rPr>
        <w:t xml:space="preserve">, </w:t>
      </w:r>
      <w:r w:rsidR="00175ABB" w:rsidRPr="00EA6C7A">
        <w:rPr>
          <w:rFonts w:ascii="Verdana" w:eastAsia="Calibri" w:hAnsi="Verdana"/>
          <w:b/>
          <w:sz w:val="18"/>
          <w:szCs w:val="18"/>
          <w:lang w:val="en-US"/>
        </w:rPr>
        <w:t>2015</w:t>
      </w:r>
    </w:p>
    <w:p w14:paraId="16F9853F" w14:textId="77777777" w:rsidR="00175ABB" w:rsidRPr="00EA6C7A" w:rsidRDefault="00175ABB" w:rsidP="00175ABB">
      <w:pPr>
        <w:spacing w:after="0" w:line="240" w:lineRule="auto"/>
        <w:jc w:val="center"/>
        <w:rPr>
          <w:rFonts w:ascii="Verdana" w:eastAsia="Calibri" w:hAnsi="Verdana"/>
          <w:b/>
          <w:i/>
          <w:iCs/>
          <w:sz w:val="18"/>
          <w:szCs w:val="18"/>
          <w:lang w:val="en-US"/>
        </w:rPr>
      </w:pPr>
      <w:r w:rsidRPr="00EA6C7A">
        <w:rPr>
          <w:rFonts w:ascii="Verdana" w:eastAsia="Calibri" w:hAnsi="Verdana"/>
          <w:b/>
          <w:i/>
          <w:iCs/>
          <w:sz w:val="18"/>
          <w:szCs w:val="18"/>
          <w:lang w:val="en-US"/>
        </w:rPr>
        <w:t>(</w:t>
      </w:r>
      <w:r w:rsidR="0096418F" w:rsidRPr="00EA6C7A">
        <w:rPr>
          <w:rFonts w:ascii="Verdana" w:eastAsia="Calibri" w:hAnsi="Verdana"/>
          <w:b/>
          <w:i/>
          <w:iCs/>
          <w:sz w:val="18"/>
          <w:szCs w:val="18"/>
          <w:lang w:val="en-US"/>
        </w:rPr>
        <w:t>Preliminary objections, merits, reparations and costs</w:t>
      </w:r>
      <w:r w:rsidRPr="00EA6C7A">
        <w:rPr>
          <w:rFonts w:ascii="Verdana" w:eastAsia="Calibri" w:hAnsi="Verdana"/>
          <w:b/>
          <w:i/>
          <w:iCs/>
          <w:sz w:val="18"/>
          <w:szCs w:val="18"/>
          <w:lang w:val="en-US"/>
        </w:rPr>
        <w:t>)</w:t>
      </w:r>
    </w:p>
    <w:p w14:paraId="7D798638" w14:textId="77777777" w:rsidR="00175ABB" w:rsidRPr="00EA6C7A" w:rsidRDefault="00175ABB" w:rsidP="00175ABB">
      <w:pPr>
        <w:rPr>
          <w:rFonts w:ascii="Verdana" w:eastAsia="Calibri" w:hAnsi="Verdana" w:cs="Tahoma"/>
          <w:sz w:val="20"/>
          <w:szCs w:val="20"/>
          <w:lang w:val="en-US"/>
        </w:rPr>
      </w:pPr>
    </w:p>
    <w:p w14:paraId="3A1F055C" w14:textId="77777777" w:rsidR="00175ABB" w:rsidRPr="00EA6C7A" w:rsidRDefault="00175ABB" w:rsidP="004A3921">
      <w:pPr>
        <w:spacing w:after="0"/>
        <w:jc w:val="center"/>
        <w:rPr>
          <w:rFonts w:ascii="Verdana" w:eastAsia="Calibri" w:hAnsi="Verdana" w:cs="Tahoma"/>
          <w:sz w:val="20"/>
          <w:szCs w:val="20"/>
          <w:lang w:val="en-US"/>
        </w:rPr>
      </w:pPr>
      <w:r w:rsidRPr="00EA6C7A">
        <w:rPr>
          <w:rFonts w:ascii="Verdana" w:eastAsia="Calibri" w:hAnsi="Verdana" w:cs="Tahoma"/>
          <w:sz w:val="20"/>
          <w:szCs w:val="20"/>
          <w:lang w:val="en-US"/>
        </w:rPr>
        <w:t>INTRODUC</w:t>
      </w:r>
      <w:r w:rsidR="00C91C95" w:rsidRPr="00EA6C7A">
        <w:rPr>
          <w:rFonts w:ascii="Verdana" w:eastAsia="Calibri" w:hAnsi="Verdana" w:cs="Tahoma"/>
          <w:sz w:val="20"/>
          <w:szCs w:val="20"/>
          <w:lang w:val="en-US"/>
        </w:rPr>
        <w:t>TIO</w:t>
      </w:r>
      <w:r w:rsidRPr="00EA6C7A">
        <w:rPr>
          <w:rFonts w:ascii="Verdana" w:eastAsia="Calibri" w:hAnsi="Verdana" w:cs="Tahoma"/>
          <w:sz w:val="20"/>
          <w:szCs w:val="20"/>
          <w:lang w:val="en-US"/>
        </w:rPr>
        <w:t xml:space="preserve">N: </w:t>
      </w:r>
    </w:p>
    <w:p w14:paraId="531D6D5E" w14:textId="77777777" w:rsidR="00175ABB" w:rsidRPr="00EA6C7A" w:rsidRDefault="00175ABB" w:rsidP="00175ABB">
      <w:pPr>
        <w:jc w:val="center"/>
        <w:rPr>
          <w:rFonts w:ascii="Verdana" w:eastAsia="Calibri" w:hAnsi="Verdana" w:cs="Tahoma"/>
          <w:sz w:val="20"/>
          <w:szCs w:val="20"/>
          <w:lang w:val="en-US"/>
        </w:rPr>
      </w:pPr>
      <w:r w:rsidRPr="00EA6C7A">
        <w:rPr>
          <w:rFonts w:ascii="Verdana" w:eastAsia="Calibri" w:hAnsi="Verdana" w:cs="Tahoma"/>
          <w:sz w:val="20"/>
          <w:szCs w:val="20"/>
          <w:lang w:val="en-US"/>
        </w:rPr>
        <w:t xml:space="preserve"> “</w:t>
      </w:r>
      <w:r w:rsidR="00F912BD" w:rsidRPr="00EA6C7A">
        <w:rPr>
          <w:rFonts w:ascii="Verdana" w:eastAsia="Calibri" w:hAnsi="Verdana" w:cs="Tahoma"/>
          <w:sz w:val="20"/>
          <w:szCs w:val="20"/>
          <w:lang w:val="en-US"/>
        </w:rPr>
        <w:t>OBLIGATION OF PR</w:t>
      </w:r>
      <w:r w:rsidR="004A3921" w:rsidRPr="00EA6C7A">
        <w:rPr>
          <w:rFonts w:ascii="Verdana" w:eastAsia="Calibri" w:hAnsi="Verdana" w:cs="Tahoma"/>
          <w:sz w:val="20"/>
          <w:szCs w:val="20"/>
          <w:lang w:val="en-US"/>
        </w:rPr>
        <w:t>E</w:t>
      </w:r>
      <w:r w:rsidR="00F912BD" w:rsidRPr="00EA6C7A">
        <w:rPr>
          <w:rFonts w:ascii="Verdana" w:eastAsia="Calibri" w:hAnsi="Verdana" w:cs="Tahoma"/>
          <w:sz w:val="20"/>
          <w:szCs w:val="20"/>
          <w:lang w:val="en-US"/>
        </w:rPr>
        <w:t>VENTION” IN GENDER-BASED VIOLENCE</w:t>
      </w:r>
      <w:r w:rsidRPr="00EA6C7A">
        <w:rPr>
          <w:rFonts w:ascii="Verdana" w:eastAsia="Calibri" w:hAnsi="Verdana" w:cs="Tahoma"/>
          <w:sz w:val="20"/>
          <w:szCs w:val="20"/>
          <w:lang w:val="en-US"/>
        </w:rPr>
        <w:t xml:space="preserve"> </w:t>
      </w:r>
    </w:p>
    <w:p w14:paraId="2AF98BE9" w14:textId="77777777" w:rsidR="00175ABB" w:rsidRPr="00EA6C7A" w:rsidRDefault="0096418F" w:rsidP="00E11A7C">
      <w:pPr>
        <w:numPr>
          <w:ilvl w:val="0"/>
          <w:numId w:val="14"/>
        </w:numPr>
        <w:spacing w:line="240" w:lineRule="auto"/>
        <w:ind w:left="0" w:firstLine="0"/>
        <w:contextualSpacing/>
        <w:jc w:val="both"/>
        <w:rPr>
          <w:rFonts w:ascii="Verdana" w:eastAsia="Calibri" w:hAnsi="Verdana"/>
          <w:sz w:val="20"/>
          <w:szCs w:val="20"/>
          <w:lang w:val="en-US"/>
        </w:rPr>
      </w:pPr>
      <w:r w:rsidRPr="00EA6C7A">
        <w:rPr>
          <w:rFonts w:ascii="Verdana" w:eastAsia="Calibri" w:hAnsi="Verdana"/>
          <w:sz w:val="20"/>
          <w:szCs w:val="20"/>
          <w:lang w:val="en-US" w:eastAsia="es-PA"/>
        </w:rPr>
        <w:t xml:space="preserve">The </w:t>
      </w:r>
      <w:r w:rsidR="008B402D" w:rsidRPr="00EA6C7A">
        <w:rPr>
          <w:rFonts w:ascii="Verdana" w:eastAsia="Calibri" w:hAnsi="Verdana"/>
          <w:sz w:val="20"/>
          <w:szCs w:val="20"/>
          <w:lang w:val="en-US" w:eastAsia="es-PA"/>
        </w:rPr>
        <w:t>Inter-American Convention on the Prevention, Punishment and Eradication of Violence against Women</w:t>
      </w:r>
      <w:r w:rsidR="00175ABB" w:rsidRPr="00EA6C7A">
        <w:rPr>
          <w:rFonts w:ascii="Verdana" w:eastAsia="Calibri" w:hAnsi="Verdana"/>
          <w:sz w:val="20"/>
          <w:szCs w:val="20"/>
          <w:lang w:val="en-US"/>
        </w:rPr>
        <w:t xml:space="preserve"> (“</w:t>
      </w:r>
      <w:r w:rsidR="00F912BD" w:rsidRPr="00EA6C7A">
        <w:rPr>
          <w:rFonts w:ascii="Verdana" w:eastAsia="Calibri" w:hAnsi="Verdana"/>
          <w:sz w:val="20"/>
          <w:szCs w:val="20"/>
          <w:lang w:val="en-US"/>
        </w:rPr>
        <w:t>Convention of</w:t>
      </w:r>
      <w:r w:rsidR="00175ABB" w:rsidRPr="00EA6C7A">
        <w:rPr>
          <w:rFonts w:ascii="Verdana" w:eastAsia="Calibri" w:hAnsi="Verdana"/>
          <w:sz w:val="20"/>
          <w:szCs w:val="20"/>
          <w:lang w:val="en-US"/>
        </w:rPr>
        <w:t xml:space="preserve"> Belém do Pará”)</w:t>
      </w:r>
      <w:r w:rsidR="00175ABB" w:rsidRPr="00EA6C7A">
        <w:rPr>
          <w:rFonts w:ascii="Verdana" w:eastAsia="Calibri" w:hAnsi="Verdana"/>
          <w:sz w:val="20"/>
          <w:szCs w:val="20"/>
          <w:lang w:val="en-US" w:eastAsia="es-PA"/>
        </w:rPr>
        <w:t xml:space="preserve"> </w:t>
      </w:r>
      <w:r w:rsidR="004A3921" w:rsidRPr="00EA6C7A">
        <w:rPr>
          <w:rFonts w:ascii="Verdana" w:eastAsia="Calibri" w:hAnsi="Verdana"/>
          <w:sz w:val="20"/>
          <w:szCs w:val="20"/>
          <w:lang w:val="en-US" w:eastAsia="es-PA"/>
        </w:rPr>
        <w:t xml:space="preserve">is the regional instrument that has elicited the greatest consensus among the countries of the Americas, </w:t>
      </w:r>
      <w:r w:rsidR="00437AAC" w:rsidRPr="00EA6C7A">
        <w:rPr>
          <w:rFonts w:ascii="Verdana" w:eastAsia="Calibri" w:hAnsi="Verdana"/>
          <w:sz w:val="20"/>
          <w:szCs w:val="20"/>
          <w:lang w:val="en-US" w:eastAsia="es-PA"/>
        </w:rPr>
        <w:t>and</w:t>
      </w:r>
      <w:r w:rsidR="004A3921" w:rsidRPr="00EA6C7A">
        <w:rPr>
          <w:rFonts w:ascii="Verdana" w:eastAsia="Calibri" w:hAnsi="Verdana"/>
          <w:sz w:val="20"/>
          <w:szCs w:val="20"/>
          <w:lang w:val="en-US" w:eastAsia="es-PA"/>
        </w:rPr>
        <w:t xml:space="preserve"> has been signed</w:t>
      </w:r>
      <w:r w:rsidR="00437AAC" w:rsidRPr="00EA6C7A">
        <w:rPr>
          <w:rFonts w:ascii="Verdana" w:eastAsia="Calibri" w:hAnsi="Verdana"/>
          <w:sz w:val="20"/>
          <w:szCs w:val="20"/>
          <w:lang w:val="en-US" w:eastAsia="es-PA"/>
        </w:rPr>
        <w:t>,</w:t>
      </w:r>
      <w:r w:rsidR="004A3921" w:rsidRPr="00EA6C7A">
        <w:rPr>
          <w:rFonts w:ascii="Verdana" w:eastAsia="Calibri" w:hAnsi="Verdana"/>
          <w:sz w:val="20"/>
          <w:szCs w:val="20"/>
          <w:lang w:val="en-US" w:eastAsia="es-PA"/>
        </w:rPr>
        <w:t xml:space="preserve"> and ratified or adhered to by 32 of the 35 </w:t>
      </w:r>
      <w:r w:rsidR="00F912BD" w:rsidRPr="00EA6C7A">
        <w:rPr>
          <w:rFonts w:ascii="Verdana" w:eastAsia="Calibri" w:hAnsi="Verdana"/>
          <w:sz w:val="20"/>
          <w:szCs w:val="20"/>
          <w:lang w:val="en-US" w:eastAsia="es-PA"/>
        </w:rPr>
        <w:t>OAS</w:t>
      </w:r>
      <w:r w:rsidR="00437AAC" w:rsidRPr="00EA6C7A">
        <w:rPr>
          <w:rFonts w:ascii="Verdana" w:eastAsia="Calibri" w:hAnsi="Verdana"/>
          <w:sz w:val="20"/>
          <w:szCs w:val="20"/>
          <w:lang w:val="en-US" w:eastAsia="es-PA"/>
        </w:rPr>
        <w:t xml:space="preserve"> Member States</w:t>
      </w:r>
      <w:r w:rsidR="00175ABB" w:rsidRPr="00EA6C7A">
        <w:rPr>
          <w:rFonts w:ascii="Verdana" w:eastAsia="Calibri" w:hAnsi="Verdana"/>
          <w:sz w:val="20"/>
          <w:szCs w:val="20"/>
          <w:lang w:val="en-US" w:eastAsia="es-PA"/>
        </w:rPr>
        <w:t xml:space="preserve">. </w:t>
      </w:r>
      <w:r w:rsidR="004A3921" w:rsidRPr="00EA6C7A">
        <w:rPr>
          <w:rFonts w:ascii="Verdana" w:eastAsia="Calibri" w:hAnsi="Verdana"/>
          <w:sz w:val="20"/>
          <w:szCs w:val="20"/>
          <w:lang w:val="en-US" w:eastAsia="es-PA"/>
        </w:rPr>
        <w:t>Since its entry into force in 1995, it has reflected the concern of the States parties</w:t>
      </w:r>
      <w:r w:rsidR="00437AAC" w:rsidRPr="00EA6C7A">
        <w:rPr>
          <w:rFonts w:ascii="Verdana" w:eastAsia="Calibri" w:hAnsi="Verdana"/>
          <w:sz w:val="20"/>
          <w:szCs w:val="20"/>
          <w:lang w:val="en-US" w:eastAsia="es-PA"/>
        </w:rPr>
        <w:t xml:space="preserve"> </w:t>
      </w:r>
      <w:r w:rsidR="004A3921" w:rsidRPr="00EA6C7A">
        <w:rPr>
          <w:rFonts w:ascii="Verdana" w:eastAsia="Calibri" w:hAnsi="Verdana"/>
          <w:sz w:val="20"/>
          <w:szCs w:val="20"/>
          <w:lang w:val="en-US"/>
        </w:rPr>
        <w:t>that</w:t>
      </w:r>
      <w:r w:rsidR="00175ABB" w:rsidRPr="00EA6C7A">
        <w:rPr>
          <w:rFonts w:ascii="Verdana" w:eastAsia="Calibri" w:hAnsi="Verdana"/>
          <w:sz w:val="20"/>
          <w:szCs w:val="20"/>
          <w:lang w:val="en-US"/>
        </w:rPr>
        <w:t xml:space="preserve"> “</w:t>
      </w:r>
      <w:r w:rsidR="004A3921" w:rsidRPr="00EA6C7A">
        <w:rPr>
          <w:rFonts w:ascii="Verdana" w:hAnsi="Verdana" w:cs="Arial"/>
          <w:sz w:val="20"/>
          <w:szCs w:val="20"/>
          <w:lang w:val="en-US"/>
        </w:rPr>
        <w:t>violence against women is an offense against human dignity and a manifestation of the historically unequal power relations between women and men”;</w:t>
      </w:r>
      <w:r w:rsidR="004A3921" w:rsidRPr="00EA6C7A">
        <w:rPr>
          <w:rFonts w:ascii="Verdana" w:eastAsia="Calibri" w:hAnsi="Verdana"/>
          <w:sz w:val="20"/>
          <w:szCs w:val="20"/>
          <w:lang w:val="en-US"/>
        </w:rPr>
        <w:t xml:space="preserve"> </w:t>
      </w:r>
      <w:r w:rsidR="00FE55F3" w:rsidRPr="00EA6C7A">
        <w:rPr>
          <w:rFonts w:ascii="Verdana" w:eastAsia="Calibri" w:hAnsi="Verdana"/>
          <w:sz w:val="20"/>
          <w:szCs w:val="20"/>
          <w:lang w:val="en-US"/>
        </w:rPr>
        <w:t>while affirming</w:t>
      </w:r>
      <w:r w:rsidR="004A3921" w:rsidRPr="00EA6C7A">
        <w:rPr>
          <w:rFonts w:ascii="Verdana" w:eastAsia="Calibri" w:hAnsi="Verdana"/>
          <w:sz w:val="20"/>
          <w:szCs w:val="20"/>
          <w:lang w:val="en-US"/>
        </w:rPr>
        <w:t xml:space="preserve"> that “</w:t>
      </w:r>
      <w:r w:rsidR="00C12C08" w:rsidRPr="00EA6C7A">
        <w:rPr>
          <w:rFonts w:ascii="Verdana" w:eastAsia="Calibri" w:hAnsi="Verdana"/>
          <w:sz w:val="20"/>
          <w:szCs w:val="20"/>
          <w:lang w:val="en-US"/>
        </w:rPr>
        <w:t>violence against women</w:t>
      </w:r>
      <w:r w:rsidR="00175ABB" w:rsidRPr="00EA6C7A">
        <w:rPr>
          <w:rFonts w:ascii="Verdana" w:eastAsia="Calibri" w:hAnsi="Verdana"/>
          <w:sz w:val="20"/>
          <w:szCs w:val="20"/>
          <w:lang w:val="en-US"/>
        </w:rPr>
        <w:t xml:space="preserve"> constitu</w:t>
      </w:r>
      <w:r w:rsidR="004A3921" w:rsidRPr="00EA6C7A">
        <w:rPr>
          <w:rFonts w:ascii="Verdana" w:eastAsia="Calibri" w:hAnsi="Verdana"/>
          <w:sz w:val="20"/>
          <w:szCs w:val="20"/>
          <w:lang w:val="en-US"/>
        </w:rPr>
        <w:t>tes</w:t>
      </w:r>
      <w:r w:rsidR="00175ABB" w:rsidRPr="00EA6C7A">
        <w:rPr>
          <w:rFonts w:ascii="Verdana" w:eastAsia="Calibri" w:hAnsi="Verdana"/>
          <w:sz w:val="20"/>
          <w:szCs w:val="20"/>
          <w:lang w:val="en-US"/>
        </w:rPr>
        <w:t xml:space="preserve"> </w:t>
      </w:r>
      <w:r w:rsidR="004A3921" w:rsidRPr="00EA6C7A">
        <w:rPr>
          <w:rFonts w:ascii="Verdana" w:hAnsi="Verdana" w:cs="Arial"/>
          <w:sz w:val="20"/>
          <w:szCs w:val="20"/>
          <w:lang w:val="en-US"/>
        </w:rPr>
        <w:t>a violation of their human rights and fundamental freedoms, and impairs or nullifies the observance, enjoyment and exercise of such rights and freedom</w:t>
      </w:r>
      <w:r w:rsidR="004A3921" w:rsidRPr="00EA6C7A">
        <w:rPr>
          <w:rFonts w:ascii="Verdana" w:eastAsia="Calibri" w:hAnsi="Verdana"/>
          <w:sz w:val="20"/>
          <w:szCs w:val="20"/>
          <w:lang w:val="en-US"/>
        </w:rPr>
        <w:t>s.</w:t>
      </w:r>
      <w:r w:rsidR="00175ABB" w:rsidRPr="00EA6C7A">
        <w:rPr>
          <w:rFonts w:ascii="Verdana" w:eastAsia="Calibri" w:hAnsi="Verdana"/>
          <w:sz w:val="20"/>
          <w:szCs w:val="20"/>
          <w:lang w:val="en-US"/>
        </w:rPr>
        <w:t>”</w:t>
      </w:r>
      <w:r w:rsidR="00175ABB" w:rsidRPr="00EA6C7A">
        <w:rPr>
          <w:rFonts w:ascii="Verdana" w:eastAsia="Calibri" w:hAnsi="Verdana"/>
          <w:sz w:val="20"/>
          <w:szCs w:val="20"/>
          <w:vertAlign w:val="superscript"/>
          <w:lang w:val="en-US"/>
        </w:rPr>
        <w:footnoteReference w:id="2"/>
      </w:r>
    </w:p>
    <w:p w14:paraId="42793E8A" w14:textId="77777777" w:rsidR="00F912BD" w:rsidRPr="00EA6C7A" w:rsidRDefault="00F912BD" w:rsidP="00F912BD">
      <w:pPr>
        <w:spacing w:line="240" w:lineRule="auto"/>
        <w:contextualSpacing/>
        <w:jc w:val="both"/>
        <w:rPr>
          <w:rFonts w:ascii="Verdana" w:eastAsia="Calibri" w:hAnsi="Verdana"/>
          <w:sz w:val="20"/>
          <w:szCs w:val="20"/>
          <w:lang w:val="en-US"/>
        </w:rPr>
      </w:pPr>
    </w:p>
    <w:p w14:paraId="40610641" w14:textId="77777777" w:rsidR="00175ABB" w:rsidRPr="00EA6C7A" w:rsidRDefault="00437AAC" w:rsidP="00E11A7C">
      <w:pPr>
        <w:numPr>
          <w:ilvl w:val="0"/>
          <w:numId w:val="14"/>
        </w:numPr>
        <w:spacing w:after="0" w:line="240" w:lineRule="auto"/>
        <w:ind w:left="0" w:firstLine="0"/>
        <w:jc w:val="both"/>
        <w:rPr>
          <w:rFonts w:ascii="Verdana" w:eastAsia="Calibri" w:hAnsi="Verdana"/>
          <w:sz w:val="20"/>
          <w:szCs w:val="20"/>
          <w:lang w:val="en-US"/>
        </w:rPr>
      </w:pPr>
      <w:r w:rsidRPr="00EA6C7A">
        <w:rPr>
          <w:rFonts w:ascii="Verdana" w:eastAsia="Calibri" w:hAnsi="Verdana"/>
          <w:sz w:val="20"/>
          <w:szCs w:val="20"/>
          <w:lang w:val="en-US" w:eastAsia="es-PA"/>
        </w:rPr>
        <w:t xml:space="preserve">More than 20 years after it entered into force, it is a cause for concern that the culture of discrimination </w:t>
      </w:r>
      <w:r w:rsidR="00D948A1" w:rsidRPr="00EA6C7A">
        <w:rPr>
          <w:rFonts w:ascii="Verdana" w:eastAsia="Calibri" w:hAnsi="Verdana"/>
          <w:sz w:val="20"/>
          <w:szCs w:val="20"/>
          <w:lang w:val="en-US" w:eastAsia="es-PA"/>
        </w:rPr>
        <w:t xml:space="preserve">and </w:t>
      </w:r>
      <w:r w:rsidR="00C12C08" w:rsidRPr="00EA6C7A">
        <w:rPr>
          <w:rFonts w:ascii="Verdana" w:eastAsia="Calibri" w:hAnsi="Verdana"/>
          <w:sz w:val="20"/>
          <w:szCs w:val="20"/>
          <w:lang w:val="en-US" w:eastAsia="es-PA"/>
        </w:rPr>
        <w:t>violence against women</w:t>
      </w:r>
      <w:r w:rsidRPr="00EA6C7A">
        <w:rPr>
          <w:rFonts w:ascii="Verdana" w:eastAsia="Calibri" w:hAnsi="Verdana"/>
          <w:sz w:val="20"/>
          <w:szCs w:val="20"/>
          <w:lang w:val="en-US" w:eastAsia="es-PA"/>
        </w:rPr>
        <w:t>,</w:t>
      </w:r>
      <w:r w:rsidR="00175ABB" w:rsidRPr="00EA6C7A">
        <w:rPr>
          <w:rFonts w:ascii="Verdana" w:eastAsia="Calibri" w:hAnsi="Verdana"/>
          <w:sz w:val="20"/>
          <w:szCs w:val="20"/>
          <w:vertAlign w:val="superscript"/>
          <w:lang w:val="en-US"/>
        </w:rPr>
        <w:footnoteReference w:id="3"/>
      </w:r>
      <w:r w:rsidR="00175ABB" w:rsidRPr="00EA6C7A">
        <w:rPr>
          <w:rFonts w:ascii="Verdana" w:eastAsia="Calibri" w:hAnsi="Verdana"/>
          <w:sz w:val="20"/>
          <w:szCs w:val="20"/>
          <w:lang w:val="en-US" w:eastAsia="es-PA"/>
        </w:rPr>
        <w:t xml:space="preserve"> </w:t>
      </w:r>
      <w:r w:rsidR="00175ABB" w:rsidRPr="00EA6C7A">
        <w:rPr>
          <w:rFonts w:ascii="Verdana" w:eastAsia="Calibri" w:hAnsi="Verdana"/>
          <w:sz w:val="20"/>
          <w:szCs w:val="20"/>
          <w:lang w:val="en-US"/>
        </w:rPr>
        <w:t>continu</w:t>
      </w:r>
      <w:r w:rsidRPr="00EA6C7A">
        <w:rPr>
          <w:rFonts w:ascii="Verdana" w:eastAsia="Calibri" w:hAnsi="Verdana"/>
          <w:sz w:val="20"/>
          <w:szCs w:val="20"/>
          <w:lang w:val="en-US"/>
        </w:rPr>
        <w:t>es to be present in the region, achieving its maximum expression in “feminicide” or “femicide”; that is, the “gender-based murder of women,</w:t>
      </w:r>
      <w:r w:rsidR="00175ABB" w:rsidRPr="00EA6C7A">
        <w:rPr>
          <w:rFonts w:ascii="Verdana" w:eastAsia="Calibri" w:hAnsi="Verdana"/>
          <w:sz w:val="20"/>
          <w:szCs w:val="20"/>
          <w:lang w:val="en-US"/>
        </w:rPr>
        <w:t>”</w:t>
      </w:r>
      <w:r w:rsidRPr="00EA6C7A">
        <w:rPr>
          <w:rFonts w:ascii="Verdana" w:eastAsia="Calibri" w:hAnsi="Verdana"/>
          <w:sz w:val="20"/>
          <w:szCs w:val="20"/>
          <w:lang w:val="en-US"/>
        </w:rPr>
        <w:t xml:space="preserve"> as </w:t>
      </w:r>
      <w:r w:rsidR="0096418F" w:rsidRPr="00EA6C7A">
        <w:rPr>
          <w:rFonts w:ascii="Verdana" w:eastAsia="Calibri" w:hAnsi="Verdana"/>
          <w:sz w:val="20"/>
          <w:szCs w:val="20"/>
          <w:lang w:val="en-US"/>
        </w:rPr>
        <w:t>the Inter-American Court of Human Rights</w:t>
      </w:r>
      <w:r w:rsidR="00175ABB" w:rsidRPr="00EA6C7A">
        <w:rPr>
          <w:rFonts w:ascii="Verdana" w:eastAsia="Calibri" w:hAnsi="Verdana"/>
          <w:sz w:val="20"/>
          <w:szCs w:val="20"/>
          <w:lang w:val="en-US"/>
        </w:rPr>
        <w:t xml:space="preserve"> (</w:t>
      </w:r>
      <w:r w:rsidR="0096418F" w:rsidRPr="00EA6C7A">
        <w:rPr>
          <w:rFonts w:ascii="Verdana" w:eastAsia="Calibri" w:hAnsi="Verdana"/>
          <w:sz w:val="20"/>
          <w:szCs w:val="20"/>
          <w:lang w:val="en-US"/>
        </w:rPr>
        <w:t>hereinafter</w:t>
      </w:r>
      <w:r w:rsidR="00175ABB" w:rsidRPr="00EA6C7A">
        <w:rPr>
          <w:rFonts w:ascii="Verdana" w:eastAsia="Calibri" w:hAnsi="Verdana"/>
          <w:sz w:val="20"/>
          <w:szCs w:val="20"/>
          <w:lang w:val="en-US"/>
        </w:rPr>
        <w:t xml:space="preserve"> </w:t>
      </w:r>
      <w:r w:rsidRPr="00EA6C7A">
        <w:rPr>
          <w:rFonts w:ascii="Verdana" w:eastAsia="Calibri" w:hAnsi="Verdana"/>
          <w:sz w:val="20"/>
          <w:szCs w:val="20"/>
          <w:lang w:val="en-US"/>
        </w:rPr>
        <w:t>“the Inter-American Court” or “the Court”)</w:t>
      </w:r>
      <w:r w:rsidR="00FE55F3" w:rsidRPr="00EA6C7A">
        <w:rPr>
          <w:rFonts w:ascii="Verdana" w:eastAsia="Calibri" w:hAnsi="Verdana"/>
          <w:sz w:val="20"/>
          <w:szCs w:val="20"/>
          <w:lang w:val="en-US"/>
        </w:rPr>
        <w:t xml:space="preserve"> first</w:t>
      </w:r>
      <w:r w:rsidRPr="00EA6C7A">
        <w:rPr>
          <w:rFonts w:ascii="Verdana" w:eastAsia="Calibri" w:hAnsi="Verdana"/>
          <w:sz w:val="20"/>
          <w:szCs w:val="20"/>
          <w:lang w:val="en-US"/>
        </w:rPr>
        <w:t xml:space="preserve"> underlined in the case of </w:t>
      </w:r>
      <w:r w:rsidR="008B402D" w:rsidRPr="00EA6C7A">
        <w:rPr>
          <w:rFonts w:ascii="Verdana" w:eastAsia="Calibri" w:hAnsi="Verdana" w:cs="Tahoma"/>
          <w:bCs/>
          <w:i/>
          <w:color w:val="000000"/>
          <w:sz w:val="20"/>
          <w:szCs w:val="20"/>
          <w:shd w:val="clear" w:color="auto" w:fill="FFFFFF"/>
          <w:lang w:val="en-US"/>
        </w:rPr>
        <w:t>González et al.</w:t>
      </w:r>
      <w:r w:rsidR="00175ABB"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Cotton Field</w:t>
      </w:r>
      <w:r w:rsidR="00175ABB"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v.</w:t>
      </w:r>
      <w:r w:rsidR="00175ABB"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Mexico</w:t>
      </w:r>
      <w:r w:rsidR="00175ABB" w:rsidRPr="00EA6C7A">
        <w:rPr>
          <w:rFonts w:ascii="Verdana" w:eastAsia="Calibri" w:hAnsi="Verdana" w:cs="Tahoma"/>
          <w:bCs/>
          <w:i/>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i</w:t>
      </w:r>
      <w:r w:rsidR="00175ABB" w:rsidRPr="00EA6C7A">
        <w:rPr>
          <w:rFonts w:ascii="Verdana" w:eastAsia="Calibri" w:hAnsi="Verdana" w:cs="Tahoma"/>
          <w:bCs/>
          <w:color w:val="000000"/>
          <w:sz w:val="20"/>
          <w:szCs w:val="20"/>
          <w:shd w:val="clear" w:color="auto" w:fill="FFFFFF"/>
          <w:lang w:val="en-US"/>
        </w:rPr>
        <w:t>n 2009</w:t>
      </w:r>
      <w:r w:rsidRPr="00EA6C7A">
        <w:rPr>
          <w:rFonts w:ascii="Verdana" w:eastAsia="Calibri" w:hAnsi="Verdana" w:cs="Tahoma"/>
          <w:bCs/>
          <w:color w:val="000000"/>
          <w:sz w:val="20"/>
          <w:szCs w:val="20"/>
          <w:shd w:val="clear" w:color="auto" w:fill="FFFFFF"/>
          <w:lang w:val="en-US"/>
        </w:rPr>
        <w:t>,</w:t>
      </w:r>
      <w:r w:rsidR="00175ABB" w:rsidRPr="00EA6C7A">
        <w:rPr>
          <w:rFonts w:ascii="Verdana" w:eastAsia="Calibri" w:hAnsi="Verdana" w:cs="Tahoma"/>
          <w:bCs/>
          <w:color w:val="000000"/>
          <w:sz w:val="20"/>
          <w:szCs w:val="20"/>
          <w:shd w:val="clear" w:color="auto" w:fill="FFFFFF"/>
          <w:vertAlign w:val="superscript"/>
          <w:lang w:val="en-US"/>
        </w:rPr>
        <w:footnoteReference w:id="4"/>
      </w:r>
      <w:r w:rsidR="00D948A1" w:rsidRPr="00EA6C7A">
        <w:rPr>
          <w:rFonts w:ascii="Verdana" w:eastAsia="Calibri" w:hAnsi="Verdana" w:cs="Tahoma"/>
          <w:bCs/>
          <w:color w:val="000000"/>
          <w:sz w:val="20"/>
          <w:szCs w:val="20"/>
          <w:shd w:val="clear" w:color="auto" w:fill="FFFFFF"/>
          <w:lang w:val="en-US"/>
        </w:rPr>
        <w:t xml:space="preserve"> and</w:t>
      </w:r>
      <w:r w:rsidRPr="00EA6C7A">
        <w:rPr>
          <w:rFonts w:ascii="Verdana" w:eastAsia="Calibri" w:hAnsi="Verdana" w:cs="Tahoma"/>
          <w:bCs/>
          <w:color w:val="000000"/>
          <w:sz w:val="20"/>
          <w:szCs w:val="20"/>
          <w:shd w:val="clear" w:color="auto" w:fill="FFFFFF"/>
          <w:lang w:val="en-US"/>
        </w:rPr>
        <w:t xml:space="preserve"> reiterated in the case of </w:t>
      </w:r>
      <w:r w:rsidR="00175ABB" w:rsidRPr="00EA6C7A">
        <w:rPr>
          <w:rFonts w:ascii="Verdana" w:eastAsia="Calibri" w:hAnsi="Verdana" w:cs="Tahoma"/>
          <w:bCs/>
          <w:i/>
          <w:color w:val="000000"/>
          <w:sz w:val="20"/>
          <w:szCs w:val="20"/>
          <w:shd w:val="clear" w:color="auto" w:fill="FFFFFF"/>
          <w:lang w:val="en-US"/>
        </w:rPr>
        <w:t xml:space="preserve">Veliz </w:t>
      </w:r>
      <w:r w:rsidR="006A51FD" w:rsidRPr="00EA6C7A">
        <w:rPr>
          <w:rFonts w:ascii="Verdana" w:eastAsia="Calibri" w:hAnsi="Verdana" w:cs="Tahoma"/>
          <w:bCs/>
          <w:i/>
          <w:color w:val="000000"/>
          <w:sz w:val="20"/>
          <w:szCs w:val="20"/>
          <w:shd w:val="clear" w:color="auto" w:fill="FFFFFF"/>
          <w:lang w:val="en-US"/>
        </w:rPr>
        <w:t>Franco et al.</w:t>
      </w:r>
      <w:r w:rsidR="00175ABB" w:rsidRPr="00EA6C7A">
        <w:rPr>
          <w:rFonts w:ascii="Verdana" w:eastAsia="Calibri" w:hAnsi="Verdana" w:cs="Tahoma"/>
          <w:bCs/>
          <w:color w:val="000000"/>
          <w:sz w:val="20"/>
          <w:szCs w:val="20"/>
          <w:shd w:val="clear" w:color="auto" w:fill="FFFFFF"/>
          <w:lang w:val="en-US"/>
        </w:rPr>
        <w:t>,</w:t>
      </w:r>
      <w:r w:rsidR="00D948A1" w:rsidRPr="00EA6C7A">
        <w:rPr>
          <w:rFonts w:ascii="Verdana" w:eastAsia="Calibri" w:hAnsi="Verdana" w:cs="Tahoma"/>
          <w:bCs/>
          <w:color w:val="000000"/>
          <w:sz w:val="20"/>
          <w:szCs w:val="20"/>
          <w:shd w:val="clear" w:color="auto" w:fill="FFFFFF"/>
          <w:lang w:val="en-US"/>
        </w:rPr>
        <w:t xml:space="preserve"> and </w:t>
      </w:r>
      <w:r w:rsidRPr="00EA6C7A">
        <w:rPr>
          <w:rFonts w:ascii="Verdana" w:eastAsia="Calibri" w:hAnsi="Verdana" w:cs="Tahoma"/>
          <w:bCs/>
          <w:color w:val="000000"/>
          <w:sz w:val="20"/>
          <w:szCs w:val="20"/>
          <w:shd w:val="clear" w:color="auto" w:fill="FFFFFF"/>
          <w:lang w:val="en-US"/>
        </w:rPr>
        <w:t xml:space="preserve">in the present case of </w:t>
      </w:r>
      <w:r w:rsidR="008C4FF3" w:rsidRPr="00EA6C7A">
        <w:rPr>
          <w:rFonts w:ascii="Verdana" w:eastAsia="Calibri" w:hAnsi="Verdana" w:cs="Tahoma"/>
          <w:bCs/>
          <w:i/>
          <w:color w:val="000000"/>
          <w:sz w:val="20"/>
          <w:szCs w:val="20"/>
          <w:shd w:val="clear" w:color="auto" w:fill="FFFFFF"/>
          <w:lang w:val="en-US"/>
        </w:rPr>
        <w:t>Velázquez</w:t>
      </w:r>
      <w:r w:rsidR="00175ABB" w:rsidRPr="00EA6C7A">
        <w:rPr>
          <w:rFonts w:ascii="Verdana" w:eastAsia="Calibri" w:hAnsi="Verdana" w:cs="Tahoma"/>
          <w:bCs/>
          <w:i/>
          <w:color w:val="000000"/>
          <w:sz w:val="20"/>
          <w:szCs w:val="20"/>
          <w:shd w:val="clear" w:color="auto" w:fill="FFFFFF"/>
          <w:lang w:val="en-US"/>
        </w:rPr>
        <w:t xml:space="preserve"> </w:t>
      </w:r>
      <w:r w:rsidR="00F912BD" w:rsidRPr="00EA6C7A">
        <w:rPr>
          <w:rFonts w:ascii="Verdana" w:eastAsia="Calibri" w:hAnsi="Verdana" w:cs="Tahoma"/>
          <w:bCs/>
          <w:i/>
          <w:color w:val="000000"/>
          <w:sz w:val="20"/>
          <w:szCs w:val="20"/>
          <w:shd w:val="clear" w:color="auto" w:fill="FFFFFF"/>
          <w:lang w:val="en-US"/>
        </w:rPr>
        <w:t>Paiz et al.</w:t>
      </w:r>
      <w:r w:rsidR="00175ABB" w:rsidRPr="00EA6C7A">
        <w:rPr>
          <w:rFonts w:ascii="Verdana" w:eastAsia="Calibri" w:hAnsi="Verdana" w:cs="Tahoma"/>
          <w:bCs/>
          <w:i/>
          <w:color w:val="000000"/>
          <w:sz w:val="20"/>
          <w:szCs w:val="20"/>
          <w:shd w:val="clear" w:color="auto" w:fill="FFFFFF"/>
          <w:lang w:val="en-US"/>
        </w:rPr>
        <w:t xml:space="preserve">, </w:t>
      </w:r>
      <w:r w:rsidR="00F912BD" w:rsidRPr="00EA6C7A">
        <w:rPr>
          <w:rFonts w:ascii="Verdana" w:eastAsia="Calibri" w:hAnsi="Verdana" w:cs="Tahoma"/>
          <w:bCs/>
          <w:color w:val="000000"/>
          <w:sz w:val="20"/>
          <w:szCs w:val="20"/>
          <w:shd w:val="clear" w:color="auto" w:fill="FFFFFF"/>
          <w:lang w:val="en-US"/>
        </w:rPr>
        <w:t>both</w:t>
      </w:r>
      <w:r w:rsidR="00175ABB" w:rsidRPr="00EA6C7A">
        <w:rPr>
          <w:rFonts w:ascii="Verdana" w:eastAsia="Calibri" w:hAnsi="Verdana" w:cs="Tahoma"/>
          <w:bCs/>
          <w:color w:val="000000"/>
          <w:sz w:val="20"/>
          <w:szCs w:val="20"/>
          <w:shd w:val="clear" w:color="auto" w:fill="FFFFFF"/>
          <w:lang w:val="en-US"/>
        </w:rPr>
        <w:t xml:space="preserve"> </w:t>
      </w:r>
      <w:r w:rsidR="00F912BD" w:rsidRPr="00EA6C7A">
        <w:rPr>
          <w:rFonts w:ascii="Verdana" w:eastAsia="Calibri" w:hAnsi="Verdana" w:cs="Tahoma"/>
          <w:bCs/>
          <w:color w:val="000000"/>
          <w:sz w:val="20"/>
          <w:szCs w:val="20"/>
          <w:shd w:val="clear" w:color="auto" w:fill="FFFFFF"/>
          <w:lang w:val="en-US"/>
        </w:rPr>
        <w:t>against</w:t>
      </w:r>
      <w:r w:rsidR="00175ABB" w:rsidRPr="00EA6C7A">
        <w:rPr>
          <w:rFonts w:ascii="Verdana" w:eastAsia="Calibri" w:hAnsi="Verdana" w:cs="Tahoma"/>
          <w:bCs/>
          <w:color w:val="000000"/>
          <w:sz w:val="20"/>
          <w:szCs w:val="20"/>
          <w:shd w:val="clear" w:color="auto" w:fill="FFFFFF"/>
          <w:lang w:val="en-US"/>
        </w:rPr>
        <w:t xml:space="preserve"> Guatemala</w:t>
      </w:r>
      <w:r w:rsidRPr="00EA6C7A">
        <w:rPr>
          <w:rFonts w:ascii="Verdana" w:eastAsia="Calibri" w:hAnsi="Verdana" w:cs="Tahoma"/>
          <w:bCs/>
          <w:color w:val="000000"/>
          <w:sz w:val="20"/>
          <w:szCs w:val="20"/>
          <w:shd w:val="clear" w:color="auto" w:fill="FFFFFF"/>
          <w:lang w:val="en-US"/>
        </w:rPr>
        <w:t>.</w:t>
      </w:r>
      <w:r w:rsidR="00175ABB" w:rsidRPr="00EA6C7A">
        <w:rPr>
          <w:rFonts w:ascii="Verdana" w:eastAsia="Calibri" w:hAnsi="Verdana" w:cs="Tahoma"/>
          <w:bCs/>
          <w:color w:val="000000"/>
          <w:sz w:val="20"/>
          <w:szCs w:val="20"/>
          <w:shd w:val="clear" w:color="auto" w:fill="FFFFFF"/>
          <w:vertAlign w:val="superscript"/>
          <w:lang w:val="en-US"/>
        </w:rPr>
        <w:footnoteReference w:id="5"/>
      </w:r>
      <w:r w:rsidR="00175ABB" w:rsidRPr="00EA6C7A">
        <w:rPr>
          <w:rFonts w:ascii="Verdana" w:eastAsia="Calibri" w:hAnsi="Verdana" w:cs="Tahoma"/>
          <w:bCs/>
          <w:i/>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The term “</w:t>
      </w:r>
      <w:r w:rsidR="00175ABB" w:rsidRPr="00EA6C7A">
        <w:rPr>
          <w:rFonts w:ascii="Verdana" w:eastAsia="Calibri" w:hAnsi="Verdana" w:cs="Tahoma"/>
          <w:bCs/>
          <w:i/>
          <w:iCs/>
          <w:color w:val="000000"/>
          <w:sz w:val="20"/>
          <w:szCs w:val="20"/>
          <w:shd w:val="clear" w:color="auto" w:fill="FFFFFF"/>
          <w:lang w:val="en-US"/>
        </w:rPr>
        <w:t>feminicidio</w:t>
      </w:r>
      <w:r w:rsidR="00175ABB"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was incorporated into the latest edition of the</w:t>
      </w:r>
      <w:r w:rsidR="00175ABB" w:rsidRPr="00EA6C7A">
        <w:rPr>
          <w:rFonts w:ascii="Verdana" w:eastAsia="Calibri" w:hAnsi="Verdana" w:cs="Tahoma"/>
          <w:bCs/>
          <w:color w:val="000000"/>
          <w:sz w:val="20"/>
          <w:szCs w:val="20"/>
          <w:shd w:val="clear" w:color="auto" w:fill="FFFFFF"/>
          <w:lang w:val="en-US"/>
        </w:rPr>
        <w:t xml:space="preserve"> </w:t>
      </w:r>
      <w:r w:rsidR="00175ABB" w:rsidRPr="00EA6C7A">
        <w:rPr>
          <w:rFonts w:ascii="Verdana" w:eastAsia="Calibri" w:hAnsi="Verdana" w:cs="Tahoma"/>
          <w:bCs/>
          <w:i/>
          <w:color w:val="000000"/>
          <w:sz w:val="20"/>
          <w:szCs w:val="20"/>
          <w:shd w:val="clear" w:color="auto" w:fill="FFFFFF"/>
          <w:lang w:val="en-US"/>
        </w:rPr>
        <w:t>Diccionario</w:t>
      </w:r>
      <w:r w:rsidR="00D5307F" w:rsidRPr="00EA6C7A">
        <w:rPr>
          <w:rFonts w:ascii="Verdana" w:eastAsia="Calibri" w:hAnsi="Verdana" w:cs="Tahoma"/>
          <w:bCs/>
          <w:i/>
          <w:color w:val="000000"/>
          <w:sz w:val="20"/>
          <w:szCs w:val="20"/>
          <w:shd w:val="clear" w:color="auto" w:fill="FFFFFF"/>
          <w:lang w:val="en-US"/>
        </w:rPr>
        <w:t xml:space="preserve"> </w:t>
      </w:r>
      <w:r w:rsidR="00FE55F3" w:rsidRPr="00EA6C7A">
        <w:rPr>
          <w:rFonts w:ascii="Verdana" w:eastAsia="Calibri" w:hAnsi="Verdana" w:cs="Tahoma"/>
          <w:bCs/>
          <w:i/>
          <w:color w:val="000000"/>
          <w:sz w:val="20"/>
          <w:szCs w:val="20"/>
          <w:shd w:val="clear" w:color="auto" w:fill="FFFFFF"/>
          <w:lang w:val="en-US"/>
        </w:rPr>
        <w:t>de la</w:t>
      </w:r>
      <w:r w:rsidR="00D5307F" w:rsidRPr="00EA6C7A">
        <w:rPr>
          <w:rFonts w:ascii="Verdana" w:eastAsia="Calibri" w:hAnsi="Verdana" w:cs="Tahoma"/>
          <w:bCs/>
          <w:i/>
          <w:color w:val="000000"/>
          <w:sz w:val="20"/>
          <w:szCs w:val="20"/>
          <w:shd w:val="clear" w:color="auto" w:fill="FFFFFF"/>
          <w:lang w:val="en-US"/>
        </w:rPr>
        <w:t xml:space="preserve"> </w:t>
      </w:r>
      <w:r w:rsidR="00FE55F3" w:rsidRPr="00EA6C7A">
        <w:rPr>
          <w:rFonts w:ascii="Verdana" w:eastAsia="Calibri" w:hAnsi="Verdana" w:cs="Tahoma"/>
          <w:bCs/>
          <w:i/>
          <w:color w:val="000000"/>
          <w:sz w:val="20"/>
          <w:szCs w:val="20"/>
          <w:shd w:val="clear" w:color="auto" w:fill="FFFFFF"/>
          <w:lang w:val="en-US"/>
        </w:rPr>
        <w:t>L</w:t>
      </w:r>
      <w:r w:rsidR="00175ABB" w:rsidRPr="00EA6C7A">
        <w:rPr>
          <w:rFonts w:ascii="Verdana" w:eastAsia="Calibri" w:hAnsi="Verdana" w:cs="Tahoma"/>
          <w:bCs/>
          <w:i/>
          <w:color w:val="000000"/>
          <w:sz w:val="20"/>
          <w:szCs w:val="20"/>
          <w:shd w:val="clear" w:color="auto" w:fill="FFFFFF"/>
          <w:lang w:val="en-US"/>
        </w:rPr>
        <w:t xml:space="preserve">engua </w:t>
      </w:r>
      <w:r w:rsidR="00FE55F3" w:rsidRPr="00EA6C7A">
        <w:rPr>
          <w:rFonts w:ascii="Verdana" w:eastAsia="Calibri" w:hAnsi="Verdana" w:cs="Tahoma"/>
          <w:bCs/>
          <w:i/>
          <w:color w:val="000000"/>
          <w:sz w:val="20"/>
          <w:szCs w:val="20"/>
          <w:shd w:val="clear" w:color="auto" w:fill="FFFFFF"/>
          <w:lang w:val="en-US"/>
        </w:rPr>
        <w:t>E</w:t>
      </w:r>
      <w:r w:rsidR="00175ABB" w:rsidRPr="00EA6C7A">
        <w:rPr>
          <w:rFonts w:ascii="Verdana" w:eastAsia="Calibri" w:hAnsi="Verdana" w:cs="Tahoma"/>
          <w:bCs/>
          <w:i/>
          <w:color w:val="000000"/>
          <w:sz w:val="20"/>
          <w:szCs w:val="20"/>
          <w:shd w:val="clear" w:color="auto" w:fill="FFFFFF"/>
          <w:lang w:val="en-US"/>
        </w:rPr>
        <w:t>spañola</w:t>
      </w:r>
      <w:r w:rsidRPr="00EA6C7A">
        <w:rPr>
          <w:rFonts w:ascii="Verdana" w:eastAsia="Calibri" w:hAnsi="Verdana" w:cs="Tahoma"/>
          <w:bCs/>
          <w:i/>
          <w:color w:val="000000"/>
          <w:sz w:val="20"/>
          <w:szCs w:val="20"/>
          <w:shd w:val="clear" w:color="auto" w:fill="FFFFFF"/>
          <w:lang w:val="en-US"/>
        </w:rPr>
        <w:t>,</w:t>
      </w:r>
      <w:r w:rsidR="00175ABB" w:rsidRPr="00EA6C7A">
        <w:rPr>
          <w:rFonts w:ascii="Verdana" w:eastAsia="Calibri" w:hAnsi="Verdana" w:cs="Tahoma"/>
          <w:bCs/>
          <w:color w:val="000000"/>
          <w:sz w:val="20"/>
          <w:szCs w:val="20"/>
          <w:shd w:val="clear" w:color="auto" w:fill="FFFFFF"/>
          <w:lang w:val="en-US"/>
        </w:rPr>
        <w:t xml:space="preserve"> </w:t>
      </w:r>
      <w:r w:rsidR="00FE55F3" w:rsidRPr="00EA6C7A">
        <w:rPr>
          <w:rFonts w:ascii="Verdana" w:eastAsia="Calibri" w:hAnsi="Verdana" w:cs="Tahoma"/>
          <w:bCs/>
          <w:color w:val="000000"/>
          <w:sz w:val="20"/>
          <w:szCs w:val="20"/>
          <w:shd w:val="clear" w:color="auto" w:fill="FFFFFF"/>
          <w:lang w:val="en-US"/>
        </w:rPr>
        <w:t>published</w:t>
      </w:r>
      <w:r w:rsidRPr="00EA6C7A">
        <w:rPr>
          <w:rFonts w:ascii="Verdana" w:eastAsia="Calibri" w:hAnsi="Verdana" w:cs="Tahoma"/>
          <w:bCs/>
          <w:color w:val="000000"/>
          <w:sz w:val="20"/>
          <w:szCs w:val="20"/>
          <w:shd w:val="clear" w:color="auto" w:fill="FFFFFF"/>
          <w:lang w:val="en-US"/>
        </w:rPr>
        <w:t xml:space="preserve"> by the </w:t>
      </w:r>
      <w:r w:rsidR="00175ABB" w:rsidRPr="00EA6C7A">
        <w:rPr>
          <w:rFonts w:ascii="Verdana" w:eastAsia="Calibri" w:hAnsi="Verdana" w:cs="Tahoma"/>
          <w:bCs/>
          <w:i/>
          <w:iCs/>
          <w:color w:val="000000"/>
          <w:sz w:val="20"/>
          <w:szCs w:val="20"/>
          <w:shd w:val="clear" w:color="auto" w:fill="FFFFFF"/>
          <w:lang w:val="en-US"/>
        </w:rPr>
        <w:t>Real Academia Española</w:t>
      </w:r>
      <w:r w:rsidR="00175ABB"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i</w:t>
      </w:r>
      <w:r w:rsidR="00175ABB" w:rsidRPr="00EA6C7A">
        <w:rPr>
          <w:rFonts w:ascii="Verdana" w:eastAsia="Calibri" w:hAnsi="Verdana" w:cs="Tahoma"/>
          <w:bCs/>
          <w:color w:val="000000"/>
          <w:sz w:val="20"/>
          <w:szCs w:val="20"/>
          <w:shd w:val="clear" w:color="auto" w:fill="FFFFFF"/>
          <w:lang w:val="en-US"/>
        </w:rPr>
        <w:t xml:space="preserve">n </w:t>
      </w:r>
      <w:r w:rsidR="007B566E" w:rsidRPr="00EA6C7A">
        <w:rPr>
          <w:rFonts w:ascii="Verdana" w:eastAsia="Calibri" w:hAnsi="Verdana" w:cs="Tahoma"/>
          <w:bCs/>
          <w:color w:val="000000"/>
          <w:sz w:val="20"/>
          <w:szCs w:val="20"/>
          <w:shd w:val="clear" w:color="auto" w:fill="FFFFFF"/>
          <w:lang w:val="en-US"/>
        </w:rPr>
        <w:t>October</w:t>
      </w:r>
      <w:r w:rsidR="00175ABB" w:rsidRPr="00EA6C7A">
        <w:rPr>
          <w:rFonts w:ascii="Verdana" w:eastAsia="Calibri" w:hAnsi="Verdana" w:cs="Tahoma"/>
          <w:bCs/>
          <w:color w:val="000000"/>
          <w:sz w:val="20"/>
          <w:szCs w:val="20"/>
          <w:shd w:val="clear" w:color="auto" w:fill="FFFFFF"/>
          <w:lang w:val="en-US"/>
        </w:rPr>
        <w:t xml:space="preserve"> 2014</w:t>
      </w:r>
      <w:r w:rsidRPr="00EA6C7A">
        <w:rPr>
          <w:rFonts w:ascii="Verdana" w:eastAsia="Calibri" w:hAnsi="Verdana" w:cs="Tahoma"/>
          <w:bCs/>
          <w:color w:val="000000"/>
          <w:sz w:val="20"/>
          <w:szCs w:val="20"/>
          <w:shd w:val="clear" w:color="auto" w:fill="FFFFFF"/>
          <w:lang w:val="en-US"/>
        </w:rPr>
        <w:t>,</w:t>
      </w:r>
      <w:r w:rsidR="00175ABB" w:rsidRPr="00EA6C7A">
        <w:rPr>
          <w:rFonts w:ascii="Verdana" w:eastAsia="Arial Unicode MS" w:hAnsi="Verdana" w:cs="Arial Unicode MS"/>
          <w:color w:val="000000"/>
          <w:spacing w:val="4"/>
          <w:shd w:val="clear" w:color="auto" w:fill="FFFFFF"/>
          <w:vertAlign w:val="superscript"/>
          <w:lang w:val="en-US"/>
        </w:rPr>
        <w:footnoteReference w:id="6"/>
      </w:r>
      <w:r w:rsidRPr="00EA6C7A">
        <w:rPr>
          <w:rFonts w:ascii="Verdana" w:eastAsia="Calibri" w:hAnsi="Verdana" w:cs="Tahoma"/>
          <w:bCs/>
          <w:color w:val="000000"/>
          <w:sz w:val="20"/>
          <w:szCs w:val="20"/>
          <w:shd w:val="clear" w:color="auto" w:fill="FFFFFF"/>
          <w:lang w:val="en-US"/>
        </w:rPr>
        <w:t xml:space="preserve"> almost 10 years after the lamentable facts of the case that gives rise to this separate opinion.</w:t>
      </w:r>
    </w:p>
    <w:p w14:paraId="6539C873" w14:textId="77777777" w:rsidR="00175ABB" w:rsidRPr="00EA6C7A" w:rsidRDefault="00175ABB" w:rsidP="00175ABB">
      <w:pPr>
        <w:spacing w:after="0" w:line="240" w:lineRule="auto"/>
        <w:jc w:val="both"/>
        <w:rPr>
          <w:rFonts w:ascii="Verdana" w:eastAsia="Calibri" w:hAnsi="Verdana"/>
          <w:sz w:val="20"/>
          <w:szCs w:val="20"/>
          <w:lang w:val="en-US" w:eastAsia="es-PA"/>
        </w:rPr>
      </w:pPr>
    </w:p>
    <w:p w14:paraId="74CBBFA3" w14:textId="77777777" w:rsidR="00175ABB" w:rsidRPr="00EA6C7A" w:rsidRDefault="005B652A" w:rsidP="005B652A">
      <w:pPr>
        <w:numPr>
          <w:ilvl w:val="0"/>
          <w:numId w:val="14"/>
        </w:numPr>
        <w:spacing w:line="240" w:lineRule="auto"/>
        <w:ind w:left="0" w:firstLine="0"/>
        <w:contextualSpacing/>
        <w:jc w:val="both"/>
        <w:rPr>
          <w:rFonts w:ascii="Verdana" w:eastAsia="Calibri" w:hAnsi="Verdana" w:cs="Tahoma"/>
          <w:bCs/>
          <w:color w:val="000000"/>
          <w:sz w:val="20"/>
          <w:szCs w:val="20"/>
          <w:shd w:val="clear" w:color="auto" w:fill="FFFFFF"/>
          <w:lang w:val="en-US"/>
        </w:rPr>
      </w:pPr>
      <w:r w:rsidRPr="00EA6C7A">
        <w:rPr>
          <w:rFonts w:ascii="Verdana" w:eastAsia="Arial Unicode MS" w:hAnsi="Verdana" w:cs="Arial Unicode MS"/>
          <w:color w:val="000000"/>
          <w:spacing w:val="4"/>
          <w:sz w:val="20"/>
          <w:szCs w:val="20"/>
          <w:shd w:val="clear" w:color="auto" w:fill="FFFFFF"/>
          <w:lang w:val="en-US"/>
        </w:rPr>
        <w:lastRenderedPageBreak/>
        <w:t xml:space="preserve">The persistence of this problem in the region – despite diverse actions by the States as noted in the instant case – underscores the </w:t>
      </w:r>
      <w:r w:rsidR="00FE55F3" w:rsidRPr="00EA6C7A">
        <w:rPr>
          <w:rFonts w:ascii="Verdana" w:eastAsia="Arial Unicode MS" w:hAnsi="Verdana" w:cs="Arial Unicode MS"/>
          <w:color w:val="000000"/>
          <w:spacing w:val="4"/>
          <w:sz w:val="20"/>
          <w:szCs w:val="20"/>
          <w:shd w:val="clear" w:color="auto" w:fill="FFFFFF"/>
          <w:lang w:val="en-US"/>
        </w:rPr>
        <w:t>urgent</w:t>
      </w:r>
      <w:r w:rsidRPr="00EA6C7A">
        <w:rPr>
          <w:rFonts w:ascii="Verdana" w:eastAsia="Arial Unicode MS" w:hAnsi="Verdana" w:cs="Arial Unicode MS"/>
          <w:color w:val="000000"/>
          <w:spacing w:val="4"/>
          <w:sz w:val="20"/>
          <w:szCs w:val="20"/>
          <w:shd w:val="clear" w:color="auto" w:fill="FFFFFF"/>
          <w:lang w:val="en-US"/>
        </w:rPr>
        <w:t xml:space="preserve"> need to </w:t>
      </w:r>
      <w:r w:rsidR="0065677A" w:rsidRPr="00EA6C7A">
        <w:rPr>
          <w:rFonts w:ascii="Verdana" w:eastAsia="Arial Unicode MS" w:hAnsi="Verdana" w:cs="Arial Unicode MS"/>
          <w:color w:val="000000"/>
          <w:spacing w:val="4"/>
          <w:sz w:val="20"/>
          <w:szCs w:val="20"/>
          <w:shd w:val="clear" w:color="auto" w:fill="FFFFFF"/>
          <w:lang w:val="en-US"/>
        </w:rPr>
        <w:t>pay</w:t>
      </w:r>
      <w:r w:rsidRPr="00EA6C7A">
        <w:rPr>
          <w:rFonts w:ascii="Verdana" w:eastAsia="Arial Unicode MS" w:hAnsi="Verdana" w:cs="Arial Unicode MS"/>
          <w:color w:val="000000"/>
          <w:spacing w:val="4"/>
          <w:sz w:val="20"/>
          <w:szCs w:val="20"/>
          <w:shd w:val="clear" w:color="auto" w:fill="FFFFFF"/>
          <w:lang w:val="en-US"/>
        </w:rPr>
        <w:t xml:space="preserve"> special attention to the “obligation of prevention” referred to in</w:t>
      </w:r>
      <w:r w:rsidRPr="00EA6C7A">
        <w:rPr>
          <w:rFonts w:ascii="Verdana" w:eastAsia="Calibri" w:hAnsi="Verdana" w:cs="Tahoma"/>
          <w:bCs/>
          <w:color w:val="000000"/>
          <w:sz w:val="20"/>
          <w:szCs w:val="20"/>
          <w:shd w:val="clear" w:color="auto" w:fill="FFFFFF"/>
          <w:lang w:val="en-US"/>
        </w:rPr>
        <w:t xml:space="preserve"> </w:t>
      </w:r>
      <w:r w:rsidR="0096418F" w:rsidRPr="00EA6C7A">
        <w:rPr>
          <w:rFonts w:ascii="Verdana" w:eastAsia="Calibri" w:hAnsi="Verdana"/>
          <w:sz w:val="20"/>
          <w:szCs w:val="20"/>
          <w:lang w:val="en-US" w:eastAsia="es-PA"/>
        </w:rPr>
        <w:t>Article</w:t>
      </w:r>
      <w:r w:rsidR="00175ABB" w:rsidRPr="00EA6C7A">
        <w:rPr>
          <w:rFonts w:ascii="Verdana" w:eastAsia="Calibri" w:hAnsi="Verdana"/>
          <w:sz w:val="20"/>
          <w:szCs w:val="20"/>
          <w:lang w:val="en-US" w:eastAsia="es-PA"/>
        </w:rPr>
        <w:t xml:space="preserve"> 7 </w:t>
      </w:r>
      <w:r w:rsidRPr="00EA6C7A">
        <w:rPr>
          <w:rFonts w:ascii="Verdana" w:eastAsia="Calibri" w:hAnsi="Verdana"/>
          <w:sz w:val="20"/>
          <w:szCs w:val="20"/>
          <w:lang w:val="en-US" w:eastAsia="es-PA"/>
        </w:rPr>
        <w:t>of the</w:t>
      </w:r>
      <w:r w:rsidR="00175ABB" w:rsidRPr="00EA6C7A">
        <w:rPr>
          <w:rFonts w:ascii="Verdana" w:eastAsia="Calibri" w:hAnsi="Verdana"/>
          <w:sz w:val="20"/>
          <w:szCs w:val="20"/>
          <w:lang w:val="en-US" w:eastAsia="es-PA"/>
        </w:rPr>
        <w:t xml:space="preserve"> “</w:t>
      </w:r>
      <w:r w:rsidR="00F912BD" w:rsidRPr="00EA6C7A">
        <w:rPr>
          <w:rFonts w:ascii="Verdana" w:eastAsia="Calibri" w:hAnsi="Verdana"/>
          <w:sz w:val="20"/>
          <w:szCs w:val="20"/>
          <w:lang w:val="en-US" w:eastAsia="es-PA"/>
        </w:rPr>
        <w:t>Convention of</w:t>
      </w:r>
      <w:r w:rsidR="00175ABB" w:rsidRPr="00EA6C7A">
        <w:rPr>
          <w:rFonts w:ascii="Verdana" w:eastAsia="Calibri" w:hAnsi="Verdana"/>
          <w:sz w:val="20"/>
          <w:szCs w:val="20"/>
          <w:lang w:val="en-US" w:eastAsia="es-PA"/>
        </w:rPr>
        <w:t xml:space="preserve"> Belém do Pará”</w:t>
      </w:r>
      <w:r w:rsidR="00175ABB" w:rsidRPr="00EA6C7A">
        <w:rPr>
          <w:rFonts w:ascii="Verdana" w:eastAsia="Calibri" w:hAnsi="Verdana"/>
          <w:vertAlign w:val="superscript"/>
          <w:lang w:val="en-US"/>
        </w:rPr>
        <w:footnoteReference w:id="7"/>
      </w:r>
      <w:r w:rsidR="00175ABB" w:rsidRPr="00EA6C7A">
        <w:rPr>
          <w:rFonts w:ascii="Verdana" w:eastAsia="Calibri" w:hAnsi="Verdana"/>
          <w:sz w:val="20"/>
          <w:szCs w:val="20"/>
          <w:lang w:val="en-US" w:eastAsia="es-PA"/>
        </w:rPr>
        <w:t xml:space="preserve">; </w:t>
      </w:r>
      <w:r w:rsidRPr="00EA6C7A">
        <w:rPr>
          <w:rFonts w:ascii="Verdana" w:eastAsia="Calibri" w:hAnsi="Verdana"/>
          <w:sz w:val="20"/>
          <w:szCs w:val="20"/>
          <w:lang w:val="en-US" w:eastAsia="es-PA"/>
        </w:rPr>
        <w:t xml:space="preserve">an obligation that, I consider, </w:t>
      </w:r>
      <w:r w:rsidR="0065677A" w:rsidRPr="00EA6C7A">
        <w:rPr>
          <w:rFonts w:ascii="Verdana" w:eastAsia="Calibri" w:hAnsi="Verdana"/>
          <w:sz w:val="20"/>
          <w:szCs w:val="20"/>
          <w:lang w:val="en-US" w:eastAsia="es-PA"/>
        </w:rPr>
        <w:t xml:space="preserve">is </w:t>
      </w:r>
      <w:r w:rsidRPr="00EA6C7A">
        <w:rPr>
          <w:rFonts w:ascii="Verdana" w:eastAsia="Calibri" w:hAnsi="Verdana"/>
          <w:sz w:val="20"/>
          <w:szCs w:val="20"/>
          <w:lang w:val="en-US" w:eastAsia="es-PA"/>
        </w:rPr>
        <w:t xml:space="preserve">of the greatest relevance to avoid the barbarity of the phenomenon of “femicide” and, in general, all forms of </w:t>
      </w:r>
      <w:r w:rsidR="00C12C08" w:rsidRPr="00EA6C7A">
        <w:rPr>
          <w:rFonts w:ascii="Verdana" w:eastAsia="Calibri" w:hAnsi="Verdana"/>
          <w:sz w:val="20"/>
          <w:szCs w:val="20"/>
          <w:lang w:val="en-US" w:eastAsia="es-PA"/>
        </w:rPr>
        <w:t>violence against women</w:t>
      </w:r>
      <w:r w:rsidR="00175ABB" w:rsidRPr="00EA6C7A">
        <w:rPr>
          <w:rFonts w:ascii="Verdana" w:eastAsia="Calibri" w:hAnsi="Verdana"/>
          <w:sz w:val="20"/>
          <w:szCs w:val="20"/>
          <w:lang w:val="en-US" w:eastAsia="es-PA"/>
        </w:rPr>
        <w:t xml:space="preserve">. </w:t>
      </w:r>
    </w:p>
    <w:p w14:paraId="4783C494" w14:textId="77777777" w:rsidR="00175ABB" w:rsidRPr="00EA6C7A" w:rsidRDefault="00175ABB" w:rsidP="00175ABB">
      <w:pPr>
        <w:spacing w:line="240" w:lineRule="auto"/>
        <w:contextualSpacing/>
        <w:jc w:val="both"/>
        <w:rPr>
          <w:rFonts w:ascii="Verdana" w:eastAsia="Calibri" w:hAnsi="Verdana" w:cs="Tahoma"/>
          <w:bCs/>
          <w:color w:val="000000"/>
          <w:sz w:val="20"/>
          <w:szCs w:val="20"/>
          <w:shd w:val="clear" w:color="auto" w:fill="FFFFFF"/>
          <w:lang w:val="en-US"/>
        </w:rPr>
      </w:pPr>
    </w:p>
    <w:p w14:paraId="25193F0E" w14:textId="77777777" w:rsidR="005B652A" w:rsidRPr="00EA6C7A" w:rsidRDefault="005B652A" w:rsidP="00E11A7C">
      <w:pPr>
        <w:numPr>
          <w:ilvl w:val="0"/>
          <w:numId w:val="14"/>
        </w:numPr>
        <w:spacing w:line="240" w:lineRule="auto"/>
        <w:ind w:left="0" w:firstLine="0"/>
        <w:contextualSpacing/>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Consequently, I submit this concurring opinion in order to </w:t>
      </w:r>
      <w:r w:rsidR="00377858" w:rsidRPr="00EA6C7A">
        <w:rPr>
          <w:rFonts w:ascii="Verdana" w:eastAsia="Calibri" w:hAnsi="Verdana" w:cs="Tahoma"/>
          <w:bCs/>
          <w:color w:val="000000"/>
          <w:sz w:val="20"/>
          <w:szCs w:val="20"/>
          <w:shd w:val="clear" w:color="auto" w:fill="FFFFFF"/>
          <w:lang w:val="en-US"/>
        </w:rPr>
        <w:t>highlight</w:t>
      </w:r>
      <w:r w:rsidRPr="00EA6C7A">
        <w:rPr>
          <w:rFonts w:ascii="Verdana" w:eastAsia="Calibri" w:hAnsi="Verdana" w:cs="Tahoma"/>
          <w:bCs/>
          <w:color w:val="000000"/>
          <w:sz w:val="20"/>
          <w:szCs w:val="20"/>
          <w:shd w:val="clear" w:color="auto" w:fill="FFFFFF"/>
          <w:lang w:val="en-US"/>
        </w:rPr>
        <w:t xml:space="preserve"> some issues</w:t>
      </w:r>
      <w:r w:rsidR="00377858" w:rsidRPr="00EA6C7A">
        <w:rPr>
          <w:rFonts w:ascii="Verdana" w:eastAsia="Calibri" w:hAnsi="Verdana" w:cs="Tahoma"/>
          <w:bCs/>
          <w:color w:val="000000"/>
          <w:sz w:val="20"/>
          <w:szCs w:val="20"/>
          <w:shd w:val="clear" w:color="auto" w:fill="FFFFFF"/>
          <w:lang w:val="en-US"/>
        </w:rPr>
        <w:t xml:space="preserve"> that were relevant</w:t>
      </w:r>
      <w:r w:rsidRPr="00EA6C7A">
        <w:rPr>
          <w:rFonts w:ascii="Verdana" w:eastAsia="Calibri" w:hAnsi="Verdana" w:cs="Tahoma"/>
          <w:bCs/>
          <w:color w:val="000000"/>
          <w:sz w:val="20"/>
          <w:szCs w:val="20"/>
          <w:shd w:val="clear" w:color="auto" w:fill="FFFFFF"/>
          <w:lang w:val="en-US"/>
        </w:rPr>
        <w:t xml:space="preserve"> in the study and analysis</w:t>
      </w:r>
      <w:r w:rsidR="0065677A" w:rsidRPr="00EA6C7A">
        <w:rPr>
          <w:rFonts w:ascii="Verdana" w:eastAsia="Calibri" w:hAnsi="Verdana" w:cs="Tahoma"/>
          <w:bCs/>
          <w:color w:val="000000"/>
          <w:sz w:val="20"/>
          <w:szCs w:val="20"/>
          <w:shd w:val="clear" w:color="auto" w:fill="FFFFFF"/>
          <w:lang w:val="en-US"/>
        </w:rPr>
        <w:t xml:space="preserve"> made</w:t>
      </w:r>
      <w:r w:rsidRPr="00EA6C7A">
        <w:rPr>
          <w:rFonts w:ascii="Verdana" w:eastAsia="Calibri" w:hAnsi="Verdana" w:cs="Tahoma"/>
          <w:bCs/>
          <w:color w:val="000000"/>
          <w:sz w:val="20"/>
          <w:szCs w:val="20"/>
          <w:shd w:val="clear" w:color="auto" w:fill="FFFFFF"/>
          <w:lang w:val="en-US"/>
        </w:rPr>
        <w:t xml:space="preserve"> in this case</w:t>
      </w:r>
      <w:r w:rsidR="0065677A" w:rsidRPr="00EA6C7A">
        <w:rPr>
          <w:rFonts w:ascii="Verdana" w:eastAsia="Calibri" w:hAnsi="Verdana" w:cs="Tahoma"/>
          <w:bCs/>
          <w:color w:val="000000"/>
          <w:sz w:val="20"/>
          <w:szCs w:val="20"/>
          <w:shd w:val="clear" w:color="auto" w:fill="FFFFFF"/>
          <w:lang w:val="en-US"/>
        </w:rPr>
        <w:t xml:space="preserve"> of the State obligation of prevention</w:t>
      </w:r>
      <w:r w:rsidR="00377858" w:rsidRPr="00EA6C7A">
        <w:rPr>
          <w:rFonts w:ascii="Verdana" w:eastAsia="Calibri" w:hAnsi="Verdana" w:cs="Tahoma"/>
          <w:bCs/>
          <w:color w:val="000000"/>
          <w:sz w:val="20"/>
          <w:szCs w:val="20"/>
          <w:shd w:val="clear" w:color="auto" w:fill="FFFFFF"/>
          <w:lang w:val="en-US"/>
        </w:rPr>
        <w:t xml:space="preserve">, because I consider it pertinent to observe carefully the moment </w:t>
      </w:r>
      <w:r w:rsidR="0065677A" w:rsidRPr="00EA6C7A">
        <w:rPr>
          <w:rFonts w:ascii="Verdana" w:eastAsia="Calibri" w:hAnsi="Verdana" w:cs="Tahoma"/>
          <w:bCs/>
          <w:color w:val="000000"/>
          <w:sz w:val="20"/>
          <w:szCs w:val="20"/>
          <w:shd w:val="clear" w:color="auto" w:fill="FFFFFF"/>
          <w:lang w:val="en-US"/>
        </w:rPr>
        <w:t>in</w:t>
      </w:r>
      <w:r w:rsidR="00377858" w:rsidRPr="00EA6C7A">
        <w:rPr>
          <w:rFonts w:ascii="Verdana" w:eastAsia="Calibri" w:hAnsi="Verdana" w:cs="Tahoma"/>
          <w:bCs/>
          <w:color w:val="000000"/>
          <w:sz w:val="20"/>
          <w:szCs w:val="20"/>
          <w:shd w:val="clear" w:color="auto" w:fill="FFFFFF"/>
          <w:lang w:val="en-US"/>
        </w:rPr>
        <w:t xml:space="preserve"> the facts analyzed in the judgment at which the State’s international responsibility was constituted for failing to comply with its obligation of prevention – with special emphasis on the proven “context” of an increase in the disappearance and violent murder of women.</w:t>
      </w:r>
    </w:p>
    <w:p w14:paraId="5494B508" w14:textId="77777777" w:rsidR="00175ABB" w:rsidRPr="00EA6C7A" w:rsidRDefault="00175ABB" w:rsidP="00175ABB">
      <w:pPr>
        <w:spacing w:line="240" w:lineRule="auto"/>
        <w:contextualSpacing/>
        <w:jc w:val="both"/>
        <w:rPr>
          <w:rFonts w:ascii="Verdana" w:eastAsia="Calibri" w:hAnsi="Verdana" w:cs="Tahoma"/>
          <w:bCs/>
          <w:color w:val="000000"/>
          <w:sz w:val="20"/>
          <w:szCs w:val="20"/>
          <w:shd w:val="clear" w:color="auto" w:fill="FFFFFF"/>
          <w:lang w:val="en-US"/>
        </w:rPr>
      </w:pPr>
    </w:p>
    <w:p w14:paraId="67F1CF8B" w14:textId="77777777" w:rsidR="00175ABB" w:rsidRPr="00EA6C7A" w:rsidRDefault="00377858" w:rsidP="00E11A7C">
      <w:pPr>
        <w:numPr>
          <w:ilvl w:val="0"/>
          <w:numId w:val="14"/>
        </w:numPr>
        <w:spacing w:line="240" w:lineRule="auto"/>
        <w:ind w:left="0" w:firstLine="0"/>
        <w:contextualSpacing/>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I consider that this analysis should differ from the one made by the Court in previous cases,</w:t>
      </w:r>
      <w:r w:rsidR="00175ABB" w:rsidRPr="00EA6C7A">
        <w:rPr>
          <w:rFonts w:ascii="Verdana" w:eastAsia="Calibri" w:hAnsi="Verdana" w:cs="Tahoma"/>
          <w:bCs/>
          <w:color w:val="000000"/>
          <w:sz w:val="20"/>
          <w:szCs w:val="20"/>
          <w:shd w:val="clear" w:color="auto" w:fill="FFFFFF"/>
          <w:vertAlign w:val="superscript"/>
          <w:lang w:val="en-US"/>
        </w:rPr>
        <w:footnoteReference w:id="8"/>
      </w:r>
      <w:r w:rsidRPr="00EA6C7A">
        <w:rPr>
          <w:rFonts w:ascii="Verdana" w:eastAsia="Calibri" w:hAnsi="Verdana" w:cs="Tahoma"/>
          <w:bCs/>
          <w:color w:val="000000"/>
          <w:sz w:val="20"/>
          <w:szCs w:val="20"/>
          <w:shd w:val="clear" w:color="auto" w:fill="FFFFFF"/>
          <w:lang w:val="en-US"/>
        </w:rPr>
        <w:t xml:space="preserve"> </w:t>
      </w:r>
      <w:r w:rsidR="0065677A" w:rsidRPr="00EA6C7A">
        <w:rPr>
          <w:rFonts w:ascii="Verdana" w:eastAsia="Calibri" w:hAnsi="Verdana" w:cs="Tahoma"/>
          <w:bCs/>
          <w:color w:val="000000"/>
          <w:sz w:val="20"/>
          <w:szCs w:val="20"/>
          <w:shd w:val="clear" w:color="auto" w:fill="FFFFFF"/>
          <w:lang w:val="en-US"/>
        </w:rPr>
        <w:t xml:space="preserve">and </w:t>
      </w:r>
      <w:r w:rsidRPr="00EA6C7A">
        <w:rPr>
          <w:rFonts w:ascii="Verdana" w:eastAsia="Calibri" w:hAnsi="Verdana" w:cs="Tahoma"/>
          <w:bCs/>
          <w:color w:val="000000"/>
          <w:sz w:val="20"/>
          <w:szCs w:val="20"/>
          <w:shd w:val="clear" w:color="auto" w:fill="FFFFFF"/>
          <w:lang w:val="en-US"/>
        </w:rPr>
        <w:t xml:space="preserve">accord greater relevance to the “first moment” of this general obligation of prevention (State actions </w:t>
      </w:r>
      <w:r w:rsidR="0001699C" w:rsidRPr="00EA6C7A">
        <w:rPr>
          <w:rFonts w:ascii="Verdana" w:eastAsia="Calibri" w:hAnsi="Verdana" w:cs="Tahoma"/>
          <w:bCs/>
          <w:color w:val="000000"/>
          <w:sz w:val="20"/>
          <w:szCs w:val="20"/>
          <w:shd w:val="clear" w:color="auto" w:fill="FFFFFF"/>
          <w:lang w:val="en-US"/>
        </w:rPr>
        <w:t>before the</w:t>
      </w:r>
      <w:r w:rsidRPr="00EA6C7A">
        <w:rPr>
          <w:rFonts w:ascii="Verdana" w:eastAsia="Calibri" w:hAnsi="Verdana" w:cs="Tahoma"/>
          <w:bCs/>
          <w:color w:val="000000"/>
          <w:sz w:val="20"/>
          <w:szCs w:val="20"/>
          <w:shd w:val="clear" w:color="auto" w:fill="FFFFFF"/>
          <w:lang w:val="en-US"/>
        </w:rPr>
        <w:t xml:space="preserve"> victim went missing), which evidently conditione</w:t>
      </w:r>
      <w:r w:rsidR="0065677A" w:rsidRPr="00EA6C7A">
        <w:rPr>
          <w:rFonts w:ascii="Verdana" w:eastAsia="Calibri" w:hAnsi="Verdana" w:cs="Tahoma"/>
          <w:bCs/>
          <w:color w:val="000000"/>
          <w:sz w:val="20"/>
          <w:szCs w:val="20"/>
          <w:shd w:val="clear" w:color="auto" w:fill="FFFFFF"/>
          <w:lang w:val="en-US"/>
        </w:rPr>
        <w:t>d</w:t>
      </w:r>
      <w:r w:rsidRPr="00EA6C7A">
        <w:rPr>
          <w:rFonts w:ascii="Verdana" w:eastAsia="Calibri" w:hAnsi="Verdana" w:cs="Tahoma"/>
          <w:bCs/>
          <w:color w:val="000000"/>
          <w:sz w:val="20"/>
          <w:szCs w:val="20"/>
          <w:shd w:val="clear" w:color="auto" w:fill="FFFFFF"/>
          <w:lang w:val="en-US"/>
        </w:rPr>
        <w:t xml:space="preserve"> the State’s actions during the “second moment” (State actions between the time of the family’s report and the discovery of the victim’s body), as I will try to explain in this opinion</w:t>
      </w:r>
      <w:r w:rsidR="00175ABB"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 xml:space="preserve">And I will do so, </w:t>
      </w:r>
      <w:r w:rsidR="0065677A" w:rsidRPr="00EA6C7A">
        <w:rPr>
          <w:rFonts w:ascii="Verdana" w:eastAsia="Calibri" w:hAnsi="Verdana" w:cs="Tahoma"/>
          <w:bCs/>
          <w:color w:val="000000"/>
          <w:sz w:val="20"/>
          <w:szCs w:val="20"/>
          <w:shd w:val="clear" w:color="auto" w:fill="FFFFFF"/>
          <w:lang w:val="en-US"/>
        </w:rPr>
        <w:t>based on</w:t>
      </w:r>
      <w:r w:rsidRPr="00EA6C7A">
        <w:rPr>
          <w:rFonts w:ascii="Verdana" w:eastAsia="Calibri" w:hAnsi="Verdana" w:cs="Tahoma"/>
          <w:bCs/>
          <w:color w:val="000000"/>
          <w:sz w:val="20"/>
          <w:szCs w:val="20"/>
          <w:shd w:val="clear" w:color="auto" w:fill="FFFFFF"/>
          <w:lang w:val="en-US"/>
        </w:rPr>
        <w:t xml:space="preserve"> the </w:t>
      </w:r>
      <w:r w:rsidR="0065677A" w:rsidRPr="00EA6C7A">
        <w:rPr>
          <w:rFonts w:ascii="Verdana" w:eastAsia="Calibri" w:hAnsi="Verdana" w:cs="Tahoma"/>
          <w:bCs/>
          <w:color w:val="000000"/>
          <w:sz w:val="20"/>
          <w:szCs w:val="20"/>
          <w:shd w:val="clear" w:color="auto" w:fill="FFFFFF"/>
          <w:lang w:val="en-US"/>
        </w:rPr>
        <w:t>criterion</w:t>
      </w:r>
      <w:r w:rsidRPr="00EA6C7A">
        <w:rPr>
          <w:rFonts w:ascii="Verdana" w:eastAsia="Calibri" w:hAnsi="Verdana" w:cs="Tahoma"/>
          <w:bCs/>
          <w:color w:val="000000"/>
          <w:sz w:val="20"/>
          <w:szCs w:val="20"/>
          <w:shd w:val="clear" w:color="auto" w:fill="FFFFFF"/>
          <w:lang w:val="en-US"/>
        </w:rPr>
        <w:t xml:space="preserve"> of the “two moments” of the obligation of prevention established in the two previous cases on this matter, interpreted in light of the State’s obligations established in </w:t>
      </w:r>
      <w:r w:rsidR="0096418F" w:rsidRPr="00EA6C7A">
        <w:rPr>
          <w:rFonts w:ascii="Verdana" w:eastAsia="Calibri" w:hAnsi="Verdana" w:cs="Tahoma"/>
          <w:bCs/>
          <w:color w:val="000000"/>
          <w:sz w:val="20"/>
          <w:szCs w:val="20"/>
          <w:shd w:val="clear" w:color="auto" w:fill="FFFFFF"/>
          <w:lang w:val="en-US"/>
        </w:rPr>
        <w:t>the American Convention</w:t>
      </w:r>
      <w:r w:rsidR="00D948A1" w:rsidRPr="00EA6C7A">
        <w:rPr>
          <w:rFonts w:ascii="Verdana" w:eastAsia="Calibri" w:hAnsi="Verdana" w:cs="Tahoma"/>
          <w:bCs/>
          <w:color w:val="000000"/>
          <w:sz w:val="20"/>
          <w:szCs w:val="20"/>
          <w:shd w:val="clear" w:color="auto" w:fill="FFFFFF"/>
          <w:lang w:val="en-US"/>
        </w:rPr>
        <w:t xml:space="preserve"> and </w:t>
      </w:r>
      <w:r w:rsidR="00175ABB" w:rsidRPr="00EA6C7A">
        <w:rPr>
          <w:rFonts w:ascii="Verdana" w:eastAsia="Calibri" w:hAnsi="Verdana" w:cs="Tahoma"/>
          <w:bCs/>
          <w:color w:val="000000"/>
          <w:sz w:val="20"/>
          <w:szCs w:val="20"/>
          <w:shd w:val="clear" w:color="auto" w:fill="FFFFFF"/>
          <w:lang w:val="en-US"/>
        </w:rPr>
        <w:t>particular</w:t>
      </w:r>
      <w:r w:rsidRPr="00EA6C7A">
        <w:rPr>
          <w:rFonts w:ascii="Verdana" w:eastAsia="Calibri" w:hAnsi="Verdana" w:cs="Tahoma"/>
          <w:bCs/>
          <w:color w:val="000000"/>
          <w:sz w:val="20"/>
          <w:szCs w:val="20"/>
          <w:shd w:val="clear" w:color="auto" w:fill="FFFFFF"/>
          <w:lang w:val="en-US"/>
        </w:rPr>
        <w:t>ly</w:t>
      </w:r>
      <w:r w:rsidR="00175ABB"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in</w:t>
      </w:r>
      <w:r w:rsidR="001914FC" w:rsidRPr="00EA6C7A">
        <w:rPr>
          <w:rFonts w:ascii="Verdana" w:eastAsia="Calibri" w:hAnsi="Verdana" w:cs="Tahoma"/>
          <w:bCs/>
          <w:color w:val="000000"/>
          <w:sz w:val="20"/>
          <w:szCs w:val="20"/>
          <w:shd w:val="clear" w:color="auto" w:fill="FFFFFF"/>
          <w:lang w:val="en-US"/>
        </w:rPr>
        <w:t xml:space="preserve"> Article</w:t>
      </w:r>
      <w:r w:rsidR="00175ABB" w:rsidRPr="00EA6C7A">
        <w:rPr>
          <w:rFonts w:ascii="Verdana" w:eastAsia="Calibri" w:hAnsi="Verdana" w:cs="Tahoma"/>
          <w:bCs/>
          <w:color w:val="000000"/>
          <w:sz w:val="20"/>
          <w:szCs w:val="20"/>
          <w:shd w:val="clear" w:color="auto" w:fill="FFFFFF"/>
          <w:lang w:val="en-US"/>
        </w:rPr>
        <w:t xml:space="preserve"> 7 </w:t>
      </w:r>
      <w:r w:rsidRPr="00EA6C7A">
        <w:rPr>
          <w:rFonts w:ascii="Verdana" w:eastAsia="Calibri" w:hAnsi="Verdana" w:cs="Tahoma"/>
          <w:bCs/>
          <w:color w:val="000000"/>
          <w:sz w:val="20"/>
          <w:szCs w:val="20"/>
          <w:shd w:val="clear" w:color="auto" w:fill="FFFFFF"/>
          <w:lang w:val="en-US"/>
        </w:rPr>
        <w:t>of the</w:t>
      </w:r>
      <w:r w:rsidR="00175ABB" w:rsidRPr="00EA6C7A">
        <w:rPr>
          <w:rFonts w:ascii="Verdana" w:eastAsia="Calibri" w:hAnsi="Verdana" w:cs="Tahoma"/>
          <w:bCs/>
          <w:color w:val="000000"/>
          <w:sz w:val="20"/>
          <w:szCs w:val="20"/>
          <w:shd w:val="clear" w:color="auto" w:fill="FFFFFF"/>
          <w:lang w:val="en-US"/>
        </w:rPr>
        <w:t xml:space="preserve"> “</w:t>
      </w:r>
      <w:r w:rsidR="00F912BD" w:rsidRPr="00EA6C7A">
        <w:rPr>
          <w:rFonts w:ascii="Verdana" w:eastAsia="Calibri" w:hAnsi="Verdana" w:cs="Tahoma"/>
          <w:bCs/>
          <w:color w:val="000000"/>
          <w:sz w:val="20"/>
          <w:szCs w:val="20"/>
          <w:shd w:val="clear" w:color="auto" w:fill="FFFFFF"/>
          <w:lang w:val="en-US"/>
        </w:rPr>
        <w:t>Convention of</w:t>
      </w:r>
      <w:r w:rsidR="00175ABB" w:rsidRPr="00EA6C7A">
        <w:rPr>
          <w:rFonts w:ascii="Verdana" w:eastAsia="Calibri" w:hAnsi="Verdana" w:cs="Tahoma"/>
          <w:bCs/>
          <w:color w:val="000000"/>
          <w:sz w:val="20"/>
          <w:szCs w:val="20"/>
          <w:shd w:val="clear" w:color="auto" w:fill="FFFFFF"/>
          <w:lang w:val="en-US"/>
        </w:rPr>
        <w:t xml:space="preserve"> Belém do Pará</w:t>
      </w:r>
      <w:r w:rsidR="00D5307F" w:rsidRPr="00EA6C7A">
        <w:rPr>
          <w:rFonts w:ascii="Verdana" w:eastAsia="Calibri" w:hAnsi="Verdana" w:cs="Tahoma"/>
          <w:bCs/>
          <w:color w:val="000000"/>
          <w:sz w:val="20"/>
          <w:szCs w:val="20"/>
          <w:shd w:val="clear" w:color="auto" w:fill="FFFFFF"/>
          <w:lang w:val="en-US"/>
        </w:rPr>
        <w:t>,</w:t>
      </w:r>
      <w:r w:rsidR="00175ABB" w:rsidRPr="00EA6C7A">
        <w:rPr>
          <w:rFonts w:ascii="Verdana" w:eastAsia="Calibri" w:hAnsi="Verdana" w:cs="Tahoma"/>
          <w:bCs/>
          <w:color w:val="000000"/>
          <w:sz w:val="20"/>
          <w:szCs w:val="20"/>
          <w:shd w:val="clear" w:color="auto" w:fill="FFFFFF"/>
          <w:lang w:val="en-US"/>
        </w:rPr>
        <w:t>”</w:t>
      </w:r>
      <w:r w:rsidR="00D5307F" w:rsidRPr="00EA6C7A">
        <w:rPr>
          <w:rFonts w:ascii="Verdana" w:eastAsia="Calibri" w:hAnsi="Verdana" w:cs="Tahoma"/>
          <w:bCs/>
          <w:color w:val="000000"/>
          <w:sz w:val="20"/>
          <w:szCs w:val="20"/>
          <w:shd w:val="clear" w:color="auto" w:fill="FFFFFF"/>
          <w:lang w:val="en-US"/>
        </w:rPr>
        <w:t xml:space="preserve"> bearing in mind that Guatemala ratified this treaty on January 4,</w:t>
      </w:r>
      <w:r w:rsidR="00175ABB" w:rsidRPr="00EA6C7A">
        <w:rPr>
          <w:rFonts w:ascii="Verdana" w:eastAsia="Calibri" w:hAnsi="Verdana" w:cs="Tahoma"/>
          <w:bCs/>
          <w:color w:val="000000"/>
          <w:sz w:val="20"/>
          <w:szCs w:val="20"/>
          <w:shd w:val="clear" w:color="auto" w:fill="FFFFFF"/>
          <w:lang w:val="en-US"/>
        </w:rPr>
        <w:t xml:space="preserve"> 1995</w:t>
      </w:r>
      <w:r w:rsidR="00D5307F" w:rsidRPr="00EA6C7A">
        <w:rPr>
          <w:rFonts w:ascii="Verdana" w:eastAsia="Calibri" w:hAnsi="Verdana" w:cs="Tahoma"/>
          <w:bCs/>
          <w:color w:val="000000"/>
          <w:sz w:val="20"/>
          <w:szCs w:val="20"/>
          <w:shd w:val="clear" w:color="auto" w:fill="FFFFFF"/>
          <w:lang w:val="en-US"/>
        </w:rPr>
        <w:t>, with no reservations or limitations.</w:t>
      </w:r>
    </w:p>
    <w:p w14:paraId="42B3E6F4" w14:textId="77777777" w:rsidR="001D1864" w:rsidRPr="00EA6C7A" w:rsidRDefault="001D1864" w:rsidP="001D1864">
      <w:pPr>
        <w:spacing w:line="240" w:lineRule="auto"/>
        <w:contextualSpacing/>
        <w:jc w:val="both"/>
        <w:rPr>
          <w:rFonts w:ascii="Verdana" w:eastAsia="Calibri" w:hAnsi="Verdana" w:cs="Tahoma"/>
          <w:bCs/>
          <w:color w:val="000000"/>
          <w:sz w:val="20"/>
          <w:szCs w:val="20"/>
          <w:shd w:val="clear" w:color="auto" w:fill="FFFFFF"/>
          <w:lang w:val="en-US"/>
        </w:rPr>
      </w:pPr>
    </w:p>
    <w:p w14:paraId="0AB00838" w14:textId="77777777" w:rsidR="00175ABB" w:rsidRPr="00EA6C7A" w:rsidRDefault="00175ABB" w:rsidP="00175ABB">
      <w:pPr>
        <w:spacing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6. </w:t>
      </w:r>
      <w:r w:rsidRPr="00EA6C7A">
        <w:rPr>
          <w:rFonts w:ascii="Verdana" w:eastAsia="Calibri" w:hAnsi="Verdana" w:cs="Tahoma"/>
          <w:bCs/>
          <w:color w:val="000000"/>
          <w:sz w:val="20"/>
          <w:szCs w:val="20"/>
          <w:shd w:val="clear" w:color="auto" w:fill="FFFFFF"/>
          <w:lang w:val="en-US"/>
        </w:rPr>
        <w:tab/>
      </w:r>
      <w:r w:rsidR="00D5307F" w:rsidRPr="00EA6C7A">
        <w:rPr>
          <w:rFonts w:ascii="Verdana" w:eastAsia="Calibri" w:hAnsi="Verdana" w:cs="Tahoma"/>
          <w:bCs/>
          <w:color w:val="000000"/>
          <w:sz w:val="20"/>
          <w:szCs w:val="20"/>
          <w:shd w:val="clear" w:color="auto" w:fill="FFFFFF"/>
          <w:lang w:val="en-US"/>
        </w:rPr>
        <w:t xml:space="preserve">For greater clarity, this opinion is divided into the following sections: </w:t>
      </w:r>
      <w:r w:rsidRPr="00EA6C7A">
        <w:rPr>
          <w:rFonts w:ascii="Verdana" w:eastAsia="Calibri" w:hAnsi="Verdana" w:cs="Tahoma"/>
          <w:bCs/>
          <w:color w:val="000000"/>
          <w:sz w:val="20"/>
          <w:szCs w:val="20"/>
          <w:shd w:val="clear" w:color="auto" w:fill="FFFFFF"/>
          <w:lang w:val="en-US"/>
        </w:rPr>
        <w:t xml:space="preserve">I. </w:t>
      </w:r>
      <w:r w:rsidR="00D5307F" w:rsidRPr="00EA6C7A">
        <w:rPr>
          <w:rFonts w:ascii="Verdana" w:eastAsia="Calibri" w:hAnsi="Verdana" w:cs="Tahoma"/>
          <w:bCs/>
          <w:color w:val="000000"/>
          <w:sz w:val="20"/>
          <w:szCs w:val="20"/>
          <w:shd w:val="clear" w:color="auto" w:fill="FFFFFF"/>
          <w:lang w:val="en-US"/>
        </w:rPr>
        <w:t>The</w:t>
      </w:r>
      <w:r w:rsidRPr="00EA6C7A">
        <w:rPr>
          <w:rFonts w:ascii="Verdana" w:eastAsia="Calibri" w:hAnsi="Verdana" w:cs="Tahoma"/>
          <w:bCs/>
          <w:color w:val="000000"/>
          <w:sz w:val="20"/>
          <w:szCs w:val="20"/>
          <w:shd w:val="clear" w:color="auto" w:fill="FFFFFF"/>
          <w:lang w:val="en-US"/>
        </w:rPr>
        <w:t xml:space="preserve"> “</w:t>
      </w:r>
      <w:r w:rsidR="00F912BD" w:rsidRPr="00EA6C7A">
        <w:rPr>
          <w:rFonts w:ascii="Verdana" w:eastAsia="Calibri" w:hAnsi="Verdana" w:cs="Tahoma"/>
          <w:bCs/>
          <w:color w:val="000000"/>
          <w:sz w:val="20"/>
          <w:szCs w:val="20"/>
          <w:shd w:val="clear" w:color="auto" w:fill="FFFFFF"/>
          <w:lang w:val="en-US"/>
        </w:rPr>
        <w:t>Convention of</w:t>
      </w:r>
      <w:r w:rsidRPr="00EA6C7A">
        <w:rPr>
          <w:rFonts w:ascii="Verdana" w:eastAsia="Calibri" w:hAnsi="Verdana" w:cs="Tahoma"/>
          <w:bCs/>
          <w:color w:val="000000"/>
          <w:sz w:val="20"/>
          <w:szCs w:val="20"/>
          <w:shd w:val="clear" w:color="auto" w:fill="FFFFFF"/>
          <w:lang w:val="en-US"/>
        </w:rPr>
        <w:t xml:space="preserve"> Belém do Pará” </w:t>
      </w:r>
      <w:r w:rsidR="00D5307F" w:rsidRPr="00EA6C7A">
        <w:rPr>
          <w:rFonts w:ascii="Verdana" w:eastAsia="Calibri" w:hAnsi="Verdana" w:cs="Tahoma"/>
          <w:bCs/>
          <w:color w:val="000000"/>
          <w:sz w:val="20"/>
          <w:szCs w:val="20"/>
          <w:shd w:val="clear" w:color="auto" w:fill="FFFFFF"/>
          <w:lang w:val="en-US"/>
        </w:rPr>
        <w:t>in the case law of the Inter-American Court</w:t>
      </w:r>
      <w:r w:rsidR="0096418F"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w:t>
      </w:r>
      <w:r w:rsidR="008524CB" w:rsidRPr="00EA6C7A">
        <w:rPr>
          <w:rFonts w:ascii="Verdana" w:eastAsia="Calibri" w:hAnsi="Verdana" w:cs="Tahoma"/>
          <w:bCs/>
          <w:color w:val="000000"/>
          <w:sz w:val="20"/>
          <w:szCs w:val="20"/>
          <w:shd w:val="clear" w:color="auto" w:fill="FFFFFF"/>
          <w:lang w:val="en-US"/>
        </w:rPr>
        <w:t>paras.</w:t>
      </w:r>
      <w:r w:rsidRPr="00EA6C7A">
        <w:rPr>
          <w:rFonts w:ascii="Verdana" w:eastAsia="Calibri" w:hAnsi="Verdana" w:cs="Tahoma"/>
          <w:bCs/>
          <w:color w:val="000000"/>
          <w:sz w:val="20"/>
          <w:szCs w:val="20"/>
          <w:shd w:val="clear" w:color="auto" w:fill="FFFFFF"/>
          <w:lang w:val="en-US"/>
        </w:rPr>
        <w:t xml:space="preserve"> 7 </w:t>
      </w:r>
      <w:r w:rsidR="00D5307F" w:rsidRPr="00EA6C7A">
        <w:rPr>
          <w:rFonts w:ascii="Verdana" w:eastAsia="Calibri" w:hAnsi="Verdana" w:cs="Tahoma"/>
          <w:bCs/>
          <w:color w:val="000000"/>
          <w:sz w:val="20"/>
          <w:szCs w:val="20"/>
          <w:shd w:val="clear" w:color="auto" w:fill="FFFFFF"/>
          <w:lang w:val="en-US"/>
        </w:rPr>
        <w:t>to</w:t>
      </w:r>
      <w:r w:rsidRPr="00EA6C7A">
        <w:rPr>
          <w:rFonts w:ascii="Verdana" w:eastAsia="Calibri" w:hAnsi="Verdana" w:cs="Tahoma"/>
          <w:bCs/>
          <w:color w:val="000000"/>
          <w:sz w:val="20"/>
          <w:szCs w:val="20"/>
          <w:shd w:val="clear" w:color="auto" w:fill="FFFFFF"/>
          <w:lang w:val="en-US"/>
        </w:rPr>
        <w:t xml:space="preserve"> 16); II. </w:t>
      </w:r>
      <w:r w:rsidR="00D5307F" w:rsidRPr="00EA6C7A">
        <w:rPr>
          <w:rFonts w:ascii="Verdana" w:eastAsia="Calibri" w:hAnsi="Verdana" w:cs="Tahoma"/>
          <w:sz w:val="20"/>
          <w:szCs w:val="20"/>
          <w:lang w:val="en-US"/>
        </w:rPr>
        <w:t>The</w:t>
      </w:r>
      <w:r w:rsidRPr="00EA6C7A">
        <w:rPr>
          <w:rFonts w:ascii="Verdana" w:eastAsia="Calibri" w:hAnsi="Verdana" w:cs="Tahoma"/>
          <w:sz w:val="20"/>
          <w:szCs w:val="20"/>
          <w:lang w:val="en-US"/>
        </w:rPr>
        <w:t xml:space="preserve"> “</w:t>
      </w:r>
      <w:r w:rsidR="00D5307F" w:rsidRPr="00EA6C7A">
        <w:rPr>
          <w:rFonts w:ascii="Verdana" w:eastAsia="Calibri" w:hAnsi="Verdana" w:cs="Tahoma"/>
          <w:sz w:val="20"/>
          <w:szCs w:val="20"/>
          <w:lang w:val="en-US"/>
        </w:rPr>
        <w:t>obligation of prevention</w:t>
      </w:r>
      <w:r w:rsidRPr="00EA6C7A">
        <w:rPr>
          <w:rFonts w:ascii="Verdana" w:eastAsia="Calibri" w:hAnsi="Verdana" w:cs="Tahoma"/>
          <w:sz w:val="20"/>
          <w:szCs w:val="20"/>
          <w:lang w:val="en-US"/>
        </w:rPr>
        <w:t>”</w:t>
      </w:r>
      <w:r w:rsidR="00D948A1" w:rsidRPr="00EA6C7A">
        <w:rPr>
          <w:rFonts w:ascii="Verdana" w:eastAsia="Calibri" w:hAnsi="Verdana" w:cs="Tahoma"/>
          <w:sz w:val="20"/>
          <w:szCs w:val="20"/>
          <w:lang w:val="en-US"/>
        </w:rPr>
        <w:t xml:space="preserve"> and </w:t>
      </w:r>
      <w:r w:rsidR="00D5307F" w:rsidRPr="00EA6C7A">
        <w:rPr>
          <w:rFonts w:ascii="Verdana" w:eastAsia="Calibri" w:hAnsi="Verdana" w:cs="Tahoma"/>
          <w:sz w:val="20"/>
          <w:szCs w:val="20"/>
          <w:lang w:val="en-US"/>
        </w:rPr>
        <w:t>its</w:t>
      </w:r>
      <w:r w:rsidRPr="00EA6C7A">
        <w:rPr>
          <w:rFonts w:ascii="Verdana" w:eastAsia="Calibri" w:hAnsi="Verdana" w:cs="Tahoma"/>
          <w:sz w:val="20"/>
          <w:szCs w:val="20"/>
          <w:lang w:val="en-US"/>
        </w:rPr>
        <w:t xml:space="preserve"> “</w:t>
      </w:r>
      <w:r w:rsidR="00D5307F" w:rsidRPr="00EA6C7A">
        <w:rPr>
          <w:rFonts w:ascii="Verdana" w:eastAsia="Calibri" w:hAnsi="Verdana" w:cs="Tahoma"/>
          <w:sz w:val="20"/>
          <w:szCs w:val="20"/>
          <w:lang w:val="en-US"/>
        </w:rPr>
        <w:t>two moments</w:t>
      </w:r>
      <w:r w:rsidRPr="00EA6C7A">
        <w:rPr>
          <w:rFonts w:ascii="Verdana" w:eastAsia="Calibri" w:hAnsi="Verdana" w:cs="Tahoma"/>
          <w:sz w:val="20"/>
          <w:szCs w:val="20"/>
          <w:lang w:val="en-US"/>
        </w:rPr>
        <w:t xml:space="preserve">” </w:t>
      </w:r>
      <w:r w:rsidR="00D5307F" w:rsidRPr="00EA6C7A">
        <w:rPr>
          <w:rFonts w:ascii="Verdana" w:eastAsia="Calibri" w:hAnsi="Verdana" w:cs="Tahoma"/>
          <w:sz w:val="20"/>
          <w:szCs w:val="20"/>
          <w:lang w:val="en-US"/>
        </w:rPr>
        <w:t>in the cases of</w:t>
      </w:r>
      <w:r w:rsidRPr="00EA6C7A">
        <w:rPr>
          <w:rFonts w:ascii="Verdana" w:eastAsia="Calibri" w:hAnsi="Verdana" w:cs="Tahoma"/>
          <w:sz w:val="20"/>
          <w:szCs w:val="20"/>
          <w:lang w:val="en-US"/>
        </w:rPr>
        <w:t xml:space="preserve"> </w:t>
      </w:r>
      <w:r w:rsidR="008B402D" w:rsidRPr="00EA6C7A">
        <w:rPr>
          <w:rFonts w:ascii="Verdana" w:eastAsia="Calibri" w:hAnsi="Verdana" w:cs="Tahoma"/>
          <w:bCs/>
          <w:i/>
          <w:color w:val="000000"/>
          <w:sz w:val="20"/>
          <w:szCs w:val="20"/>
          <w:shd w:val="clear" w:color="auto" w:fill="FFFFFF"/>
          <w:lang w:val="en-US"/>
        </w:rPr>
        <w:t>González et al.</w:t>
      </w:r>
      <w:r w:rsidRPr="00EA6C7A">
        <w:rPr>
          <w:rFonts w:ascii="Verdana" w:eastAsia="Calibri" w:hAnsi="Verdana" w:cs="Tahoma"/>
          <w:bCs/>
          <w:i/>
          <w:color w:val="000000"/>
          <w:sz w:val="20"/>
          <w:szCs w:val="20"/>
          <w:shd w:val="clear" w:color="auto" w:fill="FFFFFF"/>
          <w:lang w:val="en-US"/>
        </w:rPr>
        <w:t xml:space="preserve"> </w:t>
      </w:r>
      <w:r w:rsidRPr="00EA6C7A">
        <w:rPr>
          <w:rFonts w:ascii="Verdana" w:eastAsia="Calibri" w:hAnsi="Verdana" w:cs="Tahoma"/>
          <w:bCs/>
          <w:i/>
          <w:color w:val="000000"/>
          <w:sz w:val="20"/>
          <w:szCs w:val="20"/>
          <w:shd w:val="clear" w:color="auto" w:fill="FFFFFF"/>
        </w:rPr>
        <w:t>(“</w:t>
      </w:r>
      <w:r w:rsidR="001914FC" w:rsidRPr="00EA6C7A">
        <w:rPr>
          <w:rFonts w:ascii="Verdana" w:eastAsia="Calibri" w:hAnsi="Verdana" w:cs="Tahoma"/>
          <w:bCs/>
          <w:i/>
          <w:color w:val="000000"/>
          <w:sz w:val="20"/>
          <w:szCs w:val="20"/>
          <w:shd w:val="clear" w:color="auto" w:fill="FFFFFF"/>
        </w:rPr>
        <w:t>Cotton Field</w:t>
      </w:r>
      <w:r w:rsidRPr="00EA6C7A">
        <w:rPr>
          <w:rFonts w:ascii="Verdana" w:eastAsia="Calibri" w:hAnsi="Verdana" w:cs="Tahoma"/>
          <w:bCs/>
          <w:i/>
          <w:color w:val="000000"/>
          <w:sz w:val="20"/>
          <w:szCs w:val="20"/>
          <w:shd w:val="clear" w:color="auto" w:fill="FFFFFF"/>
        </w:rPr>
        <w:t xml:space="preserve">”) </w:t>
      </w:r>
      <w:r w:rsidR="001914FC" w:rsidRPr="00EA6C7A">
        <w:rPr>
          <w:rFonts w:ascii="Verdana" w:eastAsia="Calibri" w:hAnsi="Verdana" w:cs="Tahoma"/>
          <w:bCs/>
          <w:i/>
          <w:color w:val="000000"/>
          <w:sz w:val="20"/>
          <w:szCs w:val="20"/>
          <w:shd w:val="clear" w:color="auto" w:fill="FFFFFF"/>
        </w:rPr>
        <w:t>v.</w:t>
      </w:r>
      <w:r w:rsidRPr="00EA6C7A">
        <w:rPr>
          <w:rFonts w:ascii="Verdana" w:eastAsia="Calibri" w:hAnsi="Verdana" w:cs="Tahoma"/>
          <w:bCs/>
          <w:i/>
          <w:color w:val="000000"/>
          <w:sz w:val="20"/>
          <w:szCs w:val="20"/>
          <w:shd w:val="clear" w:color="auto" w:fill="FFFFFF"/>
        </w:rPr>
        <w:t xml:space="preserve"> </w:t>
      </w:r>
      <w:proofErr w:type="spellStart"/>
      <w:r w:rsidR="001914FC" w:rsidRPr="00EA6C7A">
        <w:rPr>
          <w:rFonts w:ascii="Verdana" w:eastAsia="Calibri" w:hAnsi="Verdana" w:cs="Tahoma"/>
          <w:bCs/>
          <w:i/>
          <w:color w:val="000000"/>
          <w:sz w:val="20"/>
          <w:szCs w:val="20"/>
          <w:shd w:val="clear" w:color="auto" w:fill="FFFFFF"/>
        </w:rPr>
        <w:t>Mexico</w:t>
      </w:r>
      <w:proofErr w:type="spellEnd"/>
      <w:r w:rsidRPr="00EA6C7A">
        <w:rPr>
          <w:rFonts w:ascii="Verdana" w:eastAsia="Calibri" w:hAnsi="Verdana" w:cs="Tahoma"/>
          <w:bCs/>
          <w:color w:val="000000"/>
          <w:sz w:val="20"/>
          <w:szCs w:val="20"/>
          <w:shd w:val="clear" w:color="auto" w:fill="FFFFFF"/>
        </w:rPr>
        <w:t xml:space="preserve"> (2009)</w:t>
      </w:r>
      <w:r w:rsidRPr="00EA6C7A">
        <w:rPr>
          <w:rFonts w:ascii="Verdana" w:eastAsia="Calibri" w:hAnsi="Verdana" w:cs="Tahoma"/>
          <w:bCs/>
          <w:i/>
          <w:color w:val="000000"/>
          <w:sz w:val="20"/>
          <w:szCs w:val="20"/>
          <w:shd w:val="clear" w:color="auto" w:fill="FFFFFF"/>
        </w:rPr>
        <w:t>,</w:t>
      </w:r>
      <w:r w:rsidR="00D948A1" w:rsidRPr="00EA6C7A">
        <w:rPr>
          <w:rFonts w:ascii="Verdana" w:eastAsia="Calibri" w:hAnsi="Verdana" w:cs="Tahoma"/>
          <w:bCs/>
          <w:i/>
          <w:color w:val="000000"/>
          <w:sz w:val="20"/>
          <w:szCs w:val="20"/>
          <w:shd w:val="clear" w:color="auto" w:fill="FFFFFF"/>
        </w:rPr>
        <w:t xml:space="preserve"> </w:t>
      </w:r>
      <w:r w:rsidR="00D948A1" w:rsidRPr="00EA6C7A">
        <w:rPr>
          <w:rFonts w:ascii="Verdana" w:eastAsia="Calibri" w:hAnsi="Verdana" w:cs="Tahoma"/>
          <w:bCs/>
          <w:iCs/>
          <w:color w:val="000000"/>
          <w:sz w:val="20"/>
          <w:szCs w:val="20"/>
          <w:shd w:val="clear" w:color="auto" w:fill="FFFFFF"/>
        </w:rPr>
        <w:t xml:space="preserve">and </w:t>
      </w:r>
      <w:r w:rsidRPr="00EA6C7A">
        <w:rPr>
          <w:rFonts w:ascii="Verdana" w:eastAsia="Calibri" w:hAnsi="Verdana" w:cs="Tahoma"/>
          <w:bCs/>
          <w:i/>
          <w:color w:val="000000"/>
          <w:sz w:val="20"/>
          <w:szCs w:val="20"/>
          <w:shd w:val="clear" w:color="auto" w:fill="FFFFFF"/>
        </w:rPr>
        <w:t xml:space="preserve">Veliz Franco </w:t>
      </w:r>
      <w:r w:rsidR="001914FC" w:rsidRPr="00EA6C7A">
        <w:rPr>
          <w:rFonts w:ascii="Verdana" w:eastAsia="Calibri" w:hAnsi="Verdana" w:cs="Tahoma"/>
          <w:bCs/>
          <w:i/>
          <w:color w:val="000000"/>
          <w:sz w:val="20"/>
          <w:szCs w:val="20"/>
          <w:shd w:val="clear" w:color="auto" w:fill="FFFFFF"/>
        </w:rPr>
        <w:t>et al. v.</w:t>
      </w:r>
      <w:r w:rsidRPr="00EA6C7A">
        <w:rPr>
          <w:rFonts w:ascii="Verdana" w:eastAsia="Calibri" w:hAnsi="Verdana" w:cs="Tahoma"/>
          <w:bCs/>
          <w:i/>
          <w:color w:val="000000"/>
          <w:sz w:val="20"/>
          <w:szCs w:val="20"/>
          <w:shd w:val="clear" w:color="auto" w:fill="FFFFFF"/>
        </w:rPr>
        <w:t xml:space="preserve"> Guatemala</w:t>
      </w:r>
      <w:r w:rsidRPr="00EA6C7A">
        <w:rPr>
          <w:rFonts w:ascii="Verdana" w:eastAsia="Calibri" w:hAnsi="Verdana" w:cs="Tahoma"/>
          <w:bCs/>
          <w:color w:val="000000"/>
          <w:sz w:val="20"/>
          <w:szCs w:val="20"/>
          <w:shd w:val="clear" w:color="auto" w:fill="FFFFFF"/>
        </w:rPr>
        <w:t xml:space="preserve"> (2014) (</w:t>
      </w:r>
      <w:r w:rsidR="008524CB" w:rsidRPr="00EA6C7A">
        <w:rPr>
          <w:rFonts w:ascii="Verdana" w:eastAsia="Calibri" w:hAnsi="Verdana" w:cs="Tahoma"/>
          <w:bCs/>
          <w:color w:val="000000"/>
          <w:sz w:val="20"/>
          <w:szCs w:val="20"/>
          <w:shd w:val="clear" w:color="auto" w:fill="FFFFFF"/>
        </w:rPr>
        <w:t>paras.</w:t>
      </w:r>
      <w:r w:rsidRPr="00EA6C7A">
        <w:rPr>
          <w:rFonts w:ascii="Verdana" w:eastAsia="Calibri" w:hAnsi="Verdana" w:cs="Tahoma"/>
          <w:bCs/>
          <w:color w:val="000000"/>
          <w:sz w:val="20"/>
          <w:szCs w:val="20"/>
          <w:shd w:val="clear" w:color="auto" w:fill="FFFFFF"/>
        </w:rPr>
        <w:t xml:space="preserve"> </w:t>
      </w:r>
      <w:r w:rsidRPr="00EA6C7A">
        <w:rPr>
          <w:rFonts w:ascii="Verdana" w:eastAsia="Calibri" w:hAnsi="Verdana" w:cs="Tahoma"/>
          <w:bCs/>
          <w:color w:val="000000"/>
          <w:sz w:val="20"/>
          <w:szCs w:val="20"/>
          <w:shd w:val="clear" w:color="auto" w:fill="FFFFFF"/>
          <w:lang w:val="en-US"/>
        </w:rPr>
        <w:t xml:space="preserve">17 </w:t>
      </w:r>
      <w:r w:rsidR="00D5307F" w:rsidRPr="00EA6C7A">
        <w:rPr>
          <w:rFonts w:ascii="Verdana" w:eastAsia="Calibri" w:hAnsi="Verdana" w:cs="Tahoma"/>
          <w:bCs/>
          <w:color w:val="000000"/>
          <w:sz w:val="20"/>
          <w:szCs w:val="20"/>
          <w:shd w:val="clear" w:color="auto" w:fill="FFFFFF"/>
          <w:lang w:val="en-US"/>
        </w:rPr>
        <w:t>to</w:t>
      </w:r>
      <w:r w:rsidRPr="00EA6C7A">
        <w:rPr>
          <w:rFonts w:ascii="Verdana" w:eastAsia="Calibri" w:hAnsi="Verdana" w:cs="Tahoma"/>
          <w:bCs/>
          <w:color w:val="000000"/>
          <w:sz w:val="20"/>
          <w:szCs w:val="20"/>
          <w:shd w:val="clear" w:color="auto" w:fill="FFFFFF"/>
          <w:lang w:val="en-US"/>
        </w:rPr>
        <w:t xml:space="preserve"> 31); III. </w:t>
      </w:r>
      <w:r w:rsidR="00D5307F" w:rsidRPr="00EA6C7A">
        <w:rPr>
          <w:rFonts w:ascii="Verdana" w:eastAsia="Calibri" w:hAnsi="Verdana" w:cs="Tahoma"/>
          <w:bCs/>
          <w:color w:val="000000"/>
          <w:sz w:val="20"/>
          <w:szCs w:val="20"/>
          <w:shd w:val="clear" w:color="auto" w:fill="FFFFFF"/>
          <w:lang w:val="en-US"/>
        </w:rPr>
        <w:t>The</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obligation of prevention</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in the case of</w:t>
      </w:r>
      <w:r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i/>
          <w:color w:val="000000"/>
          <w:sz w:val="20"/>
          <w:szCs w:val="20"/>
          <w:shd w:val="clear" w:color="auto" w:fill="FFFFFF"/>
          <w:lang w:val="en-US"/>
        </w:rPr>
        <w:t xml:space="preserve">Velásquez Paiz </w:t>
      </w:r>
      <w:r w:rsidR="001914FC" w:rsidRPr="00EA6C7A">
        <w:rPr>
          <w:rFonts w:ascii="Verdana" w:eastAsia="Calibri" w:hAnsi="Verdana" w:cs="Tahoma"/>
          <w:bCs/>
          <w:i/>
          <w:color w:val="000000"/>
          <w:sz w:val="20"/>
          <w:szCs w:val="20"/>
          <w:shd w:val="clear" w:color="auto" w:fill="FFFFFF"/>
          <w:lang w:val="en-US"/>
        </w:rPr>
        <w:t>et al. v.</w:t>
      </w:r>
      <w:r w:rsidRPr="00EA6C7A">
        <w:rPr>
          <w:rFonts w:ascii="Verdana" w:eastAsia="Calibri" w:hAnsi="Verdana" w:cs="Tahoma"/>
          <w:bCs/>
          <w:i/>
          <w:color w:val="000000"/>
          <w:sz w:val="20"/>
          <w:szCs w:val="20"/>
          <w:shd w:val="clear" w:color="auto" w:fill="FFFFFF"/>
          <w:lang w:val="en-US"/>
        </w:rPr>
        <w:t xml:space="preserve"> Guatemala </w:t>
      </w:r>
      <w:r w:rsidRPr="00EA6C7A">
        <w:rPr>
          <w:rFonts w:ascii="Verdana" w:eastAsia="Calibri" w:hAnsi="Verdana" w:cs="Tahoma"/>
          <w:bCs/>
          <w:color w:val="000000"/>
          <w:sz w:val="20"/>
          <w:szCs w:val="20"/>
          <w:shd w:val="clear" w:color="auto" w:fill="FFFFFF"/>
          <w:lang w:val="en-US"/>
        </w:rPr>
        <w:t>(2015)</w:t>
      </w:r>
      <w:r w:rsidRPr="00EA6C7A">
        <w:rPr>
          <w:rFonts w:ascii="Verdana" w:eastAsia="Calibri" w:hAnsi="Verdana" w:cs="Tahoma"/>
          <w:bCs/>
          <w:i/>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w:t>
      </w:r>
      <w:r w:rsidR="008524CB" w:rsidRPr="00EA6C7A">
        <w:rPr>
          <w:rFonts w:ascii="Verdana" w:eastAsia="Calibri" w:hAnsi="Verdana" w:cs="Tahoma"/>
          <w:bCs/>
          <w:color w:val="000000"/>
          <w:sz w:val="20"/>
          <w:szCs w:val="20"/>
          <w:shd w:val="clear" w:color="auto" w:fill="FFFFFF"/>
          <w:lang w:val="en-US"/>
        </w:rPr>
        <w:t>paras.</w:t>
      </w:r>
      <w:r w:rsidRPr="00EA6C7A">
        <w:rPr>
          <w:rFonts w:ascii="Verdana" w:eastAsia="Calibri" w:hAnsi="Verdana" w:cs="Tahoma"/>
          <w:bCs/>
          <w:color w:val="000000"/>
          <w:sz w:val="20"/>
          <w:szCs w:val="20"/>
          <w:shd w:val="clear" w:color="auto" w:fill="FFFFFF"/>
          <w:lang w:val="en-US"/>
        </w:rPr>
        <w:t xml:space="preserve"> 32 </w:t>
      </w:r>
      <w:r w:rsidR="00D5307F" w:rsidRPr="00EA6C7A">
        <w:rPr>
          <w:rFonts w:ascii="Verdana" w:eastAsia="Calibri" w:hAnsi="Verdana" w:cs="Tahoma"/>
          <w:bCs/>
          <w:color w:val="000000"/>
          <w:sz w:val="20"/>
          <w:szCs w:val="20"/>
          <w:shd w:val="clear" w:color="auto" w:fill="FFFFFF"/>
          <w:lang w:val="en-US"/>
        </w:rPr>
        <w:t>to</w:t>
      </w:r>
      <w:r w:rsidRPr="00EA6C7A">
        <w:rPr>
          <w:rFonts w:ascii="Verdana" w:eastAsia="Calibri" w:hAnsi="Verdana" w:cs="Tahoma"/>
          <w:bCs/>
          <w:color w:val="000000"/>
          <w:sz w:val="20"/>
          <w:szCs w:val="20"/>
          <w:shd w:val="clear" w:color="auto" w:fill="FFFFFF"/>
          <w:lang w:val="en-US"/>
        </w:rPr>
        <w:t xml:space="preserve"> 49)</w:t>
      </w:r>
      <w:r w:rsidRPr="00EA6C7A">
        <w:rPr>
          <w:rFonts w:ascii="Verdana" w:eastAsia="Calibri" w:hAnsi="Verdana" w:cs="Tahoma"/>
          <w:color w:val="000000"/>
          <w:sz w:val="20"/>
          <w:szCs w:val="20"/>
          <w:shd w:val="clear" w:color="auto" w:fill="FFFFFF"/>
          <w:lang w:val="en-US"/>
        </w:rPr>
        <w:t>,</w:t>
      </w:r>
      <w:r w:rsidR="00D948A1" w:rsidRPr="00EA6C7A">
        <w:rPr>
          <w:rFonts w:ascii="Verdana" w:eastAsia="Calibri" w:hAnsi="Verdana" w:cs="Tahoma"/>
          <w:bCs/>
          <w:color w:val="000000"/>
          <w:sz w:val="20"/>
          <w:szCs w:val="20"/>
          <w:shd w:val="clear" w:color="auto" w:fill="FFFFFF"/>
          <w:lang w:val="en-US"/>
        </w:rPr>
        <w:t xml:space="preserve"> and </w:t>
      </w:r>
      <w:r w:rsidRPr="00EA6C7A">
        <w:rPr>
          <w:rFonts w:ascii="Verdana" w:eastAsia="Calibri" w:hAnsi="Verdana" w:cs="Tahoma"/>
          <w:bCs/>
          <w:color w:val="000000"/>
          <w:sz w:val="20"/>
          <w:szCs w:val="20"/>
          <w:shd w:val="clear" w:color="auto" w:fill="FFFFFF"/>
          <w:lang w:val="en-US"/>
        </w:rPr>
        <w:t>IV. Conclusions (</w:t>
      </w:r>
      <w:r w:rsidR="008524CB" w:rsidRPr="00EA6C7A">
        <w:rPr>
          <w:rFonts w:ascii="Verdana" w:eastAsia="Calibri" w:hAnsi="Verdana" w:cs="Tahoma"/>
          <w:bCs/>
          <w:color w:val="000000"/>
          <w:sz w:val="20"/>
          <w:szCs w:val="20"/>
          <w:shd w:val="clear" w:color="auto" w:fill="FFFFFF"/>
          <w:lang w:val="en-US"/>
        </w:rPr>
        <w:t>paras.</w:t>
      </w:r>
      <w:r w:rsidRPr="00EA6C7A">
        <w:rPr>
          <w:rFonts w:ascii="Verdana" w:eastAsia="Calibri" w:hAnsi="Verdana" w:cs="Tahoma"/>
          <w:bCs/>
          <w:color w:val="000000"/>
          <w:sz w:val="20"/>
          <w:szCs w:val="20"/>
          <w:shd w:val="clear" w:color="auto" w:fill="FFFFFF"/>
          <w:lang w:val="en-US"/>
        </w:rPr>
        <w:t xml:space="preserve"> 50 </w:t>
      </w:r>
      <w:r w:rsidR="00D5307F" w:rsidRPr="00EA6C7A">
        <w:rPr>
          <w:rFonts w:ascii="Verdana" w:eastAsia="Calibri" w:hAnsi="Verdana" w:cs="Tahoma"/>
          <w:bCs/>
          <w:color w:val="000000"/>
          <w:sz w:val="20"/>
          <w:szCs w:val="20"/>
          <w:shd w:val="clear" w:color="auto" w:fill="FFFFFF"/>
          <w:lang w:val="en-US"/>
        </w:rPr>
        <w:t xml:space="preserve">to </w:t>
      </w:r>
      <w:r w:rsidRPr="00EA6C7A">
        <w:rPr>
          <w:rFonts w:ascii="Verdana" w:eastAsia="Calibri" w:hAnsi="Verdana" w:cs="Tahoma"/>
          <w:bCs/>
          <w:color w:val="000000"/>
          <w:sz w:val="20"/>
          <w:szCs w:val="20"/>
          <w:shd w:val="clear" w:color="auto" w:fill="FFFFFF"/>
          <w:lang w:val="en-US"/>
        </w:rPr>
        <w:t>58).</w:t>
      </w:r>
    </w:p>
    <w:p w14:paraId="1E37FD33" w14:textId="77777777" w:rsidR="00175ABB" w:rsidRPr="00EA6C7A" w:rsidRDefault="00175ABB" w:rsidP="004A3921">
      <w:pPr>
        <w:spacing w:after="0" w:line="240" w:lineRule="auto"/>
        <w:jc w:val="center"/>
        <w:rPr>
          <w:rFonts w:ascii="Verdana" w:eastAsia="Calibri" w:hAnsi="Verdana" w:cs="Tahoma"/>
          <w:sz w:val="20"/>
          <w:szCs w:val="20"/>
          <w:lang w:val="en-US"/>
        </w:rPr>
      </w:pPr>
      <w:r w:rsidRPr="00EA6C7A">
        <w:rPr>
          <w:rFonts w:ascii="Verdana" w:eastAsia="Calibri" w:hAnsi="Verdana" w:cs="Tahoma"/>
          <w:sz w:val="20"/>
          <w:szCs w:val="20"/>
          <w:lang w:val="en-US"/>
        </w:rPr>
        <w:t xml:space="preserve">I.  </w:t>
      </w:r>
      <w:r w:rsidR="004A3921" w:rsidRPr="00EA6C7A">
        <w:rPr>
          <w:rFonts w:ascii="Verdana" w:eastAsia="Calibri" w:hAnsi="Verdana" w:cs="Tahoma"/>
          <w:sz w:val="20"/>
          <w:szCs w:val="20"/>
          <w:lang w:val="en-US"/>
        </w:rPr>
        <w:t xml:space="preserve">THE </w:t>
      </w:r>
      <w:r w:rsidRPr="00EA6C7A">
        <w:rPr>
          <w:rFonts w:ascii="Verdana" w:eastAsia="Calibri" w:hAnsi="Verdana" w:cs="Tahoma"/>
          <w:sz w:val="20"/>
          <w:szCs w:val="20"/>
          <w:lang w:val="en-US"/>
        </w:rPr>
        <w:t>“</w:t>
      </w:r>
      <w:r w:rsidR="00F912BD" w:rsidRPr="00EA6C7A">
        <w:rPr>
          <w:rFonts w:ascii="Verdana" w:eastAsia="Calibri" w:hAnsi="Verdana" w:cs="Tahoma"/>
          <w:sz w:val="20"/>
          <w:szCs w:val="20"/>
          <w:lang w:val="en-US"/>
        </w:rPr>
        <w:t>CONVENTION OF</w:t>
      </w:r>
      <w:r w:rsidRPr="00EA6C7A">
        <w:rPr>
          <w:rFonts w:ascii="Verdana" w:eastAsia="Calibri" w:hAnsi="Verdana" w:cs="Tahoma"/>
          <w:sz w:val="20"/>
          <w:szCs w:val="20"/>
          <w:lang w:val="en-US"/>
        </w:rPr>
        <w:t xml:space="preserve"> BELÉM DO PARÁ” </w:t>
      </w:r>
    </w:p>
    <w:p w14:paraId="64F9517C" w14:textId="77777777" w:rsidR="00175ABB" w:rsidRPr="00EA6C7A" w:rsidRDefault="004A3921" w:rsidP="00175ABB">
      <w:pPr>
        <w:spacing w:line="240" w:lineRule="auto"/>
        <w:jc w:val="center"/>
        <w:rPr>
          <w:rFonts w:ascii="Verdana" w:eastAsia="Calibri" w:hAnsi="Verdana" w:cs="Tahoma"/>
          <w:sz w:val="20"/>
          <w:szCs w:val="20"/>
          <w:lang w:val="en-US"/>
        </w:rPr>
      </w:pPr>
      <w:r w:rsidRPr="00EA6C7A">
        <w:rPr>
          <w:rFonts w:ascii="Verdana" w:eastAsia="Calibri" w:hAnsi="Verdana" w:cs="Tahoma"/>
          <w:sz w:val="20"/>
          <w:szCs w:val="20"/>
          <w:lang w:val="en-US"/>
        </w:rPr>
        <w:t>IN THE CASE LAW OF THE</w:t>
      </w:r>
      <w:r w:rsidR="0096418F" w:rsidRPr="00EA6C7A">
        <w:rPr>
          <w:rFonts w:ascii="Verdana" w:eastAsia="Calibri" w:hAnsi="Verdana" w:cs="Tahoma"/>
          <w:sz w:val="20"/>
          <w:szCs w:val="20"/>
          <w:lang w:val="en-US"/>
        </w:rPr>
        <w:t xml:space="preserve"> INTER-AMERICAN COURT</w:t>
      </w:r>
    </w:p>
    <w:p w14:paraId="4BB7F895" w14:textId="77777777" w:rsidR="00175ABB" w:rsidRPr="00EA6C7A" w:rsidRDefault="00175ABB" w:rsidP="007F6855">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sz w:val="20"/>
          <w:szCs w:val="20"/>
          <w:lang w:val="en-US" w:eastAsia="es-PA"/>
        </w:rPr>
        <w:lastRenderedPageBreak/>
        <w:t xml:space="preserve">7. </w:t>
      </w:r>
      <w:r w:rsidRPr="00EA6C7A">
        <w:rPr>
          <w:rFonts w:ascii="Verdana" w:eastAsia="Calibri" w:hAnsi="Verdana"/>
          <w:sz w:val="20"/>
          <w:szCs w:val="20"/>
          <w:lang w:val="en-US" w:eastAsia="es-PA"/>
        </w:rPr>
        <w:tab/>
      </w:r>
      <w:r w:rsidR="00D5307F" w:rsidRPr="00EA6C7A">
        <w:rPr>
          <w:rFonts w:ascii="Verdana" w:eastAsia="Calibri" w:hAnsi="Verdana"/>
          <w:sz w:val="20"/>
          <w:szCs w:val="20"/>
          <w:lang w:val="en-US"/>
        </w:rPr>
        <w:t xml:space="preserve">Based on </w:t>
      </w:r>
      <w:r w:rsidR="0065677A" w:rsidRPr="00EA6C7A">
        <w:rPr>
          <w:rFonts w:ascii="Verdana" w:eastAsia="Calibri" w:hAnsi="Verdana"/>
          <w:sz w:val="20"/>
          <w:szCs w:val="20"/>
          <w:lang w:val="en-US"/>
        </w:rPr>
        <w:t xml:space="preserve">the </w:t>
      </w:r>
      <w:r w:rsidR="00D5307F" w:rsidRPr="00EA6C7A">
        <w:rPr>
          <w:rFonts w:ascii="Verdana" w:eastAsia="Calibri" w:hAnsi="Verdana"/>
          <w:sz w:val="20"/>
          <w:szCs w:val="20"/>
          <w:lang w:val="en-US"/>
        </w:rPr>
        <w:t>competence that</w:t>
      </w:r>
      <w:r w:rsidRPr="00EA6C7A">
        <w:rPr>
          <w:rFonts w:ascii="Verdana" w:eastAsia="Calibri" w:hAnsi="Verdana"/>
          <w:sz w:val="20"/>
          <w:szCs w:val="20"/>
          <w:lang w:val="en-US"/>
        </w:rPr>
        <w:t xml:space="preserve"> </w:t>
      </w:r>
      <w:r w:rsidR="0096418F" w:rsidRPr="00EA6C7A">
        <w:rPr>
          <w:rFonts w:ascii="Verdana" w:eastAsia="Calibri" w:hAnsi="Verdana"/>
          <w:sz w:val="20"/>
          <w:szCs w:val="20"/>
          <w:lang w:val="en-US"/>
        </w:rPr>
        <w:t>Article</w:t>
      </w:r>
      <w:r w:rsidRPr="00EA6C7A">
        <w:rPr>
          <w:rFonts w:ascii="Verdana" w:eastAsia="Calibri" w:hAnsi="Verdana"/>
          <w:sz w:val="20"/>
          <w:szCs w:val="20"/>
          <w:lang w:val="en-US"/>
        </w:rPr>
        <w:t xml:space="preserve"> 12</w:t>
      </w:r>
      <w:r w:rsidR="00D5307F" w:rsidRPr="00EA6C7A">
        <w:rPr>
          <w:rFonts w:ascii="Verdana" w:eastAsia="Calibri" w:hAnsi="Verdana"/>
          <w:sz w:val="20"/>
          <w:szCs w:val="20"/>
          <w:lang w:val="en-US"/>
        </w:rPr>
        <w:t xml:space="preserve"> of the </w:t>
      </w:r>
      <w:r w:rsidRPr="00EA6C7A">
        <w:rPr>
          <w:rFonts w:ascii="Verdana" w:eastAsia="Calibri" w:hAnsi="Verdana"/>
          <w:sz w:val="20"/>
          <w:szCs w:val="20"/>
          <w:lang w:val="en-US"/>
        </w:rPr>
        <w:t>“</w:t>
      </w:r>
      <w:r w:rsidR="00F912BD" w:rsidRPr="00EA6C7A">
        <w:rPr>
          <w:rFonts w:ascii="Verdana" w:eastAsia="Calibri" w:hAnsi="Verdana"/>
          <w:sz w:val="20"/>
          <w:szCs w:val="20"/>
          <w:lang w:val="en-US"/>
        </w:rPr>
        <w:t>Convention of</w:t>
      </w:r>
      <w:r w:rsidRPr="00EA6C7A">
        <w:rPr>
          <w:rFonts w:ascii="Verdana" w:eastAsia="Calibri" w:hAnsi="Verdana"/>
          <w:sz w:val="20"/>
          <w:szCs w:val="20"/>
          <w:lang w:val="en-US"/>
        </w:rPr>
        <w:t xml:space="preserve"> Belém do Pará” </w:t>
      </w:r>
      <w:r w:rsidR="00D5307F" w:rsidRPr="00EA6C7A">
        <w:rPr>
          <w:rFonts w:ascii="Verdana" w:eastAsia="Calibri" w:hAnsi="Verdana"/>
          <w:sz w:val="20"/>
          <w:szCs w:val="20"/>
          <w:lang w:val="en-US"/>
        </w:rPr>
        <w:t xml:space="preserve">grants the inter-American system for the protection of human rights to examine violations of </w:t>
      </w:r>
      <w:r w:rsidR="0096418F" w:rsidRPr="00EA6C7A">
        <w:rPr>
          <w:rFonts w:ascii="Verdana" w:eastAsia="Calibri" w:hAnsi="Verdana" w:cs="Tahoma"/>
          <w:bCs/>
          <w:color w:val="000000"/>
          <w:sz w:val="20"/>
          <w:szCs w:val="20"/>
          <w:shd w:val="clear" w:color="auto" w:fill="FFFFFF"/>
          <w:lang w:val="en-US"/>
        </w:rPr>
        <w:t>Article</w:t>
      </w:r>
      <w:r w:rsidRPr="00EA6C7A">
        <w:rPr>
          <w:rFonts w:ascii="Verdana" w:eastAsia="Calibri" w:hAnsi="Verdana" w:cs="Tahoma"/>
          <w:bCs/>
          <w:color w:val="000000"/>
          <w:sz w:val="20"/>
          <w:szCs w:val="20"/>
          <w:shd w:val="clear" w:color="auto" w:fill="FFFFFF"/>
          <w:lang w:val="en-US"/>
        </w:rPr>
        <w:t xml:space="preserve"> 7 </w:t>
      </w:r>
      <w:r w:rsidR="00515C34" w:rsidRPr="00EA6C7A">
        <w:rPr>
          <w:rFonts w:ascii="Verdana" w:eastAsia="Calibri" w:hAnsi="Verdana" w:cs="Tahoma"/>
          <w:bCs/>
          <w:color w:val="000000"/>
          <w:sz w:val="20"/>
          <w:szCs w:val="20"/>
          <w:shd w:val="clear" w:color="auto" w:fill="FFFFFF"/>
          <w:lang w:val="en-US"/>
        </w:rPr>
        <w:t>of this</w:t>
      </w:r>
      <w:r w:rsidR="00D5307F" w:rsidRPr="00EA6C7A">
        <w:rPr>
          <w:rFonts w:ascii="Verdana" w:eastAsia="Calibri" w:hAnsi="Verdana" w:cs="Tahoma"/>
          <w:bCs/>
          <w:color w:val="000000"/>
          <w:sz w:val="20"/>
          <w:szCs w:val="20"/>
          <w:shd w:val="clear" w:color="auto" w:fill="FFFFFF"/>
          <w:lang w:val="en-US"/>
        </w:rPr>
        <w:t xml:space="preserve"> regional</w:t>
      </w:r>
      <w:r w:rsidR="00515C34" w:rsidRPr="00EA6C7A">
        <w:rPr>
          <w:rFonts w:ascii="Verdana" w:eastAsia="Calibri" w:hAnsi="Verdana" w:cs="Tahoma"/>
          <w:bCs/>
          <w:color w:val="000000"/>
          <w:sz w:val="20"/>
          <w:szCs w:val="20"/>
          <w:shd w:val="clear" w:color="auto" w:fill="FFFFFF"/>
          <w:lang w:val="en-US"/>
        </w:rPr>
        <w:t xml:space="preserve"> instrument</w:t>
      </w:r>
      <w:r w:rsidR="00D5307F"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hd w:val="clear" w:color="auto" w:fill="FFFFFF"/>
          <w:vertAlign w:val="superscript"/>
          <w:lang w:val="en-US"/>
        </w:rPr>
        <w:footnoteReference w:id="9"/>
      </w:r>
      <w:r w:rsidRPr="00EA6C7A">
        <w:rPr>
          <w:rFonts w:ascii="Verdana" w:eastAsia="Calibri" w:hAnsi="Verdana"/>
          <w:sz w:val="20"/>
          <w:szCs w:val="20"/>
          <w:lang w:val="en-US"/>
        </w:rPr>
        <w:t xml:space="preserve"> </w:t>
      </w:r>
      <w:r w:rsidR="00D5307F" w:rsidRPr="00EA6C7A">
        <w:rPr>
          <w:rFonts w:ascii="Verdana" w:eastAsia="Calibri" w:hAnsi="Verdana"/>
          <w:sz w:val="20"/>
          <w:szCs w:val="20"/>
          <w:lang w:val="en-US"/>
        </w:rPr>
        <w:t>the Inter-American Court</w:t>
      </w:r>
      <w:r w:rsidRPr="00EA6C7A">
        <w:rPr>
          <w:rFonts w:ascii="Verdana" w:eastAsia="Calibri" w:hAnsi="Verdana"/>
          <w:sz w:val="20"/>
          <w:szCs w:val="20"/>
          <w:lang w:val="en-US"/>
        </w:rPr>
        <w:t xml:space="preserve"> ha</w:t>
      </w:r>
      <w:r w:rsidR="00D5307F" w:rsidRPr="00EA6C7A">
        <w:rPr>
          <w:rFonts w:ascii="Verdana" w:eastAsia="Calibri" w:hAnsi="Verdana"/>
          <w:sz w:val="20"/>
          <w:szCs w:val="20"/>
          <w:lang w:val="en-US"/>
        </w:rPr>
        <w:t>s examined the phenomenon of</w:t>
      </w:r>
      <w:r w:rsidRPr="00EA6C7A">
        <w:rPr>
          <w:rFonts w:ascii="Verdana" w:eastAsia="Calibri" w:hAnsi="Verdana"/>
          <w:sz w:val="20"/>
          <w:szCs w:val="20"/>
          <w:lang w:val="en-US"/>
        </w:rPr>
        <w:t xml:space="preserve"> </w:t>
      </w:r>
      <w:r w:rsidR="00C12C08" w:rsidRPr="00EA6C7A">
        <w:rPr>
          <w:rFonts w:ascii="Verdana" w:eastAsia="Calibri" w:hAnsi="Verdana"/>
          <w:sz w:val="20"/>
          <w:szCs w:val="20"/>
          <w:lang w:val="en-US"/>
        </w:rPr>
        <w:t>violence against women</w:t>
      </w:r>
      <w:r w:rsidRPr="00EA6C7A">
        <w:rPr>
          <w:rFonts w:ascii="Verdana" w:eastAsia="Calibri" w:hAnsi="Verdana"/>
          <w:sz w:val="20"/>
          <w:szCs w:val="20"/>
          <w:lang w:val="en-US"/>
        </w:rPr>
        <w:t xml:space="preserve"> </w:t>
      </w:r>
      <w:r w:rsidR="00D5307F" w:rsidRPr="00EA6C7A">
        <w:rPr>
          <w:rFonts w:ascii="Verdana" w:eastAsia="Calibri" w:hAnsi="Verdana"/>
          <w:sz w:val="20"/>
          <w:szCs w:val="20"/>
          <w:lang w:val="en-US"/>
        </w:rPr>
        <w:t>in different circumstances</w:t>
      </w:r>
      <w:r w:rsidR="0065677A" w:rsidRPr="00EA6C7A">
        <w:rPr>
          <w:rFonts w:ascii="Verdana" w:eastAsia="Calibri" w:hAnsi="Verdana"/>
          <w:sz w:val="20"/>
          <w:szCs w:val="20"/>
          <w:lang w:val="en-US"/>
        </w:rPr>
        <w:t>,</w:t>
      </w:r>
      <w:r w:rsidRPr="00EA6C7A">
        <w:rPr>
          <w:rFonts w:ascii="Verdana" w:eastAsia="Calibri" w:hAnsi="Verdana"/>
          <w:vertAlign w:val="superscript"/>
          <w:lang w:val="en-US"/>
        </w:rPr>
        <w:footnoteReference w:id="10"/>
      </w:r>
      <w:r w:rsidRPr="00EA6C7A">
        <w:rPr>
          <w:rFonts w:ascii="Verdana" w:eastAsia="Calibri" w:hAnsi="Verdana"/>
          <w:sz w:val="20"/>
          <w:szCs w:val="20"/>
          <w:lang w:val="en-US"/>
        </w:rPr>
        <w:t xml:space="preserve"> </w:t>
      </w:r>
      <w:r w:rsidR="00D5307F" w:rsidRPr="00EA6C7A">
        <w:rPr>
          <w:rFonts w:ascii="Verdana" w:eastAsia="Calibri" w:hAnsi="Verdana"/>
          <w:sz w:val="20"/>
          <w:szCs w:val="20"/>
          <w:lang w:val="en-US"/>
        </w:rPr>
        <w:t xml:space="preserve">placing special emphasis on the State’s obligation to </w:t>
      </w:r>
      <w:r w:rsidR="007F6855" w:rsidRPr="00EA6C7A">
        <w:rPr>
          <w:rFonts w:ascii="Verdana" w:eastAsia="Calibri" w:hAnsi="Verdana"/>
          <w:sz w:val="20"/>
          <w:szCs w:val="20"/>
          <w:lang w:val="en-US"/>
        </w:rPr>
        <w:t>“</w:t>
      </w:r>
      <w:r w:rsidR="00D5307F" w:rsidRPr="00EA6C7A">
        <w:rPr>
          <w:rFonts w:ascii="Verdana" w:eastAsia="Calibri" w:hAnsi="Verdana"/>
          <w:sz w:val="20"/>
          <w:szCs w:val="20"/>
          <w:lang w:val="en-US"/>
        </w:rPr>
        <w:t xml:space="preserve">condemn all forms of </w:t>
      </w:r>
      <w:r w:rsidR="00C12C08" w:rsidRPr="00EA6C7A">
        <w:rPr>
          <w:rFonts w:ascii="Verdana" w:eastAsia="Calibri" w:hAnsi="Verdana" w:cs="Tahoma"/>
          <w:bCs/>
          <w:color w:val="000000"/>
          <w:sz w:val="20"/>
          <w:szCs w:val="20"/>
          <w:shd w:val="clear" w:color="auto" w:fill="FFFFFF"/>
          <w:lang w:val="en-US"/>
        </w:rPr>
        <w:t>violence against women</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and to adopt</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 xml:space="preserve">by all appropriate means and without delay, policies </w:t>
      </w:r>
      <w:r w:rsidR="007F6855" w:rsidRPr="00EA6C7A">
        <w:rPr>
          <w:rFonts w:ascii="Verdana" w:eastAsia="Calibri" w:hAnsi="Verdana" w:cs="Tahoma"/>
          <w:bCs/>
          <w:color w:val="000000"/>
          <w:sz w:val="20"/>
          <w:szCs w:val="20"/>
          <w:shd w:val="clear" w:color="auto" w:fill="FFFFFF"/>
          <w:lang w:val="en-US"/>
        </w:rPr>
        <w:t>to</w:t>
      </w:r>
      <w:r w:rsidR="00D5307F" w:rsidRPr="00EA6C7A">
        <w:rPr>
          <w:rFonts w:ascii="Verdana" w:eastAsia="Calibri" w:hAnsi="Verdana" w:cs="Tahoma"/>
          <w:bCs/>
          <w:color w:val="000000"/>
          <w:sz w:val="20"/>
          <w:szCs w:val="20"/>
          <w:shd w:val="clear" w:color="auto" w:fill="FFFFFF"/>
          <w:lang w:val="en-US"/>
        </w:rPr>
        <w:t xml:space="preserve"> prevent, punish and eradica</w:t>
      </w:r>
      <w:r w:rsidR="007F6855" w:rsidRPr="00EA6C7A">
        <w:rPr>
          <w:rFonts w:ascii="Verdana" w:eastAsia="Calibri" w:hAnsi="Verdana" w:cs="Tahoma"/>
          <w:bCs/>
          <w:color w:val="000000"/>
          <w:sz w:val="20"/>
          <w:szCs w:val="20"/>
          <w:shd w:val="clear" w:color="auto" w:fill="FFFFFF"/>
          <w:lang w:val="en-US"/>
        </w:rPr>
        <w:t>te such</w:t>
      </w:r>
      <w:r w:rsidR="00D5307F" w:rsidRPr="00EA6C7A">
        <w:rPr>
          <w:rFonts w:ascii="Verdana" w:eastAsia="Calibri" w:hAnsi="Verdana" w:cs="Tahoma"/>
          <w:bCs/>
          <w:color w:val="000000"/>
          <w:sz w:val="20"/>
          <w:szCs w:val="20"/>
          <w:shd w:val="clear" w:color="auto" w:fill="FFFFFF"/>
          <w:lang w:val="en-US"/>
        </w:rPr>
        <w:t xml:space="preserve"> violence,</w:t>
      </w:r>
      <w:r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hd w:val="clear" w:color="auto" w:fill="FFFFFF"/>
          <w:vertAlign w:val="superscript"/>
          <w:lang w:val="en-US"/>
        </w:rPr>
        <w:footnoteReference w:id="11"/>
      </w:r>
      <w:r w:rsidR="00D5307F" w:rsidRPr="00EA6C7A">
        <w:rPr>
          <w:rFonts w:ascii="Verdana" w:eastAsia="Calibri" w:hAnsi="Verdana" w:cs="Tahoma"/>
          <w:bCs/>
          <w:color w:val="000000"/>
          <w:sz w:val="20"/>
          <w:szCs w:val="20"/>
          <w:shd w:val="clear" w:color="auto" w:fill="FFFFFF"/>
          <w:lang w:val="en-US"/>
        </w:rPr>
        <w:t xml:space="preserve"> and this, in addition, to </w:t>
      </w:r>
      <w:r w:rsidR="007F6855" w:rsidRPr="00EA6C7A">
        <w:rPr>
          <w:rFonts w:ascii="Verdana" w:eastAsia="Calibri" w:hAnsi="Verdana" w:cs="Tahoma"/>
          <w:bCs/>
          <w:color w:val="000000"/>
          <w:sz w:val="20"/>
          <w:szCs w:val="20"/>
          <w:shd w:val="clear" w:color="auto" w:fill="FFFFFF"/>
          <w:lang w:val="en-US"/>
        </w:rPr>
        <w:t xml:space="preserve">the </w:t>
      </w:r>
      <w:r w:rsidR="00D5307F" w:rsidRPr="00EA6C7A">
        <w:rPr>
          <w:rFonts w:ascii="Verdana" w:eastAsia="Calibri" w:hAnsi="Verdana" w:cs="Tahoma"/>
          <w:bCs/>
          <w:color w:val="000000"/>
          <w:sz w:val="20"/>
          <w:szCs w:val="20"/>
          <w:shd w:val="clear" w:color="auto" w:fill="FFFFFF"/>
          <w:lang w:val="en-US"/>
        </w:rPr>
        <w:t>specific measures</w:t>
      </w:r>
      <w:r w:rsidR="007F6855" w:rsidRPr="00EA6C7A">
        <w:rPr>
          <w:rFonts w:ascii="Verdana" w:eastAsia="Calibri" w:hAnsi="Verdana" w:cs="Tahoma"/>
          <w:bCs/>
          <w:color w:val="000000"/>
          <w:sz w:val="20"/>
          <w:szCs w:val="20"/>
          <w:shd w:val="clear" w:color="auto" w:fill="FFFFFF"/>
          <w:lang w:val="en-US"/>
        </w:rPr>
        <w:t xml:space="preserve"> indicated in that provision – some of which have been examined by </w:t>
      </w:r>
      <w:r w:rsidR="00D5307F" w:rsidRPr="00EA6C7A">
        <w:rPr>
          <w:rFonts w:ascii="Verdana" w:eastAsia="Calibri" w:hAnsi="Verdana" w:cs="Tahoma"/>
          <w:bCs/>
          <w:color w:val="000000"/>
          <w:sz w:val="20"/>
          <w:szCs w:val="20"/>
          <w:shd w:val="clear" w:color="auto" w:fill="FFFFFF"/>
          <w:lang w:val="en-US"/>
        </w:rPr>
        <w:t>the Inter-American Court</w:t>
      </w:r>
      <w:r w:rsidRPr="00EA6C7A">
        <w:rPr>
          <w:rFonts w:ascii="Verdana" w:eastAsia="Calibri" w:hAnsi="Verdana" w:cs="Tahoma"/>
          <w:bCs/>
          <w:color w:val="000000"/>
          <w:sz w:val="20"/>
          <w:szCs w:val="20"/>
          <w:shd w:val="clear" w:color="auto" w:fill="FFFFFF"/>
          <w:lang w:val="en-US"/>
        </w:rPr>
        <w:t xml:space="preserve"> </w:t>
      </w:r>
      <w:r w:rsidR="007F6855" w:rsidRPr="00EA6C7A">
        <w:rPr>
          <w:rFonts w:ascii="Verdana" w:eastAsia="Calibri" w:hAnsi="Verdana" w:cs="Tahoma"/>
          <w:bCs/>
          <w:color w:val="000000"/>
          <w:sz w:val="20"/>
          <w:szCs w:val="20"/>
          <w:shd w:val="clear" w:color="auto" w:fill="FFFFFF"/>
          <w:lang w:val="en-US"/>
        </w:rPr>
        <w:t>in its case law.</w:t>
      </w:r>
    </w:p>
    <w:p w14:paraId="6BC8539A" w14:textId="77777777" w:rsidR="007F6855" w:rsidRPr="00EA6C7A" w:rsidRDefault="007F6855" w:rsidP="007F6855">
      <w:pPr>
        <w:spacing w:after="0" w:line="240" w:lineRule="auto"/>
        <w:jc w:val="both"/>
        <w:rPr>
          <w:rFonts w:ascii="Verdana" w:eastAsia="Calibri" w:hAnsi="Verdana" w:cs="Tahoma"/>
          <w:bCs/>
          <w:color w:val="000000"/>
          <w:sz w:val="20"/>
          <w:szCs w:val="20"/>
          <w:shd w:val="clear" w:color="auto" w:fill="FFFFFF"/>
          <w:lang w:val="en-US"/>
        </w:rPr>
      </w:pPr>
    </w:p>
    <w:p w14:paraId="7F3C353A" w14:textId="77777777" w:rsidR="00175ABB" w:rsidRPr="00EA6C7A" w:rsidRDefault="00175ABB" w:rsidP="00175ABB">
      <w:pPr>
        <w:spacing w:line="240" w:lineRule="auto"/>
        <w:jc w:val="both"/>
        <w:rPr>
          <w:rFonts w:ascii="Verdana" w:eastAsia="Calibri" w:hAnsi="Verdana" w:cs="Tahoma"/>
          <w:sz w:val="20"/>
          <w:szCs w:val="20"/>
          <w:lang w:val="en-US"/>
        </w:rPr>
      </w:pPr>
      <w:r w:rsidRPr="00EA6C7A">
        <w:rPr>
          <w:rFonts w:ascii="Verdana" w:eastAsia="Calibri" w:hAnsi="Verdana" w:cs="Tahoma"/>
          <w:bCs/>
          <w:color w:val="000000"/>
          <w:sz w:val="20"/>
          <w:szCs w:val="20"/>
          <w:shd w:val="clear" w:color="auto" w:fill="FFFFFF"/>
          <w:lang w:val="en-US"/>
        </w:rPr>
        <w:t xml:space="preserve">8. </w:t>
      </w:r>
      <w:r w:rsidRPr="00EA6C7A">
        <w:rPr>
          <w:rFonts w:ascii="Verdana" w:eastAsia="Calibri" w:hAnsi="Verdana" w:cs="Tahoma"/>
          <w:bCs/>
          <w:color w:val="000000"/>
          <w:sz w:val="20"/>
          <w:szCs w:val="20"/>
          <w:shd w:val="clear" w:color="auto" w:fill="FFFFFF"/>
          <w:lang w:val="en-US"/>
        </w:rPr>
        <w:tab/>
      </w:r>
      <w:r w:rsidR="007F6855" w:rsidRPr="00EA6C7A">
        <w:rPr>
          <w:rFonts w:ascii="Verdana" w:eastAsia="Calibri" w:hAnsi="Verdana" w:cs="Tahoma"/>
          <w:bCs/>
          <w:color w:val="000000"/>
          <w:sz w:val="20"/>
          <w:szCs w:val="20"/>
          <w:shd w:val="clear" w:color="auto" w:fill="FFFFFF"/>
          <w:lang w:val="en-US"/>
        </w:rPr>
        <w:t xml:space="preserve">The interpretation and application of the provisions </w:t>
      </w:r>
      <w:r w:rsidR="00D5307F" w:rsidRPr="00EA6C7A">
        <w:rPr>
          <w:rFonts w:ascii="Verdana" w:eastAsia="Calibri" w:hAnsi="Verdana" w:cs="Tahoma"/>
          <w:bCs/>
          <w:color w:val="000000"/>
          <w:sz w:val="20"/>
          <w:szCs w:val="20"/>
          <w:shd w:val="clear" w:color="auto" w:fill="FFFFFF"/>
          <w:lang w:val="en-US"/>
        </w:rPr>
        <w:t xml:space="preserve">of the </w:t>
      </w:r>
      <w:r w:rsidRPr="00EA6C7A">
        <w:rPr>
          <w:rFonts w:ascii="Verdana" w:eastAsia="Calibri" w:hAnsi="Verdana" w:cs="Tahoma"/>
          <w:bCs/>
          <w:color w:val="000000"/>
          <w:sz w:val="20"/>
          <w:szCs w:val="20"/>
          <w:shd w:val="clear" w:color="auto" w:fill="FFFFFF"/>
          <w:lang w:val="en-US"/>
        </w:rPr>
        <w:t>“</w:t>
      </w:r>
      <w:r w:rsidR="00F912BD" w:rsidRPr="00EA6C7A">
        <w:rPr>
          <w:rFonts w:ascii="Verdana" w:eastAsia="Calibri" w:hAnsi="Verdana" w:cs="Tahoma"/>
          <w:bCs/>
          <w:color w:val="000000"/>
          <w:sz w:val="20"/>
          <w:szCs w:val="20"/>
          <w:shd w:val="clear" w:color="auto" w:fill="FFFFFF"/>
          <w:lang w:val="en-US"/>
        </w:rPr>
        <w:t>Convention of</w:t>
      </w:r>
      <w:r w:rsidRPr="00EA6C7A">
        <w:rPr>
          <w:rFonts w:ascii="Verdana" w:eastAsia="Calibri" w:hAnsi="Verdana" w:cs="Tahoma"/>
          <w:bCs/>
          <w:color w:val="000000"/>
          <w:sz w:val="20"/>
          <w:szCs w:val="20"/>
          <w:shd w:val="clear" w:color="auto" w:fill="FFFFFF"/>
          <w:lang w:val="en-US"/>
        </w:rPr>
        <w:t xml:space="preserve"> Belém do Pará” </w:t>
      </w:r>
      <w:r w:rsidR="007F6855" w:rsidRPr="00EA6C7A">
        <w:rPr>
          <w:rFonts w:ascii="Verdana" w:eastAsia="Calibri" w:hAnsi="Verdana" w:cs="Tahoma"/>
          <w:bCs/>
          <w:color w:val="000000"/>
          <w:sz w:val="20"/>
          <w:szCs w:val="20"/>
          <w:shd w:val="clear" w:color="auto" w:fill="FFFFFF"/>
          <w:lang w:val="en-US"/>
        </w:rPr>
        <w:t>first took place in 2006</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in the case of</w:t>
      </w:r>
      <w:r w:rsidR="007F6855" w:rsidRPr="00EA6C7A">
        <w:rPr>
          <w:rFonts w:ascii="Verdana" w:eastAsia="Calibri" w:hAnsi="Verdana" w:cs="Tahoma"/>
          <w:bCs/>
          <w:color w:val="000000"/>
          <w:sz w:val="20"/>
          <w:szCs w:val="20"/>
          <w:shd w:val="clear" w:color="auto" w:fill="FFFFFF"/>
          <w:lang w:val="en-US"/>
        </w:rPr>
        <w:t xml:space="preserve"> the</w:t>
      </w:r>
      <w:r w:rsidRPr="00EA6C7A">
        <w:rPr>
          <w:rFonts w:ascii="Verdana" w:eastAsia="Calibri" w:hAnsi="Verdana" w:cs="Tahoma"/>
          <w:bCs/>
          <w:i/>
          <w:color w:val="000000"/>
          <w:sz w:val="20"/>
          <w:szCs w:val="20"/>
          <w:shd w:val="clear" w:color="auto" w:fill="FFFFFF"/>
          <w:lang w:val="en-US"/>
        </w:rPr>
        <w:t xml:space="preserve"> Miguel Castro Castro</w:t>
      </w:r>
      <w:r w:rsidR="007F6855" w:rsidRPr="00EA6C7A">
        <w:rPr>
          <w:rFonts w:ascii="Verdana" w:eastAsia="Calibri" w:hAnsi="Verdana" w:cs="Tahoma"/>
          <w:bCs/>
          <w:i/>
          <w:color w:val="000000"/>
          <w:sz w:val="20"/>
          <w:szCs w:val="20"/>
          <w:shd w:val="clear" w:color="auto" w:fill="FFFFFF"/>
          <w:lang w:val="en-US"/>
        </w:rPr>
        <w:t xml:space="preserve"> Prison</w:t>
      </w:r>
      <w:r w:rsidRPr="00EA6C7A">
        <w:rPr>
          <w:rFonts w:ascii="Verdana" w:eastAsia="Calibri" w:hAnsi="Verdana" w:cs="Tahoma"/>
          <w:bCs/>
          <w:i/>
          <w:color w:val="000000"/>
          <w:sz w:val="20"/>
          <w:szCs w:val="20"/>
          <w:shd w:val="clear" w:color="auto" w:fill="FFFFFF"/>
          <w:lang w:val="en-US"/>
        </w:rPr>
        <w:t xml:space="preserve"> v. </w:t>
      </w:r>
      <w:r w:rsidR="001914FC" w:rsidRPr="00EA6C7A">
        <w:rPr>
          <w:rFonts w:ascii="Verdana" w:eastAsia="Calibri" w:hAnsi="Verdana" w:cs="Tahoma"/>
          <w:bCs/>
          <w:i/>
          <w:color w:val="000000"/>
          <w:sz w:val="20"/>
          <w:szCs w:val="20"/>
          <w:shd w:val="clear" w:color="auto" w:fill="FFFFFF"/>
          <w:lang w:val="en-US"/>
        </w:rPr>
        <w:t>Peru</w:t>
      </w:r>
      <w:r w:rsidR="007F6855" w:rsidRPr="00EA6C7A">
        <w:rPr>
          <w:rFonts w:ascii="Verdana" w:eastAsia="Calibri" w:hAnsi="Verdana" w:cs="Tahoma"/>
          <w:bCs/>
          <w:i/>
          <w:color w:val="000000"/>
          <w:sz w:val="20"/>
          <w:szCs w:val="20"/>
          <w:shd w:val="clear" w:color="auto" w:fill="FFFFFF"/>
          <w:lang w:val="en-US"/>
        </w:rPr>
        <w:t>.</w:t>
      </w:r>
      <w:r w:rsidRPr="00EA6C7A">
        <w:rPr>
          <w:rFonts w:ascii="Verdana" w:eastAsia="Calibri" w:hAnsi="Verdana" w:cs="Tahoma"/>
          <w:bCs/>
          <w:color w:val="000000"/>
          <w:shd w:val="clear" w:color="auto" w:fill="FFFFFF"/>
          <w:vertAlign w:val="superscript"/>
          <w:lang w:val="en-US"/>
        </w:rPr>
        <w:footnoteReference w:id="12"/>
      </w:r>
      <w:r w:rsidR="007F6855" w:rsidRPr="00EA6C7A">
        <w:rPr>
          <w:rFonts w:ascii="Verdana" w:eastAsia="Calibri" w:hAnsi="Verdana" w:cs="Tahoma"/>
          <w:bCs/>
          <w:i/>
          <w:color w:val="000000"/>
          <w:sz w:val="20"/>
          <w:szCs w:val="20"/>
          <w:shd w:val="clear" w:color="auto" w:fill="FFFFFF"/>
          <w:lang w:val="en-US"/>
        </w:rPr>
        <w:t xml:space="preserve"> </w:t>
      </w:r>
      <w:r w:rsidR="007F6855" w:rsidRPr="00EA6C7A">
        <w:rPr>
          <w:rFonts w:ascii="Verdana" w:eastAsia="Calibri" w:hAnsi="Verdana" w:cs="Tahoma"/>
          <w:bCs/>
          <w:iCs/>
          <w:color w:val="000000"/>
          <w:sz w:val="20"/>
          <w:szCs w:val="20"/>
          <w:shd w:val="clear" w:color="auto" w:fill="FFFFFF"/>
          <w:lang w:val="en-US"/>
        </w:rPr>
        <w:t xml:space="preserve">Based on the facts of the case, the Court declared the violation of </w:t>
      </w:r>
      <w:r w:rsidR="0096418F" w:rsidRPr="00EA6C7A">
        <w:rPr>
          <w:rFonts w:ascii="Verdana" w:eastAsia="Calibri" w:hAnsi="Verdana" w:cs="Tahoma"/>
          <w:bCs/>
          <w:color w:val="000000"/>
          <w:sz w:val="20"/>
          <w:szCs w:val="20"/>
          <w:shd w:val="clear" w:color="auto" w:fill="FFFFFF"/>
          <w:lang w:val="en-US"/>
        </w:rPr>
        <w:t>Article</w:t>
      </w:r>
      <w:r w:rsidRPr="00EA6C7A">
        <w:rPr>
          <w:rFonts w:ascii="Verdana" w:eastAsia="Calibri" w:hAnsi="Verdana" w:cs="Tahoma"/>
          <w:bCs/>
          <w:color w:val="000000"/>
          <w:sz w:val="20"/>
          <w:szCs w:val="20"/>
          <w:shd w:val="clear" w:color="auto" w:fill="FFFFFF"/>
          <w:lang w:val="en-US"/>
        </w:rPr>
        <w:t xml:space="preserve"> 7</w:t>
      </w:r>
      <w:r w:rsidR="007F6855"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lang w:val="en-US"/>
        </w:rPr>
        <w:t>b</w:t>
      </w:r>
      <w:r w:rsidR="007F6855"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lang w:val="en-US"/>
        </w:rPr>
        <w:t xml:space="preserve"> </w:t>
      </w:r>
      <w:r w:rsidR="002D218C" w:rsidRPr="00EA6C7A">
        <w:rPr>
          <w:rFonts w:ascii="Verdana" w:eastAsia="Calibri" w:hAnsi="Verdana" w:cs="Tahoma"/>
          <w:bCs/>
          <w:color w:val="000000"/>
          <w:sz w:val="20"/>
          <w:szCs w:val="20"/>
          <w:shd w:val="clear" w:color="auto" w:fill="FFFFFF"/>
          <w:lang w:val="en-US"/>
        </w:rPr>
        <w:t>of this instrument</w:t>
      </w:r>
      <w:r w:rsidRPr="00EA6C7A">
        <w:rPr>
          <w:rFonts w:ascii="Verdana" w:eastAsia="Calibri" w:hAnsi="Verdana" w:cs="Tahoma"/>
          <w:bCs/>
          <w:color w:val="000000"/>
          <w:sz w:val="20"/>
          <w:szCs w:val="20"/>
          <w:shd w:val="clear" w:color="auto" w:fill="FFFFFF"/>
          <w:lang w:val="en-US"/>
        </w:rPr>
        <w:t xml:space="preserve">, </w:t>
      </w:r>
      <w:r w:rsidR="007F6855" w:rsidRPr="00EA6C7A">
        <w:rPr>
          <w:rFonts w:ascii="Verdana" w:eastAsia="Calibri" w:hAnsi="Verdana" w:cs="Tahoma"/>
          <w:bCs/>
          <w:color w:val="000000"/>
          <w:sz w:val="20"/>
          <w:szCs w:val="20"/>
          <w:shd w:val="clear" w:color="auto" w:fill="FFFFFF"/>
          <w:lang w:val="en-US"/>
        </w:rPr>
        <w:t xml:space="preserve">concerning the State obligation “to apply due diligence to </w:t>
      </w:r>
      <w:r w:rsidR="007F6855" w:rsidRPr="00EA6C7A">
        <w:rPr>
          <w:rFonts w:ascii="Verdana" w:hAnsi="Verdana" w:cs="Arial"/>
          <w:sz w:val="20"/>
          <w:szCs w:val="20"/>
          <w:lang w:val="en-US"/>
        </w:rPr>
        <w:t>prevent, investigate and impose penalties for violence against women</w:t>
      </w:r>
      <w:r w:rsidR="007F6855"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lang w:val="en-US"/>
        </w:rPr>
        <w:t>”</w:t>
      </w:r>
      <w:r w:rsidR="00736990" w:rsidRPr="00EA6C7A">
        <w:rPr>
          <w:rFonts w:ascii="Verdana" w:eastAsia="Calibri" w:hAnsi="Verdana" w:cs="Tahoma"/>
          <w:bCs/>
          <w:color w:val="000000"/>
          <w:sz w:val="20"/>
          <w:szCs w:val="20"/>
          <w:shd w:val="clear" w:color="auto" w:fill="FFFFFF"/>
          <w:lang w:val="en-US"/>
        </w:rPr>
        <w:t xml:space="preserve"> In that case, the Court indicated that the State obligation to investigate the facts that had occurred meant that the State should “take into consideration the seriousness of the facts that constitute </w:t>
      </w:r>
      <w:r w:rsidR="00C12C08" w:rsidRPr="00EA6C7A">
        <w:rPr>
          <w:rFonts w:ascii="Verdana" w:eastAsia="Calibri" w:hAnsi="Verdana" w:cs="Tahoma"/>
          <w:sz w:val="20"/>
          <w:szCs w:val="20"/>
          <w:lang w:val="en-US"/>
        </w:rPr>
        <w:t>violence against women</w:t>
      </w:r>
      <w:r w:rsidRPr="00EA6C7A">
        <w:rPr>
          <w:rFonts w:ascii="Verdana" w:eastAsia="Calibri" w:hAnsi="Verdana" w:cs="Tahoma"/>
          <w:sz w:val="20"/>
          <w:szCs w:val="20"/>
          <w:lang w:val="en-US"/>
        </w:rPr>
        <w:t xml:space="preserve">, </w:t>
      </w:r>
      <w:r w:rsidR="0065677A" w:rsidRPr="00EA6C7A">
        <w:rPr>
          <w:rFonts w:ascii="Verdana" w:eastAsia="Calibri" w:hAnsi="Verdana" w:cs="Tahoma"/>
          <w:sz w:val="20"/>
          <w:szCs w:val="20"/>
          <w:lang w:val="en-US"/>
        </w:rPr>
        <w:t>taking into account</w:t>
      </w:r>
      <w:r w:rsidR="00736990" w:rsidRPr="00EA6C7A">
        <w:rPr>
          <w:rFonts w:ascii="Verdana" w:eastAsia="Calibri" w:hAnsi="Verdana" w:cs="Tahoma"/>
          <w:sz w:val="20"/>
          <w:szCs w:val="20"/>
          <w:lang w:val="en-US"/>
        </w:rPr>
        <w:t xml:space="preserve"> the obligations imposed on it by the treaties it has ratified on this matter.</w:t>
      </w:r>
      <w:r w:rsidRPr="00EA6C7A">
        <w:rPr>
          <w:rFonts w:ascii="Verdana" w:eastAsia="Calibri" w:hAnsi="Verdana" w:cs="Tahoma"/>
          <w:sz w:val="20"/>
          <w:szCs w:val="20"/>
          <w:lang w:val="en-US"/>
        </w:rPr>
        <w:t>”</w:t>
      </w:r>
      <w:r w:rsidRPr="00EA6C7A">
        <w:rPr>
          <w:rFonts w:ascii="Verdana" w:eastAsia="Calibri" w:hAnsi="Verdana" w:cs="Tahoma"/>
          <w:vertAlign w:val="superscript"/>
          <w:lang w:val="en-US"/>
        </w:rPr>
        <w:footnoteReference w:id="13"/>
      </w:r>
      <w:r w:rsidRPr="00EA6C7A">
        <w:rPr>
          <w:rFonts w:ascii="Verdana" w:eastAsia="Calibri" w:hAnsi="Verdana" w:cs="Tahoma"/>
          <w:sz w:val="20"/>
          <w:szCs w:val="20"/>
          <w:lang w:val="en-US"/>
        </w:rPr>
        <w:t xml:space="preserve"> </w:t>
      </w:r>
      <w:r w:rsidR="00736990" w:rsidRPr="00EA6C7A">
        <w:rPr>
          <w:rFonts w:ascii="Verdana" w:eastAsia="Calibri" w:hAnsi="Verdana" w:cs="Tahoma"/>
          <w:sz w:val="20"/>
          <w:szCs w:val="20"/>
          <w:lang w:val="en-US"/>
        </w:rPr>
        <w:t xml:space="preserve">Consequently, </w:t>
      </w:r>
      <w:r w:rsidR="00D5307F" w:rsidRPr="00EA6C7A">
        <w:rPr>
          <w:rFonts w:ascii="Verdana" w:eastAsia="Calibri" w:hAnsi="Verdana" w:cs="Tahoma"/>
          <w:sz w:val="20"/>
          <w:szCs w:val="20"/>
          <w:lang w:val="en-US"/>
        </w:rPr>
        <w:t>the Inter-American Court</w:t>
      </w:r>
      <w:r w:rsidRPr="00EA6C7A">
        <w:rPr>
          <w:rFonts w:ascii="Verdana" w:eastAsia="Calibri" w:hAnsi="Verdana" w:cs="Tahoma"/>
          <w:sz w:val="20"/>
          <w:szCs w:val="20"/>
          <w:lang w:val="en-US"/>
        </w:rPr>
        <w:t xml:space="preserve"> decla</w:t>
      </w:r>
      <w:r w:rsidR="00736990" w:rsidRPr="00EA6C7A">
        <w:rPr>
          <w:rFonts w:ascii="Verdana" w:eastAsia="Calibri" w:hAnsi="Verdana" w:cs="Tahoma"/>
          <w:sz w:val="20"/>
          <w:szCs w:val="20"/>
          <w:lang w:val="en-US"/>
        </w:rPr>
        <w:t xml:space="preserve">red the violation </w:t>
      </w:r>
      <w:r w:rsidR="001914FC" w:rsidRPr="00EA6C7A">
        <w:rPr>
          <w:rFonts w:ascii="Verdana" w:eastAsia="Calibri" w:hAnsi="Verdana" w:cs="Tahoma"/>
          <w:sz w:val="20"/>
          <w:szCs w:val="20"/>
          <w:lang w:val="en-US"/>
        </w:rPr>
        <w:t>of Article</w:t>
      </w:r>
      <w:r w:rsidRPr="00EA6C7A">
        <w:rPr>
          <w:rFonts w:ascii="Verdana" w:eastAsia="Calibri" w:hAnsi="Verdana" w:cs="Tahoma"/>
          <w:sz w:val="20"/>
          <w:szCs w:val="20"/>
          <w:lang w:val="en-US"/>
        </w:rPr>
        <w:t xml:space="preserve"> 7</w:t>
      </w:r>
      <w:r w:rsidR="00736990" w:rsidRPr="00EA6C7A">
        <w:rPr>
          <w:rFonts w:ascii="Verdana" w:eastAsia="Calibri" w:hAnsi="Verdana" w:cs="Tahoma"/>
          <w:sz w:val="20"/>
          <w:szCs w:val="20"/>
          <w:lang w:val="en-US"/>
        </w:rPr>
        <w:t>(</w:t>
      </w:r>
      <w:r w:rsidRPr="00EA6C7A">
        <w:rPr>
          <w:rFonts w:ascii="Verdana" w:eastAsia="Calibri" w:hAnsi="Verdana" w:cs="Tahoma"/>
          <w:sz w:val="20"/>
          <w:szCs w:val="20"/>
          <w:lang w:val="en-US"/>
        </w:rPr>
        <w:t>b)</w:t>
      </w:r>
      <w:r w:rsidR="00D5307F" w:rsidRPr="00EA6C7A">
        <w:rPr>
          <w:rFonts w:ascii="Verdana" w:eastAsia="Calibri" w:hAnsi="Verdana" w:cs="Tahoma"/>
          <w:sz w:val="20"/>
          <w:szCs w:val="20"/>
          <w:lang w:val="en-US"/>
        </w:rPr>
        <w:t xml:space="preserve"> of the </w:t>
      </w:r>
      <w:r w:rsidRPr="00EA6C7A">
        <w:rPr>
          <w:rFonts w:ascii="Verdana" w:eastAsia="Calibri" w:hAnsi="Verdana" w:cs="Tahoma"/>
          <w:sz w:val="20"/>
          <w:szCs w:val="20"/>
          <w:lang w:val="en-US"/>
        </w:rPr>
        <w:t>“</w:t>
      </w:r>
      <w:r w:rsidR="00F912BD" w:rsidRPr="00EA6C7A">
        <w:rPr>
          <w:rFonts w:ascii="Verdana" w:eastAsia="Calibri" w:hAnsi="Verdana" w:cs="Tahoma"/>
          <w:sz w:val="20"/>
          <w:szCs w:val="20"/>
          <w:lang w:val="en-US"/>
        </w:rPr>
        <w:t>Convention of</w:t>
      </w:r>
      <w:r w:rsidRPr="00EA6C7A">
        <w:rPr>
          <w:rFonts w:ascii="Verdana" w:eastAsia="Calibri" w:hAnsi="Verdana" w:cs="Tahoma"/>
          <w:sz w:val="20"/>
          <w:szCs w:val="20"/>
          <w:lang w:val="en-US"/>
        </w:rPr>
        <w:t xml:space="preserve"> Belem do Pará” </w:t>
      </w:r>
      <w:r w:rsidR="00736990" w:rsidRPr="00EA6C7A">
        <w:rPr>
          <w:rFonts w:ascii="Verdana" w:eastAsia="Calibri" w:hAnsi="Verdana" w:cs="Tahoma"/>
          <w:sz w:val="20"/>
          <w:szCs w:val="20"/>
          <w:lang w:val="en-US"/>
        </w:rPr>
        <w:t xml:space="preserve">together with </w:t>
      </w:r>
      <w:r w:rsidR="00515C34" w:rsidRPr="00EA6C7A">
        <w:rPr>
          <w:rFonts w:ascii="Verdana" w:eastAsia="Calibri" w:hAnsi="Verdana" w:cs="Tahoma"/>
          <w:sz w:val="20"/>
          <w:szCs w:val="20"/>
          <w:lang w:val="en-US"/>
        </w:rPr>
        <w:t>the right to</w:t>
      </w:r>
      <w:r w:rsidR="00736990" w:rsidRPr="00EA6C7A">
        <w:rPr>
          <w:rFonts w:ascii="Verdana" w:eastAsia="Calibri" w:hAnsi="Verdana" w:cs="Tahoma"/>
          <w:sz w:val="20"/>
          <w:szCs w:val="20"/>
          <w:lang w:val="en-US"/>
        </w:rPr>
        <w:t xml:space="preserve"> judicial guarantees</w:t>
      </w:r>
      <w:r w:rsidRPr="00EA6C7A">
        <w:rPr>
          <w:rFonts w:ascii="Verdana" w:eastAsia="Calibri" w:hAnsi="Verdana" w:cs="Tahoma"/>
          <w:sz w:val="20"/>
          <w:szCs w:val="20"/>
          <w:lang w:val="en-US"/>
        </w:rPr>
        <w:t xml:space="preserve"> </w:t>
      </w:r>
      <w:r w:rsidR="00D948A1" w:rsidRPr="00EA6C7A">
        <w:rPr>
          <w:rFonts w:ascii="Verdana" w:eastAsia="Calibri" w:hAnsi="Verdana" w:cs="Tahoma"/>
          <w:sz w:val="20"/>
          <w:szCs w:val="20"/>
          <w:lang w:val="en-US"/>
        </w:rPr>
        <w:t xml:space="preserve">and </w:t>
      </w:r>
      <w:r w:rsidR="00F4629D" w:rsidRPr="00EA6C7A">
        <w:rPr>
          <w:rFonts w:ascii="Verdana" w:eastAsia="Calibri" w:hAnsi="Verdana" w:cs="Tahoma"/>
          <w:sz w:val="20"/>
          <w:szCs w:val="20"/>
          <w:lang w:val="en-US"/>
        </w:rPr>
        <w:t>judicial protection</w:t>
      </w:r>
      <w:r w:rsidRPr="00EA6C7A">
        <w:rPr>
          <w:rFonts w:ascii="Verdana" w:eastAsia="Calibri" w:hAnsi="Verdana" w:cs="Tahoma"/>
          <w:sz w:val="20"/>
          <w:szCs w:val="20"/>
          <w:lang w:val="en-US"/>
        </w:rPr>
        <w:t xml:space="preserve"> (</w:t>
      </w:r>
      <w:r w:rsidR="00736990" w:rsidRPr="00EA6C7A">
        <w:rPr>
          <w:rFonts w:ascii="Verdana" w:eastAsia="Calibri" w:hAnsi="Verdana" w:cs="Tahoma"/>
          <w:sz w:val="20"/>
          <w:szCs w:val="20"/>
          <w:lang w:val="en-US"/>
        </w:rPr>
        <w:t xml:space="preserve">Articles </w:t>
      </w:r>
      <w:r w:rsidRPr="00EA6C7A">
        <w:rPr>
          <w:rFonts w:ascii="Verdana" w:eastAsia="Calibri" w:hAnsi="Verdana" w:cs="Tahoma"/>
          <w:sz w:val="20"/>
          <w:szCs w:val="20"/>
          <w:lang w:val="en-US"/>
        </w:rPr>
        <w:t>8</w:t>
      </w:r>
      <w:r w:rsidR="00736990" w:rsidRPr="00EA6C7A">
        <w:rPr>
          <w:rFonts w:ascii="Verdana" w:eastAsia="Calibri" w:hAnsi="Verdana" w:cs="Tahoma"/>
          <w:sz w:val="20"/>
          <w:szCs w:val="20"/>
          <w:lang w:val="en-US"/>
        </w:rPr>
        <w:t>(</w:t>
      </w:r>
      <w:r w:rsidRPr="00EA6C7A">
        <w:rPr>
          <w:rFonts w:ascii="Verdana" w:eastAsia="Calibri" w:hAnsi="Verdana" w:cs="Tahoma"/>
          <w:sz w:val="20"/>
          <w:szCs w:val="20"/>
          <w:lang w:val="en-US"/>
        </w:rPr>
        <w:t>1</w:t>
      </w:r>
      <w:r w:rsidR="00736990" w:rsidRPr="00EA6C7A">
        <w:rPr>
          <w:rFonts w:ascii="Verdana" w:eastAsia="Calibri" w:hAnsi="Verdana" w:cs="Tahoma"/>
          <w:sz w:val="20"/>
          <w:szCs w:val="20"/>
          <w:lang w:val="en-US"/>
        </w:rPr>
        <w:t>)</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25</w:t>
      </w:r>
      <w:r w:rsidR="0096418F" w:rsidRPr="00EA6C7A">
        <w:rPr>
          <w:rFonts w:ascii="Verdana" w:eastAsia="Calibri" w:hAnsi="Verdana" w:cs="Tahoma"/>
          <w:sz w:val="20"/>
          <w:szCs w:val="20"/>
          <w:lang w:val="en-US"/>
        </w:rPr>
        <w:t xml:space="preserve"> of the American Convention</w:t>
      </w:r>
      <w:r w:rsidRPr="00EA6C7A">
        <w:rPr>
          <w:rFonts w:ascii="Verdana" w:eastAsia="Calibri" w:hAnsi="Verdana" w:cs="Tahoma"/>
          <w:sz w:val="20"/>
          <w:szCs w:val="20"/>
          <w:lang w:val="en-US"/>
        </w:rPr>
        <w:t xml:space="preserve">) </w:t>
      </w:r>
      <w:r w:rsidR="00736990" w:rsidRPr="00EA6C7A">
        <w:rPr>
          <w:rFonts w:ascii="Verdana" w:eastAsia="Calibri" w:hAnsi="Verdana" w:cs="Tahoma"/>
          <w:sz w:val="20"/>
          <w:szCs w:val="20"/>
          <w:lang w:val="en-US"/>
        </w:rPr>
        <w:t xml:space="preserve">because the domestic proceedings instituted in that case did not constitute </w:t>
      </w:r>
      <w:r w:rsidR="00736990" w:rsidRPr="00EA6C7A">
        <w:rPr>
          <w:rFonts w:ascii="Verdana" w:hAnsi="Verdana" w:cs="Arial"/>
          <w:sz w:val="20"/>
          <w:szCs w:val="20"/>
          <w:lang w:val="en-US"/>
        </w:rPr>
        <w:t>“effective remedies to guarantee a true access to justice by the victims, within a reasonable time, that [would] include the elucidation of the facts, the investigation and punishment, as appropriate, of those responsible and the reparation of the violations to the right to life and integrity.</w:t>
      </w:r>
      <w:r w:rsidRPr="00EA6C7A">
        <w:rPr>
          <w:rFonts w:ascii="Verdana" w:eastAsia="Calibri" w:hAnsi="Verdana" w:cs="Tahoma"/>
          <w:sz w:val="20"/>
          <w:szCs w:val="20"/>
          <w:lang w:val="en-US"/>
        </w:rPr>
        <w:t>”</w:t>
      </w:r>
      <w:r w:rsidRPr="00EA6C7A">
        <w:rPr>
          <w:rFonts w:ascii="Verdana" w:eastAsia="Calibri" w:hAnsi="Verdana"/>
          <w:sz w:val="20"/>
          <w:szCs w:val="20"/>
          <w:vertAlign w:val="superscript"/>
          <w:lang w:val="en-US"/>
        </w:rPr>
        <w:footnoteReference w:id="14"/>
      </w:r>
    </w:p>
    <w:p w14:paraId="43D2DCB2" w14:textId="77777777" w:rsidR="00175ABB" w:rsidRPr="00EA6C7A" w:rsidRDefault="00175ABB" w:rsidP="00175ABB">
      <w:pPr>
        <w:spacing w:line="240" w:lineRule="auto"/>
        <w:jc w:val="both"/>
        <w:rPr>
          <w:rFonts w:ascii="Verdana" w:eastAsia="Calibri" w:hAnsi="Verdana" w:cs="Tahoma"/>
          <w:sz w:val="20"/>
          <w:szCs w:val="20"/>
          <w:lang w:val="en-US"/>
        </w:rPr>
      </w:pPr>
      <w:r w:rsidRPr="00EA6C7A">
        <w:rPr>
          <w:rFonts w:ascii="Verdana" w:eastAsia="Calibri" w:hAnsi="Verdana" w:cs="Tahoma"/>
          <w:sz w:val="20"/>
          <w:szCs w:val="20"/>
          <w:lang w:val="en-US"/>
        </w:rPr>
        <w:t xml:space="preserve">9. </w:t>
      </w:r>
      <w:r w:rsidRPr="00EA6C7A">
        <w:rPr>
          <w:rFonts w:ascii="Verdana" w:eastAsia="Calibri" w:hAnsi="Verdana" w:cs="Tahoma"/>
          <w:sz w:val="20"/>
          <w:szCs w:val="20"/>
          <w:lang w:val="en-US"/>
        </w:rPr>
        <w:tab/>
      </w:r>
      <w:r w:rsidR="00736990" w:rsidRPr="00EA6C7A">
        <w:rPr>
          <w:rFonts w:ascii="Verdana" w:eastAsia="Calibri" w:hAnsi="Verdana" w:cs="Tahoma"/>
          <w:sz w:val="20"/>
          <w:szCs w:val="20"/>
          <w:lang w:val="en-US"/>
        </w:rPr>
        <w:t>In</w:t>
      </w:r>
      <w:r w:rsidRPr="00EA6C7A">
        <w:rPr>
          <w:rFonts w:ascii="Verdana" w:eastAsia="Calibri" w:hAnsi="Verdana" w:cs="Tahoma"/>
          <w:sz w:val="20"/>
          <w:szCs w:val="20"/>
          <w:lang w:val="en-US"/>
        </w:rPr>
        <w:t xml:space="preserve"> 2009, </w:t>
      </w:r>
      <w:r w:rsidR="00736990" w:rsidRPr="00EA6C7A">
        <w:rPr>
          <w:rFonts w:ascii="Verdana" w:eastAsia="Calibri" w:hAnsi="Verdana" w:cs="Tahoma"/>
          <w:sz w:val="20"/>
          <w:szCs w:val="20"/>
          <w:lang w:val="en-US"/>
        </w:rPr>
        <w:t>in the case of</w:t>
      </w:r>
      <w:r w:rsidRPr="00EA6C7A">
        <w:rPr>
          <w:rFonts w:ascii="Verdana" w:eastAsia="Calibri" w:hAnsi="Verdana" w:cs="Tahoma"/>
          <w:i/>
          <w:sz w:val="20"/>
          <w:szCs w:val="20"/>
          <w:lang w:val="en-US"/>
        </w:rPr>
        <w:t xml:space="preserve"> </w:t>
      </w:r>
      <w:r w:rsidR="008B402D" w:rsidRPr="00EA6C7A">
        <w:rPr>
          <w:rFonts w:ascii="Verdana" w:eastAsia="Calibri" w:hAnsi="Verdana" w:cs="Tahoma"/>
          <w:bCs/>
          <w:i/>
          <w:color w:val="000000"/>
          <w:sz w:val="20"/>
          <w:szCs w:val="20"/>
          <w:shd w:val="clear" w:color="auto" w:fill="FFFFFF"/>
          <w:lang w:val="en-US"/>
        </w:rPr>
        <w:t>González et al.</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Cotton Field</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v.</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Mexico</w:t>
      </w:r>
      <w:r w:rsidRPr="00EA6C7A">
        <w:rPr>
          <w:rFonts w:ascii="Verdana" w:eastAsia="Calibri" w:hAnsi="Verdana" w:cs="Tahoma"/>
          <w:bCs/>
          <w:i/>
          <w:color w:val="000000"/>
          <w:sz w:val="20"/>
          <w:szCs w:val="20"/>
          <w:shd w:val="clear" w:color="auto" w:fill="FFFFFF"/>
          <w:lang w:val="en-US"/>
        </w:rPr>
        <w:t>,</w:t>
      </w:r>
      <w:r w:rsidRPr="00EA6C7A">
        <w:rPr>
          <w:rFonts w:ascii="Verdana" w:eastAsia="Calibri" w:hAnsi="Verdana" w:cs="Tahoma"/>
          <w:sz w:val="20"/>
          <w:szCs w:val="20"/>
          <w:lang w:val="en-US"/>
        </w:rPr>
        <w:t xml:space="preserve"> </w:t>
      </w:r>
      <w:r w:rsidR="0096418F" w:rsidRPr="00EA6C7A">
        <w:rPr>
          <w:rFonts w:ascii="Verdana" w:eastAsia="Calibri" w:hAnsi="Verdana" w:cs="Tahoma"/>
          <w:sz w:val="20"/>
          <w:szCs w:val="20"/>
          <w:lang w:val="en-US"/>
        </w:rPr>
        <w:t>the Court</w:t>
      </w:r>
      <w:r w:rsidRPr="00EA6C7A">
        <w:rPr>
          <w:rFonts w:ascii="Verdana" w:eastAsia="Calibri" w:hAnsi="Verdana" w:cs="Tahoma"/>
          <w:sz w:val="20"/>
          <w:szCs w:val="20"/>
          <w:lang w:val="en-US"/>
        </w:rPr>
        <w:t xml:space="preserve"> </w:t>
      </w:r>
      <w:r w:rsidR="00736990" w:rsidRPr="00EA6C7A">
        <w:rPr>
          <w:rFonts w:ascii="Verdana" w:eastAsia="Calibri" w:hAnsi="Verdana" w:cs="Tahoma"/>
          <w:sz w:val="20"/>
          <w:szCs w:val="20"/>
          <w:lang w:val="en-US"/>
        </w:rPr>
        <w:t xml:space="preserve">again had the occasion to examine facts that involved obligations under the “Convention of Belém do </w:t>
      </w:r>
      <w:r w:rsidR="00736990" w:rsidRPr="00EA6C7A">
        <w:rPr>
          <w:rFonts w:ascii="Verdana" w:eastAsia="Calibri" w:hAnsi="Verdana" w:cs="Tahoma"/>
          <w:sz w:val="20"/>
          <w:szCs w:val="20"/>
          <w:lang w:val="en-US"/>
        </w:rPr>
        <w:lastRenderedPageBreak/>
        <w:t xml:space="preserve">Pará.” </w:t>
      </w:r>
      <w:r w:rsidR="005F2D0A" w:rsidRPr="00EA6C7A">
        <w:rPr>
          <w:rFonts w:ascii="Verdana" w:eastAsia="Calibri" w:hAnsi="Verdana" w:cs="Tahoma"/>
          <w:sz w:val="20"/>
          <w:szCs w:val="20"/>
          <w:lang w:val="en-US"/>
        </w:rPr>
        <w:t xml:space="preserve">The case related to the context of gender-based violence in Mexico, and </w:t>
      </w:r>
      <w:r w:rsidR="00D5307F" w:rsidRPr="00EA6C7A">
        <w:rPr>
          <w:rFonts w:ascii="Verdana" w:eastAsia="Calibri" w:hAnsi="Verdana" w:cs="Tahoma"/>
          <w:sz w:val="20"/>
          <w:szCs w:val="20"/>
          <w:lang w:val="en-US"/>
        </w:rPr>
        <w:t>the Inter-American Court</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examined</w:t>
      </w:r>
      <w:r w:rsidRPr="00EA6C7A">
        <w:rPr>
          <w:rFonts w:ascii="Verdana" w:eastAsia="Calibri" w:hAnsi="Verdana" w:cs="Tahoma"/>
          <w:sz w:val="20"/>
          <w:szCs w:val="20"/>
          <w:lang w:val="en-US"/>
        </w:rPr>
        <w:t xml:space="preserve"> </w:t>
      </w:r>
      <w:r w:rsidR="0096418F" w:rsidRPr="00EA6C7A">
        <w:rPr>
          <w:rFonts w:ascii="Verdana" w:eastAsia="Calibri" w:hAnsi="Verdana" w:cs="Tahoma"/>
          <w:sz w:val="20"/>
          <w:szCs w:val="20"/>
          <w:lang w:val="en-US"/>
        </w:rPr>
        <w:t>Articles</w:t>
      </w:r>
      <w:r w:rsidRPr="00EA6C7A">
        <w:rPr>
          <w:rFonts w:ascii="Verdana" w:eastAsia="Calibri" w:hAnsi="Verdana" w:cs="Tahoma"/>
          <w:sz w:val="20"/>
          <w:szCs w:val="20"/>
          <w:lang w:val="en-US"/>
        </w:rPr>
        <w:t xml:space="preserve"> 4, 5</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7</w:t>
      </w:r>
      <w:r w:rsidR="0096418F" w:rsidRPr="00EA6C7A">
        <w:rPr>
          <w:rFonts w:ascii="Verdana" w:eastAsia="Calibri" w:hAnsi="Verdana" w:cs="Tahoma"/>
          <w:sz w:val="20"/>
          <w:szCs w:val="20"/>
          <w:lang w:val="en-US"/>
        </w:rPr>
        <w:t xml:space="preserve"> of the American Convention</w:t>
      </w:r>
      <w:r w:rsidR="00D948A1" w:rsidRPr="00EA6C7A">
        <w:rPr>
          <w:rFonts w:ascii="Verdana" w:eastAsia="Calibri" w:hAnsi="Verdana" w:cs="Tahoma"/>
          <w:sz w:val="20"/>
          <w:szCs w:val="20"/>
          <w:lang w:val="en-US"/>
        </w:rPr>
        <w:t xml:space="preserve"> and </w:t>
      </w:r>
      <w:r w:rsidR="005F2D0A" w:rsidRPr="00EA6C7A">
        <w:rPr>
          <w:rFonts w:ascii="Verdana" w:eastAsia="Calibri" w:hAnsi="Verdana" w:cs="Tahoma"/>
          <w:sz w:val="20"/>
          <w:szCs w:val="20"/>
          <w:lang w:val="en-US"/>
        </w:rPr>
        <w:t>the obligations arising from</w:t>
      </w:r>
      <w:r w:rsidRPr="00EA6C7A">
        <w:rPr>
          <w:rFonts w:ascii="Verdana" w:eastAsia="Calibri" w:hAnsi="Verdana" w:cs="Tahoma"/>
          <w:sz w:val="20"/>
          <w:szCs w:val="20"/>
          <w:lang w:val="en-US"/>
        </w:rPr>
        <w:t xml:space="preserve"> </w:t>
      </w:r>
      <w:r w:rsidR="0096418F" w:rsidRPr="00EA6C7A">
        <w:rPr>
          <w:rFonts w:ascii="Verdana" w:eastAsia="Calibri" w:hAnsi="Verdana" w:cs="Tahoma"/>
          <w:sz w:val="20"/>
          <w:szCs w:val="20"/>
          <w:lang w:val="en-US"/>
        </w:rPr>
        <w:t>Articles</w:t>
      </w:r>
      <w:r w:rsidRPr="00EA6C7A">
        <w:rPr>
          <w:rFonts w:ascii="Verdana" w:eastAsia="Calibri" w:hAnsi="Verdana" w:cs="Tahoma"/>
          <w:sz w:val="20"/>
          <w:szCs w:val="20"/>
          <w:lang w:val="en-US"/>
        </w:rPr>
        <w:t xml:space="preserve"> 7</w:t>
      </w:r>
      <w:r w:rsidR="005F2D0A" w:rsidRPr="00EA6C7A">
        <w:rPr>
          <w:rFonts w:ascii="Verdana" w:eastAsia="Calibri" w:hAnsi="Verdana" w:cs="Tahoma"/>
          <w:sz w:val="20"/>
          <w:szCs w:val="20"/>
          <w:lang w:val="en-US"/>
        </w:rPr>
        <w:t>(</w:t>
      </w:r>
      <w:r w:rsidRPr="00EA6C7A">
        <w:rPr>
          <w:rFonts w:ascii="Verdana" w:eastAsia="Calibri" w:hAnsi="Verdana" w:cs="Tahoma"/>
          <w:sz w:val="20"/>
          <w:szCs w:val="20"/>
          <w:lang w:val="en-US"/>
        </w:rPr>
        <w:t>b</w:t>
      </w:r>
      <w:r w:rsidR="005F2D0A" w:rsidRPr="00EA6C7A">
        <w:rPr>
          <w:rFonts w:ascii="Verdana" w:eastAsia="Calibri" w:hAnsi="Verdana" w:cs="Tahoma"/>
          <w:sz w:val="20"/>
          <w:szCs w:val="20"/>
          <w:lang w:val="en-US"/>
        </w:rPr>
        <w:t>)</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7</w:t>
      </w:r>
      <w:r w:rsidR="005F2D0A" w:rsidRPr="00EA6C7A">
        <w:rPr>
          <w:rFonts w:ascii="Verdana" w:eastAsia="Calibri" w:hAnsi="Verdana" w:cs="Tahoma"/>
          <w:sz w:val="20"/>
          <w:szCs w:val="20"/>
          <w:lang w:val="en-US"/>
        </w:rPr>
        <w:t>(</w:t>
      </w:r>
      <w:r w:rsidRPr="00EA6C7A">
        <w:rPr>
          <w:rFonts w:ascii="Verdana" w:eastAsia="Calibri" w:hAnsi="Verdana" w:cs="Tahoma"/>
          <w:sz w:val="20"/>
          <w:szCs w:val="20"/>
          <w:lang w:val="en-US"/>
        </w:rPr>
        <w:t>c</w:t>
      </w:r>
      <w:r w:rsidR="005F2D0A" w:rsidRPr="00EA6C7A">
        <w:rPr>
          <w:rFonts w:ascii="Verdana" w:eastAsia="Calibri" w:hAnsi="Verdana" w:cs="Tahoma"/>
          <w:sz w:val="20"/>
          <w:szCs w:val="20"/>
          <w:lang w:val="en-US"/>
        </w:rPr>
        <w:t>)</w:t>
      </w:r>
      <w:r w:rsidR="00D5307F" w:rsidRPr="00EA6C7A">
        <w:rPr>
          <w:rFonts w:ascii="Verdana" w:eastAsia="Calibri" w:hAnsi="Verdana" w:cs="Tahoma"/>
          <w:sz w:val="20"/>
          <w:szCs w:val="20"/>
          <w:lang w:val="en-US"/>
        </w:rPr>
        <w:t xml:space="preserve"> of the </w:t>
      </w:r>
      <w:r w:rsidRPr="00EA6C7A">
        <w:rPr>
          <w:rFonts w:ascii="Verdana" w:eastAsia="Calibri" w:hAnsi="Verdana" w:cs="Tahoma"/>
          <w:sz w:val="20"/>
          <w:szCs w:val="20"/>
          <w:lang w:val="en-US"/>
        </w:rPr>
        <w:t>“</w:t>
      </w:r>
      <w:r w:rsidR="00F912BD" w:rsidRPr="00EA6C7A">
        <w:rPr>
          <w:rFonts w:ascii="Verdana" w:eastAsia="Calibri" w:hAnsi="Verdana" w:cs="Tahoma"/>
          <w:sz w:val="20"/>
          <w:szCs w:val="20"/>
          <w:lang w:val="en-US"/>
        </w:rPr>
        <w:t>Convention of</w:t>
      </w:r>
      <w:r w:rsidRPr="00EA6C7A">
        <w:rPr>
          <w:rFonts w:ascii="Verdana" w:eastAsia="Calibri" w:hAnsi="Verdana" w:cs="Tahoma"/>
          <w:sz w:val="20"/>
          <w:szCs w:val="20"/>
          <w:lang w:val="en-US"/>
        </w:rPr>
        <w:t xml:space="preserve"> Belém do Pará”</w:t>
      </w:r>
      <w:r w:rsidR="005F2D0A" w:rsidRPr="00EA6C7A">
        <w:rPr>
          <w:rFonts w:ascii="Verdana" w:eastAsia="Calibri" w:hAnsi="Verdana" w:cs="Tahoma"/>
          <w:sz w:val="20"/>
          <w:szCs w:val="20"/>
          <w:lang w:val="en-US"/>
        </w:rPr>
        <w:t xml:space="preserve"> </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in relation to the general obligation</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to ensure rights</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 xml:space="preserve">Art. </w:t>
      </w:r>
      <w:r w:rsidRPr="00EA6C7A">
        <w:rPr>
          <w:rFonts w:ascii="Verdana" w:eastAsia="Calibri" w:hAnsi="Verdana" w:cs="Tahoma"/>
          <w:sz w:val="20"/>
          <w:szCs w:val="20"/>
          <w:lang w:val="en-US"/>
        </w:rPr>
        <w:t>1</w:t>
      </w:r>
      <w:r w:rsidR="005F2D0A" w:rsidRPr="00EA6C7A">
        <w:rPr>
          <w:rFonts w:ascii="Verdana" w:eastAsia="Calibri" w:hAnsi="Verdana" w:cs="Tahoma"/>
          <w:sz w:val="20"/>
          <w:szCs w:val="20"/>
          <w:lang w:val="en-US"/>
        </w:rPr>
        <w:t>(1)</w:t>
      </w:r>
      <w:r w:rsidR="0096418F" w:rsidRPr="00EA6C7A">
        <w:rPr>
          <w:rFonts w:ascii="Verdana" w:eastAsia="Calibri" w:hAnsi="Verdana" w:cs="Tahoma"/>
          <w:sz w:val="20"/>
          <w:szCs w:val="20"/>
          <w:lang w:val="en-US"/>
        </w:rPr>
        <w:t xml:space="preserve"> of the American Convention</w:t>
      </w:r>
      <w:r w:rsidRPr="00EA6C7A">
        <w:rPr>
          <w:rFonts w:ascii="Verdana" w:eastAsia="Calibri" w:hAnsi="Verdana" w:cs="Tahoma"/>
          <w:sz w:val="20"/>
          <w:szCs w:val="20"/>
          <w:lang w:val="en-US"/>
        </w:rPr>
        <w:t>)</w:t>
      </w:r>
      <w:r w:rsidR="00D948A1" w:rsidRPr="00EA6C7A">
        <w:rPr>
          <w:rFonts w:ascii="Verdana" w:eastAsia="Calibri" w:hAnsi="Verdana" w:cs="Tahoma"/>
          <w:sz w:val="20"/>
          <w:szCs w:val="20"/>
          <w:lang w:val="en-US"/>
        </w:rPr>
        <w:t xml:space="preserve"> and </w:t>
      </w:r>
      <w:r w:rsidR="005F2D0A" w:rsidRPr="00EA6C7A">
        <w:rPr>
          <w:rFonts w:ascii="Verdana" w:eastAsia="Calibri" w:hAnsi="Verdana" w:cs="Tahoma"/>
          <w:sz w:val="20"/>
          <w:szCs w:val="20"/>
          <w:lang w:val="en-US"/>
        </w:rPr>
        <w:t>the obligation</w:t>
      </w:r>
      <w:r w:rsidRPr="00EA6C7A">
        <w:rPr>
          <w:rFonts w:ascii="Verdana" w:eastAsia="Calibri" w:hAnsi="Verdana" w:cs="Tahoma"/>
          <w:sz w:val="20"/>
          <w:szCs w:val="20"/>
          <w:lang w:val="en-US"/>
        </w:rPr>
        <w:t xml:space="preserve"> </w:t>
      </w:r>
      <w:r w:rsidR="00471AEF" w:rsidRPr="00EA6C7A">
        <w:rPr>
          <w:rFonts w:ascii="Verdana" w:eastAsia="Calibri" w:hAnsi="Verdana" w:cs="Tahoma"/>
          <w:sz w:val="20"/>
          <w:szCs w:val="20"/>
          <w:lang w:val="en-US"/>
        </w:rPr>
        <w:t xml:space="preserve">to </w:t>
      </w:r>
      <w:r w:rsidR="005F2D0A" w:rsidRPr="00EA6C7A">
        <w:rPr>
          <w:rFonts w:ascii="Verdana" w:eastAsia="Calibri" w:hAnsi="Verdana" w:cs="Tahoma"/>
          <w:sz w:val="20"/>
          <w:szCs w:val="20"/>
          <w:lang w:val="en-US"/>
        </w:rPr>
        <w:t xml:space="preserve">adopt domestic legal provisions </w:t>
      </w:r>
      <w:r w:rsidRPr="00EA6C7A">
        <w:rPr>
          <w:rFonts w:ascii="Verdana" w:eastAsia="Calibri" w:hAnsi="Verdana" w:cs="Tahoma"/>
          <w:sz w:val="20"/>
          <w:szCs w:val="20"/>
          <w:lang w:val="en-US"/>
        </w:rPr>
        <w:t>(</w:t>
      </w:r>
      <w:r w:rsidR="005F2D0A" w:rsidRPr="00EA6C7A">
        <w:rPr>
          <w:rFonts w:ascii="Verdana" w:eastAsia="Calibri" w:hAnsi="Verdana" w:cs="Tahoma"/>
          <w:sz w:val="20"/>
          <w:szCs w:val="20"/>
          <w:lang w:val="en-US"/>
        </w:rPr>
        <w:t>A</w:t>
      </w:r>
      <w:r w:rsidRPr="00EA6C7A">
        <w:rPr>
          <w:rFonts w:ascii="Verdana" w:eastAsia="Calibri" w:hAnsi="Verdana" w:cs="Tahoma"/>
          <w:sz w:val="20"/>
          <w:szCs w:val="20"/>
          <w:lang w:val="en-US"/>
        </w:rPr>
        <w:t xml:space="preserve">rt. 2 </w:t>
      </w:r>
      <w:r w:rsidR="005F2D0A" w:rsidRPr="00EA6C7A">
        <w:rPr>
          <w:rFonts w:ascii="Verdana" w:eastAsia="Calibri" w:hAnsi="Verdana" w:cs="Tahoma"/>
          <w:sz w:val="20"/>
          <w:szCs w:val="20"/>
          <w:lang w:val="en-US"/>
        </w:rPr>
        <w:t>of the Pact of</w:t>
      </w:r>
      <w:r w:rsidRPr="00EA6C7A">
        <w:rPr>
          <w:rFonts w:ascii="Verdana" w:eastAsia="Calibri" w:hAnsi="Verdana" w:cs="Tahoma"/>
          <w:sz w:val="20"/>
          <w:szCs w:val="20"/>
          <w:lang w:val="en-US"/>
        </w:rPr>
        <w:t xml:space="preserve"> San José) </w:t>
      </w:r>
      <w:r w:rsidR="00123BD3" w:rsidRPr="00EA6C7A">
        <w:rPr>
          <w:rFonts w:ascii="Verdana" w:eastAsia="Calibri" w:hAnsi="Verdana" w:cs="Tahoma"/>
          <w:sz w:val="20"/>
          <w:szCs w:val="20"/>
          <w:lang w:val="en-US"/>
        </w:rPr>
        <w:t>to the detriment of</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 xml:space="preserve">the three women victims in the case. Consequently, in its judgment in that case, the Court established that the State had not acted with “the due diligence required to adequately prevent the attacks on the victims and their deaths,” an omission that had resulted in non-compliance with its obligation to ensure rights – placing the women victims in a situation of vulnerability – and the enhanced obligations imposed in cases of </w:t>
      </w:r>
      <w:r w:rsidR="00C12C08" w:rsidRPr="00EA6C7A">
        <w:rPr>
          <w:rFonts w:ascii="Verdana" w:eastAsia="Calibri" w:hAnsi="Verdana" w:cs="Tahoma"/>
          <w:sz w:val="20"/>
          <w:szCs w:val="20"/>
          <w:lang w:val="en-US"/>
        </w:rPr>
        <w:t>violence against women</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by</w:t>
      </w:r>
      <w:r w:rsidRPr="00EA6C7A">
        <w:rPr>
          <w:rFonts w:ascii="Verdana" w:eastAsia="Calibri" w:hAnsi="Verdana" w:cs="Tahoma"/>
          <w:sz w:val="20"/>
          <w:szCs w:val="20"/>
          <w:lang w:val="en-US"/>
        </w:rPr>
        <w:t xml:space="preserve"> </w:t>
      </w:r>
      <w:r w:rsidR="0096418F" w:rsidRPr="00EA6C7A">
        <w:rPr>
          <w:rFonts w:ascii="Verdana" w:eastAsia="Calibri" w:hAnsi="Verdana" w:cs="Tahoma"/>
          <w:sz w:val="20"/>
          <w:szCs w:val="20"/>
          <w:lang w:val="en-US"/>
        </w:rPr>
        <w:t>Article</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7(b)</w:t>
      </w:r>
      <w:r w:rsidR="00D5307F" w:rsidRPr="00EA6C7A">
        <w:rPr>
          <w:rFonts w:ascii="Verdana" w:eastAsia="Calibri" w:hAnsi="Verdana" w:cs="Tahoma"/>
          <w:sz w:val="20"/>
          <w:szCs w:val="20"/>
          <w:lang w:val="en-US"/>
        </w:rPr>
        <w:t xml:space="preserve"> of the </w:t>
      </w:r>
      <w:r w:rsidRPr="00EA6C7A">
        <w:rPr>
          <w:rFonts w:ascii="Verdana" w:eastAsia="Calibri" w:hAnsi="Verdana" w:cs="Tahoma"/>
          <w:sz w:val="20"/>
          <w:szCs w:val="20"/>
          <w:lang w:val="en-US"/>
        </w:rPr>
        <w:t>“</w:t>
      </w:r>
      <w:r w:rsidR="002C132E" w:rsidRPr="00EA6C7A">
        <w:rPr>
          <w:rFonts w:ascii="Verdana" w:eastAsia="Calibri" w:hAnsi="Verdana" w:cs="Tahoma"/>
          <w:sz w:val="20"/>
          <w:szCs w:val="20"/>
          <w:lang w:val="en-US"/>
        </w:rPr>
        <w:t>Convention of Belém</w:t>
      </w:r>
      <w:r w:rsidRPr="00EA6C7A">
        <w:rPr>
          <w:rFonts w:ascii="Verdana" w:eastAsia="Calibri" w:hAnsi="Verdana" w:cs="Tahoma"/>
          <w:sz w:val="20"/>
          <w:szCs w:val="20"/>
          <w:lang w:val="en-US"/>
        </w:rPr>
        <w:t xml:space="preserve"> do Pará</w:t>
      </w:r>
      <w:r w:rsidR="005F2D0A" w:rsidRPr="00EA6C7A">
        <w:rPr>
          <w:rFonts w:ascii="Verdana" w:eastAsia="Calibri" w:hAnsi="Verdana" w:cs="Tahoma"/>
          <w:sz w:val="20"/>
          <w:szCs w:val="20"/>
          <w:lang w:val="en-US"/>
        </w:rPr>
        <w:t>.</w:t>
      </w:r>
      <w:r w:rsidRPr="00EA6C7A">
        <w:rPr>
          <w:rFonts w:ascii="Verdana" w:eastAsia="Calibri" w:hAnsi="Verdana" w:cs="Tahoma"/>
          <w:sz w:val="20"/>
          <w:szCs w:val="20"/>
          <w:lang w:val="en-US"/>
        </w:rPr>
        <w:t>”</w:t>
      </w:r>
      <w:r w:rsidRPr="00EA6C7A">
        <w:rPr>
          <w:rFonts w:ascii="Verdana" w:eastAsia="Calibri" w:hAnsi="Verdana" w:cs="Tahoma"/>
          <w:sz w:val="20"/>
          <w:szCs w:val="20"/>
          <w:vertAlign w:val="superscript"/>
          <w:lang w:val="en-US"/>
        </w:rPr>
        <w:footnoteReference w:id="15"/>
      </w:r>
      <w:r w:rsidR="005F2D0A" w:rsidRPr="00EA6C7A">
        <w:rPr>
          <w:rFonts w:ascii="Verdana" w:eastAsia="Calibri" w:hAnsi="Verdana" w:cs="Tahoma"/>
          <w:sz w:val="20"/>
          <w:szCs w:val="20"/>
          <w:lang w:val="en-US"/>
        </w:rPr>
        <w:t xml:space="preserve"> Furthermore, with regard to </w:t>
      </w:r>
      <w:r w:rsidR="0096418F" w:rsidRPr="00EA6C7A">
        <w:rPr>
          <w:rFonts w:ascii="Verdana" w:eastAsia="Calibri" w:hAnsi="Verdana" w:cs="Tahoma"/>
          <w:sz w:val="20"/>
          <w:szCs w:val="20"/>
          <w:lang w:val="en-US"/>
        </w:rPr>
        <w:t>Article</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7(c)</w:t>
      </w:r>
      <w:r w:rsidRPr="00EA6C7A">
        <w:rPr>
          <w:rFonts w:ascii="Verdana" w:eastAsia="Calibri" w:hAnsi="Verdana" w:cs="Tahoma"/>
          <w:sz w:val="20"/>
          <w:szCs w:val="20"/>
          <w:lang w:val="en-US"/>
        </w:rPr>
        <w:t xml:space="preserve"> </w:t>
      </w:r>
      <w:r w:rsidR="002D218C" w:rsidRPr="00EA6C7A">
        <w:rPr>
          <w:rFonts w:ascii="Verdana" w:eastAsia="Calibri" w:hAnsi="Verdana" w:cs="Tahoma"/>
          <w:sz w:val="20"/>
          <w:szCs w:val="20"/>
          <w:lang w:val="en-US"/>
        </w:rPr>
        <w:t>of this instrument</w:t>
      </w:r>
      <w:r w:rsidRPr="00EA6C7A">
        <w:rPr>
          <w:rFonts w:ascii="Verdana" w:eastAsia="Calibri" w:hAnsi="Verdana" w:cs="Tahoma"/>
          <w:sz w:val="20"/>
          <w:szCs w:val="20"/>
          <w:lang w:val="en-US"/>
        </w:rPr>
        <w:t>,</w:t>
      </w:r>
      <w:r w:rsidR="005F2D0A" w:rsidRPr="00EA6C7A">
        <w:rPr>
          <w:rFonts w:ascii="Verdana" w:eastAsia="Calibri" w:hAnsi="Verdana" w:cs="Tahoma"/>
          <w:sz w:val="20"/>
          <w:szCs w:val="20"/>
          <w:lang w:val="en-US"/>
        </w:rPr>
        <w:t xml:space="preserve"> it determined that the State had not proved that it had adopted legislation or implemented the necessary measures, “pursuant to </w:t>
      </w:r>
      <w:r w:rsidR="0096418F" w:rsidRPr="00EA6C7A">
        <w:rPr>
          <w:rFonts w:ascii="Verdana" w:eastAsia="Calibri" w:hAnsi="Verdana" w:cs="Tahoma"/>
          <w:sz w:val="20"/>
          <w:szCs w:val="20"/>
          <w:lang w:val="en-US"/>
        </w:rPr>
        <w:t>Article</w:t>
      </w:r>
      <w:r w:rsidRPr="00EA6C7A">
        <w:rPr>
          <w:rFonts w:ascii="Verdana" w:eastAsia="Calibri" w:hAnsi="Verdana" w:cs="Tahoma"/>
          <w:sz w:val="20"/>
          <w:szCs w:val="20"/>
          <w:lang w:val="en-US"/>
        </w:rPr>
        <w:t xml:space="preserve"> 2</w:t>
      </w:r>
      <w:r w:rsidR="0096418F" w:rsidRPr="00EA6C7A">
        <w:rPr>
          <w:rFonts w:ascii="Verdana" w:eastAsia="Calibri" w:hAnsi="Verdana" w:cs="Tahoma"/>
          <w:sz w:val="20"/>
          <w:szCs w:val="20"/>
          <w:lang w:val="en-US"/>
        </w:rPr>
        <w:t xml:space="preserve"> of the American Convention</w:t>
      </w:r>
      <w:r w:rsidR="00D948A1" w:rsidRPr="00EA6C7A">
        <w:rPr>
          <w:rFonts w:ascii="Verdana" w:eastAsia="Calibri" w:hAnsi="Verdana" w:cs="Tahoma"/>
          <w:sz w:val="20"/>
          <w:szCs w:val="20"/>
          <w:lang w:val="en-US"/>
        </w:rPr>
        <w:t xml:space="preserve"> an</w:t>
      </w:r>
      <w:r w:rsidR="005F2D0A" w:rsidRPr="00EA6C7A">
        <w:rPr>
          <w:rFonts w:ascii="Verdana" w:eastAsia="Calibri" w:hAnsi="Verdana" w:cs="Tahoma"/>
          <w:sz w:val="20"/>
          <w:szCs w:val="20"/>
          <w:lang w:val="en-US"/>
        </w:rPr>
        <w:t>d</w:t>
      </w:r>
      <w:r w:rsidRPr="00EA6C7A">
        <w:rPr>
          <w:rFonts w:ascii="Verdana" w:eastAsia="Calibri" w:hAnsi="Verdana" w:cs="Tahoma"/>
          <w:sz w:val="20"/>
          <w:szCs w:val="20"/>
          <w:lang w:val="en-US"/>
        </w:rPr>
        <w:t xml:space="preserve"> </w:t>
      </w:r>
      <w:r w:rsidR="0096418F" w:rsidRPr="00EA6C7A">
        <w:rPr>
          <w:rFonts w:ascii="Verdana" w:eastAsia="Calibri" w:hAnsi="Verdana" w:cs="Tahoma"/>
          <w:sz w:val="20"/>
          <w:szCs w:val="20"/>
          <w:lang w:val="en-US"/>
        </w:rPr>
        <w:t>Article</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7(c)</w:t>
      </w:r>
      <w:r w:rsidR="00D5307F" w:rsidRPr="00EA6C7A">
        <w:rPr>
          <w:rFonts w:ascii="Verdana" w:eastAsia="Calibri" w:hAnsi="Verdana" w:cs="Tahoma"/>
          <w:sz w:val="20"/>
          <w:szCs w:val="20"/>
          <w:lang w:val="en-US"/>
        </w:rPr>
        <w:t xml:space="preserve"> of the </w:t>
      </w:r>
      <w:r w:rsidRPr="00EA6C7A">
        <w:rPr>
          <w:rFonts w:ascii="Verdana" w:eastAsia="Calibri" w:hAnsi="Verdana" w:cs="Tahoma"/>
          <w:sz w:val="20"/>
          <w:szCs w:val="20"/>
          <w:lang w:val="en-US"/>
        </w:rPr>
        <w:t>“</w:t>
      </w:r>
      <w:r w:rsidR="002C132E" w:rsidRPr="00EA6C7A">
        <w:rPr>
          <w:rFonts w:ascii="Verdana" w:eastAsia="Calibri" w:hAnsi="Verdana" w:cs="Tahoma"/>
          <w:sz w:val="20"/>
          <w:szCs w:val="20"/>
          <w:lang w:val="en-US"/>
        </w:rPr>
        <w:t>Convention of Belém</w:t>
      </w:r>
      <w:r w:rsidRPr="00EA6C7A">
        <w:rPr>
          <w:rFonts w:ascii="Verdana" w:eastAsia="Calibri" w:hAnsi="Verdana" w:cs="Tahoma"/>
          <w:sz w:val="20"/>
          <w:szCs w:val="20"/>
          <w:lang w:val="en-US"/>
        </w:rPr>
        <w:t xml:space="preserve"> do Pará”</w:t>
      </w:r>
      <w:r w:rsidR="005F2D0A" w:rsidRPr="00EA6C7A">
        <w:rPr>
          <w:rFonts w:ascii="Verdana" w:eastAsia="Calibri" w:hAnsi="Verdana" w:cs="Tahoma"/>
          <w:sz w:val="20"/>
          <w:szCs w:val="20"/>
          <w:lang w:val="en-US"/>
        </w:rPr>
        <w:t xml:space="preserve"> that would have allowed the authorities to provide an immediate and effective response</w:t>
      </w:r>
      <w:r w:rsidR="00F17EB0" w:rsidRPr="00EA6C7A">
        <w:rPr>
          <w:rFonts w:ascii="Verdana" w:eastAsia="Calibri" w:hAnsi="Verdana" w:cs="Tahoma"/>
          <w:sz w:val="20"/>
          <w:szCs w:val="20"/>
          <w:lang w:val="en-US"/>
        </w:rPr>
        <w:t xml:space="preserve"> to the </w:t>
      </w:r>
      <w:r w:rsidR="00ED2349" w:rsidRPr="00EA6C7A">
        <w:rPr>
          <w:rFonts w:ascii="Verdana" w:eastAsia="Calibri" w:hAnsi="Verdana" w:cs="Tahoma"/>
          <w:sz w:val="20"/>
          <w:szCs w:val="20"/>
          <w:lang w:val="en-US"/>
        </w:rPr>
        <w:t>missing person</w:t>
      </w:r>
      <w:r w:rsidR="00F17EB0" w:rsidRPr="00EA6C7A">
        <w:rPr>
          <w:rFonts w:ascii="Verdana" w:eastAsia="Calibri" w:hAnsi="Verdana" w:cs="Tahoma"/>
          <w:sz w:val="20"/>
          <w:szCs w:val="20"/>
          <w:lang w:val="en-US"/>
        </w:rPr>
        <w:t xml:space="preserve"> reports and adequately prevent </w:t>
      </w:r>
      <w:r w:rsidR="00C12C08" w:rsidRPr="00EA6C7A">
        <w:rPr>
          <w:rFonts w:ascii="Verdana" w:eastAsia="Calibri" w:hAnsi="Verdana" w:cs="Tahoma"/>
          <w:sz w:val="20"/>
          <w:szCs w:val="20"/>
          <w:lang w:val="en-US"/>
        </w:rPr>
        <w:t>violence against women</w:t>
      </w:r>
      <w:r w:rsidRPr="00EA6C7A">
        <w:rPr>
          <w:rFonts w:ascii="Verdana" w:eastAsia="Calibri" w:hAnsi="Verdana" w:cs="Tahoma"/>
          <w:sz w:val="20"/>
          <w:szCs w:val="20"/>
          <w:lang w:val="en-US"/>
        </w:rPr>
        <w:t>”</w:t>
      </w:r>
      <w:r w:rsidR="00F17EB0" w:rsidRPr="00EA6C7A">
        <w:rPr>
          <w:rFonts w:ascii="Verdana" w:eastAsia="Calibri" w:hAnsi="Verdana" w:cs="Tahoma"/>
          <w:sz w:val="20"/>
          <w:szCs w:val="20"/>
          <w:lang w:val="en-US"/>
        </w:rPr>
        <w:t xml:space="preserve">; moreover, it had not proved that it had “adopted norms or taken measures to ensure that the officials responsible for receiving reports had the capacity and the </w:t>
      </w:r>
      <w:r w:rsidR="000A7476" w:rsidRPr="00EA6C7A">
        <w:rPr>
          <w:rFonts w:ascii="Verdana" w:eastAsia="Calibri" w:hAnsi="Verdana" w:cs="Tahoma"/>
          <w:sz w:val="20"/>
          <w:szCs w:val="20"/>
          <w:lang w:val="en-US"/>
        </w:rPr>
        <w:t>sensitivity</w:t>
      </w:r>
      <w:r w:rsidR="00F17EB0" w:rsidRPr="00EA6C7A">
        <w:rPr>
          <w:rFonts w:ascii="Verdana" w:eastAsia="Calibri" w:hAnsi="Verdana" w:cs="Tahoma"/>
          <w:sz w:val="20"/>
          <w:szCs w:val="20"/>
          <w:lang w:val="en-US"/>
        </w:rPr>
        <w:t xml:space="preserve"> to understand the seriousness of the phenomenon of violence against women and the willingness to act immediately.</w:t>
      </w:r>
      <w:r w:rsidRPr="00EA6C7A">
        <w:rPr>
          <w:rFonts w:ascii="Verdana" w:eastAsia="Calibri" w:hAnsi="Verdana" w:cs="Tahoma"/>
          <w:sz w:val="20"/>
          <w:szCs w:val="20"/>
          <w:lang w:val="en-US"/>
        </w:rPr>
        <w:t>”</w:t>
      </w:r>
      <w:r w:rsidRPr="00EA6C7A">
        <w:rPr>
          <w:rFonts w:ascii="Verdana" w:eastAsia="Calibri" w:hAnsi="Verdana" w:cs="Tahoma"/>
          <w:sz w:val="20"/>
          <w:szCs w:val="20"/>
          <w:vertAlign w:val="superscript"/>
          <w:lang w:val="en-US"/>
        </w:rPr>
        <w:footnoteReference w:id="16"/>
      </w:r>
    </w:p>
    <w:p w14:paraId="0B695E6D"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Tahoma"/>
          <w:sz w:val="20"/>
          <w:szCs w:val="20"/>
          <w:lang w:val="en-US"/>
        </w:rPr>
      </w:pPr>
      <w:r w:rsidRPr="00EA6C7A">
        <w:rPr>
          <w:rFonts w:ascii="Verdana" w:eastAsia="Calibri" w:hAnsi="Verdana" w:cs="Tahoma"/>
          <w:sz w:val="20"/>
          <w:szCs w:val="20"/>
          <w:lang w:val="en-US"/>
        </w:rPr>
        <w:t xml:space="preserve">10. </w:t>
      </w:r>
      <w:r w:rsidRPr="00EA6C7A">
        <w:rPr>
          <w:rFonts w:ascii="Verdana" w:eastAsia="Calibri" w:hAnsi="Verdana" w:cs="Tahoma"/>
          <w:sz w:val="20"/>
          <w:szCs w:val="20"/>
          <w:lang w:val="en-US"/>
        </w:rPr>
        <w:tab/>
      </w:r>
      <w:r w:rsidR="00F17EB0" w:rsidRPr="00EA6C7A">
        <w:rPr>
          <w:rFonts w:ascii="Verdana" w:eastAsia="Calibri" w:hAnsi="Verdana" w:cs="Tahoma"/>
          <w:sz w:val="20"/>
          <w:szCs w:val="20"/>
          <w:lang w:val="en-US"/>
        </w:rPr>
        <w:t>The same year</w:t>
      </w:r>
      <w:r w:rsidRPr="00EA6C7A">
        <w:rPr>
          <w:rFonts w:ascii="Verdana" w:eastAsia="Calibri" w:hAnsi="Verdana" w:cs="Tahoma"/>
          <w:sz w:val="20"/>
          <w:szCs w:val="20"/>
          <w:lang w:val="en-US"/>
        </w:rPr>
        <w:t xml:space="preserve">, </w:t>
      </w:r>
      <w:r w:rsidR="0096418F" w:rsidRPr="00EA6C7A">
        <w:rPr>
          <w:rFonts w:ascii="Verdana" w:eastAsia="Calibri" w:hAnsi="Verdana" w:cs="Tahoma"/>
          <w:sz w:val="20"/>
          <w:szCs w:val="20"/>
          <w:lang w:val="en-US"/>
        </w:rPr>
        <w:t xml:space="preserve">the </w:t>
      </w:r>
      <w:r w:rsidR="009939AC" w:rsidRPr="00EA6C7A">
        <w:rPr>
          <w:rFonts w:ascii="Verdana" w:eastAsia="Calibri" w:hAnsi="Verdana" w:cs="Tahoma"/>
          <w:sz w:val="20"/>
          <w:szCs w:val="20"/>
          <w:lang w:val="en-US"/>
        </w:rPr>
        <w:t>Court</w:t>
      </w:r>
      <w:r w:rsidRPr="00EA6C7A">
        <w:rPr>
          <w:rFonts w:ascii="Verdana" w:eastAsia="Calibri" w:hAnsi="Verdana" w:cs="Tahoma"/>
          <w:sz w:val="20"/>
          <w:szCs w:val="20"/>
          <w:lang w:val="en-US"/>
        </w:rPr>
        <w:t xml:space="preserve"> </w:t>
      </w:r>
      <w:r w:rsidR="00F17EB0" w:rsidRPr="00EA6C7A">
        <w:rPr>
          <w:rFonts w:ascii="Verdana" w:eastAsia="Calibri" w:hAnsi="Verdana" w:cs="Tahoma"/>
          <w:sz w:val="20"/>
          <w:szCs w:val="20"/>
          <w:lang w:val="en-US"/>
        </w:rPr>
        <w:t>again invoked the</w:t>
      </w:r>
      <w:r w:rsidRPr="00EA6C7A">
        <w:rPr>
          <w:rFonts w:ascii="Verdana" w:eastAsia="Calibri" w:hAnsi="Verdana" w:cs="Tahoma"/>
          <w:sz w:val="20"/>
          <w:szCs w:val="20"/>
          <w:lang w:val="en-US"/>
        </w:rPr>
        <w:t xml:space="preserve"> “</w:t>
      </w:r>
      <w:r w:rsidR="00F912BD" w:rsidRPr="00EA6C7A">
        <w:rPr>
          <w:rFonts w:ascii="Verdana" w:eastAsia="Calibri" w:hAnsi="Verdana" w:cs="Tahoma"/>
          <w:sz w:val="20"/>
          <w:szCs w:val="20"/>
          <w:lang w:val="en-US"/>
        </w:rPr>
        <w:t>Convention of</w:t>
      </w:r>
      <w:r w:rsidRPr="00EA6C7A">
        <w:rPr>
          <w:rFonts w:ascii="Verdana" w:eastAsia="Calibri" w:hAnsi="Verdana" w:cs="Tahoma"/>
          <w:sz w:val="20"/>
          <w:szCs w:val="20"/>
          <w:lang w:val="en-US"/>
        </w:rPr>
        <w:t xml:space="preserve"> Belém do Pará” </w:t>
      </w:r>
      <w:r w:rsidR="00F17EB0" w:rsidRPr="00EA6C7A">
        <w:rPr>
          <w:rFonts w:ascii="Verdana" w:eastAsia="Calibri" w:hAnsi="Verdana" w:cs="Tahoma"/>
          <w:sz w:val="20"/>
          <w:szCs w:val="20"/>
          <w:lang w:val="en-US"/>
        </w:rPr>
        <w:t xml:space="preserve">in the judgment in the case of the </w:t>
      </w:r>
      <w:r w:rsidR="00F17EB0" w:rsidRPr="00EA6C7A">
        <w:rPr>
          <w:rFonts w:ascii="Verdana" w:eastAsia="Calibri" w:hAnsi="Verdana" w:cs="Tahoma"/>
          <w:bCs/>
          <w:i/>
          <w:color w:val="000000"/>
          <w:sz w:val="20"/>
          <w:szCs w:val="20"/>
          <w:shd w:val="clear" w:color="auto" w:fill="FFFFFF"/>
          <w:lang w:val="en-US"/>
        </w:rPr>
        <w:t>L</w:t>
      </w:r>
      <w:r w:rsidRPr="00EA6C7A">
        <w:rPr>
          <w:rFonts w:ascii="Verdana" w:eastAsia="Calibri" w:hAnsi="Verdana" w:cs="Tahoma"/>
          <w:bCs/>
          <w:i/>
          <w:color w:val="000000"/>
          <w:sz w:val="20"/>
          <w:szCs w:val="20"/>
          <w:shd w:val="clear" w:color="auto" w:fill="FFFFFF"/>
          <w:lang w:val="en-US"/>
        </w:rPr>
        <w:t>as Dos Erres</w:t>
      </w:r>
      <w:r w:rsidR="00F17EB0" w:rsidRPr="00EA6C7A">
        <w:rPr>
          <w:rFonts w:ascii="Verdana" w:eastAsia="Calibri" w:hAnsi="Verdana" w:cs="Tahoma"/>
          <w:bCs/>
          <w:i/>
          <w:color w:val="000000"/>
          <w:sz w:val="20"/>
          <w:szCs w:val="20"/>
          <w:shd w:val="clear" w:color="auto" w:fill="FFFFFF"/>
          <w:lang w:val="en-US"/>
        </w:rPr>
        <w:t xml:space="preserve"> Massacre</w:t>
      </w:r>
      <w:r w:rsidRPr="00EA6C7A">
        <w:rPr>
          <w:rFonts w:ascii="Verdana" w:eastAsia="Calibri" w:hAnsi="Verdana" w:cs="Tahoma"/>
          <w:bCs/>
          <w:i/>
          <w:color w:val="000000"/>
          <w:sz w:val="20"/>
          <w:szCs w:val="20"/>
          <w:shd w:val="clear" w:color="auto" w:fill="FFFFFF"/>
          <w:lang w:val="en-US"/>
        </w:rPr>
        <w:t xml:space="preserve"> v. Guatemala</w:t>
      </w:r>
      <w:r w:rsidR="00F17EB0" w:rsidRPr="00EA6C7A">
        <w:rPr>
          <w:rFonts w:ascii="Verdana" w:eastAsia="Calibri" w:hAnsi="Verdana" w:cs="Tahoma"/>
          <w:bCs/>
          <w:i/>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17"/>
      </w:r>
      <w:r w:rsidR="00F17EB0" w:rsidRPr="00EA6C7A">
        <w:rPr>
          <w:rFonts w:ascii="Verdana" w:eastAsia="Calibri" w:hAnsi="Verdana" w:cs="Tahoma"/>
          <w:bCs/>
          <w:iCs/>
          <w:color w:val="000000"/>
          <w:sz w:val="20"/>
          <w:szCs w:val="20"/>
          <w:shd w:val="clear" w:color="auto" w:fill="FFFFFF"/>
          <w:lang w:val="en-US"/>
        </w:rPr>
        <w:t xml:space="preserve"> as a result of the violations of </w:t>
      </w:r>
      <w:r w:rsidR="00F17EB0" w:rsidRPr="00EA6C7A">
        <w:rPr>
          <w:rFonts w:ascii="Verdana" w:eastAsia="Calibri" w:hAnsi="Verdana" w:cs="Tahoma"/>
          <w:sz w:val="20"/>
          <w:szCs w:val="20"/>
          <w:lang w:val="en-US"/>
        </w:rPr>
        <w:t>life, torture and acts of</w:t>
      </w:r>
      <w:r w:rsidRPr="00EA6C7A">
        <w:rPr>
          <w:rFonts w:ascii="Verdana" w:eastAsia="Calibri" w:hAnsi="Verdana" w:cs="Tahoma"/>
          <w:sz w:val="20"/>
          <w:szCs w:val="20"/>
          <w:lang w:val="en-US"/>
        </w:rPr>
        <w:t xml:space="preserve"> </w:t>
      </w:r>
      <w:r w:rsidR="00C12C08" w:rsidRPr="00EA6C7A">
        <w:rPr>
          <w:rFonts w:ascii="Verdana" w:eastAsia="Calibri" w:hAnsi="Verdana" w:cs="Tahoma"/>
          <w:sz w:val="20"/>
          <w:szCs w:val="20"/>
          <w:lang w:val="en-US"/>
        </w:rPr>
        <w:t>violence against women</w:t>
      </w:r>
      <w:r w:rsidRPr="00EA6C7A">
        <w:rPr>
          <w:rFonts w:ascii="Verdana" w:eastAsia="Calibri" w:hAnsi="Verdana" w:cs="Tahoma"/>
          <w:sz w:val="20"/>
          <w:szCs w:val="20"/>
          <w:lang w:val="en-US"/>
        </w:rPr>
        <w:t xml:space="preserve"> v</w:t>
      </w:r>
      <w:r w:rsidR="00F17EB0" w:rsidRPr="00EA6C7A">
        <w:rPr>
          <w:rFonts w:ascii="Verdana" w:eastAsia="Calibri" w:hAnsi="Verdana" w:cs="Tahoma"/>
          <w:sz w:val="20"/>
          <w:szCs w:val="20"/>
          <w:lang w:val="en-US"/>
        </w:rPr>
        <w:t>ictims perpetrated during the massacre;</w:t>
      </w:r>
      <w:r w:rsidRPr="00EA6C7A">
        <w:rPr>
          <w:rFonts w:ascii="Verdana" w:eastAsia="Calibri" w:hAnsi="Verdana" w:cs="Tahoma"/>
          <w:vertAlign w:val="superscript"/>
          <w:lang w:val="en-US"/>
        </w:rPr>
        <w:footnoteReference w:id="18"/>
      </w:r>
      <w:r w:rsidRPr="00EA6C7A">
        <w:rPr>
          <w:rFonts w:ascii="Verdana" w:eastAsia="Calibri" w:hAnsi="Verdana" w:cs="Tahoma"/>
          <w:sz w:val="20"/>
          <w:szCs w:val="20"/>
          <w:lang w:val="en-US"/>
        </w:rPr>
        <w:t xml:space="preserve"> consider</w:t>
      </w:r>
      <w:r w:rsidR="00F17EB0" w:rsidRPr="00EA6C7A">
        <w:rPr>
          <w:rFonts w:ascii="Verdana" w:eastAsia="Calibri" w:hAnsi="Verdana" w:cs="Tahoma"/>
          <w:sz w:val="20"/>
          <w:szCs w:val="20"/>
          <w:lang w:val="en-US"/>
        </w:rPr>
        <w:t>ing that</w:t>
      </w:r>
      <w:r w:rsidRPr="00EA6C7A">
        <w:rPr>
          <w:rFonts w:ascii="Verdana" w:eastAsia="Calibri" w:hAnsi="Verdana" w:cs="Tahoma"/>
          <w:sz w:val="20"/>
          <w:szCs w:val="20"/>
          <w:lang w:val="en-US"/>
        </w:rPr>
        <w:t xml:space="preserve"> </w:t>
      </w:r>
      <w:r w:rsidR="00515C34" w:rsidRPr="00EA6C7A">
        <w:rPr>
          <w:rFonts w:ascii="Verdana" w:eastAsia="Calibri" w:hAnsi="Verdana" w:cs="Tahoma"/>
          <w:sz w:val="20"/>
          <w:szCs w:val="20"/>
          <w:lang w:val="en-US"/>
        </w:rPr>
        <w:t>Articles 8(1)</w:t>
      </w:r>
      <w:r w:rsidR="00D948A1" w:rsidRPr="00EA6C7A">
        <w:rPr>
          <w:rFonts w:ascii="Verdana" w:eastAsia="Calibri" w:hAnsi="Verdana" w:cs="Tahoma"/>
          <w:sz w:val="20"/>
          <w:szCs w:val="20"/>
          <w:lang w:val="en-US"/>
        </w:rPr>
        <w:t xml:space="preserve"> and </w:t>
      </w:r>
      <w:r w:rsidR="00715B6F" w:rsidRPr="00EA6C7A">
        <w:rPr>
          <w:rFonts w:ascii="Verdana" w:eastAsia="Calibri" w:hAnsi="Verdana" w:cs="Tahoma"/>
          <w:sz w:val="20"/>
          <w:szCs w:val="20"/>
          <w:lang w:val="en-US"/>
        </w:rPr>
        <w:t>25(1)</w:t>
      </w:r>
      <w:r w:rsidR="0096418F" w:rsidRPr="00EA6C7A">
        <w:rPr>
          <w:rFonts w:ascii="Verdana" w:eastAsia="Calibri" w:hAnsi="Verdana" w:cs="Tahoma"/>
          <w:sz w:val="20"/>
          <w:szCs w:val="20"/>
          <w:lang w:val="en-US"/>
        </w:rPr>
        <w:t xml:space="preserve"> of the American Convention</w:t>
      </w:r>
      <w:r w:rsidRPr="00EA6C7A">
        <w:rPr>
          <w:rFonts w:ascii="Verdana" w:eastAsia="Calibri" w:hAnsi="Verdana" w:cs="Tahoma"/>
          <w:sz w:val="20"/>
          <w:szCs w:val="20"/>
          <w:lang w:val="en-US"/>
        </w:rPr>
        <w:t>,</w:t>
      </w:r>
      <w:r w:rsidR="00D948A1" w:rsidRPr="00EA6C7A">
        <w:rPr>
          <w:rFonts w:ascii="Verdana" w:eastAsia="Calibri" w:hAnsi="Verdana" w:cs="Tahoma"/>
          <w:sz w:val="20"/>
          <w:szCs w:val="20"/>
          <w:lang w:val="en-US"/>
        </w:rPr>
        <w:t xml:space="preserve"> and </w:t>
      </w:r>
      <w:r w:rsidR="0096418F" w:rsidRPr="00EA6C7A">
        <w:rPr>
          <w:rFonts w:ascii="Verdana" w:eastAsia="Calibri" w:hAnsi="Verdana" w:cs="Tahoma"/>
          <w:sz w:val="20"/>
          <w:szCs w:val="20"/>
          <w:lang w:val="en-US"/>
        </w:rPr>
        <w:t>Articles</w:t>
      </w:r>
      <w:r w:rsidRPr="00EA6C7A">
        <w:rPr>
          <w:rFonts w:ascii="Verdana" w:eastAsia="Calibri" w:hAnsi="Verdana" w:cs="Tahoma"/>
          <w:sz w:val="20"/>
          <w:szCs w:val="20"/>
          <w:lang w:val="en-US"/>
        </w:rPr>
        <w:t xml:space="preserve"> 1, 6</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8</w:t>
      </w:r>
      <w:r w:rsidR="0096418F" w:rsidRPr="00EA6C7A">
        <w:rPr>
          <w:rFonts w:ascii="Verdana" w:eastAsia="Calibri" w:hAnsi="Verdana" w:cs="Tahoma"/>
          <w:sz w:val="20"/>
          <w:szCs w:val="20"/>
          <w:lang w:val="en-US"/>
        </w:rPr>
        <w:t xml:space="preserve"> of the </w:t>
      </w:r>
      <w:r w:rsidR="00F17EB0" w:rsidRPr="00EA6C7A">
        <w:rPr>
          <w:rFonts w:ascii="Verdana" w:eastAsia="Calibri" w:hAnsi="Verdana" w:cs="Tahoma"/>
          <w:sz w:val="20"/>
          <w:szCs w:val="20"/>
          <w:lang w:val="en-US"/>
        </w:rPr>
        <w:t xml:space="preserve">Inter-American </w:t>
      </w:r>
      <w:r w:rsidR="0096418F" w:rsidRPr="00EA6C7A">
        <w:rPr>
          <w:rFonts w:ascii="Verdana" w:eastAsia="Calibri" w:hAnsi="Verdana" w:cs="Tahoma"/>
          <w:sz w:val="20"/>
          <w:szCs w:val="20"/>
          <w:lang w:val="en-US"/>
        </w:rPr>
        <w:t>Convention</w:t>
      </w:r>
      <w:r w:rsidR="00F17EB0" w:rsidRPr="00EA6C7A">
        <w:rPr>
          <w:rFonts w:ascii="Verdana" w:eastAsia="Calibri" w:hAnsi="Verdana" w:cs="Tahoma"/>
          <w:sz w:val="20"/>
          <w:szCs w:val="20"/>
          <w:lang w:val="en-US"/>
        </w:rPr>
        <w:t xml:space="preserve"> to Prevent and Punish Torture</w:t>
      </w:r>
      <w:r w:rsidRPr="00EA6C7A">
        <w:rPr>
          <w:rFonts w:ascii="Verdana" w:eastAsia="Calibri" w:hAnsi="Verdana" w:cs="Tahoma"/>
          <w:sz w:val="20"/>
          <w:szCs w:val="20"/>
          <w:lang w:val="en-US"/>
        </w:rPr>
        <w:t>,</w:t>
      </w:r>
      <w:r w:rsidR="00D948A1" w:rsidRPr="00EA6C7A">
        <w:rPr>
          <w:rFonts w:ascii="Verdana" w:eastAsia="Calibri" w:hAnsi="Verdana" w:cs="Tahoma"/>
          <w:sz w:val="20"/>
          <w:szCs w:val="20"/>
          <w:lang w:val="en-US"/>
        </w:rPr>
        <w:t xml:space="preserve"> and </w:t>
      </w:r>
      <w:r w:rsidR="005F2D0A" w:rsidRPr="00EA6C7A">
        <w:rPr>
          <w:rFonts w:ascii="Verdana" w:eastAsia="Calibri" w:hAnsi="Verdana" w:cs="Tahoma"/>
          <w:sz w:val="20"/>
          <w:szCs w:val="20"/>
          <w:lang w:val="en-US"/>
        </w:rPr>
        <w:t>7(b)</w:t>
      </w:r>
      <w:r w:rsidRPr="00EA6C7A">
        <w:rPr>
          <w:rFonts w:ascii="Verdana" w:eastAsia="Calibri" w:hAnsi="Verdana" w:cs="Tahoma"/>
          <w:sz w:val="20"/>
          <w:szCs w:val="20"/>
          <w:lang w:val="en-US"/>
        </w:rPr>
        <w:t>)</w:t>
      </w:r>
      <w:r w:rsidR="00D5307F" w:rsidRPr="00EA6C7A">
        <w:rPr>
          <w:rFonts w:ascii="Verdana" w:eastAsia="Calibri" w:hAnsi="Verdana" w:cs="Tahoma"/>
          <w:sz w:val="20"/>
          <w:szCs w:val="20"/>
          <w:lang w:val="en-US"/>
        </w:rPr>
        <w:t xml:space="preserve"> of the </w:t>
      </w:r>
      <w:r w:rsidRPr="00EA6C7A">
        <w:rPr>
          <w:rFonts w:ascii="Verdana" w:eastAsia="Calibri" w:hAnsi="Verdana" w:cs="Tahoma"/>
          <w:sz w:val="20"/>
          <w:szCs w:val="20"/>
          <w:lang w:val="en-US"/>
        </w:rPr>
        <w:t>“</w:t>
      </w:r>
      <w:r w:rsidR="002C132E" w:rsidRPr="00EA6C7A">
        <w:rPr>
          <w:rFonts w:ascii="Verdana" w:eastAsia="Calibri" w:hAnsi="Verdana" w:cs="Tahoma"/>
          <w:sz w:val="20"/>
          <w:szCs w:val="20"/>
          <w:lang w:val="en-US"/>
        </w:rPr>
        <w:t>Convention of Belém</w:t>
      </w:r>
      <w:r w:rsidRPr="00EA6C7A">
        <w:rPr>
          <w:rFonts w:ascii="Verdana" w:eastAsia="Calibri" w:hAnsi="Verdana" w:cs="Tahoma"/>
          <w:sz w:val="20"/>
          <w:szCs w:val="20"/>
          <w:lang w:val="en-US"/>
        </w:rPr>
        <w:t xml:space="preserve"> do Pará”</w:t>
      </w:r>
      <w:r w:rsidR="00F17EB0" w:rsidRPr="00EA6C7A">
        <w:rPr>
          <w:rFonts w:ascii="Verdana" w:eastAsia="Calibri" w:hAnsi="Verdana" w:cs="Tahoma"/>
          <w:sz w:val="20"/>
          <w:szCs w:val="20"/>
          <w:lang w:val="en-US"/>
        </w:rPr>
        <w:t xml:space="preserve"> had been violated</w:t>
      </w:r>
      <w:r w:rsidRPr="00EA6C7A">
        <w:rPr>
          <w:rFonts w:ascii="Verdana" w:eastAsia="Calibri" w:hAnsi="Verdana" w:cs="Tahoma"/>
          <w:sz w:val="20"/>
          <w:szCs w:val="20"/>
          <w:lang w:val="en-US"/>
        </w:rPr>
        <w:t xml:space="preserve"> </w:t>
      </w:r>
      <w:r w:rsidR="00123BD3" w:rsidRPr="00EA6C7A">
        <w:rPr>
          <w:rFonts w:ascii="Verdana" w:eastAsia="Calibri" w:hAnsi="Verdana" w:cs="Tahoma"/>
          <w:sz w:val="20"/>
          <w:szCs w:val="20"/>
          <w:lang w:val="en-US"/>
        </w:rPr>
        <w:t>to the detriment of</w:t>
      </w:r>
      <w:r w:rsidRPr="00EA6C7A">
        <w:rPr>
          <w:rFonts w:ascii="Verdana" w:eastAsia="Calibri" w:hAnsi="Verdana" w:cs="Tahoma"/>
          <w:sz w:val="20"/>
          <w:szCs w:val="20"/>
          <w:lang w:val="en-US"/>
        </w:rPr>
        <w:t xml:space="preserve"> 155 </w:t>
      </w:r>
      <w:r w:rsidR="00F17EB0" w:rsidRPr="00EA6C7A">
        <w:rPr>
          <w:rFonts w:ascii="Verdana" w:eastAsia="Calibri" w:hAnsi="Verdana" w:cs="Tahoma"/>
          <w:sz w:val="20"/>
          <w:szCs w:val="20"/>
          <w:lang w:val="en-US"/>
        </w:rPr>
        <w:t xml:space="preserve">victims, owing to the </w:t>
      </w:r>
      <w:r w:rsidR="00C006CA" w:rsidRPr="00EA6C7A">
        <w:rPr>
          <w:rFonts w:ascii="Verdana" w:eastAsia="Calibri" w:hAnsi="Verdana" w:cs="Tahoma"/>
          <w:sz w:val="20"/>
          <w:szCs w:val="20"/>
          <w:lang w:val="en-US"/>
        </w:rPr>
        <w:t xml:space="preserve">impediment for the victims to obtain </w:t>
      </w:r>
      <w:r w:rsidR="002D218C" w:rsidRPr="00EA6C7A">
        <w:rPr>
          <w:rFonts w:ascii="Verdana" w:eastAsia="Calibri" w:hAnsi="Verdana" w:cs="Tahoma"/>
          <w:sz w:val="20"/>
          <w:szCs w:val="20"/>
          <w:lang w:val="en-US"/>
        </w:rPr>
        <w:t>access to justice</w:t>
      </w:r>
      <w:r w:rsidR="00D948A1" w:rsidRPr="00EA6C7A">
        <w:rPr>
          <w:rFonts w:ascii="Verdana" w:eastAsia="Calibri" w:hAnsi="Verdana" w:cs="Tahoma"/>
          <w:sz w:val="20"/>
          <w:szCs w:val="20"/>
          <w:lang w:val="en-US"/>
        </w:rPr>
        <w:t xml:space="preserve"> and </w:t>
      </w:r>
      <w:r w:rsidR="00C006CA" w:rsidRPr="00EA6C7A">
        <w:rPr>
          <w:rFonts w:ascii="Verdana" w:eastAsia="Calibri" w:hAnsi="Verdana" w:cs="Tahoma"/>
          <w:sz w:val="20"/>
          <w:szCs w:val="20"/>
          <w:lang w:val="en-US"/>
        </w:rPr>
        <w:t>full reparation, as a result of the failure to investigate, prosecute and punish those presumed to be responsible for the massacre.</w:t>
      </w:r>
      <w:r w:rsidRPr="00EA6C7A">
        <w:rPr>
          <w:rFonts w:ascii="Verdana" w:eastAsia="Calibri" w:hAnsi="Verdana" w:cs="Tahoma"/>
          <w:sz w:val="20"/>
          <w:szCs w:val="20"/>
          <w:vertAlign w:val="superscript"/>
          <w:lang w:val="en-US"/>
        </w:rPr>
        <w:footnoteReference w:id="19"/>
      </w:r>
      <w:r w:rsidRPr="00EA6C7A">
        <w:rPr>
          <w:rFonts w:ascii="Verdana" w:eastAsia="Calibri" w:hAnsi="Verdana" w:cs="Tahoma"/>
          <w:sz w:val="20"/>
          <w:szCs w:val="20"/>
          <w:lang w:val="en-US"/>
        </w:rPr>
        <w:t xml:space="preserve"> </w:t>
      </w:r>
    </w:p>
    <w:p w14:paraId="64583331" w14:textId="77777777" w:rsidR="00175ABB" w:rsidRPr="00EA6C7A" w:rsidRDefault="00175ABB" w:rsidP="00175ABB">
      <w:pPr>
        <w:autoSpaceDE w:val="0"/>
        <w:autoSpaceDN w:val="0"/>
        <w:adjustRightInd w:val="0"/>
        <w:spacing w:after="0" w:line="240" w:lineRule="auto"/>
        <w:jc w:val="both"/>
        <w:rPr>
          <w:rFonts w:ascii="Verdana" w:eastAsia="Calibri" w:hAnsi="Verdana" w:cs="Tahoma"/>
          <w:sz w:val="20"/>
          <w:szCs w:val="20"/>
          <w:lang w:val="en-US"/>
        </w:rPr>
      </w:pPr>
    </w:p>
    <w:p w14:paraId="26B0D677"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Tahoma"/>
          <w:sz w:val="20"/>
          <w:szCs w:val="20"/>
          <w:lang w:val="en-US"/>
        </w:rPr>
      </w:pPr>
      <w:r w:rsidRPr="00EA6C7A">
        <w:rPr>
          <w:rFonts w:ascii="Verdana" w:eastAsia="Calibri" w:hAnsi="Verdana" w:cs="Tahoma"/>
          <w:sz w:val="20"/>
          <w:szCs w:val="20"/>
          <w:lang w:val="en-US"/>
        </w:rPr>
        <w:t xml:space="preserve">11. </w:t>
      </w:r>
      <w:r w:rsidRPr="00EA6C7A">
        <w:rPr>
          <w:rFonts w:ascii="Verdana" w:eastAsia="Calibri" w:hAnsi="Verdana" w:cs="Tahoma"/>
          <w:sz w:val="20"/>
          <w:szCs w:val="20"/>
          <w:lang w:val="en-US"/>
        </w:rPr>
        <w:tab/>
      </w:r>
      <w:r w:rsidR="00C006CA" w:rsidRPr="00EA6C7A">
        <w:rPr>
          <w:rFonts w:ascii="Verdana" w:eastAsia="Calibri" w:hAnsi="Verdana" w:cs="Tahoma"/>
          <w:sz w:val="20"/>
          <w:szCs w:val="20"/>
          <w:lang w:val="en-US"/>
        </w:rPr>
        <w:t>In</w:t>
      </w:r>
      <w:r w:rsidRPr="00EA6C7A">
        <w:rPr>
          <w:rFonts w:ascii="Verdana" w:eastAsia="Calibri" w:hAnsi="Verdana" w:cs="Tahoma"/>
          <w:sz w:val="20"/>
          <w:szCs w:val="20"/>
          <w:lang w:val="en-US"/>
        </w:rPr>
        <w:t xml:space="preserve"> 2010, </w:t>
      </w:r>
      <w:r w:rsidR="00D5307F" w:rsidRPr="00EA6C7A">
        <w:rPr>
          <w:rFonts w:ascii="Verdana" w:eastAsia="Calibri" w:hAnsi="Verdana" w:cs="Tahoma"/>
          <w:sz w:val="20"/>
          <w:szCs w:val="20"/>
          <w:lang w:val="en-US"/>
        </w:rPr>
        <w:t>in the cases of</w:t>
      </w:r>
      <w:r w:rsidRPr="00EA6C7A">
        <w:rPr>
          <w:rFonts w:ascii="Verdana" w:eastAsia="Calibri" w:hAnsi="Verdana" w:cs="Tahoma"/>
          <w:i/>
          <w:sz w:val="20"/>
          <w:szCs w:val="20"/>
          <w:lang w:val="en-US"/>
        </w:rPr>
        <w:t xml:space="preserve"> </w:t>
      </w:r>
      <w:r w:rsidRPr="00EA6C7A">
        <w:rPr>
          <w:rFonts w:ascii="Verdana" w:eastAsia="Calibri" w:hAnsi="Verdana" w:cs="Tahoma"/>
          <w:bCs/>
          <w:i/>
          <w:color w:val="000000"/>
          <w:sz w:val="20"/>
          <w:szCs w:val="20"/>
          <w:shd w:val="clear" w:color="auto" w:fill="FFFFFF"/>
          <w:lang w:val="en-US"/>
        </w:rPr>
        <w:t>Fernández Ortega</w:t>
      </w:r>
      <w:r w:rsidR="00D948A1" w:rsidRPr="00EA6C7A">
        <w:rPr>
          <w:rFonts w:ascii="Verdana" w:eastAsia="Calibri" w:hAnsi="Verdana" w:cs="Tahoma"/>
          <w:bCs/>
          <w:i/>
          <w:color w:val="000000"/>
          <w:sz w:val="20"/>
          <w:szCs w:val="20"/>
          <w:shd w:val="clear" w:color="auto" w:fill="FFFFFF"/>
          <w:lang w:val="en-US"/>
        </w:rPr>
        <w:t xml:space="preserve"> </w:t>
      </w:r>
      <w:r w:rsidR="00C006CA" w:rsidRPr="00EA6C7A">
        <w:rPr>
          <w:rFonts w:ascii="Verdana" w:eastAsia="Calibri" w:hAnsi="Verdana" w:cs="Tahoma"/>
          <w:bCs/>
          <w:i/>
          <w:color w:val="000000"/>
          <w:sz w:val="20"/>
          <w:szCs w:val="20"/>
          <w:shd w:val="clear" w:color="auto" w:fill="FFFFFF"/>
          <w:lang w:val="en-US"/>
        </w:rPr>
        <w:t>et al.</w:t>
      </w:r>
      <w:r w:rsidRPr="00EA6C7A">
        <w:rPr>
          <w:rFonts w:ascii="Verdana" w:eastAsia="Calibri" w:hAnsi="Verdana" w:cs="Tahoma"/>
          <w:bCs/>
          <w:color w:val="000000"/>
          <w:sz w:val="20"/>
          <w:szCs w:val="20"/>
          <w:shd w:val="clear" w:color="auto" w:fill="FFFFFF"/>
          <w:vertAlign w:val="superscript"/>
          <w:lang w:val="en-US"/>
        </w:rPr>
        <w:footnoteReference w:id="20"/>
      </w:r>
      <w:r w:rsidR="00D948A1" w:rsidRPr="00EA6C7A">
        <w:rPr>
          <w:rFonts w:ascii="Verdana" w:eastAsia="Calibri" w:hAnsi="Verdana" w:cs="Tahoma"/>
          <w:bCs/>
          <w:i/>
          <w:color w:val="000000"/>
          <w:sz w:val="20"/>
          <w:szCs w:val="20"/>
          <w:shd w:val="clear" w:color="auto" w:fill="FFFFFF"/>
          <w:lang w:val="en-US"/>
        </w:rPr>
        <w:t xml:space="preserve"> </w:t>
      </w:r>
      <w:r w:rsidR="00D948A1" w:rsidRPr="00EA6C7A">
        <w:rPr>
          <w:rFonts w:ascii="Verdana" w:eastAsia="Calibri" w:hAnsi="Verdana" w:cs="Tahoma"/>
          <w:bCs/>
          <w:iCs/>
          <w:color w:val="000000"/>
          <w:sz w:val="20"/>
          <w:szCs w:val="20"/>
          <w:shd w:val="clear" w:color="auto" w:fill="FFFFFF"/>
          <w:lang w:val="en-US"/>
        </w:rPr>
        <w:t xml:space="preserve">and </w:t>
      </w:r>
      <w:r w:rsidRPr="00EA6C7A">
        <w:rPr>
          <w:rFonts w:ascii="Verdana" w:eastAsia="Calibri" w:hAnsi="Verdana" w:cs="Tahoma"/>
          <w:bCs/>
          <w:i/>
          <w:color w:val="000000"/>
          <w:sz w:val="20"/>
          <w:szCs w:val="20"/>
          <w:shd w:val="clear" w:color="auto" w:fill="FFFFFF"/>
          <w:lang w:val="en-US"/>
        </w:rPr>
        <w:t>Rosendo Cantú</w:t>
      </w:r>
      <w:r w:rsidR="00D948A1" w:rsidRPr="00EA6C7A">
        <w:rPr>
          <w:rFonts w:ascii="Verdana" w:eastAsia="Calibri" w:hAnsi="Verdana" w:cs="Tahoma"/>
          <w:bCs/>
          <w:i/>
          <w:color w:val="000000"/>
          <w:sz w:val="20"/>
          <w:szCs w:val="20"/>
          <w:shd w:val="clear" w:color="auto" w:fill="FFFFFF"/>
          <w:lang w:val="en-US"/>
        </w:rPr>
        <w:t xml:space="preserve"> </w:t>
      </w:r>
      <w:r w:rsidR="00C006CA" w:rsidRPr="00EA6C7A">
        <w:rPr>
          <w:rFonts w:ascii="Verdana" w:eastAsia="Calibri" w:hAnsi="Verdana" w:cs="Tahoma"/>
          <w:bCs/>
          <w:i/>
          <w:color w:val="000000"/>
          <w:sz w:val="20"/>
          <w:szCs w:val="20"/>
          <w:shd w:val="clear" w:color="auto" w:fill="FFFFFF"/>
          <w:lang w:val="en-US"/>
        </w:rPr>
        <w:t>et al.,</w:t>
      </w:r>
      <w:r w:rsidRPr="00EA6C7A">
        <w:rPr>
          <w:rFonts w:ascii="Verdana" w:eastAsia="Calibri" w:hAnsi="Verdana" w:cs="Tahoma"/>
          <w:bCs/>
          <w:color w:val="000000"/>
          <w:sz w:val="20"/>
          <w:szCs w:val="20"/>
          <w:shd w:val="clear" w:color="auto" w:fill="FFFFFF"/>
          <w:vertAlign w:val="superscript"/>
          <w:lang w:val="en-US"/>
        </w:rPr>
        <w:footnoteReference w:id="21"/>
      </w:r>
      <w:r w:rsidRPr="00EA6C7A">
        <w:rPr>
          <w:rFonts w:ascii="Verdana" w:eastAsia="Calibri" w:hAnsi="Verdana" w:cs="Tahoma"/>
          <w:bCs/>
          <w:color w:val="000000"/>
          <w:sz w:val="20"/>
          <w:szCs w:val="20"/>
          <w:shd w:val="clear" w:color="auto" w:fill="FFFFFF"/>
          <w:lang w:val="en-US"/>
        </w:rPr>
        <w:t xml:space="preserve"> </w:t>
      </w:r>
      <w:r w:rsidR="00C006CA" w:rsidRPr="00EA6C7A">
        <w:rPr>
          <w:rFonts w:ascii="Verdana" w:eastAsia="Calibri" w:hAnsi="Verdana" w:cs="Tahoma"/>
          <w:bCs/>
          <w:color w:val="000000"/>
          <w:sz w:val="20"/>
          <w:szCs w:val="20"/>
          <w:shd w:val="clear" w:color="auto" w:fill="FFFFFF"/>
          <w:lang w:val="en-US"/>
        </w:rPr>
        <w:t>both against</w:t>
      </w:r>
      <w:r w:rsidRPr="00EA6C7A">
        <w:rPr>
          <w:rFonts w:ascii="Verdana" w:eastAsia="Calibri" w:hAnsi="Verdana" w:cs="Tahoma"/>
          <w:bCs/>
          <w:color w:val="000000"/>
          <w:sz w:val="20"/>
          <w:szCs w:val="20"/>
          <w:shd w:val="clear" w:color="auto" w:fill="FFFFFF"/>
          <w:lang w:val="en-US"/>
        </w:rPr>
        <w:t xml:space="preserve"> </w:t>
      </w:r>
      <w:r w:rsidR="001914FC" w:rsidRPr="00EA6C7A">
        <w:rPr>
          <w:rFonts w:ascii="Verdana" w:eastAsia="Calibri" w:hAnsi="Verdana" w:cs="Tahoma"/>
          <w:bCs/>
          <w:color w:val="000000"/>
          <w:sz w:val="20"/>
          <w:szCs w:val="20"/>
          <w:shd w:val="clear" w:color="auto" w:fill="FFFFFF"/>
          <w:lang w:val="en-US"/>
        </w:rPr>
        <w:t>Mexico</w:t>
      </w:r>
      <w:r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
          <w:bCs/>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the Court</w:t>
      </w:r>
      <w:r w:rsidR="00C006CA" w:rsidRPr="00EA6C7A">
        <w:rPr>
          <w:rFonts w:ascii="Verdana" w:eastAsia="Calibri" w:hAnsi="Verdana" w:cs="Tahoma"/>
          <w:bCs/>
          <w:color w:val="000000"/>
          <w:sz w:val="20"/>
          <w:szCs w:val="20"/>
          <w:shd w:val="clear" w:color="auto" w:fill="FFFFFF"/>
          <w:lang w:val="en-US"/>
        </w:rPr>
        <w:t xml:space="preserve">, for the first time, declared the violation of paragraph (a) of Article </w:t>
      </w:r>
      <w:r w:rsidRPr="00EA6C7A">
        <w:rPr>
          <w:rFonts w:ascii="Verdana" w:eastAsia="Calibri" w:hAnsi="Verdana" w:cs="Tahoma"/>
          <w:bCs/>
          <w:color w:val="000000"/>
          <w:sz w:val="20"/>
          <w:szCs w:val="20"/>
          <w:shd w:val="clear" w:color="auto" w:fill="FFFFFF"/>
          <w:lang w:val="en-US"/>
        </w:rPr>
        <w:t>7</w:t>
      </w:r>
      <w:r w:rsidR="00D5307F" w:rsidRPr="00EA6C7A">
        <w:rPr>
          <w:rFonts w:ascii="Verdana" w:eastAsia="Calibri" w:hAnsi="Verdana" w:cs="Tahoma"/>
          <w:bCs/>
          <w:color w:val="000000"/>
          <w:sz w:val="20"/>
          <w:szCs w:val="20"/>
          <w:shd w:val="clear" w:color="auto" w:fill="FFFFFF"/>
          <w:lang w:val="en-US"/>
        </w:rPr>
        <w:t xml:space="preserve"> of the </w:t>
      </w:r>
      <w:r w:rsidRPr="00EA6C7A">
        <w:rPr>
          <w:rFonts w:ascii="Verdana" w:eastAsia="Calibri" w:hAnsi="Verdana" w:cs="Tahoma"/>
          <w:bCs/>
          <w:color w:val="000000"/>
          <w:sz w:val="20"/>
          <w:szCs w:val="20"/>
          <w:shd w:val="clear" w:color="auto" w:fill="FFFFFF"/>
          <w:lang w:val="en-US"/>
        </w:rPr>
        <w:t>“</w:t>
      </w:r>
      <w:r w:rsidR="00F912BD" w:rsidRPr="00EA6C7A">
        <w:rPr>
          <w:rFonts w:ascii="Verdana" w:eastAsia="Calibri" w:hAnsi="Verdana" w:cs="Tahoma"/>
          <w:bCs/>
          <w:color w:val="000000"/>
          <w:sz w:val="20"/>
          <w:szCs w:val="20"/>
          <w:shd w:val="clear" w:color="auto" w:fill="FFFFFF"/>
          <w:lang w:val="en-US"/>
        </w:rPr>
        <w:t>Convention of</w:t>
      </w:r>
      <w:r w:rsidRPr="00EA6C7A">
        <w:rPr>
          <w:rFonts w:ascii="Verdana" w:eastAsia="Calibri" w:hAnsi="Verdana" w:cs="Tahoma"/>
          <w:bCs/>
          <w:color w:val="000000"/>
          <w:sz w:val="20"/>
          <w:szCs w:val="20"/>
          <w:shd w:val="clear" w:color="auto" w:fill="FFFFFF"/>
          <w:lang w:val="en-US"/>
        </w:rPr>
        <w:t xml:space="preserve"> Belém do Pará”</w:t>
      </w:r>
      <w:r w:rsidR="00C006CA" w:rsidRPr="00EA6C7A">
        <w:rPr>
          <w:rFonts w:ascii="Verdana" w:eastAsia="Calibri" w:hAnsi="Verdana" w:cs="Tahoma"/>
          <w:bCs/>
          <w:color w:val="000000"/>
          <w:sz w:val="20"/>
          <w:szCs w:val="20"/>
          <w:shd w:val="clear" w:color="auto" w:fill="FFFFFF"/>
          <w:lang w:val="en-US"/>
        </w:rPr>
        <w:t xml:space="preserve"> as a result of rape perpetrated by soldiers.</w:t>
      </w:r>
      <w:r w:rsidRPr="00EA6C7A">
        <w:rPr>
          <w:rFonts w:ascii="Verdana" w:eastAsia="Calibri" w:hAnsi="Verdana" w:cs="Tahoma"/>
          <w:sz w:val="20"/>
          <w:szCs w:val="20"/>
          <w:vertAlign w:val="superscript"/>
          <w:lang w:val="en-US"/>
        </w:rPr>
        <w:footnoteReference w:id="22"/>
      </w:r>
      <w:r w:rsidRPr="00EA6C7A">
        <w:rPr>
          <w:rFonts w:ascii="Verdana" w:eastAsia="Calibri" w:hAnsi="Verdana" w:cs="Tahoma"/>
          <w:bCs/>
          <w:color w:val="000000"/>
          <w:sz w:val="20"/>
          <w:szCs w:val="20"/>
          <w:shd w:val="clear" w:color="auto" w:fill="FFFFFF"/>
          <w:lang w:val="en-US"/>
        </w:rPr>
        <w:t xml:space="preserve"> </w:t>
      </w:r>
      <w:r w:rsidR="00C006CA" w:rsidRPr="00EA6C7A">
        <w:rPr>
          <w:rFonts w:ascii="Verdana" w:eastAsia="Calibri" w:hAnsi="Verdana" w:cs="Tahoma"/>
          <w:bCs/>
          <w:color w:val="000000"/>
          <w:sz w:val="20"/>
          <w:szCs w:val="20"/>
          <w:shd w:val="clear" w:color="auto" w:fill="FFFFFF"/>
          <w:lang w:val="en-US"/>
        </w:rPr>
        <w:t xml:space="preserve">In both cases, the Court also declared the violation of  </w:t>
      </w:r>
      <w:r w:rsidR="00515C34" w:rsidRPr="00EA6C7A">
        <w:rPr>
          <w:rFonts w:ascii="Verdana" w:eastAsia="Calibri" w:hAnsi="Verdana" w:cs="Tahoma"/>
          <w:sz w:val="20"/>
          <w:szCs w:val="20"/>
          <w:lang w:val="en-US"/>
        </w:rPr>
        <w:t>Articles 8(1)</w:t>
      </w:r>
      <w:r w:rsidR="00D948A1" w:rsidRPr="00EA6C7A">
        <w:rPr>
          <w:rFonts w:ascii="Verdana" w:eastAsia="Calibri" w:hAnsi="Verdana" w:cs="Tahoma"/>
          <w:sz w:val="20"/>
          <w:szCs w:val="20"/>
          <w:lang w:val="en-US"/>
        </w:rPr>
        <w:t xml:space="preserve"> and </w:t>
      </w:r>
      <w:r w:rsidR="00715B6F" w:rsidRPr="00EA6C7A">
        <w:rPr>
          <w:rFonts w:ascii="Verdana" w:eastAsia="Calibri" w:hAnsi="Verdana" w:cs="Tahoma"/>
          <w:sz w:val="20"/>
          <w:szCs w:val="20"/>
          <w:lang w:val="en-US"/>
        </w:rPr>
        <w:t>25(1)</w:t>
      </w:r>
      <w:r w:rsidR="00D5307F" w:rsidRPr="00EA6C7A">
        <w:rPr>
          <w:rFonts w:ascii="Verdana" w:eastAsia="Calibri" w:hAnsi="Verdana" w:cs="Tahoma"/>
          <w:sz w:val="20"/>
          <w:szCs w:val="20"/>
          <w:lang w:val="en-US"/>
        </w:rPr>
        <w:t xml:space="preserve"> </w:t>
      </w:r>
      <w:r w:rsidR="002B325A" w:rsidRPr="00EA6C7A">
        <w:rPr>
          <w:rFonts w:ascii="Verdana" w:eastAsia="Calibri" w:hAnsi="Verdana" w:cs="Tahoma"/>
          <w:sz w:val="20"/>
          <w:szCs w:val="20"/>
          <w:lang w:val="en-US"/>
        </w:rPr>
        <w:t>in relation to Article</w:t>
      </w:r>
      <w:r w:rsidR="00515C34" w:rsidRPr="00EA6C7A">
        <w:rPr>
          <w:rFonts w:ascii="Verdana" w:eastAsia="Calibri" w:hAnsi="Verdana" w:cs="Tahoma"/>
          <w:sz w:val="20"/>
          <w:szCs w:val="20"/>
          <w:lang w:val="en-US"/>
        </w:rPr>
        <w:t xml:space="preserve"> </w:t>
      </w:r>
      <w:r w:rsidR="00515C34" w:rsidRPr="00EA6C7A">
        <w:rPr>
          <w:rFonts w:ascii="Verdana" w:eastAsia="Calibri" w:hAnsi="Verdana" w:cs="Tahoma"/>
          <w:sz w:val="20"/>
          <w:szCs w:val="20"/>
          <w:lang w:val="en-US"/>
        </w:rPr>
        <w:lastRenderedPageBreak/>
        <w:t>1(1)</w:t>
      </w:r>
      <w:r w:rsidR="00C006CA" w:rsidRPr="00EA6C7A">
        <w:rPr>
          <w:rFonts w:ascii="Verdana" w:eastAsia="Calibri" w:hAnsi="Verdana" w:cs="Tahoma"/>
          <w:sz w:val="20"/>
          <w:szCs w:val="20"/>
          <w:lang w:val="en-US"/>
        </w:rPr>
        <w:t xml:space="preserve"> of the Convention</w:t>
      </w:r>
      <w:r w:rsidR="00D948A1" w:rsidRPr="00EA6C7A">
        <w:rPr>
          <w:rFonts w:ascii="Verdana" w:eastAsia="Calibri" w:hAnsi="Verdana" w:cs="Tahoma"/>
          <w:sz w:val="20"/>
          <w:szCs w:val="20"/>
          <w:lang w:val="en-US"/>
        </w:rPr>
        <w:t xml:space="preserve"> and </w:t>
      </w:r>
      <w:r w:rsidR="0096418F" w:rsidRPr="00EA6C7A">
        <w:rPr>
          <w:rFonts w:ascii="Verdana" w:eastAsia="Calibri" w:hAnsi="Verdana" w:cs="Tahoma"/>
          <w:sz w:val="20"/>
          <w:szCs w:val="20"/>
          <w:lang w:val="en-US"/>
        </w:rPr>
        <w:t>Article</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7(b)</w:t>
      </w:r>
      <w:r w:rsidR="00D5307F" w:rsidRPr="00EA6C7A">
        <w:rPr>
          <w:rFonts w:ascii="Verdana" w:eastAsia="Calibri" w:hAnsi="Verdana" w:cs="Tahoma"/>
          <w:sz w:val="20"/>
          <w:szCs w:val="20"/>
          <w:lang w:val="en-US"/>
        </w:rPr>
        <w:t xml:space="preserve"> of the </w:t>
      </w:r>
      <w:r w:rsidRPr="00EA6C7A">
        <w:rPr>
          <w:rFonts w:ascii="Verdana" w:eastAsia="Calibri" w:hAnsi="Verdana" w:cs="Tahoma"/>
          <w:bCs/>
          <w:color w:val="000000"/>
          <w:sz w:val="20"/>
          <w:szCs w:val="20"/>
          <w:shd w:val="clear" w:color="auto" w:fill="FFFFFF"/>
          <w:lang w:val="en-US"/>
        </w:rPr>
        <w:t>“</w:t>
      </w:r>
      <w:r w:rsidR="00F912BD" w:rsidRPr="00EA6C7A">
        <w:rPr>
          <w:rFonts w:ascii="Verdana" w:eastAsia="Calibri" w:hAnsi="Verdana" w:cs="Tahoma"/>
          <w:bCs/>
          <w:color w:val="000000"/>
          <w:sz w:val="20"/>
          <w:szCs w:val="20"/>
          <w:shd w:val="clear" w:color="auto" w:fill="FFFFFF"/>
          <w:lang w:val="en-US"/>
        </w:rPr>
        <w:t>Convention of</w:t>
      </w:r>
      <w:r w:rsidRPr="00EA6C7A">
        <w:rPr>
          <w:rFonts w:ascii="Verdana" w:eastAsia="Calibri" w:hAnsi="Verdana" w:cs="Tahoma"/>
          <w:bCs/>
          <w:color w:val="000000"/>
          <w:sz w:val="20"/>
          <w:szCs w:val="20"/>
          <w:shd w:val="clear" w:color="auto" w:fill="FFFFFF"/>
          <w:lang w:val="en-US"/>
        </w:rPr>
        <w:t xml:space="preserve"> Belém do Pará</w:t>
      </w:r>
      <w:r w:rsidR="00C006CA"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lang w:val="en-US"/>
        </w:rPr>
        <w:t>”</w:t>
      </w:r>
      <w:r w:rsidR="00C006CA" w:rsidRPr="00EA6C7A">
        <w:rPr>
          <w:rFonts w:ascii="Verdana" w:eastAsia="Calibri" w:hAnsi="Verdana" w:cs="Tahoma"/>
          <w:bCs/>
          <w:color w:val="000000"/>
          <w:sz w:val="20"/>
          <w:szCs w:val="20"/>
          <w:shd w:val="clear" w:color="auto" w:fill="FFFFFF"/>
          <w:lang w:val="en-US"/>
        </w:rPr>
        <w:t xml:space="preserve"> due to the lack of due diligence in the investigation of the rape and</w:t>
      </w:r>
      <w:r w:rsidR="00ED2349" w:rsidRPr="00EA6C7A">
        <w:rPr>
          <w:rFonts w:ascii="Verdana" w:eastAsia="Calibri" w:hAnsi="Verdana" w:cs="Tahoma"/>
          <w:bCs/>
          <w:color w:val="000000"/>
          <w:sz w:val="20"/>
          <w:szCs w:val="20"/>
          <w:shd w:val="clear" w:color="auto" w:fill="FFFFFF"/>
          <w:lang w:val="en-US"/>
        </w:rPr>
        <w:t xml:space="preserve"> </w:t>
      </w:r>
      <w:r w:rsidR="00C006CA" w:rsidRPr="00EA6C7A">
        <w:rPr>
          <w:rFonts w:ascii="Verdana" w:eastAsia="Calibri" w:hAnsi="Verdana" w:cs="Tahoma"/>
          <w:bCs/>
          <w:color w:val="000000"/>
          <w:sz w:val="20"/>
          <w:szCs w:val="20"/>
          <w:shd w:val="clear" w:color="auto" w:fill="FFFFFF"/>
          <w:lang w:val="en-US"/>
        </w:rPr>
        <w:t>acts of torture inflicted on the victims.</w:t>
      </w:r>
      <w:r w:rsidRPr="00EA6C7A">
        <w:rPr>
          <w:rFonts w:ascii="Verdana" w:eastAsia="Calibri" w:hAnsi="Verdana" w:cs="Tahoma"/>
          <w:sz w:val="20"/>
          <w:szCs w:val="20"/>
          <w:vertAlign w:val="superscript"/>
          <w:lang w:val="en-US"/>
        </w:rPr>
        <w:footnoteReference w:id="23"/>
      </w:r>
    </w:p>
    <w:p w14:paraId="692049C7"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Tahoma"/>
          <w:sz w:val="20"/>
          <w:szCs w:val="20"/>
          <w:lang w:val="en-US"/>
        </w:rPr>
      </w:pPr>
    </w:p>
    <w:p w14:paraId="16BB3A20"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Tahoma"/>
          <w:bCs/>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12. </w:t>
      </w:r>
      <w:r w:rsidRPr="00EA6C7A">
        <w:rPr>
          <w:rFonts w:ascii="Verdana" w:eastAsia="Calibri" w:hAnsi="Verdana" w:cs="Tahoma"/>
          <w:bCs/>
          <w:color w:val="000000"/>
          <w:sz w:val="20"/>
          <w:szCs w:val="20"/>
          <w:shd w:val="clear" w:color="auto" w:fill="FFFFFF"/>
          <w:lang w:val="en-US"/>
        </w:rPr>
        <w:tab/>
      </w:r>
      <w:r w:rsidR="00C006CA" w:rsidRPr="00EA6C7A">
        <w:rPr>
          <w:rFonts w:ascii="Verdana" w:eastAsia="Calibri" w:hAnsi="Verdana" w:cs="Tahoma"/>
          <w:bCs/>
          <w:color w:val="000000"/>
          <w:sz w:val="20"/>
          <w:szCs w:val="20"/>
          <w:shd w:val="clear" w:color="auto" w:fill="FFFFFF"/>
          <w:lang w:val="en-US"/>
        </w:rPr>
        <w:t xml:space="preserve">Subsequently, in 2012, the Court examined violations of </w:t>
      </w:r>
      <w:r w:rsidR="0096418F" w:rsidRPr="00EA6C7A">
        <w:rPr>
          <w:rFonts w:ascii="Verdana" w:eastAsia="Calibri" w:hAnsi="Verdana" w:cs="Tahoma"/>
          <w:bCs/>
          <w:color w:val="000000"/>
          <w:sz w:val="20"/>
          <w:szCs w:val="20"/>
          <w:shd w:val="clear" w:color="auto" w:fill="FFFFFF"/>
          <w:lang w:val="en-US"/>
        </w:rPr>
        <w:t>Article</w:t>
      </w:r>
      <w:r w:rsidRPr="00EA6C7A">
        <w:rPr>
          <w:rFonts w:ascii="Verdana" w:eastAsia="Calibri" w:hAnsi="Verdana" w:cs="Tahoma"/>
          <w:bCs/>
          <w:color w:val="000000"/>
          <w:sz w:val="20"/>
          <w:szCs w:val="20"/>
          <w:shd w:val="clear" w:color="auto" w:fill="FFFFFF"/>
          <w:lang w:val="en-US"/>
        </w:rPr>
        <w:t xml:space="preserve"> </w:t>
      </w:r>
      <w:r w:rsidR="005F2D0A" w:rsidRPr="00EA6C7A">
        <w:rPr>
          <w:rFonts w:ascii="Verdana" w:eastAsia="Calibri" w:hAnsi="Verdana" w:cs="Tahoma"/>
          <w:bCs/>
          <w:color w:val="000000"/>
          <w:sz w:val="20"/>
          <w:szCs w:val="20"/>
          <w:shd w:val="clear" w:color="auto" w:fill="FFFFFF"/>
          <w:lang w:val="en-US"/>
        </w:rPr>
        <w:t>7(b)</w:t>
      </w:r>
      <w:r w:rsidR="00D5307F" w:rsidRPr="00EA6C7A">
        <w:rPr>
          <w:rFonts w:ascii="Verdana" w:eastAsia="Calibri" w:hAnsi="Verdana" w:cs="Tahoma"/>
          <w:bCs/>
          <w:color w:val="000000"/>
          <w:sz w:val="20"/>
          <w:szCs w:val="20"/>
          <w:shd w:val="clear" w:color="auto" w:fill="FFFFFF"/>
          <w:lang w:val="en-US"/>
        </w:rPr>
        <w:t xml:space="preserve"> of the </w:t>
      </w:r>
      <w:r w:rsidRPr="00EA6C7A">
        <w:rPr>
          <w:rFonts w:ascii="Verdana" w:eastAsia="Calibri" w:hAnsi="Verdana" w:cs="Tahoma"/>
          <w:bCs/>
          <w:color w:val="000000"/>
          <w:sz w:val="20"/>
          <w:szCs w:val="20"/>
          <w:shd w:val="clear" w:color="auto" w:fill="FFFFFF"/>
          <w:lang w:val="en-US"/>
        </w:rPr>
        <w:t>“</w:t>
      </w:r>
      <w:r w:rsidR="00F912BD" w:rsidRPr="00EA6C7A">
        <w:rPr>
          <w:rFonts w:ascii="Verdana" w:eastAsia="Calibri" w:hAnsi="Verdana" w:cs="Tahoma"/>
          <w:bCs/>
          <w:color w:val="000000"/>
          <w:sz w:val="20"/>
          <w:szCs w:val="20"/>
          <w:shd w:val="clear" w:color="auto" w:fill="FFFFFF"/>
          <w:lang w:val="en-US"/>
        </w:rPr>
        <w:t>Convention of</w:t>
      </w:r>
      <w:r w:rsidRPr="00EA6C7A">
        <w:rPr>
          <w:rFonts w:ascii="Verdana" w:eastAsia="Calibri" w:hAnsi="Verdana" w:cs="Tahoma"/>
          <w:bCs/>
          <w:color w:val="000000"/>
          <w:sz w:val="20"/>
          <w:szCs w:val="20"/>
          <w:shd w:val="clear" w:color="auto" w:fill="FFFFFF"/>
          <w:lang w:val="en-US"/>
        </w:rPr>
        <w:t xml:space="preserve"> Belém do Pará” </w:t>
      </w:r>
      <w:r w:rsidR="00C006CA" w:rsidRPr="00EA6C7A">
        <w:rPr>
          <w:rFonts w:ascii="Verdana" w:eastAsia="Calibri" w:hAnsi="Verdana" w:cs="Tahoma"/>
          <w:bCs/>
          <w:color w:val="000000"/>
          <w:sz w:val="20"/>
          <w:szCs w:val="20"/>
          <w:shd w:val="clear" w:color="auto" w:fill="FFFFFF"/>
          <w:lang w:val="en-US"/>
        </w:rPr>
        <w:t xml:space="preserve">while hearing the cases of the </w:t>
      </w:r>
      <w:r w:rsidRPr="00EA6C7A">
        <w:rPr>
          <w:rFonts w:ascii="Verdana" w:eastAsia="Calibri" w:hAnsi="Verdana" w:cs="Tahoma"/>
          <w:bCs/>
          <w:i/>
          <w:color w:val="000000"/>
          <w:sz w:val="20"/>
          <w:szCs w:val="20"/>
          <w:shd w:val="clear" w:color="auto" w:fill="FFFFFF"/>
          <w:lang w:val="en-US"/>
        </w:rPr>
        <w:t>Río Negro</w:t>
      </w:r>
      <w:r w:rsidR="00C006CA" w:rsidRPr="00EA6C7A">
        <w:rPr>
          <w:rFonts w:ascii="Verdana" w:eastAsia="Calibri" w:hAnsi="Verdana" w:cs="Tahoma"/>
          <w:bCs/>
          <w:i/>
          <w:color w:val="000000"/>
          <w:sz w:val="20"/>
          <w:szCs w:val="20"/>
          <w:shd w:val="clear" w:color="auto" w:fill="FFFFFF"/>
          <w:lang w:val="en-US"/>
        </w:rPr>
        <w:t xml:space="preserve"> Massacres</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v.</w:t>
      </w:r>
      <w:r w:rsidRPr="00EA6C7A">
        <w:rPr>
          <w:rFonts w:ascii="Verdana" w:eastAsia="Calibri" w:hAnsi="Verdana" w:cs="Tahoma"/>
          <w:bCs/>
          <w:i/>
          <w:color w:val="000000"/>
          <w:sz w:val="20"/>
          <w:szCs w:val="20"/>
          <w:shd w:val="clear" w:color="auto" w:fill="FFFFFF"/>
          <w:lang w:val="en-US"/>
        </w:rPr>
        <w:t xml:space="preserve"> Guatemala</w:t>
      </w:r>
      <w:r w:rsidR="00C006CA" w:rsidRPr="00EA6C7A">
        <w:rPr>
          <w:rFonts w:ascii="Verdana" w:eastAsia="Calibri" w:hAnsi="Verdana" w:cs="Tahoma"/>
          <w:bCs/>
          <w:i/>
          <w:color w:val="000000"/>
          <w:sz w:val="20"/>
          <w:szCs w:val="20"/>
          <w:shd w:val="clear" w:color="auto" w:fill="FFFFFF"/>
          <w:lang w:val="en-US"/>
        </w:rPr>
        <w:t>,</w:t>
      </w:r>
      <w:r w:rsidRPr="00EA6C7A">
        <w:rPr>
          <w:rFonts w:ascii="Verdana" w:eastAsia="Calibri" w:hAnsi="Verdana" w:cs="Tahoma"/>
          <w:i/>
          <w:sz w:val="20"/>
          <w:szCs w:val="20"/>
          <w:vertAlign w:val="superscript"/>
          <w:lang w:val="en-US"/>
        </w:rPr>
        <w:footnoteReference w:id="24"/>
      </w:r>
      <w:r w:rsidR="00C006CA" w:rsidRPr="00EA6C7A">
        <w:rPr>
          <w:rFonts w:ascii="Verdana" w:eastAsia="Calibri" w:hAnsi="Verdana" w:cs="Tahoma"/>
          <w:bCs/>
          <w:i/>
          <w:color w:val="000000"/>
          <w:sz w:val="20"/>
          <w:szCs w:val="20"/>
          <w:shd w:val="clear" w:color="auto" w:fill="FFFFFF"/>
          <w:lang w:val="en-US"/>
        </w:rPr>
        <w:t xml:space="preserve"> </w:t>
      </w:r>
      <w:r w:rsidR="00C006CA" w:rsidRPr="00EA6C7A">
        <w:rPr>
          <w:rFonts w:ascii="Verdana" w:eastAsia="Calibri" w:hAnsi="Verdana" w:cs="Tahoma"/>
          <w:bCs/>
          <w:iCs/>
          <w:color w:val="000000"/>
          <w:sz w:val="20"/>
          <w:szCs w:val="20"/>
          <w:shd w:val="clear" w:color="auto" w:fill="FFFFFF"/>
          <w:lang w:val="en-US"/>
        </w:rPr>
        <w:t>the</w:t>
      </w:r>
      <w:r w:rsidRPr="00EA6C7A">
        <w:rPr>
          <w:rFonts w:ascii="Verdana" w:eastAsia="Calibri" w:hAnsi="Verdana" w:cs="Tahoma"/>
          <w:bCs/>
          <w:i/>
          <w:color w:val="000000"/>
          <w:sz w:val="20"/>
          <w:szCs w:val="20"/>
          <w:shd w:val="clear" w:color="auto" w:fill="FFFFFF"/>
          <w:lang w:val="en-US"/>
        </w:rPr>
        <w:t xml:space="preserve"> Ma</w:t>
      </w:r>
      <w:r w:rsidR="00C006CA" w:rsidRPr="00EA6C7A">
        <w:rPr>
          <w:rFonts w:ascii="Verdana" w:eastAsia="Calibri" w:hAnsi="Verdana" w:cs="Tahoma"/>
          <w:bCs/>
          <w:i/>
          <w:color w:val="000000"/>
          <w:sz w:val="20"/>
          <w:szCs w:val="20"/>
          <w:shd w:val="clear" w:color="auto" w:fill="FFFFFF"/>
          <w:lang w:val="en-US"/>
        </w:rPr>
        <w:t>s</w:t>
      </w:r>
      <w:r w:rsidRPr="00EA6C7A">
        <w:rPr>
          <w:rFonts w:ascii="Verdana" w:eastAsia="Calibri" w:hAnsi="Verdana" w:cs="Tahoma"/>
          <w:bCs/>
          <w:i/>
          <w:color w:val="000000"/>
          <w:sz w:val="20"/>
          <w:szCs w:val="20"/>
          <w:shd w:val="clear" w:color="auto" w:fill="FFFFFF"/>
          <w:lang w:val="en-US"/>
        </w:rPr>
        <w:t xml:space="preserve">sacres </w:t>
      </w:r>
      <w:r w:rsidR="00C006CA" w:rsidRPr="00EA6C7A">
        <w:rPr>
          <w:rFonts w:ascii="Verdana" w:eastAsia="Calibri" w:hAnsi="Verdana" w:cs="Tahoma"/>
          <w:bCs/>
          <w:i/>
          <w:color w:val="000000"/>
          <w:sz w:val="20"/>
          <w:szCs w:val="20"/>
          <w:shd w:val="clear" w:color="auto" w:fill="FFFFFF"/>
          <w:lang w:val="en-US"/>
        </w:rPr>
        <w:t>of</w:t>
      </w:r>
      <w:r w:rsidRPr="00EA6C7A">
        <w:rPr>
          <w:rFonts w:ascii="Verdana" w:eastAsia="Calibri" w:hAnsi="Verdana" w:cs="Tahoma"/>
          <w:bCs/>
          <w:i/>
          <w:color w:val="000000"/>
          <w:sz w:val="20"/>
          <w:szCs w:val="20"/>
          <w:shd w:val="clear" w:color="auto" w:fill="FFFFFF"/>
          <w:lang w:val="en-US"/>
        </w:rPr>
        <w:t xml:space="preserve"> El Mozote</w:t>
      </w:r>
      <w:r w:rsidR="00D948A1" w:rsidRPr="00EA6C7A">
        <w:rPr>
          <w:rFonts w:ascii="Verdana" w:eastAsia="Calibri" w:hAnsi="Verdana" w:cs="Tahoma"/>
          <w:bCs/>
          <w:i/>
          <w:color w:val="000000"/>
          <w:sz w:val="20"/>
          <w:szCs w:val="20"/>
          <w:shd w:val="clear" w:color="auto" w:fill="FFFFFF"/>
          <w:lang w:val="en-US"/>
        </w:rPr>
        <w:t xml:space="preserve"> and </w:t>
      </w:r>
      <w:r w:rsidR="00C006CA" w:rsidRPr="00EA6C7A">
        <w:rPr>
          <w:rFonts w:ascii="Verdana" w:eastAsia="Calibri" w:hAnsi="Verdana" w:cs="Tahoma"/>
          <w:bCs/>
          <w:i/>
          <w:color w:val="000000"/>
          <w:sz w:val="20"/>
          <w:szCs w:val="20"/>
          <w:shd w:val="clear" w:color="auto" w:fill="FFFFFF"/>
          <w:lang w:val="en-US"/>
        </w:rPr>
        <w:t xml:space="preserve">neighboring places </w:t>
      </w:r>
      <w:r w:rsidR="001914FC" w:rsidRPr="00EA6C7A">
        <w:rPr>
          <w:rFonts w:ascii="Verdana" w:eastAsia="Calibri" w:hAnsi="Verdana" w:cs="Tahoma"/>
          <w:bCs/>
          <w:i/>
          <w:color w:val="000000"/>
          <w:sz w:val="20"/>
          <w:szCs w:val="20"/>
          <w:shd w:val="clear" w:color="auto" w:fill="FFFFFF"/>
          <w:lang w:val="en-US"/>
        </w:rPr>
        <w:t>v.</w:t>
      </w:r>
      <w:r w:rsidRPr="00EA6C7A">
        <w:rPr>
          <w:rFonts w:ascii="Verdana" w:eastAsia="Calibri" w:hAnsi="Verdana" w:cs="Tahoma"/>
          <w:bCs/>
          <w:i/>
          <w:color w:val="000000"/>
          <w:sz w:val="20"/>
          <w:szCs w:val="20"/>
          <w:shd w:val="clear" w:color="auto" w:fill="FFFFFF"/>
          <w:lang w:val="en-US"/>
        </w:rPr>
        <w:t xml:space="preserve"> El Salvador</w:t>
      </w:r>
      <w:r w:rsidRPr="00EA6C7A">
        <w:rPr>
          <w:rFonts w:ascii="Verdana" w:eastAsia="Calibri" w:hAnsi="Verdana" w:cs="Tahoma"/>
          <w:bCs/>
          <w:color w:val="000000"/>
          <w:sz w:val="20"/>
          <w:szCs w:val="20"/>
          <w:shd w:val="clear" w:color="auto" w:fill="FFFFFF"/>
          <w:vertAlign w:val="superscript"/>
          <w:lang w:val="en-US"/>
        </w:rPr>
        <w:footnoteReference w:id="25"/>
      </w:r>
      <w:r w:rsidR="00D948A1" w:rsidRPr="00EA6C7A">
        <w:rPr>
          <w:rFonts w:ascii="Verdana" w:eastAsia="Calibri" w:hAnsi="Verdana" w:cs="Tahoma"/>
          <w:bCs/>
          <w:iCs/>
          <w:color w:val="000000"/>
          <w:sz w:val="20"/>
          <w:szCs w:val="20"/>
          <w:shd w:val="clear" w:color="auto" w:fill="FFFFFF"/>
          <w:lang w:val="en-US"/>
        </w:rPr>
        <w:t xml:space="preserve"> and </w:t>
      </w:r>
      <w:r w:rsidRPr="00EA6C7A">
        <w:rPr>
          <w:rFonts w:ascii="Verdana" w:eastAsia="Calibri" w:hAnsi="Verdana" w:cs="Tahoma"/>
          <w:bCs/>
          <w:i/>
          <w:sz w:val="20"/>
          <w:szCs w:val="20"/>
          <w:shd w:val="clear" w:color="auto" w:fill="FFFFFF"/>
          <w:lang w:val="en-US"/>
        </w:rPr>
        <w:t>Gudiel Álvarez</w:t>
      </w:r>
      <w:r w:rsidR="00D948A1" w:rsidRPr="00EA6C7A">
        <w:rPr>
          <w:rFonts w:ascii="Verdana" w:eastAsia="Calibri" w:hAnsi="Verdana" w:cs="Tahoma"/>
          <w:bCs/>
          <w:i/>
          <w:sz w:val="20"/>
          <w:szCs w:val="20"/>
          <w:shd w:val="clear" w:color="auto" w:fill="FFFFFF"/>
          <w:lang w:val="en-US"/>
        </w:rPr>
        <w:t xml:space="preserve"> </w:t>
      </w:r>
      <w:r w:rsidR="00C006CA" w:rsidRPr="00EA6C7A">
        <w:rPr>
          <w:rFonts w:ascii="Verdana" w:eastAsia="Calibri" w:hAnsi="Verdana" w:cs="Tahoma"/>
          <w:bCs/>
          <w:i/>
          <w:sz w:val="20"/>
          <w:szCs w:val="20"/>
          <w:shd w:val="clear" w:color="auto" w:fill="FFFFFF"/>
          <w:lang w:val="en-US"/>
        </w:rPr>
        <w:t>et al.</w:t>
      </w:r>
      <w:r w:rsidRPr="00EA6C7A">
        <w:rPr>
          <w:rFonts w:ascii="Verdana" w:eastAsia="Calibri" w:hAnsi="Verdana" w:cs="Tahoma"/>
          <w:bCs/>
          <w:i/>
          <w:sz w:val="20"/>
          <w:szCs w:val="20"/>
          <w:shd w:val="clear" w:color="auto" w:fill="FFFFFF"/>
          <w:lang w:val="en-US"/>
        </w:rPr>
        <w:t xml:space="preserve"> ("Diario Militar") </w:t>
      </w:r>
      <w:r w:rsidR="001914FC" w:rsidRPr="00EA6C7A">
        <w:rPr>
          <w:rFonts w:ascii="Verdana" w:eastAsia="Calibri" w:hAnsi="Verdana" w:cs="Tahoma"/>
          <w:bCs/>
          <w:i/>
          <w:sz w:val="20"/>
          <w:szCs w:val="20"/>
          <w:shd w:val="clear" w:color="auto" w:fill="FFFFFF"/>
          <w:lang w:val="en-US"/>
        </w:rPr>
        <w:t>v.</w:t>
      </w:r>
      <w:r w:rsidRPr="00EA6C7A">
        <w:rPr>
          <w:rFonts w:ascii="Verdana" w:eastAsia="Calibri" w:hAnsi="Verdana" w:cs="Tahoma"/>
          <w:bCs/>
          <w:i/>
          <w:sz w:val="20"/>
          <w:szCs w:val="20"/>
          <w:shd w:val="clear" w:color="auto" w:fill="FFFFFF"/>
          <w:lang w:val="en-US"/>
        </w:rPr>
        <w:t xml:space="preserve"> Guatemala</w:t>
      </w:r>
      <w:r w:rsidR="00C006CA" w:rsidRPr="00EA6C7A">
        <w:rPr>
          <w:rFonts w:ascii="Verdana" w:eastAsia="Calibri" w:hAnsi="Verdana" w:cs="Tahoma"/>
          <w:bCs/>
          <w:i/>
          <w:sz w:val="20"/>
          <w:szCs w:val="20"/>
          <w:shd w:val="clear" w:color="auto" w:fill="FFFFFF"/>
          <w:lang w:val="en-US"/>
        </w:rPr>
        <w:t>,</w:t>
      </w:r>
      <w:r w:rsidRPr="00EA6C7A">
        <w:rPr>
          <w:rFonts w:ascii="Verdana" w:eastAsia="Calibri" w:hAnsi="Verdana" w:cs="Tahoma"/>
          <w:bCs/>
          <w:sz w:val="20"/>
          <w:szCs w:val="20"/>
          <w:shd w:val="clear" w:color="auto" w:fill="FFFFFF"/>
          <w:vertAlign w:val="superscript"/>
          <w:lang w:val="en-US"/>
        </w:rPr>
        <w:footnoteReference w:id="26"/>
      </w:r>
      <w:r w:rsidRPr="00EA6C7A">
        <w:rPr>
          <w:rFonts w:ascii="Verdana" w:eastAsia="Calibri" w:hAnsi="Verdana" w:cs="Tahoma"/>
          <w:bCs/>
          <w:sz w:val="20"/>
          <w:szCs w:val="20"/>
          <w:shd w:val="clear" w:color="auto" w:fill="FFFFFF"/>
          <w:lang w:val="en-US"/>
        </w:rPr>
        <w:t xml:space="preserve"> </w:t>
      </w:r>
      <w:r w:rsidR="00C006CA" w:rsidRPr="00EA6C7A">
        <w:rPr>
          <w:rFonts w:ascii="Verdana" w:eastAsia="Calibri" w:hAnsi="Verdana" w:cs="Tahoma"/>
          <w:bCs/>
          <w:sz w:val="20"/>
          <w:szCs w:val="20"/>
          <w:shd w:val="clear" w:color="auto" w:fill="FFFFFF"/>
          <w:lang w:val="en-US"/>
        </w:rPr>
        <w:t xml:space="preserve">due to the failure to investigate facts related to torture, rape and other acts </w:t>
      </w:r>
      <w:r w:rsidRPr="00EA6C7A">
        <w:rPr>
          <w:rFonts w:ascii="Verdana" w:eastAsia="Calibri" w:hAnsi="Verdana" w:cs="Tahoma"/>
          <w:bCs/>
          <w:sz w:val="20"/>
          <w:szCs w:val="20"/>
          <w:shd w:val="clear" w:color="auto" w:fill="FFFFFF"/>
          <w:lang w:val="en-US"/>
        </w:rPr>
        <w:t>o</w:t>
      </w:r>
      <w:r w:rsidR="00C006CA" w:rsidRPr="00EA6C7A">
        <w:rPr>
          <w:rFonts w:ascii="Verdana" w:eastAsia="Calibri" w:hAnsi="Verdana" w:cs="Tahoma"/>
          <w:bCs/>
          <w:sz w:val="20"/>
          <w:szCs w:val="20"/>
          <w:shd w:val="clear" w:color="auto" w:fill="FFFFFF"/>
          <w:lang w:val="en-US"/>
        </w:rPr>
        <w:t xml:space="preserve">f </w:t>
      </w:r>
      <w:r w:rsidR="00C12C08" w:rsidRPr="00EA6C7A">
        <w:rPr>
          <w:rFonts w:ascii="Verdana" w:eastAsia="Calibri" w:hAnsi="Verdana" w:cs="Tahoma"/>
          <w:bCs/>
          <w:sz w:val="20"/>
          <w:szCs w:val="20"/>
          <w:shd w:val="clear" w:color="auto" w:fill="FFFFFF"/>
          <w:lang w:val="en-US"/>
        </w:rPr>
        <w:t>violence against women</w:t>
      </w:r>
      <w:r w:rsidR="00C006CA" w:rsidRPr="00EA6C7A">
        <w:rPr>
          <w:rFonts w:ascii="Verdana" w:eastAsia="Calibri" w:hAnsi="Verdana" w:cs="Tahoma"/>
          <w:bCs/>
          <w:sz w:val="20"/>
          <w:szCs w:val="20"/>
          <w:shd w:val="clear" w:color="auto" w:fill="FFFFFF"/>
          <w:lang w:val="en-US"/>
        </w:rPr>
        <w:t>.</w:t>
      </w:r>
      <w:r w:rsidRPr="00EA6C7A">
        <w:rPr>
          <w:rFonts w:ascii="Verdana" w:eastAsia="Calibri" w:hAnsi="Verdana" w:cs="Tahoma"/>
          <w:bCs/>
          <w:sz w:val="20"/>
          <w:szCs w:val="20"/>
          <w:shd w:val="clear" w:color="auto" w:fill="FFFFFF"/>
          <w:vertAlign w:val="superscript"/>
          <w:lang w:val="en-US"/>
        </w:rPr>
        <w:footnoteReference w:id="27"/>
      </w:r>
    </w:p>
    <w:p w14:paraId="27B1A782" w14:textId="77777777" w:rsidR="00175ABB" w:rsidRPr="00EA6C7A" w:rsidRDefault="00175ABB" w:rsidP="00175ABB">
      <w:pPr>
        <w:autoSpaceDE w:val="0"/>
        <w:autoSpaceDN w:val="0"/>
        <w:adjustRightInd w:val="0"/>
        <w:spacing w:after="0" w:line="240" w:lineRule="auto"/>
        <w:jc w:val="both"/>
        <w:rPr>
          <w:rFonts w:ascii="Verdana" w:eastAsia="Calibri" w:hAnsi="Verdana" w:cs="Tahoma"/>
          <w:bCs/>
          <w:sz w:val="20"/>
          <w:szCs w:val="20"/>
          <w:shd w:val="clear" w:color="auto" w:fill="FFFFFF"/>
          <w:lang w:val="en-US"/>
        </w:rPr>
      </w:pPr>
    </w:p>
    <w:p w14:paraId="6573DD72"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Tahoma"/>
          <w:sz w:val="20"/>
          <w:szCs w:val="20"/>
          <w:lang w:val="en-US"/>
        </w:rPr>
      </w:pPr>
      <w:r w:rsidRPr="00EA6C7A">
        <w:rPr>
          <w:rFonts w:ascii="Verdana" w:eastAsia="Calibri" w:hAnsi="Verdana" w:cs="Tahoma"/>
          <w:bCs/>
          <w:sz w:val="20"/>
          <w:szCs w:val="20"/>
          <w:shd w:val="clear" w:color="auto" w:fill="FFFFFF"/>
          <w:lang w:val="en-US"/>
        </w:rPr>
        <w:t xml:space="preserve">13. </w:t>
      </w:r>
      <w:r w:rsidRPr="00EA6C7A">
        <w:rPr>
          <w:rFonts w:ascii="Verdana" w:eastAsia="Calibri" w:hAnsi="Verdana" w:cs="Tahoma"/>
          <w:bCs/>
          <w:sz w:val="20"/>
          <w:szCs w:val="20"/>
          <w:shd w:val="clear" w:color="auto" w:fill="FFFFFF"/>
          <w:lang w:val="en-US"/>
        </w:rPr>
        <w:tab/>
      </w:r>
      <w:r w:rsidR="00C006CA" w:rsidRPr="00EA6C7A">
        <w:rPr>
          <w:rFonts w:ascii="Verdana" w:eastAsia="Calibri" w:hAnsi="Verdana" w:cs="Tahoma"/>
          <w:bCs/>
          <w:sz w:val="20"/>
          <w:szCs w:val="20"/>
          <w:shd w:val="clear" w:color="auto" w:fill="FFFFFF"/>
          <w:lang w:val="en-US"/>
        </w:rPr>
        <w:t xml:space="preserve">Following these rulings, in </w:t>
      </w:r>
      <w:r w:rsidRPr="00EA6C7A">
        <w:rPr>
          <w:rFonts w:ascii="Verdana" w:eastAsia="Calibri" w:hAnsi="Verdana" w:cs="Tahoma"/>
          <w:bCs/>
          <w:sz w:val="20"/>
          <w:szCs w:val="20"/>
          <w:shd w:val="clear" w:color="auto" w:fill="FFFFFF"/>
          <w:lang w:val="en-US"/>
        </w:rPr>
        <w:t xml:space="preserve">2013, </w:t>
      </w:r>
      <w:r w:rsidR="00D5307F" w:rsidRPr="00EA6C7A">
        <w:rPr>
          <w:rFonts w:ascii="Verdana" w:eastAsia="Calibri" w:hAnsi="Verdana" w:cs="Tahoma"/>
          <w:bCs/>
          <w:sz w:val="20"/>
          <w:szCs w:val="20"/>
          <w:shd w:val="clear" w:color="auto" w:fill="FFFFFF"/>
          <w:lang w:val="en-US"/>
        </w:rPr>
        <w:t>in the case of</w:t>
      </w:r>
      <w:r w:rsidRPr="00EA6C7A">
        <w:rPr>
          <w:rFonts w:ascii="Verdana" w:eastAsia="Calibri" w:hAnsi="Verdana" w:cs="Tahoma"/>
          <w:bCs/>
          <w:i/>
          <w:sz w:val="20"/>
          <w:szCs w:val="20"/>
          <w:shd w:val="clear" w:color="auto" w:fill="FFFFFF"/>
          <w:lang w:val="en-US"/>
        </w:rPr>
        <w:t xml:space="preserve"> J. v. </w:t>
      </w:r>
      <w:r w:rsidR="001914FC" w:rsidRPr="00EA6C7A">
        <w:rPr>
          <w:rFonts w:ascii="Verdana" w:eastAsia="Calibri" w:hAnsi="Verdana" w:cs="Tahoma"/>
          <w:bCs/>
          <w:i/>
          <w:sz w:val="20"/>
          <w:szCs w:val="20"/>
          <w:shd w:val="clear" w:color="auto" w:fill="FFFFFF"/>
          <w:lang w:val="en-US"/>
        </w:rPr>
        <w:t>Peru</w:t>
      </w:r>
      <w:r w:rsidR="00ED2349" w:rsidRPr="00EA6C7A">
        <w:rPr>
          <w:rFonts w:ascii="Verdana" w:eastAsia="Calibri" w:hAnsi="Verdana" w:cs="Tahoma"/>
          <w:bCs/>
          <w:i/>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28"/>
      </w:r>
      <w:r w:rsidRPr="00EA6C7A">
        <w:rPr>
          <w:rFonts w:ascii="Verdana" w:eastAsia="Calibri" w:hAnsi="Verdana" w:cs="Tahoma"/>
          <w:bCs/>
          <w:sz w:val="20"/>
          <w:szCs w:val="20"/>
          <w:shd w:val="clear" w:color="auto" w:fill="FFFFFF"/>
          <w:lang w:val="en-US"/>
        </w:rPr>
        <w:t xml:space="preserve"> </w:t>
      </w:r>
      <w:r w:rsidR="0096418F" w:rsidRPr="00EA6C7A">
        <w:rPr>
          <w:rFonts w:ascii="Verdana" w:eastAsia="Calibri" w:hAnsi="Verdana" w:cs="Tahoma"/>
          <w:sz w:val="20"/>
          <w:szCs w:val="20"/>
          <w:lang w:val="en-US"/>
        </w:rPr>
        <w:t>the Court</w:t>
      </w:r>
      <w:r w:rsidRPr="00EA6C7A">
        <w:rPr>
          <w:rFonts w:ascii="Verdana" w:eastAsia="Calibri" w:hAnsi="Verdana" w:cs="Tahoma"/>
          <w:sz w:val="20"/>
          <w:szCs w:val="20"/>
          <w:lang w:val="en-US"/>
        </w:rPr>
        <w:t xml:space="preserve"> declar</w:t>
      </w:r>
      <w:r w:rsidR="00A917BD" w:rsidRPr="00EA6C7A">
        <w:rPr>
          <w:rFonts w:ascii="Verdana" w:eastAsia="Calibri" w:hAnsi="Verdana" w:cs="Tahoma"/>
          <w:sz w:val="20"/>
          <w:szCs w:val="20"/>
          <w:lang w:val="en-US"/>
        </w:rPr>
        <w:t>ed</w:t>
      </w:r>
      <w:r w:rsidR="00ED2349" w:rsidRPr="00EA6C7A">
        <w:rPr>
          <w:rFonts w:ascii="Verdana" w:eastAsia="Calibri" w:hAnsi="Verdana" w:cs="Tahoma"/>
          <w:sz w:val="20"/>
          <w:szCs w:val="20"/>
          <w:lang w:val="en-US"/>
        </w:rPr>
        <w:t xml:space="preserve"> a</w:t>
      </w:r>
      <w:r w:rsidR="00A917BD" w:rsidRPr="00EA6C7A">
        <w:rPr>
          <w:rFonts w:ascii="Verdana" w:eastAsia="Calibri" w:hAnsi="Verdana" w:cs="Tahoma"/>
          <w:sz w:val="20"/>
          <w:szCs w:val="20"/>
          <w:lang w:val="en-US"/>
        </w:rPr>
        <w:t xml:space="preserve"> failure to comply with the obligation to ensure rights owing to an ineffective investigation into threats, </w:t>
      </w:r>
      <w:r w:rsidR="00ED2349" w:rsidRPr="00EA6C7A">
        <w:rPr>
          <w:rFonts w:ascii="Verdana" w:eastAsia="Calibri" w:hAnsi="Verdana" w:cs="Tahoma"/>
          <w:sz w:val="20"/>
          <w:szCs w:val="20"/>
          <w:lang w:val="en-US"/>
        </w:rPr>
        <w:t xml:space="preserve">and </w:t>
      </w:r>
      <w:r w:rsidR="00A917BD" w:rsidRPr="00EA6C7A">
        <w:rPr>
          <w:rFonts w:ascii="Verdana" w:eastAsia="Calibri" w:hAnsi="Verdana" w:cs="Tahoma"/>
          <w:sz w:val="20"/>
          <w:szCs w:val="20"/>
          <w:lang w:val="en-US"/>
        </w:rPr>
        <w:t xml:space="preserve">physical and sexual violence (which constituted violations of </w:t>
      </w:r>
      <w:r w:rsidR="0096418F" w:rsidRPr="00EA6C7A">
        <w:rPr>
          <w:rFonts w:ascii="Verdana" w:eastAsia="Calibri" w:hAnsi="Verdana" w:cs="Tahoma"/>
          <w:sz w:val="20"/>
          <w:szCs w:val="20"/>
          <w:lang w:val="en-US"/>
        </w:rPr>
        <w:t>Articles</w:t>
      </w:r>
      <w:r w:rsidRPr="00EA6C7A">
        <w:rPr>
          <w:rFonts w:ascii="Verdana" w:eastAsia="Calibri" w:hAnsi="Verdana" w:cs="Tahoma"/>
          <w:sz w:val="20"/>
          <w:szCs w:val="20"/>
          <w:lang w:val="en-US"/>
        </w:rPr>
        <w:t xml:space="preserve"> 5</w:t>
      </w:r>
      <w:r w:rsidR="00A917BD" w:rsidRPr="00EA6C7A">
        <w:rPr>
          <w:rFonts w:ascii="Verdana" w:eastAsia="Calibri" w:hAnsi="Verdana" w:cs="Tahoma"/>
          <w:sz w:val="20"/>
          <w:szCs w:val="20"/>
          <w:lang w:val="en-US"/>
        </w:rPr>
        <w:t>(</w:t>
      </w:r>
      <w:r w:rsidRPr="00EA6C7A">
        <w:rPr>
          <w:rFonts w:ascii="Verdana" w:eastAsia="Calibri" w:hAnsi="Verdana" w:cs="Tahoma"/>
          <w:sz w:val="20"/>
          <w:szCs w:val="20"/>
          <w:lang w:val="en-US"/>
        </w:rPr>
        <w:t>1</w:t>
      </w:r>
      <w:r w:rsidR="00A917BD" w:rsidRPr="00EA6C7A">
        <w:rPr>
          <w:rFonts w:ascii="Verdana" w:eastAsia="Calibri" w:hAnsi="Verdana" w:cs="Tahoma"/>
          <w:sz w:val="20"/>
          <w:szCs w:val="20"/>
          <w:lang w:val="en-US"/>
        </w:rPr>
        <w:t>)</w:t>
      </w:r>
      <w:r w:rsidRPr="00EA6C7A">
        <w:rPr>
          <w:rFonts w:ascii="Verdana" w:eastAsia="Calibri" w:hAnsi="Verdana" w:cs="Tahoma"/>
          <w:sz w:val="20"/>
          <w:szCs w:val="20"/>
          <w:lang w:val="en-US"/>
        </w:rPr>
        <w:t>, 5</w:t>
      </w:r>
      <w:r w:rsidR="00A917BD" w:rsidRPr="00EA6C7A">
        <w:rPr>
          <w:rFonts w:ascii="Verdana" w:eastAsia="Calibri" w:hAnsi="Verdana" w:cs="Tahoma"/>
          <w:sz w:val="20"/>
          <w:szCs w:val="20"/>
          <w:lang w:val="en-US"/>
        </w:rPr>
        <w:t>(2)</w:t>
      </w:r>
      <w:r w:rsidRPr="00EA6C7A">
        <w:rPr>
          <w:rFonts w:ascii="Verdana" w:eastAsia="Calibri" w:hAnsi="Verdana" w:cs="Tahoma"/>
          <w:sz w:val="20"/>
          <w:szCs w:val="20"/>
          <w:lang w:val="en-US"/>
        </w:rPr>
        <w:t>, 11</w:t>
      </w:r>
      <w:r w:rsidR="00A917BD" w:rsidRPr="00EA6C7A">
        <w:rPr>
          <w:rFonts w:ascii="Verdana" w:eastAsia="Calibri" w:hAnsi="Verdana" w:cs="Tahoma"/>
          <w:sz w:val="20"/>
          <w:szCs w:val="20"/>
          <w:lang w:val="en-US"/>
        </w:rPr>
        <w:t>(</w:t>
      </w:r>
      <w:r w:rsidRPr="00EA6C7A">
        <w:rPr>
          <w:rFonts w:ascii="Verdana" w:eastAsia="Calibri" w:hAnsi="Verdana" w:cs="Tahoma"/>
          <w:sz w:val="20"/>
          <w:szCs w:val="20"/>
          <w:lang w:val="en-US"/>
        </w:rPr>
        <w:t>1</w:t>
      </w:r>
      <w:r w:rsidR="00A917BD" w:rsidRPr="00EA6C7A">
        <w:rPr>
          <w:rFonts w:ascii="Verdana" w:eastAsia="Calibri" w:hAnsi="Verdana" w:cs="Tahoma"/>
          <w:sz w:val="20"/>
          <w:szCs w:val="20"/>
          <w:lang w:val="en-US"/>
        </w:rPr>
        <w:t>)</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11</w:t>
      </w:r>
      <w:r w:rsidR="00A917BD" w:rsidRPr="00EA6C7A">
        <w:rPr>
          <w:rFonts w:ascii="Verdana" w:eastAsia="Calibri" w:hAnsi="Verdana" w:cs="Tahoma"/>
          <w:sz w:val="20"/>
          <w:szCs w:val="20"/>
          <w:lang w:val="en-US"/>
        </w:rPr>
        <w:t>(</w:t>
      </w:r>
      <w:r w:rsidRPr="00EA6C7A">
        <w:rPr>
          <w:rFonts w:ascii="Verdana" w:eastAsia="Calibri" w:hAnsi="Verdana" w:cs="Tahoma"/>
          <w:sz w:val="20"/>
          <w:szCs w:val="20"/>
          <w:lang w:val="en-US"/>
        </w:rPr>
        <w:t>2</w:t>
      </w:r>
      <w:r w:rsidR="00A917BD" w:rsidRPr="00EA6C7A">
        <w:rPr>
          <w:rFonts w:ascii="Verdana" w:eastAsia="Calibri" w:hAnsi="Verdana" w:cs="Tahoma"/>
          <w:sz w:val="20"/>
          <w:szCs w:val="20"/>
          <w:lang w:val="en-US"/>
        </w:rPr>
        <w:t>)</w:t>
      </w:r>
      <w:r w:rsidR="0096418F" w:rsidRPr="00EA6C7A">
        <w:rPr>
          <w:rFonts w:ascii="Verdana" w:eastAsia="Calibri" w:hAnsi="Verdana" w:cs="Tahoma"/>
          <w:sz w:val="20"/>
          <w:szCs w:val="20"/>
          <w:lang w:val="en-US"/>
        </w:rPr>
        <w:t xml:space="preserve"> of the American Convention</w:t>
      </w:r>
      <w:r w:rsidRPr="00EA6C7A">
        <w:rPr>
          <w:rFonts w:ascii="Verdana" w:eastAsia="Calibri" w:hAnsi="Verdana" w:cs="Tahoma"/>
          <w:sz w:val="20"/>
          <w:szCs w:val="20"/>
          <w:lang w:val="en-US"/>
        </w:rPr>
        <w:t>)</w:t>
      </w:r>
      <w:r w:rsidR="00A917BD" w:rsidRPr="00EA6C7A">
        <w:rPr>
          <w:rFonts w:ascii="Verdana" w:eastAsia="Calibri" w:hAnsi="Verdana" w:cs="Tahoma"/>
          <w:sz w:val="20"/>
          <w:szCs w:val="20"/>
          <w:lang w:val="en-US"/>
        </w:rPr>
        <w:t>,</w:t>
      </w:r>
      <w:r w:rsidRPr="00EA6C7A">
        <w:rPr>
          <w:rFonts w:ascii="Verdana" w:eastAsia="Calibri" w:hAnsi="Verdana" w:cs="Tahoma"/>
          <w:vertAlign w:val="superscript"/>
          <w:lang w:val="en-US"/>
        </w:rPr>
        <w:footnoteReference w:id="29"/>
      </w:r>
      <w:r w:rsidRPr="00EA6C7A">
        <w:rPr>
          <w:rFonts w:ascii="Verdana" w:eastAsia="Calibri" w:hAnsi="Verdana" w:cs="Tahoma"/>
          <w:sz w:val="20"/>
          <w:szCs w:val="20"/>
          <w:lang w:val="en-US"/>
        </w:rPr>
        <w:t xml:space="preserve"> </w:t>
      </w:r>
      <w:r w:rsidR="002B325A" w:rsidRPr="00EA6C7A">
        <w:rPr>
          <w:rFonts w:ascii="Verdana" w:eastAsia="Calibri" w:hAnsi="Verdana" w:cs="Tahoma"/>
          <w:sz w:val="20"/>
          <w:szCs w:val="20"/>
          <w:lang w:val="en-US"/>
        </w:rPr>
        <w:t>in relation to Article</w:t>
      </w:r>
      <w:r w:rsidR="00515C34" w:rsidRPr="00EA6C7A">
        <w:rPr>
          <w:rFonts w:ascii="Verdana" w:eastAsia="Calibri" w:hAnsi="Verdana" w:cs="Tahoma"/>
          <w:sz w:val="20"/>
          <w:szCs w:val="20"/>
          <w:lang w:val="en-US"/>
        </w:rPr>
        <w:t xml:space="preserve"> 1(1)</w:t>
      </w:r>
      <w:r w:rsidR="00D5307F" w:rsidRPr="00EA6C7A">
        <w:rPr>
          <w:rFonts w:ascii="Verdana" w:eastAsia="Calibri" w:hAnsi="Verdana" w:cs="Tahoma"/>
          <w:sz w:val="20"/>
          <w:szCs w:val="20"/>
          <w:lang w:val="en-US"/>
        </w:rPr>
        <w:t xml:space="preserve"> </w:t>
      </w:r>
      <w:r w:rsidR="00A917BD" w:rsidRPr="00EA6C7A">
        <w:rPr>
          <w:rFonts w:ascii="Verdana" w:eastAsia="Calibri" w:hAnsi="Verdana" w:cs="Tahoma"/>
          <w:sz w:val="20"/>
          <w:szCs w:val="20"/>
          <w:lang w:val="en-US"/>
        </w:rPr>
        <w:t>of this instrument,</w:t>
      </w:r>
      <w:r w:rsidR="00D948A1" w:rsidRPr="00EA6C7A">
        <w:rPr>
          <w:rFonts w:ascii="Verdana" w:eastAsia="Calibri" w:hAnsi="Verdana" w:cs="Tahoma"/>
          <w:sz w:val="20"/>
          <w:szCs w:val="20"/>
          <w:lang w:val="en-US"/>
        </w:rPr>
        <w:t xml:space="preserve"> and</w:t>
      </w:r>
      <w:r w:rsidRPr="00EA6C7A">
        <w:rPr>
          <w:rFonts w:ascii="Verdana" w:eastAsia="Calibri" w:hAnsi="Verdana" w:cs="Tahoma"/>
          <w:sz w:val="20"/>
          <w:szCs w:val="20"/>
          <w:lang w:val="en-US"/>
        </w:rPr>
        <w:t xml:space="preserve"> </w:t>
      </w:r>
      <w:r w:rsidR="0096418F" w:rsidRPr="00EA6C7A">
        <w:rPr>
          <w:rFonts w:ascii="Verdana" w:eastAsia="Calibri" w:hAnsi="Verdana" w:cs="Tahoma"/>
          <w:sz w:val="20"/>
          <w:szCs w:val="20"/>
          <w:lang w:val="en-US"/>
        </w:rPr>
        <w:t>Articles</w:t>
      </w:r>
      <w:r w:rsidRPr="00EA6C7A">
        <w:rPr>
          <w:rFonts w:ascii="Verdana" w:eastAsia="Calibri" w:hAnsi="Verdana" w:cs="Tahoma"/>
          <w:sz w:val="20"/>
          <w:szCs w:val="20"/>
          <w:lang w:val="en-US"/>
        </w:rPr>
        <w:t xml:space="preserve"> 6</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8</w:t>
      </w:r>
      <w:r w:rsidR="0096418F" w:rsidRPr="00EA6C7A">
        <w:rPr>
          <w:rFonts w:ascii="Verdana" w:eastAsia="Calibri" w:hAnsi="Verdana" w:cs="Tahoma"/>
          <w:sz w:val="20"/>
          <w:szCs w:val="20"/>
          <w:lang w:val="en-US"/>
        </w:rPr>
        <w:t xml:space="preserve"> of the </w:t>
      </w:r>
      <w:r w:rsidR="00A917BD" w:rsidRPr="00EA6C7A">
        <w:rPr>
          <w:rFonts w:ascii="Verdana" w:eastAsia="Calibri" w:hAnsi="Verdana" w:cs="Tahoma"/>
          <w:sz w:val="20"/>
          <w:szCs w:val="20"/>
          <w:lang w:val="en-US"/>
        </w:rPr>
        <w:t>Inter-American Convention to Prevent and Punish Torture</w:t>
      </w:r>
      <w:r w:rsidR="00D948A1" w:rsidRPr="00EA6C7A">
        <w:rPr>
          <w:rFonts w:ascii="Verdana" w:eastAsia="Calibri" w:hAnsi="Verdana" w:cs="Tahoma"/>
          <w:sz w:val="20"/>
          <w:szCs w:val="20"/>
          <w:lang w:val="en-US"/>
        </w:rPr>
        <w:t xml:space="preserve"> and </w:t>
      </w:r>
      <w:r w:rsidR="0096418F" w:rsidRPr="00EA6C7A">
        <w:rPr>
          <w:rFonts w:ascii="Verdana" w:eastAsia="Calibri" w:hAnsi="Verdana" w:cs="Tahoma"/>
          <w:sz w:val="20"/>
          <w:szCs w:val="20"/>
          <w:lang w:val="en-US"/>
        </w:rPr>
        <w:t>Article</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7(b)</w:t>
      </w:r>
      <w:r w:rsidR="00D5307F" w:rsidRPr="00EA6C7A">
        <w:rPr>
          <w:rFonts w:ascii="Verdana" w:eastAsia="Calibri" w:hAnsi="Verdana" w:cs="Tahoma"/>
          <w:sz w:val="20"/>
          <w:szCs w:val="20"/>
          <w:lang w:val="en-US"/>
        </w:rPr>
        <w:t xml:space="preserve"> of the </w:t>
      </w:r>
      <w:r w:rsidRPr="00EA6C7A">
        <w:rPr>
          <w:rFonts w:ascii="Verdana" w:eastAsia="Calibri" w:hAnsi="Verdana" w:cs="Tahoma"/>
          <w:sz w:val="20"/>
          <w:szCs w:val="20"/>
          <w:lang w:val="en-US"/>
        </w:rPr>
        <w:t>“Conven</w:t>
      </w:r>
      <w:r w:rsidR="00A917BD" w:rsidRPr="00EA6C7A">
        <w:rPr>
          <w:rFonts w:ascii="Verdana" w:eastAsia="Calibri" w:hAnsi="Verdana" w:cs="Tahoma"/>
          <w:sz w:val="20"/>
          <w:szCs w:val="20"/>
          <w:lang w:val="en-US"/>
        </w:rPr>
        <w:t>tion of</w:t>
      </w:r>
      <w:r w:rsidRPr="00EA6C7A">
        <w:rPr>
          <w:rFonts w:ascii="Verdana" w:eastAsia="Calibri" w:hAnsi="Verdana" w:cs="Tahoma"/>
          <w:sz w:val="20"/>
          <w:szCs w:val="20"/>
          <w:lang w:val="en-US"/>
        </w:rPr>
        <w:t xml:space="preserve"> Belém do Pará</w:t>
      </w:r>
      <w:r w:rsidR="00ED2349" w:rsidRPr="00EA6C7A">
        <w:rPr>
          <w:rFonts w:ascii="Verdana" w:eastAsia="Calibri" w:hAnsi="Verdana" w:cs="Tahoma"/>
          <w:sz w:val="20"/>
          <w:szCs w:val="20"/>
          <w:lang w:val="en-US"/>
        </w:rPr>
        <w:t>.</w:t>
      </w:r>
      <w:r w:rsidRPr="00EA6C7A">
        <w:rPr>
          <w:rFonts w:ascii="Verdana" w:eastAsia="Calibri" w:hAnsi="Verdana" w:cs="Tahoma"/>
          <w:sz w:val="20"/>
          <w:szCs w:val="20"/>
          <w:lang w:val="en-US"/>
        </w:rPr>
        <w:t>”</w:t>
      </w:r>
    </w:p>
    <w:p w14:paraId="29035999" w14:textId="77777777" w:rsidR="00175ABB" w:rsidRPr="00EA6C7A" w:rsidRDefault="00175ABB" w:rsidP="00175ABB">
      <w:pPr>
        <w:autoSpaceDE w:val="0"/>
        <w:autoSpaceDN w:val="0"/>
        <w:adjustRightInd w:val="0"/>
        <w:spacing w:after="0" w:line="240" w:lineRule="auto"/>
        <w:jc w:val="both"/>
        <w:rPr>
          <w:rFonts w:ascii="Verdana" w:eastAsia="Calibri" w:hAnsi="Verdana" w:cs="Tahoma"/>
          <w:sz w:val="20"/>
          <w:szCs w:val="20"/>
          <w:lang w:val="en-US"/>
        </w:rPr>
      </w:pPr>
    </w:p>
    <w:p w14:paraId="00910DBD"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Tahoma"/>
          <w:sz w:val="20"/>
          <w:szCs w:val="20"/>
          <w:lang w:val="en-US"/>
        </w:rPr>
      </w:pPr>
      <w:r w:rsidRPr="00EA6C7A">
        <w:rPr>
          <w:rFonts w:ascii="Verdana" w:eastAsia="Calibri" w:hAnsi="Verdana" w:cs="Tahoma"/>
          <w:sz w:val="20"/>
          <w:szCs w:val="20"/>
          <w:lang w:val="en-US"/>
        </w:rPr>
        <w:t xml:space="preserve">14. </w:t>
      </w:r>
      <w:r w:rsidRPr="00EA6C7A">
        <w:rPr>
          <w:rFonts w:ascii="Verdana" w:eastAsia="Calibri" w:hAnsi="Verdana" w:cs="Tahoma"/>
          <w:sz w:val="20"/>
          <w:szCs w:val="20"/>
          <w:lang w:val="en-US"/>
        </w:rPr>
        <w:tab/>
      </w:r>
      <w:r w:rsidR="00ED2349" w:rsidRPr="00EA6C7A">
        <w:rPr>
          <w:rFonts w:ascii="Verdana" w:eastAsia="Calibri" w:hAnsi="Verdana" w:cs="Tahoma"/>
          <w:sz w:val="20"/>
          <w:szCs w:val="20"/>
          <w:lang w:val="en-US"/>
        </w:rPr>
        <w:t>I</w:t>
      </w:r>
      <w:r w:rsidRPr="00EA6C7A">
        <w:rPr>
          <w:rFonts w:ascii="Verdana" w:eastAsia="Calibri" w:hAnsi="Verdana" w:cs="Tahoma"/>
          <w:sz w:val="20"/>
          <w:szCs w:val="20"/>
          <w:lang w:val="en-US"/>
        </w:rPr>
        <w:t xml:space="preserve">n 2014, </w:t>
      </w:r>
      <w:r w:rsidR="00D5307F" w:rsidRPr="00EA6C7A">
        <w:rPr>
          <w:rFonts w:ascii="Verdana" w:eastAsia="Calibri" w:hAnsi="Verdana" w:cs="Tahoma"/>
          <w:sz w:val="20"/>
          <w:szCs w:val="20"/>
          <w:lang w:val="en-US"/>
        </w:rPr>
        <w:t>in the case of</w:t>
      </w:r>
      <w:r w:rsidRPr="00EA6C7A">
        <w:rPr>
          <w:rFonts w:ascii="Verdana" w:eastAsia="Calibri" w:hAnsi="Verdana" w:cs="Tahoma"/>
          <w:b/>
          <w:bCs/>
          <w:i/>
          <w:color w:val="000000"/>
          <w:sz w:val="20"/>
          <w:szCs w:val="20"/>
          <w:shd w:val="clear" w:color="auto" w:fill="FFFFFF"/>
          <w:lang w:val="en-US"/>
        </w:rPr>
        <w:t xml:space="preserve"> </w:t>
      </w:r>
      <w:r w:rsidRPr="00EA6C7A">
        <w:rPr>
          <w:rFonts w:ascii="Verdana" w:eastAsia="Calibri" w:hAnsi="Verdana" w:cs="Tahoma"/>
          <w:bCs/>
          <w:i/>
          <w:color w:val="000000"/>
          <w:sz w:val="20"/>
          <w:szCs w:val="20"/>
          <w:shd w:val="clear" w:color="auto" w:fill="FFFFFF"/>
          <w:lang w:val="en-US"/>
        </w:rPr>
        <w:t xml:space="preserve">Veliz </w:t>
      </w:r>
      <w:r w:rsidR="006A51FD" w:rsidRPr="00EA6C7A">
        <w:rPr>
          <w:rFonts w:ascii="Verdana" w:eastAsia="Calibri" w:hAnsi="Verdana" w:cs="Tahoma"/>
          <w:bCs/>
          <w:i/>
          <w:color w:val="000000"/>
          <w:sz w:val="20"/>
          <w:szCs w:val="20"/>
          <w:shd w:val="clear" w:color="auto" w:fill="FFFFFF"/>
          <w:lang w:val="en-US"/>
        </w:rPr>
        <w:t>Franco et al.</w:t>
      </w:r>
      <w:r w:rsidRPr="00EA6C7A">
        <w:rPr>
          <w:rFonts w:ascii="Verdana" w:eastAsia="Calibri" w:hAnsi="Verdana" w:cs="Tahoma"/>
          <w:bCs/>
          <w:i/>
          <w:color w:val="000000"/>
          <w:sz w:val="20"/>
          <w:szCs w:val="20"/>
          <w:shd w:val="clear" w:color="auto" w:fill="FFFFFF"/>
          <w:lang w:val="en-US"/>
        </w:rPr>
        <w:t xml:space="preserve"> v. Guatemala</w:t>
      </w:r>
      <w:r w:rsidRPr="00EA6C7A">
        <w:rPr>
          <w:rFonts w:ascii="Verdana" w:eastAsia="Calibri" w:hAnsi="Verdana" w:cs="Tahoma"/>
          <w:bCs/>
          <w:color w:val="000000"/>
          <w:shd w:val="clear" w:color="auto" w:fill="FFFFFF"/>
          <w:vertAlign w:val="superscript"/>
          <w:lang w:val="en-US"/>
        </w:rPr>
        <w:footnoteReference w:id="30"/>
      </w:r>
      <w:r w:rsidRPr="00EA6C7A">
        <w:rPr>
          <w:rFonts w:ascii="Verdana" w:eastAsia="Calibri" w:hAnsi="Verdana" w:cs="Tahoma"/>
          <w:bCs/>
          <w:color w:val="000000"/>
          <w:sz w:val="20"/>
          <w:szCs w:val="20"/>
          <w:shd w:val="clear" w:color="auto" w:fill="FFFFFF"/>
          <w:lang w:val="en-US"/>
        </w:rPr>
        <w:t xml:space="preserve"> —</w:t>
      </w:r>
      <w:r w:rsidR="00DA35B6" w:rsidRPr="00EA6C7A">
        <w:rPr>
          <w:rFonts w:ascii="Verdana" w:eastAsia="Calibri" w:hAnsi="Verdana" w:cs="Tahoma"/>
          <w:bCs/>
          <w:color w:val="000000"/>
          <w:sz w:val="20"/>
          <w:szCs w:val="20"/>
          <w:shd w:val="clear" w:color="auto" w:fill="FFFFFF"/>
          <w:lang w:val="en-US"/>
        </w:rPr>
        <w:t xml:space="preserve"> related to the State’s failure to provide an effective response to </w:t>
      </w:r>
      <w:r w:rsidR="001914FC" w:rsidRPr="00EA6C7A">
        <w:rPr>
          <w:rFonts w:ascii="Verdana" w:eastAsia="Calibri" w:hAnsi="Verdana" w:cs="Tahoma"/>
          <w:sz w:val="20"/>
          <w:szCs w:val="20"/>
          <w:lang w:val="en-US"/>
        </w:rPr>
        <w:t xml:space="preserve">the </w:t>
      </w:r>
      <w:r w:rsidR="00DA35B6" w:rsidRPr="00EA6C7A">
        <w:rPr>
          <w:rFonts w:ascii="Verdana" w:eastAsia="Calibri" w:hAnsi="Verdana" w:cs="Tahoma"/>
          <w:sz w:val="20"/>
          <w:szCs w:val="20"/>
          <w:lang w:val="en-US"/>
        </w:rPr>
        <w:t xml:space="preserve">report of the </w:t>
      </w:r>
      <w:r w:rsidR="008C4FF3" w:rsidRPr="00EA6C7A">
        <w:rPr>
          <w:rFonts w:ascii="Verdana" w:eastAsia="Calibri" w:hAnsi="Verdana" w:cs="Tahoma"/>
          <w:sz w:val="20"/>
          <w:szCs w:val="20"/>
          <w:lang w:val="en-US"/>
        </w:rPr>
        <w:t>disappearance</w:t>
      </w:r>
      <w:r w:rsidR="00DA35B6" w:rsidRPr="00EA6C7A">
        <w:rPr>
          <w:rFonts w:ascii="Verdana" w:eastAsia="Calibri" w:hAnsi="Verdana" w:cs="Tahoma"/>
          <w:sz w:val="20"/>
          <w:szCs w:val="20"/>
          <w:lang w:val="en-US"/>
        </w:rPr>
        <w:t xml:space="preserve"> of </w:t>
      </w:r>
      <w:r w:rsidRPr="00EA6C7A">
        <w:rPr>
          <w:rFonts w:ascii="Verdana" w:eastAsia="Calibri" w:hAnsi="Verdana" w:cs="Tahoma"/>
          <w:sz w:val="20"/>
          <w:szCs w:val="20"/>
          <w:lang w:val="en-US"/>
        </w:rPr>
        <w:t xml:space="preserve">María Isabel Veliz Franco, </w:t>
      </w:r>
      <w:r w:rsidR="00DA35B6" w:rsidRPr="00EA6C7A">
        <w:rPr>
          <w:rFonts w:ascii="Verdana" w:eastAsia="Calibri" w:hAnsi="Verdana" w:cs="Tahoma"/>
          <w:sz w:val="20"/>
          <w:szCs w:val="20"/>
          <w:lang w:val="en-US"/>
        </w:rPr>
        <w:t xml:space="preserve">15 years of age, as well as the flaws in the investigation </w:t>
      </w:r>
      <w:r w:rsidR="00F40F45" w:rsidRPr="00EA6C7A">
        <w:rPr>
          <w:rFonts w:ascii="Verdana" w:eastAsia="Calibri" w:hAnsi="Verdana" w:cs="Tahoma"/>
          <w:sz w:val="20"/>
          <w:szCs w:val="20"/>
          <w:lang w:val="en-US"/>
        </w:rPr>
        <w:t>into</w:t>
      </w:r>
      <w:r w:rsidR="00DA35B6" w:rsidRPr="00EA6C7A">
        <w:rPr>
          <w:rFonts w:ascii="Verdana" w:eastAsia="Calibri" w:hAnsi="Verdana" w:cs="Tahoma"/>
          <w:sz w:val="20"/>
          <w:szCs w:val="20"/>
          <w:lang w:val="en-US"/>
        </w:rPr>
        <w:t xml:space="preserve"> the facts that involved the </w:t>
      </w:r>
      <w:r w:rsidR="00F40F45" w:rsidRPr="00EA6C7A">
        <w:rPr>
          <w:rFonts w:ascii="Verdana" w:eastAsia="Calibri" w:hAnsi="Verdana" w:cs="Tahoma"/>
          <w:sz w:val="20"/>
          <w:szCs w:val="20"/>
          <w:lang w:val="en-US"/>
        </w:rPr>
        <w:t>d</w:t>
      </w:r>
      <w:r w:rsidR="00DA35B6" w:rsidRPr="00EA6C7A">
        <w:rPr>
          <w:rFonts w:ascii="Verdana" w:eastAsia="Calibri" w:hAnsi="Verdana" w:cs="Tahoma"/>
          <w:sz w:val="20"/>
          <w:szCs w:val="20"/>
          <w:lang w:val="en-US"/>
        </w:rPr>
        <w:t xml:space="preserve">iscovery of her body – in addition to declaring the violation of </w:t>
      </w:r>
      <w:r w:rsidR="0096418F" w:rsidRPr="00EA6C7A">
        <w:rPr>
          <w:rFonts w:ascii="Verdana" w:eastAsia="Calibri" w:hAnsi="Verdana" w:cs="Tahoma"/>
          <w:bCs/>
          <w:color w:val="000000"/>
          <w:sz w:val="20"/>
          <w:szCs w:val="20"/>
          <w:shd w:val="clear" w:color="auto" w:fill="FFFFFF"/>
          <w:lang w:val="en-US"/>
        </w:rPr>
        <w:t>Article</w:t>
      </w:r>
      <w:r w:rsidRPr="00EA6C7A">
        <w:rPr>
          <w:rFonts w:ascii="Verdana" w:eastAsia="Calibri" w:hAnsi="Verdana" w:cs="Tahoma"/>
          <w:bCs/>
          <w:color w:val="000000"/>
          <w:sz w:val="20"/>
          <w:szCs w:val="20"/>
          <w:shd w:val="clear" w:color="auto" w:fill="FFFFFF"/>
          <w:lang w:val="en-US"/>
        </w:rPr>
        <w:t xml:space="preserve"> </w:t>
      </w:r>
      <w:r w:rsidR="005F2D0A" w:rsidRPr="00EA6C7A">
        <w:rPr>
          <w:rFonts w:ascii="Verdana" w:eastAsia="Calibri" w:hAnsi="Verdana" w:cs="Tahoma"/>
          <w:bCs/>
          <w:color w:val="000000"/>
          <w:sz w:val="20"/>
          <w:szCs w:val="20"/>
          <w:shd w:val="clear" w:color="auto" w:fill="FFFFFF"/>
          <w:lang w:val="en-US"/>
        </w:rPr>
        <w:t>7(b)</w:t>
      </w:r>
      <w:r w:rsidR="00D5307F" w:rsidRPr="00EA6C7A">
        <w:rPr>
          <w:rFonts w:ascii="Verdana" w:eastAsia="Calibri" w:hAnsi="Verdana" w:cs="Tahoma"/>
          <w:bCs/>
          <w:color w:val="000000"/>
          <w:sz w:val="20"/>
          <w:szCs w:val="20"/>
          <w:shd w:val="clear" w:color="auto" w:fill="FFFFFF"/>
          <w:lang w:val="en-US"/>
        </w:rPr>
        <w:t xml:space="preserve"> of the </w:t>
      </w:r>
      <w:r w:rsidRPr="00EA6C7A">
        <w:rPr>
          <w:rFonts w:ascii="Verdana" w:eastAsia="Calibri" w:hAnsi="Verdana" w:cs="Tahoma"/>
          <w:bCs/>
          <w:color w:val="000000"/>
          <w:sz w:val="20"/>
          <w:szCs w:val="20"/>
          <w:shd w:val="clear" w:color="auto" w:fill="FFFFFF"/>
          <w:lang w:val="en-US"/>
        </w:rPr>
        <w:t>“</w:t>
      </w:r>
      <w:r w:rsidR="00F912BD" w:rsidRPr="00EA6C7A">
        <w:rPr>
          <w:rFonts w:ascii="Verdana" w:eastAsia="Calibri" w:hAnsi="Verdana" w:cs="Tahoma"/>
          <w:bCs/>
          <w:color w:val="000000"/>
          <w:sz w:val="20"/>
          <w:szCs w:val="20"/>
          <w:shd w:val="clear" w:color="auto" w:fill="FFFFFF"/>
          <w:lang w:val="en-US"/>
        </w:rPr>
        <w:t>Convention of</w:t>
      </w:r>
      <w:r w:rsidRPr="00EA6C7A">
        <w:rPr>
          <w:rFonts w:ascii="Verdana" w:eastAsia="Calibri" w:hAnsi="Verdana" w:cs="Tahoma"/>
          <w:bCs/>
          <w:color w:val="000000"/>
          <w:sz w:val="20"/>
          <w:szCs w:val="20"/>
          <w:shd w:val="clear" w:color="auto" w:fill="FFFFFF"/>
          <w:lang w:val="en-US"/>
        </w:rPr>
        <w:t xml:space="preserve"> Belém do Pará”</w:t>
      </w:r>
      <w:r w:rsidRPr="00EA6C7A">
        <w:rPr>
          <w:rFonts w:ascii="Verdana" w:eastAsia="Calibri" w:hAnsi="Verdana" w:cs="Tahoma"/>
          <w:bCs/>
          <w:color w:val="000000"/>
          <w:sz w:val="20"/>
          <w:szCs w:val="20"/>
          <w:shd w:val="clear" w:color="auto" w:fill="FFFFFF"/>
          <w:vertAlign w:val="superscript"/>
          <w:lang w:val="en-US"/>
        </w:rPr>
        <w:footnoteReference w:id="31"/>
      </w:r>
      <w:r w:rsidR="00DA35B6" w:rsidRPr="00EA6C7A">
        <w:rPr>
          <w:rFonts w:ascii="Verdana" w:eastAsia="Calibri" w:hAnsi="Verdana" w:cs="Tahoma"/>
          <w:bCs/>
          <w:color w:val="000000"/>
          <w:sz w:val="20"/>
          <w:szCs w:val="20"/>
          <w:shd w:val="clear" w:color="auto" w:fill="FFFFFF"/>
          <w:lang w:val="en-US"/>
        </w:rPr>
        <w:t xml:space="preserve"> for the second time in its case law, the Court </w:t>
      </w:r>
      <w:r w:rsidRPr="00EA6C7A">
        <w:rPr>
          <w:rFonts w:ascii="Verdana" w:eastAsia="Calibri" w:hAnsi="Verdana" w:cs="Tahoma"/>
          <w:bCs/>
          <w:color w:val="000000"/>
          <w:sz w:val="20"/>
          <w:szCs w:val="20"/>
          <w:shd w:val="clear" w:color="auto" w:fill="FFFFFF"/>
          <w:lang w:val="en-US"/>
        </w:rPr>
        <w:t xml:space="preserve"> </w:t>
      </w:r>
      <w:r w:rsidR="0092568A" w:rsidRPr="00EA6C7A">
        <w:rPr>
          <w:rFonts w:ascii="Verdana" w:eastAsia="Calibri" w:hAnsi="Verdana" w:cs="Tahoma"/>
          <w:bCs/>
          <w:color w:val="000000"/>
          <w:sz w:val="20"/>
          <w:szCs w:val="20"/>
          <w:shd w:val="clear" w:color="auto" w:fill="FFFFFF"/>
          <w:lang w:val="en-US"/>
        </w:rPr>
        <w:t>establishe</w:t>
      </w:r>
      <w:r w:rsidR="00DA35B6" w:rsidRPr="00EA6C7A">
        <w:rPr>
          <w:rFonts w:ascii="Verdana" w:eastAsia="Calibri" w:hAnsi="Verdana" w:cs="Tahoma"/>
          <w:bCs/>
          <w:color w:val="000000"/>
          <w:sz w:val="20"/>
          <w:szCs w:val="20"/>
          <w:shd w:val="clear" w:color="auto" w:fill="FFFFFF"/>
          <w:lang w:val="en-US"/>
        </w:rPr>
        <w:t>d</w:t>
      </w:r>
      <w:r w:rsidRPr="00EA6C7A">
        <w:rPr>
          <w:rFonts w:ascii="Verdana" w:eastAsia="Calibri" w:hAnsi="Verdana" w:cs="Tahoma"/>
          <w:bCs/>
          <w:color w:val="000000"/>
          <w:sz w:val="20"/>
          <w:szCs w:val="20"/>
          <w:shd w:val="clear" w:color="auto" w:fill="FFFFFF"/>
          <w:lang w:val="en-US"/>
        </w:rPr>
        <w:t xml:space="preserve"> </w:t>
      </w:r>
      <w:r w:rsidR="00DA35B6" w:rsidRPr="00EA6C7A">
        <w:rPr>
          <w:rFonts w:ascii="Verdana" w:eastAsia="Calibri" w:hAnsi="Verdana" w:cs="Tahoma"/>
          <w:bCs/>
          <w:color w:val="000000"/>
          <w:sz w:val="20"/>
          <w:szCs w:val="20"/>
          <w:shd w:val="clear" w:color="auto" w:fill="FFFFFF"/>
          <w:lang w:val="en-US"/>
        </w:rPr>
        <w:t>the violation</w:t>
      </w:r>
      <w:r w:rsidRPr="00EA6C7A">
        <w:rPr>
          <w:rFonts w:ascii="Verdana" w:eastAsia="Calibri" w:hAnsi="Verdana" w:cs="Tahoma"/>
          <w:bCs/>
          <w:color w:val="000000"/>
          <w:sz w:val="20"/>
          <w:szCs w:val="20"/>
          <w:shd w:val="clear" w:color="auto" w:fill="FFFFFF"/>
          <w:lang w:val="en-US"/>
        </w:rPr>
        <w:t xml:space="preserve"> </w:t>
      </w:r>
      <w:r w:rsidR="00DA35B6" w:rsidRPr="00EA6C7A">
        <w:rPr>
          <w:rFonts w:ascii="Verdana" w:eastAsia="Calibri" w:hAnsi="Verdana" w:cs="Tahoma"/>
          <w:bCs/>
          <w:color w:val="000000"/>
          <w:sz w:val="20"/>
          <w:szCs w:val="20"/>
          <w:shd w:val="clear" w:color="auto" w:fill="FFFFFF"/>
          <w:lang w:val="en-US"/>
        </w:rPr>
        <w:t>of</w:t>
      </w:r>
      <w:r w:rsidRPr="00EA6C7A">
        <w:rPr>
          <w:rFonts w:ascii="Verdana" w:eastAsia="Calibri" w:hAnsi="Verdana" w:cs="Tahoma"/>
          <w:bCs/>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Article</w:t>
      </w:r>
      <w:r w:rsidRPr="00EA6C7A">
        <w:rPr>
          <w:rFonts w:ascii="Verdana" w:eastAsia="Calibri" w:hAnsi="Verdana" w:cs="Tahoma"/>
          <w:bCs/>
          <w:color w:val="000000"/>
          <w:sz w:val="20"/>
          <w:szCs w:val="20"/>
          <w:shd w:val="clear" w:color="auto" w:fill="FFFFFF"/>
          <w:lang w:val="en-US"/>
        </w:rPr>
        <w:t xml:space="preserve"> </w:t>
      </w:r>
      <w:r w:rsidR="005F2D0A" w:rsidRPr="00EA6C7A">
        <w:rPr>
          <w:rFonts w:ascii="Verdana" w:eastAsia="Calibri" w:hAnsi="Verdana" w:cs="Tahoma"/>
          <w:bCs/>
          <w:color w:val="000000"/>
          <w:sz w:val="20"/>
          <w:szCs w:val="20"/>
          <w:shd w:val="clear" w:color="auto" w:fill="FFFFFF"/>
          <w:lang w:val="en-US"/>
        </w:rPr>
        <w:t>7(c)</w:t>
      </w:r>
      <w:r w:rsidRPr="00EA6C7A">
        <w:rPr>
          <w:rFonts w:ascii="Verdana" w:eastAsia="Calibri" w:hAnsi="Verdana" w:cs="Tahoma"/>
          <w:sz w:val="20"/>
          <w:szCs w:val="20"/>
          <w:lang w:val="en-US"/>
        </w:rPr>
        <w:t xml:space="preserve"> </w:t>
      </w:r>
      <w:r w:rsidR="002D218C" w:rsidRPr="00EA6C7A">
        <w:rPr>
          <w:rFonts w:ascii="Verdana" w:eastAsia="Calibri" w:hAnsi="Verdana" w:cs="Tahoma"/>
          <w:sz w:val="20"/>
          <w:szCs w:val="20"/>
          <w:lang w:val="en-US"/>
        </w:rPr>
        <w:t>of this instrument</w:t>
      </w:r>
      <w:r w:rsidRPr="00EA6C7A">
        <w:rPr>
          <w:rFonts w:ascii="Verdana" w:eastAsia="Calibri" w:hAnsi="Verdana" w:cs="Tahoma"/>
          <w:sz w:val="20"/>
          <w:szCs w:val="20"/>
          <w:lang w:val="en-US"/>
        </w:rPr>
        <w:t xml:space="preserve">, </w:t>
      </w:r>
      <w:r w:rsidR="00DA35B6" w:rsidRPr="00EA6C7A">
        <w:rPr>
          <w:rFonts w:ascii="Verdana" w:eastAsia="Calibri" w:hAnsi="Verdana" w:cs="Tahoma"/>
          <w:sz w:val="20"/>
          <w:szCs w:val="20"/>
          <w:lang w:val="en-US"/>
        </w:rPr>
        <w:t xml:space="preserve">owing to failure to conduct the investigation with a gender perspective, </w:t>
      </w:r>
      <w:r w:rsidR="00F40F45" w:rsidRPr="00EA6C7A">
        <w:rPr>
          <w:rFonts w:ascii="Verdana" w:eastAsia="Calibri" w:hAnsi="Verdana" w:cs="Tahoma"/>
          <w:sz w:val="20"/>
          <w:szCs w:val="20"/>
          <w:lang w:val="en-US"/>
        </w:rPr>
        <w:t>due</w:t>
      </w:r>
      <w:r w:rsidR="00DA35B6" w:rsidRPr="00EA6C7A">
        <w:rPr>
          <w:rFonts w:ascii="Verdana" w:eastAsia="Calibri" w:hAnsi="Verdana" w:cs="Tahoma"/>
          <w:sz w:val="20"/>
          <w:szCs w:val="20"/>
          <w:lang w:val="en-US"/>
        </w:rPr>
        <w:t xml:space="preserve"> to the possibility that the murder had been committed for reasons of gender; deficiencies in the State’s actions (</w:t>
      </w:r>
      <w:r w:rsidR="00F40F45" w:rsidRPr="00EA6C7A">
        <w:rPr>
          <w:rFonts w:ascii="Verdana" w:eastAsia="Calibri" w:hAnsi="Verdana" w:cs="Tahoma"/>
          <w:sz w:val="20"/>
          <w:szCs w:val="20"/>
          <w:lang w:val="en-US"/>
        </w:rPr>
        <w:t>as a result of</w:t>
      </w:r>
      <w:r w:rsidR="00DA35B6" w:rsidRPr="00EA6C7A">
        <w:rPr>
          <w:rFonts w:ascii="Verdana" w:eastAsia="Calibri" w:hAnsi="Verdana" w:cs="Tahoma"/>
          <w:sz w:val="20"/>
          <w:szCs w:val="20"/>
          <w:lang w:val="en-US"/>
        </w:rPr>
        <w:t xml:space="preserve"> the inexistence of laws and protocols concerning this type of facts), and actions with a discriminatory bias, as well as </w:t>
      </w:r>
      <w:r w:rsidR="00DA35B6" w:rsidRPr="00EA6C7A">
        <w:rPr>
          <w:rFonts w:ascii="Verdana" w:eastAsia="Calibri" w:hAnsi="Verdana" w:cs="Tahoma"/>
          <w:sz w:val="20"/>
          <w:szCs w:val="20"/>
          <w:lang w:val="en-US"/>
        </w:rPr>
        <w:lastRenderedPageBreak/>
        <w:t xml:space="preserve">failure to </w:t>
      </w:r>
      <w:r w:rsidR="00F40F45" w:rsidRPr="00EA6C7A">
        <w:rPr>
          <w:rFonts w:ascii="Verdana" w:eastAsia="Calibri" w:hAnsi="Verdana" w:cs="Tahoma"/>
          <w:sz w:val="20"/>
          <w:szCs w:val="20"/>
          <w:lang w:val="en-US"/>
        </w:rPr>
        <w:t>respect</w:t>
      </w:r>
      <w:r w:rsidR="00DA35B6" w:rsidRPr="00EA6C7A">
        <w:rPr>
          <w:rFonts w:ascii="Verdana" w:eastAsia="Calibri" w:hAnsi="Verdana" w:cs="Tahoma"/>
          <w:sz w:val="20"/>
          <w:szCs w:val="20"/>
          <w:lang w:val="en-US"/>
        </w:rPr>
        <w:t xml:space="preserve"> a reasonable time frame </w:t>
      </w:r>
      <w:r w:rsidR="00F40F45" w:rsidRPr="00EA6C7A">
        <w:rPr>
          <w:rFonts w:ascii="Verdana" w:eastAsia="Calibri" w:hAnsi="Verdana" w:cs="Tahoma"/>
          <w:sz w:val="20"/>
          <w:szCs w:val="20"/>
          <w:lang w:val="en-US"/>
        </w:rPr>
        <w:t>in</w:t>
      </w:r>
      <w:r w:rsidR="00DA35B6" w:rsidRPr="00EA6C7A">
        <w:rPr>
          <w:rFonts w:ascii="Verdana" w:eastAsia="Calibri" w:hAnsi="Verdana" w:cs="Tahoma"/>
          <w:sz w:val="20"/>
          <w:szCs w:val="20"/>
          <w:lang w:val="en-US"/>
        </w:rPr>
        <w:t xml:space="preserve"> the initial stage of the investigation and the substantiation of the facts.</w:t>
      </w:r>
      <w:r w:rsidRPr="00EA6C7A">
        <w:rPr>
          <w:rFonts w:ascii="Verdana" w:eastAsia="Calibri" w:hAnsi="Verdana" w:cs="Tahoma"/>
          <w:sz w:val="20"/>
          <w:szCs w:val="20"/>
          <w:vertAlign w:val="superscript"/>
          <w:lang w:val="en-US"/>
        </w:rPr>
        <w:footnoteReference w:id="32"/>
      </w:r>
    </w:p>
    <w:p w14:paraId="57C8C641" w14:textId="77777777" w:rsidR="00175ABB" w:rsidRPr="00EA6C7A" w:rsidRDefault="00175ABB" w:rsidP="00175ABB">
      <w:pPr>
        <w:autoSpaceDE w:val="0"/>
        <w:autoSpaceDN w:val="0"/>
        <w:adjustRightInd w:val="0"/>
        <w:spacing w:after="0" w:line="240" w:lineRule="auto"/>
        <w:jc w:val="both"/>
        <w:rPr>
          <w:rFonts w:ascii="Verdana" w:eastAsia="Calibri" w:hAnsi="Verdana" w:cs="Tahoma"/>
          <w:sz w:val="20"/>
          <w:szCs w:val="20"/>
          <w:lang w:val="en-US"/>
        </w:rPr>
      </w:pPr>
    </w:p>
    <w:p w14:paraId="4C6A871A"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Tahoma"/>
          <w:sz w:val="20"/>
          <w:szCs w:val="20"/>
          <w:lang w:val="en-US"/>
        </w:rPr>
      </w:pPr>
      <w:r w:rsidRPr="00EA6C7A">
        <w:rPr>
          <w:rFonts w:ascii="Verdana" w:eastAsia="Calibri" w:hAnsi="Verdana" w:cs="Tahoma"/>
          <w:sz w:val="20"/>
          <w:szCs w:val="20"/>
          <w:lang w:val="en-US"/>
        </w:rPr>
        <w:t xml:space="preserve">15. </w:t>
      </w:r>
      <w:r w:rsidRPr="00EA6C7A">
        <w:rPr>
          <w:rFonts w:ascii="Verdana" w:eastAsia="Calibri" w:hAnsi="Verdana" w:cs="Tahoma"/>
          <w:sz w:val="20"/>
          <w:szCs w:val="20"/>
          <w:lang w:val="en-US"/>
        </w:rPr>
        <w:tab/>
      </w:r>
      <w:r w:rsidR="00DA35B6" w:rsidRPr="00EA6C7A">
        <w:rPr>
          <w:rFonts w:ascii="Verdana" w:eastAsia="Calibri" w:hAnsi="Verdana" w:cs="Tahoma"/>
          <w:sz w:val="20"/>
          <w:szCs w:val="20"/>
          <w:lang w:val="en-US"/>
        </w:rPr>
        <w:t xml:space="preserve">That same year, </w:t>
      </w:r>
      <w:r w:rsidR="00D5307F" w:rsidRPr="00EA6C7A">
        <w:rPr>
          <w:rFonts w:ascii="Verdana" w:eastAsia="Calibri" w:hAnsi="Verdana" w:cs="Tahoma"/>
          <w:sz w:val="20"/>
          <w:szCs w:val="20"/>
          <w:lang w:val="en-US"/>
        </w:rPr>
        <w:t>in the case of</w:t>
      </w:r>
      <w:r w:rsidRPr="00EA6C7A">
        <w:rPr>
          <w:rFonts w:ascii="Verdana" w:eastAsia="Calibri" w:hAnsi="Verdana" w:cs="Tahoma"/>
          <w:i/>
          <w:sz w:val="20"/>
          <w:szCs w:val="20"/>
          <w:lang w:val="en-US"/>
        </w:rPr>
        <w:t xml:space="preserve"> </w:t>
      </w:r>
      <w:r w:rsidRPr="00EA6C7A">
        <w:rPr>
          <w:rFonts w:ascii="Verdana" w:eastAsia="Calibri" w:hAnsi="Verdana" w:cs="Tahoma"/>
          <w:bCs/>
          <w:i/>
          <w:color w:val="000000"/>
          <w:sz w:val="20"/>
          <w:szCs w:val="20"/>
          <w:shd w:val="clear" w:color="auto" w:fill="FFFFFF"/>
          <w:lang w:val="en-US"/>
        </w:rPr>
        <w:t xml:space="preserve">Espinoza Gonzáles v. </w:t>
      </w:r>
      <w:r w:rsidR="001914FC" w:rsidRPr="00EA6C7A">
        <w:rPr>
          <w:rFonts w:ascii="Verdana" w:eastAsia="Calibri" w:hAnsi="Verdana" w:cs="Tahoma"/>
          <w:bCs/>
          <w:i/>
          <w:color w:val="000000"/>
          <w:sz w:val="20"/>
          <w:szCs w:val="20"/>
          <w:shd w:val="clear" w:color="auto" w:fill="FFFFFF"/>
          <w:lang w:val="en-US"/>
        </w:rPr>
        <w:t>Peru</w:t>
      </w:r>
      <w:r w:rsidR="00DA35B6" w:rsidRPr="00EA6C7A">
        <w:rPr>
          <w:rFonts w:ascii="Verdana" w:eastAsia="Calibri" w:hAnsi="Verdana" w:cs="Tahoma"/>
          <w:bCs/>
          <w:i/>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33"/>
      </w:r>
      <w:r w:rsidRPr="00EA6C7A">
        <w:rPr>
          <w:rFonts w:ascii="Verdana" w:eastAsia="Calibri" w:hAnsi="Verdana" w:cs="Tahoma"/>
          <w:bCs/>
          <w:color w:val="000000"/>
          <w:sz w:val="20"/>
          <w:szCs w:val="20"/>
          <w:shd w:val="clear" w:color="auto" w:fill="FFFFFF"/>
          <w:lang w:val="en-US"/>
        </w:rPr>
        <w:t xml:space="preserve"> </w:t>
      </w:r>
      <w:r w:rsidR="0096418F" w:rsidRPr="00EA6C7A">
        <w:rPr>
          <w:rFonts w:ascii="Verdana" w:eastAsia="Calibri" w:hAnsi="Verdana" w:cs="Tahoma"/>
          <w:sz w:val="20"/>
          <w:szCs w:val="20"/>
          <w:lang w:val="en-US"/>
        </w:rPr>
        <w:t>the Court</w:t>
      </w:r>
      <w:r w:rsidRPr="00EA6C7A">
        <w:rPr>
          <w:rFonts w:ascii="Verdana" w:eastAsia="Calibri" w:hAnsi="Verdana" w:cs="Tahoma"/>
          <w:sz w:val="20"/>
          <w:szCs w:val="20"/>
          <w:lang w:val="en-US"/>
        </w:rPr>
        <w:t xml:space="preserve"> </w:t>
      </w:r>
      <w:r w:rsidR="00DA35B6" w:rsidRPr="00EA6C7A">
        <w:rPr>
          <w:rFonts w:ascii="Verdana" w:eastAsia="Calibri" w:hAnsi="Verdana" w:cs="Tahoma"/>
          <w:sz w:val="20"/>
          <w:szCs w:val="20"/>
          <w:lang w:val="en-US"/>
        </w:rPr>
        <w:t xml:space="preserve">again </w:t>
      </w:r>
      <w:r w:rsidRPr="00EA6C7A">
        <w:rPr>
          <w:rFonts w:ascii="Verdana" w:eastAsia="Calibri" w:hAnsi="Verdana" w:cs="Tahoma"/>
          <w:sz w:val="20"/>
          <w:szCs w:val="20"/>
          <w:lang w:val="en-US"/>
        </w:rPr>
        <w:t>determin</w:t>
      </w:r>
      <w:r w:rsidR="00DA35B6" w:rsidRPr="00EA6C7A">
        <w:rPr>
          <w:rFonts w:ascii="Verdana" w:eastAsia="Calibri" w:hAnsi="Verdana" w:cs="Tahoma"/>
          <w:sz w:val="20"/>
          <w:szCs w:val="20"/>
          <w:lang w:val="en-US"/>
        </w:rPr>
        <w:t xml:space="preserve">ed violations of </w:t>
      </w:r>
      <w:r w:rsidR="0096418F" w:rsidRPr="00EA6C7A">
        <w:rPr>
          <w:rFonts w:ascii="Verdana" w:eastAsia="Calibri" w:hAnsi="Verdana" w:cs="Tahoma"/>
          <w:sz w:val="20"/>
          <w:szCs w:val="20"/>
          <w:lang w:val="en-US"/>
        </w:rPr>
        <w:t>Article</w:t>
      </w:r>
      <w:r w:rsidRPr="00EA6C7A">
        <w:rPr>
          <w:rFonts w:ascii="Verdana" w:eastAsia="Calibri" w:hAnsi="Verdana" w:cs="Tahoma"/>
          <w:sz w:val="20"/>
          <w:szCs w:val="20"/>
          <w:lang w:val="en-US"/>
        </w:rPr>
        <w:t xml:space="preserve"> </w:t>
      </w:r>
      <w:r w:rsidR="005F2D0A" w:rsidRPr="00EA6C7A">
        <w:rPr>
          <w:rFonts w:ascii="Verdana" w:eastAsia="Calibri" w:hAnsi="Verdana" w:cs="Tahoma"/>
          <w:sz w:val="20"/>
          <w:szCs w:val="20"/>
          <w:lang w:val="en-US"/>
        </w:rPr>
        <w:t>7(b)</w:t>
      </w:r>
      <w:r w:rsidR="00D5307F" w:rsidRPr="00EA6C7A">
        <w:rPr>
          <w:rFonts w:ascii="Verdana" w:eastAsia="Calibri" w:hAnsi="Verdana" w:cs="Tahoma"/>
          <w:sz w:val="20"/>
          <w:szCs w:val="20"/>
          <w:lang w:val="en-US"/>
        </w:rPr>
        <w:t xml:space="preserve"> of the </w:t>
      </w:r>
      <w:r w:rsidRPr="00EA6C7A">
        <w:rPr>
          <w:rFonts w:ascii="Verdana" w:eastAsia="Calibri" w:hAnsi="Verdana" w:cs="Tahoma"/>
          <w:sz w:val="20"/>
          <w:szCs w:val="20"/>
          <w:lang w:val="en-US"/>
        </w:rPr>
        <w:t>“</w:t>
      </w:r>
      <w:r w:rsidR="00F912BD" w:rsidRPr="00EA6C7A">
        <w:rPr>
          <w:rFonts w:ascii="Verdana" w:eastAsia="Calibri" w:hAnsi="Verdana" w:cs="Tahoma"/>
          <w:sz w:val="20"/>
          <w:szCs w:val="20"/>
          <w:lang w:val="en-US"/>
        </w:rPr>
        <w:t>Convention of</w:t>
      </w:r>
      <w:r w:rsidRPr="00EA6C7A">
        <w:rPr>
          <w:rFonts w:ascii="Verdana" w:eastAsia="Calibri" w:hAnsi="Verdana" w:cs="Tahoma"/>
          <w:sz w:val="20"/>
          <w:szCs w:val="20"/>
          <w:lang w:val="en-US"/>
        </w:rPr>
        <w:t xml:space="preserve"> Belém do Pará</w:t>
      </w:r>
      <w:r w:rsidR="00DA35B6" w:rsidRPr="00EA6C7A">
        <w:rPr>
          <w:rFonts w:ascii="Verdana" w:eastAsia="Calibri" w:hAnsi="Verdana" w:cs="Tahoma"/>
          <w:sz w:val="20"/>
          <w:szCs w:val="20"/>
          <w:lang w:val="en-US"/>
        </w:rPr>
        <w:t>.</w:t>
      </w:r>
      <w:r w:rsidRPr="00EA6C7A">
        <w:rPr>
          <w:rFonts w:ascii="Verdana" w:eastAsia="Calibri" w:hAnsi="Verdana" w:cs="Tahoma"/>
          <w:sz w:val="20"/>
          <w:szCs w:val="20"/>
          <w:lang w:val="en-US"/>
        </w:rPr>
        <w:t xml:space="preserve">” </w:t>
      </w:r>
      <w:r w:rsidR="00DA35B6" w:rsidRPr="00EA6C7A">
        <w:rPr>
          <w:rFonts w:ascii="Verdana" w:eastAsia="Calibri" w:hAnsi="Verdana" w:cs="Tahoma"/>
          <w:sz w:val="20"/>
          <w:szCs w:val="20"/>
          <w:lang w:val="en-US"/>
        </w:rPr>
        <w:t>On the one hand, toget</w:t>
      </w:r>
      <w:r w:rsidR="00294D53" w:rsidRPr="00EA6C7A">
        <w:rPr>
          <w:rFonts w:ascii="Verdana" w:eastAsia="Calibri" w:hAnsi="Verdana" w:cs="Tahoma"/>
          <w:sz w:val="20"/>
          <w:szCs w:val="20"/>
          <w:lang w:val="en-US"/>
        </w:rPr>
        <w:t>h</w:t>
      </w:r>
      <w:r w:rsidR="00DA35B6" w:rsidRPr="00EA6C7A">
        <w:rPr>
          <w:rFonts w:ascii="Verdana" w:eastAsia="Calibri" w:hAnsi="Verdana" w:cs="Tahoma"/>
          <w:sz w:val="20"/>
          <w:szCs w:val="20"/>
          <w:lang w:val="en-US"/>
        </w:rPr>
        <w:t xml:space="preserve">er with violations of Articles 8(1) </w:t>
      </w:r>
      <w:r w:rsidR="00D948A1" w:rsidRPr="00EA6C7A">
        <w:rPr>
          <w:rFonts w:ascii="Verdana" w:eastAsia="Calibri" w:hAnsi="Verdana" w:cs="Tahoma"/>
          <w:sz w:val="20"/>
          <w:szCs w:val="20"/>
          <w:lang w:val="en-US"/>
        </w:rPr>
        <w:t xml:space="preserve">and </w:t>
      </w:r>
      <w:r w:rsidRPr="00EA6C7A">
        <w:rPr>
          <w:rFonts w:ascii="Verdana" w:eastAsia="Calibri" w:hAnsi="Verdana" w:cs="Tahoma"/>
          <w:sz w:val="20"/>
          <w:szCs w:val="20"/>
          <w:lang w:val="en-US"/>
        </w:rPr>
        <w:t>25</w:t>
      </w:r>
      <w:r w:rsidR="00DA35B6" w:rsidRPr="00EA6C7A">
        <w:rPr>
          <w:rFonts w:ascii="Verdana" w:eastAsia="Calibri" w:hAnsi="Verdana" w:cs="Tahoma"/>
          <w:sz w:val="20"/>
          <w:szCs w:val="20"/>
          <w:lang w:val="en-US"/>
        </w:rPr>
        <w:t xml:space="preserve">, </w:t>
      </w:r>
      <w:r w:rsidR="00D948A1" w:rsidRPr="00EA6C7A">
        <w:rPr>
          <w:rFonts w:ascii="Verdana" w:eastAsia="Calibri" w:hAnsi="Verdana" w:cs="Tahoma"/>
          <w:sz w:val="20"/>
          <w:szCs w:val="20"/>
          <w:lang w:val="en-US"/>
        </w:rPr>
        <w:t xml:space="preserve">and </w:t>
      </w:r>
      <w:r w:rsidRPr="00EA6C7A">
        <w:rPr>
          <w:rFonts w:ascii="Verdana" w:eastAsia="Calibri" w:hAnsi="Verdana" w:cs="Tahoma"/>
          <w:sz w:val="20"/>
          <w:szCs w:val="20"/>
          <w:lang w:val="en-US"/>
        </w:rPr>
        <w:t>1</w:t>
      </w:r>
      <w:r w:rsidR="00DA35B6" w:rsidRPr="00EA6C7A">
        <w:rPr>
          <w:rFonts w:ascii="Verdana" w:eastAsia="Calibri" w:hAnsi="Verdana" w:cs="Tahoma"/>
          <w:sz w:val="20"/>
          <w:szCs w:val="20"/>
          <w:lang w:val="en-US"/>
        </w:rPr>
        <w:t>(</w:t>
      </w:r>
      <w:r w:rsidRPr="00EA6C7A">
        <w:rPr>
          <w:rFonts w:ascii="Verdana" w:eastAsia="Calibri" w:hAnsi="Verdana" w:cs="Tahoma"/>
          <w:sz w:val="20"/>
          <w:szCs w:val="20"/>
          <w:lang w:val="en-US"/>
        </w:rPr>
        <w:t>1</w:t>
      </w:r>
      <w:r w:rsidR="00DA35B6" w:rsidRPr="00EA6C7A">
        <w:rPr>
          <w:rFonts w:ascii="Verdana" w:eastAsia="Calibri" w:hAnsi="Verdana" w:cs="Tahoma"/>
          <w:sz w:val="20"/>
          <w:szCs w:val="20"/>
          <w:lang w:val="en-US"/>
        </w:rPr>
        <w:t xml:space="preserve">) of the American Convention, and </w:t>
      </w:r>
      <w:r w:rsidR="00294D53" w:rsidRPr="00EA6C7A">
        <w:rPr>
          <w:rFonts w:ascii="Verdana" w:eastAsia="Calibri" w:hAnsi="Verdana" w:cs="Tahoma"/>
          <w:sz w:val="20"/>
          <w:szCs w:val="20"/>
          <w:lang w:val="en-US"/>
        </w:rPr>
        <w:t>also</w:t>
      </w:r>
      <w:r w:rsidR="00DA35B6" w:rsidRPr="00EA6C7A">
        <w:rPr>
          <w:rFonts w:ascii="Verdana" w:eastAsia="Calibri" w:hAnsi="Verdana" w:cs="Tahoma"/>
          <w:sz w:val="20"/>
          <w:szCs w:val="20"/>
          <w:lang w:val="en-US"/>
        </w:rPr>
        <w:t xml:space="preserve"> of </w:t>
      </w:r>
      <w:r w:rsidR="0096418F" w:rsidRPr="00EA6C7A">
        <w:rPr>
          <w:rFonts w:ascii="Verdana" w:eastAsia="Calibri" w:hAnsi="Verdana" w:cs="Tahoma"/>
          <w:sz w:val="20"/>
          <w:szCs w:val="20"/>
          <w:lang w:val="en-US"/>
        </w:rPr>
        <w:t>Articles</w:t>
      </w:r>
      <w:r w:rsidRPr="00EA6C7A">
        <w:rPr>
          <w:rFonts w:ascii="Verdana" w:eastAsia="Calibri" w:hAnsi="Verdana" w:cs="Tahoma"/>
          <w:sz w:val="20"/>
          <w:szCs w:val="20"/>
          <w:lang w:val="en-US"/>
        </w:rPr>
        <w:t xml:space="preserve"> 1, 6</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8</w:t>
      </w:r>
      <w:r w:rsidR="0096418F" w:rsidRPr="00EA6C7A">
        <w:rPr>
          <w:rFonts w:ascii="Verdana" w:eastAsia="Calibri" w:hAnsi="Verdana" w:cs="Tahoma"/>
          <w:sz w:val="20"/>
          <w:szCs w:val="20"/>
          <w:lang w:val="en-US"/>
        </w:rPr>
        <w:t xml:space="preserve"> of the </w:t>
      </w:r>
      <w:r w:rsidR="00A917BD" w:rsidRPr="00EA6C7A">
        <w:rPr>
          <w:rFonts w:ascii="Verdana" w:eastAsia="Calibri" w:hAnsi="Verdana" w:cs="Tahoma"/>
          <w:sz w:val="20"/>
          <w:szCs w:val="20"/>
          <w:lang w:val="en-US"/>
        </w:rPr>
        <w:t>Inter-American Convention to Prevent and Punish Torture</w:t>
      </w:r>
      <w:r w:rsidRPr="00EA6C7A">
        <w:rPr>
          <w:rFonts w:ascii="Verdana" w:eastAsia="Calibri" w:hAnsi="Verdana" w:cs="Tahoma"/>
          <w:sz w:val="20"/>
          <w:szCs w:val="20"/>
          <w:lang w:val="en-US"/>
        </w:rPr>
        <w:t xml:space="preserve">, </w:t>
      </w:r>
      <w:r w:rsidR="00DA35B6" w:rsidRPr="00EA6C7A">
        <w:rPr>
          <w:rFonts w:ascii="Verdana" w:eastAsia="Calibri" w:hAnsi="Verdana" w:cs="Tahoma"/>
          <w:sz w:val="20"/>
          <w:szCs w:val="20"/>
          <w:lang w:val="en-US"/>
        </w:rPr>
        <w:t xml:space="preserve">owing to the State’s failure to comply with the obligation to investigate </w:t>
      </w:r>
      <w:r w:rsidR="00294D53" w:rsidRPr="00EA6C7A">
        <w:rPr>
          <w:rFonts w:ascii="Verdana" w:eastAsia="Calibri" w:hAnsi="Verdana" w:cs="Tahoma"/>
          <w:sz w:val="20"/>
          <w:szCs w:val="20"/>
          <w:lang w:val="en-US"/>
        </w:rPr>
        <w:t>the sexual</w:t>
      </w:r>
      <w:r w:rsidR="00951B49" w:rsidRPr="00EA6C7A">
        <w:rPr>
          <w:rFonts w:ascii="Verdana" w:eastAsia="Calibri" w:hAnsi="Verdana" w:cs="Tahoma"/>
          <w:sz w:val="20"/>
          <w:szCs w:val="20"/>
          <w:lang w:val="en-US"/>
        </w:rPr>
        <w:t xml:space="preserve"> violence</w:t>
      </w:r>
      <w:r w:rsidRPr="00EA6C7A">
        <w:rPr>
          <w:rFonts w:ascii="Verdana" w:eastAsia="Calibri" w:hAnsi="Verdana" w:cs="Tahoma"/>
          <w:sz w:val="20"/>
          <w:szCs w:val="20"/>
          <w:lang w:val="en-US"/>
        </w:rPr>
        <w:t xml:space="preserve"> </w:t>
      </w:r>
      <w:r w:rsidR="00F40F45" w:rsidRPr="00EA6C7A">
        <w:rPr>
          <w:rFonts w:ascii="Verdana" w:eastAsia="Calibri" w:hAnsi="Verdana" w:cs="Tahoma"/>
          <w:sz w:val="20"/>
          <w:szCs w:val="20"/>
          <w:lang w:val="en-US"/>
        </w:rPr>
        <w:t>that was clear from</w:t>
      </w:r>
      <w:r w:rsidR="00294D53" w:rsidRPr="00EA6C7A">
        <w:rPr>
          <w:rFonts w:ascii="Verdana" w:eastAsia="Calibri" w:hAnsi="Verdana" w:cs="Tahoma"/>
          <w:sz w:val="20"/>
          <w:szCs w:val="20"/>
          <w:lang w:val="en-US"/>
        </w:rPr>
        <w:t xml:space="preserve"> the facts that occurred to the victim during her detention in the </w:t>
      </w:r>
      <w:r w:rsidRPr="00EA6C7A">
        <w:rPr>
          <w:rFonts w:ascii="Verdana" w:eastAsia="Calibri" w:hAnsi="Verdana" w:cs="Tahoma"/>
          <w:sz w:val="20"/>
          <w:szCs w:val="20"/>
          <w:lang w:val="en-US"/>
        </w:rPr>
        <w:t>Yanamayo</w:t>
      </w:r>
      <w:r w:rsidR="00294D53" w:rsidRPr="00EA6C7A">
        <w:rPr>
          <w:rFonts w:ascii="Verdana" w:eastAsia="Calibri" w:hAnsi="Verdana" w:cs="Tahoma"/>
          <w:sz w:val="20"/>
          <w:szCs w:val="20"/>
          <w:lang w:val="en-US"/>
        </w:rPr>
        <w:t xml:space="preserve"> Prison</w:t>
      </w:r>
      <w:r w:rsidRPr="00EA6C7A">
        <w:rPr>
          <w:rFonts w:ascii="Verdana" w:eastAsia="Calibri" w:hAnsi="Verdana" w:cs="Tahoma"/>
          <w:sz w:val="20"/>
          <w:szCs w:val="20"/>
          <w:lang w:val="en-US"/>
        </w:rPr>
        <w:t>,</w:t>
      </w:r>
      <w:r w:rsidR="00D948A1" w:rsidRPr="00EA6C7A">
        <w:rPr>
          <w:rFonts w:ascii="Verdana" w:eastAsia="Calibri" w:hAnsi="Verdana" w:cs="Tahoma"/>
          <w:sz w:val="20"/>
          <w:szCs w:val="20"/>
          <w:lang w:val="en-US"/>
        </w:rPr>
        <w:t xml:space="preserve"> and </w:t>
      </w:r>
      <w:r w:rsidR="00F40F45" w:rsidRPr="00EA6C7A">
        <w:rPr>
          <w:rFonts w:ascii="Verdana" w:eastAsia="Calibri" w:hAnsi="Verdana" w:cs="Tahoma"/>
          <w:sz w:val="20"/>
          <w:szCs w:val="20"/>
          <w:lang w:val="en-US"/>
        </w:rPr>
        <w:t xml:space="preserve">those </w:t>
      </w:r>
      <w:r w:rsidR="00294D53" w:rsidRPr="00EA6C7A">
        <w:rPr>
          <w:rFonts w:ascii="Verdana" w:eastAsia="Calibri" w:hAnsi="Verdana" w:cs="Tahoma"/>
          <w:sz w:val="20"/>
          <w:szCs w:val="20"/>
          <w:lang w:val="en-US"/>
        </w:rPr>
        <w:t xml:space="preserve">that occurred in the </w:t>
      </w:r>
      <w:r w:rsidRPr="00EA6C7A">
        <w:rPr>
          <w:rFonts w:ascii="Verdana" w:eastAsia="Calibri" w:hAnsi="Verdana" w:cs="Tahoma"/>
          <w:sz w:val="20"/>
          <w:szCs w:val="20"/>
          <w:lang w:val="en-US"/>
        </w:rPr>
        <w:t>DIVISE</w:t>
      </w:r>
      <w:r w:rsidR="00D948A1" w:rsidRPr="00EA6C7A">
        <w:rPr>
          <w:rFonts w:ascii="Verdana" w:eastAsia="Calibri" w:hAnsi="Verdana" w:cs="Tahoma"/>
          <w:sz w:val="20"/>
          <w:szCs w:val="20"/>
          <w:lang w:val="en-US"/>
        </w:rPr>
        <w:t xml:space="preserve"> and</w:t>
      </w:r>
      <w:r w:rsidR="00294D53" w:rsidRPr="00EA6C7A">
        <w:rPr>
          <w:rFonts w:ascii="Verdana" w:eastAsia="Calibri" w:hAnsi="Verdana" w:cs="Tahoma"/>
          <w:sz w:val="20"/>
          <w:szCs w:val="20"/>
          <w:lang w:val="en-US"/>
        </w:rPr>
        <w:t xml:space="preserve"> the</w:t>
      </w:r>
      <w:r w:rsidR="00D948A1" w:rsidRPr="00EA6C7A">
        <w:rPr>
          <w:rFonts w:ascii="Verdana" w:eastAsia="Calibri" w:hAnsi="Verdana" w:cs="Tahoma"/>
          <w:sz w:val="20"/>
          <w:szCs w:val="20"/>
          <w:lang w:val="en-US"/>
        </w:rPr>
        <w:t xml:space="preserve"> </w:t>
      </w:r>
      <w:r w:rsidRPr="00EA6C7A">
        <w:rPr>
          <w:rFonts w:ascii="Verdana" w:eastAsia="Calibri" w:hAnsi="Verdana" w:cs="Tahoma"/>
          <w:sz w:val="20"/>
          <w:szCs w:val="20"/>
          <w:lang w:val="en-US"/>
        </w:rPr>
        <w:t>DINCOTE</w:t>
      </w:r>
      <w:r w:rsidR="00294D53" w:rsidRPr="00EA6C7A">
        <w:rPr>
          <w:rFonts w:ascii="Verdana" w:eastAsia="Calibri" w:hAnsi="Verdana" w:cs="Tahoma"/>
          <w:sz w:val="20"/>
          <w:szCs w:val="20"/>
          <w:lang w:val="en-US"/>
        </w:rPr>
        <w:t>;</w:t>
      </w:r>
      <w:r w:rsidRPr="00EA6C7A">
        <w:rPr>
          <w:rFonts w:ascii="Verdana" w:eastAsia="Calibri" w:hAnsi="Verdana" w:cs="Tahoma"/>
          <w:sz w:val="20"/>
          <w:szCs w:val="20"/>
          <w:vertAlign w:val="superscript"/>
          <w:lang w:val="en-US"/>
        </w:rPr>
        <w:footnoteReference w:id="34"/>
      </w:r>
      <w:r w:rsidR="00294D53" w:rsidRPr="00EA6C7A">
        <w:rPr>
          <w:rFonts w:ascii="Verdana" w:eastAsia="Calibri" w:hAnsi="Verdana" w:cs="Tahoma"/>
          <w:sz w:val="20"/>
          <w:szCs w:val="20"/>
          <w:lang w:val="en-US"/>
        </w:rPr>
        <w:t xml:space="preserve"> and, on the other hand, together with violation of </w:t>
      </w:r>
      <w:r w:rsidR="0096418F" w:rsidRPr="00EA6C7A">
        <w:rPr>
          <w:rFonts w:ascii="Verdana" w:eastAsia="Calibri" w:hAnsi="Verdana" w:cs="Tahoma"/>
          <w:sz w:val="20"/>
          <w:szCs w:val="20"/>
          <w:lang w:val="en-US"/>
        </w:rPr>
        <w:t>Articles</w:t>
      </w:r>
      <w:r w:rsidRPr="00EA6C7A">
        <w:rPr>
          <w:rFonts w:ascii="Verdana" w:eastAsia="Calibri" w:hAnsi="Verdana" w:cs="Tahoma"/>
          <w:sz w:val="20"/>
          <w:szCs w:val="20"/>
          <w:lang w:val="en-US"/>
        </w:rPr>
        <w:t xml:space="preserve"> 5</w:t>
      </w:r>
      <w:r w:rsidR="00294D53" w:rsidRPr="00EA6C7A">
        <w:rPr>
          <w:rFonts w:ascii="Verdana" w:eastAsia="Calibri" w:hAnsi="Verdana" w:cs="Tahoma"/>
          <w:sz w:val="20"/>
          <w:szCs w:val="20"/>
          <w:lang w:val="en-US"/>
        </w:rPr>
        <w:t>(1)</w:t>
      </w:r>
      <w:r w:rsidRPr="00EA6C7A">
        <w:rPr>
          <w:rFonts w:ascii="Verdana" w:eastAsia="Calibri" w:hAnsi="Verdana" w:cs="Tahoma"/>
          <w:sz w:val="20"/>
          <w:szCs w:val="20"/>
          <w:lang w:val="en-US"/>
        </w:rPr>
        <w:t>, 5</w:t>
      </w:r>
      <w:r w:rsidR="00294D53" w:rsidRPr="00EA6C7A">
        <w:rPr>
          <w:rFonts w:ascii="Verdana" w:eastAsia="Calibri" w:hAnsi="Verdana" w:cs="Tahoma"/>
          <w:sz w:val="20"/>
          <w:szCs w:val="20"/>
          <w:lang w:val="en-US"/>
        </w:rPr>
        <w:t>(2)</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 xml:space="preserve">11, </w:t>
      </w:r>
      <w:r w:rsidR="00294D53" w:rsidRPr="00EA6C7A">
        <w:rPr>
          <w:rFonts w:ascii="Verdana" w:eastAsia="Calibri" w:hAnsi="Verdana" w:cs="Tahoma"/>
          <w:sz w:val="20"/>
          <w:szCs w:val="20"/>
          <w:lang w:val="en-US"/>
        </w:rPr>
        <w:t>as well as Articles</w:t>
      </w:r>
      <w:r w:rsidRPr="00EA6C7A">
        <w:rPr>
          <w:rFonts w:ascii="Verdana" w:eastAsia="Calibri" w:hAnsi="Verdana" w:cs="Tahoma"/>
          <w:sz w:val="20"/>
          <w:szCs w:val="20"/>
          <w:lang w:val="en-US"/>
        </w:rPr>
        <w:t xml:space="preserve"> 8</w:t>
      </w:r>
      <w:r w:rsidR="00294D53" w:rsidRPr="00EA6C7A">
        <w:rPr>
          <w:rFonts w:ascii="Verdana" w:eastAsia="Calibri" w:hAnsi="Verdana" w:cs="Tahoma"/>
          <w:sz w:val="20"/>
          <w:szCs w:val="20"/>
          <w:lang w:val="en-US"/>
        </w:rPr>
        <w:t>(1)</w:t>
      </w:r>
      <w:r w:rsidRPr="00EA6C7A">
        <w:rPr>
          <w:rFonts w:ascii="Verdana" w:eastAsia="Calibri" w:hAnsi="Verdana" w:cs="Tahoma"/>
          <w:sz w:val="20"/>
          <w:szCs w:val="20"/>
          <w:lang w:val="en-US"/>
        </w:rPr>
        <w:t>, 25</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2</w:t>
      </w:r>
      <w:r w:rsidR="0096418F" w:rsidRPr="00EA6C7A">
        <w:rPr>
          <w:rFonts w:ascii="Verdana" w:eastAsia="Calibri" w:hAnsi="Verdana" w:cs="Tahoma"/>
          <w:sz w:val="20"/>
          <w:szCs w:val="20"/>
          <w:lang w:val="en-US"/>
        </w:rPr>
        <w:t xml:space="preserve"> of the American Convention</w:t>
      </w:r>
      <w:r w:rsidRPr="00EA6C7A">
        <w:rPr>
          <w:rFonts w:ascii="Verdana" w:eastAsia="Calibri" w:hAnsi="Verdana" w:cs="Tahoma"/>
          <w:sz w:val="20"/>
          <w:szCs w:val="20"/>
          <w:lang w:val="en-US"/>
        </w:rPr>
        <w:t xml:space="preserve">, </w:t>
      </w:r>
      <w:r w:rsidR="00294D53" w:rsidRPr="00EA6C7A">
        <w:rPr>
          <w:rFonts w:ascii="Verdana" w:eastAsia="Calibri" w:hAnsi="Verdana" w:cs="Tahoma"/>
          <w:sz w:val="20"/>
          <w:szCs w:val="20"/>
          <w:lang w:val="en-US"/>
        </w:rPr>
        <w:t xml:space="preserve">and </w:t>
      </w:r>
      <w:r w:rsidRPr="00EA6C7A">
        <w:rPr>
          <w:rFonts w:ascii="Verdana" w:eastAsia="Calibri" w:hAnsi="Verdana" w:cs="Tahoma"/>
          <w:sz w:val="20"/>
          <w:szCs w:val="20"/>
          <w:lang w:val="en-US"/>
        </w:rPr>
        <w:t>1, 6</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8</w:t>
      </w:r>
      <w:r w:rsidR="0096418F" w:rsidRPr="00EA6C7A">
        <w:rPr>
          <w:rFonts w:ascii="Verdana" w:eastAsia="Calibri" w:hAnsi="Verdana" w:cs="Tahoma"/>
          <w:sz w:val="20"/>
          <w:szCs w:val="20"/>
          <w:lang w:val="en-US"/>
        </w:rPr>
        <w:t xml:space="preserve"> of the </w:t>
      </w:r>
      <w:r w:rsidR="00A917BD" w:rsidRPr="00EA6C7A">
        <w:rPr>
          <w:rFonts w:ascii="Verdana" w:eastAsia="Calibri" w:hAnsi="Verdana" w:cs="Tahoma"/>
          <w:sz w:val="20"/>
          <w:szCs w:val="20"/>
          <w:lang w:val="en-US"/>
        </w:rPr>
        <w:t>Inter-American Convention to Prevent and Punish Torture</w:t>
      </w:r>
      <w:r w:rsidRPr="00EA6C7A">
        <w:rPr>
          <w:rFonts w:ascii="Verdana" w:eastAsia="Calibri" w:hAnsi="Verdana" w:cs="Tahoma"/>
          <w:sz w:val="20"/>
          <w:szCs w:val="20"/>
          <w:lang w:val="en-US"/>
        </w:rPr>
        <w:t xml:space="preserve">, </w:t>
      </w:r>
      <w:r w:rsidR="00294D53" w:rsidRPr="00EA6C7A">
        <w:rPr>
          <w:rFonts w:ascii="Verdana" w:eastAsia="Calibri" w:hAnsi="Verdana" w:cs="Tahoma"/>
          <w:sz w:val="20"/>
          <w:szCs w:val="20"/>
          <w:lang w:val="en-US"/>
        </w:rPr>
        <w:t xml:space="preserve">owing to the stereotyped assessment of the evidence by the Judiciary, which constituted gender-based discrimination in </w:t>
      </w:r>
      <w:r w:rsidR="002D218C" w:rsidRPr="00EA6C7A">
        <w:rPr>
          <w:rFonts w:ascii="Verdana" w:eastAsia="Calibri" w:hAnsi="Verdana" w:cs="Tahoma"/>
          <w:sz w:val="20"/>
          <w:szCs w:val="20"/>
          <w:lang w:val="en-US"/>
        </w:rPr>
        <w:t>access to justice</w:t>
      </w:r>
      <w:r w:rsidR="00294D53" w:rsidRPr="00EA6C7A">
        <w:rPr>
          <w:rFonts w:ascii="Verdana" w:eastAsia="Calibri" w:hAnsi="Verdana" w:cs="Tahoma"/>
          <w:sz w:val="20"/>
          <w:szCs w:val="20"/>
          <w:lang w:val="en-US"/>
        </w:rPr>
        <w:t>,</w:t>
      </w:r>
      <w:r w:rsidRPr="00EA6C7A">
        <w:rPr>
          <w:rFonts w:ascii="Verdana" w:eastAsia="Calibri" w:hAnsi="Verdana" w:cs="Tahoma"/>
          <w:sz w:val="20"/>
          <w:szCs w:val="20"/>
          <w:vertAlign w:val="superscript"/>
          <w:lang w:val="en-US"/>
        </w:rPr>
        <w:footnoteReference w:id="35"/>
      </w:r>
      <w:r w:rsidR="00294D53" w:rsidRPr="00EA6C7A">
        <w:rPr>
          <w:rFonts w:ascii="Verdana" w:eastAsia="Calibri" w:hAnsi="Verdana" w:cs="Tahoma"/>
          <w:sz w:val="20"/>
          <w:szCs w:val="20"/>
          <w:lang w:val="en-US"/>
        </w:rPr>
        <w:t xml:space="preserve"> and also </w:t>
      </w:r>
      <w:r w:rsidR="00F40F45" w:rsidRPr="00EA6C7A">
        <w:rPr>
          <w:rFonts w:ascii="Verdana" w:eastAsia="Calibri" w:hAnsi="Verdana" w:cs="Tahoma"/>
          <w:sz w:val="20"/>
          <w:szCs w:val="20"/>
          <w:lang w:val="en-US"/>
        </w:rPr>
        <w:t>due to</w:t>
      </w:r>
      <w:r w:rsidR="00294D53" w:rsidRPr="00EA6C7A">
        <w:rPr>
          <w:rFonts w:ascii="Verdana" w:eastAsia="Calibri" w:hAnsi="Verdana" w:cs="Tahoma"/>
          <w:sz w:val="20"/>
          <w:szCs w:val="20"/>
          <w:lang w:val="en-US"/>
        </w:rPr>
        <w:t xml:space="preserve"> the </w:t>
      </w:r>
      <w:r w:rsidR="00951B49" w:rsidRPr="00EA6C7A">
        <w:rPr>
          <w:rFonts w:ascii="Verdana" w:eastAsia="Calibri" w:hAnsi="Verdana" w:cs="Tahoma"/>
          <w:sz w:val="20"/>
          <w:szCs w:val="20"/>
          <w:lang w:val="en-US"/>
        </w:rPr>
        <w:t>sexual violence</w:t>
      </w:r>
      <w:r w:rsidR="00D948A1" w:rsidRPr="00EA6C7A">
        <w:rPr>
          <w:rFonts w:ascii="Verdana" w:eastAsia="Calibri" w:hAnsi="Verdana" w:cs="Tahoma"/>
          <w:sz w:val="20"/>
          <w:szCs w:val="20"/>
          <w:lang w:val="en-US"/>
        </w:rPr>
        <w:t xml:space="preserve"> and </w:t>
      </w:r>
      <w:r w:rsidRPr="00EA6C7A">
        <w:rPr>
          <w:rFonts w:ascii="Verdana" w:eastAsia="Calibri" w:hAnsi="Verdana" w:cs="Tahoma"/>
          <w:sz w:val="20"/>
          <w:szCs w:val="20"/>
          <w:lang w:val="en-US"/>
        </w:rPr>
        <w:t>tortur</w:t>
      </w:r>
      <w:r w:rsidR="00294D53" w:rsidRPr="00EA6C7A">
        <w:rPr>
          <w:rFonts w:ascii="Verdana" w:eastAsia="Calibri" w:hAnsi="Verdana" w:cs="Tahoma"/>
          <w:sz w:val="20"/>
          <w:szCs w:val="20"/>
          <w:lang w:val="en-US"/>
        </w:rPr>
        <w:t>e suffered by the victim.</w:t>
      </w:r>
      <w:r w:rsidRPr="00EA6C7A">
        <w:rPr>
          <w:rFonts w:ascii="Verdana" w:eastAsia="Calibri" w:hAnsi="Verdana" w:cs="Tahoma"/>
          <w:sz w:val="20"/>
          <w:szCs w:val="20"/>
          <w:vertAlign w:val="superscript"/>
          <w:lang w:val="en-US"/>
        </w:rPr>
        <w:footnoteReference w:id="36"/>
      </w:r>
    </w:p>
    <w:p w14:paraId="2DCDCD6F" w14:textId="77777777" w:rsidR="00175ABB" w:rsidRPr="00EA6C7A" w:rsidRDefault="00175ABB" w:rsidP="00175ABB">
      <w:pPr>
        <w:autoSpaceDE w:val="0"/>
        <w:autoSpaceDN w:val="0"/>
        <w:adjustRightInd w:val="0"/>
        <w:spacing w:after="0" w:line="240" w:lineRule="auto"/>
        <w:jc w:val="both"/>
        <w:rPr>
          <w:rFonts w:ascii="Verdana" w:eastAsia="Calibri" w:hAnsi="Verdana" w:cs="Tahoma"/>
          <w:sz w:val="20"/>
          <w:szCs w:val="20"/>
          <w:lang w:val="en-US"/>
        </w:rPr>
      </w:pPr>
    </w:p>
    <w:p w14:paraId="4B4EDEC2"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Tahoma"/>
          <w:sz w:val="20"/>
          <w:szCs w:val="20"/>
          <w:lang w:val="en-US"/>
        </w:rPr>
      </w:pPr>
      <w:r w:rsidRPr="00EA6C7A">
        <w:rPr>
          <w:rFonts w:ascii="Verdana" w:eastAsia="Calibri" w:hAnsi="Verdana" w:cs="Tahoma"/>
          <w:sz w:val="20"/>
          <w:szCs w:val="20"/>
          <w:lang w:val="en-US"/>
        </w:rPr>
        <w:t xml:space="preserve">16. </w:t>
      </w:r>
      <w:r w:rsidRPr="00EA6C7A">
        <w:rPr>
          <w:rFonts w:ascii="Verdana" w:eastAsia="Calibri" w:hAnsi="Verdana" w:cs="Tahoma"/>
          <w:sz w:val="20"/>
          <w:szCs w:val="20"/>
          <w:lang w:val="en-US"/>
        </w:rPr>
        <w:tab/>
      </w:r>
      <w:r w:rsidR="00294D53" w:rsidRPr="00EA6C7A">
        <w:rPr>
          <w:rFonts w:ascii="Verdana" w:eastAsia="Calibri" w:hAnsi="Verdana" w:cs="Tahoma"/>
          <w:sz w:val="20"/>
          <w:szCs w:val="20"/>
          <w:lang w:val="en-US"/>
        </w:rPr>
        <w:t>A</w:t>
      </w:r>
      <w:r w:rsidR="002C132E" w:rsidRPr="00EA6C7A">
        <w:rPr>
          <w:rFonts w:ascii="Verdana" w:eastAsia="Calibri" w:hAnsi="Verdana" w:cs="Tahoma"/>
          <w:sz w:val="20"/>
          <w:szCs w:val="20"/>
          <w:lang w:val="en-US"/>
        </w:rPr>
        <w:t>s</w:t>
      </w:r>
      <w:r w:rsidR="00294D53" w:rsidRPr="00EA6C7A">
        <w:rPr>
          <w:rFonts w:ascii="Verdana" w:eastAsia="Calibri" w:hAnsi="Verdana" w:cs="Tahoma"/>
          <w:sz w:val="20"/>
          <w:szCs w:val="20"/>
          <w:lang w:val="en-US"/>
        </w:rPr>
        <w:t xml:space="preserve"> can be appreciated from this brief overview, the </w:t>
      </w:r>
      <w:r w:rsidR="00F40F45" w:rsidRPr="00EA6C7A">
        <w:rPr>
          <w:rFonts w:ascii="Verdana" w:eastAsia="Calibri" w:hAnsi="Verdana" w:cs="Tahoma"/>
          <w:sz w:val="20"/>
          <w:szCs w:val="20"/>
          <w:lang w:val="en-US"/>
        </w:rPr>
        <w:t xml:space="preserve">Court’s </w:t>
      </w:r>
      <w:r w:rsidR="00294D53" w:rsidRPr="00EA6C7A">
        <w:rPr>
          <w:rFonts w:ascii="Verdana" w:eastAsia="Calibri" w:hAnsi="Verdana" w:cs="Tahoma"/>
          <w:sz w:val="20"/>
          <w:szCs w:val="20"/>
          <w:lang w:val="en-US"/>
        </w:rPr>
        <w:t xml:space="preserve">case law has not remained on the sidelines of the problem of violence against women in the region.  To the contrary, it has examined </w:t>
      </w:r>
      <w:r w:rsidR="00F40F45" w:rsidRPr="00EA6C7A">
        <w:rPr>
          <w:rFonts w:ascii="Verdana" w:eastAsia="Calibri" w:hAnsi="Verdana" w:cs="Tahoma"/>
          <w:sz w:val="20"/>
          <w:szCs w:val="20"/>
          <w:lang w:val="en-US"/>
        </w:rPr>
        <w:t xml:space="preserve">this </w:t>
      </w:r>
      <w:r w:rsidR="00294D53" w:rsidRPr="00EA6C7A">
        <w:rPr>
          <w:rFonts w:ascii="Verdana" w:eastAsia="Calibri" w:hAnsi="Verdana" w:cs="Tahoma"/>
          <w:sz w:val="20"/>
          <w:szCs w:val="20"/>
          <w:lang w:val="en-US"/>
        </w:rPr>
        <w:t xml:space="preserve">on various occasions as a result of </w:t>
      </w:r>
      <w:r w:rsidR="002C132E" w:rsidRPr="00EA6C7A">
        <w:rPr>
          <w:rFonts w:ascii="Verdana" w:eastAsia="Calibri" w:hAnsi="Verdana" w:cs="Tahoma"/>
          <w:sz w:val="20"/>
          <w:szCs w:val="20"/>
          <w:lang w:val="en-US"/>
        </w:rPr>
        <w:t xml:space="preserve">an interpretation of the provisions </w:t>
      </w:r>
      <w:r w:rsidR="0096418F" w:rsidRPr="00EA6C7A">
        <w:rPr>
          <w:rFonts w:ascii="Verdana" w:eastAsia="Calibri" w:hAnsi="Verdana" w:cs="Tahoma"/>
          <w:sz w:val="20"/>
          <w:szCs w:val="20"/>
          <w:lang w:val="en-US"/>
        </w:rPr>
        <w:t>of the American Convention</w:t>
      </w:r>
      <w:r w:rsidRPr="00EA6C7A">
        <w:rPr>
          <w:rFonts w:ascii="Verdana" w:eastAsia="Calibri" w:hAnsi="Verdana" w:cs="Tahoma"/>
          <w:sz w:val="20"/>
          <w:szCs w:val="20"/>
          <w:lang w:val="en-US"/>
        </w:rPr>
        <w:t xml:space="preserve"> </w:t>
      </w:r>
      <w:r w:rsidR="002B325A" w:rsidRPr="00EA6C7A">
        <w:rPr>
          <w:rFonts w:ascii="Verdana" w:eastAsia="Calibri" w:hAnsi="Verdana" w:cs="Tahoma"/>
          <w:sz w:val="20"/>
          <w:szCs w:val="20"/>
          <w:lang w:val="en-US"/>
        </w:rPr>
        <w:t>in relation to Article</w:t>
      </w:r>
      <w:r w:rsidRPr="00EA6C7A">
        <w:rPr>
          <w:rFonts w:ascii="Verdana" w:eastAsia="Calibri" w:hAnsi="Verdana" w:cs="Tahoma"/>
          <w:sz w:val="20"/>
          <w:szCs w:val="20"/>
          <w:lang w:val="en-US"/>
        </w:rPr>
        <w:t xml:space="preserve"> 7</w:t>
      </w:r>
      <w:r w:rsidR="00D5307F" w:rsidRPr="00EA6C7A">
        <w:rPr>
          <w:rFonts w:ascii="Verdana" w:eastAsia="Calibri" w:hAnsi="Verdana" w:cs="Tahoma"/>
          <w:sz w:val="20"/>
          <w:szCs w:val="20"/>
          <w:lang w:val="en-US"/>
        </w:rPr>
        <w:t xml:space="preserve"> of the </w:t>
      </w:r>
      <w:r w:rsidRPr="00EA6C7A">
        <w:rPr>
          <w:rFonts w:ascii="Verdana" w:eastAsia="Calibri" w:hAnsi="Verdana" w:cs="Tahoma"/>
          <w:sz w:val="20"/>
          <w:szCs w:val="20"/>
          <w:lang w:val="en-US"/>
        </w:rPr>
        <w:t>“</w:t>
      </w:r>
      <w:r w:rsidR="00F912BD" w:rsidRPr="00EA6C7A">
        <w:rPr>
          <w:rFonts w:ascii="Verdana" w:eastAsia="Calibri" w:hAnsi="Verdana" w:cs="Tahoma"/>
          <w:sz w:val="20"/>
          <w:szCs w:val="20"/>
          <w:lang w:val="en-US"/>
        </w:rPr>
        <w:t>Convention of</w:t>
      </w:r>
      <w:r w:rsidRPr="00EA6C7A">
        <w:rPr>
          <w:rFonts w:ascii="Verdana" w:eastAsia="Calibri" w:hAnsi="Verdana" w:cs="Tahoma"/>
          <w:sz w:val="20"/>
          <w:szCs w:val="20"/>
          <w:lang w:val="en-US"/>
        </w:rPr>
        <w:t xml:space="preserve"> Belém do Pará</w:t>
      </w:r>
      <w:r w:rsidR="002C132E" w:rsidRPr="00EA6C7A">
        <w:rPr>
          <w:rFonts w:ascii="Verdana" w:eastAsia="Calibri" w:hAnsi="Verdana" w:cs="Tahoma"/>
          <w:sz w:val="20"/>
          <w:szCs w:val="20"/>
          <w:lang w:val="en-US"/>
        </w:rPr>
        <w:t>,</w:t>
      </w:r>
      <w:r w:rsidRPr="00EA6C7A">
        <w:rPr>
          <w:rFonts w:ascii="Verdana" w:eastAsia="Calibri" w:hAnsi="Verdana" w:cs="Tahoma"/>
          <w:sz w:val="20"/>
          <w:szCs w:val="20"/>
          <w:lang w:val="en-US"/>
        </w:rPr>
        <w:t>”</w:t>
      </w:r>
      <w:r w:rsidR="002C132E" w:rsidRPr="00EA6C7A">
        <w:rPr>
          <w:rFonts w:ascii="Verdana" w:eastAsia="Calibri" w:hAnsi="Verdana" w:cs="Tahoma"/>
          <w:sz w:val="20"/>
          <w:szCs w:val="20"/>
          <w:lang w:val="en-US"/>
        </w:rPr>
        <w:t xml:space="preserve"> establishing invaluable standards for </w:t>
      </w:r>
      <w:r w:rsidR="00F40F45" w:rsidRPr="00EA6C7A">
        <w:rPr>
          <w:rFonts w:ascii="Verdana" w:eastAsia="Calibri" w:hAnsi="Verdana" w:cs="Tahoma"/>
          <w:sz w:val="20"/>
          <w:szCs w:val="20"/>
          <w:lang w:val="en-US"/>
        </w:rPr>
        <w:t>State</w:t>
      </w:r>
      <w:r w:rsidR="002C132E" w:rsidRPr="00EA6C7A">
        <w:rPr>
          <w:rFonts w:ascii="Verdana" w:eastAsia="Calibri" w:hAnsi="Verdana" w:cs="Tahoma"/>
          <w:sz w:val="20"/>
          <w:szCs w:val="20"/>
          <w:lang w:val="en-US"/>
        </w:rPr>
        <w:t xml:space="preserve"> obligations in cases of gender-based violence, especially – and based on the matter which is the purpose of this opinion – on the </w:t>
      </w:r>
      <w:r w:rsidRPr="00EA6C7A">
        <w:rPr>
          <w:rFonts w:ascii="Verdana" w:eastAsia="Calibri" w:hAnsi="Verdana" w:cs="Tahoma"/>
          <w:sz w:val="20"/>
          <w:szCs w:val="20"/>
          <w:lang w:val="en-US"/>
        </w:rPr>
        <w:t>“</w:t>
      </w:r>
      <w:r w:rsidR="00D5307F" w:rsidRPr="00EA6C7A">
        <w:rPr>
          <w:rFonts w:ascii="Verdana" w:eastAsia="Calibri" w:hAnsi="Verdana" w:cs="Tahoma"/>
          <w:sz w:val="20"/>
          <w:szCs w:val="20"/>
          <w:lang w:val="en-US"/>
        </w:rPr>
        <w:t>obligation of prevention</w:t>
      </w:r>
      <w:r w:rsidRPr="00EA6C7A">
        <w:rPr>
          <w:rFonts w:ascii="Verdana" w:eastAsia="Calibri" w:hAnsi="Verdana" w:cs="Tahoma"/>
          <w:sz w:val="20"/>
          <w:szCs w:val="20"/>
          <w:lang w:val="en-US"/>
        </w:rPr>
        <w:t xml:space="preserve">” </w:t>
      </w:r>
      <w:r w:rsidR="002C132E" w:rsidRPr="00EA6C7A">
        <w:rPr>
          <w:rFonts w:ascii="Verdana" w:eastAsia="Calibri" w:hAnsi="Verdana" w:cs="Tahoma"/>
          <w:sz w:val="20"/>
          <w:szCs w:val="20"/>
          <w:lang w:val="en-US"/>
        </w:rPr>
        <w:t>to which I will refer below</w:t>
      </w:r>
      <w:r w:rsidRPr="00EA6C7A">
        <w:rPr>
          <w:rFonts w:ascii="Verdana" w:eastAsia="Calibri" w:hAnsi="Verdana" w:cs="Tahoma"/>
          <w:sz w:val="20"/>
          <w:szCs w:val="20"/>
          <w:lang w:val="en-US"/>
        </w:rPr>
        <w:t>.</w:t>
      </w:r>
    </w:p>
    <w:p w14:paraId="2BC4A49A" w14:textId="77777777" w:rsidR="00175ABB" w:rsidRPr="00EA6C7A" w:rsidRDefault="00175ABB" w:rsidP="00175ABB">
      <w:pPr>
        <w:autoSpaceDE w:val="0"/>
        <w:autoSpaceDN w:val="0"/>
        <w:adjustRightInd w:val="0"/>
        <w:spacing w:after="0" w:line="240" w:lineRule="auto"/>
        <w:jc w:val="both"/>
        <w:rPr>
          <w:rFonts w:ascii="Verdana" w:eastAsia="Calibri" w:hAnsi="Verdana" w:cs="Tahoma"/>
          <w:sz w:val="20"/>
          <w:szCs w:val="20"/>
          <w:lang w:val="en-US"/>
        </w:rPr>
      </w:pPr>
    </w:p>
    <w:p w14:paraId="31EB5F8B" w14:textId="77777777" w:rsidR="00175ABB" w:rsidRPr="00EA6C7A" w:rsidRDefault="00175ABB" w:rsidP="002C132E">
      <w:pPr>
        <w:spacing w:after="0" w:line="240" w:lineRule="auto"/>
        <w:jc w:val="center"/>
        <w:rPr>
          <w:rFonts w:ascii="Verdana" w:eastAsia="Calibri" w:hAnsi="Verdana" w:cs="Tahoma"/>
          <w:bCs/>
          <w:i/>
          <w:caps/>
          <w:color w:val="000000"/>
          <w:sz w:val="20"/>
          <w:szCs w:val="20"/>
          <w:shd w:val="clear" w:color="auto" w:fill="FFFFFF"/>
          <w:lang w:val="en-US"/>
        </w:rPr>
      </w:pPr>
      <w:r w:rsidRPr="00EA6C7A">
        <w:rPr>
          <w:rFonts w:ascii="Verdana" w:eastAsia="Calibri" w:hAnsi="Verdana" w:cs="Tahoma"/>
          <w:sz w:val="20"/>
          <w:szCs w:val="20"/>
          <w:lang w:val="en-US"/>
        </w:rPr>
        <w:t xml:space="preserve">II. </w:t>
      </w:r>
      <w:r w:rsidR="002C132E" w:rsidRPr="00EA6C7A">
        <w:rPr>
          <w:rFonts w:ascii="Verdana" w:eastAsia="Calibri" w:hAnsi="Verdana" w:cs="Tahoma"/>
          <w:bCs/>
          <w:caps/>
          <w:sz w:val="20"/>
          <w:szCs w:val="20"/>
          <w:lang w:val="en-US"/>
        </w:rPr>
        <w:t>THE</w:t>
      </w:r>
      <w:r w:rsidRPr="00EA6C7A">
        <w:rPr>
          <w:rFonts w:ascii="Verdana" w:eastAsia="Calibri" w:hAnsi="Verdana" w:cs="Tahoma"/>
          <w:bCs/>
          <w:caps/>
          <w:sz w:val="20"/>
          <w:szCs w:val="20"/>
          <w:lang w:val="en-US"/>
        </w:rPr>
        <w:t xml:space="preserve"> “</w:t>
      </w:r>
      <w:r w:rsidR="00D5307F" w:rsidRPr="00EA6C7A">
        <w:rPr>
          <w:rFonts w:ascii="Verdana" w:eastAsia="Calibri" w:hAnsi="Verdana" w:cs="Tahoma"/>
          <w:bCs/>
          <w:caps/>
          <w:sz w:val="20"/>
          <w:szCs w:val="20"/>
          <w:lang w:val="en-US"/>
        </w:rPr>
        <w:t>obligation of prevention</w:t>
      </w:r>
      <w:r w:rsidRPr="00EA6C7A">
        <w:rPr>
          <w:rFonts w:ascii="Verdana" w:eastAsia="Calibri" w:hAnsi="Verdana" w:cs="Tahoma"/>
          <w:bCs/>
          <w:caps/>
          <w:sz w:val="20"/>
          <w:szCs w:val="20"/>
          <w:lang w:val="en-US"/>
        </w:rPr>
        <w:t>”</w:t>
      </w:r>
      <w:r w:rsidR="00D948A1" w:rsidRPr="00EA6C7A">
        <w:rPr>
          <w:rFonts w:ascii="Verdana" w:eastAsia="Calibri" w:hAnsi="Verdana" w:cs="Tahoma"/>
          <w:bCs/>
          <w:caps/>
          <w:sz w:val="20"/>
          <w:szCs w:val="20"/>
          <w:lang w:val="en-US"/>
        </w:rPr>
        <w:t xml:space="preserve"> and </w:t>
      </w:r>
      <w:r w:rsidR="002C132E" w:rsidRPr="00EA6C7A">
        <w:rPr>
          <w:rFonts w:ascii="Verdana" w:eastAsia="Calibri" w:hAnsi="Verdana" w:cs="Tahoma"/>
          <w:bCs/>
          <w:caps/>
          <w:sz w:val="20"/>
          <w:szCs w:val="20"/>
          <w:lang w:val="en-US"/>
        </w:rPr>
        <w:t>ITS</w:t>
      </w:r>
      <w:r w:rsidRPr="00EA6C7A">
        <w:rPr>
          <w:rFonts w:ascii="Verdana" w:eastAsia="Calibri" w:hAnsi="Verdana" w:cs="Tahoma"/>
          <w:bCs/>
          <w:caps/>
          <w:sz w:val="20"/>
          <w:szCs w:val="20"/>
          <w:lang w:val="en-US"/>
        </w:rPr>
        <w:t xml:space="preserve"> “</w:t>
      </w:r>
      <w:r w:rsidR="002C132E" w:rsidRPr="00EA6C7A">
        <w:rPr>
          <w:rFonts w:ascii="Verdana" w:eastAsia="Calibri" w:hAnsi="Verdana" w:cs="Tahoma"/>
          <w:bCs/>
          <w:caps/>
          <w:sz w:val="20"/>
          <w:szCs w:val="20"/>
          <w:lang w:val="en-US"/>
        </w:rPr>
        <w:t>TWO</w:t>
      </w:r>
      <w:r w:rsidRPr="00EA6C7A">
        <w:rPr>
          <w:rFonts w:ascii="Verdana" w:eastAsia="Calibri" w:hAnsi="Verdana" w:cs="Tahoma"/>
          <w:bCs/>
          <w:caps/>
          <w:sz w:val="20"/>
          <w:szCs w:val="20"/>
          <w:lang w:val="en-US"/>
        </w:rPr>
        <w:t xml:space="preserve"> moments” </w:t>
      </w:r>
      <w:r w:rsidR="00D5307F" w:rsidRPr="00EA6C7A">
        <w:rPr>
          <w:rFonts w:ascii="Verdana" w:eastAsia="Calibri" w:hAnsi="Verdana" w:cs="Tahoma"/>
          <w:bCs/>
          <w:caps/>
          <w:sz w:val="20"/>
          <w:szCs w:val="20"/>
          <w:lang w:val="en-US"/>
        </w:rPr>
        <w:t>in the cases of</w:t>
      </w:r>
      <w:r w:rsidRPr="00EA6C7A">
        <w:rPr>
          <w:rFonts w:ascii="Verdana" w:eastAsia="Calibri" w:hAnsi="Verdana" w:cs="Tahoma"/>
          <w:bCs/>
          <w:caps/>
          <w:sz w:val="20"/>
          <w:szCs w:val="20"/>
          <w:lang w:val="en-US"/>
        </w:rPr>
        <w:t xml:space="preserve"> </w:t>
      </w:r>
      <w:r w:rsidR="008B402D" w:rsidRPr="00EA6C7A">
        <w:rPr>
          <w:rFonts w:ascii="Verdana" w:eastAsia="Calibri" w:hAnsi="Verdana" w:cs="Tahoma"/>
          <w:bCs/>
          <w:i/>
          <w:caps/>
          <w:color w:val="000000"/>
          <w:sz w:val="20"/>
          <w:szCs w:val="20"/>
          <w:shd w:val="clear" w:color="auto" w:fill="FFFFFF"/>
          <w:lang w:val="en-US"/>
        </w:rPr>
        <w:t>González et al.</w:t>
      </w:r>
      <w:r w:rsidRPr="00EA6C7A">
        <w:rPr>
          <w:rFonts w:ascii="Verdana" w:eastAsia="Calibri" w:hAnsi="Verdana" w:cs="Tahoma"/>
          <w:bCs/>
          <w:i/>
          <w:caps/>
          <w:color w:val="000000"/>
          <w:sz w:val="20"/>
          <w:szCs w:val="20"/>
          <w:shd w:val="clear" w:color="auto" w:fill="FFFFFF"/>
          <w:lang w:val="en-US"/>
        </w:rPr>
        <w:t xml:space="preserve"> (“</w:t>
      </w:r>
      <w:r w:rsidR="001914FC" w:rsidRPr="00EA6C7A">
        <w:rPr>
          <w:rFonts w:ascii="Verdana" w:eastAsia="Calibri" w:hAnsi="Verdana" w:cs="Tahoma"/>
          <w:bCs/>
          <w:i/>
          <w:caps/>
          <w:color w:val="000000"/>
          <w:sz w:val="20"/>
          <w:szCs w:val="20"/>
          <w:shd w:val="clear" w:color="auto" w:fill="FFFFFF"/>
          <w:lang w:val="en-US"/>
        </w:rPr>
        <w:t>Cotton Field</w:t>
      </w:r>
      <w:r w:rsidRPr="00EA6C7A">
        <w:rPr>
          <w:rFonts w:ascii="Verdana" w:eastAsia="Calibri" w:hAnsi="Verdana" w:cs="Tahoma"/>
          <w:bCs/>
          <w:i/>
          <w:caps/>
          <w:color w:val="000000"/>
          <w:sz w:val="20"/>
          <w:szCs w:val="20"/>
          <w:shd w:val="clear" w:color="auto" w:fill="FFFFFF"/>
          <w:lang w:val="en-US"/>
        </w:rPr>
        <w:t xml:space="preserve">”) </w:t>
      </w:r>
      <w:r w:rsidR="001914FC" w:rsidRPr="00EA6C7A">
        <w:rPr>
          <w:rFonts w:ascii="Verdana" w:eastAsia="Calibri" w:hAnsi="Verdana" w:cs="Tahoma"/>
          <w:bCs/>
          <w:i/>
          <w:caps/>
          <w:color w:val="000000"/>
          <w:sz w:val="20"/>
          <w:szCs w:val="20"/>
          <w:shd w:val="clear" w:color="auto" w:fill="FFFFFF"/>
          <w:lang w:val="en-US"/>
        </w:rPr>
        <w:t>v.</w:t>
      </w:r>
      <w:r w:rsidRPr="00EA6C7A">
        <w:rPr>
          <w:rFonts w:ascii="Verdana" w:eastAsia="Calibri" w:hAnsi="Verdana" w:cs="Tahoma"/>
          <w:bCs/>
          <w:i/>
          <w:caps/>
          <w:color w:val="000000"/>
          <w:sz w:val="20"/>
          <w:szCs w:val="20"/>
          <w:shd w:val="clear" w:color="auto" w:fill="FFFFFF"/>
          <w:lang w:val="en-US"/>
        </w:rPr>
        <w:t xml:space="preserve"> </w:t>
      </w:r>
      <w:r w:rsidR="001914FC" w:rsidRPr="00EA6C7A">
        <w:rPr>
          <w:rFonts w:ascii="Verdana" w:eastAsia="Calibri" w:hAnsi="Verdana" w:cs="Tahoma"/>
          <w:bCs/>
          <w:i/>
          <w:caps/>
          <w:color w:val="000000"/>
          <w:sz w:val="20"/>
          <w:szCs w:val="20"/>
          <w:shd w:val="clear" w:color="auto" w:fill="FFFFFF"/>
          <w:lang w:val="en-US"/>
        </w:rPr>
        <w:t>Mexico</w:t>
      </w:r>
      <w:r w:rsidRPr="00EA6C7A">
        <w:rPr>
          <w:rFonts w:ascii="Verdana" w:eastAsia="Calibri" w:hAnsi="Verdana" w:cs="Tahoma"/>
          <w:bCs/>
          <w:i/>
          <w:caps/>
          <w:color w:val="000000"/>
          <w:sz w:val="20"/>
          <w:szCs w:val="20"/>
          <w:shd w:val="clear" w:color="auto" w:fill="FFFFFF"/>
          <w:lang w:val="en-US"/>
        </w:rPr>
        <w:t xml:space="preserve"> (2009),</w:t>
      </w:r>
      <w:r w:rsidR="00D948A1" w:rsidRPr="00EA6C7A">
        <w:rPr>
          <w:rFonts w:ascii="Verdana" w:eastAsia="Calibri" w:hAnsi="Verdana" w:cs="Tahoma"/>
          <w:bCs/>
          <w:i/>
          <w:caps/>
          <w:color w:val="000000"/>
          <w:sz w:val="20"/>
          <w:szCs w:val="20"/>
          <w:shd w:val="clear" w:color="auto" w:fill="FFFFFF"/>
          <w:lang w:val="en-US"/>
        </w:rPr>
        <w:t xml:space="preserve"> </w:t>
      </w:r>
      <w:r w:rsidR="00D948A1" w:rsidRPr="00EA6C7A">
        <w:rPr>
          <w:rFonts w:ascii="Verdana" w:eastAsia="Calibri" w:hAnsi="Verdana" w:cs="Tahoma"/>
          <w:bCs/>
          <w:iCs/>
          <w:caps/>
          <w:color w:val="000000"/>
          <w:sz w:val="20"/>
          <w:szCs w:val="20"/>
          <w:shd w:val="clear" w:color="auto" w:fill="FFFFFF"/>
          <w:lang w:val="en-US"/>
        </w:rPr>
        <w:t>and</w:t>
      </w:r>
      <w:r w:rsidR="00D948A1" w:rsidRPr="00EA6C7A">
        <w:rPr>
          <w:rFonts w:ascii="Verdana" w:eastAsia="Calibri" w:hAnsi="Verdana" w:cs="Tahoma"/>
          <w:bCs/>
          <w:i/>
          <w:caps/>
          <w:color w:val="000000"/>
          <w:sz w:val="20"/>
          <w:szCs w:val="20"/>
          <w:shd w:val="clear" w:color="auto" w:fill="FFFFFF"/>
          <w:lang w:val="en-US"/>
        </w:rPr>
        <w:t xml:space="preserve"> </w:t>
      </w:r>
      <w:r w:rsidRPr="00EA6C7A">
        <w:rPr>
          <w:rFonts w:ascii="Verdana" w:eastAsia="Calibri" w:hAnsi="Verdana" w:cs="Tahoma"/>
          <w:bCs/>
          <w:i/>
          <w:caps/>
          <w:color w:val="000000"/>
          <w:sz w:val="20"/>
          <w:szCs w:val="20"/>
          <w:shd w:val="clear" w:color="auto" w:fill="FFFFFF"/>
          <w:lang w:val="en-US"/>
        </w:rPr>
        <w:t xml:space="preserve">Veliz </w:t>
      </w:r>
      <w:r w:rsidR="006A51FD" w:rsidRPr="00EA6C7A">
        <w:rPr>
          <w:rFonts w:ascii="Verdana" w:eastAsia="Calibri" w:hAnsi="Verdana" w:cs="Tahoma"/>
          <w:bCs/>
          <w:i/>
          <w:caps/>
          <w:color w:val="000000"/>
          <w:sz w:val="20"/>
          <w:szCs w:val="20"/>
          <w:shd w:val="clear" w:color="auto" w:fill="FFFFFF"/>
          <w:lang w:val="en-US"/>
        </w:rPr>
        <w:t>Franco et al.</w:t>
      </w:r>
      <w:r w:rsidRPr="00EA6C7A">
        <w:rPr>
          <w:rFonts w:ascii="Verdana" w:eastAsia="Calibri" w:hAnsi="Verdana" w:cs="Tahoma"/>
          <w:bCs/>
          <w:i/>
          <w:caps/>
          <w:color w:val="000000"/>
          <w:sz w:val="20"/>
          <w:szCs w:val="20"/>
          <w:shd w:val="clear" w:color="auto" w:fill="FFFFFF"/>
          <w:lang w:val="en-US"/>
        </w:rPr>
        <w:t xml:space="preserve"> v. Guatemala (2014)</w:t>
      </w:r>
    </w:p>
    <w:p w14:paraId="2DBD28CB" w14:textId="77777777" w:rsidR="002C132E" w:rsidRPr="00EA6C7A" w:rsidRDefault="002C132E" w:rsidP="002C132E">
      <w:pPr>
        <w:spacing w:after="0" w:line="240" w:lineRule="auto"/>
        <w:jc w:val="center"/>
        <w:rPr>
          <w:rFonts w:ascii="Verdana" w:eastAsia="Calibri" w:hAnsi="Verdana" w:cs="Tahoma"/>
          <w:bCs/>
          <w:i/>
          <w:caps/>
          <w:color w:val="000000"/>
          <w:sz w:val="20"/>
          <w:szCs w:val="20"/>
          <w:shd w:val="clear" w:color="auto" w:fill="FFFFFF"/>
          <w:lang w:val="en-US"/>
        </w:rPr>
      </w:pPr>
    </w:p>
    <w:p w14:paraId="4CD2D0A8" w14:textId="77777777" w:rsidR="00175ABB" w:rsidRPr="00EA6C7A" w:rsidRDefault="00175ABB" w:rsidP="00175ABB">
      <w:pPr>
        <w:spacing w:line="240" w:lineRule="auto"/>
        <w:contextualSpacing/>
        <w:jc w:val="both"/>
        <w:rPr>
          <w:rFonts w:ascii="Verdana" w:eastAsia="Calibri" w:hAnsi="Verdana" w:cs="Tahoma"/>
          <w:sz w:val="20"/>
          <w:szCs w:val="20"/>
          <w:lang w:val="en-US"/>
        </w:rPr>
      </w:pPr>
      <w:r w:rsidRPr="00EA6C7A">
        <w:rPr>
          <w:rFonts w:ascii="Verdana" w:eastAsia="Calibri" w:hAnsi="Verdana" w:cs="Tahoma"/>
          <w:sz w:val="20"/>
          <w:szCs w:val="20"/>
          <w:lang w:val="en-US"/>
        </w:rPr>
        <w:t xml:space="preserve">17. </w:t>
      </w:r>
      <w:r w:rsidRPr="00EA6C7A">
        <w:rPr>
          <w:rFonts w:ascii="Verdana" w:eastAsia="Calibri" w:hAnsi="Verdana" w:cs="Tahoma"/>
          <w:sz w:val="20"/>
          <w:szCs w:val="20"/>
          <w:lang w:val="en-US"/>
        </w:rPr>
        <w:tab/>
      </w:r>
      <w:r w:rsidR="002C132E" w:rsidRPr="00EA6C7A">
        <w:rPr>
          <w:rFonts w:ascii="Verdana" w:eastAsia="Calibri" w:hAnsi="Verdana" w:cs="Tahoma"/>
          <w:sz w:val="20"/>
          <w:szCs w:val="20"/>
          <w:lang w:val="en-US"/>
        </w:rPr>
        <w:t>In two of its outstanding case on gender-based violence,</w:t>
      </w:r>
      <w:r w:rsidRPr="00EA6C7A">
        <w:rPr>
          <w:rFonts w:ascii="Verdana" w:eastAsia="Calibri" w:hAnsi="Verdana" w:cs="Tahoma"/>
          <w:sz w:val="20"/>
          <w:szCs w:val="20"/>
          <w:vertAlign w:val="superscript"/>
          <w:lang w:val="en-US"/>
        </w:rPr>
        <w:footnoteReference w:id="37"/>
      </w:r>
      <w:r w:rsidR="002C132E" w:rsidRPr="00EA6C7A">
        <w:rPr>
          <w:rFonts w:ascii="Verdana" w:eastAsia="Calibri" w:hAnsi="Verdana" w:cs="Tahoma"/>
          <w:sz w:val="20"/>
          <w:szCs w:val="20"/>
          <w:lang w:val="en-US"/>
        </w:rPr>
        <w:t xml:space="preserve"> the Inter-American Court has established</w:t>
      </w:r>
      <w:r w:rsidRPr="00EA6C7A">
        <w:rPr>
          <w:rFonts w:ascii="Verdana" w:eastAsia="Calibri" w:hAnsi="Verdana" w:cs="Tahoma"/>
          <w:sz w:val="20"/>
          <w:szCs w:val="20"/>
          <w:lang w:val="en-US"/>
        </w:rPr>
        <w:t xml:space="preserve"> </w:t>
      </w:r>
      <w:r w:rsidR="002C132E" w:rsidRPr="00EA6C7A">
        <w:rPr>
          <w:rFonts w:ascii="Verdana" w:eastAsia="Calibri" w:hAnsi="Verdana" w:cs="Tahoma"/>
          <w:sz w:val="20"/>
          <w:szCs w:val="20"/>
          <w:lang w:val="en-US"/>
        </w:rPr>
        <w:t xml:space="preserve">important standards concerning compliance with the State obligations </w:t>
      </w:r>
      <w:r w:rsidR="002759B3" w:rsidRPr="00EA6C7A">
        <w:rPr>
          <w:rFonts w:ascii="Verdana" w:eastAsia="Calibri" w:hAnsi="Verdana" w:cs="Tahoma"/>
          <w:sz w:val="20"/>
          <w:szCs w:val="20"/>
          <w:lang w:val="en-US"/>
        </w:rPr>
        <w:t xml:space="preserve">to respect and to ensure human rights </w:t>
      </w:r>
      <w:r w:rsidR="00FF2310" w:rsidRPr="00EA6C7A">
        <w:rPr>
          <w:rFonts w:ascii="Verdana" w:eastAsia="Calibri" w:hAnsi="Verdana" w:cs="Tahoma"/>
          <w:sz w:val="20"/>
          <w:szCs w:val="20"/>
          <w:lang w:val="en-US"/>
        </w:rPr>
        <w:t xml:space="preserve">in order </w:t>
      </w:r>
      <w:r w:rsidR="002759B3" w:rsidRPr="00EA6C7A">
        <w:rPr>
          <w:rFonts w:ascii="Verdana" w:eastAsia="Calibri" w:hAnsi="Verdana" w:cs="Tahoma"/>
          <w:sz w:val="20"/>
          <w:szCs w:val="20"/>
          <w:lang w:val="en-US"/>
        </w:rPr>
        <w:t xml:space="preserve">to combat violence against women. Particularly, when analyzing the obligation to ensure rights such as </w:t>
      </w:r>
      <w:r w:rsidR="00515C34" w:rsidRPr="00EA6C7A">
        <w:rPr>
          <w:rFonts w:ascii="Verdana" w:eastAsia="Calibri" w:hAnsi="Verdana" w:cs="Tahoma"/>
          <w:sz w:val="20"/>
          <w:szCs w:val="20"/>
          <w:lang w:val="en-US"/>
        </w:rPr>
        <w:t>to</w:t>
      </w:r>
      <w:r w:rsidR="002759B3" w:rsidRPr="00EA6C7A">
        <w:rPr>
          <w:rFonts w:ascii="Verdana" w:eastAsia="Calibri" w:hAnsi="Verdana" w:cs="Tahoma"/>
          <w:sz w:val="20"/>
          <w:szCs w:val="20"/>
          <w:lang w:val="en-US"/>
        </w:rPr>
        <w:t xml:space="preserve"> life, to personal integrity and to personal liberty, it has made a detailed examination of the State’s obligation of prevention,</w:t>
      </w:r>
      <w:r w:rsidRPr="00EA6C7A">
        <w:rPr>
          <w:rFonts w:ascii="Verdana" w:eastAsia="Calibri" w:hAnsi="Verdana" w:cs="Tahoma"/>
          <w:sz w:val="20"/>
          <w:szCs w:val="20"/>
          <w:vertAlign w:val="superscript"/>
          <w:lang w:val="en-US"/>
        </w:rPr>
        <w:footnoteReference w:id="38"/>
      </w:r>
      <w:r w:rsidR="002759B3" w:rsidRPr="00EA6C7A">
        <w:rPr>
          <w:rFonts w:ascii="Verdana" w:eastAsia="Calibri" w:hAnsi="Verdana" w:cs="Tahoma"/>
          <w:sz w:val="20"/>
          <w:szCs w:val="20"/>
          <w:lang w:val="en-US"/>
        </w:rPr>
        <w:t xml:space="preserve"> emphasizing the </w:t>
      </w:r>
      <w:r w:rsidR="00FF2310" w:rsidRPr="00EA6C7A">
        <w:rPr>
          <w:rFonts w:ascii="Verdana" w:eastAsia="Calibri" w:hAnsi="Verdana" w:cs="Tahoma"/>
          <w:sz w:val="20"/>
          <w:szCs w:val="20"/>
          <w:lang w:val="en-US"/>
        </w:rPr>
        <w:t xml:space="preserve">criterion </w:t>
      </w:r>
      <w:r w:rsidR="002759B3" w:rsidRPr="00EA6C7A">
        <w:rPr>
          <w:rFonts w:ascii="Verdana" w:eastAsia="Calibri" w:hAnsi="Verdana" w:cs="Tahoma"/>
          <w:sz w:val="20"/>
          <w:szCs w:val="20"/>
          <w:lang w:val="en-US"/>
        </w:rPr>
        <w:t>of the “two moments” in the obligation of prevention in order to determine the international responsibility of States.</w:t>
      </w:r>
    </w:p>
    <w:p w14:paraId="4E9B9FDC" w14:textId="77777777" w:rsidR="00175ABB" w:rsidRPr="00EA6C7A" w:rsidRDefault="00175ABB" w:rsidP="00175ABB">
      <w:pPr>
        <w:spacing w:line="240" w:lineRule="auto"/>
        <w:contextualSpacing/>
        <w:jc w:val="both"/>
        <w:rPr>
          <w:rFonts w:ascii="Verdana" w:eastAsia="Calibri" w:hAnsi="Verdana" w:cs="Tahoma"/>
          <w:sz w:val="20"/>
          <w:szCs w:val="20"/>
          <w:lang w:val="en-US"/>
        </w:rPr>
      </w:pPr>
    </w:p>
    <w:p w14:paraId="4350AB2A" w14:textId="77777777" w:rsidR="00175ABB" w:rsidRPr="00EA6C7A" w:rsidRDefault="00175ABB" w:rsidP="00175ABB">
      <w:pPr>
        <w:spacing w:line="240" w:lineRule="auto"/>
        <w:contextualSpacing/>
        <w:jc w:val="both"/>
        <w:rPr>
          <w:rFonts w:ascii="Verdana" w:eastAsia="Calibri" w:hAnsi="Verdana" w:cs="Tahoma"/>
          <w:bCs/>
          <w:i/>
          <w:color w:val="000000"/>
          <w:sz w:val="20"/>
          <w:szCs w:val="20"/>
          <w:shd w:val="clear" w:color="auto" w:fill="FFFFFF"/>
          <w:lang w:val="en-US"/>
        </w:rPr>
      </w:pPr>
      <w:r w:rsidRPr="00EA6C7A">
        <w:rPr>
          <w:rFonts w:ascii="Verdana" w:eastAsia="Calibri" w:hAnsi="Verdana" w:cs="Tahoma"/>
          <w:sz w:val="20"/>
          <w:szCs w:val="20"/>
          <w:lang w:val="en-US"/>
        </w:rPr>
        <w:t xml:space="preserve">18. </w:t>
      </w:r>
      <w:r w:rsidRPr="00EA6C7A">
        <w:rPr>
          <w:rFonts w:ascii="Verdana" w:eastAsia="Calibri" w:hAnsi="Verdana" w:cs="Tahoma"/>
          <w:sz w:val="20"/>
          <w:szCs w:val="20"/>
          <w:lang w:val="en-US"/>
        </w:rPr>
        <w:tab/>
      </w:r>
      <w:r w:rsidR="00B10DEE" w:rsidRPr="00EA6C7A">
        <w:rPr>
          <w:rFonts w:ascii="Verdana" w:eastAsia="Calibri" w:hAnsi="Verdana" w:cs="Tahoma"/>
          <w:sz w:val="20"/>
          <w:szCs w:val="20"/>
          <w:lang w:val="en-US"/>
        </w:rPr>
        <w:t xml:space="preserve">This </w:t>
      </w:r>
      <w:r w:rsidR="00FF2310" w:rsidRPr="00EA6C7A">
        <w:rPr>
          <w:rFonts w:ascii="Verdana" w:eastAsia="Calibri" w:hAnsi="Verdana" w:cs="Tahoma"/>
          <w:sz w:val="20"/>
          <w:szCs w:val="20"/>
          <w:lang w:val="en-US"/>
        </w:rPr>
        <w:t>criterion</w:t>
      </w:r>
      <w:r w:rsidR="00B10DEE" w:rsidRPr="00EA6C7A">
        <w:rPr>
          <w:rFonts w:ascii="Verdana" w:eastAsia="Calibri" w:hAnsi="Verdana" w:cs="Tahoma"/>
          <w:sz w:val="20"/>
          <w:szCs w:val="20"/>
          <w:lang w:val="en-US"/>
        </w:rPr>
        <w:t xml:space="preserve"> has permitted the Court to make a detailed examination of the </w:t>
      </w:r>
      <w:r w:rsidR="00D5307F" w:rsidRPr="00EA6C7A">
        <w:rPr>
          <w:rFonts w:ascii="Verdana" w:eastAsia="Calibri" w:hAnsi="Verdana" w:cs="Tahoma"/>
          <w:sz w:val="20"/>
          <w:szCs w:val="20"/>
          <w:lang w:val="en-US"/>
        </w:rPr>
        <w:t>obligation of prevention</w:t>
      </w:r>
      <w:r w:rsidR="00B10DEE" w:rsidRPr="00EA6C7A">
        <w:rPr>
          <w:rFonts w:ascii="Verdana" w:eastAsia="Calibri" w:hAnsi="Verdana" w:cs="Tahoma"/>
          <w:sz w:val="20"/>
          <w:szCs w:val="20"/>
          <w:lang w:val="en-US"/>
        </w:rPr>
        <w:t xml:space="preserve"> – and, when appropriate – determine international responsibility – in cases in which the facts </w:t>
      </w:r>
      <w:r w:rsidR="00FF2310" w:rsidRPr="00EA6C7A">
        <w:rPr>
          <w:rFonts w:ascii="Verdana" w:eastAsia="Calibri" w:hAnsi="Verdana" w:cs="Tahoma"/>
          <w:sz w:val="20"/>
          <w:szCs w:val="20"/>
          <w:lang w:val="en-US"/>
        </w:rPr>
        <w:t>concerned</w:t>
      </w:r>
      <w:r w:rsidR="00B10DEE" w:rsidRPr="00EA6C7A">
        <w:rPr>
          <w:rFonts w:ascii="Verdana" w:eastAsia="Calibri" w:hAnsi="Verdana" w:cs="Tahoma"/>
          <w:sz w:val="20"/>
          <w:szCs w:val="20"/>
          <w:lang w:val="en-US"/>
        </w:rPr>
        <w:t xml:space="preserve"> the disappearance and subsequent death of the victims, as in the cases that preceded the one that has motivated this opinion</w:t>
      </w:r>
      <w:r w:rsidRPr="00EA6C7A">
        <w:rPr>
          <w:rFonts w:ascii="Verdana" w:eastAsia="Calibri" w:hAnsi="Verdana" w:cs="Tahoma"/>
          <w:sz w:val="20"/>
          <w:szCs w:val="20"/>
          <w:lang w:val="en-US"/>
        </w:rPr>
        <w:t xml:space="preserve">: </w:t>
      </w:r>
      <w:r w:rsidR="008B402D" w:rsidRPr="00EA6C7A">
        <w:rPr>
          <w:rFonts w:ascii="Verdana" w:eastAsia="Calibri" w:hAnsi="Verdana" w:cs="Tahoma"/>
          <w:bCs/>
          <w:i/>
          <w:color w:val="000000"/>
          <w:sz w:val="20"/>
          <w:szCs w:val="20"/>
          <w:shd w:val="clear" w:color="auto" w:fill="FFFFFF"/>
          <w:lang w:val="en-US"/>
        </w:rPr>
        <w:t>González et al.</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Cotton Field</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v.</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Mexico</w:t>
      </w:r>
      <w:r w:rsidRPr="00EA6C7A">
        <w:rPr>
          <w:rFonts w:ascii="Verdana" w:eastAsia="Calibri" w:hAnsi="Verdana" w:cs="Tahoma"/>
          <w:bCs/>
          <w:color w:val="000000"/>
          <w:sz w:val="20"/>
          <w:szCs w:val="20"/>
          <w:shd w:val="clear" w:color="auto" w:fill="FFFFFF"/>
          <w:lang w:val="en-US"/>
        </w:rPr>
        <w:t xml:space="preserve"> (2009)</w:t>
      </w:r>
      <w:r w:rsidRPr="00EA6C7A">
        <w:rPr>
          <w:rFonts w:ascii="Verdana" w:eastAsia="Calibri" w:hAnsi="Verdana" w:cs="Tahoma"/>
          <w:bCs/>
          <w:i/>
          <w:color w:val="000000"/>
          <w:sz w:val="20"/>
          <w:szCs w:val="20"/>
          <w:shd w:val="clear" w:color="auto" w:fill="FFFFFF"/>
          <w:lang w:val="en-US"/>
        </w:rPr>
        <w:t>,</w:t>
      </w:r>
      <w:r w:rsidR="00D948A1" w:rsidRPr="00EA6C7A">
        <w:rPr>
          <w:rFonts w:ascii="Verdana" w:eastAsia="Calibri" w:hAnsi="Verdana" w:cs="Tahoma"/>
          <w:bCs/>
          <w:i/>
          <w:color w:val="000000"/>
          <w:sz w:val="20"/>
          <w:szCs w:val="20"/>
          <w:shd w:val="clear" w:color="auto" w:fill="FFFFFF"/>
          <w:lang w:val="en-US"/>
        </w:rPr>
        <w:t xml:space="preserve"> </w:t>
      </w:r>
      <w:r w:rsidR="00D948A1" w:rsidRPr="00EA6C7A">
        <w:rPr>
          <w:rFonts w:ascii="Verdana" w:eastAsia="Calibri" w:hAnsi="Verdana" w:cs="Tahoma"/>
          <w:bCs/>
          <w:iCs/>
          <w:color w:val="000000"/>
          <w:sz w:val="20"/>
          <w:szCs w:val="20"/>
          <w:shd w:val="clear" w:color="auto" w:fill="FFFFFF"/>
          <w:lang w:val="en-US"/>
        </w:rPr>
        <w:t xml:space="preserve">and </w:t>
      </w:r>
      <w:r w:rsidRPr="00EA6C7A">
        <w:rPr>
          <w:rFonts w:ascii="Verdana" w:eastAsia="Calibri" w:hAnsi="Verdana" w:cs="Tahoma"/>
          <w:bCs/>
          <w:i/>
          <w:color w:val="000000"/>
          <w:sz w:val="20"/>
          <w:szCs w:val="20"/>
          <w:shd w:val="clear" w:color="auto" w:fill="FFFFFF"/>
          <w:lang w:val="en-US"/>
        </w:rPr>
        <w:t xml:space="preserve">Veliz </w:t>
      </w:r>
      <w:r w:rsidR="006A51FD" w:rsidRPr="00EA6C7A">
        <w:rPr>
          <w:rFonts w:ascii="Verdana" w:eastAsia="Calibri" w:hAnsi="Verdana" w:cs="Tahoma"/>
          <w:bCs/>
          <w:i/>
          <w:color w:val="000000"/>
          <w:sz w:val="20"/>
          <w:szCs w:val="20"/>
          <w:shd w:val="clear" w:color="auto" w:fill="FFFFFF"/>
          <w:lang w:val="en-US"/>
        </w:rPr>
        <w:t>Franco et al.</w:t>
      </w:r>
      <w:r w:rsidRPr="00EA6C7A">
        <w:rPr>
          <w:rFonts w:ascii="Verdana" w:eastAsia="Calibri" w:hAnsi="Verdana" w:cs="Tahoma"/>
          <w:bCs/>
          <w:i/>
          <w:color w:val="000000"/>
          <w:sz w:val="20"/>
          <w:szCs w:val="20"/>
          <w:shd w:val="clear" w:color="auto" w:fill="FFFFFF"/>
          <w:lang w:val="en-US"/>
        </w:rPr>
        <w:t xml:space="preserve"> v. Guatemala </w:t>
      </w:r>
      <w:r w:rsidRPr="00EA6C7A">
        <w:rPr>
          <w:rFonts w:ascii="Verdana" w:eastAsia="Calibri" w:hAnsi="Verdana" w:cs="Tahoma"/>
          <w:bCs/>
          <w:color w:val="000000"/>
          <w:sz w:val="20"/>
          <w:szCs w:val="20"/>
          <w:shd w:val="clear" w:color="auto" w:fill="FFFFFF"/>
          <w:lang w:val="en-US"/>
        </w:rPr>
        <w:t>(2014)</w:t>
      </w:r>
      <w:r w:rsidRPr="00EA6C7A">
        <w:rPr>
          <w:rFonts w:ascii="Verdana" w:eastAsia="Calibri" w:hAnsi="Verdana" w:cs="Tahoma"/>
          <w:bCs/>
          <w:i/>
          <w:color w:val="000000"/>
          <w:sz w:val="20"/>
          <w:szCs w:val="20"/>
          <w:shd w:val="clear" w:color="auto" w:fill="FFFFFF"/>
          <w:lang w:val="en-US"/>
        </w:rPr>
        <w:t>.</w:t>
      </w:r>
    </w:p>
    <w:p w14:paraId="08C347D9" w14:textId="77777777" w:rsidR="00175ABB" w:rsidRPr="00EA6C7A" w:rsidRDefault="00175ABB" w:rsidP="00175ABB">
      <w:pPr>
        <w:spacing w:line="240" w:lineRule="auto"/>
        <w:contextualSpacing/>
        <w:jc w:val="both"/>
        <w:rPr>
          <w:rFonts w:ascii="Verdana" w:eastAsia="Calibri" w:hAnsi="Verdana" w:cs="Tahoma"/>
          <w:bCs/>
          <w:i/>
          <w:color w:val="000000"/>
          <w:sz w:val="20"/>
          <w:szCs w:val="20"/>
          <w:shd w:val="clear" w:color="auto" w:fill="FFFFFF"/>
          <w:lang w:val="en-US"/>
        </w:rPr>
      </w:pPr>
    </w:p>
    <w:p w14:paraId="46A7FE4A"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Verdana"/>
          <w:sz w:val="20"/>
          <w:szCs w:val="20"/>
          <w:lang w:val="en-US"/>
        </w:rPr>
      </w:pPr>
      <w:r w:rsidRPr="00EA6C7A">
        <w:rPr>
          <w:rFonts w:ascii="Verdana" w:eastAsia="Calibri" w:hAnsi="Verdana" w:cs="Tahoma"/>
          <w:bCs/>
          <w:color w:val="000000"/>
          <w:sz w:val="20"/>
          <w:szCs w:val="20"/>
          <w:shd w:val="clear" w:color="auto" w:fill="FFFFFF"/>
          <w:lang w:val="en-US"/>
        </w:rPr>
        <w:t xml:space="preserve">19. </w:t>
      </w:r>
      <w:r w:rsidRPr="00EA6C7A">
        <w:rPr>
          <w:rFonts w:ascii="Verdana" w:eastAsia="Calibri" w:hAnsi="Verdana" w:cs="Tahoma"/>
          <w:bCs/>
          <w:color w:val="000000"/>
          <w:sz w:val="20"/>
          <w:szCs w:val="20"/>
          <w:shd w:val="clear" w:color="auto" w:fill="FFFFFF"/>
          <w:lang w:val="en-US"/>
        </w:rPr>
        <w:tab/>
      </w:r>
      <w:r w:rsidR="00274B18" w:rsidRPr="00EA6C7A">
        <w:rPr>
          <w:rFonts w:ascii="Verdana" w:eastAsia="Calibri" w:hAnsi="Verdana" w:cs="Tahoma"/>
          <w:bCs/>
          <w:color w:val="000000"/>
          <w:sz w:val="20"/>
          <w:szCs w:val="20"/>
          <w:shd w:val="clear" w:color="auto" w:fill="FFFFFF"/>
          <w:lang w:val="en-US"/>
        </w:rPr>
        <w:t>Regarding the</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obligation of prevention</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in the case of</w:t>
      </w:r>
      <w:r w:rsidRPr="00EA6C7A">
        <w:rPr>
          <w:rFonts w:ascii="Verdana" w:eastAsia="Calibri" w:hAnsi="Verdana" w:cs="Tahoma"/>
          <w:bCs/>
          <w:color w:val="000000"/>
          <w:sz w:val="20"/>
          <w:szCs w:val="20"/>
          <w:shd w:val="clear" w:color="auto" w:fill="FFFFFF"/>
          <w:lang w:val="en-US"/>
        </w:rPr>
        <w:t xml:space="preserve"> </w:t>
      </w:r>
      <w:r w:rsidR="008B402D" w:rsidRPr="00EA6C7A">
        <w:rPr>
          <w:rFonts w:ascii="Verdana" w:eastAsia="Calibri" w:hAnsi="Verdana" w:cs="Tahoma"/>
          <w:bCs/>
          <w:i/>
          <w:color w:val="000000"/>
          <w:sz w:val="20"/>
          <w:szCs w:val="20"/>
          <w:shd w:val="clear" w:color="auto" w:fill="FFFFFF"/>
          <w:lang w:val="en-US"/>
        </w:rPr>
        <w:t>González et al.</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Cotton Field</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v.</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Mexico</w:t>
      </w:r>
      <w:r w:rsidR="00274B18" w:rsidRPr="00EA6C7A">
        <w:rPr>
          <w:rFonts w:ascii="Verdana" w:eastAsia="Calibri" w:hAnsi="Verdana" w:cs="Tahoma"/>
          <w:bCs/>
          <w:i/>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39"/>
      </w:r>
      <w:r w:rsidRPr="00EA6C7A">
        <w:rPr>
          <w:rFonts w:ascii="Verdana" w:eastAsia="Calibri" w:hAnsi="Verdana" w:cs="Tahoma"/>
          <w:bCs/>
          <w:i/>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the Court</w:t>
      </w:r>
      <w:r w:rsidR="00274B18" w:rsidRPr="00EA6C7A">
        <w:rPr>
          <w:rFonts w:ascii="Verdana" w:eastAsia="Calibri" w:hAnsi="Verdana" w:cs="Tahoma"/>
          <w:bCs/>
          <w:color w:val="000000"/>
          <w:sz w:val="20"/>
          <w:szCs w:val="20"/>
          <w:shd w:val="clear" w:color="auto" w:fill="FFFFFF"/>
          <w:lang w:val="en-US"/>
        </w:rPr>
        <w:t xml:space="preserve"> established that States “must adopt comprehensive measures to comply with due diligence in cases of </w:t>
      </w:r>
      <w:r w:rsidR="00C12C08" w:rsidRPr="00EA6C7A">
        <w:rPr>
          <w:rFonts w:ascii="Verdana" w:eastAsia="Calibri" w:hAnsi="Verdana" w:cs="Verdana"/>
          <w:sz w:val="20"/>
          <w:szCs w:val="20"/>
          <w:lang w:val="en-US"/>
        </w:rPr>
        <w:t>violence against women</w:t>
      </w:r>
      <w:r w:rsidR="00274B18" w:rsidRPr="00EA6C7A">
        <w:rPr>
          <w:rFonts w:ascii="Verdana" w:eastAsia="Calibri" w:hAnsi="Verdana" w:cs="Verdana"/>
          <w:sz w:val="20"/>
          <w:szCs w:val="20"/>
          <w:lang w:val="en-US"/>
        </w:rPr>
        <w:t>,</w:t>
      </w:r>
      <w:r w:rsidRPr="00EA6C7A">
        <w:rPr>
          <w:rFonts w:ascii="Verdana" w:eastAsia="Calibri" w:hAnsi="Verdana" w:cs="Verdana"/>
          <w:sz w:val="20"/>
          <w:szCs w:val="20"/>
          <w:lang w:val="en-US"/>
        </w:rPr>
        <w:t>” particular</w:t>
      </w:r>
      <w:r w:rsidR="00274B18" w:rsidRPr="00EA6C7A">
        <w:rPr>
          <w:rFonts w:ascii="Verdana" w:eastAsia="Calibri" w:hAnsi="Verdana" w:cs="Verdana"/>
          <w:sz w:val="20"/>
          <w:szCs w:val="20"/>
          <w:lang w:val="en-US"/>
        </w:rPr>
        <w:t xml:space="preserve">ly with regard to </w:t>
      </w:r>
      <w:r w:rsidRPr="00EA6C7A">
        <w:rPr>
          <w:rFonts w:ascii="Verdana" w:eastAsia="Calibri" w:hAnsi="Verdana" w:cs="Verdana"/>
          <w:sz w:val="20"/>
          <w:szCs w:val="20"/>
          <w:lang w:val="en-US"/>
        </w:rPr>
        <w:t>“</w:t>
      </w:r>
      <w:r w:rsidR="00274B18" w:rsidRPr="00EA6C7A">
        <w:rPr>
          <w:rFonts w:ascii="Verdana" w:eastAsia="Calibri" w:hAnsi="Verdana" w:cs="Verdana"/>
          <w:sz w:val="20"/>
          <w:szCs w:val="20"/>
          <w:u w:val="single"/>
          <w:lang w:val="en-US"/>
        </w:rPr>
        <w:t xml:space="preserve">an adequate legal protection framework and its effective </w:t>
      </w:r>
      <w:r w:rsidR="00FF2310" w:rsidRPr="00EA6C7A">
        <w:rPr>
          <w:rFonts w:ascii="Verdana" w:eastAsia="Calibri" w:hAnsi="Verdana" w:cs="Verdana"/>
          <w:sz w:val="20"/>
          <w:szCs w:val="20"/>
          <w:u w:val="single"/>
          <w:lang w:val="en-US"/>
        </w:rPr>
        <w:t>enforcement</w:t>
      </w:r>
      <w:r w:rsidR="00274B18" w:rsidRPr="00EA6C7A">
        <w:rPr>
          <w:rFonts w:ascii="Verdana" w:eastAsia="Calibri" w:hAnsi="Verdana" w:cs="Verdana"/>
          <w:sz w:val="20"/>
          <w:szCs w:val="20"/>
          <w:u w:val="single"/>
          <w:lang w:val="en-US"/>
        </w:rPr>
        <w:t>, and prevention policies and practices that permit effective actions when reports are received.</w:t>
      </w:r>
      <w:r w:rsidRPr="00EA6C7A">
        <w:rPr>
          <w:rFonts w:ascii="Verdana" w:eastAsia="Calibri" w:hAnsi="Verdana" w:cs="Verdana"/>
          <w:sz w:val="20"/>
          <w:szCs w:val="20"/>
          <w:lang w:val="en-US"/>
        </w:rPr>
        <w:t>”</w:t>
      </w:r>
      <w:r w:rsidRPr="00EA6C7A">
        <w:rPr>
          <w:rFonts w:ascii="Verdana" w:eastAsia="Calibri" w:hAnsi="Verdana" w:cs="Verdana"/>
          <w:sz w:val="20"/>
          <w:szCs w:val="20"/>
          <w:vertAlign w:val="superscript"/>
          <w:lang w:val="en-US"/>
        </w:rPr>
        <w:footnoteReference w:id="40"/>
      </w:r>
      <w:r w:rsidRPr="00EA6C7A">
        <w:rPr>
          <w:rFonts w:ascii="Verdana" w:eastAsia="Calibri" w:hAnsi="Verdana" w:cs="Verdana"/>
          <w:sz w:val="20"/>
          <w:szCs w:val="20"/>
          <w:lang w:val="en-US"/>
        </w:rPr>
        <w:t xml:space="preserve"> A</w:t>
      </w:r>
      <w:r w:rsidR="00274B18" w:rsidRPr="00EA6C7A">
        <w:rPr>
          <w:rFonts w:ascii="Verdana" w:eastAsia="Calibri" w:hAnsi="Verdana" w:cs="Verdana"/>
          <w:sz w:val="20"/>
          <w:szCs w:val="20"/>
          <w:lang w:val="en-US"/>
        </w:rPr>
        <w:t xml:space="preserve">lso, regarding the characteristics of the prevention strategy, </w:t>
      </w:r>
      <w:r w:rsidR="00FF2310" w:rsidRPr="00EA6C7A">
        <w:rPr>
          <w:rFonts w:ascii="Verdana" w:eastAsia="Calibri" w:hAnsi="Verdana" w:cs="Verdana"/>
          <w:sz w:val="20"/>
          <w:szCs w:val="20"/>
          <w:lang w:val="en-US"/>
        </w:rPr>
        <w:t>the Court</w:t>
      </w:r>
      <w:r w:rsidR="00274B18" w:rsidRPr="00EA6C7A">
        <w:rPr>
          <w:rFonts w:ascii="Verdana" w:eastAsia="Calibri" w:hAnsi="Verdana" w:cs="Verdana"/>
          <w:sz w:val="20"/>
          <w:szCs w:val="20"/>
          <w:lang w:val="en-US"/>
        </w:rPr>
        <w:t xml:space="preserve"> has indicated that “this must be comprehensive; that is, it must prevent the risk factors and also reinforce the institutions so that they can provide an effective response to cases of </w:t>
      </w:r>
      <w:r w:rsidR="00C12C08" w:rsidRPr="00EA6C7A">
        <w:rPr>
          <w:rFonts w:ascii="Verdana" w:eastAsia="Calibri" w:hAnsi="Verdana" w:cs="Verdana"/>
          <w:sz w:val="20"/>
          <w:szCs w:val="20"/>
          <w:lang w:val="en-US"/>
        </w:rPr>
        <w:t>violence against women</w:t>
      </w:r>
      <w:r w:rsidR="00274B18" w:rsidRPr="00EA6C7A">
        <w:rPr>
          <w:rFonts w:ascii="Verdana" w:eastAsia="Calibri" w:hAnsi="Verdana" w:cs="Verdana"/>
          <w:sz w:val="20"/>
          <w:szCs w:val="20"/>
          <w:lang w:val="en-US"/>
        </w:rPr>
        <w:t>,</w:t>
      </w:r>
      <w:r w:rsidRPr="00EA6C7A">
        <w:rPr>
          <w:rFonts w:ascii="Verdana" w:eastAsia="Calibri" w:hAnsi="Verdana" w:cs="Verdana"/>
          <w:sz w:val="20"/>
          <w:szCs w:val="20"/>
          <w:lang w:val="en-US"/>
        </w:rPr>
        <w:t xml:space="preserve">” </w:t>
      </w:r>
      <w:r w:rsidR="00274B18" w:rsidRPr="00EA6C7A">
        <w:rPr>
          <w:rFonts w:ascii="Verdana" w:eastAsia="Calibri" w:hAnsi="Verdana" w:cs="Verdana"/>
          <w:sz w:val="20"/>
          <w:szCs w:val="20"/>
          <w:lang w:val="en-US"/>
        </w:rPr>
        <w:t>underlining the obligation of States</w:t>
      </w:r>
      <w:r w:rsidRPr="00EA6C7A">
        <w:rPr>
          <w:rFonts w:ascii="Verdana" w:eastAsia="Calibri" w:hAnsi="Verdana" w:cs="Verdana"/>
          <w:sz w:val="20"/>
          <w:szCs w:val="20"/>
          <w:lang w:val="en-US"/>
        </w:rPr>
        <w:t xml:space="preserve"> “</w:t>
      </w:r>
      <w:r w:rsidR="00274B18" w:rsidRPr="00EA6C7A">
        <w:rPr>
          <w:rFonts w:ascii="Verdana" w:eastAsia="Calibri" w:hAnsi="Verdana" w:cs="Verdana"/>
          <w:sz w:val="20"/>
          <w:szCs w:val="20"/>
          <w:u w:val="single"/>
          <w:lang w:val="en-US"/>
        </w:rPr>
        <w:t>to adopt preventive measures in specific cases in which it is evident that specific women and girls may be victims of violence.</w:t>
      </w:r>
      <w:r w:rsidRPr="00EA6C7A">
        <w:rPr>
          <w:rFonts w:ascii="Verdana" w:eastAsia="Calibri" w:hAnsi="Verdana" w:cs="Verdana"/>
          <w:sz w:val="20"/>
          <w:szCs w:val="20"/>
          <w:lang w:val="en-US"/>
        </w:rPr>
        <w:t>”</w:t>
      </w:r>
      <w:r w:rsidRPr="00EA6C7A">
        <w:rPr>
          <w:rFonts w:ascii="Verdana" w:eastAsia="Calibri" w:hAnsi="Verdana" w:cs="Verdana"/>
          <w:sz w:val="20"/>
          <w:szCs w:val="20"/>
          <w:vertAlign w:val="superscript"/>
          <w:lang w:val="en-US"/>
        </w:rPr>
        <w:footnoteReference w:id="41"/>
      </w:r>
      <w:r w:rsidRPr="00EA6C7A">
        <w:rPr>
          <w:rFonts w:ascii="Verdana" w:eastAsia="Calibri" w:hAnsi="Verdana" w:cs="Verdana"/>
          <w:sz w:val="20"/>
          <w:szCs w:val="20"/>
          <w:lang w:val="en-US"/>
        </w:rPr>
        <w:t xml:space="preserve"> </w:t>
      </w:r>
    </w:p>
    <w:p w14:paraId="35D32809"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Verdana"/>
          <w:sz w:val="20"/>
          <w:szCs w:val="20"/>
          <w:lang w:val="en-US"/>
        </w:rPr>
      </w:pPr>
    </w:p>
    <w:p w14:paraId="00B3C23B"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Verdana"/>
          <w:sz w:val="20"/>
          <w:szCs w:val="20"/>
          <w:lang w:val="en-US"/>
        </w:rPr>
      </w:pPr>
      <w:r w:rsidRPr="00EA6C7A">
        <w:rPr>
          <w:rFonts w:ascii="Verdana" w:eastAsia="Calibri" w:hAnsi="Verdana" w:cs="Verdana"/>
          <w:sz w:val="20"/>
          <w:szCs w:val="20"/>
          <w:lang w:val="en-US"/>
        </w:rPr>
        <w:t xml:space="preserve">20. </w:t>
      </w:r>
      <w:r w:rsidRPr="00EA6C7A">
        <w:rPr>
          <w:rFonts w:ascii="Verdana" w:eastAsia="Calibri" w:hAnsi="Verdana" w:cs="Verdana"/>
          <w:sz w:val="20"/>
          <w:szCs w:val="20"/>
          <w:lang w:val="en-US"/>
        </w:rPr>
        <w:tab/>
      </w:r>
      <w:r w:rsidR="00274B18" w:rsidRPr="00EA6C7A">
        <w:rPr>
          <w:rFonts w:ascii="Verdana" w:eastAsia="Calibri" w:hAnsi="Verdana" w:cs="Verdana"/>
          <w:sz w:val="20"/>
          <w:szCs w:val="20"/>
          <w:lang w:val="en-US"/>
        </w:rPr>
        <w:t xml:space="preserve">In the said case, the Court established, for the first time, that there were two key moments at which the obligation of prevention should be analyzed in relation to the disappearance and death of the victims, indicating that the first moment was </w:t>
      </w:r>
      <w:r w:rsidRPr="00EA6C7A">
        <w:rPr>
          <w:rFonts w:ascii="Verdana" w:eastAsia="Calibri" w:hAnsi="Verdana" w:cs="Verdana"/>
          <w:sz w:val="20"/>
          <w:szCs w:val="20"/>
          <w:lang w:val="en-US"/>
        </w:rPr>
        <w:t>“</w:t>
      </w:r>
      <w:r w:rsidR="0001699C" w:rsidRPr="00EA6C7A">
        <w:rPr>
          <w:rFonts w:ascii="Verdana" w:eastAsia="Calibri" w:hAnsi="Verdana" w:cs="Verdana"/>
          <w:sz w:val="20"/>
          <w:szCs w:val="20"/>
          <w:lang w:val="en-US"/>
        </w:rPr>
        <w:t>before the disappearance</w:t>
      </w:r>
      <w:r w:rsidRPr="00EA6C7A">
        <w:rPr>
          <w:rFonts w:ascii="Verdana" w:eastAsia="Calibri" w:hAnsi="Verdana" w:cs="Verdana"/>
          <w:sz w:val="20"/>
          <w:szCs w:val="20"/>
          <w:lang w:val="en-US"/>
        </w:rPr>
        <w:t xml:space="preserve"> </w:t>
      </w:r>
      <w:r w:rsidR="00274B18" w:rsidRPr="00EA6C7A">
        <w:rPr>
          <w:rFonts w:ascii="Verdana" w:eastAsia="Calibri" w:hAnsi="Verdana" w:cs="Verdana"/>
          <w:sz w:val="20"/>
          <w:szCs w:val="20"/>
          <w:lang w:val="en-US"/>
        </w:rPr>
        <w:t>of the victims</w:t>
      </w:r>
      <w:r w:rsidRPr="00EA6C7A">
        <w:rPr>
          <w:rFonts w:ascii="Verdana" w:eastAsia="Calibri" w:hAnsi="Verdana" w:cs="Verdana"/>
          <w:sz w:val="20"/>
          <w:szCs w:val="20"/>
          <w:lang w:val="en-US"/>
        </w:rPr>
        <w:t>”</w:t>
      </w:r>
      <w:r w:rsidR="00D948A1" w:rsidRPr="00EA6C7A">
        <w:rPr>
          <w:rFonts w:ascii="Verdana" w:eastAsia="Calibri" w:hAnsi="Verdana" w:cs="Verdana"/>
          <w:sz w:val="20"/>
          <w:szCs w:val="20"/>
          <w:lang w:val="en-US"/>
        </w:rPr>
        <w:t xml:space="preserve"> and </w:t>
      </w:r>
      <w:r w:rsidR="00274B18" w:rsidRPr="00EA6C7A">
        <w:rPr>
          <w:rFonts w:ascii="Verdana" w:eastAsia="Calibri" w:hAnsi="Verdana" w:cs="Verdana"/>
          <w:sz w:val="20"/>
          <w:szCs w:val="20"/>
          <w:lang w:val="en-US"/>
        </w:rPr>
        <w:t>the second was “before their bodies were discovered.</w:t>
      </w:r>
      <w:r w:rsidRPr="00EA6C7A">
        <w:rPr>
          <w:rFonts w:ascii="Verdana" w:eastAsia="Calibri" w:hAnsi="Verdana" w:cs="Verdana"/>
          <w:sz w:val="20"/>
          <w:szCs w:val="20"/>
          <w:lang w:val="en-US"/>
        </w:rPr>
        <w:t>”</w:t>
      </w:r>
      <w:r w:rsidRPr="00EA6C7A">
        <w:rPr>
          <w:rFonts w:ascii="Verdana" w:eastAsia="Calibri" w:hAnsi="Verdana" w:cs="Verdana"/>
          <w:sz w:val="20"/>
          <w:szCs w:val="20"/>
          <w:vertAlign w:val="superscript"/>
          <w:lang w:val="en-US"/>
        </w:rPr>
        <w:footnoteReference w:id="42"/>
      </w:r>
      <w:r w:rsidRPr="00EA6C7A">
        <w:rPr>
          <w:rFonts w:ascii="Verdana" w:eastAsia="Calibri" w:hAnsi="Verdana" w:cs="Verdana"/>
          <w:sz w:val="20"/>
          <w:szCs w:val="20"/>
          <w:lang w:val="en-US"/>
        </w:rPr>
        <w:t xml:space="preserve"> </w:t>
      </w:r>
    </w:p>
    <w:p w14:paraId="0B2F0690" w14:textId="77777777" w:rsidR="00175ABB" w:rsidRPr="00EA6C7A" w:rsidRDefault="00175ABB" w:rsidP="00175ABB">
      <w:pPr>
        <w:autoSpaceDE w:val="0"/>
        <w:autoSpaceDN w:val="0"/>
        <w:adjustRightInd w:val="0"/>
        <w:spacing w:after="0" w:line="240" w:lineRule="auto"/>
        <w:contextualSpacing/>
        <w:jc w:val="both"/>
        <w:rPr>
          <w:rFonts w:ascii="Verdana" w:eastAsia="Calibri" w:hAnsi="Verdana" w:cs="Verdana"/>
          <w:sz w:val="20"/>
          <w:szCs w:val="20"/>
          <w:lang w:val="en-US"/>
        </w:rPr>
      </w:pPr>
    </w:p>
    <w:p w14:paraId="261B6D79" w14:textId="77777777" w:rsidR="00175ABB" w:rsidRPr="00EA6C7A" w:rsidRDefault="00175ABB" w:rsidP="00175ABB">
      <w:pPr>
        <w:autoSpaceDE w:val="0"/>
        <w:autoSpaceDN w:val="0"/>
        <w:adjustRightInd w:val="0"/>
        <w:spacing w:after="0" w:line="240" w:lineRule="auto"/>
        <w:contextualSpacing/>
        <w:jc w:val="both"/>
        <w:rPr>
          <w:rFonts w:ascii="Verdana" w:hAnsi="Verdana" w:cs="Arial"/>
          <w:sz w:val="20"/>
          <w:szCs w:val="20"/>
          <w:lang w:val="en-US"/>
        </w:rPr>
      </w:pPr>
      <w:r w:rsidRPr="00EA6C7A">
        <w:rPr>
          <w:rFonts w:ascii="Verdana" w:eastAsia="Calibri" w:hAnsi="Verdana" w:cs="Verdana"/>
          <w:sz w:val="20"/>
          <w:szCs w:val="20"/>
          <w:lang w:val="en-US"/>
        </w:rPr>
        <w:t xml:space="preserve">21. </w:t>
      </w:r>
      <w:r w:rsidRPr="00EA6C7A">
        <w:rPr>
          <w:rFonts w:ascii="Verdana" w:eastAsia="Calibri" w:hAnsi="Verdana" w:cs="Verdana"/>
          <w:sz w:val="20"/>
          <w:szCs w:val="20"/>
          <w:lang w:val="en-US"/>
        </w:rPr>
        <w:tab/>
      </w:r>
      <w:r w:rsidR="00274B18" w:rsidRPr="00EA6C7A">
        <w:rPr>
          <w:rFonts w:ascii="Verdana" w:eastAsia="Calibri" w:hAnsi="Verdana" w:cs="Verdana"/>
          <w:sz w:val="20"/>
          <w:szCs w:val="20"/>
          <w:lang w:val="en-US"/>
        </w:rPr>
        <w:t xml:space="preserve">When examining the </w:t>
      </w:r>
      <w:r w:rsidRPr="00EA6C7A">
        <w:rPr>
          <w:rFonts w:ascii="Verdana" w:eastAsia="Calibri" w:hAnsi="Verdana" w:cs="Verdana"/>
          <w:sz w:val="20"/>
          <w:szCs w:val="20"/>
          <w:lang w:val="en-US"/>
        </w:rPr>
        <w:t>“</w:t>
      </w:r>
      <w:r w:rsidR="00274B18" w:rsidRPr="00EA6C7A">
        <w:rPr>
          <w:rFonts w:ascii="Verdana" w:eastAsia="Calibri" w:hAnsi="Verdana" w:cs="Verdana"/>
          <w:sz w:val="20"/>
          <w:szCs w:val="20"/>
          <w:lang w:val="en-US"/>
        </w:rPr>
        <w:t>first moment</w:t>
      </w:r>
      <w:r w:rsidRPr="00EA6C7A">
        <w:rPr>
          <w:rFonts w:ascii="Verdana" w:eastAsia="Calibri" w:hAnsi="Verdana" w:cs="Verdana"/>
          <w:sz w:val="20"/>
          <w:szCs w:val="20"/>
          <w:lang w:val="en-US"/>
        </w:rPr>
        <w:t>” (</w:t>
      </w:r>
      <w:r w:rsidR="0001699C" w:rsidRPr="00EA6C7A">
        <w:rPr>
          <w:rFonts w:ascii="Verdana" w:eastAsia="Calibri" w:hAnsi="Verdana" w:cs="Verdana"/>
          <w:sz w:val="20"/>
          <w:szCs w:val="20"/>
          <w:lang w:val="en-US"/>
        </w:rPr>
        <w:t xml:space="preserve">before the </w:t>
      </w:r>
      <w:r w:rsidR="00274B18" w:rsidRPr="00EA6C7A">
        <w:rPr>
          <w:rFonts w:ascii="Verdana" w:eastAsia="Calibri" w:hAnsi="Verdana" w:cs="Verdana"/>
          <w:sz w:val="20"/>
          <w:szCs w:val="20"/>
          <w:lang w:val="en-US"/>
        </w:rPr>
        <w:t xml:space="preserve">victim’s </w:t>
      </w:r>
      <w:r w:rsidR="0001699C" w:rsidRPr="00EA6C7A">
        <w:rPr>
          <w:rFonts w:ascii="Verdana" w:eastAsia="Calibri" w:hAnsi="Verdana" w:cs="Verdana"/>
          <w:sz w:val="20"/>
          <w:szCs w:val="20"/>
          <w:lang w:val="en-US"/>
        </w:rPr>
        <w:t>disappearance</w:t>
      </w:r>
      <w:r w:rsidRPr="00EA6C7A">
        <w:rPr>
          <w:rFonts w:ascii="Verdana" w:eastAsia="Calibri" w:hAnsi="Verdana" w:cs="Verdana"/>
          <w:sz w:val="20"/>
          <w:szCs w:val="20"/>
          <w:lang w:val="en-US"/>
        </w:rPr>
        <w:t xml:space="preserve">), </w:t>
      </w:r>
      <w:r w:rsidR="00D5307F" w:rsidRPr="00EA6C7A">
        <w:rPr>
          <w:rFonts w:ascii="Verdana" w:eastAsia="Calibri" w:hAnsi="Verdana" w:cs="Verdana"/>
          <w:sz w:val="20"/>
          <w:szCs w:val="20"/>
          <w:lang w:val="en-US"/>
        </w:rPr>
        <w:t>the Inter-American Court</w:t>
      </w:r>
      <w:r w:rsidRPr="00EA6C7A">
        <w:rPr>
          <w:rFonts w:ascii="Verdana" w:eastAsia="Calibri" w:hAnsi="Verdana" w:cs="Verdana"/>
          <w:sz w:val="20"/>
          <w:szCs w:val="20"/>
          <w:lang w:val="en-US"/>
        </w:rPr>
        <w:t xml:space="preserve"> consider</w:t>
      </w:r>
      <w:r w:rsidR="00274B18" w:rsidRPr="00EA6C7A">
        <w:rPr>
          <w:rFonts w:ascii="Verdana" w:eastAsia="Calibri" w:hAnsi="Verdana" w:cs="Verdana"/>
          <w:sz w:val="20"/>
          <w:szCs w:val="20"/>
          <w:lang w:val="en-US"/>
        </w:rPr>
        <w:t xml:space="preserve">ed that </w:t>
      </w:r>
      <w:r w:rsidR="00F26685" w:rsidRPr="00EA6C7A">
        <w:rPr>
          <w:rFonts w:ascii="Verdana" w:hAnsi="Verdana" w:cs="Arial"/>
          <w:sz w:val="20"/>
          <w:szCs w:val="20"/>
          <w:lang w:val="en-US"/>
        </w:rPr>
        <w:t xml:space="preserve">“the failure to prevent the disappearance d[id] not </w:t>
      </w:r>
      <w:r w:rsidR="00F26685" w:rsidRPr="00EA6C7A">
        <w:rPr>
          <w:rFonts w:ascii="Verdana" w:hAnsi="Verdana" w:cs="Arial"/>
          <w:i/>
          <w:iCs/>
          <w:sz w:val="20"/>
          <w:szCs w:val="20"/>
          <w:lang w:val="en-US"/>
        </w:rPr>
        <w:t>per se</w:t>
      </w:r>
      <w:r w:rsidR="00F26685" w:rsidRPr="00EA6C7A">
        <w:rPr>
          <w:rFonts w:ascii="Verdana" w:hAnsi="Verdana" w:cs="Arial"/>
          <w:sz w:val="20"/>
          <w:szCs w:val="20"/>
          <w:lang w:val="en-US"/>
        </w:rPr>
        <w:t xml:space="preserve"> result in the State’s international responsibility because, even though the State was aware of the situation of risk for women [particularly] in Ciudad Juárez,” – given that a context of </w:t>
      </w:r>
      <w:r w:rsidR="00F26685" w:rsidRPr="00EA6C7A">
        <w:rPr>
          <w:rFonts w:ascii="Verdana" w:eastAsia="Calibri" w:hAnsi="Verdana" w:cs="Verdana"/>
          <w:sz w:val="20"/>
          <w:szCs w:val="20"/>
          <w:lang w:val="en-US"/>
        </w:rPr>
        <w:t>violence against women</w:t>
      </w:r>
      <w:r w:rsidR="00F26685" w:rsidRPr="00EA6C7A">
        <w:rPr>
          <w:rFonts w:ascii="Verdana" w:hAnsi="Verdana" w:cs="Arial"/>
          <w:sz w:val="20"/>
          <w:szCs w:val="20"/>
          <w:lang w:val="en-US"/>
        </w:rPr>
        <w:t xml:space="preserve"> had been proved – it was not aware of a real and imminent danger for the victims in this case.  It also indicated that, “[e]ven though the context of this case and the State’s international obligations impose[d] on it a greater responsibility with regard to the protection of women in Ciudad Juárez, […] these factors d[id] not impose unlimited responsibility for any unlawful act against [them].” Consequently, it indicated that the Court could </w:t>
      </w:r>
      <w:r w:rsidR="00F26685" w:rsidRPr="00EA6C7A">
        <w:rPr>
          <w:rFonts w:ascii="Verdana" w:hAnsi="Verdana" w:cs="Arial"/>
          <w:sz w:val="20"/>
          <w:szCs w:val="20"/>
          <w:u w:val="single"/>
          <w:lang w:val="en-US"/>
        </w:rPr>
        <w:t>“only note that the absence of a general policy” with regard to the pattern of</w:t>
      </w:r>
      <w:r w:rsidR="00F26685" w:rsidRPr="00EA6C7A">
        <w:rPr>
          <w:rFonts w:ascii="Verdana" w:hAnsi="Verdana" w:cs="Arial"/>
          <w:sz w:val="20"/>
          <w:szCs w:val="20"/>
          <w:lang w:val="en-US"/>
        </w:rPr>
        <w:t xml:space="preserve"> </w:t>
      </w:r>
      <w:r w:rsidR="00F26685" w:rsidRPr="00EA6C7A">
        <w:rPr>
          <w:rFonts w:ascii="Verdana" w:eastAsia="Calibri" w:hAnsi="Verdana" w:cs="Verdana"/>
          <w:sz w:val="20"/>
          <w:szCs w:val="20"/>
          <w:u w:val="single"/>
          <w:lang w:val="en-US"/>
        </w:rPr>
        <w:t>violence against women, had constituted “</w:t>
      </w:r>
      <w:r w:rsidR="00F26685" w:rsidRPr="00EA6C7A">
        <w:rPr>
          <w:rFonts w:ascii="Verdana" w:hAnsi="Verdana" w:cs="Arial"/>
          <w:sz w:val="20"/>
          <w:szCs w:val="20"/>
          <w:u w:val="single"/>
          <w:lang w:val="en-US"/>
        </w:rPr>
        <w:t xml:space="preserve">a </w:t>
      </w:r>
      <w:r w:rsidR="00EF095D" w:rsidRPr="00EA6C7A">
        <w:rPr>
          <w:rFonts w:ascii="Verdana" w:hAnsi="Verdana" w:cs="Arial"/>
          <w:sz w:val="20"/>
          <w:szCs w:val="20"/>
          <w:u w:val="single"/>
          <w:lang w:val="en-US"/>
        </w:rPr>
        <w:t xml:space="preserve">general </w:t>
      </w:r>
      <w:r w:rsidR="00F26685" w:rsidRPr="00EA6C7A">
        <w:rPr>
          <w:rFonts w:ascii="Verdana" w:hAnsi="Verdana" w:cs="Arial"/>
          <w:sz w:val="20"/>
          <w:szCs w:val="20"/>
          <w:u w:val="single"/>
          <w:lang w:val="en-US"/>
        </w:rPr>
        <w:t>failure […] to comply with its obligation of prevention</w:t>
      </w:r>
      <w:r w:rsidR="00EF095D" w:rsidRPr="00EA6C7A">
        <w:rPr>
          <w:rFonts w:ascii="Verdana" w:hAnsi="Verdana" w:cs="Arial"/>
          <w:sz w:val="20"/>
          <w:szCs w:val="20"/>
          <w:lang w:val="en-US"/>
        </w:rPr>
        <w:t>.</w:t>
      </w:r>
      <w:r w:rsidRPr="00EA6C7A">
        <w:rPr>
          <w:rFonts w:ascii="Verdana" w:eastAsia="Calibri" w:hAnsi="Verdana" w:cs="Verdana"/>
          <w:sz w:val="20"/>
          <w:szCs w:val="20"/>
          <w:lang w:val="en-US"/>
        </w:rPr>
        <w:t>”</w:t>
      </w:r>
      <w:r w:rsidRPr="00EA6C7A">
        <w:rPr>
          <w:rFonts w:ascii="Verdana" w:eastAsia="Calibri" w:hAnsi="Verdana" w:cs="Verdana"/>
          <w:sz w:val="20"/>
          <w:szCs w:val="20"/>
          <w:vertAlign w:val="superscript"/>
          <w:lang w:val="en-US"/>
        </w:rPr>
        <w:footnoteReference w:id="43"/>
      </w:r>
    </w:p>
    <w:p w14:paraId="054391EA" w14:textId="77777777" w:rsidR="00175ABB" w:rsidRPr="00EA6C7A" w:rsidRDefault="00175ABB" w:rsidP="00175ABB">
      <w:pPr>
        <w:autoSpaceDE w:val="0"/>
        <w:autoSpaceDN w:val="0"/>
        <w:adjustRightInd w:val="0"/>
        <w:spacing w:after="0" w:line="240" w:lineRule="auto"/>
        <w:jc w:val="both"/>
        <w:rPr>
          <w:rFonts w:ascii="Verdana" w:eastAsia="Calibri" w:hAnsi="Verdana" w:cs="Verdana"/>
          <w:sz w:val="20"/>
          <w:szCs w:val="20"/>
          <w:lang w:val="en-US"/>
        </w:rPr>
      </w:pPr>
    </w:p>
    <w:p w14:paraId="0C417CC4" w14:textId="77777777" w:rsidR="00175ABB" w:rsidRPr="00EA6C7A" w:rsidRDefault="00175ABB" w:rsidP="00175ABB">
      <w:pPr>
        <w:autoSpaceDE w:val="0"/>
        <w:autoSpaceDN w:val="0"/>
        <w:adjustRightInd w:val="0"/>
        <w:spacing w:after="0" w:line="240" w:lineRule="auto"/>
        <w:jc w:val="both"/>
        <w:rPr>
          <w:rFonts w:ascii="Verdana" w:eastAsia="Calibri" w:hAnsi="Verdana" w:cs="Verdana"/>
          <w:sz w:val="20"/>
          <w:szCs w:val="20"/>
          <w:lang w:val="en-US"/>
        </w:rPr>
      </w:pPr>
      <w:r w:rsidRPr="00EA6C7A">
        <w:rPr>
          <w:rFonts w:ascii="Verdana" w:eastAsia="Calibri" w:hAnsi="Verdana" w:cs="Verdana"/>
          <w:sz w:val="20"/>
          <w:szCs w:val="20"/>
          <w:lang w:val="en-US"/>
        </w:rPr>
        <w:lastRenderedPageBreak/>
        <w:t xml:space="preserve">22. </w:t>
      </w:r>
      <w:r w:rsidRPr="00EA6C7A">
        <w:rPr>
          <w:rFonts w:ascii="Verdana" w:eastAsia="Calibri" w:hAnsi="Verdana" w:cs="Verdana"/>
          <w:sz w:val="20"/>
          <w:szCs w:val="20"/>
          <w:lang w:val="en-US"/>
        </w:rPr>
        <w:tab/>
      </w:r>
      <w:r w:rsidR="00EF095D" w:rsidRPr="00EA6C7A">
        <w:rPr>
          <w:rFonts w:ascii="Verdana" w:eastAsia="Calibri" w:hAnsi="Verdana" w:cs="Verdana"/>
          <w:sz w:val="20"/>
          <w:szCs w:val="20"/>
          <w:lang w:val="en-US"/>
        </w:rPr>
        <w:t xml:space="preserve">In </w:t>
      </w:r>
      <w:r w:rsidR="00FF2310" w:rsidRPr="00EA6C7A">
        <w:rPr>
          <w:rFonts w:ascii="Verdana" w:eastAsia="Calibri" w:hAnsi="Verdana" w:cs="Verdana"/>
          <w:sz w:val="20"/>
          <w:szCs w:val="20"/>
          <w:lang w:val="en-US"/>
        </w:rPr>
        <w:t>relation to</w:t>
      </w:r>
      <w:r w:rsidR="00EF095D" w:rsidRPr="00EA6C7A">
        <w:rPr>
          <w:rFonts w:ascii="Verdana" w:eastAsia="Calibri" w:hAnsi="Verdana" w:cs="Verdana"/>
          <w:sz w:val="20"/>
          <w:szCs w:val="20"/>
          <w:lang w:val="en-US"/>
        </w:rPr>
        <w:t xml:space="preserve"> the</w:t>
      </w:r>
      <w:r w:rsidRPr="00EA6C7A">
        <w:rPr>
          <w:rFonts w:ascii="Verdana" w:eastAsia="Calibri" w:hAnsi="Verdana" w:cs="Verdana"/>
          <w:sz w:val="20"/>
          <w:szCs w:val="20"/>
          <w:lang w:val="en-US"/>
        </w:rPr>
        <w:t xml:space="preserve"> “</w:t>
      </w:r>
      <w:r w:rsidR="00274B18" w:rsidRPr="00EA6C7A">
        <w:rPr>
          <w:rFonts w:ascii="Verdana" w:eastAsia="Calibri" w:hAnsi="Verdana" w:cs="Verdana"/>
          <w:sz w:val="20"/>
          <w:szCs w:val="20"/>
          <w:lang w:val="en-US"/>
        </w:rPr>
        <w:t>second moment</w:t>
      </w:r>
      <w:r w:rsidRPr="00EA6C7A">
        <w:rPr>
          <w:rFonts w:ascii="Verdana" w:eastAsia="Calibri" w:hAnsi="Verdana" w:cs="Verdana"/>
          <w:sz w:val="20"/>
          <w:szCs w:val="20"/>
          <w:lang w:val="en-US"/>
        </w:rPr>
        <w:t>” (</w:t>
      </w:r>
      <w:r w:rsidR="00EF095D" w:rsidRPr="00EA6C7A">
        <w:rPr>
          <w:rFonts w:ascii="Verdana" w:eastAsia="Calibri" w:hAnsi="Verdana" w:cs="Verdana"/>
          <w:sz w:val="20"/>
          <w:szCs w:val="20"/>
          <w:lang w:val="en-US"/>
        </w:rPr>
        <w:t>before the discovery of the bodies</w:t>
      </w:r>
      <w:r w:rsidRPr="00EA6C7A">
        <w:rPr>
          <w:rFonts w:ascii="Verdana" w:eastAsia="Calibri" w:hAnsi="Verdana" w:cs="Verdana"/>
          <w:sz w:val="20"/>
          <w:szCs w:val="20"/>
          <w:lang w:val="en-US"/>
        </w:rPr>
        <w:t xml:space="preserve">), </w:t>
      </w:r>
      <w:r w:rsidR="0096418F" w:rsidRPr="00EA6C7A">
        <w:rPr>
          <w:rFonts w:ascii="Verdana" w:eastAsia="Calibri" w:hAnsi="Verdana" w:cs="Verdana"/>
          <w:sz w:val="20"/>
          <w:szCs w:val="20"/>
          <w:lang w:val="en-US"/>
        </w:rPr>
        <w:t>the Court</w:t>
      </w:r>
      <w:r w:rsidR="00EF095D" w:rsidRPr="00EA6C7A">
        <w:rPr>
          <w:rFonts w:ascii="Verdana" w:eastAsia="Calibri" w:hAnsi="Verdana" w:cs="Verdana"/>
          <w:sz w:val="20"/>
          <w:szCs w:val="20"/>
          <w:lang w:val="en-US"/>
        </w:rPr>
        <w:t xml:space="preserve"> decided to make a more detailed examination, establishing that, since the State was aware that “</w:t>
      </w:r>
      <w:r w:rsidR="00EF095D" w:rsidRPr="00EA6C7A">
        <w:rPr>
          <w:rFonts w:ascii="Verdana" w:hAnsi="Verdana" w:cs="Arial"/>
          <w:sz w:val="20"/>
          <w:szCs w:val="20"/>
          <w:lang w:val="en-US"/>
        </w:rPr>
        <w:t>there was a real and imminent risk that the victims would be sexually abused, subjected to ill-treatment and killed,” “</w:t>
      </w:r>
      <w:r w:rsidR="00EF095D" w:rsidRPr="00EA6C7A">
        <w:rPr>
          <w:rFonts w:ascii="Verdana" w:hAnsi="Verdana" w:cs="Arial"/>
          <w:sz w:val="20"/>
          <w:szCs w:val="20"/>
          <w:u w:val="single"/>
          <w:lang w:val="en-US"/>
        </w:rPr>
        <w:t>an obligation of strict due diligence ar[ose] with regard to reports of missing women</w:t>
      </w:r>
      <w:r w:rsidR="00EF095D" w:rsidRPr="00EA6C7A">
        <w:rPr>
          <w:rFonts w:ascii="Verdana" w:hAnsi="Verdana" w:cs="Arial"/>
          <w:sz w:val="20"/>
          <w:szCs w:val="20"/>
          <w:lang w:val="en-US"/>
        </w:rPr>
        <w:t>,” which required “</w:t>
      </w:r>
      <w:r w:rsidR="00EF095D" w:rsidRPr="00EA6C7A">
        <w:rPr>
          <w:rFonts w:ascii="Verdana" w:hAnsi="Verdana" w:cs="Arial"/>
          <w:sz w:val="20"/>
          <w:szCs w:val="20"/>
          <w:u w:val="single"/>
          <w:lang w:val="en-US"/>
        </w:rPr>
        <w:t>that exhaustive search activities be conducted</w:t>
      </w:r>
      <w:r w:rsidR="00EF095D" w:rsidRPr="00EA6C7A">
        <w:rPr>
          <w:rFonts w:ascii="Verdana" w:hAnsi="Verdana" w:cs="Arial"/>
          <w:sz w:val="20"/>
          <w:szCs w:val="20"/>
          <w:lang w:val="en-US"/>
        </w:rPr>
        <w:t>.</w:t>
      </w:r>
      <w:r w:rsidRPr="00EA6C7A">
        <w:rPr>
          <w:rFonts w:ascii="Verdana" w:eastAsia="Calibri" w:hAnsi="Verdana" w:cs="Verdana"/>
          <w:sz w:val="20"/>
          <w:szCs w:val="20"/>
          <w:lang w:val="en-US"/>
        </w:rPr>
        <w:t>”</w:t>
      </w:r>
      <w:r w:rsidRPr="00EA6C7A">
        <w:rPr>
          <w:rFonts w:ascii="Verdana" w:eastAsia="Calibri" w:hAnsi="Verdana" w:cs="Verdana"/>
          <w:vertAlign w:val="superscript"/>
          <w:lang w:val="en-US"/>
        </w:rPr>
        <w:t xml:space="preserve"> </w:t>
      </w:r>
      <w:r w:rsidRPr="00EA6C7A">
        <w:rPr>
          <w:rFonts w:ascii="Verdana" w:eastAsia="Calibri" w:hAnsi="Verdana" w:cs="Verdana"/>
          <w:vertAlign w:val="superscript"/>
          <w:lang w:val="en-US"/>
        </w:rPr>
        <w:footnoteReference w:id="44"/>
      </w:r>
    </w:p>
    <w:p w14:paraId="475C1041" w14:textId="77777777" w:rsidR="00175ABB" w:rsidRPr="00EA6C7A" w:rsidRDefault="00175ABB" w:rsidP="00175ABB">
      <w:pPr>
        <w:autoSpaceDE w:val="0"/>
        <w:autoSpaceDN w:val="0"/>
        <w:adjustRightInd w:val="0"/>
        <w:spacing w:after="0" w:line="240" w:lineRule="auto"/>
        <w:jc w:val="both"/>
        <w:rPr>
          <w:rFonts w:ascii="Verdana" w:eastAsia="Calibri" w:hAnsi="Verdana" w:cs="Verdana"/>
          <w:sz w:val="20"/>
          <w:szCs w:val="20"/>
          <w:lang w:val="en-US"/>
        </w:rPr>
      </w:pPr>
    </w:p>
    <w:p w14:paraId="31E873C7" w14:textId="77777777" w:rsidR="00175ABB" w:rsidRPr="00EA6C7A" w:rsidRDefault="00175ABB" w:rsidP="00175ABB">
      <w:pPr>
        <w:autoSpaceDE w:val="0"/>
        <w:autoSpaceDN w:val="0"/>
        <w:adjustRightInd w:val="0"/>
        <w:spacing w:after="0" w:line="240" w:lineRule="auto"/>
        <w:jc w:val="both"/>
        <w:rPr>
          <w:rFonts w:ascii="Verdana" w:eastAsia="Calibri" w:hAnsi="Verdana" w:cs="Verdana"/>
          <w:sz w:val="20"/>
          <w:szCs w:val="20"/>
          <w:lang w:val="en-US"/>
        </w:rPr>
      </w:pPr>
      <w:r w:rsidRPr="00EA6C7A">
        <w:rPr>
          <w:rFonts w:ascii="Verdana" w:eastAsia="Calibri" w:hAnsi="Verdana" w:cs="Verdana"/>
          <w:sz w:val="20"/>
          <w:szCs w:val="20"/>
          <w:lang w:val="en-US"/>
        </w:rPr>
        <w:t xml:space="preserve">23. </w:t>
      </w:r>
      <w:r w:rsidRPr="00EA6C7A">
        <w:rPr>
          <w:rFonts w:ascii="Verdana" w:eastAsia="Calibri" w:hAnsi="Verdana" w:cs="Verdana"/>
          <w:sz w:val="20"/>
          <w:szCs w:val="20"/>
          <w:lang w:val="en-US"/>
        </w:rPr>
        <w:tab/>
      </w:r>
      <w:r w:rsidR="00EF095D" w:rsidRPr="00EA6C7A">
        <w:rPr>
          <w:rFonts w:ascii="Verdana" w:eastAsia="Calibri" w:hAnsi="Verdana" w:cs="Verdana"/>
          <w:sz w:val="20"/>
          <w:szCs w:val="20"/>
          <w:lang w:val="en-US"/>
        </w:rPr>
        <w:t>In this regard,</w:t>
      </w:r>
      <w:r w:rsidRPr="00EA6C7A">
        <w:rPr>
          <w:rFonts w:ascii="Verdana" w:eastAsia="Calibri" w:hAnsi="Verdana" w:cs="Verdana"/>
          <w:sz w:val="20"/>
          <w:szCs w:val="20"/>
          <w:lang w:val="en-US"/>
        </w:rPr>
        <w:t xml:space="preserve"> </w:t>
      </w:r>
      <w:r w:rsidR="0096418F" w:rsidRPr="00EA6C7A">
        <w:rPr>
          <w:rFonts w:ascii="Verdana" w:eastAsia="Calibri" w:hAnsi="Verdana" w:cs="Verdana"/>
          <w:sz w:val="20"/>
          <w:szCs w:val="20"/>
          <w:lang w:val="en-US"/>
        </w:rPr>
        <w:t>the Cour</w:t>
      </w:r>
      <w:r w:rsidR="00EF095D" w:rsidRPr="00EA6C7A">
        <w:rPr>
          <w:rFonts w:ascii="Verdana" w:eastAsia="Calibri" w:hAnsi="Verdana" w:cs="Verdana"/>
          <w:sz w:val="20"/>
          <w:szCs w:val="20"/>
          <w:lang w:val="en-US"/>
        </w:rPr>
        <w:t>t</w:t>
      </w:r>
      <w:r w:rsidRPr="00EA6C7A">
        <w:rPr>
          <w:rFonts w:ascii="Verdana" w:eastAsia="Calibri" w:hAnsi="Verdana" w:cs="Verdana"/>
          <w:sz w:val="20"/>
          <w:szCs w:val="20"/>
          <w:lang w:val="en-US"/>
        </w:rPr>
        <w:t xml:space="preserve"> determin</w:t>
      </w:r>
      <w:r w:rsidR="00EF095D" w:rsidRPr="00EA6C7A">
        <w:rPr>
          <w:rFonts w:ascii="Verdana" w:eastAsia="Calibri" w:hAnsi="Verdana" w:cs="Verdana"/>
          <w:sz w:val="20"/>
          <w:szCs w:val="20"/>
          <w:lang w:val="en-US"/>
        </w:rPr>
        <w:t xml:space="preserve">ed that owing to the State’s lack of due diligence to prevent the deaths of the victims at that moment, as well as State’s failure to adopt the necessary laws or measures </w:t>
      </w:r>
      <w:r w:rsidR="005D7877" w:rsidRPr="00EA6C7A">
        <w:rPr>
          <w:rFonts w:ascii="Verdana" w:eastAsia="Calibri" w:hAnsi="Verdana" w:cs="Verdana"/>
          <w:sz w:val="20"/>
          <w:szCs w:val="20"/>
          <w:lang w:val="en-US"/>
        </w:rPr>
        <w:t>“</w:t>
      </w:r>
      <w:r w:rsidR="00EF095D" w:rsidRPr="00EA6C7A">
        <w:rPr>
          <w:rFonts w:ascii="Verdana" w:eastAsia="Calibri" w:hAnsi="Verdana" w:cs="Verdana"/>
          <w:sz w:val="20"/>
          <w:szCs w:val="20"/>
          <w:lang w:val="en-US"/>
        </w:rPr>
        <w:t xml:space="preserve">that </w:t>
      </w:r>
      <w:r w:rsidR="005D7877" w:rsidRPr="00EA6C7A">
        <w:rPr>
          <w:rFonts w:ascii="Verdana" w:eastAsia="Calibri" w:hAnsi="Verdana" w:cs="Verdana"/>
          <w:sz w:val="20"/>
          <w:szCs w:val="20"/>
          <w:lang w:val="en-US"/>
        </w:rPr>
        <w:t>would have allowed the authorities to provide an immediate and effective response to the reports of disappearance,</w:t>
      </w:r>
      <w:r w:rsidRPr="00EA6C7A">
        <w:rPr>
          <w:rFonts w:ascii="Verdana" w:eastAsia="Calibri" w:hAnsi="Verdana" w:cs="Verdana"/>
          <w:sz w:val="20"/>
          <w:szCs w:val="20"/>
          <w:lang w:val="en-US"/>
        </w:rPr>
        <w:t>”</w:t>
      </w:r>
      <w:r w:rsidRPr="00EA6C7A">
        <w:rPr>
          <w:rFonts w:ascii="Verdana" w:eastAsia="Calibri" w:hAnsi="Verdana" w:cs="Verdana"/>
          <w:vertAlign w:val="superscript"/>
          <w:lang w:val="en-US"/>
        </w:rPr>
        <w:footnoteReference w:id="45"/>
      </w:r>
      <w:r w:rsidRPr="00EA6C7A">
        <w:rPr>
          <w:rFonts w:ascii="Verdana" w:eastAsia="Calibri" w:hAnsi="Verdana" w:cs="Verdana"/>
          <w:sz w:val="20"/>
          <w:szCs w:val="20"/>
          <w:lang w:val="en-US"/>
        </w:rPr>
        <w:t xml:space="preserve"> </w:t>
      </w:r>
      <w:r w:rsidR="005D7877" w:rsidRPr="00EA6C7A">
        <w:rPr>
          <w:rFonts w:ascii="Verdana" w:eastAsia="Calibri" w:hAnsi="Verdana" w:cs="Verdana"/>
          <w:sz w:val="20"/>
          <w:szCs w:val="20"/>
          <w:lang w:val="en-US"/>
        </w:rPr>
        <w:t>it had violated the r</w:t>
      </w:r>
      <w:r w:rsidR="00123BD3" w:rsidRPr="00EA6C7A">
        <w:rPr>
          <w:rFonts w:ascii="Verdana" w:eastAsia="Calibri" w:hAnsi="Verdana" w:cs="Verdana"/>
          <w:sz w:val="20"/>
          <w:szCs w:val="20"/>
          <w:lang w:val="en-US"/>
        </w:rPr>
        <w:t>ights to life</w:t>
      </w:r>
      <w:r w:rsidRPr="00EA6C7A">
        <w:rPr>
          <w:rFonts w:ascii="Verdana" w:eastAsia="Calibri" w:hAnsi="Verdana" w:cs="Verdana"/>
          <w:sz w:val="20"/>
          <w:szCs w:val="20"/>
          <w:lang w:val="en-US"/>
        </w:rPr>
        <w:t xml:space="preserve">, </w:t>
      </w:r>
      <w:r w:rsidR="00515C34" w:rsidRPr="00EA6C7A">
        <w:rPr>
          <w:rFonts w:ascii="Verdana" w:eastAsia="Calibri" w:hAnsi="Verdana" w:cs="Verdana"/>
          <w:sz w:val="20"/>
          <w:szCs w:val="20"/>
          <w:lang w:val="en-US"/>
        </w:rPr>
        <w:t>personal integrity</w:t>
      </w:r>
      <w:r w:rsidR="00D948A1" w:rsidRPr="00EA6C7A">
        <w:rPr>
          <w:rFonts w:ascii="Verdana" w:eastAsia="Calibri" w:hAnsi="Verdana" w:cs="Verdana"/>
          <w:sz w:val="20"/>
          <w:szCs w:val="20"/>
          <w:lang w:val="en-US"/>
        </w:rPr>
        <w:t xml:space="preserve"> and </w:t>
      </w:r>
      <w:r w:rsidRPr="00EA6C7A">
        <w:rPr>
          <w:rFonts w:ascii="Verdana" w:eastAsia="Calibri" w:hAnsi="Verdana" w:cs="Verdana"/>
          <w:sz w:val="20"/>
          <w:szCs w:val="20"/>
          <w:lang w:val="en-US"/>
        </w:rPr>
        <w:t>personal</w:t>
      </w:r>
      <w:r w:rsidR="005D7877" w:rsidRPr="00EA6C7A">
        <w:rPr>
          <w:rFonts w:ascii="Verdana" w:eastAsia="Calibri" w:hAnsi="Verdana" w:cs="Verdana"/>
          <w:sz w:val="20"/>
          <w:szCs w:val="20"/>
          <w:lang w:val="en-US"/>
        </w:rPr>
        <w:t xml:space="preserve"> liberty</w:t>
      </w:r>
      <w:r w:rsidRPr="00EA6C7A">
        <w:rPr>
          <w:rFonts w:ascii="Verdana" w:eastAsia="Calibri" w:hAnsi="Verdana" w:cs="Verdana"/>
          <w:sz w:val="20"/>
          <w:szCs w:val="20"/>
          <w:lang w:val="en-US"/>
        </w:rPr>
        <w:t xml:space="preserve">, </w:t>
      </w:r>
      <w:r w:rsidR="0005349C" w:rsidRPr="00EA6C7A">
        <w:rPr>
          <w:rFonts w:ascii="Verdana" w:eastAsia="Calibri" w:hAnsi="Verdana" w:cs="Verdana"/>
          <w:sz w:val="20"/>
          <w:szCs w:val="20"/>
          <w:u w:val="single"/>
          <w:lang w:val="en-US"/>
        </w:rPr>
        <w:t>in relation to the general obligation to ensure rights established in</w:t>
      </w:r>
      <w:r w:rsidRPr="00EA6C7A">
        <w:rPr>
          <w:rFonts w:ascii="Verdana" w:eastAsia="Calibri" w:hAnsi="Verdana" w:cs="Verdana"/>
          <w:sz w:val="20"/>
          <w:szCs w:val="20"/>
          <w:u w:val="single"/>
          <w:lang w:val="en-US"/>
        </w:rPr>
        <w:t xml:space="preserve"> </w:t>
      </w:r>
      <w:r w:rsidR="00515C34" w:rsidRPr="00EA6C7A">
        <w:rPr>
          <w:rFonts w:ascii="Verdana" w:eastAsia="Calibri" w:hAnsi="Verdana" w:cs="Verdana"/>
          <w:sz w:val="20"/>
          <w:szCs w:val="20"/>
          <w:u w:val="single"/>
          <w:lang w:val="en-US"/>
        </w:rPr>
        <w:t>Article 1(1)</w:t>
      </w:r>
      <w:r w:rsidR="00D5307F" w:rsidRPr="00EA6C7A">
        <w:rPr>
          <w:rFonts w:ascii="Verdana" w:eastAsia="Calibri" w:hAnsi="Verdana" w:cs="Verdana"/>
          <w:sz w:val="20"/>
          <w:szCs w:val="20"/>
          <w:u w:val="single"/>
          <w:lang w:val="en-US"/>
        </w:rPr>
        <w:t xml:space="preserve"> of the </w:t>
      </w:r>
      <w:r w:rsidR="005D7877" w:rsidRPr="00EA6C7A">
        <w:rPr>
          <w:rFonts w:ascii="Verdana" w:eastAsia="Calibri" w:hAnsi="Verdana" w:cs="Verdana"/>
          <w:sz w:val="20"/>
          <w:szCs w:val="20"/>
          <w:u w:val="single"/>
          <w:lang w:val="en-US"/>
        </w:rPr>
        <w:t>American Convention</w:t>
      </w:r>
      <w:r w:rsidR="00D948A1" w:rsidRPr="00EA6C7A">
        <w:rPr>
          <w:rFonts w:ascii="Verdana" w:eastAsia="Calibri" w:hAnsi="Verdana" w:cs="Verdana"/>
          <w:sz w:val="20"/>
          <w:szCs w:val="20"/>
          <w:u w:val="single"/>
          <w:lang w:val="en-US"/>
        </w:rPr>
        <w:t xml:space="preserve"> and </w:t>
      </w:r>
      <w:r w:rsidR="005F2D0A" w:rsidRPr="00EA6C7A">
        <w:rPr>
          <w:rFonts w:ascii="Verdana" w:eastAsia="Calibri" w:hAnsi="Verdana" w:cs="Verdana"/>
          <w:sz w:val="20"/>
          <w:szCs w:val="20"/>
          <w:u w:val="single"/>
          <w:lang w:val="en-US"/>
        </w:rPr>
        <w:t>the obligation</w:t>
      </w:r>
      <w:r w:rsidRPr="00EA6C7A">
        <w:rPr>
          <w:rFonts w:ascii="Verdana" w:eastAsia="Calibri" w:hAnsi="Verdana" w:cs="Verdana"/>
          <w:sz w:val="20"/>
          <w:szCs w:val="20"/>
          <w:u w:val="single"/>
          <w:lang w:val="en-US"/>
        </w:rPr>
        <w:t xml:space="preserve"> </w:t>
      </w:r>
      <w:r w:rsidR="00471AEF" w:rsidRPr="00EA6C7A">
        <w:rPr>
          <w:rFonts w:ascii="Verdana" w:eastAsia="Calibri" w:hAnsi="Verdana" w:cs="Verdana"/>
          <w:sz w:val="20"/>
          <w:szCs w:val="20"/>
          <w:u w:val="single"/>
          <w:lang w:val="en-US"/>
        </w:rPr>
        <w:t>to</w:t>
      </w:r>
      <w:r w:rsidRPr="00EA6C7A">
        <w:rPr>
          <w:rFonts w:ascii="Verdana" w:eastAsia="Calibri" w:hAnsi="Verdana" w:cs="Verdana"/>
          <w:sz w:val="20"/>
          <w:szCs w:val="20"/>
          <w:u w:val="single"/>
          <w:lang w:val="en-US"/>
        </w:rPr>
        <w:t xml:space="preserve"> adopt</w:t>
      </w:r>
      <w:r w:rsidR="005D7877" w:rsidRPr="00EA6C7A">
        <w:rPr>
          <w:rFonts w:ascii="Verdana" w:eastAsia="Calibri" w:hAnsi="Verdana" w:cs="Verdana"/>
          <w:sz w:val="20"/>
          <w:szCs w:val="20"/>
          <w:u w:val="single"/>
          <w:lang w:val="en-US"/>
        </w:rPr>
        <w:t xml:space="preserve"> domestic legal provisions contained in</w:t>
      </w:r>
      <w:r w:rsidRPr="00EA6C7A">
        <w:rPr>
          <w:rFonts w:ascii="Verdana" w:eastAsia="Calibri" w:hAnsi="Verdana" w:cs="Verdana"/>
          <w:sz w:val="20"/>
          <w:szCs w:val="20"/>
          <w:u w:val="single"/>
          <w:lang w:val="en-US"/>
        </w:rPr>
        <w:t xml:space="preserve"> </w:t>
      </w:r>
      <w:r w:rsidR="0096418F" w:rsidRPr="00EA6C7A">
        <w:rPr>
          <w:rFonts w:ascii="Verdana" w:eastAsia="Calibri" w:hAnsi="Verdana" w:cs="Verdana"/>
          <w:sz w:val="20"/>
          <w:szCs w:val="20"/>
          <w:u w:val="single"/>
          <w:lang w:val="en-US"/>
        </w:rPr>
        <w:t>Article</w:t>
      </w:r>
      <w:r w:rsidRPr="00EA6C7A">
        <w:rPr>
          <w:rFonts w:ascii="Verdana" w:eastAsia="Calibri" w:hAnsi="Verdana" w:cs="Verdana"/>
          <w:sz w:val="20"/>
          <w:szCs w:val="20"/>
          <w:u w:val="single"/>
          <w:lang w:val="en-US"/>
        </w:rPr>
        <w:t xml:space="preserve"> 2</w:t>
      </w:r>
      <w:r w:rsidR="00D5307F" w:rsidRPr="00EA6C7A">
        <w:rPr>
          <w:rFonts w:ascii="Verdana" w:eastAsia="Calibri" w:hAnsi="Verdana" w:cs="Verdana"/>
          <w:sz w:val="20"/>
          <w:szCs w:val="20"/>
          <w:u w:val="single"/>
          <w:lang w:val="en-US"/>
        </w:rPr>
        <w:t xml:space="preserve"> </w:t>
      </w:r>
      <w:r w:rsidR="005D7877" w:rsidRPr="00EA6C7A">
        <w:rPr>
          <w:rFonts w:ascii="Verdana" w:eastAsia="Calibri" w:hAnsi="Verdana" w:cs="Verdana"/>
          <w:sz w:val="20"/>
          <w:szCs w:val="20"/>
          <w:u w:val="single"/>
          <w:lang w:val="en-US"/>
        </w:rPr>
        <w:t>thereof</w:t>
      </w:r>
      <w:r w:rsidRPr="00EA6C7A">
        <w:rPr>
          <w:rFonts w:ascii="Verdana" w:eastAsia="Calibri" w:hAnsi="Verdana" w:cs="Verdana"/>
          <w:sz w:val="20"/>
          <w:szCs w:val="20"/>
          <w:u w:val="single"/>
          <w:lang w:val="en-US"/>
        </w:rPr>
        <w:t xml:space="preserve">, </w:t>
      </w:r>
      <w:r w:rsidR="005D7877" w:rsidRPr="00EA6C7A">
        <w:rPr>
          <w:rFonts w:ascii="Verdana" w:eastAsia="Calibri" w:hAnsi="Verdana" w:cs="Verdana"/>
          <w:sz w:val="20"/>
          <w:szCs w:val="20"/>
          <w:u w:val="single"/>
          <w:lang w:val="en-US"/>
        </w:rPr>
        <w:t>as well as the obligations established in</w:t>
      </w:r>
      <w:r w:rsidRPr="00EA6C7A">
        <w:rPr>
          <w:rFonts w:ascii="Verdana" w:eastAsia="Calibri" w:hAnsi="Verdana" w:cs="Verdana"/>
          <w:sz w:val="20"/>
          <w:szCs w:val="20"/>
          <w:u w:val="single"/>
          <w:lang w:val="en-US"/>
        </w:rPr>
        <w:t xml:space="preserve"> </w:t>
      </w:r>
      <w:r w:rsidR="0096418F" w:rsidRPr="00EA6C7A">
        <w:rPr>
          <w:rFonts w:ascii="Verdana" w:eastAsia="Calibri" w:hAnsi="Verdana" w:cs="Verdana"/>
          <w:sz w:val="20"/>
          <w:szCs w:val="20"/>
          <w:u w:val="single"/>
          <w:lang w:val="en-US"/>
        </w:rPr>
        <w:t>Articles</w:t>
      </w:r>
      <w:r w:rsidRPr="00EA6C7A">
        <w:rPr>
          <w:rFonts w:ascii="Verdana" w:eastAsia="Calibri" w:hAnsi="Verdana" w:cs="Verdana"/>
          <w:sz w:val="20"/>
          <w:szCs w:val="20"/>
          <w:u w:val="single"/>
          <w:lang w:val="en-US"/>
        </w:rPr>
        <w:t xml:space="preserve"> </w:t>
      </w:r>
      <w:r w:rsidR="005F2D0A" w:rsidRPr="00EA6C7A">
        <w:rPr>
          <w:rFonts w:ascii="Verdana" w:eastAsia="Calibri" w:hAnsi="Verdana" w:cs="Verdana"/>
          <w:sz w:val="20"/>
          <w:szCs w:val="20"/>
          <w:u w:val="single"/>
          <w:lang w:val="en-US"/>
        </w:rPr>
        <w:t>7(b)</w:t>
      </w:r>
      <w:r w:rsidR="00D948A1" w:rsidRPr="00EA6C7A">
        <w:rPr>
          <w:rFonts w:ascii="Verdana" w:eastAsia="Calibri" w:hAnsi="Verdana" w:cs="Verdana"/>
          <w:sz w:val="20"/>
          <w:szCs w:val="20"/>
          <w:u w:val="single"/>
          <w:lang w:val="en-US"/>
        </w:rPr>
        <w:t xml:space="preserve"> and </w:t>
      </w:r>
      <w:r w:rsidR="005F2D0A" w:rsidRPr="00EA6C7A">
        <w:rPr>
          <w:rFonts w:ascii="Verdana" w:eastAsia="Calibri" w:hAnsi="Verdana" w:cs="Verdana"/>
          <w:sz w:val="20"/>
          <w:szCs w:val="20"/>
          <w:u w:val="single"/>
          <w:lang w:val="en-US"/>
        </w:rPr>
        <w:t>7(c)</w:t>
      </w:r>
      <w:r w:rsidR="00D5307F" w:rsidRPr="00EA6C7A">
        <w:rPr>
          <w:rFonts w:ascii="Verdana" w:eastAsia="Calibri" w:hAnsi="Verdana" w:cs="Verdana"/>
          <w:sz w:val="20"/>
          <w:szCs w:val="20"/>
          <w:u w:val="single"/>
          <w:lang w:val="en-US"/>
        </w:rPr>
        <w:t xml:space="preserve"> of the </w:t>
      </w:r>
      <w:r w:rsidR="00F912BD" w:rsidRPr="00EA6C7A">
        <w:rPr>
          <w:rFonts w:ascii="Verdana" w:eastAsia="Calibri" w:hAnsi="Verdana" w:cs="Verdana"/>
          <w:sz w:val="20"/>
          <w:szCs w:val="20"/>
          <w:u w:val="single"/>
          <w:lang w:val="en-US"/>
        </w:rPr>
        <w:t>Convention of</w:t>
      </w:r>
      <w:r w:rsidRPr="00EA6C7A">
        <w:rPr>
          <w:rFonts w:ascii="Verdana" w:eastAsia="Calibri" w:hAnsi="Verdana" w:cs="Verdana"/>
          <w:sz w:val="20"/>
          <w:szCs w:val="20"/>
          <w:u w:val="single"/>
          <w:lang w:val="en-US"/>
        </w:rPr>
        <w:t xml:space="preserve"> Belém do Pará, </w:t>
      </w:r>
      <w:r w:rsidR="00123BD3" w:rsidRPr="00EA6C7A">
        <w:rPr>
          <w:rFonts w:ascii="Verdana" w:eastAsia="Calibri" w:hAnsi="Verdana" w:cs="Verdana"/>
          <w:sz w:val="20"/>
          <w:szCs w:val="20"/>
          <w:u w:val="single"/>
          <w:lang w:val="en-US"/>
        </w:rPr>
        <w:t>to the detriment of</w:t>
      </w:r>
      <w:r w:rsidRPr="00EA6C7A">
        <w:rPr>
          <w:rFonts w:ascii="Verdana" w:eastAsia="Calibri" w:hAnsi="Verdana" w:cs="Verdana"/>
          <w:sz w:val="20"/>
          <w:szCs w:val="20"/>
          <w:u w:val="single"/>
          <w:lang w:val="en-US"/>
        </w:rPr>
        <w:t xml:space="preserve"> </w:t>
      </w:r>
      <w:r w:rsidR="005D7877" w:rsidRPr="00EA6C7A">
        <w:rPr>
          <w:rFonts w:ascii="Verdana" w:eastAsia="Calibri" w:hAnsi="Verdana" w:cs="Verdana"/>
          <w:sz w:val="20"/>
          <w:szCs w:val="20"/>
          <w:u w:val="single"/>
          <w:lang w:val="en-US"/>
        </w:rPr>
        <w:t>[the victims]</w:t>
      </w:r>
      <w:r w:rsidR="005D7877" w:rsidRPr="00EA6C7A">
        <w:rPr>
          <w:rFonts w:ascii="Verdana" w:eastAsia="Calibri" w:hAnsi="Verdana" w:cs="Verdana"/>
          <w:sz w:val="20"/>
          <w:szCs w:val="20"/>
          <w:lang w:val="en-US"/>
        </w:rPr>
        <w:t>.</w:t>
      </w:r>
      <w:r w:rsidRPr="00EA6C7A">
        <w:rPr>
          <w:rFonts w:ascii="Verdana" w:eastAsia="Calibri" w:hAnsi="Verdana" w:cs="Verdana"/>
          <w:vertAlign w:val="superscript"/>
          <w:lang w:val="en-US"/>
        </w:rPr>
        <w:footnoteReference w:id="46"/>
      </w:r>
      <w:r w:rsidRPr="00EA6C7A">
        <w:rPr>
          <w:rFonts w:ascii="Verdana" w:eastAsia="Calibri" w:hAnsi="Verdana" w:cs="Verdana"/>
          <w:sz w:val="20"/>
          <w:szCs w:val="20"/>
          <w:lang w:val="en-US"/>
        </w:rPr>
        <w:t xml:space="preserve"> </w:t>
      </w:r>
    </w:p>
    <w:p w14:paraId="3DAE7980" w14:textId="77777777" w:rsidR="00175ABB" w:rsidRPr="00EA6C7A" w:rsidRDefault="00175ABB" w:rsidP="00175ABB">
      <w:pPr>
        <w:autoSpaceDE w:val="0"/>
        <w:autoSpaceDN w:val="0"/>
        <w:adjustRightInd w:val="0"/>
        <w:spacing w:after="0" w:line="240" w:lineRule="auto"/>
        <w:jc w:val="both"/>
        <w:rPr>
          <w:rFonts w:ascii="Verdana" w:eastAsia="Calibri" w:hAnsi="Verdana" w:cs="Verdana"/>
          <w:sz w:val="20"/>
          <w:szCs w:val="20"/>
          <w:lang w:val="en-US"/>
        </w:rPr>
      </w:pPr>
    </w:p>
    <w:p w14:paraId="69780607"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Verdana"/>
          <w:sz w:val="20"/>
          <w:szCs w:val="20"/>
          <w:lang w:val="en-US"/>
        </w:rPr>
        <w:t xml:space="preserve">24. </w:t>
      </w:r>
      <w:r w:rsidRPr="00EA6C7A">
        <w:rPr>
          <w:rFonts w:ascii="Verdana" w:eastAsia="Calibri" w:hAnsi="Verdana" w:cs="Verdana"/>
          <w:sz w:val="20"/>
          <w:szCs w:val="20"/>
          <w:lang w:val="en-US"/>
        </w:rPr>
        <w:tab/>
      </w:r>
      <w:r w:rsidR="005D7877" w:rsidRPr="00EA6C7A">
        <w:rPr>
          <w:rFonts w:ascii="Verdana" w:eastAsia="Calibri" w:hAnsi="Verdana" w:cs="Verdana"/>
          <w:sz w:val="20"/>
          <w:szCs w:val="20"/>
          <w:lang w:val="en-US"/>
        </w:rPr>
        <w:t>Subsequently</w:t>
      </w:r>
      <w:r w:rsidRPr="00EA6C7A">
        <w:rPr>
          <w:rFonts w:ascii="Verdana" w:eastAsia="Calibri" w:hAnsi="Verdana" w:cs="Verdana"/>
          <w:sz w:val="20"/>
          <w:szCs w:val="20"/>
          <w:lang w:val="en-US"/>
        </w:rPr>
        <w:t xml:space="preserve">, </w:t>
      </w:r>
      <w:r w:rsidR="00D5307F" w:rsidRPr="00EA6C7A">
        <w:rPr>
          <w:rFonts w:ascii="Verdana" w:eastAsia="Calibri" w:hAnsi="Verdana" w:cs="Verdana"/>
          <w:sz w:val="20"/>
          <w:szCs w:val="20"/>
          <w:lang w:val="en-US"/>
        </w:rPr>
        <w:t>in the case of</w:t>
      </w:r>
      <w:r w:rsidRPr="00EA6C7A">
        <w:rPr>
          <w:rFonts w:ascii="Verdana" w:eastAsia="Calibri" w:hAnsi="Verdana" w:cs="Verdana"/>
          <w:i/>
          <w:sz w:val="20"/>
          <w:szCs w:val="20"/>
          <w:lang w:val="en-US"/>
        </w:rPr>
        <w:t xml:space="preserve"> </w:t>
      </w:r>
      <w:r w:rsidRPr="00EA6C7A">
        <w:rPr>
          <w:rFonts w:ascii="Verdana" w:eastAsia="Calibri" w:hAnsi="Verdana" w:cs="Tahoma"/>
          <w:bCs/>
          <w:i/>
          <w:color w:val="000000"/>
          <w:sz w:val="20"/>
          <w:szCs w:val="20"/>
          <w:shd w:val="clear" w:color="auto" w:fill="FFFFFF"/>
          <w:lang w:val="en-US"/>
        </w:rPr>
        <w:t xml:space="preserve">Veliz Franco </w:t>
      </w:r>
      <w:r w:rsidR="001914FC" w:rsidRPr="00EA6C7A">
        <w:rPr>
          <w:rFonts w:ascii="Verdana" w:eastAsia="Calibri" w:hAnsi="Verdana" w:cs="Tahoma"/>
          <w:bCs/>
          <w:i/>
          <w:color w:val="000000"/>
          <w:sz w:val="20"/>
          <w:szCs w:val="20"/>
          <w:shd w:val="clear" w:color="auto" w:fill="FFFFFF"/>
          <w:lang w:val="en-US"/>
        </w:rPr>
        <w:t>et al. v.</w:t>
      </w:r>
      <w:r w:rsidRPr="00EA6C7A">
        <w:rPr>
          <w:rFonts w:ascii="Verdana" w:eastAsia="Calibri" w:hAnsi="Verdana" w:cs="Tahoma"/>
          <w:bCs/>
          <w:i/>
          <w:color w:val="000000"/>
          <w:sz w:val="20"/>
          <w:szCs w:val="20"/>
          <w:shd w:val="clear" w:color="auto" w:fill="FFFFFF"/>
          <w:lang w:val="en-US"/>
        </w:rPr>
        <w:t xml:space="preserve"> Guatemala</w:t>
      </w:r>
      <w:r w:rsidR="005D7877" w:rsidRPr="00EA6C7A">
        <w:rPr>
          <w:rFonts w:ascii="Verdana" w:eastAsia="Calibri" w:hAnsi="Verdana" w:cs="Tahoma"/>
          <w:bCs/>
          <w:i/>
          <w:color w:val="000000"/>
          <w:sz w:val="20"/>
          <w:szCs w:val="20"/>
          <w:shd w:val="clear" w:color="auto" w:fill="FFFFFF"/>
          <w:lang w:val="en-US"/>
        </w:rPr>
        <w:t>,</w:t>
      </w:r>
      <w:r w:rsidRPr="00EA6C7A">
        <w:rPr>
          <w:rFonts w:ascii="Verdana" w:eastAsia="Calibri" w:hAnsi="Verdana" w:cs="Tahoma"/>
          <w:bCs/>
          <w:i/>
          <w:color w:val="000000"/>
          <w:sz w:val="20"/>
          <w:szCs w:val="20"/>
          <w:shd w:val="clear" w:color="auto" w:fill="FFFFFF"/>
          <w:vertAlign w:val="superscript"/>
          <w:lang w:val="en-US"/>
        </w:rPr>
        <w:footnoteReference w:id="47"/>
      </w:r>
      <w:r w:rsidRPr="00EA6C7A">
        <w:rPr>
          <w:rFonts w:ascii="Verdana" w:eastAsia="Calibri" w:hAnsi="Verdana" w:cs="Tahoma"/>
          <w:bCs/>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the Court</w:t>
      </w:r>
      <w:r w:rsidRPr="00EA6C7A">
        <w:rPr>
          <w:rFonts w:ascii="Verdana" w:eastAsia="Calibri" w:hAnsi="Verdana" w:cs="Tahoma"/>
          <w:bCs/>
          <w:color w:val="000000"/>
          <w:sz w:val="20"/>
          <w:szCs w:val="20"/>
          <w:shd w:val="clear" w:color="auto" w:fill="FFFFFF"/>
          <w:lang w:val="en-US"/>
        </w:rPr>
        <w:t xml:space="preserve"> </w:t>
      </w:r>
      <w:r w:rsidR="005D7877" w:rsidRPr="00EA6C7A">
        <w:rPr>
          <w:rFonts w:ascii="Verdana" w:eastAsia="Calibri" w:hAnsi="Verdana" w:cs="Tahoma"/>
          <w:bCs/>
          <w:color w:val="000000"/>
          <w:sz w:val="20"/>
          <w:szCs w:val="20"/>
          <w:shd w:val="clear" w:color="auto" w:fill="FFFFFF"/>
          <w:lang w:val="en-US"/>
        </w:rPr>
        <w:t xml:space="preserve">also examined the </w:t>
      </w:r>
      <w:r w:rsidR="00671A06" w:rsidRPr="00EA6C7A">
        <w:rPr>
          <w:rFonts w:ascii="Verdana" w:eastAsia="Calibri" w:hAnsi="Verdana" w:cs="Tahoma"/>
          <w:bCs/>
          <w:color w:val="000000"/>
          <w:sz w:val="20"/>
          <w:szCs w:val="20"/>
          <w:shd w:val="clear" w:color="auto" w:fill="FFFFFF"/>
          <w:lang w:val="en-US"/>
        </w:rPr>
        <w:t>obligations</w:t>
      </w:r>
      <w:r w:rsidR="005D7877" w:rsidRPr="00EA6C7A">
        <w:rPr>
          <w:rFonts w:ascii="Verdana" w:eastAsia="Calibri" w:hAnsi="Verdana" w:cs="Tahoma"/>
          <w:bCs/>
          <w:color w:val="000000"/>
          <w:sz w:val="20"/>
          <w:szCs w:val="20"/>
          <w:shd w:val="clear" w:color="auto" w:fill="FFFFFF"/>
          <w:lang w:val="en-US"/>
        </w:rPr>
        <w:t xml:space="preserve"> of guarantee, considering the </w:t>
      </w:r>
      <w:r w:rsidR="00D5307F" w:rsidRPr="00EA6C7A">
        <w:rPr>
          <w:rFonts w:ascii="Verdana" w:eastAsia="Calibri" w:hAnsi="Verdana" w:cs="Tahoma"/>
          <w:bCs/>
          <w:color w:val="000000"/>
          <w:sz w:val="20"/>
          <w:szCs w:val="20"/>
          <w:shd w:val="clear" w:color="auto" w:fill="FFFFFF"/>
          <w:lang w:val="en-US"/>
        </w:rPr>
        <w:t>obligation of prevention</w:t>
      </w:r>
      <w:r w:rsidRPr="00EA6C7A">
        <w:rPr>
          <w:rFonts w:ascii="Verdana" w:eastAsia="Calibri" w:hAnsi="Verdana" w:cs="Tahoma"/>
          <w:bCs/>
          <w:color w:val="000000"/>
          <w:sz w:val="20"/>
          <w:szCs w:val="20"/>
          <w:shd w:val="clear" w:color="auto" w:fill="FFFFFF"/>
          <w:lang w:val="en-US"/>
        </w:rPr>
        <w:t xml:space="preserve"> </w:t>
      </w:r>
      <w:r w:rsidR="00A55CD6" w:rsidRPr="00EA6C7A">
        <w:rPr>
          <w:rFonts w:ascii="Verdana" w:eastAsia="Calibri" w:hAnsi="Verdana" w:cs="Tahoma"/>
          <w:bCs/>
          <w:color w:val="000000"/>
          <w:sz w:val="20"/>
          <w:szCs w:val="20"/>
          <w:shd w:val="clear" w:color="auto" w:fill="FFFFFF"/>
          <w:lang w:val="en-US"/>
        </w:rPr>
        <w:t xml:space="preserve">as </w:t>
      </w:r>
      <w:r w:rsidR="005D7877" w:rsidRPr="00EA6C7A">
        <w:rPr>
          <w:rFonts w:ascii="Verdana" w:eastAsia="Calibri" w:hAnsi="Verdana" w:cs="Tahoma"/>
          <w:bCs/>
          <w:color w:val="000000"/>
          <w:sz w:val="20"/>
          <w:szCs w:val="20"/>
          <w:shd w:val="clear" w:color="auto" w:fill="FFFFFF"/>
          <w:lang w:val="en-US"/>
        </w:rPr>
        <w:t>a</w:t>
      </w:r>
      <w:r w:rsidR="00A9376A" w:rsidRPr="00EA6C7A">
        <w:rPr>
          <w:rFonts w:ascii="Verdana" w:eastAsia="Calibri" w:hAnsi="Verdana" w:cs="Tahoma"/>
          <w:bCs/>
          <w:color w:val="000000"/>
          <w:sz w:val="20"/>
          <w:szCs w:val="20"/>
          <w:shd w:val="clear" w:color="auto" w:fill="FFFFFF"/>
          <w:lang w:val="en-US"/>
        </w:rPr>
        <w:t xml:space="preserve">n expression </w:t>
      </w:r>
      <w:r w:rsidR="00A55CD6" w:rsidRPr="00EA6C7A">
        <w:rPr>
          <w:rFonts w:ascii="Verdana" w:eastAsia="Calibri" w:hAnsi="Verdana" w:cs="Tahoma"/>
          <w:bCs/>
          <w:color w:val="000000"/>
          <w:sz w:val="20"/>
          <w:szCs w:val="20"/>
          <w:shd w:val="clear" w:color="auto" w:fill="FFFFFF"/>
          <w:lang w:val="en-US"/>
        </w:rPr>
        <w:t xml:space="preserve">of these obligations that </w:t>
      </w:r>
      <w:r w:rsidRPr="00EA6C7A">
        <w:rPr>
          <w:rFonts w:ascii="Verdana" w:eastAsia="Calibri" w:hAnsi="Verdana" w:cs="Tahoma"/>
          <w:bCs/>
          <w:color w:val="000000"/>
          <w:sz w:val="20"/>
          <w:szCs w:val="20"/>
          <w:shd w:val="clear" w:color="auto" w:fill="FFFFFF"/>
          <w:lang w:val="en-US"/>
        </w:rPr>
        <w:t>“</w:t>
      </w:r>
      <w:r w:rsidR="00A55CD6" w:rsidRPr="00EA6C7A">
        <w:rPr>
          <w:rFonts w:ascii="Verdana" w:hAnsi="Verdana" w:cs="Arial"/>
          <w:sz w:val="20"/>
          <w:szCs w:val="20"/>
          <w:lang w:val="en-US"/>
        </w:rPr>
        <w:t>encompasses all those measures of a legal, political, administrative and cultural nature that ensure the safeguard of human rights, and that any possible violation of these rights is considered and treated as an unlawful act […]”;</w:t>
      </w:r>
      <w:r w:rsidRPr="00EA6C7A">
        <w:rPr>
          <w:rFonts w:ascii="Verdana" w:eastAsia="Calibri" w:hAnsi="Verdana" w:cs="Tahoma"/>
          <w:bCs/>
          <w:color w:val="000000"/>
          <w:sz w:val="20"/>
          <w:szCs w:val="20"/>
          <w:shd w:val="clear" w:color="auto" w:fill="FFFFFF"/>
          <w:vertAlign w:val="superscript"/>
          <w:lang w:val="en-US"/>
        </w:rPr>
        <w:footnoteReference w:id="48"/>
      </w:r>
      <w:r w:rsidRPr="00EA6C7A">
        <w:rPr>
          <w:rFonts w:ascii="Verdana" w:eastAsia="Calibri" w:hAnsi="Verdana" w:cs="Tahoma"/>
          <w:bCs/>
          <w:color w:val="000000"/>
          <w:sz w:val="20"/>
          <w:szCs w:val="20"/>
          <w:shd w:val="clear" w:color="auto" w:fill="FFFFFF"/>
          <w:lang w:val="en-US"/>
        </w:rPr>
        <w:t xml:space="preserve"> re</w:t>
      </w:r>
      <w:r w:rsidR="00A55CD6" w:rsidRPr="00EA6C7A">
        <w:rPr>
          <w:rFonts w:ascii="Verdana" w:eastAsia="Calibri" w:hAnsi="Verdana" w:cs="Tahoma"/>
          <w:bCs/>
          <w:color w:val="000000"/>
          <w:sz w:val="20"/>
          <w:szCs w:val="20"/>
          <w:shd w:val="clear" w:color="auto" w:fill="FFFFFF"/>
          <w:lang w:val="en-US"/>
        </w:rPr>
        <w:t xml:space="preserve">confirming this </w:t>
      </w:r>
      <w:r w:rsidR="00D5307F" w:rsidRPr="00EA6C7A">
        <w:rPr>
          <w:rFonts w:ascii="Verdana" w:eastAsia="Calibri" w:hAnsi="Verdana" w:cs="Tahoma"/>
          <w:bCs/>
          <w:color w:val="000000"/>
          <w:sz w:val="20"/>
          <w:szCs w:val="20"/>
          <w:shd w:val="clear" w:color="auto" w:fill="FFFFFF"/>
          <w:lang w:val="en-US"/>
        </w:rPr>
        <w:t>in the case of</w:t>
      </w:r>
      <w:r w:rsidRPr="00EA6C7A">
        <w:rPr>
          <w:rFonts w:ascii="Verdana" w:eastAsia="Calibri" w:hAnsi="Verdana" w:cs="Tahoma"/>
          <w:bCs/>
          <w:color w:val="000000"/>
          <w:sz w:val="20"/>
          <w:szCs w:val="20"/>
          <w:shd w:val="clear" w:color="auto" w:fill="FFFFFF"/>
          <w:lang w:val="en-US"/>
        </w:rPr>
        <w:t xml:space="preserve"> </w:t>
      </w:r>
      <w:r w:rsidR="008B402D" w:rsidRPr="00EA6C7A">
        <w:rPr>
          <w:rFonts w:ascii="Verdana" w:eastAsia="Calibri" w:hAnsi="Verdana" w:cs="Tahoma"/>
          <w:bCs/>
          <w:i/>
          <w:color w:val="000000"/>
          <w:sz w:val="20"/>
          <w:szCs w:val="20"/>
          <w:shd w:val="clear" w:color="auto" w:fill="FFFFFF"/>
          <w:lang w:val="en-US"/>
        </w:rPr>
        <w:t>González et al.</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Cotton Field</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v.</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Mexico</w:t>
      </w:r>
      <w:r w:rsidRPr="00EA6C7A">
        <w:rPr>
          <w:rFonts w:ascii="Verdana" w:eastAsia="Calibri" w:hAnsi="Verdana" w:cs="Tahoma"/>
          <w:bCs/>
          <w:color w:val="000000"/>
          <w:sz w:val="20"/>
          <w:szCs w:val="20"/>
          <w:shd w:val="clear" w:color="auto" w:fill="FFFFFF"/>
          <w:vertAlign w:val="superscript"/>
          <w:lang w:val="en-US"/>
        </w:rPr>
        <w:footnoteReference w:id="49"/>
      </w:r>
      <w:r w:rsidRPr="00EA6C7A">
        <w:rPr>
          <w:rFonts w:ascii="Verdana" w:eastAsia="Calibri" w:hAnsi="Verdana" w:cs="Tahoma"/>
          <w:bCs/>
          <w:i/>
          <w:color w:val="000000"/>
          <w:sz w:val="20"/>
          <w:szCs w:val="20"/>
          <w:shd w:val="clear" w:color="auto" w:fill="FFFFFF"/>
          <w:lang w:val="en-US"/>
        </w:rPr>
        <w:t xml:space="preserve"> </w:t>
      </w:r>
      <w:r w:rsidR="00A55CD6" w:rsidRPr="00EA6C7A">
        <w:rPr>
          <w:rFonts w:ascii="Verdana" w:eastAsia="Calibri" w:hAnsi="Verdana" w:cs="Tahoma"/>
          <w:bCs/>
          <w:color w:val="000000"/>
          <w:sz w:val="20"/>
          <w:szCs w:val="20"/>
          <w:shd w:val="clear" w:color="auto" w:fill="FFFFFF"/>
          <w:lang w:val="en-US"/>
        </w:rPr>
        <w:t xml:space="preserve">in relation to the characteristics of the strategy for the </w:t>
      </w:r>
      <w:r w:rsidR="00D5307F" w:rsidRPr="00EA6C7A">
        <w:rPr>
          <w:rFonts w:ascii="Verdana" w:eastAsia="Calibri" w:hAnsi="Verdana" w:cs="Tahoma"/>
          <w:bCs/>
          <w:color w:val="000000"/>
          <w:sz w:val="20"/>
          <w:szCs w:val="20"/>
          <w:shd w:val="clear" w:color="auto" w:fill="FFFFFF"/>
          <w:lang w:val="en-US"/>
        </w:rPr>
        <w:t>obligation of prevention</w:t>
      </w:r>
      <w:r w:rsidRPr="00EA6C7A">
        <w:rPr>
          <w:rFonts w:ascii="Verdana" w:eastAsia="Calibri" w:hAnsi="Verdana" w:cs="Tahoma"/>
          <w:bCs/>
          <w:color w:val="000000"/>
          <w:sz w:val="20"/>
          <w:szCs w:val="20"/>
          <w:shd w:val="clear" w:color="auto" w:fill="FFFFFF"/>
          <w:lang w:val="en-US"/>
        </w:rPr>
        <w:t>.</w:t>
      </w:r>
    </w:p>
    <w:p w14:paraId="3C8C3547"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69E4AC7F"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25. </w:t>
      </w:r>
      <w:r w:rsidRPr="00EA6C7A">
        <w:rPr>
          <w:rFonts w:ascii="Verdana" w:eastAsia="Calibri" w:hAnsi="Verdana" w:cs="Tahoma"/>
          <w:bCs/>
          <w:color w:val="000000"/>
          <w:sz w:val="20"/>
          <w:szCs w:val="20"/>
          <w:shd w:val="clear" w:color="auto" w:fill="FFFFFF"/>
          <w:lang w:val="en-US"/>
        </w:rPr>
        <w:tab/>
      </w:r>
      <w:r w:rsidR="00E91A0C" w:rsidRPr="00EA6C7A">
        <w:rPr>
          <w:rFonts w:ascii="Verdana" w:eastAsia="Calibri" w:hAnsi="Verdana" w:cs="Tahoma"/>
          <w:bCs/>
          <w:color w:val="000000"/>
          <w:sz w:val="20"/>
          <w:szCs w:val="20"/>
          <w:shd w:val="clear" w:color="auto" w:fill="FFFFFF"/>
          <w:lang w:val="en-US"/>
        </w:rPr>
        <w:t xml:space="preserve">Furthermore, based on the </w:t>
      </w:r>
      <w:r w:rsidR="00791963" w:rsidRPr="00EA6C7A">
        <w:rPr>
          <w:rFonts w:ascii="Verdana" w:eastAsia="Calibri" w:hAnsi="Verdana" w:cs="Tahoma"/>
          <w:bCs/>
          <w:color w:val="000000"/>
          <w:sz w:val="20"/>
          <w:szCs w:val="20"/>
          <w:shd w:val="clear" w:color="auto" w:fill="FFFFFF"/>
          <w:lang w:val="en-US"/>
        </w:rPr>
        <w:t>criterion</w:t>
      </w:r>
      <w:r w:rsidR="00E91A0C" w:rsidRPr="00EA6C7A">
        <w:rPr>
          <w:rFonts w:ascii="Verdana" w:eastAsia="Calibri" w:hAnsi="Verdana" w:cs="Tahoma"/>
          <w:bCs/>
          <w:color w:val="000000"/>
          <w:sz w:val="20"/>
          <w:szCs w:val="20"/>
          <w:shd w:val="clear" w:color="auto" w:fill="FFFFFF"/>
          <w:lang w:val="en-US"/>
        </w:rPr>
        <w:t xml:space="preserve"> of the </w:t>
      </w:r>
      <w:r w:rsidRPr="00EA6C7A">
        <w:rPr>
          <w:rFonts w:ascii="Verdana" w:eastAsia="Calibri" w:hAnsi="Verdana" w:cs="Tahoma"/>
          <w:bCs/>
          <w:color w:val="000000"/>
          <w:sz w:val="20"/>
          <w:szCs w:val="20"/>
          <w:shd w:val="clear" w:color="auto" w:fill="FFFFFF"/>
          <w:lang w:val="en-US"/>
        </w:rPr>
        <w:t>“</w:t>
      </w:r>
      <w:r w:rsidR="007C280B" w:rsidRPr="00EA6C7A">
        <w:rPr>
          <w:rFonts w:ascii="Verdana" w:eastAsia="Calibri" w:hAnsi="Verdana" w:cs="Tahoma"/>
          <w:bCs/>
          <w:color w:val="000000"/>
          <w:sz w:val="20"/>
          <w:szCs w:val="20"/>
          <w:shd w:val="clear" w:color="auto" w:fill="FFFFFF"/>
          <w:lang w:val="en-US"/>
        </w:rPr>
        <w:t>two moments</w:t>
      </w:r>
      <w:r w:rsidRPr="00EA6C7A">
        <w:rPr>
          <w:rFonts w:ascii="Verdana" w:eastAsia="Calibri" w:hAnsi="Verdana" w:cs="Tahoma"/>
          <w:bCs/>
          <w:color w:val="000000"/>
          <w:sz w:val="20"/>
          <w:szCs w:val="20"/>
          <w:shd w:val="clear" w:color="auto" w:fill="FFFFFF"/>
          <w:lang w:val="en-US"/>
        </w:rPr>
        <w:t xml:space="preserve">” </w:t>
      </w:r>
      <w:r w:rsidR="00E91A0C" w:rsidRPr="00EA6C7A">
        <w:rPr>
          <w:rFonts w:ascii="Verdana" w:eastAsia="Calibri" w:hAnsi="Verdana" w:cs="Tahoma"/>
          <w:bCs/>
          <w:color w:val="000000"/>
          <w:sz w:val="20"/>
          <w:szCs w:val="20"/>
          <w:shd w:val="clear" w:color="auto" w:fill="FFFFFF"/>
          <w:lang w:val="en-US"/>
        </w:rPr>
        <w:t>used in</w:t>
      </w:r>
      <w:r w:rsidRPr="00EA6C7A">
        <w:rPr>
          <w:rFonts w:ascii="Verdana" w:eastAsia="Calibri" w:hAnsi="Verdana" w:cs="Tahoma"/>
          <w:bCs/>
          <w:color w:val="000000"/>
          <w:sz w:val="20"/>
          <w:szCs w:val="20"/>
          <w:shd w:val="clear" w:color="auto" w:fill="FFFFFF"/>
          <w:lang w:val="en-US"/>
        </w:rPr>
        <w:t xml:space="preserve"> </w:t>
      </w:r>
      <w:r w:rsidR="008B402D" w:rsidRPr="00EA6C7A">
        <w:rPr>
          <w:rFonts w:ascii="Verdana" w:eastAsia="Calibri" w:hAnsi="Verdana" w:cs="Tahoma"/>
          <w:bCs/>
          <w:i/>
          <w:color w:val="000000"/>
          <w:sz w:val="20"/>
          <w:szCs w:val="20"/>
          <w:shd w:val="clear" w:color="auto" w:fill="FFFFFF"/>
          <w:lang w:val="en-US"/>
        </w:rPr>
        <w:t>González et al.</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Cotton Field</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v.</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Mexico</w:t>
      </w:r>
      <w:r w:rsidR="00E91A0C" w:rsidRPr="00EA6C7A">
        <w:rPr>
          <w:rFonts w:ascii="Verdana" w:eastAsia="Calibri" w:hAnsi="Verdana" w:cs="Tahoma"/>
          <w:bCs/>
          <w:i/>
          <w:color w:val="000000"/>
          <w:sz w:val="20"/>
          <w:szCs w:val="20"/>
          <w:shd w:val="clear" w:color="auto" w:fill="FFFFFF"/>
          <w:lang w:val="en-US"/>
        </w:rPr>
        <w:t>,</w:t>
      </w:r>
      <w:r w:rsidRPr="00EA6C7A">
        <w:rPr>
          <w:rFonts w:ascii="Verdana" w:eastAsia="Calibri" w:hAnsi="Verdana" w:cs="Tahoma"/>
          <w:bCs/>
          <w:i/>
          <w:color w:val="000000"/>
          <w:sz w:val="20"/>
          <w:szCs w:val="20"/>
          <w:shd w:val="clear" w:color="auto" w:fill="FFFFFF"/>
          <w:vertAlign w:val="superscript"/>
          <w:lang w:val="en-US"/>
        </w:rPr>
        <w:footnoteReference w:id="50"/>
      </w:r>
      <w:r w:rsidRPr="00EA6C7A">
        <w:rPr>
          <w:rFonts w:ascii="Verdana" w:eastAsia="Calibri" w:hAnsi="Verdana" w:cs="Tahoma"/>
          <w:bCs/>
          <w:i/>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the Court</w:t>
      </w:r>
      <w:r w:rsidRPr="00EA6C7A">
        <w:rPr>
          <w:rFonts w:ascii="Verdana" w:eastAsia="Calibri" w:hAnsi="Verdana" w:cs="Tahoma"/>
          <w:bCs/>
          <w:color w:val="000000"/>
          <w:sz w:val="20"/>
          <w:szCs w:val="20"/>
          <w:shd w:val="clear" w:color="auto" w:fill="FFFFFF"/>
          <w:lang w:val="en-US"/>
        </w:rPr>
        <w:t xml:space="preserve"> determin</w:t>
      </w:r>
      <w:r w:rsidR="00E91A0C" w:rsidRPr="00EA6C7A">
        <w:rPr>
          <w:rFonts w:ascii="Verdana" w:eastAsia="Calibri" w:hAnsi="Verdana" w:cs="Tahoma"/>
          <w:bCs/>
          <w:color w:val="000000"/>
          <w:sz w:val="20"/>
          <w:szCs w:val="20"/>
          <w:shd w:val="clear" w:color="auto" w:fill="FFFFFF"/>
          <w:lang w:val="en-US"/>
        </w:rPr>
        <w:t>ed</w:t>
      </w:r>
      <w:r w:rsidRPr="00EA6C7A">
        <w:rPr>
          <w:rFonts w:ascii="Verdana" w:eastAsia="Calibri" w:hAnsi="Verdana" w:cs="Tahoma"/>
          <w:bCs/>
          <w:color w:val="000000"/>
          <w:sz w:val="20"/>
          <w:szCs w:val="20"/>
          <w:shd w:val="clear" w:color="auto" w:fill="FFFFFF"/>
          <w:lang w:val="en-US"/>
        </w:rPr>
        <w:t xml:space="preserve"> </w:t>
      </w:r>
      <w:r w:rsidR="00E91A0C" w:rsidRPr="00EA6C7A">
        <w:rPr>
          <w:rFonts w:ascii="Verdana" w:eastAsia="Calibri" w:hAnsi="Verdana" w:cs="Tahoma"/>
          <w:bCs/>
          <w:color w:val="000000"/>
          <w:sz w:val="20"/>
          <w:szCs w:val="20"/>
          <w:shd w:val="clear" w:color="auto" w:fill="FFFFFF"/>
          <w:lang w:val="en-US"/>
        </w:rPr>
        <w:t>in the</w:t>
      </w:r>
      <w:r w:rsidRPr="00EA6C7A">
        <w:rPr>
          <w:rFonts w:ascii="Verdana" w:eastAsia="Calibri" w:hAnsi="Verdana" w:cs="Tahoma"/>
          <w:bCs/>
          <w:color w:val="000000"/>
          <w:sz w:val="20"/>
          <w:szCs w:val="20"/>
          <w:shd w:val="clear" w:color="auto" w:fill="FFFFFF"/>
          <w:lang w:val="en-US"/>
        </w:rPr>
        <w:t xml:space="preserve"> “</w:t>
      </w:r>
      <w:r w:rsidR="00274B18" w:rsidRPr="00EA6C7A">
        <w:rPr>
          <w:rFonts w:ascii="Verdana" w:eastAsia="Calibri" w:hAnsi="Verdana" w:cs="Tahoma"/>
          <w:bCs/>
          <w:color w:val="000000"/>
          <w:sz w:val="20"/>
          <w:szCs w:val="20"/>
          <w:shd w:val="clear" w:color="auto" w:fill="FFFFFF"/>
          <w:lang w:val="en-US"/>
        </w:rPr>
        <w:t>first moment</w:t>
      </w:r>
      <w:r w:rsidRPr="00EA6C7A">
        <w:rPr>
          <w:rFonts w:ascii="Verdana" w:eastAsia="Calibri" w:hAnsi="Verdana" w:cs="Tahoma"/>
          <w:bCs/>
          <w:color w:val="000000"/>
          <w:sz w:val="20"/>
          <w:szCs w:val="20"/>
          <w:shd w:val="clear" w:color="auto" w:fill="FFFFFF"/>
          <w:lang w:val="en-US"/>
        </w:rPr>
        <w:t>” —</w:t>
      </w:r>
      <w:r w:rsidR="00E91A0C" w:rsidRPr="00EA6C7A">
        <w:rPr>
          <w:rFonts w:ascii="Verdana" w:eastAsia="Calibri" w:hAnsi="Verdana" w:cs="Tahoma"/>
          <w:bCs/>
          <w:color w:val="000000"/>
          <w:sz w:val="20"/>
          <w:szCs w:val="20"/>
          <w:shd w:val="clear" w:color="auto" w:fill="FFFFFF"/>
          <w:lang w:val="en-US"/>
        </w:rPr>
        <w:t xml:space="preserve"> as it had already done in the above case – that the failure to prevent the disappearance “</w:t>
      </w:r>
      <w:r w:rsidR="00E91A0C" w:rsidRPr="00EA6C7A">
        <w:rPr>
          <w:rFonts w:ascii="Verdana" w:hAnsi="Verdana" w:cs="Arial"/>
          <w:sz w:val="20"/>
          <w:szCs w:val="20"/>
          <w:lang w:val="en-US"/>
        </w:rPr>
        <w:t xml:space="preserve">d[id] not </w:t>
      </w:r>
      <w:r w:rsidR="00E91A0C" w:rsidRPr="00EA6C7A">
        <w:rPr>
          <w:rFonts w:ascii="Verdana" w:hAnsi="Verdana" w:cs="Arial"/>
          <w:i/>
          <w:iCs/>
          <w:sz w:val="20"/>
          <w:szCs w:val="20"/>
          <w:lang w:val="en-US"/>
        </w:rPr>
        <w:t>per se</w:t>
      </w:r>
      <w:r w:rsidR="00E91A0C" w:rsidRPr="00EA6C7A">
        <w:rPr>
          <w:rFonts w:ascii="Verdana" w:hAnsi="Verdana" w:cs="Arial"/>
          <w:sz w:val="20"/>
          <w:szCs w:val="20"/>
          <w:lang w:val="en-US"/>
        </w:rPr>
        <w:t xml:space="preserve"> result in the State’s international responsibility” because, although it was aware of the increase of violent acts against women and girls, it was not aware of a real and immediate risk for the victim in that case and, also – </w:t>
      </w:r>
      <w:r w:rsidR="00E91A0C" w:rsidRPr="00EA6C7A">
        <w:rPr>
          <w:rFonts w:ascii="Verdana" w:hAnsi="Verdana" w:cs="Arial"/>
          <w:sz w:val="20"/>
          <w:szCs w:val="20"/>
          <w:u w:val="single"/>
          <w:lang w:val="en-US"/>
        </w:rPr>
        <w:t xml:space="preserve">contrary to its case law precedent – it recognized State actions (taken prior to the date of the facts) </w:t>
      </w:r>
      <w:r w:rsidR="00791963" w:rsidRPr="00EA6C7A">
        <w:rPr>
          <w:rFonts w:ascii="Verdana" w:hAnsi="Verdana" w:cs="Arial"/>
          <w:sz w:val="20"/>
          <w:szCs w:val="20"/>
          <w:u w:val="single"/>
          <w:lang w:val="en-US"/>
        </w:rPr>
        <w:t xml:space="preserve">with </w:t>
      </w:r>
      <w:r w:rsidR="00946B3E" w:rsidRPr="00EA6C7A">
        <w:rPr>
          <w:rFonts w:ascii="Verdana" w:hAnsi="Verdana" w:cs="Arial"/>
          <w:sz w:val="20"/>
          <w:szCs w:val="20"/>
          <w:u w:val="single"/>
          <w:lang w:val="en-US"/>
        </w:rPr>
        <w:t>regard</w:t>
      </w:r>
      <w:r w:rsidR="00791963" w:rsidRPr="00EA6C7A">
        <w:rPr>
          <w:rFonts w:ascii="Verdana" w:hAnsi="Verdana" w:cs="Arial"/>
          <w:sz w:val="20"/>
          <w:szCs w:val="20"/>
          <w:u w:val="single"/>
          <w:lang w:val="en-US"/>
        </w:rPr>
        <w:t xml:space="preserve"> to</w:t>
      </w:r>
      <w:r w:rsidR="00946B3E" w:rsidRPr="00EA6C7A">
        <w:rPr>
          <w:rFonts w:ascii="Verdana" w:hAnsi="Verdana" w:cs="Arial"/>
          <w:sz w:val="20"/>
          <w:szCs w:val="20"/>
          <w:u w:val="single"/>
          <w:lang w:val="en-US"/>
        </w:rPr>
        <w:t xml:space="preserve"> the problem of violence against women</w:t>
      </w:r>
      <w:r w:rsidR="00946B3E" w:rsidRPr="00EA6C7A">
        <w:rPr>
          <w:rFonts w:ascii="Verdana" w:hAnsi="Verdana" w:cs="Arial"/>
          <w:sz w:val="20"/>
          <w:szCs w:val="20"/>
          <w:lang w:val="en-US"/>
        </w:rPr>
        <w:t>,</w:t>
      </w:r>
      <w:r w:rsidRPr="00EA6C7A">
        <w:rPr>
          <w:rFonts w:ascii="Verdana" w:eastAsia="Calibri" w:hAnsi="Verdana" w:cs="Tahoma"/>
          <w:bCs/>
          <w:color w:val="000000"/>
          <w:sz w:val="20"/>
          <w:szCs w:val="20"/>
          <w:u w:val="single"/>
          <w:shd w:val="clear" w:color="auto" w:fill="FFFFFF"/>
          <w:vertAlign w:val="superscript"/>
          <w:lang w:val="en-US"/>
        </w:rPr>
        <w:footnoteReference w:id="51"/>
      </w:r>
      <w:r w:rsidRPr="00EA6C7A">
        <w:rPr>
          <w:rFonts w:ascii="Verdana" w:eastAsia="Calibri" w:hAnsi="Verdana" w:cs="Tahoma"/>
          <w:bCs/>
          <w:color w:val="000000"/>
          <w:sz w:val="20"/>
          <w:szCs w:val="20"/>
          <w:u w:val="single"/>
          <w:shd w:val="clear" w:color="auto" w:fill="FFFFFF"/>
          <w:lang w:val="en-US"/>
        </w:rPr>
        <w:t xml:space="preserve"> </w:t>
      </w:r>
      <w:r w:rsidR="00946B3E" w:rsidRPr="00EA6C7A">
        <w:rPr>
          <w:rFonts w:ascii="Verdana" w:eastAsia="Calibri" w:hAnsi="Verdana" w:cs="Tahoma"/>
          <w:bCs/>
          <w:color w:val="000000"/>
          <w:sz w:val="20"/>
          <w:szCs w:val="20"/>
          <w:u w:val="single"/>
          <w:shd w:val="clear" w:color="auto" w:fill="FFFFFF"/>
          <w:lang w:val="en-US"/>
        </w:rPr>
        <w:t>considering the analysis of that moment concluded.</w:t>
      </w:r>
    </w:p>
    <w:p w14:paraId="04BA7DD3"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0179BA88"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lastRenderedPageBreak/>
        <w:t xml:space="preserve">26. </w:t>
      </w:r>
      <w:r w:rsidRPr="00EA6C7A">
        <w:rPr>
          <w:rFonts w:ascii="Verdana" w:eastAsia="Calibri" w:hAnsi="Verdana" w:cs="Tahoma"/>
          <w:bCs/>
          <w:color w:val="000000"/>
          <w:sz w:val="20"/>
          <w:szCs w:val="20"/>
          <w:shd w:val="clear" w:color="auto" w:fill="FFFFFF"/>
          <w:lang w:val="en-US"/>
        </w:rPr>
        <w:tab/>
      </w:r>
      <w:r w:rsidR="009939AC" w:rsidRPr="00EA6C7A">
        <w:rPr>
          <w:rFonts w:ascii="Verdana" w:eastAsia="Calibri" w:hAnsi="Verdana" w:cs="Tahoma"/>
          <w:bCs/>
          <w:color w:val="000000"/>
          <w:sz w:val="20"/>
          <w:szCs w:val="20"/>
          <w:shd w:val="clear" w:color="auto" w:fill="FFFFFF"/>
          <w:lang w:val="en-US"/>
        </w:rPr>
        <w:t>With regard to the</w:t>
      </w:r>
      <w:r w:rsidRPr="00EA6C7A">
        <w:rPr>
          <w:rFonts w:ascii="Verdana" w:eastAsia="Calibri" w:hAnsi="Verdana" w:cs="Tahoma"/>
          <w:bCs/>
          <w:color w:val="000000"/>
          <w:sz w:val="20"/>
          <w:szCs w:val="20"/>
          <w:shd w:val="clear" w:color="auto" w:fill="FFFFFF"/>
          <w:lang w:val="en-US"/>
        </w:rPr>
        <w:t xml:space="preserve"> “</w:t>
      </w:r>
      <w:r w:rsidR="00274B18" w:rsidRPr="00EA6C7A">
        <w:rPr>
          <w:rFonts w:ascii="Verdana" w:eastAsia="Calibri" w:hAnsi="Verdana" w:cs="Tahoma"/>
          <w:bCs/>
          <w:color w:val="000000"/>
          <w:sz w:val="20"/>
          <w:szCs w:val="20"/>
          <w:shd w:val="clear" w:color="auto" w:fill="FFFFFF"/>
          <w:lang w:val="en-US"/>
        </w:rPr>
        <w:t>second moment</w:t>
      </w:r>
      <w:r w:rsidRPr="00EA6C7A">
        <w:rPr>
          <w:rFonts w:ascii="Verdana" w:eastAsia="Calibri" w:hAnsi="Verdana" w:cs="Tahoma"/>
          <w:bCs/>
          <w:color w:val="000000"/>
          <w:sz w:val="20"/>
          <w:szCs w:val="20"/>
          <w:shd w:val="clear" w:color="auto" w:fill="FFFFFF"/>
          <w:lang w:val="en-US"/>
        </w:rPr>
        <w:t>” (</w:t>
      </w:r>
      <w:r w:rsidR="009939AC" w:rsidRPr="00EA6C7A">
        <w:rPr>
          <w:rFonts w:ascii="Verdana" w:eastAsia="Calibri" w:hAnsi="Verdana" w:cs="Tahoma"/>
          <w:bCs/>
          <w:color w:val="000000"/>
          <w:sz w:val="20"/>
          <w:szCs w:val="20"/>
          <w:shd w:val="clear" w:color="auto" w:fill="FFFFFF"/>
          <w:lang w:val="en-US"/>
        </w:rPr>
        <w:t xml:space="preserve">the time elapsed between the report and discovery of the body), </w:t>
      </w:r>
      <w:r w:rsidR="0096418F" w:rsidRPr="00EA6C7A">
        <w:rPr>
          <w:rFonts w:ascii="Verdana" w:eastAsia="Calibri" w:hAnsi="Verdana" w:cs="Tahoma"/>
          <w:bCs/>
          <w:color w:val="000000"/>
          <w:sz w:val="20"/>
          <w:szCs w:val="20"/>
          <w:shd w:val="clear" w:color="auto" w:fill="FFFFFF"/>
          <w:lang w:val="en-US"/>
        </w:rPr>
        <w:t xml:space="preserve">the </w:t>
      </w:r>
      <w:r w:rsidR="009939AC" w:rsidRPr="00EA6C7A">
        <w:rPr>
          <w:rFonts w:ascii="Verdana" w:eastAsia="Calibri" w:hAnsi="Verdana" w:cs="Tahoma"/>
          <w:bCs/>
          <w:color w:val="000000"/>
          <w:sz w:val="20"/>
          <w:szCs w:val="20"/>
          <w:shd w:val="clear" w:color="auto" w:fill="FFFFFF"/>
          <w:lang w:val="en-US"/>
        </w:rPr>
        <w:t>Court</w:t>
      </w:r>
      <w:r w:rsidRPr="00EA6C7A">
        <w:rPr>
          <w:rFonts w:ascii="Verdana" w:eastAsia="Calibri" w:hAnsi="Verdana" w:cs="Tahoma"/>
          <w:bCs/>
          <w:color w:val="000000"/>
          <w:sz w:val="20"/>
          <w:szCs w:val="20"/>
          <w:shd w:val="clear" w:color="auto" w:fill="FFFFFF"/>
          <w:lang w:val="en-US"/>
        </w:rPr>
        <w:t xml:space="preserve"> </w:t>
      </w:r>
      <w:r w:rsidR="009939AC" w:rsidRPr="00EA6C7A">
        <w:rPr>
          <w:rFonts w:ascii="Verdana" w:eastAsia="Calibri" w:hAnsi="Verdana" w:cs="Tahoma"/>
          <w:bCs/>
          <w:color w:val="000000"/>
          <w:sz w:val="20"/>
          <w:szCs w:val="20"/>
          <w:shd w:val="clear" w:color="auto" w:fill="FFFFFF"/>
          <w:lang w:val="en-US"/>
        </w:rPr>
        <w:t>sought to elucidate the existence of the State’s international responsibility</w:t>
      </w:r>
      <w:r w:rsidRPr="00EA6C7A">
        <w:rPr>
          <w:rFonts w:ascii="Verdana" w:eastAsia="Calibri" w:hAnsi="Verdana" w:cs="Tahoma"/>
          <w:bCs/>
          <w:color w:val="000000"/>
          <w:sz w:val="20"/>
          <w:szCs w:val="20"/>
          <w:shd w:val="clear" w:color="auto" w:fill="FFFFFF"/>
          <w:lang w:val="en-US"/>
        </w:rPr>
        <w:t xml:space="preserve"> </w:t>
      </w:r>
      <w:r w:rsidR="009939AC" w:rsidRPr="00EA6C7A">
        <w:rPr>
          <w:rFonts w:ascii="Verdana" w:eastAsia="Calibri" w:hAnsi="Verdana" w:cs="Tahoma"/>
          <w:bCs/>
          <w:color w:val="000000"/>
          <w:sz w:val="20"/>
          <w:szCs w:val="20"/>
          <w:shd w:val="clear" w:color="auto" w:fill="FFFFFF"/>
          <w:lang w:val="en-US"/>
        </w:rPr>
        <w:t xml:space="preserve">by, first, evaluating whether </w:t>
      </w:r>
      <w:r w:rsidR="009939AC" w:rsidRPr="00EA6C7A">
        <w:rPr>
          <w:rFonts w:ascii="Verdana" w:hAnsi="Verdana" w:cs="Arial"/>
          <w:sz w:val="20"/>
          <w:szCs w:val="20"/>
          <w:lang w:val="en-US"/>
        </w:rPr>
        <w:t xml:space="preserve">“the State [had been], or should have been, aware of the situation of real and immediate danger of [the victim”; second, “whether, being aware, it had a reasonable possibility of preventing or avoiding the perpetration of the crime” and, third, </w:t>
      </w:r>
      <w:r w:rsidR="003C6A51" w:rsidRPr="00EA6C7A">
        <w:rPr>
          <w:rFonts w:ascii="Verdana" w:hAnsi="Verdana" w:cs="Arial"/>
          <w:sz w:val="20"/>
          <w:szCs w:val="20"/>
          <w:lang w:val="en-US"/>
        </w:rPr>
        <w:t>“</w:t>
      </w:r>
      <w:r w:rsidR="009939AC" w:rsidRPr="00EA6C7A">
        <w:rPr>
          <w:rFonts w:ascii="Verdana" w:hAnsi="Verdana" w:cs="Arial"/>
          <w:sz w:val="20"/>
          <w:szCs w:val="20"/>
          <w:lang w:val="en-US"/>
        </w:rPr>
        <w:t>whether it exercised due diligence with measures or actions to avoid the violation of the rights of this child</w:t>
      </w:r>
      <w:r w:rsidR="003C6A51" w:rsidRPr="00EA6C7A">
        <w:rPr>
          <w:rFonts w:ascii="Verdana" w:hAnsi="Verdana" w:cs="Arial"/>
          <w:sz w:val="20"/>
          <w:szCs w:val="20"/>
          <w:lang w:val="en-US"/>
        </w:rPr>
        <w:t>.</w:t>
      </w:r>
      <w:r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52"/>
      </w:r>
    </w:p>
    <w:p w14:paraId="35F5B3B2"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2DFB87A9"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27. </w:t>
      </w:r>
      <w:r w:rsidRPr="00EA6C7A">
        <w:rPr>
          <w:rFonts w:ascii="Verdana" w:eastAsia="Calibri" w:hAnsi="Verdana" w:cs="Tahoma"/>
          <w:bCs/>
          <w:color w:val="000000"/>
          <w:sz w:val="20"/>
          <w:szCs w:val="20"/>
          <w:shd w:val="clear" w:color="auto" w:fill="FFFFFF"/>
          <w:lang w:val="en-US"/>
        </w:rPr>
        <w:tab/>
      </w:r>
      <w:r w:rsidR="003C6A51" w:rsidRPr="00EA6C7A">
        <w:rPr>
          <w:rFonts w:ascii="Verdana" w:eastAsia="Calibri" w:hAnsi="Verdana" w:cs="Tahoma"/>
          <w:bCs/>
          <w:color w:val="000000"/>
          <w:sz w:val="20"/>
          <w:szCs w:val="20"/>
          <w:shd w:val="clear" w:color="auto" w:fill="FFFFFF"/>
          <w:lang w:val="en-US"/>
        </w:rPr>
        <w:t xml:space="preserve">To this end, the Court divided its analysis into two moments, the first with regard to the </w:t>
      </w:r>
      <w:r w:rsidRPr="00EA6C7A">
        <w:rPr>
          <w:rFonts w:ascii="Verdana" w:eastAsia="Calibri" w:hAnsi="Verdana" w:cs="Tahoma"/>
          <w:bCs/>
          <w:color w:val="000000"/>
          <w:sz w:val="20"/>
          <w:szCs w:val="20"/>
          <w:shd w:val="clear" w:color="auto" w:fill="FFFFFF"/>
          <w:lang w:val="en-US"/>
        </w:rPr>
        <w:t>“[e]xistenc</w:t>
      </w:r>
      <w:r w:rsidR="003C6A51" w:rsidRPr="00EA6C7A">
        <w:rPr>
          <w:rFonts w:ascii="Verdana" w:eastAsia="Calibri" w:hAnsi="Verdana" w:cs="Tahoma"/>
          <w:bCs/>
          <w:color w:val="000000"/>
          <w:sz w:val="20"/>
          <w:szCs w:val="20"/>
          <w:shd w:val="clear" w:color="auto" w:fill="FFFFFF"/>
          <w:lang w:val="en-US"/>
        </w:rPr>
        <w:t>e of a situation of risk for [the victim],</w:t>
      </w:r>
      <w:r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53"/>
      </w:r>
      <w:r w:rsidR="00D948A1" w:rsidRPr="00EA6C7A">
        <w:rPr>
          <w:rFonts w:ascii="Verdana" w:eastAsia="Calibri" w:hAnsi="Verdana" w:cs="Tahoma"/>
          <w:bCs/>
          <w:color w:val="000000"/>
          <w:sz w:val="20"/>
          <w:szCs w:val="20"/>
          <w:shd w:val="clear" w:color="auto" w:fill="FFFFFF"/>
          <w:lang w:val="en-US"/>
        </w:rPr>
        <w:t xml:space="preserve"> and </w:t>
      </w:r>
      <w:r w:rsidR="003C6A51" w:rsidRPr="00EA6C7A">
        <w:rPr>
          <w:rFonts w:ascii="Verdana" w:eastAsia="Calibri" w:hAnsi="Verdana" w:cs="Tahoma"/>
          <w:bCs/>
          <w:color w:val="000000"/>
          <w:sz w:val="20"/>
          <w:szCs w:val="20"/>
          <w:shd w:val="clear" w:color="auto" w:fill="FFFFFF"/>
          <w:lang w:val="en-US"/>
        </w:rPr>
        <w:t xml:space="preserve">the second with regard to the </w:t>
      </w:r>
      <w:r w:rsidRPr="00EA6C7A">
        <w:rPr>
          <w:rFonts w:ascii="Verdana" w:eastAsia="Calibri" w:hAnsi="Verdana" w:cs="Tahoma"/>
          <w:bCs/>
          <w:color w:val="000000"/>
          <w:sz w:val="20"/>
          <w:szCs w:val="20"/>
          <w:shd w:val="clear" w:color="auto" w:fill="FFFFFF"/>
          <w:lang w:val="en-US"/>
        </w:rPr>
        <w:t>“[p]os</w:t>
      </w:r>
      <w:r w:rsidR="003C6A51" w:rsidRPr="00EA6C7A">
        <w:rPr>
          <w:rFonts w:ascii="Verdana" w:eastAsia="Calibri" w:hAnsi="Verdana" w:cs="Tahoma"/>
          <w:bCs/>
          <w:color w:val="000000"/>
          <w:sz w:val="20"/>
          <w:szCs w:val="20"/>
          <w:shd w:val="clear" w:color="auto" w:fill="FFFFFF"/>
          <w:lang w:val="en-US"/>
        </w:rPr>
        <w:t>sbilit</w:t>
      </w:r>
      <w:r w:rsidR="00791963" w:rsidRPr="00EA6C7A">
        <w:rPr>
          <w:rFonts w:ascii="Verdana" w:eastAsia="Calibri" w:hAnsi="Verdana" w:cs="Tahoma"/>
          <w:bCs/>
          <w:color w:val="000000"/>
          <w:sz w:val="20"/>
          <w:szCs w:val="20"/>
          <w:shd w:val="clear" w:color="auto" w:fill="FFFFFF"/>
          <w:lang w:val="en-US"/>
        </w:rPr>
        <w:t>y</w:t>
      </w:r>
      <w:r w:rsidR="003C6A51" w:rsidRPr="00EA6C7A">
        <w:rPr>
          <w:rFonts w:ascii="Verdana" w:eastAsia="Calibri" w:hAnsi="Verdana" w:cs="Tahoma"/>
          <w:bCs/>
          <w:color w:val="000000"/>
          <w:sz w:val="20"/>
          <w:szCs w:val="20"/>
          <w:shd w:val="clear" w:color="auto" w:fill="FFFFFF"/>
          <w:lang w:val="en-US"/>
        </w:rPr>
        <w:t xml:space="preserve"> of diligent action by the State to prevent the risk and its implementation.</w:t>
      </w:r>
      <w:r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54"/>
      </w:r>
      <w:r w:rsidRPr="00EA6C7A">
        <w:rPr>
          <w:rFonts w:ascii="Verdana" w:eastAsia="Calibri" w:hAnsi="Verdana" w:cs="Tahoma"/>
          <w:bCs/>
          <w:color w:val="000000"/>
          <w:sz w:val="20"/>
          <w:szCs w:val="20"/>
          <w:shd w:val="clear" w:color="auto" w:fill="FFFFFF"/>
          <w:lang w:val="en-US"/>
        </w:rPr>
        <w:t xml:space="preserve"> Re</w:t>
      </w:r>
      <w:r w:rsidR="003C6A51" w:rsidRPr="00EA6C7A">
        <w:rPr>
          <w:rFonts w:ascii="Verdana" w:eastAsia="Calibri" w:hAnsi="Verdana" w:cs="Tahoma"/>
          <w:bCs/>
          <w:color w:val="000000"/>
          <w:sz w:val="20"/>
          <w:szCs w:val="20"/>
          <w:shd w:val="clear" w:color="auto" w:fill="FFFFFF"/>
          <w:lang w:val="en-US"/>
        </w:rPr>
        <w:t>garding  the first moment, the Court determined that</w:t>
      </w:r>
      <w:r w:rsidR="00791963" w:rsidRPr="00EA6C7A">
        <w:rPr>
          <w:rFonts w:ascii="Verdana" w:eastAsia="Calibri" w:hAnsi="Verdana" w:cs="Tahoma"/>
          <w:bCs/>
          <w:color w:val="000000"/>
          <w:sz w:val="20"/>
          <w:szCs w:val="20"/>
          <w:shd w:val="clear" w:color="auto" w:fill="FFFFFF"/>
          <w:lang w:val="en-US"/>
        </w:rPr>
        <w:t>,</w:t>
      </w:r>
      <w:r w:rsidR="003C6A51" w:rsidRPr="00EA6C7A">
        <w:rPr>
          <w:rFonts w:ascii="Verdana" w:eastAsia="Calibri" w:hAnsi="Verdana" w:cs="Tahoma"/>
          <w:bCs/>
          <w:color w:val="000000"/>
          <w:sz w:val="20"/>
          <w:szCs w:val="20"/>
          <w:shd w:val="clear" w:color="auto" w:fill="FFFFFF"/>
          <w:lang w:val="en-US"/>
        </w:rPr>
        <w:t xml:space="preserve"> following the report made by the victim’s mother, the State was aware of the dangerous situation of </w:t>
      </w:r>
      <w:r w:rsidR="00877888" w:rsidRPr="00EA6C7A">
        <w:rPr>
          <w:rFonts w:ascii="Verdana" w:eastAsia="Calibri" w:hAnsi="Verdana" w:cs="Tahoma"/>
          <w:bCs/>
          <w:color w:val="000000"/>
          <w:sz w:val="20"/>
          <w:szCs w:val="20"/>
          <w:shd w:val="clear" w:color="auto" w:fill="FFFFFF"/>
          <w:lang w:val="en-US"/>
        </w:rPr>
        <w:t>the victim</w:t>
      </w:r>
      <w:r w:rsidR="003C6A51" w:rsidRPr="00EA6C7A">
        <w:rPr>
          <w:rFonts w:ascii="Verdana" w:eastAsia="Calibri" w:hAnsi="Verdana" w:cs="Tahoma"/>
          <w:bCs/>
          <w:color w:val="000000"/>
          <w:sz w:val="20"/>
          <w:szCs w:val="20"/>
          <w:shd w:val="clear" w:color="auto" w:fill="FFFFFF"/>
          <w:lang w:val="en-US"/>
        </w:rPr>
        <w:t xml:space="preserve"> given the context</w:t>
      </w:r>
      <w:r w:rsidR="00877888" w:rsidRPr="00EA6C7A">
        <w:rPr>
          <w:rFonts w:ascii="Verdana" w:eastAsia="Calibri" w:hAnsi="Verdana" w:cs="Tahoma"/>
          <w:bCs/>
          <w:color w:val="000000"/>
          <w:sz w:val="20"/>
          <w:szCs w:val="20"/>
          <w:shd w:val="clear" w:color="auto" w:fill="FFFFFF"/>
          <w:lang w:val="en-US"/>
        </w:rPr>
        <w:t xml:space="preserve"> </w:t>
      </w:r>
      <w:r w:rsidR="00FC7D3B" w:rsidRPr="00EA6C7A">
        <w:rPr>
          <w:rFonts w:ascii="Verdana" w:eastAsia="Calibri" w:hAnsi="Verdana" w:cs="Tahoma"/>
          <w:bCs/>
          <w:color w:val="000000"/>
          <w:sz w:val="20"/>
          <w:szCs w:val="20"/>
          <w:shd w:val="clear" w:color="auto" w:fill="FFFFFF"/>
          <w:lang w:val="en-US"/>
        </w:rPr>
        <w:t>in Guatemala</w:t>
      </w:r>
      <w:r w:rsidRPr="00EA6C7A">
        <w:rPr>
          <w:rFonts w:ascii="Verdana" w:eastAsia="Calibri" w:hAnsi="Verdana" w:cs="Tahoma"/>
          <w:bCs/>
          <w:color w:val="000000"/>
          <w:sz w:val="20"/>
          <w:szCs w:val="20"/>
          <w:shd w:val="clear" w:color="auto" w:fill="FFFFFF"/>
          <w:vertAlign w:val="superscript"/>
          <w:lang w:val="en-US"/>
        </w:rPr>
        <w:footnoteReference w:id="55"/>
      </w:r>
      <w:r w:rsidR="00D948A1" w:rsidRPr="00EA6C7A">
        <w:rPr>
          <w:rFonts w:ascii="Verdana" w:eastAsia="Calibri" w:hAnsi="Verdana" w:cs="Tahoma"/>
          <w:bCs/>
          <w:color w:val="000000"/>
          <w:sz w:val="20"/>
          <w:szCs w:val="20"/>
          <w:shd w:val="clear" w:color="auto" w:fill="FFFFFF"/>
          <w:lang w:val="en-US"/>
        </w:rPr>
        <w:t xml:space="preserve"> and</w:t>
      </w:r>
      <w:r w:rsidR="00877888" w:rsidRPr="00EA6C7A">
        <w:rPr>
          <w:rFonts w:ascii="Verdana" w:eastAsia="Calibri" w:hAnsi="Verdana" w:cs="Tahoma"/>
          <w:bCs/>
          <w:color w:val="000000"/>
          <w:sz w:val="20"/>
          <w:szCs w:val="20"/>
          <w:shd w:val="clear" w:color="auto" w:fill="FFFFFF"/>
          <w:lang w:val="en-US"/>
        </w:rPr>
        <w:t>, regarding the second moment, that</w:t>
      </w:r>
      <w:r w:rsidR="00791963" w:rsidRPr="00EA6C7A">
        <w:rPr>
          <w:rFonts w:ascii="Verdana" w:eastAsia="Calibri" w:hAnsi="Verdana" w:cs="Tahoma"/>
          <w:bCs/>
          <w:color w:val="000000"/>
          <w:sz w:val="20"/>
          <w:szCs w:val="20"/>
          <w:shd w:val="clear" w:color="auto" w:fill="FFFFFF"/>
          <w:lang w:val="en-US"/>
        </w:rPr>
        <w:t>,</w:t>
      </w:r>
      <w:r w:rsidR="00877888" w:rsidRPr="00EA6C7A">
        <w:rPr>
          <w:rFonts w:ascii="Verdana" w:eastAsia="Calibri" w:hAnsi="Verdana" w:cs="Tahoma"/>
          <w:bCs/>
          <w:color w:val="000000"/>
          <w:sz w:val="20"/>
          <w:szCs w:val="20"/>
          <w:shd w:val="clear" w:color="auto" w:fill="FFFFFF"/>
          <w:lang w:val="en-US"/>
        </w:rPr>
        <w:t xml:space="preserve"> despite being aware of the </w:t>
      </w:r>
      <w:r w:rsidR="008A04F5" w:rsidRPr="00EA6C7A">
        <w:rPr>
          <w:rFonts w:ascii="Verdana" w:eastAsia="Calibri" w:hAnsi="Verdana" w:cs="Tahoma"/>
          <w:bCs/>
          <w:color w:val="000000"/>
          <w:sz w:val="20"/>
          <w:szCs w:val="20"/>
          <w:shd w:val="clear" w:color="auto" w:fill="FFFFFF"/>
          <w:lang w:val="en-US"/>
        </w:rPr>
        <w:t>missing person report</w:t>
      </w:r>
      <w:r w:rsidR="00877888" w:rsidRPr="00EA6C7A">
        <w:rPr>
          <w:rFonts w:ascii="Verdana" w:eastAsia="Calibri" w:hAnsi="Verdana" w:cs="Tahoma"/>
          <w:bCs/>
          <w:color w:val="000000"/>
          <w:sz w:val="20"/>
          <w:szCs w:val="20"/>
          <w:shd w:val="clear" w:color="auto" w:fill="FFFFFF"/>
          <w:lang w:val="en-US"/>
        </w:rPr>
        <w:t>, the State</w:t>
      </w:r>
      <w:r w:rsidR="00D948A1" w:rsidRPr="00EA6C7A">
        <w:rPr>
          <w:rFonts w:ascii="Verdana" w:eastAsia="Calibri" w:hAnsi="Verdana" w:cs="Tahoma"/>
          <w:bCs/>
          <w:color w:val="000000"/>
          <w:sz w:val="20"/>
          <w:szCs w:val="20"/>
          <w:shd w:val="clear" w:color="auto" w:fill="FFFFFF"/>
          <w:lang w:val="en-US"/>
        </w:rPr>
        <w:t xml:space="preserve"> </w:t>
      </w:r>
      <w:r w:rsidR="00877888" w:rsidRPr="00EA6C7A">
        <w:rPr>
          <w:rFonts w:ascii="Verdana" w:eastAsia="Calibri" w:hAnsi="Verdana" w:cs="Tahoma"/>
          <w:bCs/>
          <w:color w:val="000000"/>
          <w:sz w:val="20"/>
          <w:szCs w:val="20"/>
          <w:shd w:val="clear" w:color="auto" w:fill="FFFFFF"/>
          <w:lang w:val="en-US"/>
        </w:rPr>
        <w:t>had not taken any substantive action to investigate what had happened or to avoid possible violations of the victim’s rights.</w:t>
      </w:r>
      <w:r w:rsidRPr="00EA6C7A">
        <w:rPr>
          <w:rFonts w:ascii="Verdana" w:eastAsia="Calibri" w:hAnsi="Verdana" w:cs="Tahoma"/>
          <w:bCs/>
          <w:color w:val="000000"/>
          <w:sz w:val="20"/>
          <w:szCs w:val="20"/>
          <w:shd w:val="clear" w:color="auto" w:fill="FFFFFF"/>
          <w:vertAlign w:val="superscript"/>
          <w:lang w:val="en-US"/>
        </w:rPr>
        <w:footnoteReference w:id="56"/>
      </w:r>
    </w:p>
    <w:p w14:paraId="25903517"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28516CE7"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28. </w:t>
      </w:r>
      <w:r w:rsidRPr="00EA6C7A">
        <w:rPr>
          <w:rFonts w:ascii="Verdana" w:eastAsia="Calibri" w:hAnsi="Verdana" w:cs="Tahoma"/>
          <w:bCs/>
          <w:color w:val="000000"/>
          <w:sz w:val="20"/>
          <w:szCs w:val="20"/>
          <w:shd w:val="clear" w:color="auto" w:fill="FFFFFF"/>
          <w:lang w:val="en-US"/>
        </w:rPr>
        <w:tab/>
      </w:r>
      <w:r w:rsidR="00CD5831" w:rsidRPr="00EA6C7A">
        <w:rPr>
          <w:rFonts w:ascii="Verdana" w:eastAsia="Calibri" w:hAnsi="Verdana" w:cs="Tahoma"/>
          <w:bCs/>
          <w:color w:val="000000"/>
          <w:sz w:val="20"/>
          <w:szCs w:val="20"/>
          <w:shd w:val="clear" w:color="auto" w:fill="FFFFFF"/>
          <w:lang w:val="en-US"/>
        </w:rPr>
        <w:t>Accordingly, the Court concluded that Guatemala had incurred State responsibility because it had failed to comply with its obligation to ensure</w:t>
      </w:r>
      <w:r w:rsidR="00123BD3" w:rsidRPr="00EA6C7A">
        <w:rPr>
          <w:rFonts w:ascii="Verdana" w:eastAsia="Calibri" w:hAnsi="Verdana" w:cs="Tahoma"/>
          <w:bCs/>
          <w:color w:val="000000"/>
          <w:sz w:val="20"/>
          <w:szCs w:val="20"/>
          <w:shd w:val="clear" w:color="auto" w:fill="FFFFFF"/>
          <w:lang w:val="en-US"/>
        </w:rPr>
        <w:t xml:space="preserve"> the </w:t>
      </w:r>
      <w:r w:rsidR="00F53A64" w:rsidRPr="00EA6C7A">
        <w:rPr>
          <w:rFonts w:ascii="Verdana" w:eastAsia="Calibri" w:hAnsi="Verdana" w:cs="Tahoma"/>
          <w:bCs/>
          <w:color w:val="000000"/>
          <w:sz w:val="20"/>
          <w:szCs w:val="20"/>
          <w:shd w:val="clear" w:color="auto" w:fill="FFFFFF"/>
          <w:lang w:val="en-US"/>
        </w:rPr>
        <w:t>rights to life</w:t>
      </w:r>
      <w:r w:rsidRPr="00EA6C7A">
        <w:rPr>
          <w:rFonts w:ascii="Verdana" w:eastAsia="Calibri" w:hAnsi="Verdana" w:cs="Tahoma"/>
          <w:bCs/>
          <w:color w:val="000000"/>
          <w:sz w:val="20"/>
          <w:szCs w:val="20"/>
          <w:shd w:val="clear" w:color="auto" w:fill="FFFFFF"/>
          <w:lang w:val="en-US"/>
        </w:rPr>
        <w:t xml:space="preserve"> </w:t>
      </w:r>
      <w:r w:rsidR="004C1E19" w:rsidRPr="00EA6C7A">
        <w:rPr>
          <w:rFonts w:ascii="Verdana" w:eastAsia="Calibri" w:hAnsi="Verdana" w:cs="Tahoma"/>
          <w:bCs/>
          <w:color w:val="000000"/>
          <w:sz w:val="20"/>
          <w:szCs w:val="20"/>
          <w:shd w:val="clear" w:color="auto" w:fill="FFFFFF"/>
          <w:lang w:val="en-US"/>
        </w:rPr>
        <w:t>and personal</w:t>
      </w:r>
      <w:r w:rsidR="00515C34" w:rsidRPr="00EA6C7A">
        <w:rPr>
          <w:rFonts w:ascii="Verdana" w:eastAsia="Calibri" w:hAnsi="Verdana" w:cs="Tahoma"/>
          <w:bCs/>
          <w:color w:val="000000"/>
          <w:sz w:val="20"/>
          <w:szCs w:val="20"/>
          <w:shd w:val="clear" w:color="auto" w:fill="FFFFFF"/>
          <w:lang w:val="en-US"/>
        </w:rPr>
        <w:t xml:space="preserve"> integrity</w:t>
      </w:r>
      <w:r w:rsidRPr="00EA6C7A">
        <w:rPr>
          <w:rFonts w:ascii="Verdana" w:eastAsia="Calibri" w:hAnsi="Verdana" w:cs="Tahoma"/>
          <w:bCs/>
          <w:color w:val="000000"/>
          <w:sz w:val="20"/>
          <w:szCs w:val="20"/>
          <w:shd w:val="clear" w:color="auto" w:fill="FFFFFF"/>
          <w:lang w:val="en-US"/>
        </w:rPr>
        <w:t xml:space="preserve"> </w:t>
      </w:r>
      <w:r w:rsidR="0005349C" w:rsidRPr="00EA6C7A">
        <w:rPr>
          <w:rFonts w:ascii="Verdana" w:eastAsia="Calibri" w:hAnsi="Verdana" w:cs="Tahoma"/>
          <w:bCs/>
          <w:color w:val="000000"/>
          <w:sz w:val="20"/>
          <w:szCs w:val="20"/>
          <w:shd w:val="clear" w:color="auto" w:fill="FFFFFF"/>
          <w:lang w:val="en-US"/>
        </w:rPr>
        <w:t>recognized in</w:t>
      </w:r>
      <w:r w:rsidRPr="00EA6C7A">
        <w:rPr>
          <w:rFonts w:ascii="Verdana" w:eastAsia="Calibri" w:hAnsi="Verdana" w:cs="Tahoma"/>
          <w:bCs/>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Articles</w:t>
      </w:r>
      <w:r w:rsidR="0092568A" w:rsidRPr="00EA6C7A">
        <w:rPr>
          <w:rFonts w:ascii="Verdana" w:eastAsia="Calibri" w:hAnsi="Verdana" w:cs="Tahoma"/>
          <w:bCs/>
          <w:color w:val="000000"/>
          <w:sz w:val="20"/>
          <w:szCs w:val="20"/>
          <w:shd w:val="clear" w:color="auto" w:fill="FFFFFF"/>
          <w:lang w:val="en-US"/>
        </w:rPr>
        <w:t xml:space="preserve"> 4(1)</w:t>
      </w:r>
      <w:r w:rsidR="00D948A1" w:rsidRPr="00EA6C7A">
        <w:rPr>
          <w:rFonts w:ascii="Verdana" w:eastAsia="Calibri" w:hAnsi="Verdana" w:cs="Tahoma"/>
          <w:bCs/>
          <w:color w:val="000000"/>
          <w:sz w:val="20"/>
          <w:szCs w:val="20"/>
          <w:shd w:val="clear" w:color="auto" w:fill="FFFFFF"/>
          <w:lang w:val="en-US"/>
        </w:rPr>
        <w:t xml:space="preserve"> and</w:t>
      </w:r>
      <w:r w:rsidR="00F53A64" w:rsidRPr="00EA6C7A">
        <w:rPr>
          <w:rFonts w:ascii="Verdana" w:eastAsia="Calibri" w:hAnsi="Verdana" w:cs="Tahoma"/>
          <w:bCs/>
          <w:color w:val="000000"/>
          <w:sz w:val="20"/>
          <w:szCs w:val="20"/>
          <w:shd w:val="clear" w:color="auto" w:fill="FFFFFF"/>
          <w:lang w:val="en-US"/>
        </w:rPr>
        <w:t xml:space="preserve"> 5(1) </w:t>
      </w:r>
      <w:r w:rsidR="0096418F" w:rsidRPr="00EA6C7A">
        <w:rPr>
          <w:rFonts w:ascii="Verdana" w:eastAsia="Calibri" w:hAnsi="Verdana" w:cs="Tahoma"/>
          <w:bCs/>
          <w:color w:val="000000"/>
          <w:sz w:val="20"/>
          <w:szCs w:val="20"/>
          <w:shd w:val="clear" w:color="auto" w:fill="FFFFFF"/>
          <w:lang w:val="en-US"/>
        </w:rPr>
        <w:t>of the American Convention</w:t>
      </w:r>
      <w:r w:rsidRPr="00EA6C7A">
        <w:rPr>
          <w:rFonts w:ascii="Verdana" w:eastAsia="Calibri" w:hAnsi="Verdana" w:cs="Tahoma"/>
          <w:bCs/>
          <w:color w:val="000000"/>
          <w:sz w:val="20"/>
          <w:szCs w:val="20"/>
          <w:shd w:val="clear" w:color="auto" w:fill="FFFFFF"/>
          <w:lang w:val="en-US"/>
        </w:rPr>
        <w:t xml:space="preserve">, </w:t>
      </w:r>
      <w:r w:rsidR="002B325A" w:rsidRPr="00EA6C7A">
        <w:rPr>
          <w:rFonts w:ascii="Verdana" w:eastAsia="Calibri" w:hAnsi="Verdana" w:cs="Tahoma"/>
          <w:bCs/>
          <w:color w:val="000000"/>
          <w:sz w:val="20"/>
          <w:szCs w:val="20"/>
          <w:shd w:val="clear" w:color="auto" w:fill="FFFFFF"/>
          <w:lang w:val="en-US"/>
        </w:rPr>
        <w:t>in relation to Article</w:t>
      </w:r>
      <w:r w:rsidRPr="00EA6C7A">
        <w:rPr>
          <w:rFonts w:ascii="Verdana" w:eastAsia="Calibri" w:hAnsi="Verdana" w:cs="Tahoma"/>
          <w:bCs/>
          <w:color w:val="000000"/>
          <w:sz w:val="20"/>
          <w:szCs w:val="20"/>
          <w:shd w:val="clear" w:color="auto" w:fill="FFFFFF"/>
          <w:lang w:val="en-US"/>
        </w:rPr>
        <w:t xml:space="preserve"> 19 (</w:t>
      </w:r>
      <w:r w:rsidR="00CD5831" w:rsidRPr="00EA6C7A">
        <w:rPr>
          <w:rFonts w:ascii="Verdana" w:eastAsia="Calibri" w:hAnsi="Verdana" w:cs="Tahoma"/>
          <w:bCs/>
          <w:color w:val="000000"/>
          <w:sz w:val="20"/>
          <w:szCs w:val="20"/>
          <w:shd w:val="clear" w:color="auto" w:fill="FFFFFF"/>
          <w:lang w:val="en-US"/>
        </w:rPr>
        <w:t>Rights of the Child</w:t>
      </w:r>
      <w:r w:rsidRPr="00EA6C7A">
        <w:rPr>
          <w:rFonts w:ascii="Verdana" w:eastAsia="Calibri" w:hAnsi="Verdana" w:cs="Tahoma"/>
          <w:bCs/>
          <w:color w:val="000000"/>
          <w:sz w:val="20"/>
          <w:szCs w:val="20"/>
          <w:shd w:val="clear" w:color="auto" w:fill="FFFFFF"/>
          <w:lang w:val="en-US"/>
        </w:rPr>
        <w:t>)</w:t>
      </w:r>
      <w:r w:rsidR="00D948A1" w:rsidRPr="00EA6C7A">
        <w:rPr>
          <w:rFonts w:ascii="Verdana" w:eastAsia="Calibri" w:hAnsi="Verdana" w:cs="Tahoma"/>
          <w:bCs/>
          <w:color w:val="000000"/>
          <w:sz w:val="20"/>
          <w:szCs w:val="20"/>
          <w:shd w:val="clear" w:color="auto" w:fill="FFFFFF"/>
          <w:lang w:val="en-US"/>
        </w:rPr>
        <w:t xml:space="preserve"> and</w:t>
      </w:r>
      <w:r w:rsidR="00715B6F" w:rsidRPr="00EA6C7A">
        <w:rPr>
          <w:rFonts w:ascii="Verdana" w:eastAsia="Calibri" w:hAnsi="Verdana" w:cs="Tahoma"/>
          <w:bCs/>
          <w:color w:val="000000"/>
          <w:sz w:val="20"/>
          <w:szCs w:val="20"/>
          <w:shd w:val="clear" w:color="auto" w:fill="FFFFFF"/>
          <w:lang w:val="en-US"/>
        </w:rPr>
        <w:t xml:space="preserve"> 1(1) </w:t>
      </w:r>
      <w:r w:rsidR="00CD5831" w:rsidRPr="00EA6C7A">
        <w:rPr>
          <w:rFonts w:ascii="Verdana" w:eastAsia="Calibri" w:hAnsi="Verdana" w:cs="Tahoma"/>
          <w:bCs/>
          <w:color w:val="000000"/>
          <w:sz w:val="20"/>
          <w:szCs w:val="20"/>
          <w:shd w:val="clear" w:color="auto" w:fill="FFFFFF"/>
          <w:lang w:val="en-US"/>
        </w:rPr>
        <w:t xml:space="preserve">of this instrument, as well as its obligations under </w:t>
      </w:r>
      <w:r w:rsidR="001914FC" w:rsidRPr="00EA6C7A">
        <w:rPr>
          <w:rFonts w:ascii="Verdana" w:eastAsia="Calibri" w:hAnsi="Verdana" w:cs="Tahoma"/>
          <w:bCs/>
          <w:color w:val="000000"/>
          <w:sz w:val="20"/>
          <w:szCs w:val="20"/>
          <w:shd w:val="clear" w:color="auto" w:fill="FFFFFF"/>
          <w:lang w:val="en-US"/>
        </w:rPr>
        <w:t>Article</w:t>
      </w:r>
      <w:r w:rsidRPr="00EA6C7A">
        <w:rPr>
          <w:rFonts w:ascii="Verdana" w:eastAsia="Calibri" w:hAnsi="Verdana" w:cs="Tahoma"/>
          <w:bCs/>
          <w:color w:val="000000"/>
          <w:sz w:val="20"/>
          <w:szCs w:val="20"/>
          <w:shd w:val="clear" w:color="auto" w:fill="FFFFFF"/>
          <w:lang w:val="en-US"/>
        </w:rPr>
        <w:t xml:space="preserve"> </w:t>
      </w:r>
      <w:r w:rsidR="005F2D0A" w:rsidRPr="00EA6C7A">
        <w:rPr>
          <w:rFonts w:ascii="Verdana" w:eastAsia="Calibri" w:hAnsi="Verdana" w:cs="Tahoma"/>
          <w:bCs/>
          <w:color w:val="000000"/>
          <w:sz w:val="20"/>
          <w:szCs w:val="20"/>
          <w:shd w:val="clear" w:color="auto" w:fill="FFFFFF"/>
          <w:lang w:val="en-US"/>
        </w:rPr>
        <w:t>7(b)</w:t>
      </w:r>
      <w:r w:rsidR="00D5307F" w:rsidRPr="00EA6C7A">
        <w:rPr>
          <w:rFonts w:ascii="Verdana" w:eastAsia="Calibri" w:hAnsi="Verdana" w:cs="Tahoma"/>
          <w:bCs/>
          <w:color w:val="000000"/>
          <w:sz w:val="20"/>
          <w:szCs w:val="20"/>
          <w:shd w:val="clear" w:color="auto" w:fill="FFFFFF"/>
          <w:lang w:val="en-US"/>
        </w:rPr>
        <w:t xml:space="preserve"> of the </w:t>
      </w:r>
      <w:r w:rsidRPr="00EA6C7A">
        <w:rPr>
          <w:rFonts w:ascii="Verdana" w:eastAsia="Calibri" w:hAnsi="Verdana" w:cs="Tahoma"/>
          <w:bCs/>
          <w:color w:val="000000"/>
          <w:sz w:val="20"/>
          <w:szCs w:val="20"/>
          <w:shd w:val="clear" w:color="auto" w:fill="FFFFFF"/>
          <w:lang w:val="en-US"/>
        </w:rPr>
        <w:t>“</w:t>
      </w:r>
      <w:r w:rsidR="00F912BD" w:rsidRPr="00EA6C7A">
        <w:rPr>
          <w:rFonts w:ascii="Verdana" w:eastAsia="Calibri" w:hAnsi="Verdana" w:cs="Tahoma"/>
          <w:bCs/>
          <w:color w:val="000000"/>
          <w:sz w:val="20"/>
          <w:szCs w:val="20"/>
          <w:shd w:val="clear" w:color="auto" w:fill="FFFFFF"/>
          <w:lang w:val="en-US"/>
        </w:rPr>
        <w:t>Convention of</w:t>
      </w:r>
      <w:r w:rsidRPr="00EA6C7A">
        <w:rPr>
          <w:rFonts w:ascii="Verdana" w:eastAsia="Calibri" w:hAnsi="Verdana" w:cs="Tahoma"/>
          <w:bCs/>
          <w:color w:val="000000"/>
          <w:sz w:val="20"/>
          <w:szCs w:val="20"/>
          <w:shd w:val="clear" w:color="auto" w:fill="FFFFFF"/>
          <w:lang w:val="en-US"/>
        </w:rPr>
        <w:t xml:space="preserve"> Belém do Pará</w:t>
      </w:r>
      <w:r w:rsidR="00CD5831"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57"/>
      </w:r>
    </w:p>
    <w:p w14:paraId="56CBA093"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5CDC0C41"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29. </w:t>
      </w:r>
      <w:r w:rsidRPr="00EA6C7A">
        <w:rPr>
          <w:rFonts w:ascii="Verdana" w:eastAsia="Calibri" w:hAnsi="Verdana" w:cs="Tahoma"/>
          <w:bCs/>
          <w:color w:val="000000"/>
          <w:sz w:val="20"/>
          <w:szCs w:val="20"/>
          <w:shd w:val="clear" w:color="auto" w:fill="FFFFFF"/>
          <w:lang w:val="en-US"/>
        </w:rPr>
        <w:tab/>
      </w:r>
      <w:r w:rsidR="00CD5831" w:rsidRPr="00EA6C7A">
        <w:rPr>
          <w:rFonts w:ascii="Verdana" w:eastAsia="Calibri" w:hAnsi="Verdana" w:cs="Tahoma"/>
          <w:bCs/>
          <w:color w:val="000000"/>
          <w:sz w:val="20"/>
          <w:szCs w:val="20"/>
          <w:shd w:val="clear" w:color="auto" w:fill="FFFFFF"/>
          <w:lang w:val="en-US"/>
        </w:rPr>
        <w:t xml:space="preserve">As can be observed in the two cases examined, in its case law, the Court has established State responsibility as a result of the analysis of the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second moment</w:t>
      </w:r>
      <w:r w:rsidRPr="00EA6C7A">
        <w:rPr>
          <w:rFonts w:ascii="Verdana" w:eastAsia="Calibri" w:hAnsi="Verdana" w:cs="Tahoma"/>
          <w:bCs/>
          <w:color w:val="000000"/>
          <w:sz w:val="20"/>
          <w:szCs w:val="20"/>
          <w:shd w:val="clear" w:color="auto" w:fill="FFFFFF"/>
          <w:lang w:val="en-US"/>
        </w:rPr>
        <w:t xml:space="preserve">” </w:t>
      </w:r>
      <w:r w:rsidR="00CD5831" w:rsidRPr="00EA6C7A">
        <w:rPr>
          <w:rFonts w:ascii="Verdana" w:eastAsia="Calibri" w:hAnsi="Verdana" w:cs="Tahoma"/>
          <w:bCs/>
          <w:color w:val="000000"/>
          <w:sz w:val="20"/>
          <w:szCs w:val="20"/>
          <w:shd w:val="clear" w:color="auto" w:fill="FFFFFF"/>
          <w:lang w:val="en-US"/>
        </w:rPr>
        <w:t>of the obligation of prevention, where it has examined the State’s awareness of the dangerous situation, as well as the actions and measures taken based on its obligation to act with diligence in the specific case.</w:t>
      </w:r>
    </w:p>
    <w:p w14:paraId="00CF0630"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212D1A7C" w14:textId="77777777" w:rsidR="00175ABB" w:rsidRPr="00EA6C7A" w:rsidRDefault="00175ABB" w:rsidP="00CF36C3">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30. </w:t>
      </w:r>
      <w:r w:rsidRPr="00EA6C7A">
        <w:rPr>
          <w:rFonts w:ascii="Verdana" w:eastAsia="Calibri" w:hAnsi="Verdana" w:cs="Tahoma"/>
          <w:bCs/>
          <w:color w:val="000000"/>
          <w:sz w:val="20"/>
          <w:szCs w:val="20"/>
          <w:shd w:val="clear" w:color="auto" w:fill="FFFFFF"/>
          <w:lang w:val="en-US"/>
        </w:rPr>
        <w:tab/>
      </w:r>
      <w:r w:rsidR="00CD5831" w:rsidRPr="00EA6C7A">
        <w:rPr>
          <w:rFonts w:ascii="Verdana" w:eastAsia="Calibri" w:hAnsi="Verdana" w:cs="Tahoma"/>
          <w:bCs/>
          <w:color w:val="000000"/>
          <w:sz w:val="20"/>
          <w:szCs w:val="20"/>
          <w:shd w:val="clear" w:color="auto" w:fill="FFFFFF"/>
          <w:lang w:val="en-US"/>
        </w:rPr>
        <w:t xml:space="preserve">However, it may be noted that, when analyzing the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first moment</w:t>
      </w:r>
      <w:r w:rsidRPr="00EA6C7A">
        <w:rPr>
          <w:rFonts w:ascii="Verdana" w:eastAsia="Calibri" w:hAnsi="Verdana" w:cs="Tahoma"/>
          <w:bCs/>
          <w:color w:val="000000"/>
          <w:sz w:val="20"/>
          <w:szCs w:val="20"/>
          <w:shd w:val="clear" w:color="auto" w:fill="FFFFFF"/>
          <w:lang w:val="en-US"/>
        </w:rPr>
        <w:t>” —</w:t>
      </w:r>
      <w:r w:rsidR="00CD5831" w:rsidRPr="00EA6C7A">
        <w:rPr>
          <w:rFonts w:ascii="Verdana" w:eastAsia="Calibri" w:hAnsi="Verdana" w:cs="Tahoma"/>
          <w:bCs/>
          <w:color w:val="000000"/>
          <w:sz w:val="20"/>
          <w:szCs w:val="20"/>
          <w:shd w:val="clear" w:color="auto" w:fill="FFFFFF"/>
          <w:lang w:val="en-US"/>
        </w:rPr>
        <w:t xml:space="preserve"> which I am intending to emphasize in this opinion – it has opted to rule that, despite the context of violence against women, the lack of prevention did not </w:t>
      </w:r>
      <w:r w:rsidR="00CD5831" w:rsidRPr="00EA6C7A">
        <w:rPr>
          <w:rFonts w:ascii="Verdana" w:eastAsia="Calibri" w:hAnsi="Verdana" w:cs="Tahoma"/>
          <w:bCs/>
          <w:i/>
          <w:iCs/>
          <w:color w:val="000000"/>
          <w:sz w:val="20"/>
          <w:szCs w:val="20"/>
          <w:shd w:val="clear" w:color="auto" w:fill="FFFFFF"/>
          <w:lang w:val="en-US"/>
        </w:rPr>
        <w:t>per se</w:t>
      </w:r>
      <w:r w:rsidR="00CD5831" w:rsidRPr="00EA6C7A">
        <w:rPr>
          <w:rFonts w:ascii="Verdana" w:eastAsia="Calibri" w:hAnsi="Verdana" w:cs="Tahoma"/>
          <w:bCs/>
          <w:color w:val="000000"/>
          <w:sz w:val="20"/>
          <w:szCs w:val="20"/>
          <w:shd w:val="clear" w:color="auto" w:fill="FFFFFF"/>
          <w:lang w:val="en-US"/>
        </w:rPr>
        <w:t xml:space="preserve"> </w:t>
      </w:r>
      <w:r w:rsidR="00CF36C3" w:rsidRPr="00EA6C7A">
        <w:rPr>
          <w:rFonts w:ascii="Verdana" w:eastAsia="Calibri" w:hAnsi="Verdana" w:cs="Tahoma"/>
          <w:bCs/>
          <w:color w:val="000000"/>
          <w:sz w:val="20"/>
          <w:szCs w:val="20"/>
          <w:shd w:val="clear" w:color="auto" w:fill="FFFFFF"/>
          <w:lang w:val="en-US"/>
        </w:rPr>
        <w:t>result in the</w:t>
      </w:r>
      <w:r w:rsidR="00791963" w:rsidRPr="00EA6C7A">
        <w:rPr>
          <w:rFonts w:ascii="Verdana" w:eastAsia="Calibri" w:hAnsi="Verdana" w:cs="Tahoma"/>
          <w:bCs/>
          <w:color w:val="000000"/>
          <w:sz w:val="20"/>
          <w:szCs w:val="20"/>
          <w:shd w:val="clear" w:color="auto" w:fill="FFFFFF"/>
          <w:lang w:val="en-US"/>
        </w:rPr>
        <w:t xml:space="preserve"> State’s</w:t>
      </w:r>
      <w:r w:rsidR="00CF36C3" w:rsidRPr="00EA6C7A">
        <w:rPr>
          <w:rFonts w:ascii="Verdana" w:eastAsia="Calibri" w:hAnsi="Verdana" w:cs="Tahoma"/>
          <w:bCs/>
          <w:color w:val="000000"/>
          <w:sz w:val="20"/>
          <w:szCs w:val="20"/>
          <w:shd w:val="clear" w:color="auto" w:fill="FFFFFF"/>
          <w:lang w:val="en-US"/>
        </w:rPr>
        <w:t xml:space="preserve"> international responsibility, </w:t>
      </w:r>
      <w:r w:rsidR="00791963" w:rsidRPr="00EA6C7A">
        <w:rPr>
          <w:rFonts w:ascii="Verdana" w:eastAsia="Calibri" w:hAnsi="Verdana" w:cs="Tahoma"/>
          <w:bCs/>
          <w:color w:val="000000"/>
          <w:sz w:val="20"/>
          <w:szCs w:val="20"/>
          <w:shd w:val="clear" w:color="auto" w:fill="FFFFFF"/>
          <w:lang w:val="en-US"/>
        </w:rPr>
        <w:t>since the</w:t>
      </w:r>
      <w:r w:rsidR="00CF36C3" w:rsidRPr="00EA6C7A">
        <w:rPr>
          <w:rFonts w:ascii="Verdana" w:eastAsia="Calibri" w:hAnsi="Verdana" w:cs="Tahoma"/>
          <w:bCs/>
          <w:color w:val="000000"/>
          <w:sz w:val="20"/>
          <w:szCs w:val="20"/>
          <w:shd w:val="clear" w:color="auto" w:fill="FFFFFF"/>
          <w:lang w:val="en-US"/>
        </w:rPr>
        <w:t xml:space="preserve"> State</w:t>
      </w:r>
      <w:r w:rsidR="00791963" w:rsidRPr="00EA6C7A">
        <w:rPr>
          <w:rFonts w:ascii="Verdana" w:eastAsia="Calibri" w:hAnsi="Verdana" w:cs="Tahoma"/>
          <w:bCs/>
          <w:color w:val="000000"/>
          <w:sz w:val="20"/>
          <w:szCs w:val="20"/>
          <w:shd w:val="clear" w:color="auto" w:fill="FFFFFF"/>
          <w:lang w:val="en-US"/>
        </w:rPr>
        <w:t xml:space="preserve"> was</w:t>
      </w:r>
      <w:r w:rsidR="00CF36C3" w:rsidRPr="00EA6C7A">
        <w:rPr>
          <w:rFonts w:ascii="Verdana" w:eastAsia="Calibri" w:hAnsi="Verdana" w:cs="Tahoma"/>
          <w:bCs/>
          <w:color w:val="000000"/>
          <w:sz w:val="20"/>
          <w:szCs w:val="20"/>
          <w:shd w:val="clear" w:color="auto" w:fill="FFFFFF"/>
          <w:lang w:val="en-US"/>
        </w:rPr>
        <w:t xml:space="preserve"> unaware of a real and immediate danger for the victims before they went missing, as well as the impossibility for the State to respond unrestrictedly for </w:t>
      </w:r>
      <w:r w:rsidR="00565C71" w:rsidRPr="00EA6C7A">
        <w:rPr>
          <w:rFonts w:ascii="Verdana" w:eastAsia="Calibri" w:hAnsi="Verdana" w:cs="Tahoma"/>
          <w:bCs/>
          <w:color w:val="000000"/>
          <w:sz w:val="20"/>
          <w:szCs w:val="20"/>
          <w:shd w:val="clear" w:color="auto" w:fill="FFFFFF"/>
          <w:lang w:val="en-US"/>
        </w:rPr>
        <w:t>every</w:t>
      </w:r>
      <w:r w:rsidR="00CF36C3" w:rsidRPr="00EA6C7A">
        <w:rPr>
          <w:rFonts w:ascii="Verdana" w:eastAsia="Calibri" w:hAnsi="Verdana" w:cs="Tahoma"/>
          <w:bCs/>
          <w:color w:val="000000"/>
          <w:sz w:val="20"/>
          <w:szCs w:val="20"/>
          <w:shd w:val="clear" w:color="auto" w:fill="FFFFFF"/>
          <w:lang w:val="en-US"/>
        </w:rPr>
        <w:t xml:space="preserve"> wrongful act against the victims.</w:t>
      </w:r>
      <w:r w:rsidRPr="00EA6C7A">
        <w:rPr>
          <w:rFonts w:ascii="Verdana" w:eastAsia="Calibri" w:hAnsi="Verdana" w:cs="Tahoma"/>
          <w:bCs/>
          <w:color w:val="000000"/>
          <w:sz w:val="20"/>
          <w:szCs w:val="20"/>
          <w:shd w:val="clear" w:color="auto" w:fill="FFFFFF"/>
          <w:vertAlign w:val="superscript"/>
          <w:lang w:val="en-US"/>
        </w:rPr>
        <w:footnoteReference w:id="58"/>
      </w:r>
    </w:p>
    <w:p w14:paraId="5A5DBF9E"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598CFB0F"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31. </w:t>
      </w:r>
      <w:r w:rsidRPr="00EA6C7A">
        <w:rPr>
          <w:rFonts w:ascii="Verdana" w:eastAsia="Calibri" w:hAnsi="Verdana" w:cs="Tahoma"/>
          <w:bCs/>
          <w:color w:val="000000"/>
          <w:sz w:val="20"/>
          <w:szCs w:val="20"/>
          <w:shd w:val="clear" w:color="auto" w:fill="FFFFFF"/>
          <w:lang w:val="en-US"/>
        </w:rPr>
        <w:tab/>
      </w:r>
      <w:r w:rsidR="00CF36C3" w:rsidRPr="00EA6C7A">
        <w:rPr>
          <w:rFonts w:ascii="Verdana" w:eastAsia="Calibri" w:hAnsi="Verdana" w:cs="Tahoma"/>
          <w:bCs/>
          <w:color w:val="000000"/>
          <w:sz w:val="20"/>
          <w:szCs w:val="20"/>
          <w:shd w:val="clear" w:color="auto" w:fill="FFFFFF"/>
          <w:lang w:val="en-US"/>
        </w:rPr>
        <w:t xml:space="preserve">Regardless of the foregoing, the Court has also concluded in its analysis of the said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first moment</w:t>
      </w:r>
      <w:r w:rsidRPr="00EA6C7A">
        <w:rPr>
          <w:rFonts w:ascii="Verdana" w:eastAsia="Calibri" w:hAnsi="Verdana" w:cs="Tahoma"/>
          <w:bCs/>
          <w:color w:val="000000"/>
          <w:sz w:val="20"/>
          <w:szCs w:val="20"/>
          <w:shd w:val="clear" w:color="auto" w:fill="FFFFFF"/>
          <w:lang w:val="en-US"/>
        </w:rPr>
        <w:t>” —</w:t>
      </w:r>
      <w:r w:rsidR="00CF36C3"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in the case of</w:t>
      </w:r>
      <w:r w:rsidRPr="00EA6C7A">
        <w:rPr>
          <w:rFonts w:ascii="Verdana" w:eastAsia="Calibri" w:hAnsi="Verdana" w:cs="Tahoma"/>
          <w:bCs/>
          <w:color w:val="000000"/>
          <w:sz w:val="20"/>
          <w:szCs w:val="20"/>
          <w:shd w:val="clear" w:color="auto" w:fill="FFFFFF"/>
          <w:lang w:val="en-US"/>
        </w:rPr>
        <w:t xml:space="preserve"> </w:t>
      </w:r>
      <w:r w:rsidR="008B402D" w:rsidRPr="00EA6C7A">
        <w:rPr>
          <w:rFonts w:ascii="Verdana" w:eastAsia="Calibri" w:hAnsi="Verdana" w:cs="Tahoma"/>
          <w:bCs/>
          <w:i/>
          <w:color w:val="000000"/>
          <w:sz w:val="20"/>
          <w:szCs w:val="20"/>
          <w:shd w:val="clear" w:color="auto" w:fill="FFFFFF"/>
          <w:lang w:val="en-US"/>
        </w:rPr>
        <w:t>González et al.</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Cotton Field</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v.</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Mexico</w:t>
      </w:r>
      <w:r w:rsidR="00CF36C3" w:rsidRPr="00EA6C7A">
        <w:rPr>
          <w:rFonts w:ascii="Verdana" w:eastAsia="Calibri" w:hAnsi="Verdana" w:cs="Tahoma"/>
          <w:bCs/>
          <w:i/>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 xml:space="preserve">— </w:t>
      </w:r>
      <w:r w:rsidR="00CF36C3" w:rsidRPr="00EA6C7A">
        <w:rPr>
          <w:rFonts w:ascii="Verdana" w:eastAsia="Calibri" w:hAnsi="Verdana" w:cs="Tahoma"/>
          <w:bCs/>
          <w:color w:val="000000"/>
          <w:sz w:val="20"/>
          <w:szCs w:val="20"/>
          <w:u w:val="single"/>
          <w:shd w:val="clear" w:color="auto" w:fill="FFFFFF"/>
          <w:lang w:val="en-US"/>
        </w:rPr>
        <w:t>that</w:t>
      </w:r>
      <w:r w:rsidR="00791963" w:rsidRPr="00EA6C7A">
        <w:rPr>
          <w:rFonts w:ascii="Verdana" w:eastAsia="Calibri" w:hAnsi="Verdana" w:cs="Tahoma"/>
          <w:bCs/>
          <w:color w:val="000000"/>
          <w:sz w:val="20"/>
          <w:szCs w:val="20"/>
          <w:u w:val="single"/>
          <w:shd w:val="clear" w:color="auto" w:fill="FFFFFF"/>
          <w:lang w:val="en-US"/>
        </w:rPr>
        <w:t xml:space="preserve">, </w:t>
      </w:r>
      <w:r w:rsidR="00CF36C3" w:rsidRPr="00EA6C7A">
        <w:rPr>
          <w:rFonts w:ascii="Verdana" w:eastAsia="Calibri" w:hAnsi="Verdana" w:cs="Tahoma"/>
          <w:bCs/>
          <w:color w:val="000000"/>
          <w:sz w:val="20"/>
          <w:szCs w:val="20"/>
          <w:u w:val="single"/>
          <w:shd w:val="clear" w:color="auto" w:fill="FFFFFF"/>
          <w:lang w:val="en-US"/>
        </w:rPr>
        <w:t xml:space="preserve">in light of </w:t>
      </w:r>
      <w:r w:rsidR="00CF36C3" w:rsidRPr="00EA6C7A">
        <w:rPr>
          <w:rFonts w:ascii="Verdana" w:eastAsia="Calibri" w:hAnsi="Verdana" w:cs="Tahoma"/>
          <w:bCs/>
          <w:color w:val="000000"/>
          <w:sz w:val="20"/>
          <w:szCs w:val="20"/>
          <w:u w:val="single"/>
          <w:shd w:val="clear" w:color="auto" w:fill="FFFFFF"/>
          <w:lang w:val="en-US"/>
        </w:rPr>
        <w:lastRenderedPageBreak/>
        <w:t>the pattern of</w:t>
      </w:r>
      <w:r w:rsidRPr="00EA6C7A">
        <w:rPr>
          <w:rFonts w:ascii="Verdana" w:eastAsia="Calibri" w:hAnsi="Verdana" w:cs="Tahoma"/>
          <w:bCs/>
          <w:color w:val="000000"/>
          <w:sz w:val="20"/>
          <w:szCs w:val="20"/>
          <w:u w:val="single"/>
          <w:shd w:val="clear" w:color="auto" w:fill="FFFFFF"/>
          <w:lang w:val="en-US"/>
        </w:rPr>
        <w:t xml:space="preserve"> </w:t>
      </w:r>
      <w:r w:rsidR="00C12C08" w:rsidRPr="00EA6C7A">
        <w:rPr>
          <w:rFonts w:ascii="Verdana" w:eastAsia="Calibri" w:hAnsi="Verdana" w:cs="Tahoma"/>
          <w:bCs/>
          <w:color w:val="000000"/>
          <w:sz w:val="20"/>
          <w:szCs w:val="20"/>
          <w:u w:val="single"/>
          <w:shd w:val="clear" w:color="auto" w:fill="FFFFFF"/>
          <w:lang w:val="en-US"/>
        </w:rPr>
        <w:t>violence against women</w:t>
      </w:r>
      <w:r w:rsidR="00791963" w:rsidRPr="00EA6C7A">
        <w:rPr>
          <w:rFonts w:ascii="Verdana" w:eastAsia="Calibri" w:hAnsi="Verdana" w:cs="Tahoma"/>
          <w:bCs/>
          <w:color w:val="000000"/>
          <w:sz w:val="20"/>
          <w:szCs w:val="20"/>
          <w:u w:val="single"/>
          <w:shd w:val="clear" w:color="auto" w:fill="FFFFFF"/>
          <w:lang w:val="en-US"/>
        </w:rPr>
        <w:t>,</w:t>
      </w:r>
      <w:r w:rsidRPr="00EA6C7A">
        <w:rPr>
          <w:rFonts w:ascii="Verdana" w:eastAsia="Calibri" w:hAnsi="Verdana" w:cs="Tahoma"/>
          <w:bCs/>
          <w:color w:val="000000"/>
          <w:sz w:val="20"/>
          <w:szCs w:val="20"/>
          <w:u w:val="single"/>
          <w:shd w:val="clear" w:color="auto" w:fill="FFFFFF"/>
          <w:lang w:val="en-US"/>
        </w:rPr>
        <w:t xml:space="preserve"> </w:t>
      </w:r>
      <w:r w:rsidR="00791963" w:rsidRPr="00EA6C7A">
        <w:rPr>
          <w:rFonts w:ascii="Verdana" w:eastAsia="Calibri" w:hAnsi="Verdana" w:cs="Tahoma"/>
          <w:bCs/>
          <w:color w:val="000000"/>
          <w:sz w:val="20"/>
          <w:szCs w:val="20"/>
          <w:u w:val="single"/>
          <w:shd w:val="clear" w:color="auto" w:fill="FFFFFF"/>
          <w:lang w:val="en-US"/>
        </w:rPr>
        <w:t xml:space="preserve">the absence of a general policy </w:t>
      </w:r>
      <w:r w:rsidRPr="00EA6C7A">
        <w:rPr>
          <w:rFonts w:ascii="Verdana" w:eastAsia="Calibri" w:hAnsi="Verdana" w:cs="Tahoma"/>
          <w:bCs/>
          <w:color w:val="000000"/>
          <w:sz w:val="20"/>
          <w:szCs w:val="20"/>
          <w:u w:val="single"/>
          <w:shd w:val="clear" w:color="auto" w:fill="FFFFFF"/>
          <w:lang w:val="en-US"/>
        </w:rPr>
        <w:t>constitu</w:t>
      </w:r>
      <w:r w:rsidR="00CF36C3" w:rsidRPr="00EA6C7A">
        <w:rPr>
          <w:rFonts w:ascii="Verdana" w:eastAsia="Calibri" w:hAnsi="Verdana" w:cs="Tahoma"/>
          <w:bCs/>
          <w:color w:val="000000"/>
          <w:sz w:val="20"/>
          <w:szCs w:val="20"/>
          <w:u w:val="single"/>
          <w:shd w:val="clear" w:color="auto" w:fill="FFFFFF"/>
          <w:lang w:val="en-US"/>
        </w:rPr>
        <w:t>tes a violation of the general duty under the</w:t>
      </w:r>
      <w:r w:rsidR="00D5307F" w:rsidRPr="00EA6C7A">
        <w:rPr>
          <w:rFonts w:ascii="Verdana" w:eastAsia="Calibri" w:hAnsi="Verdana" w:cs="Tahoma"/>
          <w:bCs/>
          <w:color w:val="000000"/>
          <w:sz w:val="20"/>
          <w:szCs w:val="20"/>
          <w:u w:val="single"/>
          <w:shd w:val="clear" w:color="auto" w:fill="FFFFFF"/>
          <w:lang w:val="en-US"/>
        </w:rPr>
        <w:t xml:space="preserve"> </w:t>
      </w:r>
      <w:r w:rsidRPr="00EA6C7A">
        <w:rPr>
          <w:rFonts w:ascii="Verdana" w:eastAsia="Calibri" w:hAnsi="Verdana" w:cs="Tahoma"/>
          <w:bCs/>
          <w:color w:val="000000"/>
          <w:sz w:val="20"/>
          <w:szCs w:val="20"/>
          <w:u w:val="single"/>
          <w:shd w:val="clear" w:color="auto" w:fill="FFFFFF"/>
          <w:lang w:val="en-US"/>
        </w:rPr>
        <w:t>obliga</w:t>
      </w:r>
      <w:r w:rsidR="00C0036A" w:rsidRPr="00EA6C7A">
        <w:rPr>
          <w:rFonts w:ascii="Verdana" w:eastAsia="Calibri" w:hAnsi="Verdana" w:cs="Tahoma"/>
          <w:bCs/>
          <w:color w:val="000000"/>
          <w:sz w:val="20"/>
          <w:szCs w:val="20"/>
          <w:u w:val="single"/>
          <w:shd w:val="clear" w:color="auto" w:fill="FFFFFF"/>
          <w:lang w:val="en-US"/>
        </w:rPr>
        <w:t>tion of prevention</w:t>
      </w:r>
      <w:r w:rsidR="00CF36C3" w:rsidRPr="00EA6C7A">
        <w:rPr>
          <w:rFonts w:ascii="Verdana" w:eastAsia="Calibri" w:hAnsi="Verdana" w:cs="Tahoma"/>
          <w:bCs/>
          <w:color w:val="000000"/>
          <w:sz w:val="20"/>
          <w:szCs w:val="20"/>
          <w:u w:val="single"/>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59"/>
      </w:r>
      <w:r w:rsidRPr="00EA6C7A">
        <w:rPr>
          <w:rFonts w:ascii="Verdana" w:eastAsia="Calibri" w:hAnsi="Verdana" w:cs="Tahoma"/>
          <w:bCs/>
          <w:color w:val="000000"/>
          <w:sz w:val="20"/>
          <w:szCs w:val="20"/>
          <w:shd w:val="clear" w:color="auto" w:fill="FFFFFF"/>
          <w:lang w:val="en-US"/>
        </w:rPr>
        <w:t xml:space="preserve"> </w:t>
      </w:r>
      <w:r w:rsidR="00CF36C3" w:rsidRPr="00EA6C7A">
        <w:rPr>
          <w:rFonts w:ascii="Verdana" w:eastAsia="Calibri" w:hAnsi="Verdana" w:cs="Tahoma"/>
          <w:bCs/>
          <w:color w:val="000000"/>
          <w:sz w:val="20"/>
          <w:szCs w:val="20"/>
          <w:shd w:val="clear" w:color="auto" w:fill="FFFFFF"/>
          <w:lang w:val="en-US"/>
        </w:rPr>
        <w:t xml:space="preserve">Meanwhile, </w:t>
      </w:r>
      <w:r w:rsidR="00C0036A" w:rsidRPr="00EA6C7A">
        <w:rPr>
          <w:rFonts w:ascii="Verdana" w:eastAsia="Calibri" w:hAnsi="Verdana" w:cs="Tahoma"/>
          <w:bCs/>
          <w:color w:val="000000"/>
          <w:sz w:val="20"/>
          <w:szCs w:val="20"/>
          <w:shd w:val="clear" w:color="auto" w:fill="FFFFFF"/>
          <w:lang w:val="en-US"/>
        </w:rPr>
        <w:t xml:space="preserve">in the case of </w:t>
      </w:r>
      <w:r w:rsidRPr="00EA6C7A">
        <w:rPr>
          <w:rFonts w:ascii="Verdana" w:eastAsia="Calibri" w:hAnsi="Verdana" w:cs="Tahoma"/>
          <w:bCs/>
          <w:i/>
          <w:color w:val="000000"/>
          <w:sz w:val="20"/>
          <w:szCs w:val="20"/>
          <w:shd w:val="clear" w:color="auto" w:fill="FFFFFF"/>
          <w:lang w:val="en-US"/>
        </w:rPr>
        <w:t xml:space="preserve">Veliz Franco </w:t>
      </w:r>
      <w:r w:rsidR="001914FC" w:rsidRPr="00EA6C7A">
        <w:rPr>
          <w:rFonts w:ascii="Verdana" w:eastAsia="Calibri" w:hAnsi="Verdana" w:cs="Tahoma"/>
          <w:bCs/>
          <w:i/>
          <w:color w:val="000000"/>
          <w:sz w:val="20"/>
          <w:szCs w:val="20"/>
          <w:shd w:val="clear" w:color="auto" w:fill="FFFFFF"/>
          <w:lang w:val="en-US"/>
        </w:rPr>
        <w:t>et al. v.</w:t>
      </w:r>
      <w:r w:rsidRPr="00EA6C7A">
        <w:rPr>
          <w:rFonts w:ascii="Verdana" w:eastAsia="Calibri" w:hAnsi="Verdana" w:cs="Tahoma"/>
          <w:bCs/>
          <w:i/>
          <w:color w:val="000000"/>
          <w:sz w:val="20"/>
          <w:szCs w:val="20"/>
          <w:shd w:val="clear" w:color="auto" w:fill="FFFFFF"/>
          <w:lang w:val="en-US"/>
        </w:rPr>
        <w:t xml:space="preserve"> Guatemala,</w:t>
      </w:r>
      <w:r w:rsidRPr="00EA6C7A">
        <w:rPr>
          <w:rFonts w:ascii="Verdana" w:eastAsia="Calibri" w:hAnsi="Verdana" w:cs="Tahoma"/>
          <w:bCs/>
          <w:color w:val="000000"/>
          <w:sz w:val="20"/>
          <w:szCs w:val="20"/>
          <w:shd w:val="clear" w:color="auto" w:fill="FFFFFF"/>
          <w:lang w:val="en-US"/>
        </w:rPr>
        <w:t xml:space="preserve"> </w:t>
      </w:r>
      <w:r w:rsidR="00C0036A" w:rsidRPr="00EA6C7A">
        <w:rPr>
          <w:rFonts w:ascii="Verdana" w:eastAsia="Calibri" w:hAnsi="Verdana" w:cs="Tahoma"/>
          <w:bCs/>
          <w:color w:val="000000"/>
          <w:sz w:val="20"/>
          <w:szCs w:val="20"/>
          <w:shd w:val="clear" w:color="auto" w:fill="FFFFFF"/>
          <w:lang w:val="en-US"/>
        </w:rPr>
        <w:t>it recognized previous actions taken by the State in relation to the problem of the context.</w:t>
      </w:r>
      <w:r w:rsidRPr="00EA6C7A">
        <w:rPr>
          <w:rFonts w:ascii="Verdana" w:eastAsia="Calibri" w:hAnsi="Verdana" w:cs="Tahoma"/>
          <w:bCs/>
          <w:color w:val="000000"/>
          <w:sz w:val="20"/>
          <w:szCs w:val="20"/>
          <w:shd w:val="clear" w:color="auto" w:fill="FFFFFF"/>
          <w:vertAlign w:val="superscript"/>
          <w:lang w:val="en-US"/>
        </w:rPr>
        <w:footnoteReference w:id="60"/>
      </w:r>
      <w:r w:rsidRPr="00EA6C7A">
        <w:rPr>
          <w:rFonts w:ascii="Verdana" w:eastAsia="Calibri" w:hAnsi="Verdana" w:cs="Tahoma"/>
          <w:bCs/>
          <w:color w:val="000000"/>
          <w:sz w:val="20"/>
          <w:szCs w:val="20"/>
          <w:shd w:val="clear" w:color="auto" w:fill="FFFFFF"/>
          <w:lang w:val="en-US"/>
        </w:rPr>
        <w:t xml:space="preserve"> </w:t>
      </w:r>
      <w:r w:rsidR="00C0036A" w:rsidRPr="00EA6C7A">
        <w:rPr>
          <w:rFonts w:ascii="Verdana" w:eastAsia="Calibri" w:hAnsi="Verdana" w:cs="Tahoma"/>
          <w:bCs/>
          <w:color w:val="000000"/>
          <w:sz w:val="20"/>
          <w:szCs w:val="20"/>
          <w:shd w:val="clear" w:color="auto" w:fill="FFFFFF"/>
          <w:lang w:val="en-US"/>
        </w:rPr>
        <w:t xml:space="preserve">I consider that these considerations should be taken into particular consideration in the analysis and conclusions of the case </w:t>
      </w:r>
      <w:r w:rsidRPr="00EA6C7A">
        <w:rPr>
          <w:rFonts w:ascii="Verdana" w:eastAsia="Calibri" w:hAnsi="Verdana" w:cs="Tahoma"/>
          <w:bCs/>
          <w:i/>
          <w:color w:val="000000"/>
          <w:sz w:val="20"/>
          <w:szCs w:val="20"/>
          <w:shd w:val="clear" w:color="auto" w:fill="FFFFFF"/>
          <w:lang w:val="en-US"/>
        </w:rPr>
        <w:t>sub judice</w:t>
      </w:r>
      <w:r w:rsidRPr="00EA6C7A">
        <w:rPr>
          <w:rFonts w:ascii="Verdana" w:eastAsia="Calibri" w:hAnsi="Verdana" w:cs="Tahoma"/>
          <w:bCs/>
          <w:color w:val="000000"/>
          <w:sz w:val="20"/>
          <w:szCs w:val="20"/>
          <w:shd w:val="clear" w:color="auto" w:fill="FFFFFF"/>
          <w:lang w:val="en-US"/>
        </w:rPr>
        <w:t xml:space="preserve"> (</w:t>
      </w:r>
      <w:r w:rsidR="00C0036A" w:rsidRPr="00EA6C7A">
        <w:rPr>
          <w:rFonts w:ascii="Verdana" w:eastAsia="Calibri" w:hAnsi="Verdana" w:cs="Tahoma"/>
          <w:bCs/>
          <w:color w:val="000000"/>
          <w:sz w:val="20"/>
          <w:szCs w:val="20"/>
          <w:shd w:val="clear" w:color="auto" w:fill="FFFFFF"/>
          <w:lang w:val="en-US"/>
        </w:rPr>
        <w:t>which gives rise to this separate opinion</w:t>
      </w:r>
      <w:r w:rsidRPr="00EA6C7A">
        <w:rPr>
          <w:rFonts w:ascii="Verdana" w:eastAsia="Calibri" w:hAnsi="Verdana" w:cs="Tahoma"/>
          <w:bCs/>
          <w:color w:val="000000"/>
          <w:sz w:val="20"/>
          <w:szCs w:val="20"/>
          <w:shd w:val="clear" w:color="auto" w:fill="FFFFFF"/>
          <w:lang w:val="en-US"/>
        </w:rPr>
        <w:t xml:space="preserve">), </w:t>
      </w:r>
      <w:r w:rsidR="00C0036A" w:rsidRPr="00EA6C7A">
        <w:rPr>
          <w:rFonts w:ascii="Verdana" w:eastAsia="Calibri" w:hAnsi="Verdana" w:cs="Tahoma"/>
          <w:bCs/>
          <w:color w:val="000000"/>
          <w:sz w:val="20"/>
          <w:szCs w:val="20"/>
          <w:shd w:val="clear" w:color="auto" w:fill="FFFFFF"/>
          <w:lang w:val="en-US"/>
        </w:rPr>
        <w:t>when examining the</w:t>
      </w:r>
      <w:r w:rsidRPr="00EA6C7A">
        <w:rPr>
          <w:rFonts w:ascii="Verdana" w:eastAsia="Calibri" w:hAnsi="Verdana" w:cs="Tahoma"/>
          <w:bCs/>
          <w:color w:val="000000"/>
          <w:sz w:val="20"/>
          <w:szCs w:val="20"/>
          <w:shd w:val="clear" w:color="auto" w:fill="FFFFFF"/>
          <w:lang w:val="en-US"/>
        </w:rPr>
        <w:t xml:space="preserve"> “</w:t>
      </w:r>
      <w:r w:rsidR="00274B18" w:rsidRPr="00EA6C7A">
        <w:rPr>
          <w:rFonts w:ascii="Verdana" w:eastAsia="Calibri" w:hAnsi="Verdana" w:cs="Tahoma"/>
          <w:bCs/>
          <w:color w:val="000000"/>
          <w:sz w:val="20"/>
          <w:szCs w:val="20"/>
          <w:shd w:val="clear" w:color="auto" w:fill="FFFFFF"/>
          <w:lang w:val="en-US"/>
        </w:rPr>
        <w:t>first moment</w:t>
      </w:r>
      <w:r w:rsidRPr="00EA6C7A">
        <w:rPr>
          <w:rFonts w:ascii="Verdana" w:eastAsia="Calibri" w:hAnsi="Verdana" w:cs="Tahoma"/>
          <w:bCs/>
          <w:color w:val="000000"/>
          <w:sz w:val="20"/>
          <w:szCs w:val="20"/>
          <w:shd w:val="clear" w:color="auto" w:fill="FFFFFF"/>
          <w:lang w:val="en-US"/>
        </w:rPr>
        <w:t xml:space="preserve">” </w:t>
      </w:r>
      <w:r w:rsidR="00C0036A" w:rsidRPr="00EA6C7A">
        <w:rPr>
          <w:rFonts w:ascii="Verdana" w:eastAsia="Calibri" w:hAnsi="Verdana" w:cs="Tahoma"/>
          <w:bCs/>
          <w:color w:val="000000"/>
          <w:sz w:val="20"/>
          <w:szCs w:val="20"/>
          <w:shd w:val="clear" w:color="auto" w:fill="FFFFFF"/>
          <w:lang w:val="en-US"/>
        </w:rPr>
        <w:t>of the</w:t>
      </w:r>
      <w:r w:rsidRPr="00EA6C7A">
        <w:rPr>
          <w:rFonts w:ascii="Verdana" w:eastAsia="Calibri" w:hAnsi="Verdana" w:cs="Tahoma"/>
          <w:bCs/>
          <w:color w:val="000000"/>
          <w:sz w:val="20"/>
          <w:szCs w:val="20"/>
          <w:shd w:val="clear" w:color="auto" w:fill="FFFFFF"/>
          <w:lang w:val="en-US"/>
        </w:rPr>
        <w:t xml:space="preserve"> </w:t>
      </w:r>
      <w:r w:rsidR="00C0036A" w:rsidRPr="00EA6C7A">
        <w:rPr>
          <w:rFonts w:ascii="Verdana" w:eastAsia="Calibri" w:hAnsi="Verdana" w:cs="Tahoma"/>
          <w:bCs/>
          <w:color w:val="000000"/>
          <w:sz w:val="20"/>
          <w:szCs w:val="20"/>
          <w:shd w:val="clear" w:color="auto" w:fill="FFFFFF"/>
          <w:lang w:val="en-US"/>
        </w:rPr>
        <w:t xml:space="preserve">State’s </w:t>
      </w:r>
      <w:r w:rsidR="00D5307F" w:rsidRPr="00EA6C7A">
        <w:rPr>
          <w:rFonts w:ascii="Verdana" w:eastAsia="Calibri" w:hAnsi="Verdana" w:cs="Tahoma"/>
          <w:bCs/>
          <w:color w:val="000000"/>
          <w:sz w:val="20"/>
          <w:szCs w:val="20"/>
          <w:shd w:val="clear" w:color="auto" w:fill="FFFFFF"/>
          <w:lang w:val="en-US"/>
        </w:rPr>
        <w:t>obligation of prevention</w:t>
      </w:r>
      <w:r w:rsidR="00C0036A" w:rsidRPr="00EA6C7A">
        <w:rPr>
          <w:rFonts w:ascii="Verdana" w:eastAsia="Calibri" w:hAnsi="Verdana" w:cs="Tahoma"/>
          <w:bCs/>
          <w:color w:val="000000"/>
          <w:sz w:val="20"/>
          <w:szCs w:val="20"/>
          <w:shd w:val="clear" w:color="auto" w:fill="FFFFFF"/>
          <w:lang w:val="en-US"/>
        </w:rPr>
        <w:t>, as will be seen in the following section</w:t>
      </w:r>
      <w:r w:rsidRPr="00EA6C7A">
        <w:rPr>
          <w:rFonts w:ascii="Verdana" w:eastAsia="Calibri" w:hAnsi="Verdana" w:cs="Tahoma"/>
          <w:bCs/>
          <w:color w:val="000000"/>
          <w:sz w:val="20"/>
          <w:szCs w:val="20"/>
          <w:shd w:val="clear" w:color="auto" w:fill="FFFFFF"/>
          <w:lang w:val="en-US"/>
        </w:rPr>
        <w:t>.</w:t>
      </w:r>
    </w:p>
    <w:p w14:paraId="10884AC4"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57A8EC49" w14:textId="77777777" w:rsidR="00175ABB" w:rsidRPr="00EA6C7A" w:rsidRDefault="00175ABB" w:rsidP="007C280B">
      <w:pPr>
        <w:spacing w:after="0" w:line="240" w:lineRule="auto"/>
        <w:jc w:val="center"/>
        <w:rPr>
          <w:rFonts w:ascii="Verdana" w:eastAsia="Calibri" w:hAnsi="Verdana" w:cs="Tahoma"/>
          <w:bCs/>
          <w:i/>
          <w:caps/>
          <w:color w:val="000000"/>
          <w:sz w:val="20"/>
          <w:szCs w:val="20"/>
          <w:shd w:val="clear" w:color="auto" w:fill="FFFFFF"/>
          <w:lang w:val="en-US"/>
        </w:rPr>
      </w:pPr>
      <w:r w:rsidRPr="00EA6C7A">
        <w:rPr>
          <w:rFonts w:ascii="Verdana" w:eastAsia="Calibri" w:hAnsi="Verdana" w:cs="Tahoma"/>
          <w:bCs/>
          <w:caps/>
          <w:color w:val="000000"/>
          <w:sz w:val="20"/>
          <w:szCs w:val="20"/>
          <w:shd w:val="clear" w:color="auto" w:fill="FFFFFF"/>
          <w:lang w:val="en-US"/>
        </w:rPr>
        <w:t xml:space="preserve">III. </w:t>
      </w:r>
      <w:r w:rsidR="007C280B" w:rsidRPr="00EA6C7A">
        <w:rPr>
          <w:rFonts w:ascii="Verdana" w:eastAsia="Calibri" w:hAnsi="Verdana" w:cs="Tahoma"/>
          <w:bCs/>
          <w:caps/>
          <w:color w:val="000000"/>
          <w:sz w:val="20"/>
          <w:szCs w:val="20"/>
          <w:shd w:val="clear" w:color="auto" w:fill="FFFFFF"/>
          <w:lang w:val="en-US"/>
        </w:rPr>
        <w:t>THE</w:t>
      </w:r>
      <w:r w:rsidRPr="00EA6C7A">
        <w:rPr>
          <w:rFonts w:ascii="Verdana" w:eastAsia="Calibri" w:hAnsi="Verdana" w:cs="Tahoma"/>
          <w:bCs/>
          <w:caps/>
          <w:color w:val="000000"/>
          <w:sz w:val="20"/>
          <w:szCs w:val="20"/>
          <w:shd w:val="clear" w:color="auto" w:fill="FFFFFF"/>
          <w:lang w:val="en-US"/>
        </w:rPr>
        <w:t xml:space="preserve"> “</w:t>
      </w:r>
      <w:r w:rsidR="00D5307F" w:rsidRPr="00EA6C7A">
        <w:rPr>
          <w:rFonts w:ascii="Verdana" w:eastAsia="Calibri" w:hAnsi="Verdana" w:cs="Tahoma"/>
          <w:bCs/>
          <w:caps/>
          <w:color w:val="000000"/>
          <w:sz w:val="20"/>
          <w:szCs w:val="20"/>
          <w:shd w:val="clear" w:color="auto" w:fill="FFFFFF"/>
          <w:lang w:val="en-US"/>
        </w:rPr>
        <w:t>obligation of prevention</w:t>
      </w:r>
      <w:r w:rsidRPr="00EA6C7A">
        <w:rPr>
          <w:rFonts w:ascii="Verdana" w:eastAsia="Calibri" w:hAnsi="Verdana" w:cs="Tahoma"/>
          <w:bCs/>
          <w:caps/>
          <w:color w:val="000000"/>
          <w:sz w:val="20"/>
          <w:szCs w:val="20"/>
          <w:shd w:val="clear" w:color="auto" w:fill="FFFFFF"/>
          <w:lang w:val="en-US"/>
        </w:rPr>
        <w:t xml:space="preserve">” </w:t>
      </w:r>
      <w:r w:rsidR="00D5307F" w:rsidRPr="00EA6C7A">
        <w:rPr>
          <w:rFonts w:ascii="Verdana" w:eastAsia="Calibri" w:hAnsi="Verdana" w:cs="Tahoma"/>
          <w:bCs/>
          <w:caps/>
          <w:color w:val="000000"/>
          <w:sz w:val="20"/>
          <w:szCs w:val="20"/>
          <w:shd w:val="clear" w:color="auto" w:fill="FFFFFF"/>
          <w:lang w:val="en-US"/>
        </w:rPr>
        <w:t>in the case of</w:t>
      </w:r>
      <w:r w:rsidRPr="00EA6C7A">
        <w:rPr>
          <w:rFonts w:ascii="Verdana" w:eastAsia="Calibri" w:hAnsi="Verdana" w:cs="Tahoma"/>
          <w:bCs/>
          <w:caps/>
          <w:color w:val="000000"/>
          <w:sz w:val="20"/>
          <w:szCs w:val="20"/>
          <w:shd w:val="clear" w:color="auto" w:fill="FFFFFF"/>
          <w:lang w:val="en-US"/>
        </w:rPr>
        <w:t xml:space="preserve"> </w:t>
      </w:r>
      <w:r w:rsidRPr="00EA6C7A">
        <w:rPr>
          <w:rFonts w:ascii="Verdana" w:eastAsia="Calibri" w:hAnsi="Verdana" w:cs="Tahoma"/>
          <w:bCs/>
          <w:i/>
          <w:caps/>
          <w:color w:val="000000"/>
          <w:sz w:val="20"/>
          <w:szCs w:val="20"/>
          <w:shd w:val="clear" w:color="auto" w:fill="FFFFFF"/>
          <w:lang w:val="en-US"/>
        </w:rPr>
        <w:t xml:space="preserve">Velásquez </w:t>
      </w:r>
      <w:r w:rsidR="00F912BD" w:rsidRPr="00EA6C7A">
        <w:rPr>
          <w:rFonts w:ascii="Verdana" w:eastAsia="Calibri" w:hAnsi="Verdana" w:cs="Tahoma"/>
          <w:bCs/>
          <w:i/>
          <w:caps/>
          <w:color w:val="000000"/>
          <w:sz w:val="20"/>
          <w:szCs w:val="20"/>
          <w:shd w:val="clear" w:color="auto" w:fill="FFFFFF"/>
          <w:lang w:val="en-US"/>
        </w:rPr>
        <w:t>Paiz et al.</w:t>
      </w:r>
      <w:r w:rsidRPr="00EA6C7A">
        <w:rPr>
          <w:rFonts w:ascii="Verdana" w:eastAsia="Calibri" w:hAnsi="Verdana" w:cs="Tahoma"/>
          <w:bCs/>
          <w:i/>
          <w:caps/>
          <w:color w:val="000000"/>
          <w:sz w:val="20"/>
          <w:szCs w:val="20"/>
          <w:shd w:val="clear" w:color="auto" w:fill="FFFFFF"/>
          <w:lang w:val="en-US"/>
        </w:rPr>
        <w:t xml:space="preserve"> v. Guatemala (2015)</w:t>
      </w:r>
    </w:p>
    <w:p w14:paraId="067D975F"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1B24CBBD"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32. </w:t>
      </w:r>
      <w:r w:rsidRPr="00EA6C7A">
        <w:rPr>
          <w:rFonts w:ascii="Verdana" w:eastAsia="Calibri" w:hAnsi="Verdana" w:cs="Tahoma"/>
          <w:bCs/>
          <w:color w:val="000000"/>
          <w:sz w:val="20"/>
          <w:szCs w:val="20"/>
          <w:shd w:val="clear" w:color="auto" w:fill="FFFFFF"/>
          <w:lang w:val="en-US"/>
        </w:rPr>
        <w:tab/>
      </w:r>
      <w:r w:rsidR="000B1A31" w:rsidRPr="00EA6C7A">
        <w:rPr>
          <w:rFonts w:ascii="Verdana" w:eastAsia="Calibri" w:hAnsi="Verdana" w:cs="Tahoma"/>
          <w:bCs/>
          <w:color w:val="000000"/>
          <w:sz w:val="20"/>
          <w:szCs w:val="20"/>
          <w:shd w:val="clear" w:color="auto" w:fill="FFFFFF"/>
          <w:lang w:val="en-US"/>
        </w:rPr>
        <w:t>The facts</w:t>
      </w:r>
      <w:r w:rsidRPr="00EA6C7A">
        <w:rPr>
          <w:rFonts w:ascii="Verdana" w:eastAsia="Calibri" w:hAnsi="Verdana" w:cs="Tahoma"/>
          <w:bCs/>
          <w:color w:val="000000"/>
          <w:sz w:val="20"/>
          <w:szCs w:val="20"/>
          <w:shd w:val="clear" w:color="auto" w:fill="FFFFFF"/>
          <w:lang w:val="en-US"/>
        </w:rPr>
        <w:t xml:space="preserve"> </w:t>
      </w:r>
      <w:r w:rsidR="000B1A31" w:rsidRPr="00EA6C7A">
        <w:rPr>
          <w:rFonts w:ascii="Verdana" w:eastAsia="Calibri" w:hAnsi="Verdana" w:cs="Tahoma"/>
          <w:bCs/>
          <w:color w:val="000000"/>
          <w:sz w:val="20"/>
          <w:szCs w:val="20"/>
          <w:shd w:val="clear" w:color="auto" w:fill="FFFFFF"/>
          <w:lang w:val="en-US"/>
        </w:rPr>
        <w:t xml:space="preserve">of the case relate to the disappearance, abuse and death of </w:t>
      </w:r>
      <w:r w:rsidRPr="00EA6C7A">
        <w:rPr>
          <w:rFonts w:ascii="Verdana" w:eastAsia="Calibri" w:hAnsi="Verdana" w:cs="Tahoma"/>
          <w:bCs/>
          <w:color w:val="000000"/>
          <w:sz w:val="20"/>
          <w:szCs w:val="20"/>
          <w:shd w:val="clear" w:color="auto" w:fill="FFFFFF"/>
          <w:lang w:val="en-US"/>
        </w:rPr>
        <w:t xml:space="preserve">Claudina Velásquez Paiz </w:t>
      </w:r>
      <w:r w:rsidR="000B1A31" w:rsidRPr="00EA6C7A">
        <w:rPr>
          <w:rFonts w:ascii="Verdana" w:eastAsia="Calibri" w:hAnsi="Verdana" w:cs="Tahoma"/>
          <w:bCs/>
          <w:color w:val="000000"/>
          <w:sz w:val="20"/>
          <w:szCs w:val="20"/>
          <w:shd w:val="clear" w:color="auto" w:fill="FFFFFF"/>
          <w:lang w:val="en-US"/>
        </w:rPr>
        <w:t>in</w:t>
      </w:r>
      <w:r w:rsidRPr="00EA6C7A">
        <w:rPr>
          <w:rFonts w:ascii="Verdana" w:eastAsia="Calibri" w:hAnsi="Verdana" w:cs="Tahoma"/>
          <w:bCs/>
          <w:color w:val="000000"/>
          <w:sz w:val="20"/>
          <w:szCs w:val="20"/>
          <w:shd w:val="clear" w:color="auto" w:fill="FFFFFF"/>
          <w:lang w:val="en-US"/>
        </w:rPr>
        <w:t xml:space="preserve"> 2005, as</w:t>
      </w:r>
      <w:r w:rsidR="000B1A31" w:rsidRPr="00EA6C7A">
        <w:rPr>
          <w:rFonts w:ascii="Verdana" w:eastAsia="Calibri" w:hAnsi="Verdana" w:cs="Tahoma"/>
          <w:bCs/>
          <w:color w:val="000000"/>
          <w:sz w:val="20"/>
          <w:szCs w:val="20"/>
          <w:shd w:val="clear" w:color="auto" w:fill="FFFFFF"/>
          <w:lang w:val="en-US"/>
        </w:rPr>
        <w:t xml:space="preserve"> well as the failure of the State to act diligently and the inconsistencies  in the subsequent investigation of the facts</w:t>
      </w:r>
      <w:r w:rsidRPr="00EA6C7A">
        <w:rPr>
          <w:rFonts w:ascii="Verdana" w:eastAsia="Calibri" w:hAnsi="Verdana" w:cs="Tahoma"/>
          <w:bCs/>
          <w:color w:val="000000"/>
          <w:sz w:val="20"/>
          <w:szCs w:val="20"/>
          <w:shd w:val="clear" w:color="auto" w:fill="FFFFFF"/>
          <w:lang w:val="en-US"/>
        </w:rPr>
        <w:t xml:space="preserve">, </w:t>
      </w:r>
      <w:r w:rsidR="000B1A31" w:rsidRPr="00EA6C7A">
        <w:rPr>
          <w:rFonts w:ascii="Verdana" w:eastAsia="Calibri" w:hAnsi="Verdana" w:cs="Tahoma"/>
          <w:bCs/>
          <w:color w:val="000000"/>
          <w:sz w:val="20"/>
          <w:szCs w:val="20"/>
          <w:shd w:val="clear" w:color="auto" w:fill="FFFFFF"/>
          <w:lang w:val="en-US"/>
        </w:rPr>
        <w:t xml:space="preserve">a situation which took place in a “context” of an </w:t>
      </w:r>
      <w:r w:rsidR="004C0A98" w:rsidRPr="00EA6C7A">
        <w:rPr>
          <w:rFonts w:ascii="Verdana" w:eastAsia="Calibri" w:hAnsi="Verdana" w:cs="Tahoma"/>
          <w:bCs/>
          <w:color w:val="000000"/>
          <w:sz w:val="20"/>
          <w:szCs w:val="20"/>
          <w:shd w:val="clear" w:color="auto" w:fill="FFFFFF"/>
          <w:lang w:val="en-US"/>
        </w:rPr>
        <w:t>escalation of</w:t>
      </w:r>
      <w:r w:rsidR="00D5307F" w:rsidRPr="00EA6C7A">
        <w:rPr>
          <w:rFonts w:ascii="Verdana" w:eastAsia="Calibri" w:hAnsi="Verdana" w:cs="Tahoma"/>
          <w:bCs/>
          <w:color w:val="000000"/>
          <w:sz w:val="20"/>
          <w:szCs w:val="20"/>
          <w:shd w:val="clear" w:color="auto" w:fill="FFFFFF"/>
          <w:lang w:val="en-US"/>
        </w:rPr>
        <w:t xml:space="preserve"> </w:t>
      </w:r>
      <w:r w:rsidR="00C12C08" w:rsidRPr="00EA6C7A">
        <w:rPr>
          <w:rFonts w:ascii="Verdana" w:eastAsia="Calibri" w:hAnsi="Verdana" w:cs="Tahoma"/>
          <w:bCs/>
          <w:color w:val="000000"/>
          <w:sz w:val="20"/>
          <w:szCs w:val="20"/>
          <w:shd w:val="clear" w:color="auto" w:fill="FFFFFF"/>
          <w:lang w:val="en-US"/>
        </w:rPr>
        <w:t>violence against women</w:t>
      </w:r>
      <w:r w:rsidRPr="00EA6C7A">
        <w:rPr>
          <w:rFonts w:ascii="Verdana" w:eastAsia="Calibri" w:hAnsi="Verdana" w:cs="Tahoma"/>
          <w:bCs/>
          <w:color w:val="000000"/>
          <w:sz w:val="20"/>
          <w:szCs w:val="20"/>
          <w:shd w:val="clear" w:color="auto" w:fill="FFFFFF"/>
          <w:vertAlign w:val="superscript"/>
          <w:lang w:val="en-US"/>
        </w:rPr>
        <w:footnoteReference w:id="61"/>
      </w:r>
      <w:r w:rsidRPr="00EA6C7A">
        <w:rPr>
          <w:rFonts w:ascii="Verdana" w:eastAsia="Calibri" w:hAnsi="Verdana" w:cs="Tahoma"/>
          <w:bCs/>
          <w:color w:val="000000"/>
          <w:sz w:val="20"/>
          <w:szCs w:val="20"/>
          <w:shd w:val="clear" w:color="auto" w:fill="FFFFFF"/>
          <w:lang w:val="en-US"/>
        </w:rPr>
        <w:t xml:space="preserve"> </w:t>
      </w:r>
      <w:r w:rsidR="000B1A31" w:rsidRPr="00EA6C7A">
        <w:rPr>
          <w:rFonts w:ascii="Verdana" w:eastAsia="Calibri" w:hAnsi="Verdana" w:cs="Tahoma"/>
          <w:bCs/>
          <w:color w:val="000000"/>
          <w:sz w:val="20"/>
          <w:szCs w:val="20"/>
          <w:shd w:val="clear" w:color="auto" w:fill="FFFFFF"/>
          <w:lang w:val="en-US"/>
        </w:rPr>
        <w:t xml:space="preserve">that the State was already aware of and the Court had examined in </w:t>
      </w:r>
      <w:r w:rsidR="00D5307F" w:rsidRPr="00EA6C7A">
        <w:rPr>
          <w:rFonts w:ascii="Verdana" w:eastAsia="Calibri" w:hAnsi="Verdana" w:cs="Tahoma"/>
          <w:bCs/>
          <w:color w:val="000000"/>
          <w:sz w:val="20"/>
          <w:szCs w:val="20"/>
          <w:shd w:val="clear" w:color="auto" w:fill="FFFFFF"/>
          <w:lang w:val="en-US"/>
        </w:rPr>
        <w:t>case of</w:t>
      </w:r>
      <w:r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i/>
          <w:color w:val="000000"/>
          <w:sz w:val="20"/>
          <w:szCs w:val="20"/>
          <w:shd w:val="clear" w:color="auto" w:fill="FFFFFF"/>
          <w:lang w:val="en-US"/>
        </w:rPr>
        <w:t xml:space="preserve">Veliz Franco </w:t>
      </w:r>
      <w:r w:rsidR="001914FC" w:rsidRPr="00EA6C7A">
        <w:rPr>
          <w:rFonts w:ascii="Verdana" w:eastAsia="Calibri" w:hAnsi="Verdana" w:cs="Tahoma"/>
          <w:bCs/>
          <w:i/>
          <w:color w:val="000000"/>
          <w:sz w:val="20"/>
          <w:szCs w:val="20"/>
          <w:shd w:val="clear" w:color="auto" w:fill="FFFFFF"/>
          <w:lang w:val="en-US"/>
        </w:rPr>
        <w:t>et al. v.</w:t>
      </w:r>
      <w:r w:rsidRPr="00EA6C7A">
        <w:rPr>
          <w:rFonts w:ascii="Verdana" w:eastAsia="Calibri" w:hAnsi="Verdana" w:cs="Tahoma"/>
          <w:bCs/>
          <w:i/>
          <w:color w:val="000000"/>
          <w:sz w:val="20"/>
          <w:szCs w:val="20"/>
          <w:shd w:val="clear" w:color="auto" w:fill="FFFFFF"/>
          <w:lang w:val="en-US"/>
        </w:rPr>
        <w:t xml:space="preserve"> Guatemala</w:t>
      </w:r>
      <w:r w:rsidR="000B1A31" w:rsidRPr="00EA6C7A">
        <w:rPr>
          <w:rFonts w:ascii="Verdana" w:eastAsia="Calibri" w:hAnsi="Verdana" w:cs="Tahoma"/>
          <w:bCs/>
          <w:i/>
          <w:color w:val="000000"/>
          <w:sz w:val="20"/>
          <w:szCs w:val="20"/>
          <w:shd w:val="clear" w:color="auto" w:fill="FFFFFF"/>
          <w:lang w:val="en-US"/>
        </w:rPr>
        <w:t>,</w:t>
      </w:r>
      <w:r w:rsidRPr="00EA6C7A">
        <w:rPr>
          <w:rFonts w:ascii="Verdana" w:eastAsia="Calibri" w:hAnsi="Verdana" w:cs="Tahoma"/>
          <w:bCs/>
          <w:i/>
          <w:color w:val="000000"/>
          <w:sz w:val="20"/>
          <w:szCs w:val="20"/>
          <w:shd w:val="clear" w:color="auto" w:fill="FFFFFF"/>
          <w:lang w:val="en-US"/>
        </w:rPr>
        <w:t xml:space="preserve"> </w:t>
      </w:r>
      <w:r w:rsidR="000B1A31" w:rsidRPr="00EA6C7A">
        <w:rPr>
          <w:rFonts w:ascii="Verdana" w:eastAsia="Calibri" w:hAnsi="Verdana" w:cs="Tahoma"/>
          <w:bCs/>
          <w:color w:val="000000"/>
          <w:sz w:val="20"/>
          <w:szCs w:val="20"/>
          <w:shd w:val="clear" w:color="auto" w:fill="FFFFFF"/>
          <w:lang w:val="en-US"/>
        </w:rPr>
        <w:t>decided in</w:t>
      </w:r>
      <w:r w:rsidRPr="00EA6C7A">
        <w:rPr>
          <w:rFonts w:ascii="Verdana" w:eastAsia="Calibri" w:hAnsi="Verdana" w:cs="Tahoma"/>
          <w:bCs/>
          <w:color w:val="000000"/>
          <w:sz w:val="20"/>
          <w:szCs w:val="20"/>
          <w:shd w:val="clear" w:color="auto" w:fill="FFFFFF"/>
          <w:lang w:val="en-US"/>
        </w:rPr>
        <w:t xml:space="preserve"> 2014.</w:t>
      </w:r>
    </w:p>
    <w:p w14:paraId="6DA8DC49"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0217D96E"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33. </w:t>
      </w:r>
      <w:r w:rsidRPr="00EA6C7A">
        <w:rPr>
          <w:rFonts w:ascii="Verdana" w:eastAsia="Calibri" w:hAnsi="Verdana" w:cs="Tahoma"/>
          <w:bCs/>
          <w:color w:val="000000"/>
          <w:sz w:val="20"/>
          <w:szCs w:val="20"/>
          <w:shd w:val="clear" w:color="auto" w:fill="FFFFFF"/>
          <w:lang w:val="en-US"/>
        </w:rPr>
        <w:tab/>
      </w:r>
      <w:r w:rsidR="00576E40" w:rsidRPr="00EA6C7A">
        <w:rPr>
          <w:rFonts w:ascii="Verdana" w:eastAsia="Calibri" w:hAnsi="Verdana" w:cs="Tahoma"/>
          <w:bCs/>
          <w:color w:val="000000"/>
          <w:sz w:val="20"/>
          <w:szCs w:val="20"/>
          <w:shd w:val="clear" w:color="auto" w:fill="FFFFFF"/>
          <w:lang w:val="en-US"/>
        </w:rPr>
        <w:t>In general</w:t>
      </w:r>
      <w:r w:rsidR="000B1A31" w:rsidRPr="00EA6C7A">
        <w:rPr>
          <w:rFonts w:ascii="Verdana" w:eastAsia="Calibri" w:hAnsi="Verdana" w:cs="Tahoma"/>
          <w:bCs/>
          <w:color w:val="000000"/>
          <w:sz w:val="20"/>
          <w:szCs w:val="20"/>
          <w:shd w:val="clear" w:color="auto" w:fill="FFFFFF"/>
          <w:lang w:val="en-US"/>
        </w:rPr>
        <w:t xml:space="preserve">, it is worth mentioning that, as can be seen throughout the judgment, </w:t>
      </w:r>
      <w:r w:rsidR="00576E40" w:rsidRPr="00EA6C7A">
        <w:rPr>
          <w:rFonts w:ascii="Verdana" w:eastAsia="Calibri" w:hAnsi="Verdana" w:cs="Tahoma"/>
          <w:bCs/>
          <w:color w:val="000000"/>
          <w:sz w:val="20"/>
          <w:szCs w:val="20"/>
          <w:shd w:val="clear" w:color="auto" w:fill="FFFFFF"/>
          <w:lang w:val="en-US"/>
        </w:rPr>
        <w:t>given that</w:t>
      </w:r>
      <w:r w:rsidR="000B1A31" w:rsidRPr="00EA6C7A">
        <w:rPr>
          <w:rFonts w:ascii="Verdana" w:eastAsia="Calibri" w:hAnsi="Verdana" w:cs="Tahoma"/>
          <w:bCs/>
          <w:color w:val="000000"/>
          <w:sz w:val="20"/>
          <w:szCs w:val="20"/>
          <w:shd w:val="clear" w:color="auto" w:fill="FFFFFF"/>
          <w:lang w:val="en-US"/>
        </w:rPr>
        <w:t xml:space="preserve"> the facts of this specific case bear a sequential relationship to the facts of </w:t>
      </w:r>
      <w:r w:rsidR="00D5307F" w:rsidRPr="00EA6C7A">
        <w:rPr>
          <w:rFonts w:ascii="Verdana" w:eastAsia="Calibri" w:hAnsi="Verdana" w:cs="Tahoma"/>
          <w:bCs/>
          <w:color w:val="000000"/>
          <w:sz w:val="20"/>
          <w:szCs w:val="20"/>
          <w:shd w:val="clear" w:color="auto" w:fill="FFFFFF"/>
          <w:lang w:val="en-US"/>
        </w:rPr>
        <w:t>the case of</w:t>
      </w:r>
      <w:r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i/>
          <w:color w:val="000000"/>
          <w:sz w:val="20"/>
          <w:szCs w:val="20"/>
          <w:shd w:val="clear" w:color="auto" w:fill="FFFFFF"/>
          <w:lang w:val="en-US"/>
        </w:rPr>
        <w:t xml:space="preserve">Veliz </w:t>
      </w:r>
      <w:r w:rsidR="006A51FD" w:rsidRPr="00EA6C7A">
        <w:rPr>
          <w:rFonts w:ascii="Verdana" w:eastAsia="Calibri" w:hAnsi="Verdana" w:cs="Tahoma"/>
          <w:bCs/>
          <w:i/>
          <w:color w:val="000000"/>
          <w:sz w:val="20"/>
          <w:szCs w:val="20"/>
          <w:shd w:val="clear" w:color="auto" w:fill="FFFFFF"/>
          <w:lang w:val="en-US"/>
        </w:rPr>
        <w:t>Franco et al.</w:t>
      </w:r>
      <w:r w:rsidRPr="00EA6C7A">
        <w:rPr>
          <w:rFonts w:ascii="Verdana" w:eastAsia="Calibri" w:hAnsi="Verdana" w:cs="Tahoma"/>
          <w:bCs/>
          <w:i/>
          <w:color w:val="000000"/>
          <w:sz w:val="20"/>
          <w:szCs w:val="20"/>
          <w:shd w:val="clear" w:color="auto" w:fill="FFFFFF"/>
          <w:lang w:val="en-US"/>
        </w:rPr>
        <w:t xml:space="preserve"> v. Guatemala,</w:t>
      </w:r>
      <w:r w:rsidRPr="00EA6C7A">
        <w:rPr>
          <w:rFonts w:ascii="Verdana" w:eastAsia="Calibri" w:hAnsi="Verdana" w:cs="Tahoma"/>
          <w:bCs/>
          <w:color w:val="000000"/>
          <w:sz w:val="20"/>
          <w:szCs w:val="20"/>
          <w:shd w:val="clear" w:color="auto" w:fill="FFFFFF"/>
          <w:lang w:val="en-US"/>
        </w:rPr>
        <w:t xml:space="preserve"> </w:t>
      </w:r>
      <w:r w:rsidR="000B1A31" w:rsidRPr="00EA6C7A">
        <w:rPr>
          <w:rFonts w:ascii="Verdana" w:eastAsia="Calibri" w:hAnsi="Verdana" w:cs="Tahoma"/>
          <w:bCs/>
          <w:color w:val="000000"/>
          <w:sz w:val="20"/>
          <w:szCs w:val="20"/>
          <w:shd w:val="clear" w:color="auto" w:fill="FFFFFF"/>
          <w:lang w:val="en-US"/>
        </w:rPr>
        <w:t>the Court’s consideration</w:t>
      </w:r>
      <w:r w:rsidR="00576E40" w:rsidRPr="00EA6C7A">
        <w:rPr>
          <w:rFonts w:ascii="Verdana" w:eastAsia="Calibri" w:hAnsi="Verdana" w:cs="Tahoma"/>
          <w:bCs/>
          <w:color w:val="000000"/>
          <w:sz w:val="20"/>
          <w:szCs w:val="20"/>
          <w:shd w:val="clear" w:color="auto" w:fill="FFFFFF"/>
          <w:lang w:val="en-US"/>
        </w:rPr>
        <w:t>s</w:t>
      </w:r>
      <w:r w:rsidR="000B1A31" w:rsidRPr="00EA6C7A">
        <w:rPr>
          <w:rFonts w:ascii="Verdana" w:eastAsia="Calibri" w:hAnsi="Verdana" w:cs="Tahoma"/>
          <w:bCs/>
          <w:color w:val="000000"/>
          <w:sz w:val="20"/>
          <w:szCs w:val="20"/>
          <w:shd w:val="clear" w:color="auto" w:fill="FFFFFF"/>
          <w:lang w:val="en-US"/>
        </w:rPr>
        <w:t xml:space="preserve"> in that case were constantly cited in this judgment, especially </w:t>
      </w:r>
      <w:r w:rsidR="00671A06" w:rsidRPr="00EA6C7A">
        <w:rPr>
          <w:rFonts w:ascii="Verdana" w:eastAsia="Calibri" w:hAnsi="Verdana" w:cs="Tahoma"/>
          <w:bCs/>
          <w:color w:val="000000"/>
          <w:sz w:val="20"/>
          <w:szCs w:val="20"/>
          <w:shd w:val="clear" w:color="auto" w:fill="FFFFFF"/>
          <w:lang w:val="en-US"/>
        </w:rPr>
        <w:t>with</w:t>
      </w:r>
      <w:r w:rsidR="000B1A31" w:rsidRPr="00EA6C7A">
        <w:rPr>
          <w:rFonts w:ascii="Verdana" w:eastAsia="Calibri" w:hAnsi="Verdana" w:cs="Tahoma"/>
          <w:bCs/>
          <w:color w:val="000000"/>
          <w:sz w:val="20"/>
          <w:szCs w:val="20"/>
          <w:shd w:val="clear" w:color="auto" w:fill="FFFFFF"/>
          <w:lang w:val="en-US"/>
        </w:rPr>
        <w:t xml:space="preserve"> regard to the establishment of a “context” of an </w:t>
      </w:r>
      <w:r w:rsidR="00576E40" w:rsidRPr="00EA6C7A">
        <w:rPr>
          <w:rFonts w:ascii="Verdana" w:eastAsia="Calibri" w:hAnsi="Verdana" w:cs="Tahoma"/>
          <w:bCs/>
          <w:color w:val="000000"/>
          <w:sz w:val="20"/>
          <w:szCs w:val="20"/>
          <w:shd w:val="clear" w:color="auto" w:fill="FFFFFF"/>
          <w:lang w:val="en-US"/>
        </w:rPr>
        <w:t>escalation</w:t>
      </w:r>
      <w:r w:rsidR="000B1A31" w:rsidRPr="00EA6C7A">
        <w:rPr>
          <w:rFonts w:ascii="Verdana" w:eastAsia="Calibri" w:hAnsi="Verdana" w:cs="Tahoma"/>
          <w:bCs/>
          <w:color w:val="000000"/>
          <w:sz w:val="20"/>
          <w:szCs w:val="20"/>
          <w:shd w:val="clear" w:color="auto" w:fill="FFFFFF"/>
          <w:lang w:val="en-US"/>
        </w:rPr>
        <w:t xml:space="preserve"> of </w:t>
      </w:r>
      <w:r w:rsidR="00C12C08" w:rsidRPr="00EA6C7A">
        <w:rPr>
          <w:rFonts w:ascii="Verdana" w:eastAsia="Calibri" w:hAnsi="Verdana" w:cs="Tahoma"/>
          <w:bCs/>
          <w:color w:val="000000"/>
          <w:sz w:val="20"/>
          <w:szCs w:val="20"/>
          <w:shd w:val="clear" w:color="auto" w:fill="FFFFFF"/>
          <w:lang w:val="en-US"/>
        </w:rPr>
        <w:t>violence against women</w:t>
      </w:r>
      <w:r w:rsidRPr="00EA6C7A">
        <w:rPr>
          <w:rFonts w:ascii="Verdana" w:eastAsia="Calibri" w:hAnsi="Verdana" w:cs="Tahoma"/>
          <w:bCs/>
          <w:color w:val="000000"/>
          <w:sz w:val="20"/>
          <w:szCs w:val="20"/>
          <w:shd w:val="clear" w:color="auto" w:fill="FFFFFF"/>
          <w:lang w:val="en-US"/>
        </w:rPr>
        <w:t xml:space="preserve">. </w:t>
      </w:r>
    </w:p>
    <w:p w14:paraId="67FCFCA4"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6F751BCF"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34. </w:t>
      </w:r>
      <w:r w:rsidRPr="00EA6C7A">
        <w:rPr>
          <w:rFonts w:ascii="Verdana" w:eastAsia="Calibri" w:hAnsi="Verdana" w:cs="Tahoma"/>
          <w:bCs/>
          <w:color w:val="000000"/>
          <w:sz w:val="20"/>
          <w:szCs w:val="20"/>
          <w:shd w:val="clear" w:color="auto" w:fill="FFFFFF"/>
          <w:lang w:val="en-US"/>
        </w:rPr>
        <w:tab/>
      </w:r>
      <w:r w:rsidR="000B1A31" w:rsidRPr="00EA6C7A">
        <w:rPr>
          <w:rFonts w:ascii="Verdana" w:eastAsia="Calibri" w:hAnsi="Verdana" w:cs="Tahoma"/>
          <w:bCs/>
          <w:color w:val="000000"/>
          <w:sz w:val="20"/>
          <w:szCs w:val="20"/>
          <w:shd w:val="clear" w:color="auto" w:fill="FFFFFF"/>
          <w:lang w:val="en-US"/>
        </w:rPr>
        <w:t xml:space="preserve">I consider that this </w:t>
      </w:r>
      <w:r w:rsidRPr="00EA6C7A">
        <w:rPr>
          <w:rFonts w:ascii="Verdana" w:eastAsia="Calibri" w:hAnsi="Verdana" w:cs="Tahoma"/>
          <w:bCs/>
          <w:color w:val="000000"/>
          <w:sz w:val="20"/>
          <w:szCs w:val="20"/>
          <w:shd w:val="clear" w:color="auto" w:fill="FFFFFF"/>
          <w:lang w:val="en-US"/>
        </w:rPr>
        <w:t xml:space="preserve">“context” </w:t>
      </w:r>
      <w:r w:rsidR="000B1A31" w:rsidRPr="00EA6C7A">
        <w:rPr>
          <w:rFonts w:ascii="Verdana" w:eastAsia="Calibri" w:hAnsi="Verdana" w:cs="Tahoma"/>
          <w:bCs/>
          <w:color w:val="000000"/>
          <w:sz w:val="20"/>
          <w:szCs w:val="20"/>
          <w:shd w:val="clear" w:color="auto" w:fill="FFFFFF"/>
          <w:lang w:val="en-US"/>
        </w:rPr>
        <w:t xml:space="preserve">is of fundamental importance for the analysis of the State </w:t>
      </w:r>
      <w:r w:rsidR="00D5307F" w:rsidRPr="00EA6C7A">
        <w:rPr>
          <w:rFonts w:ascii="Verdana" w:eastAsia="Calibri" w:hAnsi="Verdana" w:cs="Tahoma"/>
          <w:bCs/>
          <w:color w:val="000000"/>
          <w:sz w:val="20"/>
          <w:szCs w:val="20"/>
          <w:shd w:val="clear" w:color="auto" w:fill="FFFFFF"/>
          <w:lang w:val="en-US"/>
        </w:rPr>
        <w:t>obligation of prevention</w:t>
      </w:r>
      <w:r w:rsidRPr="00EA6C7A">
        <w:rPr>
          <w:rFonts w:ascii="Verdana" w:eastAsia="Calibri" w:hAnsi="Verdana" w:cs="Tahoma"/>
          <w:bCs/>
          <w:color w:val="000000"/>
          <w:sz w:val="20"/>
          <w:szCs w:val="20"/>
          <w:shd w:val="clear" w:color="auto" w:fill="FFFFFF"/>
          <w:lang w:val="en-US"/>
        </w:rPr>
        <w:t>, particular</w:t>
      </w:r>
      <w:r w:rsidR="000B1A31" w:rsidRPr="00EA6C7A">
        <w:rPr>
          <w:rFonts w:ascii="Verdana" w:eastAsia="Calibri" w:hAnsi="Verdana" w:cs="Tahoma"/>
          <w:bCs/>
          <w:color w:val="000000"/>
          <w:sz w:val="20"/>
          <w:szCs w:val="20"/>
          <w:shd w:val="clear" w:color="auto" w:fill="FFFFFF"/>
          <w:lang w:val="en-US"/>
        </w:rPr>
        <w:t xml:space="preserve">ly when examining the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first moment</w:t>
      </w:r>
      <w:r w:rsidRPr="00EA6C7A">
        <w:rPr>
          <w:rFonts w:ascii="Verdana" w:eastAsia="Calibri" w:hAnsi="Verdana" w:cs="Tahoma"/>
          <w:bCs/>
          <w:color w:val="000000"/>
          <w:sz w:val="20"/>
          <w:szCs w:val="20"/>
          <w:shd w:val="clear" w:color="auto" w:fill="FFFFFF"/>
          <w:lang w:val="en-US"/>
        </w:rPr>
        <w:t xml:space="preserve">”; </w:t>
      </w:r>
      <w:r w:rsidR="000B1A31" w:rsidRPr="00EA6C7A">
        <w:rPr>
          <w:rFonts w:ascii="Verdana" w:eastAsia="Calibri" w:hAnsi="Verdana" w:cs="Tahoma"/>
          <w:bCs/>
          <w:color w:val="000000"/>
          <w:sz w:val="20"/>
          <w:szCs w:val="20"/>
          <w:shd w:val="clear" w:color="auto" w:fill="FFFFFF"/>
          <w:lang w:val="en-US"/>
        </w:rPr>
        <w:t xml:space="preserve">in other words, the general obligation to prevent the disappearance and murder of women. That is why I consider it essential to emphasize the </w:t>
      </w:r>
      <w:r w:rsidR="00576E40" w:rsidRPr="00EA6C7A">
        <w:rPr>
          <w:rFonts w:ascii="Verdana" w:eastAsia="Calibri" w:hAnsi="Verdana" w:cs="Tahoma"/>
          <w:bCs/>
          <w:color w:val="000000"/>
          <w:sz w:val="20"/>
          <w:szCs w:val="20"/>
          <w:shd w:val="clear" w:color="auto" w:fill="FFFFFF"/>
          <w:lang w:val="en-US"/>
        </w:rPr>
        <w:t>signific</w:t>
      </w:r>
      <w:r w:rsidR="000B1A31" w:rsidRPr="00EA6C7A">
        <w:rPr>
          <w:rFonts w:ascii="Verdana" w:eastAsia="Calibri" w:hAnsi="Verdana" w:cs="Tahoma"/>
          <w:bCs/>
          <w:color w:val="000000"/>
          <w:sz w:val="20"/>
          <w:szCs w:val="20"/>
          <w:shd w:val="clear" w:color="auto" w:fill="FFFFFF"/>
          <w:lang w:val="en-US"/>
        </w:rPr>
        <w:t>ance of the context of this case, and then to examine in gr</w:t>
      </w:r>
      <w:r w:rsidR="00576E40" w:rsidRPr="00EA6C7A">
        <w:rPr>
          <w:rFonts w:ascii="Verdana" w:eastAsia="Calibri" w:hAnsi="Verdana" w:cs="Tahoma"/>
          <w:bCs/>
          <w:color w:val="000000"/>
          <w:sz w:val="20"/>
          <w:szCs w:val="20"/>
          <w:shd w:val="clear" w:color="auto" w:fill="FFFFFF"/>
          <w:lang w:val="en-US"/>
        </w:rPr>
        <w:t>e</w:t>
      </w:r>
      <w:r w:rsidR="000B1A31" w:rsidRPr="00EA6C7A">
        <w:rPr>
          <w:rFonts w:ascii="Verdana" w:eastAsia="Calibri" w:hAnsi="Verdana" w:cs="Tahoma"/>
          <w:bCs/>
          <w:color w:val="000000"/>
          <w:sz w:val="20"/>
          <w:szCs w:val="20"/>
          <w:shd w:val="clear" w:color="auto" w:fill="FFFFFF"/>
          <w:lang w:val="en-US"/>
        </w:rPr>
        <w:t xml:space="preserve">ater detail the State’s duty to </w:t>
      </w:r>
      <w:r w:rsidR="00576E40" w:rsidRPr="00EA6C7A">
        <w:rPr>
          <w:rFonts w:ascii="Verdana" w:eastAsia="Calibri" w:hAnsi="Verdana" w:cs="Tahoma"/>
          <w:bCs/>
          <w:color w:val="000000"/>
          <w:sz w:val="20"/>
          <w:szCs w:val="20"/>
          <w:shd w:val="clear" w:color="auto" w:fill="FFFFFF"/>
          <w:lang w:val="en-US"/>
        </w:rPr>
        <w:t>guarantee</w:t>
      </w:r>
      <w:r w:rsidR="000B1A31" w:rsidRPr="00EA6C7A">
        <w:rPr>
          <w:rFonts w:ascii="Verdana" w:eastAsia="Calibri" w:hAnsi="Verdana" w:cs="Tahoma"/>
          <w:bCs/>
          <w:color w:val="000000"/>
          <w:sz w:val="20"/>
          <w:szCs w:val="20"/>
          <w:shd w:val="clear" w:color="auto" w:fill="FFFFFF"/>
          <w:lang w:val="en-US"/>
        </w:rPr>
        <w:t xml:space="preserve"> rights </w:t>
      </w:r>
      <w:r w:rsidR="00576E40" w:rsidRPr="00EA6C7A">
        <w:rPr>
          <w:rFonts w:ascii="Verdana" w:eastAsia="Calibri" w:hAnsi="Verdana" w:cs="Tahoma"/>
          <w:bCs/>
          <w:color w:val="000000"/>
          <w:sz w:val="20"/>
          <w:szCs w:val="20"/>
          <w:shd w:val="clear" w:color="auto" w:fill="FFFFFF"/>
          <w:lang w:val="en-US"/>
        </w:rPr>
        <w:t>by means of</w:t>
      </w:r>
      <w:r w:rsidR="000B1A31" w:rsidRPr="00EA6C7A">
        <w:rPr>
          <w:rFonts w:ascii="Verdana" w:eastAsia="Calibri" w:hAnsi="Verdana" w:cs="Tahoma"/>
          <w:bCs/>
          <w:color w:val="000000"/>
          <w:sz w:val="20"/>
          <w:szCs w:val="20"/>
          <w:shd w:val="clear" w:color="auto" w:fill="FFFFFF"/>
          <w:lang w:val="en-US"/>
        </w:rPr>
        <w:t xml:space="preserve"> the </w:t>
      </w:r>
      <w:r w:rsidR="00D5307F" w:rsidRPr="00EA6C7A">
        <w:rPr>
          <w:rFonts w:ascii="Verdana" w:eastAsia="Calibri" w:hAnsi="Verdana" w:cs="Tahoma"/>
          <w:bCs/>
          <w:color w:val="000000"/>
          <w:sz w:val="20"/>
          <w:szCs w:val="20"/>
          <w:shd w:val="clear" w:color="auto" w:fill="FFFFFF"/>
          <w:lang w:val="en-US"/>
        </w:rPr>
        <w:t>obligation of prevention</w:t>
      </w:r>
      <w:r w:rsidRPr="00EA6C7A">
        <w:rPr>
          <w:rFonts w:ascii="Verdana" w:eastAsia="Calibri" w:hAnsi="Verdana" w:cs="Tahoma"/>
          <w:bCs/>
          <w:color w:val="000000"/>
          <w:sz w:val="20"/>
          <w:szCs w:val="20"/>
          <w:shd w:val="clear" w:color="auto" w:fill="FFFFFF"/>
          <w:lang w:val="en-US"/>
        </w:rPr>
        <w:t xml:space="preserve">, </w:t>
      </w:r>
      <w:r w:rsidR="000B1A31" w:rsidRPr="00EA6C7A">
        <w:rPr>
          <w:rFonts w:ascii="Verdana" w:eastAsia="Calibri" w:hAnsi="Verdana" w:cs="Tahoma"/>
          <w:bCs/>
          <w:color w:val="000000"/>
          <w:sz w:val="20"/>
          <w:szCs w:val="20"/>
          <w:shd w:val="clear" w:color="auto" w:fill="FFFFFF"/>
          <w:lang w:val="en-US"/>
        </w:rPr>
        <w:t xml:space="preserve">which will be examined using the </w:t>
      </w:r>
      <w:r w:rsidR="00576E40" w:rsidRPr="00EA6C7A">
        <w:rPr>
          <w:rFonts w:ascii="Verdana" w:eastAsia="Calibri" w:hAnsi="Verdana" w:cs="Tahoma"/>
          <w:bCs/>
          <w:color w:val="000000"/>
          <w:sz w:val="20"/>
          <w:szCs w:val="20"/>
          <w:shd w:val="clear" w:color="auto" w:fill="FFFFFF"/>
          <w:lang w:val="en-US"/>
        </w:rPr>
        <w:t>criterion</w:t>
      </w:r>
      <w:r w:rsidR="000B1A31" w:rsidRPr="00EA6C7A">
        <w:rPr>
          <w:rFonts w:ascii="Verdana" w:eastAsia="Calibri" w:hAnsi="Verdana" w:cs="Tahoma"/>
          <w:bCs/>
          <w:color w:val="000000"/>
          <w:sz w:val="20"/>
          <w:szCs w:val="20"/>
          <w:shd w:val="clear" w:color="auto" w:fill="FFFFFF"/>
          <w:lang w:val="en-US"/>
        </w:rPr>
        <w:t xml:space="preserve"> of the </w:t>
      </w:r>
      <w:r w:rsidRPr="00EA6C7A">
        <w:rPr>
          <w:rFonts w:ascii="Verdana" w:eastAsia="Calibri" w:hAnsi="Verdana" w:cs="Tahoma"/>
          <w:bCs/>
          <w:color w:val="000000"/>
          <w:sz w:val="20"/>
          <w:szCs w:val="20"/>
          <w:shd w:val="clear" w:color="auto" w:fill="FFFFFF"/>
          <w:lang w:val="en-US"/>
        </w:rPr>
        <w:t>“</w:t>
      </w:r>
      <w:r w:rsidR="007C280B" w:rsidRPr="00EA6C7A">
        <w:rPr>
          <w:rFonts w:ascii="Verdana" w:eastAsia="Calibri" w:hAnsi="Verdana" w:cs="Tahoma"/>
          <w:bCs/>
          <w:color w:val="000000"/>
          <w:sz w:val="20"/>
          <w:szCs w:val="20"/>
          <w:shd w:val="clear" w:color="auto" w:fill="FFFFFF"/>
          <w:lang w:val="en-US"/>
        </w:rPr>
        <w:t>two moments</w:t>
      </w:r>
      <w:r w:rsidRPr="00EA6C7A">
        <w:rPr>
          <w:rFonts w:ascii="Verdana" w:eastAsia="Calibri" w:hAnsi="Verdana" w:cs="Tahoma"/>
          <w:bCs/>
          <w:color w:val="000000"/>
          <w:sz w:val="20"/>
          <w:szCs w:val="20"/>
          <w:shd w:val="clear" w:color="auto" w:fill="FFFFFF"/>
          <w:lang w:val="en-US"/>
        </w:rPr>
        <w:t xml:space="preserve">” </w:t>
      </w:r>
      <w:r w:rsidR="000B1A31" w:rsidRPr="00EA6C7A">
        <w:rPr>
          <w:rFonts w:ascii="Verdana" w:eastAsia="Calibri" w:hAnsi="Verdana" w:cs="Tahoma"/>
          <w:bCs/>
          <w:color w:val="000000"/>
          <w:sz w:val="20"/>
          <w:szCs w:val="20"/>
          <w:shd w:val="clear" w:color="auto" w:fill="FFFFFF"/>
          <w:lang w:val="en-US"/>
        </w:rPr>
        <w:t xml:space="preserve">of this obligation, already used by the Court in the two cases of </w:t>
      </w:r>
      <w:r w:rsidR="00C12C08" w:rsidRPr="00EA6C7A">
        <w:rPr>
          <w:rFonts w:ascii="Verdana" w:eastAsia="Calibri" w:hAnsi="Verdana" w:cs="Tahoma"/>
          <w:bCs/>
          <w:color w:val="000000"/>
          <w:sz w:val="20"/>
          <w:szCs w:val="20"/>
          <w:shd w:val="clear" w:color="auto" w:fill="FFFFFF"/>
          <w:lang w:val="en-US"/>
        </w:rPr>
        <w:t>violence against women</w:t>
      </w:r>
      <w:r w:rsidRPr="00EA6C7A">
        <w:rPr>
          <w:rFonts w:ascii="Verdana" w:eastAsia="Calibri" w:hAnsi="Verdana" w:cs="Tahoma"/>
          <w:bCs/>
          <w:color w:val="000000"/>
          <w:sz w:val="20"/>
          <w:szCs w:val="20"/>
          <w:shd w:val="clear" w:color="auto" w:fill="FFFFFF"/>
          <w:lang w:val="en-US"/>
        </w:rPr>
        <w:t xml:space="preserve"> </w:t>
      </w:r>
      <w:r w:rsidR="00284CB5" w:rsidRPr="00EA6C7A">
        <w:rPr>
          <w:rFonts w:ascii="Verdana" w:eastAsia="Calibri" w:hAnsi="Verdana" w:cs="Tahoma"/>
          <w:bCs/>
          <w:color w:val="000000"/>
          <w:sz w:val="20"/>
          <w:szCs w:val="20"/>
          <w:shd w:val="clear" w:color="auto" w:fill="FFFFFF"/>
          <w:lang w:val="en-US"/>
        </w:rPr>
        <w:t>highlighted in the preceding section.</w:t>
      </w:r>
    </w:p>
    <w:p w14:paraId="7AB8CB2F"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1E57B500" w14:textId="77777777" w:rsidR="00175ABB" w:rsidRPr="00EA6C7A" w:rsidRDefault="00175ABB" w:rsidP="00175ABB">
      <w:pPr>
        <w:spacing w:after="0" w:line="240" w:lineRule="auto"/>
        <w:jc w:val="both"/>
        <w:rPr>
          <w:rFonts w:ascii="Verdana" w:eastAsia="Calibri" w:hAnsi="Verdana" w:cs="Tahoma"/>
          <w:bCs/>
          <w:i/>
          <w:color w:val="000000"/>
          <w:sz w:val="20"/>
          <w:szCs w:val="20"/>
          <w:u w:val="single"/>
          <w:shd w:val="clear" w:color="auto" w:fill="FFFFFF"/>
          <w:lang w:val="en-US"/>
        </w:rPr>
      </w:pPr>
      <w:r w:rsidRPr="00EA6C7A">
        <w:rPr>
          <w:rFonts w:ascii="Verdana" w:eastAsia="Calibri" w:hAnsi="Verdana" w:cs="Tahoma"/>
          <w:bCs/>
          <w:i/>
          <w:color w:val="000000"/>
          <w:sz w:val="20"/>
          <w:szCs w:val="20"/>
          <w:u w:val="single"/>
          <w:shd w:val="clear" w:color="auto" w:fill="FFFFFF"/>
          <w:lang w:val="en-US"/>
        </w:rPr>
        <w:t xml:space="preserve">III.1 </w:t>
      </w:r>
      <w:r w:rsidR="007C280B" w:rsidRPr="00EA6C7A">
        <w:rPr>
          <w:rFonts w:ascii="Verdana" w:eastAsia="Calibri" w:hAnsi="Verdana" w:cs="Tahoma"/>
          <w:bCs/>
          <w:i/>
          <w:color w:val="000000"/>
          <w:sz w:val="20"/>
          <w:szCs w:val="20"/>
          <w:u w:val="single"/>
          <w:shd w:val="clear" w:color="auto" w:fill="FFFFFF"/>
          <w:lang w:val="en-US"/>
        </w:rPr>
        <w:t>The context of</w:t>
      </w:r>
      <w:r w:rsidRPr="00EA6C7A">
        <w:rPr>
          <w:rFonts w:ascii="Verdana" w:eastAsia="Calibri" w:hAnsi="Verdana" w:cs="Tahoma"/>
          <w:bCs/>
          <w:i/>
          <w:color w:val="000000"/>
          <w:sz w:val="20"/>
          <w:szCs w:val="20"/>
          <w:u w:val="single"/>
          <w:shd w:val="clear" w:color="auto" w:fill="FFFFFF"/>
          <w:lang w:val="en-US"/>
        </w:rPr>
        <w:t xml:space="preserve"> </w:t>
      </w:r>
      <w:r w:rsidR="00C12C08" w:rsidRPr="00EA6C7A">
        <w:rPr>
          <w:rFonts w:ascii="Verdana" w:eastAsia="Calibri" w:hAnsi="Verdana" w:cs="Tahoma"/>
          <w:bCs/>
          <w:i/>
          <w:color w:val="000000"/>
          <w:sz w:val="20"/>
          <w:szCs w:val="20"/>
          <w:u w:val="single"/>
          <w:shd w:val="clear" w:color="auto" w:fill="FFFFFF"/>
          <w:lang w:val="en-US"/>
        </w:rPr>
        <w:t>violence against women</w:t>
      </w:r>
      <w:r w:rsidR="00FC7D3B" w:rsidRPr="00EA6C7A">
        <w:rPr>
          <w:rFonts w:ascii="Verdana" w:eastAsia="Calibri" w:hAnsi="Verdana" w:cs="Tahoma"/>
          <w:bCs/>
          <w:i/>
          <w:color w:val="000000"/>
          <w:sz w:val="20"/>
          <w:szCs w:val="20"/>
          <w:u w:val="single"/>
          <w:shd w:val="clear" w:color="auto" w:fill="FFFFFF"/>
          <w:lang w:val="en-US"/>
        </w:rPr>
        <w:t xml:space="preserve"> in Guatemala</w:t>
      </w:r>
    </w:p>
    <w:p w14:paraId="25C77C45" w14:textId="77777777" w:rsidR="00175ABB" w:rsidRPr="00EA6C7A" w:rsidRDefault="00175ABB" w:rsidP="00175ABB">
      <w:pPr>
        <w:spacing w:after="0" w:line="240" w:lineRule="auto"/>
        <w:jc w:val="both"/>
        <w:rPr>
          <w:rFonts w:ascii="Verdana" w:eastAsia="Calibri" w:hAnsi="Verdana" w:cs="Tahoma"/>
          <w:bCs/>
          <w:i/>
          <w:color w:val="000000"/>
          <w:sz w:val="20"/>
          <w:szCs w:val="20"/>
          <w:shd w:val="clear" w:color="auto" w:fill="FFFFFF"/>
          <w:lang w:val="en-US"/>
        </w:rPr>
      </w:pPr>
    </w:p>
    <w:p w14:paraId="70F7308A" w14:textId="77777777" w:rsidR="00175ABB" w:rsidRPr="00EA6C7A" w:rsidRDefault="00175ABB" w:rsidP="00175ABB">
      <w:pPr>
        <w:spacing w:after="0" w:line="240" w:lineRule="auto"/>
        <w:jc w:val="both"/>
        <w:rPr>
          <w:rFonts w:ascii="Verdana" w:eastAsia="Calibri" w:hAnsi="Verdana" w:cs="Tahoma"/>
          <w:bCs/>
          <w:i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35.</w:t>
      </w:r>
      <w:r w:rsidRPr="00EA6C7A">
        <w:rPr>
          <w:rFonts w:ascii="Verdana" w:eastAsia="Calibri" w:hAnsi="Verdana" w:cs="Tahoma"/>
          <w:bCs/>
          <w:color w:val="000000"/>
          <w:sz w:val="20"/>
          <w:szCs w:val="20"/>
          <w:shd w:val="clear" w:color="auto" w:fill="FFFFFF"/>
          <w:lang w:val="en-US"/>
        </w:rPr>
        <w:tab/>
      </w:r>
      <w:r w:rsidR="00284CB5" w:rsidRPr="00EA6C7A">
        <w:rPr>
          <w:rFonts w:ascii="Verdana" w:eastAsia="Calibri" w:hAnsi="Verdana" w:cs="Tahoma"/>
          <w:bCs/>
          <w:color w:val="000000"/>
          <w:sz w:val="20"/>
          <w:szCs w:val="20"/>
          <w:shd w:val="clear" w:color="auto" w:fill="FFFFFF"/>
          <w:lang w:val="en-US"/>
        </w:rPr>
        <w:t>The context represents a useful and necessary tool for understanding the specific facts of the case and determining the responsibility of the State. It should be mentioned that, when establishing the context of this case, various aspects of the context found in the case of</w:t>
      </w:r>
      <w:r w:rsidR="00284CB5" w:rsidRPr="00EA6C7A">
        <w:rPr>
          <w:rFonts w:ascii="Verdana" w:eastAsia="Calibri" w:hAnsi="Verdana" w:cs="Tahoma"/>
          <w:bCs/>
          <w:i/>
          <w:color w:val="000000"/>
          <w:sz w:val="20"/>
          <w:szCs w:val="20"/>
          <w:shd w:val="clear" w:color="auto" w:fill="FFFFFF"/>
          <w:lang w:val="en-US"/>
        </w:rPr>
        <w:t xml:space="preserve"> Veliz Franco et al. v. Guatemala</w:t>
      </w:r>
      <w:r w:rsidR="00284CB5" w:rsidRPr="00EA6C7A">
        <w:rPr>
          <w:rFonts w:ascii="Verdana" w:eastAsia="Calibri" w:hAnsi="Verdana" w:cs="Tahoma"/>
          <w:bCs/>
          <w:iCs/>
          <w:color w:val="000000"/>
          <w:sz w:val="20"/>
          <w:szCs w:val="20"/>
          <w:shd w:val="clear" w:color="auto" w:fill="FFFFFF"/>
          <w:lang w:val="en-US"/>
        </w:rPr>
        <w:t xml:space="preserve"> were referred to as a result of the sequential relationship between the two cases.</w:t>
      </w:r>
      <w:r w:rsidRPr="00EA6C7A">
        <w:rPr>
          <w:rFonts w:ascii="Verdana" w:eastAsia="Calibri" w:hAnsi="Verdana" w:cs="Tahoma"/>
          <w:bCs/>
          <w:color w:val="000000"/>
          <w:sz w:val="20"/>
          <w:szCs w:val="20"/>
          <w:shd w:val="clear" w:color="auto" w:fill="FFFFFF"/>
          <w:vertAlign w:val="superscript"/>
          <w:lang w:val="en-US"/>
        </w:rPr>
        <w:footnoteReference w:id="62"/>
      </w:r>
      <w:r w:rsidR="00284CB5" w:rsidRPr="00EA6C7A">
        <w:rPr>
          <w:rFonts w:ascii="Verdana" w:eastAsia="Calibri" w:hAnsi="Verdana" w:cs="Tahoma"/>
          <w:bCs/>
          <w:color w:val="000000"/>
          <w:sz w:val="20"/>
          <w:szCs w:val="20"/>
          <w:shd w:val="clear" w:color="auto" w:fill="FFFFFF"/>
          <w:lang w:val="en-US"/>
        </w:rPr>
        <w:t xml:space="preserve"> In this regard,</w:t>
      </w:r>
      <w:r w:rsidR="00576E40" w:rsidRPr="00EA6C7A">
        <w:rPr>
          <w:rFonts w:ascii="Verdana" w:eastAsia="Calibri" w:hAnsi="Verdana" w:cs="Tahoma"/>
          <w:bCs/>
          <w:color w:val="000000"/>
          <w:sz w:val="20"/>
          <w:szCs w:val="20"/>
          <w:shd w:val="clear" w:color="auto" w:fill="FFFFFF"/>
          <w:lang w:val="en-US"/>
        </w:rPr>
        <w:t xml:space="preserve"> </w:t>
      </w:r>
      <w:r w:rsidR="00284CB5" w:rsidRPr="00EA6C7A">
        <w:rPr>
          <w:rFonts w:ascii="Verdana" w:eastAsia="Calibri" w:hAnsi="Verdana" w:cs="Tahoma"/>
          <w:bCs/>
          <w:color w:val="000000"/>
          <w:sz w:val="20"/>
          <w:szCs w:val="20"/>
          <w:shd w:val="clear" w:color="auto" w:fill="FFFFFF"/>
          <w:lang w:val="en-US"/>
        </w:rPr>
        <w:t>the</w:t>
      </w:r>
      <w:r w:rsidR="00576E40" w:rsidRPr="00EA6C7A">
        <w:rPr>
          <w:rFonts w:ascii="Verdana" w:eastAsia="Calibri" w:hAnsi="Verdana" w:cs="Tahoma"/>
          <w:bCs/>
          <w:color w:val="000000"/>
          <w:sz w:val="20"/>
          <w:szCs w:val="20"/>
          <w:shd w:val="clear" w:color="auto" w:fill="FFFFFF"/>
          <w:lang w:val="en-US"/>
        </w:rPr>
        <w:t xml:space="preserve"> present</w:t>
      </w:r>
      <w:r w:rsidR="00284CB5" w:rsidRPr="00EA6C7A">
        <w:rPr>
          <w:rFonts w:ascii="Verdana" w:eastAsia="Calibri" w:hAnsi="Verdana" w:cs="Tahoma"/>
          <w:bCs/>
          <w:color w:val="000000"/>
          <w:sz w:val="20"/>
          <w:szCs w:val="20"/>
          <w:shd w:val="clear" w:color="auto" w:fill="FFFFFF"/>
          <w:lang w:val="en-US"/>
        </w:rPr>
        <w:t xml:space="preserve"> judgment</w:t>
      </w:r>
      <w:r w:rsidR="00576E40" w:rsidRPr="00EA6C7A">
        <w:rPr>
          <w:rFonts w:ascii="Verdana" w:eastAsia="Calibri" w:hAnsi="Verdana" w:cs="Tahoma"/>
          <w:bCs/>
          <w:color w:val="000000"/>
          <w:sz w:val="20"/>
          <w:szCs w:val="20"/>
          <w:shd w:val="clear" w:color="auto" w:fill="FFFFFF"/>
          <w:lang w:val="en-US"/>
        </w:rPr>
        <w:t xml:space="preserve"> referred back to</w:t>
      </w:r>
      <w:r w:rsidR="00284CB5" w:rsidRPr="00EA6C7A">
        <w:rPr>
          <w:rFonts w:ascii="Verdana" w:eastAsia="Calibri" w:hAnsi="Verdana" w:cs="Tahoma"/>
          <w:bCs/>
          <w:color w:val="000000"/>
          <w:sz w:val="20"/>
          <w:szCs w:val="20"/>
          <w:shd w:val="clear" w:color="auto" w:fill="FFFFFF"/>
          <w:lang w:val="en-US"/>
        </w:rPr>
        <w:t xml:space="preserve"> the context in which the facts of the case of </w:t>
      </w:r>
      <w:r w:rsidR="00284CB5" w:rsidRPr="00EA6C7A">
        <w:rPr>
          <w:rFonts w:ascii="Verdana" w:eastAsia="Calibri" w:hAnsi="Verdana" w:cs="Tahoma"/>
          <w:bCs/>
          <w:i/>
          <w:color w:val="000000"/>
          <w:sz w:val="20"/>
          <w:szCs w:val="20"/>
          <w:shd w:val="clear" w:color="auto" w:fill="FFFFFF"/>
          <w:lang w:val="en-US"/>
        </w:rPr>
        <w:t>Veliz Franco et al.</w:t>
      </w:r>
      <w:r w:rsidR="00284CB5" w:rsidRPr="00EA6C7A">
        <w:rPr>
          <w:rFonts w:ascii="Verdana" w:eastAsia="Calibri" w:hAnsi="Verdana" w:cs="Tahoma"/>
          <w:bCs/>
          <w:iCs/>
          <w:color w:val="000000"/>
          <w:sz w:val="20"/>
          <w:szCs w:val="20"/>
          <w:shd w:val="clear" w:color="auto" w:fill="FFFFFF"/>
          <w:lang w:val="en-US"/>
        </w:rPr>
        <w:t xml:space="preserve"> </w:t>
      </w:r>
      <w:r w:rsidR="00576E40" w:rsidRPr="00EA6C7A">
        <w:rPr>
          <w:rFonts w:ascii="Verdana" w:eastAsia="Calibri" w:hAnsi="Verdana" w:cs="Tahoma"/>
          <w:bCs/>
          <w:iCs/>
          <w:color w:val="000000"/>
          <w:sz w:val="20"/>
          <w:szCs w:val="20"/>
          <w:shd w:val="clear" w:color="auto" w:fill="FFFFFF"/>
          <w:lang w:val="en-US"/>
        </w:rPr>
        <w:t>occurred</w:t>
      </w:r>
      <w:r w:rsidR="00284CB5" w:rsidRPr="00EA6C7A">
        <w:rPr>
          <w:rFonts w:ascii="Verdana" w:eastAsia="Calibri" w:hAnsi="Verdana" w:cs="Tahoma"/>
          <w:bCs/>
          <w:iCs/>
          <w:color w:val="000000"/>
          <w:sz w:val="20"/>
          <w:szCs w:val="20"/>
          <w:shd w:val="clear" w:color="auto" w:fill="FFFFFF"/>
          <w:lang w:val="en-US"/>
        </w:rPr>
        <w:t>, indicat</w:t>
      </w:r>
      <w:r w:rsidR="00576E40" w:rsidRPr="00EA6C7A">
        <w:rPr>
          <w:rFonts w:ascii="Verdana" w:eastAsia="Calibri" w:hAnsi="Verdana" w:cs="Tahoma"/>
          <w:bCs/>
          <w:iCs/>
          <w:color w:val="000000"/>
          <w:sz w:val="20"/>
          <w:szCs w:val="20"/>
          <w:shd w:val="clear" w:color="auto" w:fill="FFFFFF"/>
          <w:lang w:val="en-US"/>
        </w:rPr>
        <w:t>ing</w:t>
      </w:r>
      <w:r w:rsidR="00284CB5" w:rsidRPr="00EA6C7A">
        <w:rPr>
          <w:rFonts w:ascii="Verdana" w:eastAsia="Calibri" w:hAnsi="Verdana" w:cs="Tahoma"/>
          <w:bCs/>
          <w:iCs/>
          <w:color w:val="000000"/>
          <w:sz w:val="20"/>
          <w:szCs w:val="20"/>
          <w:shd w:val="clear" w:color="auto" w:fill="FFFFFF"/>
          <w:lang w:val="en-US"/>
        </w:rPr>
        <w:t xml:space="preserve"> that, starting in December 2001, </w:t>
      </w:r>
      <w:r w:rsidR="00576E40" w:rsidRPr="00EA6C7A">
        <w:rPr>
          <w:rFonts w:ascii="Verdana" w:eastAsia="Calibri" w:hAnsi="Verdana" w:cs="Tahoma"/>
          <w:bCs/>
          <w:iCs/>
          <w:color w:val="000000"/>
          <w:sz w:val="20"/>
          <w:szCs w:val="20"/>
          <w:shd w:val="clear" w:color="auto" w:fill="FFFFFF"/>
          <w:lang w:val="en-US"/>
        </w:rPr>
        <w:t>there was a</w:t>
      </w:r>
      <w:r w:rsidR="00284CB5" w:rsidRPr="00EA6C7A">
        <w:rPr>
          <w:rFonts w:ascii="Verdana" w:eastAsia="Calibri" w:hAnsi="Verdana" w:cs="Tahoma"/>
          <w:bCs/>
          <w:iCs/>
          <w:color w:val="000000"/>
          <w:sz w:val="20"/>
          <w:szCs w:val="20"/>
          <w:shd w:val="clear" w:color="auto" w:fill="FFFFFF"/>
          <w:lang w:val="en-US"/>
        </w:rPr>
        <w:t xml:space="preserve"> “context of an escalation of homicidal violence against women in Guatemala” </w:t>
      </w:r>
      <w:r w:rsidR="00576E40" w:rsidRPr="00EA6C7A">
        <w:rPr>
          <w:rFonts w:ascii="Verdana" w:eastAsia="Calibri" w:hAnsi="Verdana" w:cs="Tahoma"/>
          <w:bCs/>
          <w:iCs/>
          <w:color w:val="000000"/>
          <w:sz w:val="20"/>
          <w:szCs w:val="20"/>
          <w:shd w:val="clear" w:color="auto" w:fill="FFFFFF"/>
          <w:lang w:val="en-US"/>
        </w:rPr>
        <w:t>that</w:t>
      </w:r>
      <w:r w:rsidR="00284CB5" w:rsidRPr="00EA6C7A">
        <w:rPr>
          <w:rFonts w:ascii="Verdana" w:eastAsia="Calibri" w:hAnsi="Verdana" w:cs="Tahoma"/>
          <w:bCs/>
          <w:iCs/>
          <w:color w:val="000000"/>
          <w:sz w:val="20"/>
          <w:szCs w:val="20"/>
          <w:shd w:val="clear" w:color="auto" w:fill="FFFFFF"/>
          <w:lang w:val="en-US"/>
        </w:rPr>
        <w:t xml:space="preserve"> the State was aware of</w:t>
      </w:r>
      <w:r w:rsidR="000315E1" w:rsidRPr="00EA6C7A">
        <w:rPr>
          <w:rFonts w:ascii="Verdana" w:eastAsia="Calibri" w:hAnsi="Verdana" w:cs="Tahoma"/>
          <w:bCs/>
          <w:i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63"/>
      </w:r>
      <w:r w:rsidRPr="00EA6C7A">
        <w:rPr>
          <w:rFonts w:ascii="Verdana" w:eastAsia="Calibri" w:hAnsi="Verdana" w:cs="Tahoma"/>
          <w:bCs/>
          <w:color w:val="000000"/>
          <w:sz w:val="20"/>
          <w:szCs w:val="20"/>
          <w:shd w:val="clear" w:color="auto" w:fill="FFFFFF"/>
          <w:lang w:val="en-US"/>
        </w:rPr>
        <w:t xml:space="preserve"> </w:t>
      </w:r>
      <w:r w:rsidR="000315E1" w:rsidRPr="00EA6C7A">
        <w:rPr>
          <w:rFonts w:ascii="Verdana" w:eastAsia="Calibri" w:hAnsi="Verdana" w:cs="Tahoma"/>
          <w:bCs/>
          <w:color w:val="000000"/>
          <w:sz w:val="20"/>
          <w:szCs w:val="20"/>
          <w:shd w:val="clear" w:color="auto" w:fill="FFFFFF"/>
          <w:lang w:val="en-US"/>
        </w:rPr>
        <w:t>it also referred back to</w:t>
      </w:r>
      <w:r w:rsidR="00284CB5" w:rsidRPr="00EA6C7A">
        <w:rPr>
          <w:rFonts w:ascii="Verdana" w:eastAsia="Calibri" w:hAnsi="Verdana" w:cs="Tahoma"/>
          <w:bCs/>
          <w:color w:val="000000"/>
          <w:sz w:val="20"/>
          <w:szCs w:val="20"/>
          <w:shd w:val="clear" w:color="auto" w:fill="FFFFFF"/>
          <w:lang w:val="en-US"/>
        </w:rPr>
        <w:t xml:space="preserve"> the figures for </w:t>
      </w:r>
      <w:r w:rsidR="000315E1" w:rsidRPr="00EA6C7A">
        <w:rPr>
          <w:rFonts w:ascii="Verdana" w:eastAsia="Calibri" w:hAnsi="Verdana" w:cs="Tahoma"/>
          <w:bCs/>
          <w:color w:val="000000"/>
          <w:sz w:val="20"/>
          <w:szCs w:val="20"/>
          <w:shd w:val="clear" w:color="auto" w:fill="FFFFFF"/>
          <w:lang w:val="en-US"/>
        </w:rPr>
        <w:t xml:space="preserve">the </w:t>
      </w:r>
      <w:r w:rsidR="00284CB5" w:rsidRPr="00EA6C7A">
        <w:rPr>
          <w:rFonts w:ascii="Verdana" w:eastAsia="Calibri" w:hAnsi="Verdana" w:cs="Tahoma"/>
          <w:bCs/>
          <w:color w:val="000000"/>
          <w:sz w:val="20"/>
          <w:szCs w:val="20"/>
          <w:shd w:val="clear" w:color="auto" w:fill="FFFFFF"/>
          <w:lang w:val="en-US"/>
        </w:rPr>
        <w:t xml:space="preserve">murder of women in subsequent years up until </w:t>
      </w:r>
      <w:r w:rsidRPr="00EA6C7A">
        <w:rPr>
          <w:rFonts w:ascii="Verdana" w:eastAsia="Calibri" w:hAnsi="Verdana" w:cs="Tahoma"/>
          <w:bCs/>
          <w:color w:val="000000"/>
          <w:sz w:val="20"/>
          <w:szCs w:val="20"/>
          <w:shd w:val="clear" w:color="auto" w:fill="FFFFFF"/>
          <w:lang w:val="en-US"/>
        </w:rPr>
        <w:t>2004</w:t>
      </w:r>
      <w:r w:rsidR="00284CB5"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64"/>
      </w:r>
      <w:r w:rsidR="00284CB5" w:rsidRPr="00EA6C7A">
        <w:rPr>
          <w:rFonts w:ascii="Verdana" w:eastAsia="Calibri" w:hAnsi="Verdana" w:cs="Tahoma"/>
          <w:bCs/>
          <w:color w:val="000000"/>
          <w:sz w:val="20"/>
          <w:szCs w:val="20"/>
          <w:shd w:val="clear" w:color="auto" w:fill="FFFFFF"/>
          <w:lang w:val="en-US"/>
        </w:rPr>
        <w:t xml:space="preserve"> data </w:t>
      </w:r>
      <w:r w:rsidR="000315E1" w:rsidRPr="00EA6C7A">
        <w:rPr>
          <w:rFonts w:ascii="Verdana" w:eastAsia="Calibri" w:hAnsi="Verdana" w:cs="Tahoma"/>
          <w:bCs/>
          <w:color w:val="000000"/>
          <w:sz w:val="20"/>
          <w:szCs w:val="20"/>
          <w:shd w:val="clear" w:color="auto" w:fill="FFFFFF"/>
          <w:lang w:val="en-US"/>
        </w:rPr>
        <w:t xml:space="preserve">that was </w:t>
      </w:r>
      <w:r w:rsidR="00284CB5" w:rsidRPr="00EA6C7A">
        <w:rPr>
          <w:rFonts w:ascii="Verdana" w:eastAsia="Calibri" w:hAnsi="Verdana" w:cs="Tahoma"/>
          <w:bCs/>
          <w:color w:val="000000"/>
          <w:sz w:val="20"/>
          <w:szCs w:val="20"/>
          <w:shd w:val="clear" w:color="auto" w:fill="FFFFFF"/>
          <w:lang w:val="en-US"/>
        </w:rPr>
        <w:t xml:space="preserve">supplemented by the </w:t>
      </w:r>
      <w:r w:rsidR="006B1447" w:rsidRPr="00EA6C7A">
        <w:rPr>
          <w:rFonts w:ascii="Verdana" w:eastAsia="Calibri" w:hAnsi="Verdana" w:cs="Tahoma"/>
          <w:bCs/>
          <w:color w:val="000000"/>
          <w:sz w:val="20"/>
          <w:szCs w:val="20"/>
          <w:shd w:val="clear" w:color="auto" w:fill="FFFFFF"/>
          <w:lang w:val="en-US"/>
        </w:rPr>
        <w:t xml:space="preserve">figures </w:t>
      </w:r>
      <w:r w:rsidR="006B1447" w:rsidRPr="00EA6C7A">
        <w:rPr>
          <w:rFonts w:ascii="Verdana" w:eastAsia="Calibri" w:hAnsi="Verdana" w:cs="Tahoma"/>
          <w:bCs/>
          <w:color w:val="000000"/>
          <w:sz w:val="20"/>
          <w:szCs w:val="20"/>
          <w:shd w:val="clear" w:color="auto" w:fill="FFFFFF"/>
          <w:lang w:val="en-US"/>
        </w:rPr>
        <w:lastRenderedPageBreak/>
        <w:t xml:space="preserve">from 2005 to 2015 </w:t>
      </w:r>
      <w:r w:rsidR="000315E1" w:rsidRPr="00EA6C7A">
        <w:rPr>
          <w:rFonts w:ascii="Verdana" w:eastAsia="Calibri" w:hAnsi="Verdana" w:cs="Tahoma"/>
          <w:bCs/>
          <w:color w:val="000000"/>
          <w:sz w:val="20"/>
          <w:szCs w:val="20"/>
          <w:shd w:val="clear" w:color="auto" w:fill="FFFFFF"/>
          <w:lang w:val="en-US"/>
        </w:rPr>
        <w:t xml:space="preserve">provided </w:t>
      </w:r>
      <w:r w:rsidR="006B1447" w:rsidRPr="00EA6C7A">
        <w:rPr>
          <w:rFonts w:ascii="Verdana" w:eastAsia="Calibri" w:hAnsi="Verdana" w:cs="Tahoma"/>
          <w:bCs/>
          <w:color w:val="000000"/>
          <w:sz w:val="20"/>
          <w:szCs w:val="20"/>
          <w:shd w:val="clear" w:color="auto" w:fill="FFFFFF"/>
          <w:lang w:val="en-US"/>
        </w:rPr>
        <w:t>as evidence in the instant case, which were consistent with the increase in the murder of women.</w:t>
      </w:r>
      <w:r w:rsidRPr="00EA6C7A">
        <w:rPr>
          <w:rFonts w:ascii="Verdana" w:eastAsia="Calibri" w:hAnsi="Verdana" w:cs="Tahoma"/>
          <w:bCs/>
          <w:color w:val="000000"/>
          <w:sz w:val="20"/>
          <w:szCs w:val="20"/>
          <w:shd w:val="clear" w:color="auto" w:fill="FFFFFF"/>
          <w:vertAlign w:val="superscript"/>
          <w:lang w:val="en-US"/>
        </w:rPr>
        <w:footnoteReference w:id="65"/>
      </w:r>
    </w:p>
    <w:p w14:paraId="560E174A"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75A06725"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36. </w:t>
      </w:r>
      <w:r w:rsidRPr="00EA6C7A">
        <w:rPr>
          <w:rFonts w:ascii="Verdana" w:eastAsia="Calibri" w:hAnsi="Verdana" w:cs="Tahoma"/>
          <w:bCs/>
          <w:color w:val="000000"/>
          <w:sz w:val="20"/>
          <w:szCs w:val="20"/>
          <w:shd w:val="clear" w:color="auto" w:fill="FFFFFF"/>
          <w:lang w:val="en-US"/>
        </w:rPr>
        <w:tab/>
      </w:r>
      <w:r w:rsidR="006B1447" w:rsidRPr="00EA6C7A">
        <w:rPr>
          <w:rFonts w:ascii="Verdana" w:eastAsia="Calibri" w:hAnsi="Verdana" w:cs="Tahoma"/>
          <w:bCs/>
          <w:color w:val="000000"/>
          <w:sz w:val="20"/>
          <w:szCs w:val="20"/>
          <w:shd w:val="clear" w:color="auto" w:fill="FFFFFF"/>
          <w:lang w:val="en-US"/>
        </w:rPr>
        <w:t xml:space="preserve">The foregoing, allowed the Court to observe the contextual situation in Guatemala – in which the facts took place – in </w:t>
      </w:r>
      <w:r w:rsidR="006B1447" w:rsidRPr="00EA6C7A">
        <w:rPr>
          <w:rFonts w:ascii="Verdana" w:eastAsia="Calibri" w:hAnsi="Verdana" w:cs="Tahoma"/>
          <w:bCs/>
          <w:i/>
          <w:color w:val="000000"/>
          <w:sz w:val="20"/>
          <w:szCs w:val="20"/>
          <w:shd w:val="clear" w:color="auto" w:fill="FFFFFF"/>
          <w:lang w:val="en-US"/>
        </w:rPr>
        <w:t>Veliz Franco et al.</w:t>
      </w:r>
      <w:r w:rsidR="006B1447" w:rsidRPr="00EA6C7A">
        <w:rPr>
          <w:rFonts w:ascii="Verdana" w:eastAsia="Calibri" w:hAnsi="Verdana" w:cs="Tahoma"/>
          <w:bCs/>
          <w:color w:val="000000"/>
          <w:sz w:val="20"/>
          <w:szCs w:val="20"/>
          <w:shd w:val="clear" w:color="auto" w:fill="FFFFFF"/>
          <w:lang w:val="en-US"/>
        </w:rPr>
        <w:t xml:space="preserve">, </w:t>
      </w:r>
      <w:r w:rsidR="000315E1" w:rsidRPr="00EA6C7A">
        <w:rPr>
          <w:rFonts w:ascii="Verdana" w:eastAsia="Calibri" w:hAnsi="Verdana" w:cs="Tahoma"/>
          <w:bCs/>
          <w:color w:val="000000"/>
          <w:sz w:val="20"/>
          <w:szCs w:val="20"/>
          <w:shd w:val="clear" w:color="auto" w:fill="FFFFFF"/>
          <w:lang w:val="en-US"/>
        </w:rPr>
        <w:t xml:space="preserve">in order </w:t>
      </w:r>
      <w:r w:rsidR="006B1447" w:rsidRPr="00EA6C7A">
        <w:rPr>
          <w:rFonts w:ascii="Verdana" w:eastAsia="Calibri" w:hAnsi="Verdana" w:cs="Tahoma"/>
          <w:bCs/>
          <w:color w:val="000000"/>
          <w:sz w:val="20"/>
          <w:szCs w:val="20"/>
          <w:shd w:val="clear" w:color="auto" w:fill="FFFFFF"/>
          <w:lang w:val="en-US"/>
        </w:rPr>
        <w:t>to compare this with the context of the instant case</w:t>
      </w:r>
      <w:r w:rsidR="000315E1" w:rsidRPr="00EA6C7A">
        <w:rPr>
          <w:rFonts w:ascii="Verdana" w:eastAsia="Calibri" w:hAnsi="Verdana" w:cs="Tahoma"/>
          <w:bCs/>
          <w:color w:val="000000"/>
          <w:sz w:val="20"/>
          <w:szCs w:val="20"/>
          <w:shd w:val="clear" w:color="auto" w:fill="FFFFFF"/>
          <w:lang w:val="en-US"/>
        </w:rPr>
        <w:t>. This revealed that, in addition to showing a sustained increase in 2004 and 2005 (the year in which the facts of the instant case occurred),</w:t>
      </w:r>
      <w:r w:rsidR="006B1447" w:rsidRPr="00EA6C7A">
        <w:rPr>
          <w:rFonts w:ascii="Verdana" w:eastAsia="Calibri" w:hAnsi="Verdana" w:cs="Tahoma"/>
          <w:bCs/>
          <w:color w:val="000000"/>
          <w:sz w:val="20"/>
          <w:szCs w:val="20"/>
          <w:shd w:val="clear" w:color="auto" w:fill="FFFFFF"/>
          <w:lang w:val="en-US"/>
        </w:rPr>
        <w:t xml:space="preserve"> the escalation of homicidal violence against women</w:t>
      </w:r>
      <w:r w:rsidR="000315E1" w:rsidRPr="00EA6C7A">
        <w:rPr>
          <w:rFonts w:ascii="Verdana" w:eastAsia="Calibri" w:hAnsi="Verdana" w:cs="Tahoma"/>
          <w:bCs/>
          <w:color w:val="000000"/>
          <w:sz w:val="20"/>
          <w:szCs w:val="20"/>
          <w:shd w:val="clear" w:color="auto" w:fill="FFFFFF"/>
          <w:lang w:val="en-US"/>
        </w:rPr>
        <w:t xml:space="preserve"> has remained high up until 2015,</w:t>
      </w:r>
      <w:r w:rsidR="006B1447" w:rsidRPr="00EA6C7A">
        <w:rPr>
          <w:rFonts w:ascii="Verdana" w:eastAsia="Calibri" w:hAnsi="Verdana" w:cs="Tahoma"/>
          <w:bCs/>
          <w:color w:val="000000"/>
          <w:sz w:val="20"/>
          <w:szCs w:val="20"/>
          <w:shd w:val="clear" w:color="auto" w:fill="FFFFFF"/>
          <w:lang w:val="en-US"/>
        </w:rPr>
        <w:t xml:space="preserve"> with the result that </w:t>
      </w:r>
      <w:r w:rsidR="003141EF" w:rsidRPr="00EA6C7A">
        <w:rPr>
          <w:rFonts w:ascii="Verdana" w:eastAsia="Calibri" w:hAnsi="Verdana" w:cs="Tahoma"/>
          <w:bCs/>
          <w:color w:val="000000"/>
          <w:sz w:val="20"/>
          <w:szCs w:val="20"/>
          <w:shd w:val="clear" w:color="auto" w:fill="FFFFFF"/>
          <w:lang w:val="en-US"/>
        </w:rPr>
        <w:t xml:space="preserve">the number of </w:t>
      </w:r>
      <w:r w:rsidR="006B1447" w:rsidRPr="00EA6C7A">
        <w:rPr>
          <w:rFonts w:ascii="Verdana" w:eastAsia="Calibri" w:hAnsi="Verdana" w:cs="Tahoma"/>
          <w:bCs/>
          <w:color w:val="000000"/>
          <w:sz w:val="20"/>
          <w:szCs w:val="20"/>
          <w:shd w:val="clear" w:color="auto" w:fill="FFFFFF"/>
          <w:lang w:val="en-US"/>
        </w:rPr>
        <w:t>violent deaths of women increased</w:t>
      </w:r>
      <w:r w:rsidR="003141EF" w:rsidRPr="00EA6C7A">
        <w:rPr>
          <w:rFonts w:ascii="Verdana" w:eastAsia="Calibri" w:hAnsi="Verdana" w:cs="Tahoma"/>
          <w:bCs/>
          <w:color w:val="000000"/>
          <w:sz w:val="20"/>
          <w:szCs w:val="20"/>
          <w:shd w:val="clear" w:color="auto" w:fill="FFFFFF"/>
          <w:lang w:val="en-US"/>
        </w:rPr>
        <w:t xml:space="preserve"> by</w:t>
      </w:r>
      <w:r w:rsidR="006B1447" w:rsidRPr="00EA6C7A">
        <w:rPr>
          <w:rFonts w:ascii="Verdana" w:eastAsia="Calibri" w:hAnsi="Verdana" w:cs="Tahoma"/>
          <w:bCs/>
          <w:color w:val="000000"/>
          <w:sz w:val="20"/>
          <w:szCs w:val="20"/>
          <w:shd w:val="clear" w:color="auto" w:fill="FFFFFF"/>
          <w:lang w:val="en-US"/>
        </w:rPr>
        <w:t xml:space="preserve"> 20% more than </w:t>
      </w:r>
      <w:r w:rsidR="003141EF" w:rsidRPr="00EA6C7A">
        <w:rPr>
          <w:rFonts w:ascii="Verdana" w:eastAsia="Calibri" w:hAnsi="Verdana" w:cs="Tahoma"/>
          <w:bCs/>
          <w:color w:val="000000"/>
          <w:sz w:val="20"/>
          <w:szCs w:val="20"/>
          <w:shd w:val="clear" w:color="auto" w:fill="FFFFFF"/>
          <w:lang w:val="en-US"/>
        </w:rPr>
        <w:t>the number of violent deaths</w:t>
      </w:r>
      <w:r w:rsidR="006B1447" w:rsidRPr="00EA6C7A">
        <w:rPr>
          <w:rFonts w:ascii="Verdana" w:eastAsia="Calibri" w:hAnsi="Verdana" w:cs="Tahoma"/>
          <w:bCs/>
          <w:color w:val="000000"/>
          <w:sz w:val="20"/>
          <w:szCs w:val="20"/>
          <w:shd w:val="clear" w:color="auto" w:fill="FFFFFF"/>
          <w:lang w:val="en-US"/>
        </w:rPr>
        <w:t xml:space="preserve"> of men between 1995 and 2004.</w:t>
      </w:r>
      <w:r w:rsidRPr="00EA6C7A">
        <w:rPr>
          <w:rFonts w:ascii="Verdana" w:eastAsia="Calibri" w:hAnsi="Verdana" w:cs="Tahoma"/>
          <w:bCs/>
          <w:color w:val="000000"/>
          <w:sz w:val="20"/>
          <w:szCs w:val="20"/>
          <w:shd w:val="clear" w:color="auto" w:fill="FFFFFF"/>
          <w:vertAlign w:val="superscript"/>
          <w:lang w:val="en-US"/>
        </w:rPr>
        <w:footnoteReference w:id="66"/>
      </w:r>
      <w:r w:rsidR="006B1447" w:rsidRPr="00EA6C7A">
        <w:rPr>
          <w:rFonts w:ascii="Verdana" w:eastAsia="Calibri" w:hAnsi="Verdana" w:cs="Tahoma"/>
          <w:bCs/>
          <w:color w:val="000000"/>
          <w:sz w:val="20"/>
          <w:szCs w:val="20"/>
          <w:shd w:val="clear" w:color="auto" w:fill="FFFFFF"/>
          <w:lang w:val="en-US"/>
        </w:rPr>
        <w:t xml:space="preserve"> The Court also underlined aspects of the context established in the previous case, such as the “exacerbation of the level of </w:t>
      </w:r>
      <w:r w:rsidR="00C12C08" w:rsidRPr="00EA6C7A">
        <w:rPr>
          <w:rFonts w:ascii="Verdana" w:eastAsia="Calibri" w:hAnsi="Verdana" w:cs="Tahoma"/>
          <w:bCs/>
          <w:color w:val="000000"/>
          <w:sz w:val="20"/>
          <w:szCs w:val="20"/>
          <w:shd w:val="clear" w:color="auto" w:fill="FFFFFF"/>
          <w:lang w:val="en-US"/>
        </w:rPr>
        <w:t>violence against women</w:t>
      </w:r>
      <w:r w:rsidR="00D948A1" w:rsidRPr="00EA6C7A">
        <w:rPr>
          <w:rFonts w:ascii="Verdana" w:eastAsia="Calibri" w:hAnsi="Verdana" w:cs="Tahoma"/>
          <w:bCs/>
          <w:color w:val="000000"/>
          <w:sz w:val="20"/>
          <w:szCs w:val="20"/>
          <w:shd w:val="clear" w:color="auto" w:fill="FFFFFF"/>
          <w:lang w:val="en-US"/>
        </w:rPr>
        <w:t xml:space="preserve"> and </w:t>
      </w:r>
      <w:r w:rsidR="006B1447" w:rsidRPr="00EA6C7A">
        <w:rPr>
          <w:rFonts w:ascii="Verdana" w:eastAsia="Calibri" w:hAnsi="Verdana" w:cs="Tahoma"/>
          <w:bCs/>
          <w:color w:val="000000"/>
          <w:sz w:val="20"/>
          <w:szCs w:val="20"/>
          <w:shd w:val="clear" w:color="auto" w:fill="FFFFFF"/>
          <w:lang w:val="en-US"/>
        </w:rPr>
        <w:t>the cruelty inflicted on the women’s bodies</w:t>
      </w:r>
      <w:r w:rsidRPr="00EA6C7A">
        <w:rPr>
          <w:rFonts w:ascii="Verdana" w:eastAsia="Calibri" w:hAnsi="Verdana" w:cs="Tahoma"/>
          <w:bCs/>
          <w:color w:val="000000"/>
          <w:sz w:val="20"/>
          <w:szCs w:val="20"/>
          <w:shd w:val="clear" w:color="auto" w:fill="FFFFFF"/>
          <w:lang w:val="en-US"/>
        </w:rPr>
        <w:t>”</w:t>
      </w:r>
      <w:r w:rsidR="006B1447"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67"/>
      </w:r>
      <w:r w:rsidRPr="00EA6C7A">
        <w:rPr>
          <w:rFonts w:ascii="Verdana" w:eastAsia="Calibri" w:hAnsi="Verdana" w:cs="Tahoma"/>
          <w:bCs/>
          <w:color w:val="000000"/>
          <w:sz w:val="20"/>
          <w:szCs w:val="20"/>
          <w:shd w:val="clear" w:color="auto" w:fill="FFFFFF"/>
          <w:lang w:val="en-US"/>
        </w:rPr>
        <w:t xml:space="preserve"> </w:t>
      </w:r>
      <w:r w:rsidR="00A204AD" w:rsidRPr="00EA6C7A">
        <w:rPr>
          <w:rFonts w:ascii="Verdana" w:eastAsia="Calibri" w:hAnsi="Verdana" w:cs="Tahoma"/>
          <w:bCs/>
          <w:color w:val="000000"/>
          <w:sz w:val="20"/>
          <w:szCs w:val="20"/>
          <w:shd w:val="clear" w:color="auto" w:fill="FFFFFF"/>
          <w:lang w:val="en-US"/>
        </w:rPr>
        <w:t>the</w:t>
      </w:r>
      <w:r w:rsidRPr="00EA6C7A">
        <w:rPr>
          <w:rFonts w:ascii="Verdana" w:eastAsia="Calibri" w:hAnsi="Verdana" w:cs="Tahoma"/>
          <w:bCs/>
          <w:color w:val="000000"/>
          <w:sz w:val="20"/>
          <w:szCs w:val="20"/>
          <w:shd w:val="clear" w:color="auto" w:fill="FFFFFF"/>
          <w:lang w:val="en-US"/>
        </w:rPr>
        <w:t xml:space="preserve"> “</w:t>
      </w:r>
      <w:r w:rsidR="00A204AD" w:rsidRPr="00EA6C7A">
        <w:rPr>
          <w:rFonts w:ascii="Verdana" w:eastAsia="Calibri" w:hAnsi="Verdana" w:cs="Tahoma"/>
          <w:bCs/>
          <w:color w:val="000000"/>
          <w:sz w:val="20"/>
          <w:szCs w:val="20"/>
          <w:shd w:val="clear" w:color="auto" w:fill="FFFFFF"/>
          <w:lang w:val="en-US"/>
        </w:rPr>
        <w:t>high levels of general impunity […] in relation to different types of crimes” including crimes against women,</w:t>
      </w:r>
      <w:r w:rsidRPr="00EA6C7A">
        <w:rPr>
          <w:rFonts w:ascii="Verdana" w:eastAsia="Calibri" w:hAnsi="Verdana" w:cs="Tahoma"/>
          <w:bCs/>
          <w:color w:val="000000"/>
          <w:sz w:val="20"/>
          <w:szCs w:val="20"/>
          <w:shd w:val="clear" w:color="auto" w:fill="FFFFFF"/>
          <w:vertAlign w:val="superscript"/>
          <w:lang w:val="en-US"/>
        </w:rPr>
        <w:footnoteReference w:id="68"/>
      </w:r>
      <w:r w:rsidR="00A204AD" w:rsidRPr="00EA6C7A">
        <w:rPr>
          <w:rFonts w:ascii="Verdana" w:eastAsia="Calibri" w:hAnsi="Verdana" w:cs="Tahoma"/>
          <w:bCs/>
          <w:color w:val="000000"/>
          <w:sz w:val="20"/>
          <w:szCs w:val="20"/>
          <w:shd w:val="clear" w:color="auto" w:fill="FFFFFF"/>
          <w:lang w:val="en-US"/>
        </w:rPr>
        <w:t xml:space="preserve"> and also the tendency of authorities and investigators to discredit and blame the victims for their lifestyle or clothing.</w:t>
      </w:r>
      <w:r w:rsidRPr="00EA6C7A">
        <w:rPr>
          <w:rFonts w:ascii="Verdana" w:eastAsia="Calibri" w:hAnsi="Verdana" w:cs="Tahoma"/>
          <w:bCs/>
          <w:color w:val="000000"/>
          <w:sz w:val="20"/>
          <w:szCs w:val="20"/>
          <w:shd w:val="clear" w:color="auto" w:fill="FFFFFF"/>
          <w:vertAlign w:val="superscript"/>
          <w:lang w:val="en-US"/>
        </w:rPr>
        <w:footnoteReference w:id="69"/>
      </w:r>
    </w:p>
    <w:p w14:paraId="25A1DA8C"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4D49FA1C"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37. </w:t>
      </w:r>
      <w:r w:rsidRPr="00EA6C7A">
        <w:rPr>
          <w:rFonts w:ascii="Verdana" w:eastAsia="Calibri" w:hAnsi="Verdana" w:cs="Tahoma"/>
          <w:bCs/>
          <w:color w:val="000000"/>
          <w:sz w:val="20"/>
          <w:szCs w:val="20"/>
          <w:shd w:val="clear" w:color="auto" w:fill="FFFFFF"/>
          <w:lang w:val="en-US"/>
        </w:rPr>
        <w:tab/>
      </w:r>
      <w:r w:rsidR="00A204AD" w:rsidRPr="00EA6C7A">
        <w:rPr>
          <w:rFonts w:ascii="Verdana" w:eastAsia="Calibri" w:hAnsi="Verdana" w:cs="Tahoma"/>
          <w:bCs/>
          <w:color w:val="000000"/>
          <w:sz w:val="20"/>
          <w:szCs w:val="20"/>
          <w:shd w:val="clear" w:color="auto" w:fill="FFFFFF"/>
          <w:lang w:val="en-US"/>
        </w:rPr>
        <w:t xml:space="preserve">In this situation, it is </w:t>
      </w:r>
      <w:r w:rsidR="001E7171" w:rsidRPr="00EA6C7A">
        <w:rPr>
          <w:rFonts w:ascii="Verdana" w:eastAsia="Calibri" w:hAnsi="Verdana" w:cs="Tahoma"/>
          <w:bCs/>
          <w:color w:val="000000"/>
          <w:sz w:val="20"/>
          <w:szCs w:val="20"/>
          <w:shd w:val="clear" w:color="auto" w:fill="FFFFFF"/>
          <w:lang w:val="en-US"/>
        </w:rPr>
        <w:t>a</w:t>
      </w:r>
      <w:r w:rsidR="003141EF" w:rsidRPr="00EA6C7A">
        <w:rPr>
          <w:rFonts w:ascii="Verdana" w:eastAsia="Calibri" w:hAnsi="Verdana" w:cs="Tahoma"/>
          <w:bCs/>
          <w:color w:val="000000"/>
          <w:sz w:val="20"/>
          <w:szCs w:val="20"/>
          <w:shd w:val="clear" w:color="auto" w:fill="FFFFFF"/>
          <w:lang w:val="en-US"/>
        </w:rPr>
        <w:t>dmissible</w:t>
      </w:r>
      <w:r w:rsidR="001E7171" w:rsidRPr="00EA6C7A">
        <w:rPr>
          <w:rFonts w:ascii="Verdana" w:eastAsia="Calibri" w:hAnsi="Verdana" w:cs="Tahoma"/>
          <w:bCs/>
          <w:color w:val="000000"/>
          <w:sz w:val="20"/>
          <w:szCs w:val="20"/>
          <w:shd w:val="clear" w:color="auto" w:fill="FFFFFF"/>
          <w:lang w:val="en-US"/>
        </w:rPr>
        <w:t xml:space="preserve"> to consider that, at least since 2001 (as noted in the judgment in the case of </w:t>
      </w:r>
      <w:r w:rsidRPr="00EA6C7A">
        <w:rPr>
          <w:rFonts w:ascii="Verdana" w:eastAsia="Calibri" w:hAnsi="Verdana" w:cs="Tahoma"/>
          <w:bCs/>
          <w:i/>
          <w:color w:val="000000"/>
          <w:sz w:val="20"/>
          <w:szCs w:val="20"/>
          <w:shd w:val="clear" w:color="auto" w:fill="FFFFFF"/>
          <w:lang w:val="en-US"/>
        </w:rPr>
        <w:t xml:space="preserve">Veliz </w:t>
      </w:r>
      <w:r w:rsidR="006A51FD" w:rsidRPr="00EA6C7A">
        <w:rPr>
          <w:rFonts w:ascii="Verdana" w:eastAsia="Calibri" w:hAnsi="Verdana" w:cs="Tahoma"/>
          <w:bCs/>
          <w:i/>
          <w:color w:val="000000"/>
          <w:sz w:val="20"/>
          <w:szCs w:val="20"/>
          <w:shd w:val="clear" w:color="auto" w:fill="FFFFFF"/>
          <w:lang w:val="en-US"/>
        </w:rPr>
        <w:t>Franco et al.</w:t>
      </w:r>
      <w:r w:rsidRPr="00EA6C7A">
        <w:rPr>
          <w:rFonts w:ascii="Verdana" w:eastAsia="Calibri" w:hAnsi="Verdana" w:cs="Tahoma"/>
          <w:bCs/>
          <w:color w:val="000000"/>
          <w:sz w:val="20"/>
          <w:szCs w:val="20"/>
          <w:shd w:val="clear" w:color="auto" w:fill="FFFFFF"/>
          <w:lang w:val="en-US"/>
        </w:rPr>
        <w:t xml:space="preserve">), </w:t>
      </w:r>
      <w:r w:rsidR="002F3848" w:rsidRPr="00EA6C7A">
        <w:rPr>
          <w:rFonts w:ascii="Verdana" w:eastAsia="Calibri" w:hAnsi="Verdana" w:cs="Tahoma"/>
          <w:bCs/>
          <w:color w:val="000000"/>
          <w:sz w:val="20"/>
          <w:szCs w:val="20"/>
          <w:shd w:val="clear" w:color="auto" w:fill="FFFFFF"/>
          <w:lang w:val="en-US"/>
        </w:rPr>
        <w:t>the State</w:t>
      </w:r>
      <w:r w:rsidRPr="00EA6C7A">
        <w:rPr>
          <w:rFonts w:ascii="Verdana" w:eastAsia="Calibri" w:hAnsi="Verdana" w:cs="Tahoma"/>
          <w:bCs/>
          <w:color w:val="000000"/>
          <w:sz w:val="20"/>
          <w:szCs w:val="20"/>
          <w:shd w:val="clear" w:color="auto" w:fill="FFFFFF"/>
          <w:lang w:val="en-US"/>
        </w:rPr>
        <w:t xml:space="preserve"> </w:t>
      </w:r>
      <w:r w:rsidR="001E7171" w:rsidRPr="00EA6C7A">
        <w:rPr>
          <w:rFonts w:ascii="Verdana" w:eastAsia="Calibri" w:hAnsi="Verdana" w:cs="Tahoma"/>
          <w:bCs/>
          <w:color w:val="000000"/>
          <w:sz w:val="20"/>
          <w:szCs w:val="20"/>
          <w:shd w:val="clear" w:color="auto" w:fill="FFFFFF"/>
          <w:lang w:val="en-US"/>
        </w:rPr>
        <w:t xml:space="preserve">was aware of a context of an escalation of </w:t>
      </w:r>
      <w:r w:rsidR="00C12C08" w:rsidRPr="00EA6C7A">
        <w:rPr>
          <w:rFonts w:ascii="Verdana" w:eastAsia="Calibri" w:hAnsi="Verdana" w:cs="Tahoma"/>
          <w:bCs/>
          <w:color w:val="000000"/>
          <w:sz w:val="20"/>
          <w:szCs w:val="20"/>
          <w:shd w:val="clear" w:color="auto" w:fill="FFFFFF"/>
          <w:lang w:val="en-US"/>
        </w:rPr>
        <w:t>violence against women</w:t>
      </w:r>
      <w:r w:rsidRPr="00EA6C7A">
        <w:rPr>
          <w:rFonts w:ascii="Verdana" w:eastAsia="Calibri" w:hAnsi="Verdana" w:cs="Tahoma"/>
          <w:bCs/>
          <w:color w:val="000000"/>
          <w:sz w:val="20"/>
          <w:szCs w:val="20"/>
          <w:shd w:val="clear" w:color="auto" w:fill="FFFFFF"/>
          <w:lang w:val="en-US"/>
        </w:rPr>
        <w:t xml:space="preserve"> —</w:t>
      </w:r>
      <w:r w:rsidR="001E7171"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inclu</w:t>
      </w:r>
      <w:r w:rsidR="001E7171" w:rsidRPr="00EA6C7A">
        <w:rPr>
          <w:rFonts w:ascii="Verdana" w:eastAsia="Calibri" w:hAnsi="Verdana" w:cs="Tahoma"/>
          <w:bCs/>
          <w:color w:val="000000"/>
          <w:sz w:val="20"/>
          <w:szCs w:val="20"/>
          <w:shd w:val="clear" w:color="auto" w:fill="FFFFFF"/>
          <w:lang w:val="en-US"/>
        </w:rPr>
        <w:t xml:space="preserve">ding the phenomenon of “femicide”; a situation that should have resulted in State actions to </w:t>
      </w:r>
      <w:r w:rsidR="003141EF" w:rsidRPr="00EA6C7A">
        <w:rPr>
          <w:rFonts w:ascii="Verdana" w:eastAsia="Calibri" w:hAnsi="Verdana" w:cs="Tahoma"/>
          <w:bCs/>
          <w:color w:val="000000"/>
          <w:sz w:val="20"/>
          <w:szCs w:val="20"/>
          <w:shd w:val="clear" w:color="auto" w:fill="FFFFFF"/>
          <w:lang w:val="en-US"/>
        </w:rPr>
        <w:t>take</w:t>
      </w:r>
      <w:r w:rsidR="001E7171" w:rsidRPr="00EA6C7A">
        <w:rPr>
          <w:rFonts w:ascii="Verdana" w:eastAsia="Calibri" w:hAnsi="Verdana" w:cs="Tahoma"/>
          <w:bCs/>
          <w:color w:val="000000"/>
          <w:sz w:val="20"/>
          <w:szCs w:val="20"/>
          <w:shd w:val="clear" w:color="auto" w:fill="FFFFFF"/>
          <w:lang w:val="en-US"/>
        </w:rPr>
        <w:t xml:space="preserve"> measures or create mechanisms that would have an impact on combating this context; irrespective of the measures taken prior to </w:t>
      </w:r>
      <w:r w:rsidRPr="00EA6C7A">
        <w:rPr>
          <w:rFonts w:ascii="Verdana" w:eastAsia="Calibri" w:hAnsi="Verdana" w:cs="Tahoma"/>
          <w:bCs/>
          <w:color w:val="000000"/>
          <w:sz w:val="20"/>
          <w:szCs w:val="20"/>
          <w:shd w:val="clear" w:color="auto" w:fill="FFFFFF"/>
          <w:lang w:val="en-US"/>
        </w:rPr>
        <w:t>2001</w:t>
      </w:r>
      <w:r w:rsidR="001E7171"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70"/>
      </w:r>
      <w:r w:rsidRPr="00EA6C7A">
        <w:rPr>
          <w:rFonts w:ascii="Verdana" w:eastAsia="Calibri" w:hAnsi="Verdana" w:cs="Tahoma"/>
          <w:bCs/>
          <w:color w:val="000000"/>
          <w:sz w:val="20"/>
          <w:szCs w:val="20"/>
          <w:shd w:val="clear" w:color="auto" w:fill="FFFFFF"/>
          <w:lang w:val="en-US"/>
        </w:rPr>
        <w:t xml:space="preserve"> </w:t>
      </w:r>
    </w:p>
    <w:p w14:paraId="2A0CE86D"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4C3D78C9"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38. </w:t>
      </w:r>
      <w:r w:rsidRPr="00EA6C7A">
        <w:rPr>
          <w:rFonts w:ascii="Verdana" w:eastAsia="Calibri" w:hAnsi="Verdana" w:cs="Tahoma"/>
          <w:bCs/>
          <w:color w:val="000000"/>
          <w:sz w:val="20"/>
          <w:szCs w:val="20"/>
          <w:shd w:val="clear" w:color="auto" w:fill="FFFFFF"/>
          <w:lang w:val="en-US"/>
        </w:rPr>
        <w:tab/>
      </w:r>
      <w:r w:rsidR="001E7171" w:rsidRPr="00EA6C7A">
        <w:rPr>
          <w:rFonts w:ascii="Verdana" w:eastAsia="Calibri" w:hAnsi="Verdana" w:cs="Tahoma"/>
          <w:bCs/>
          <w:color w:val="000000"/>
          <w:sz w:val="20"/>
          <w:szCs w:val="20"/>
          <w:shd w:val="clear" w:color="auto" w:fill="FFFFFF"/>
          <w:lang w:val="en-US"/>
        </w:rPr>
        <w:t xml:space="preserve">Thus, the Guatemalan State’s awareness of the context of an escalation of </w:t>
      </w:r>
      <w:r w:rsidR="00C12C08" w:rsidRPr="00EA6C7A">
        <w:rPr>
          <w:rFonts w:ascii="Verdana" w:eastAsia="Calibri" w:hAnsi="Verdana" w:cs="Tahoma"/>
          <w:bCs/>
          <w:color w:val="000000"/>
          <w:sz w:val="20"/>
          <w:szCs w:val="20"/>
          <w:shd w:val="clear" w:color="auto" w:fill="FFFFFF"/>
          <w:lang w:val="en-US"/>
        </w:rPr>
        <w:t>violence against women</w:t>
      </w:r>
      <w:r w:rsidRPr="00EA6C7A">
        <w:rPr>
          <w:rFonts w:ascii="Verdana" w:eastAsia="Calibri" w:hAnsi="Verdana" w:cs="Tahoma"/>
          <w:bCs/>
          <w:color w:val="000000"/>
          <w:sz w:val="20"/>
          <w:szCs w:val="20"/>
          <w:shd w:val="clear" w:color="auto" w:fill="FFFFFF"/>
          <w:lang w:val="en-US"/>
        </w:rPr>
        <w:t xml:space="preserve"> </w:t>
      </w:r>
      <w:r w:rsidR="001E7171" w:rsidRPr="00EA6C7A">
        <w:rPr>
          <w:rFonts w:ascii="Verdana" w:eastAsia="Calibri" w:hAnsi="Verdana" w:cs="Tahoma"/>
          <w:bCs/>
          <w:color w:val="000000"/>
          <w:sz w:val="20"/>
          <w:szCs w:val="20"/>
          <w:shd w:val="clear" w:color="auto" w:fill="FFFFFF"/>
          <w:lang w:val="en-US"/>
        </w:rPr>
        <w:t>that went back to at least 2001, a</w:t>
      </w:r>
      <w:r w:rsidR="003141EF" w:rsidRPr="00EA6C7A">
        <w:rPr>
          <w:rFonts w:ascii="Verdana" w:eastAsia="Calibri" w:hAnsi="Verdana" w:cs="Tahoma"/>
          <w:bCs/>
          <w:color w:val="000000"/>
          <w:sz w:val="20"/>
          <w:szCs w:val="20"/>
          <w:shd w:val="clear" w:color="auto" w:fill="FFFFFF"/>
          <w:lang w:val="en-US"/>
        </w:rPr>
        <w:t>s</w:t>
      </w:r>
      <w:r w:rsidR="001E7171" w:rsidRPr="00EA6C7A">
        <w:rPr>
          <w:rFonts w:ascii="Verdana" w:eastAsia="Calibri" w:hAnsi="Verdana" w:cs="Tahoma"/>
          <w:bCs/>
          <w:color w:val="000000"/>
          <w:sz w:val="20"/>
          <w:szCs w:val="20"/>
          <w:shd w:val="clear" w:color="auto" w:fill="FFFFFF"/>
          <w:lang w:val="en-US"/>
        </w:rPr>
        <w:t xml:space="preserve"> revealed </w:t>
      </w:r>
      <w:r w:rsidR="00D5307F" w:rsidRPr="00EA6C7A">
        <w:rPr>
          <w:rFonts w:ascii="Verdana" w:eastAsia="Calibri" w:hAnsi="Verdana" w:cs="Tahoma"/>
          <w:bCs/>
          <w:color w:val="000000"/>
          <w:sz w:val="20"/>
          <w:szCs w:val="20"/>
          <w:shd w:val="clear" w:color="auto" w:fill="FFFFFF"/>
          <w:lang w:val="en-US"/>
        </w:rPr>
        <w:t>in the case of</w:t>
      </w:r>
      <w:r w:rsidRPr="00EA6C7A">
        <w:rPr>
          <w:rFonts w:ascii="Verdana" w:eastAsia="Calibri" w:hAnsi="Verdana" w:cs="Tahoma"/>
          <w:bCs/>
          <w:i/>
          <w:color w:val="000000"/>
          <w:sz w:val="20"/>
          <w:szCs w:val="20"/>
          <w:shd w:val="clear" w:color="auto" w:fill="FFFFFF"/>
          <w:lang w:val="en-US"/>
        </w:rPr>
        <w:t xml:space="preserve"> Veliz </w:t>
      </w:r>
      <w:r w:rsidR="006A51FD" w:rsidRPr="00EA6C7A">
        <w:rPr>
          <w:rFonts w:ascii="Verdana" w:eastAsia="Calibri" w:hAnsi="Verdana" w:cs="Tahoma"/>
          <w:bCs/>
          <w:i/>
          <w:color w:val="000000"/>
          <w:sz w:val="20"/>
          <w:szCs w:val="20"/>
          <w:shd w:val="clear" w:color="auto" w:fill="FFFFFF"/>
          <w:lang w:val="en-US"/>
        </w:rPr>
        <w:t>Franco et al.</w:t>
      </w:r>
      <w:r w:rsidRPr="00EA6C7A">
        <w:rPr>
          <w:rFonts w:ascii="Verdana" w:eastAsia="Calibri" w:hAnsi="Verdana" w:cs="Tahoma"/>
          <w:bCs/>
          <w:i/>
          <w:color w:val="000000"/>
          <w:sz w:val="20"/>
          <w:szCs w:val="20"/>
          <w:shd w:val="clear" w:color="auto" w:fill="FFFFFF"/>
          <w:lang w:val="en-US"/>
        </w:rPr>
        <w:t xml:space="preserve"> v. Guatemala</w:t>
      </w:r>
      <w:r w:rsidRPr="00EA6C7A">
        <w:rPr>
          <w:rFonts w:ascii="Verdana" w:eastAsia="Calibri" w:hAnsi="Verdana" w:cs="Tahoma"/>
          <w:bCs/>
          <w:color w:val="000000"/>
          <w:sz w:val="20"/>
          <w:szCs w:val="20"/>
          <w:shd w:val="clear" w:color="auto" w:fill="FFFFFF"/>
          <w:lang w:val="en-US"/>
        </w:rPr>
        <w:t xml:space="preserve">, </w:t>
      </w:r>
      <w:r w:rsidR="001E7171" w:rsidRPr="00EA6C7A">
        <w:rPr>
          <w:rFonts w:ascii="Verdana" w:eastAsia="Calibri" w:hAnsi="Verdana" w:cs="Tahoma"/>
          <w:bCs/>
          <w:color w:val="000000"/>
          <w:sz w:val="20"/>
          <w:szCs w:val="20"/>
          <w:shd w:val="clear" w:color="auto" w:fill="FFFFFF"/>
          <w:lang w:val="en-US"/>
        </w:rPr>
        <w:t xml:space="preserve">leads to the presumption that the State was or should have been aware of the phenomenon of femicide </w:t>
      </w:r>
      <w:r w:rsidR="003141EF" w:rsidRPr="00EA6C7A">
        <w:rPr>
          <w:rFonts w:ascii="Verdana" w:eastAsia="Calibri" w:hAnsi="Verdana" w:cs="Tahoma"/>
          <w:bCs/>
          <w:color w:val="000000"/>
          <w:sz w:val="20"/>
          <w:szCs w:val="20"/>
          <w:shd w:val="clear" w:color="auto" w:fill="FFFFFF"/>
          <w:lang w:val="en-US"/>
        </w:rPr>
        <w:t>at the time of</w:t>
      </w:r>
      <w:r w:rsidR="001E7171" w:rsidRPr="00EA6C7A">
        <w:rPr>
          <w:rFonts w:ascii="Verdana" w:eastAsia="Calibri" w:hAnsi="Verdana" w:cs="Tahoma"/>
          <w:bCs/>
          <w:color w:val="000000"/>
          <w:sz w:val="20"/>
          <w:szCs w:val="20"/>
          <w:shd w:val="clear" w:color="auto" w:fill="FFFFFF"/>
          <w:lang w:val="en-US"/>
        </w:rPr>
        <w:t xml:space="preserve"> the facts that occurred</w:t>
      </w:r>
      <w:r w:rsidR="003141EF" w:rsidRPr="00EA6C7A">
        <w:rPr>
          <w:rFonts w:ascii="Verdana" w:eastAsia="Calibri" w:hAnsi="Verdana" w:cs="Tahoma"/>
          <w:bCs/>
          <w:color w:val="000000"/>
          <w:sz w:val="20"/>
          <w:szCs w:val="20"/>
          <w:shd w:val="clear" w:color="auto" w:fill="FFFFFF"/>
          <w:lang w:val="en-US"/>
        </w:rPr>
        <w:t xml:space="preserve"> in 2005,</w:t>
      </w:r>
      <w:r w:rsidR="001E7171" w:rsidRPr="00EA6C7A">
        <w:rPr>
          <w:rFonts w:ascii="Verdana" w:eastAsia="Calibri" w:hAnsi="Verdana" w:cs="Tahoma"/>
          <w:bCs/>
          <w:color w:val="000000"/>
          <w:sz w:val="20"/>
          <w:szCs w:val="20"/>
          <w:shd w:val="clear" w:color="auto" w:fill="FFFFFF"/>
          <w:lang w:val="en-US"/>
        </w:rPr>
        <w:t xml:space="preserve"> years after th</w:t>
      </w:r>
      <w:r w:rsidR="003141EF" w:rsidRPr="00EA6C7A">
        <w:rPr>
          <w:rFonts w:ascii="Verdana" w:eastAsia="Calibri" w:hAnsi="Verdana" w:cs="Tahoma"/>
          <w:bCs/>
          <w:color w:val="000000"/>
          <w:sz w:val="20"/>
          <w:szCs w:val="20"/>
          <w:shd w:val="clear" w:color="auto" w:fill="FFFFFF"/>
          <w:lang w:val="en-US"/>
        </w:rPr>
        <w:t>at</w:t>
      </w:r>
      <w:r w:rsidR="001E7171" w:rsidRPr="00EA6C7A">
        <w:rPr>
          <w:rFonts w:ascii="Verdana" w:eastAsia="Calibri" w:hAnsi="Verdana" w:cs="Tahoma"/>
          <w:bCs/>
          <w:color w:val="000000"/>
          <w:sz w:val="20"/>
          <w:szCs w:val="20"/>
          <w:shd w:val="clear" w:color="auto" w:fill="FFFFFF"/>
          <w:lang w:val="en-US"/>
        </w:rPr>
        <w:t xml:space="preserve"> case.  </w:t>
      </w:r>
    </w:p>
    <w:p w14:paraId="6D4F9307"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20C875D8"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39. </w:t>
      </w:r>
      <w:r w:rsidRPr="00EA6C7A">
        <w:rPr>
          <w:rFonts w:ascii="Verdana" w:eastAsia="Calibri" w:hAnsi="Verdana" w:cs="Tahoma"/>
          <w:bCs/>
          <w:color w:val="000000"/>
          <w:sz w:val="20"/>
          <w:szCs w:val="20"/>
          <w:shd w:val="clear" w:color="auto" w:fill="FFFFFF"/>
          <w:lang w:val="en-US"/>
        </w:rPr>
        <w:tab/>
      </w:r>
      <w:r w:rsidR="001E7171" w:rsidRPr="00EA6C7A">
        <w:rPr>
          <w:rFonts w:ascii="Verdana" w:eastAsia="Calibri" w:hAnsi="Verdana" w:cs="Tahoma"/>
          <w:bCs/>
          <w:color w:val="000000"/>
          <w:sz w:val="20"/>
          <w:szCs w:val="20"/>
          <w:shd w:val="clear" w:color="auto" w:fill="FFFFFF"/>
          <w:lang w:val="en-US"/>
        </w:rPr>
        <w:t xml:space="preserve">In this hypothesis, I consider that the context </w:t>
      </w:r>
      <w:r w:rsidR="003141EF" w:rsidRPr="00EA6C7A">
        <w:rPr>
          <w:rFonts w:ascii="Verdana" w:eastAsia="Calibri" w:hAnsi="Verdana" w:cs="Tahoma"/>
          <w:bCs/>
          <w:color w:val="000000"/>
          <w:sz w:val="20"/>
          <w:szCs w:val="20"/>
          <w:shd w:val="clear" w:color="auto" w:fill="FFFFFF"/>
          <w:lang w:val="en-US"/>
        </w:rPr>
        <w:t>of which</w:t>
      </w:r>
      <w:r w:rsidR="001E7171" w:rsidRPr="00EA6C7A">
        <w:rPr>
          <w:rFonts w:ascii="Verdana" w:eastAsia="Calibri" w:hAnsi="Verdana" w:cs="Tahoma"/>
          <w:bCs/>
          <w:color w:val="000000"/>
          <w:sz w:val="20"/>
          <w:szCs w:val="20"/>
          <w:shd w:val="clear" w:color="auto" w:fill="FFFFFF"/>
          <w:lang w:val="en-US"/>
        </w:rPr>
        <w:t xml:space="preserve"> the State was already aware regarding the problem of gender violence </w:t>
      </w:r>
      <w:r w:rsidR="00FC7D3B" w:rsidRPr="00EA6C7A">
        <w:rPr>
          <w:rFonts w:ascii="Verdana" w:eastAsia="Calibri" w:hAnsi="Verdana" w:cs="Tahoma"/>
          <w:bCs/>
          <w:color w:val="000000"/>
          <w:sz w:val="20"/>
          <w:szCs w:val="20"/>
          <w:shd w:val="clear" w:color="auto" w:fill="FFFFFF"/>
          <w:lang w:val="en-US"/>
        </w:rPr>
        <w:t>in Guatemala</w:t>
      </w:r>
      <w:r w:rsidRPr="00EA6C7A">
        <w:rPr>
          <w:rFonts w:ascii="Verdana" w:eastAsia="Calibri" w:hAnsi="Verdana" w:cs="Tahoma"/>
          <w:bCs/>
          <w:color w:val="000000"/>
          <w:sz w:val="20"/>
          <w:szCs w:val="20"/>
          <w:shd w:val="clear" w:color="auto" w:fill="FFFFFF"/>
          <w:lang w:val="en-US"/>
        </w:rPr>
        <w:t xml:space="preserve"> </w:t>
      </w:r>
      <w:r w:rsidR="001E7171" w:rsidRPr="00EA6C7A">
        <w:rPr>
          <w:rFonts w:ascii="Verdana" w:eastAsia="Calibri" w:hAnsi="Verdana" w:cs="Tahoma"/>
          <w:bCs/>
          <w:color w:val="000000"/>
          <w:sz w:val="20"/>
          <w:szCs w:val="20"/>
          <w:shd w:val="clear" w:color="auto" w:fill="FFFFFF"/>
          <w:lang w:val="en-US"/>
        </w:rPr>
        <w:t xml:space="preserve">is essential for understanding the analysis of the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u w:val="single"/>
          <w:shd w:val="clear" w:color="auto" w:fill="FFFFFF"/>
          <w:lang w:val="en-US"/>
        </w:rPr>
        <w:t>first moment</w:t>
      </w:r>
      <w:r w:rsidRPr="00EA6C7A">
        <w:rPr>
          <w:rFonts w:ascii="Verdana" w:eastAsia="Calibri" w:hAnsi="Verdana" w:cs="Tahoma"/>
          <w:bCs/>
          <w:color w:val="000000"/>
          <w:sz w:val="20"/>
          <w:szCs w:val="20"/>
          <w:shd w:val="clear" w:color="auto" w:fill="FFFFFF"/>
          <w:lang w:val="en-US"/>
        </w:rPr>
        <w:t xml:space="preserve">” </w:t>
      </w:r>
      <w:r w:rsidR="001E7171" w:rsidRPr="00EA6C7A">
        <w:rPr>
          <w:rFonts w:ascii="Verdana" w:eastAsia="Calibri" w:hAnsi="Verdana" w:cs="Tahoma"/>
          <w:bCs/>
          <w:color w:val="000000"/>
          <w:sz w:val="20"/>
          <w:szCs w:val="20"/>
          <w:shd w:val="clear" w:color="auto" w:fill="FFFFFF"/>
          <w:lang w:val="en-US"/>
        </w:rPr>
        <w:t>of the</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obligation of prevention</w:t>
      </w:r>
      <w:r w:rsidRPr="00EA6C7A">
        <w:rPr>
          <w:rFonts w:ascii="Verdana" w:eastAsia="Calibri" w:hAnsi="Verdana" w:cs="Tahoma"/>
          <w:bCs/>
          <w:color w:val="000000"/>
          <w:sz w:val="20"/>
          <w:szCs w:val="20"/>
          <w:shd w:val="clear" w:color="auto" w:fill="FFFFFF"/>
          <w:lang w:val="en-US"/>
        </w:rPr>
        <w:t xml:space="preserve">, </w:t>
      </w:r>
      <w:r w:rsidR="001E7171" w:rsidRPr="00EA6C7A">
        <w:rPr>
          <w:rFonts w:ascii="Verdana" w:eastAsia="Calibri" w:hAnsi="Verdana" w:cs="Tahoma"/>
          <w:bCs/>
          <w:color w:val="000000"/>
          <w:sz w:val="20"/>
          <w:szCs w:val="20"/>
          <w:shd w:val="clear" w:color="auto" w:fill="FFFFFF"/>
          <w:lang w:val="en-US"/>
        </w:rPr>
        <w:t>also referred to in</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the judgment</w:t>
      </w:r>
      <w:r w:rsidRPr="00EA6C7A">
        <w:rPr>
          <w:rFonts w:ascii="Verdana" w:eastAsia="Calibri" w:hAnsi="Verdana" w:cs="Tahoma"/>
          <w:bCs/>
          <w:color w:val="000000"/>
          <w:sz w:val="20"/>
          <w:szCs w:val="20"/>
          <w:shd w:val="clear" w:color="auto" w:fill="FFFFFF"/>
          <w:lang w:val="en-US"/>
        </w:rPr>
        <w:t xml:space="preserve"> </w:t>
      </w:r>
      <w:r w:rsidR="001E7171" w:rsidRPr="00EA6C7A">
        <w:rPr>
          <w:rFonts w:ascii="Verdana" w:eastAsia="Calibri" w:hAnsi="Verdana" w:cs="Tahoma"/>
          <w:bCs/>
          <w:color w:val="000000"/>
          <w:sz w:val="20"/>
          <w:szCs w:val="20"/>
          <w:shd w:val="clear" w:color="auto" w:fill="FFFFFF"/>
          <w:lang w:val="en-US"/>
        </w:rPr>
        <w:t>as the</w:t>
      </w:r>
      <w:r w:rsidRPr="00EA6C7A">
        <w:rPr>
          <w:rFonts w:ascii="Verdana" w:eastAsia="Calibri" w:hAnsi="Verdana" w:cs="Tahoma"/>
          <w:bCs/>
          <w:color w:val="000000"/>
          <w:sz w:val="20"/>
          <w:szCs w:val="20"/>
          <w:shd w:val="clear" w:color="auto" w:fill="FFFFFF"/>
          <w:lang w:val="en-US"/>
        </w:rPr>
        <w:t xml:space="preserve"> “</w:t>
      </w:r>
      <w:r w:rsidR="0001699C" w:rsidRPr="00EA6C7A">
        <w:rPr>
          <w:rFonts w:ascii="Verdana" w:eastAsia="Calibri" w:hAnsi="Verdana" w:cs="Tahoma"/>
          <w:bCs/>
          <w:color w:val="000000"/>
          <w:sz w:val="20"/>
          <w:szCs w:val="20"/>
          <w:u w:val="single"/>
          <w:shd w:val="clear" w:color="auto" w:fill="FFFFFF"/>
          <w:lang w:val="en-US"/>
        </w:rPr>
        <w:t xml:space="preserve">general obligation to </w:t>
      </w:r>
      <w:r w:rsidR="001E7171" w:rsidRPr="00EA6C7A">
        <w:rPr>
          <w:rFonts w:ascii="Verdana" w:eastAsia="Calibri" w:hAnsi="Verdana" w:cs="Tahoma"/>
          <w:bCs/>
          <w:color w:val="000000"/>
          <w:sz w:val="20"/>
          <w:szCs w:val="20"/>
          <w:u w:val="single"/>
          <w:shd w:val="clear" w:color="auto" w:fill="FFFFFF"/>
          <w:lang w:val="en-US"/>
        </w:rPr>
        <w:t>prevent the</w:t>
      </w:r>
      <w:r w:rsidR="0001699C" w:rsidRPr="00EA6C7A">
        <w:rPr>
          <w:rFonts w:ascii="Verdana" w:eastAsia="Calibri" w:hAnsi="Verdana" w:cs="Tahoma"/>
          <w:bCs/>
          <w:color w:val="000000"/>
          <w:sz w:val="20"/>
          <w:szCs w:val="20"/>
          <w:u w:val="single"/>
          <w:shd w:val="clear" w:color="auto" w:fill="FFFFFF"/>
          <w:lang w:val="en-US"/>
        </w:rPr>
        <w:t xml:space="preserve"> disappearance and murder of women</w:t>
      </w:r>
      <w:r w:rsidRPr="00EA6C7A">
        <w:rPr>
          <w:rFonts w:ascii="Verdana" w:eastAsia="Calibri" w:hAnsi="Verdana" w:cs="Tahoma"/>
          <w:bCs/>
          <w:color w:val="000000"/>
          <w:sz w:val="20"/>
          <w:szCs w:val="20"/>
          <w:u w:val="single"/>
          <w:shd w:val="clear" w:color="auto" w:fill="FFFFFF"/>
          <w:lang w:val="en-US"/>
        </w:rPr>
        <w:t>”</w:t>
      </w:r>
      <w:r w:rsidR="00FC7D3B" w:rsidRPr="00EA6C7A">
        <w:rPr>
          <w:rFonts w:ascii="Verdana" w:eastAsia="Calibri" w:hAnsi="Verdana" w:cs="Tahoma"/>
          <w:bCs/>
          <w:color w:val="000000"/>
          <w:sz w:val="20"/>
          <w:szCs w:val="20"/>
          <w:u w:val="single"/>
          <w:shd w:val="clear" w:color="auto" w:fill="FFFFFF"/>
          <w:lang w:val="en-US"/>
        </w:rPr>
        <w:t xml:space="preserve"> in Guatemala</w:t>
      </w:r>
      <w:r w:rsidRPr="00EA6C7A">
        <w:rPr>
          <w:rFonts w:ascii="Verdana" w:eastAsia="Calibri" w:hAnsi="Verdana" w:cs="Tahoma"/>
          <w:bCs/>
          <w:color w:val="000000"/>
          <w:sz w:val="20"/>
          <w:szCs w:val="20"/>
          <w:shd w:val="clear" w:color="auto" w:fill="FFFFFF"/>
          <w:lang w:val="en-US"/>
        </w:rPr>
        <w:t xml:space="preserve">, </w:t>
      </w:r>
      <w:r w:rsidR="001E7171" w:rsidRPr="00EA6C7A">
        <w:rPr>
          <w:rFonts w:ascii="Verdana" w:eastAsia="Calibri" w:hAnsi="Verdana" w:cs="Tahoma"/>
          <w:bCs/>
          <w:color w:val="000000"/>
          <w:sz w:val="20"/>
          <w:szCs w:val="20"/>
          <w:shd w:val="clear" w:color="auto" w:fill="FFFFFF"/>
          <w:lang w:val="en-US"/>
        </w:rPr>
        <w:t>as will be noted in the following section.</w:t>
      </w:r>
    </w:p>
    <w:p w14:paraId="455DB483"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36E2E5A6" w14:textId="77777777" w:rsidR="00175ABB" w:rsidRPr="00EA6C7A" w:rsidRDefault="00175ABB" w:rsidP="00175ABB">
      <w:pPr>
        <w:spacing w:after="0" w:line="240" w:lineRule="auto"/>
        <w:jc w:val="both"/>
        <w:rPr>
          <w:rFonts w:ascii="Verdana" w:eastAsia="Calibri" w:hAnsi="Verdana" w:cs="Tahoma"/>
          <w:bCs/>
          <w:i/>
          <w:color w:val="000000"/>
          <w:sz w:val="20"/>
          <w:szCs w:val="20"/>
          <w:u w:val="single"/>
          <w:shd w:val="clear" w:color="auto" w:fill="FFFFFF"/>
          <w:lang w:val="en-US"/>
        </w:rPr>
      </w:pPr>
      <w:r w:rsidRPr="00EA6C7A">
        <w:rPr>
          <w:rFonts w:ascii="Verdana" w:eastAsia="Calibri" w:hAnsi="Verdana" w:cs="Tahoma"/>
          <w:bCs/>
          <w:i/>
          <w:color w:val="000000"/>
          <w:sz w:val="20"/>
          <w:szCs w:val="20"/>
          <w:u w:val="single"/>
          <w:shd w:val="clear" w:color="auto" w:fill="FFFFFF"/>
          <w:lang w:val="en-US"/>
        </w:rPr>
        <w:t xml:space="preserve">III.2 </w:t>
      </w:r>
      <w:r w:rsidR="007C280B" w:rsidRPr="00EA6C7A">
        <w:rPr>
          <w:rFonts w:ascii="Verdana" w:eastAsia="Calibri" w:hAnsi="Verdana" w:cs="Tahoma"/>
          <w:bCs/>
          <w:i/>
          <w:color w:val="000000"/>
          <w:sz w:val="20"/>
          <w:szCs w:val="20"/>
          <w:u w:val="single"/>
          <w:shd w:val="clear" w:color="auto" w:fill="FFFFFF"/>
          <w:lang w:val="en-US"/>
        </w:rPr>
        <w:t>The</w:t>
      </w:r>
      <w:r w:rsidRPr="00EA6C7A">
        <w:rPr>
          <w:rFonts w:ascii="Verdana" w:eastAsia="Calibri" w:hAnsi="Verdana" w:cs="Tahoma"/>
          <w:bCs/>
          <w:i/>
          <w:color w:val="000000"/>
          <w:sz w:val="20"/>
          <w:szCs w:val="20"/>
          <w:u w:val="single"/>
          <w:shd w:val="clear" w:color="auto" w:fill="FFFFFF"/>
          <w:lang w:val="en-US"/>
        </w:rPr>
        <w:t xml:space="preserve"> “</w:t>
      </w:r>
      <w:r w:rsidR="007C280B" w:rsidRPr="00EA6C7A">
        <w:rPr>
          <w:rFonts w:ascii="Verdana" w:eastAsia="Calibri" w:hAnsi="Verdana" w:cs="Tahoma"/>
          <w:bCs/>
          <w:i/>
          <w:color w:val="000000"/>
          <w:sz w:val="20"/>
          <w:szCs w:val="20"/>
          <w:u w:val="single"/>
          <w:shd w:val="clear" w:color="auto" w:fill="FFFFFF"/>
          <w:lang w:val="en-US"/>
        </w:rPr>
        <w:t>two moments</w:t>
      </w:r>
      <w:r w:rsidRPr="00EA6C7A">
        <w:rPr>
          <w:rFonts w:ascii="Verdana" w:eastAsia="Calibri" w:hAnsi="Verdana" w:cs="Tahoma"/>
          <w:bCs/>
          <w:i/>
          <w:color w:val="000000"/>
          <w:sz w:val="20"/>
          <w:szCs w:val="20"/>
          <w:u w:val="single"/>
          <w:shd w:val="clear" w:color="auto" w:fill="FFFFFF"/>
          <w:lang w:val="en-US"/>
        </w:rPr>
        <w:t xml:space="preserve">” </w:t>
      </w:r>
      <w:r w:rsidR="007C280B" w:rsidRPr="00EA6C7A">
        <w:rPr>
          <w:rFonts w:ascii="Verdana" w:eastAsia="Calibri" w:hAnsi="Verdana" w:cs="Tahoma"/>
          <w:bCs/>
          <w:i/>
          <w:color w:val="000000"/>
          <w:sz w:val="20"/>
          <w:szCs w:val="20"/>
          <w:u w:val="single"/>
          <w:shd w:val="clear" w:color="auto" w:fill="FFFFFF"/>
          <w:lang w:val="en-US"/>
        </w:rPr>
        <w:t>of the</w:t>
      </w:r>
      <w:r w:rsidRPr="00EA6C7A">
        <w:rPr>
          <w:rFonts w:ascii="Verdana" w:eastAsia="Calibri" w:hAnsi="Verdana" w:cs="Tahoma"/>
          <w:bCs/>
          <w:i/>
          <w:color w:val="000000"/>
          <w:sz w:val="20"/>
          <w:szCs w:val="20"/>
          <w:u w:val="single"/>
          <w:shd w:val="clear" w:color="auto" w:fill="FFFFFF"/>
          <w:lang w:val="en-US"/>
        </w:rPr>
        <w:t xml:space="preserve"> </w:t>
      </w:r>
      <w:r w:rsidR="00D5307F" w:rsidRPr="00EA6C7A">
        <w:rPr>
          <w:rFonts w:ascii="Verdana" w:eastAsia="Calibri" w:hAnsi="Verdana" w:cs="Tahoma"/>
          <w:bCs/>
          <w:i/>
          <w:color w:val="000000"/>
          <w:sz w:val="20"/>
          <w:szCs w:val="20"/>
          <w:u w:val="single"/>
          <w:shd w:val="clear" w:color="auto" w:fill="FFFFFF"/>
          <w:lang w:val="en-US"/>
        </w:rPr>
        <w:t>obligation of prevention</w:t>
      </w:r>
      <w:r w:rsidRPr="00EA6C7A">
        <w:rPr>
          <w:rFonts w:ascii="Verdana" w:eastAsia="Calibri" w:hAnsi="Verdana" w:cs="Tahoma"/>
          <w:bCs/>
          <w:i/>
          <w:color w:val="000000"/>
          <w:sz w:val="20"/>
          <w:szCs w:val="20"/>
          <w:u w:val="single"/>
          <w:shd w:val="clear" w:color="auto" w:fill="FFFFFF"/>
          <w:lang w:val="en-US"/>
        </w:rPr>
        <w:t xml:space="preserve"> </w:t>
      </w:r>
    </w:p>
    <w:p w14:paraId="3990E5E6"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06D0852B"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40. </w:t>
      </w:r>
      <w:r w:rsidRPr="00EA6C7A">
        <w:rPr>
          <w:rFonts w:ascii="Verdana" w:eastAsia="Calibri" w:hAnsi="Verdana" w:cs="Tahoma"/>
          <w:bCs/>
          <w:color w:val="000000"/>
          <w:sz w:val="20"/>
          <w:szCs w:val="20"/>
          <w:shd w:val="clear" w:color="auto" w:fill="FFFFFF"/>
          <w:lang w:val="en-US"/>
        </w:rPr>
        <w:tab/>
      </w:r>
      <w:r w:rsidR="00A534EF" w:rsidRPr="00EA6C7A">
        <w:rPr>
          <w:rFonts w:ascii="Verdana" w:eastAsia="Calibri" w:hAnsi="Verdana" w:cs="Tahoma"/>
          <w:bCs/>
          <w:color w:val="000000"/>
          <w:sz w:val="20"/>
          <w:szCs w:val="20"/>
          <w:shd w:val="clear" w:color="auto" w:fill="FFFFFF"/>
          <w:lang w:val="en-US"/>
        </w:rPr>
        <w:t xml:space="preserve">To establish non-compliance with the </w:t>
      </w:r>
      <w:r w:rsidR="001951AC" w:rsidRPr="00EA6C7A">
        <w:rPr>
          <w:rFonts w:ascii="Verdana" w:eastAsia="Calibri" w:hAnsi="Verdana" w:cs="Tahoma"/>
          <w:bCs/>
          <w:color w:val="000000"/>
          <w:sz w:val="20"/>
          <w:szCs w:val="20"/>
          <w:shd w:val="clear" w:color="auto" w:fill="FFFFFF"/>
          <w:lang w:val="en-US"/>
        </w:rPr>
        <w:t>obligation</w:t>
      </w:r>
      <w:r w:rsidR="00A534EF" w:rsidRPr="00EA6C7A">
        <w:rPr>
          <w:rFonts w:ascii="Verdana" w:eastAsia="Calibri" w:hAnsi="Verdana" w:cs="Tahoma"/>
          <w:bCs/>
          <w:color w:val="000000"/>
          <w:sz w:val="20"/>
          <w:szCs w:val="20"/>
          <w:shd w:val="clear" w:color="auto" w:fill="FFFFFF"/>
          <w:lang w:val="en-US"/>
        </w:rPr>
        <w:t xml:space="preserve"> to prevent violations of the r</w:t>
      </w:r>
      <w:r w:rsidR="00123BD3" w:rsidRPr="00EA6C7A">
        <w:rPr>
          <w:rFonts w:ascii="Verdana" w:eastAsia="Calibri" w:hAnsi="Verdana" w:cs="Tahoma"/>
          <w:bCs/>
          <w:color w:val="000000"/>
          <w:sz w:val="20"/>
          <w:szCs w:val="20"/>
          <w:shd w:val="clear" w:color="auto" w:fill="FFFFFF"/>
          <w:lang w:val="en-US"/>
        </w:rPr>
        <w:t>ights to life</w:t>
      </w:r>
      <w:r w:rsidRPr="00EA6C7A">
        <w:rPr>
          <w:rFonts w:ascii="Verdana" w:eastAsia="Calibri" w:hAnsi="Verdana" w:cs="Tahoma"/>
          <w:bCs/>
          <w:color w:val="000000"/>
          <w:sz w:val="20"/>
          <w:szCs w:val="20"/>
          <w:shd w:val="clear" w:color="auto" w:fill="FFFFFF"/>
          <w:lang w:val="en-US"/>
        </w:rPr>
        <w:t xml:space="preserve"> </w:t>
      </w:r>
      <w:r w:rsidR="004C1E19" w:rsidRPr="00EA6C7A">
        <w:rPr>
          <w:rFonts w:ascii="Verdana" w:eastAsia="Calibri" w:hAnsi="Verdana" w:cs="Tahoma"/>
          <w:bCs/>
          <w:color w:val="000000"/>
          <w:sz w:val="20"/>
          <w:szCs w:val="20"/>
          <w:shd w:val="clear" w:color="auto" w:fill="FFFFFF"/>
          <w:lang w:val="en-US"/>
        </w:rPr>
        <w:t>and personal</w:t>
      </w:r>
      <w:r w:rsidR="00515C34" w:rsidRPr="00EA6C7A">
        <w:rPr>
          <w:rFonts w:ascii="Verdana" w:eastAsia="Calibri" w:hAnsi="Verdana" w:cs="Tahoma"/>
          <w:bCs/>
          <w:color w:val="000000"/>
          <w:sz w:val="20"/>
          <w:szCs w:val="20"/>
          <w:shd w:val="clear" w:color="auto" w:fill="FFFFFF"/>
          <w:lang w:val="en-US"/>
        </w:rPr>
        <w:t xml:space="preserve"> integrity</w:t>
      </w:r>
      <w:r w:rsidRPr="00EA6C7A">
        <w:rPr>
          <w:rFonts w:ascii="Verdana" w:eastAsia="Calibri" w:hAnsi="Verdana" w:cs="Tahoma"/>
          <w:bCs/>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 xml:space="preserve">the </w:t>
      </w:r>
      <w:r w:rsidR="009939AC" w:rsidRPr="00EA6C7A">
        <w:rPr>
          <w:rFonts w:ascii="Verdana" w:eastAsia="Calibri" w:hAnsi="Verdana" w:cs="Tahoma"/>
          <w:bCs/>
          <w:color w:val="000000"/>
          <w:sz w:val="20"/>
          <w:szCs w:val="20"/>
          <w:shd w:val="clear" w:color="auto" w:fill="FFFFFF"/>
          <w:lang w:val="en-US"/>
        </w:rPr>
        <w:t>Court</w:t>
      </w:r>
      <w:r w:rsidRPr="00EA6C7A">
        <w:rPr>
          <w:rFonts w:ascii="Verdana" w:eastAsia="Calibri" w:hAnsi="Verdana" w:cs="Tahoma"/>
          <w:bCs/>
          <w:color w:val="000000"/>
          <w:sz w:val="20"/>
          <w:szCs w:val="20"/>
          <w:shd w:val="clear" w:color="auto" w:fill="FFFFFF"/>
          <w:lang w:val="en-US"/>
        </w:rPr>
        <w:t xml:space="preserve"> </w:t>
      </w:r>
      <w:r w:rsidR="00A534EF" w:rsidRPr="00EA6C7A">
        <w:rPr>
          <w:rFonts w:ascii="Verdana" w:eastAsia="Calibri" w:hAnsi="Verdana" w:cs="Tahoma"/>
          <w:bCs/>
          <w:color w:val="000000"/>
          <w:sz w:val="20"/>
          <w:szCs w:val="20"/>
          <w:shd w:val="clear" w:color="auto" w:fill="FFFFFF"/>
          <w:lang w:val="en-US"/>
        </w:rPr>
        <w:t xml:space="preserve">referred to </w:t>
      </w:r>
      <w:r w:rsidR="007E6E93" w:rsidRPr="00EA6C7A">
        <w:rPr>
          <w:rFonts w:ascii="Verdana" w:eastAsia="Calibri" w:hAnsi="Verdana" w:cs="Tahoma"/>
          <w:bCs/>
          <w:color w:val="000000"/>
          <w:sz w:val="20"/>
          <w:szCs w:val="20"/>
          <w:shd w:val="clear" w:color="auto" w:fill="FFFFFF"/>
          <w:lang w:val="en-US"/>
        </w:rPr>
        <w:t>the case of</w:t>
      </w:r>
      <w:r w:rsidR="00D5307F" w:rsidRPr="00EA6C7A">
        <w:rPr>
          <w:rFonts w:ascii="Verdana" w:eastAsia="Calibri" w:hAnsi="Verdana" w:cs="Tahoma"/>
          <w:bCs/>
          <w:i/>
          <w:color w:val="000000"/>
          <w:sz w:val="20"/>
          <w:szCs w:val="20"/>
          <w:shd w:val="clear" w:color="auto" w:fill="FFFFFF"/>
          <w:lang w:val="en-US"/>
        </w:rPr>
        <w:t xml:space="preserve"> the </w:t>
      </w:r>
      <w:r w:rsidRPr="00EA6C7A">
        <w:rPr>
          <w:rFonts w:ascii="Verdana" w:eastAsia="Calibri" w:hAnsi="Verdana" w:cs="Tahoma"/>
          <w:bCs/>
          <w:i/>
          <w:color w:val="000000"/>
          <w:sz w:val="20"/>
          <w:szCs w:val="20"/>
          <w:shd w:val="clear" w:color="auto" w:fill="FFFFFF"/>
          <w:lang w:val="en-US"/>
        </w:rPr>
        <w:t>Pueblo Bello</w:t>
      </w:r>
      <w:r w:rsidR="00A534EF" w:rsidRPr="00EA6C7A">
        <w:rPr>
          <w:rFonts w:ascii="Verdana" w:eastAsia="Calibri" w:hAnsi="Verdana" w:cs="Tahoma"/>
          <w:bCs/>
          <w:i/>
          <w:color w:val="000000"/>
          <w:sz w:val="20"/>
          <w:szCs w:val="20"/>
          <w:shd w:val="clear" w:color="auto" w:fill="FFFFFF"/>
          <w:lang w:val="en-US"/>
        </w:rPr>
        <w:t xml:space="preserve"> Massacre</w:t>
      </w:r>
      <w:r w:rsidRPr="00EA6C7A">
        <w:rPr>
          <w:rFonts w:ascii="Verdana" w:eastAsia="Calibri" w:hAnsi="Verdana" w:cs="Tahoma"/>
          <w:bCs/>
          <w:i/>
          <w:color w:val="000000"/>
          <w:sz w:val="20"/>
          <w:szCs w:val="20"/>
          <w:shd w:val="clear" w:color="auto" w:fill="FFFFFF"/>
          <w:lang w:val="en-US"/>
        </w:rPr>
        <w:t xml:space="preserve"> </w:t>
      </w:r>
      <w:r w:rsidR="001914FC" w:rsidRPr="00EA6C7A">
        <w:rPr>
          <w:rFonts w:ascii="Verdana" w:eastAsia="Calibri" w:hAnsi="Verdana" w:cs="Tahoma"/>
          <w:bCs/>
          <w:i/>
          <w:color w:val="000000"/>
          <w:sz w:val="20"/>
          <w:szCs w:val="20"/>
          <w:shd w:val="clear" w:color="auto" w:fill="FFFFFF"/>
          <w:lang w:val="en-US"/>
        </w:rPr>
        <w:t>v.</w:t>
      </w:r>
      <w:r w:rsidRPr="00EA6C7A">
        <w:rPr>
          <w:rFonts w:ascii="Verdana" w:eastAsia="Calibri" w:hAnsi="Verdana" w:cs="Tahoma"/>
          <w:bCs/>
          <w:i/>
          <w:color w:val="000000"/>
          <w:sz w:val="20"/>
          <w:szCs w:val="20"/>
          <w:shd w:val="clear" w:color="auto" w:fill="FFFFFF"/>
          <w:lang w:val="en-US"/>
        </w:rPr>
        <w:t xml:space="preserve"> Colombia,</w:t>
      </w:r>
      <w:r w:rsidRPr="00EA6C7A">
        <w:rPr>
          <w:rFonts w:ascii="Verdana" w:eastAsia="Calibri" w:hAnsi="Verdana" w:cs="Tahoma"/>
          <w:bCs/>
          <w:color w:val="000000"/>
          <w:sz w:val="20"/>
          <w:szCs w:val="20"/>
          <w:shd w:val="clear" w:color="auto" w:fill="FFFFFF"/>
          <w:lang w:val="en-US"/>
        </w:rPr>
        <w:t xml:space="preserve"> </w:t>
      </w:r>
      <w:r w:rsidR="00A534EF" w:rsidRPr="00EA6C7A">
        <w:rPr>
          <w:rFonts w:ascii="Verdana" w:eastAsia="Calibri" w:hAnsi="Verdana" w:cs="Tahoma"/>
          <w:bCs/>
          <w:color w:val="000000"/>
          <w:sz w:val="20"/>
          <w:szCs w:val="20"/>
          <w:shd w:val="clear" w:color="auto" w:fill="FFFFFF"/>
          <w:lang w:val="en-US"/>
        </w:rPr>
        <w:t xml:space="preserve">to </w:t>
      </w:r>
      <w:r w:rsidR="001951AC" w:rsidRPr="00EA6C7A">
        <w:rPr>
          <w:rFonts w:ascii="Verdana" w:eastAsia="Calibri" w:hAnsi="Verdana" w:cs="Tahoma"/>
          <w:bCs/>
          <w:color w:val="000000"/>
          <w:sz w:val="20"/>
          <w:szCs w:val="20"/>
          <w:shd w:val="clear" w:color="auto" w:fill="FFFFFF"/>
          <w:lang w:val="en-US"/>
        </w:rPr>
        <w:t>indicate</w:t>
      </w:r>
      <w:r w:rsidR="00A534EF" w:rsidRPr="00EA6C7A">
        <w:rPr>
          <w:rFonts w:ascii="Verdana" w:eastAsia="Calibri" w:hAnsi="Verdana" w:cs="Tahoma"/>
          <w:bCs/>
          <w:color w:val="000000"/>
          <w:sz w:val="20"/>
          <w:szCs w:val="20"/>
          <w:shd w:val="clear" w:color="auto" w:fill="FFFFFF"/>
          <w:lang w:val="en-US"/>
        </w:rPr>
        <w:t xml:space="preserve"> the factors that </w:t>
      </w:r>
      <w:r w:rsidR="001951AC" w:rsidRPr="00EA6C7A">
        <w:rPr>
          <w:rFonts w:ascii="Verdana" w:eastAsia="Calibri" w:hAnsi="Verdana" w:cs="Tahoma"/>
          <w:bCs/>
          <w:color w:val="000000"/>
          <w:sz w:val="20"/>
          <w:szCs w:val="20"/>
          <w:shd w:val="clear" w:color="auto" w:fill="FFFFFF"/>
          <w:lang w:val="en-US"/>
        </w:rPr>
        <w:t>must</w:t>
      </w:r>
      <w:r w:rsidR="00A534EF" w:rsidRPr="00EA6C7A">
        <w:rPr>
          <w:rFonts w:ascii="Verdana" w:eastAsia="Calibri" w:hAnsi="Verdana" w:cs="Tahoma"/>
          <w:bCs/>
          <w:color w:val="000000"/>
          <w:sz w:val="20"/>
          <w:szCs w:val="20"/>
          <w:shd w:val="clear" w:color="auto" w:fill="FFFFFF"/>
          <w:lang w:val="en-US"/>
        </w:rPr>
        <w:t xml:space="preserve"> be verified as regards the obligation of prevention, </w:t>
      </w:r>
      <w:r w:rsidR="001951AC" w:rsidRPr="00EA6C7A">
        <w:rPr>
          <w:rFonts w:ascii="Verdana" w:eastAsia="Calibri" w:hAnsi="Verdana" w:cs="Tahoma"/>
          <w:bCs/>
          <w:color w:val="000000"/>
          <w:sz w:val="20"/>
          <w:szCs w:val="20"/>
          <w:shd w:val="clear" w:color="auto" w:fill="FFFFFF"/>
          <w:lang w:val="en-US"/>
        </w:rPr>
        <w:t>which were</w:t>
      </w:r>
      <w:r w:rsidR="00A534EF" w:rsidRPr="00EA6C7A">
        <w:rPr>
          <w:rFonts w:ascii="Verdana" w:eastAsia="Calibri" w:hAnsi="Verdana" w:cs="Tahoma"/>
          <w:bCs/>
          <w:color w:val="000000"/>
          <w:sz w:val="20"/>
          <w:szCs w:val="20"/>
          <w:shd w:val="clear" w:color="auto" w:fill="FFFFFF"/>
          <w:lang w:val="en-US"/>
        </w:rPr>
        <w:t xml:space="preserve"> the State’s awareness of the real and immediate </w:t>
      </w:r>
      <w:r w:rsidR="001951AC" w:rsidRPr="00EA6C7A">
        <w:rPr>
          <w:rFonts w:ascii="Verdana" w:eastAsia="Calibri" w:hAnsi="Verdana" w:cs="Tahoma"/>
          <w:bCs/>
          <w:color w:val="000000"/>
          <w:sz w:val="20"/>
          <w:szCs w:val="20"/>
          <w:shd w:val="clear" w:color="auto" w:fill="FFFFFF"/>
          <w:lang w:val="en-US"/>
        </w:rPr>
        <w:t>risk</w:t>
      </w:r>
      <w:r w:rsidR="00A534EF" w:rsidRPr="00EA6C7A">
        <w:rPr>
          <w:rFonts w:ascii="Verdana" w:eastAsia="Calibri" w:hAnsi="Verdana" w:cs="Tahoma"/>
          <w:bCs/>
          <w:color w:val="000000"/>
          <w:sz w:val="20"/>
          <w:szCs w:val="20"/>
          <w:shd w:val="clear" w:color="auto" w:fill="FFFFFF"/>
          <w:lang w:val="en-US"/>
        </w:rPr>
        <w:t xml:space="preserve"> for those rights, and the adoption of measures by the authorities to prevent or avoid that </w:t>
      </w:r>
      <w:r w:rsidR="001951AC" w:rsidRPr="00EA6C7A">
        <w:rPr>
          <w:rFonts w:ascii="Verdana" w:eastAsia="Calibri" w:hAnsi="Verdana" w:cs="Tahoma"/>
          <w:bCs/>
          <w:color w:val="000000"/>
          <w:sz w:val="20"/>
          <w:szCs w:val="20"/>
          <w:shd w:val="clear" w:color="auto" w:fill="FFFFFF"/>
          <w:lang w:val="en-US"/>
        </w:rPr>
        <w:t>risk</w:t>
      </w:r>
      <w:r w:rsidR="00A534EF"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71"/>
      </w:r>
      <w:r w:rsidRPr="00EA6C7A">
        <w:rPr>
          <w:rFonts w:ascii="Verdana" w:eastAsia="Calibri" w:hAnsi="Verdana" w:cs="Tahoma"/>
          <w:bCs/>
          <w:color w:val="000000"/>
          <w:sz w:val="20"/>
          <w:szCs w:val="20"/>
          <w:shd w:val="clear" w:color="auto" w:fill="FFFFFF"/>
          <w:lang w:val="en-US"/>
        </w:rPr>
        <w:t xml:space="preserve"> </w:t>
      </w:r>
      <w:r w:rsidR="00A534EF" w:rsidRPr="00EA6C7A">
        <w:rPr>
          <w:rFonts w:ascii="Verdana" w:eastAsia="Calibri" w:hAnsi="Verdana" w:cs="Tahoma"/>
          <w:bCs/>
          <w:color w:val="000000"/>
          <w:sz w:val="20"/>
          <w:szCs w:val="20"/>
          <w:shd w:val="clear" w:color="auto" w:fill="FFFFFF"/>
          <w:lang w:val="en-US"/>
        </w:rPr>
        <w:t>Subsequently</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the Inter-American Court</w:t>
      </w:r>
      <w:r w:rsidRPr="00EA6C7A">
        <w:rPr>
          <w:rFonts w:ascii="Verdana" w:eastAsia="Calibri" w:hAnsi="Verdana" w:cs="Tahoma"/>
          <w:bCs/>
          <w:color w:val="000000"/>
          <w:sz w:val="20"/>
          <w:szCs w:val="20"/>
          <w:shd w:val="clear" w:color="auto" w:fill="FFFFFF"/>
          <w:lang w:val="en-US"/>
        </w:rPr>
        <w:t xml:space="preserve"> </w:t>
      </w:r>
      <w:r w:rsidR="00A534EF" w:rsidRPr="00EA6C7A">
        <w:rPr>
          <w:rFonts w:ascii="Verdana" w:eastAsia="Calibri" w:hAnsi="Verdana" w:cs="Tahoma"/>
          <w:bCs/>
          <w:color w:val="000000"/>
          <w:sz w:val="20"/>
          <w:szCs w:val="20"/>
          <w:shd w:val="clear" w:color="auto" w:fill="FFFFFF"/>
          <w:lang w:val="en-US"/>
        </w:rPr>
        <w:t xml:space="preserve">repeated the </w:t>
      </w:r>
      <w:r w:rsidR="001951AC" w:rsidRPr="00EA6C7A">
        <w:rPr>
          <w:rFonts w:ascii="Verdana" w:eastAsia="Calibri" w:hAnsi="Verdana" w:cs="Tahoma"/>
          <w:bCs/>
          <w:color w:val="000000"/>
          <w:sz w:val="20"/>
          <w:szCs w:val="20"/>
          <w:shd w:val="clear" w:color="auto" w:fill="FFFFFF"/>
          <w:lang w:val="en-US"/>
        </w:rPr>
        <w:t>criterion</w:t>
      </w:r>
      <w:r w:rsidR="00A534EF" w:rsidRPr="00EA6C7A">
        <w:rPr>
          <w:rFonts w:ascii="Verdana" w:eastAsia="Calibri" w:hAnsi="Verdana" w:cs="Tahoma"/>
          <w:bCs/>
          <w:color w:val="000000"/>
          <w:sz w:val="20"/>
          <w:szCs w:val="20"/>
          <w:shd w:val="clear" w:color="auto" w:fill="FFFFFF"/>
          <w:lang w:val="en-US"/>
        </w:rPr>
        <w:t xml:space="preserve"> of the</w:t>
      </w:r>
      <w:r w:rsidRPr="00EA6C7A">
        <w:rPr>
          <w:rFonts w:ascii="Verdana" w:eastAsia="Calibri" w:hAnsi="Verdana" w:cs="Tahoma"/>
          <w:bCs/>
          <w:color w:val="000000"/>
          <w:sz w:val="20"/>
          <w:szCs w:val="20"/>
          <w:shd w:val="clear" w:color="auto" w:fill="FFFFFF"/>
          <w:lang w:val="en-US"/>
        </w:rPr>
        <w:t xml:space="preserve"> “</w:t>
      </w:r>
      <w:r w:rsidR="007C280B" w:rsidRPr="00EA6C7A">
        <w:rPr>
          <w:rFonts w:ascii="Verdana" w:eastAsia="Calibri" w:hAnsi="Verdana" w:cs="Tahoma"/>
          <w:bCs/>
          <w:color w:val="000000"/>
          <w:sz w:val="20"/>
          <w:szCs w:val="20"/>
          <w:shd w:val="clear" w:color="auto" w:fill="FFFFFF"/>
          <w:lang w:val="en-US"/>
        </w:rPr>
        <w:t>two moments</w:t>
      </w:r>
      <w:r w:rsidRPr="00EA6C7A">
        <w:rPr>
          <w:rFonts w:ascii="Verdana" w:eastAsia="Calibri" w:hAnsi="Verdana" w:cs="Tahoma"/>
          <w:bCs/>
          <w:color w:val="000000"/>
          <w:sz w:val="20"/>
          <w:szCs w:val="20"/>
          <w:shd w:val="clear" w:color="auto" w:fill="FFFFFF"/>
          <w:lang w:val="en-US"/>
        </w:rPr>
        <w:t>”</w:t>
      </w:r>
      <w:r w:rsidR="00A534EF" w:rsidRPr="00EA6C7A">
        <w:rPr>
          <w:rFonts w:ascii="Verdana" w:eastAsia="Calibri" w:hAnsi="Verdana" w:cs="Tahoma"/>
          <w:bCs/>
          <w:color w:val="000000"/>
          <w:sz w:val="20"/>
          <w:szCs w:val="20"/>
          <w:shd w:val="clear" w:color="auto" w:fill="FFFFFF"/>
          <w:lang w:val="en-US"/>
        </w:rPr>
        <w:t xml:space="preserve"> of the obligation</w:t>
      </w:r>
      <w:r w:rsidR="00D5307F" w:rsidRPr="00EA6C7A">
        <w:rPr>
          <w:rFonts w:ascii="Verdana" w:eastAsia="Calibri" w:hAnsi="Verdana" w:cs="Tahoma"/>
          <w:bCs/>
          <w:color w:val="000000"/>
          <w:sz w:val="20"/>
          <w:szCs w:val="20"/>
          <w:shd w:val="clear" w:color="auto" w:fill="FFFFFF"/>
          <w:lang w:val="en-US"/>
        </w:rPr>
        <w:t xml:space="preserve"> of prevention</w:t>
      </w:r>
      <w:r w:rsidR="00A534EF" w:rsidRPr="00EA6C7A">
        <w:rPr>
          <w:rFonts w:ascii="Verdana" w:eastAsia="Calibri" w:hAnsi="Verdana" w:cs="Tahoma"/>
          <w:bCs/>
          <w:color w:val="000000"/>
          <w:sz w:val="20"/>
          <w:szCs w:val="20"/>
          <w:shd w:val="clear" w:color="auto" w:fill="FFFFFF"/>
          <w:lang w:val="en-US"/>
        </w:rPr>
        <w:t xml:space="preserve"> in the</w:t>
      </w:r>
      <w:r w:rsidR="001951AC" w:rsidRPr="00EA6C7A">
        <w:rPr>
          <w:rFonts w:ascii="Verdana" w:eastAsia="Calibri" w:hAnsi="Verdana" w:cs="Tahoma"/>
          <w:bCs/>
          <w:color w:val="000000"/>
          <w:sz w:val="20"/>
          <w:szCs w:val="20"/>
          <w:shd w:val="clear" w:color="auto" w:fill="FFFFFF"/>
          <w:lang w:val="en-US"/>
        </w:rPr>
        <w:t xml:space="preserve"> present</w:t>
      </w:r>
      <w:r w:rsidR="00A534EF" w:rsidRPr="00EA6C7A">
        <w:rPr>
          <w:rFonts w:ascii="Verdana" w:eastAsia="Calibri" w:hAnsi="Verdana" w:cs="Tahoma"/>
          <w:bCs/>
          <w:color w:val="000000"/>
          <w:sz w:val="20"/>
          <w:szCs w:val="20"/>
          <w:shd w:val="clear" w:color="auto" w:fill="FFFFFF"/>
          <w:lang w:val="en-US"/>
        </w:rPr>
        <w:t xml:space="preserve"> judgment</w:t>
      </w:r>
      <w:r w:rsidRPr="00EA6C7A">
        <w:rPr>
          <w:rFonts w:ascii="Verdana" w:eastAsia="Calibri" w:hAnsi="Verdana" w:cs="Tahoma"/>
          <w:bCs/>
          <w:color w:val="000000"/>
          <w:sz w:val="20"/>
          <w:szCs w:val="20"/>
          <w:shd w:val="clear" w:color="auto" w:fill="FFFFFF"/>
          <w:lang w:val="en-US"/>
        </w:rPr>
        <w:t>, indica</w:t>
      </w:r>
      <w:r w:rsidR="00A534EF" w:rsidRPr="00EA6C7A">
        <w:rPr>
          <w:rFonts w:ascii="Verdana" w:eastAsia="Calibri" w:hAnsi="Verdana" w:cs="Tahoma"/>
          <w:bCs/>
          <w:color w:val="000000"/>
          <w:sz w:val="20"/>
          <w:szCs w:val="20"/>
          <w:shd w:val="clear" w:color="auto" w:fill="FFFFFF"/>
          <w:lang w:val="en-US"/>
        </w:rPr>
        <w:t xml:space="preserve">ting </w:t>
      </w:r>
      <w:r w:rsidR="005C3073" w:rsidRPr="00EA6C7A">
        <w:rPr>
          <w:rFonts w:ascii="Verdana" w:eastAsia="Calibri" w:hAnsi="Verdana" w:cs="Tahoma"/>
          <w:bCs/>
          <w:color w:val="000000"/>
          <w:sz w:val="20"/>
          <w:szCs w:val="20"/>
          <w:shd w:val="clear" w:color="auto" w:fill="FFFFFF"/>
          <w:lang w:val="en-US"/>
        </w:rPr>
        <w:t>that this must be analyzed</w:t>
      </w:r>
      <w:r w:rsidR="00A534EF" w:rsidRPr="00EA6C7A">
        <w:rPr>
          <w:rFonts w:ascii="Verdana" w:eastAsia="Calibri" w:hAnsi="Verdana" w:cs="Tahoma"/>
          <w:bCs/>
          <w:color w:val="000000"/>
          <w:sz w:val="20"/>
          <w:szCs w:val="20"/>
          <w:shd w:val="clear" w:color="auto" w:fill="FFFFFF"/>
          <w:lang w:val="en-US"/>
        </w:rPr>
        <w:t xml:space="preserve"> with regard to the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first moment</w:t>
      </w:r>
      <w:r w:rsidRPr="00EA6C7A">
        <w:rPr>
          <w:rFonts w:ascii="Verdana" w:eastAsia="Calibri" w:hAnsi="Verdana" w:cs="Tahoma"/>
          <w:bCs/>
          <w:color w:val="000000"/>
          <w:sz w:val="20"/>
          <w:szCs w:val="20"/>
          <w:shd w:val="clear" w:color="auto" w:fill="FFFFFF"/>
          <w:lang w:val="en-US"/>
        </w:rPr>
        <w:t>” (</w:t>
      </w:r>
      <w:r w:rsidR="0001699C" w:rsidRPr="00EA6C7A">
        <w:rPr>
          <w:rFonts w:ascii="Verdana" w:eastAsia="Calibri" w:hAnsi="Verdana" w:cs="Tahoma"/>
          <w:bCs/>
          <w:color w:val="000000"/>
          <w:sz w:val="20"/>
          <w:szCs w:val="20"/>
          <w:shd w:val="clear" w:color="auto" w:fill="FFFFFF"/>
          <w:lang w:val="en-US"/>
        </w:rPr>
        <w:t>before the disappearance</w:t>
      </w:r>
      <w:r w:rsidRPr="00EA6C7A">
        <w:rPr>
          <w:rFonts w:ascii="Verdana" w:eastAsia="Calibri" w:hAnsi="Verdana" w:cs="Tahoma"/>
          <w:bCs/>
          <w:color w:val="000000"/>
          <w:sz w:val="20"/>
          <w:szCs w:val="20"/>
          <w:shd w:val="clear" w:color="auto" w:fill="FFFFFF"/>
          <w:lang w:val="en-US"/>
        </w:rPr>
        <w:t xml:space="preserve"> Claudina Velásquez: </w:t>
      </w:r>
      <w:r w:rsidR="0001699C" w:rsidRPr="00EA6C7A">
        <w:rPr>
          <w:rFonts w:ascii="Verdana" w:eastAsia="Calibri" w:hAnsi="Verdana" w:cs="Tahoma"/>
          <w:bCs/>
          <w:color w:val="000000"/>
          <w:sz w:val="20"/>
          <w:szCs w:val="20"/>
          <w:shd w:val="clear" w:color="auto" w:fill="FFFFFF"/>
          <w:lang w:val="en-US"/>
        </w:rPr>
        <w:t xml:space="preserve">general obligation to </w:t>
      </w:r>
      <w:r w:rsidR="001E7171" w:rsidRPr="00EA6C7A">
        <w:rPr>
          <w:rFonts w:ascii="Verdana" w:eastAsia="Calibri" w:hAnsi="Verdana" w:cs="Tahoma"/>
          <w:bCs/>
          <w:color w:val="000000"/>
          <w:sz w:val="20"/>
          <w:szCs w:val="20"/>
          <w:shd w:val="clear" w:color="auto" w:fill="FFFFFF"/>
          <w:lang w:val="en-US"/>
        </w:rPr>
        <w:t xml:space="preserve">prevent </w:t>
      </w:r>
      <w:r w:rsidR="001E7171" w:rsidRPr="00EA6C7A">
        <w:rPr>
          <w:rFonts w:ascii="Verdana" w:eastAsia="Calibri" w:hAnsi="Verdana" w:cs="Tahoma"/>
          <w:bCs/>
          <w:color w:val="000000"/>
          <w:sz w:val="20"/>
          <w:szCs w:val="20"/>
          <w:shd w:val="clear" w:color="auto" w:fill="FFFFFF"/>
          <w:lang w:val="en-US"/>
        </w:rPr>
        <w:lastRenderedPageBreak/>
        <w:t>the</w:t>
      </w:r>
      <w:r w:rsidR="0001699C" w:rsidRPr="00EA6C7A">
        <w:rPr>
          <w:rFonts w:ascii="Verdana" w:eastAsia="Calibri" w:hAnsi="Verdana" w:cs="Tahoma"/>
          <w:bCs/>
          <w:color w:val="000000"/>
          <w:sz w:val="20"/>
          <w:szCs w:val="20"/>
          <w:shd w:val="clear" w:color="auto" w:fill="FFFFFF"/>
          <w:lang w:val="en-US"/>
        </w:rPr>
        <w:t xml:space="preserve"> disappearance and murder of women</w:t>
      </w:r>
      <w:r w:rsidRPr="00EA6C7A">
        <w:rPr>
          <w:rFonts w:ascii="Verdana" w:eastAsia="Calibri" w:hAnsi="Verdana" w:cs="Tahoma"/>
          <w:bCs/>
          <w:color w:val="000000"/>
          <w:sz w:val="20"/>
          <w:szCs w:val="20"/>
          <w:shd w:val="clear" w:color="auto" w:fill="FFFFFF"/>
          <w:lang w:val="en-US"/>
        </w:rPr>
        <w:t>),</w:t>
      </w:r>
      <w:r w:rsidR="00D948A1" w:rsidRPr="00EA6C7A">
        <w:rPr>
          <w:rFonts w:ascii="Verdana" w:eastAsia="Calibri" w:hAnsi="Verdana" w:cs="Tahoma"/>
          <w:bCs/>
          <w:color w:val="000000"/>
          <w:sz w:val="20"/>
          <w:szCs w:val="20"/>
          <w:shd w:val="clear" w:color="auto" w:fill="FFFFFF"/>
          <w:lang w:val="en-US"/>
        </w:rPr>
        <w:t xml:space="preserve"> and</w:t>
      </w:r>
      <w:r w:rsidR="005C3073" w:rsidRPr="00EA6C7A">
        <w:rPr>
          <w:rFonts w:ascii="Verdana" w:eastAsia="Calibri" w:hAnsi="Verdana" w:cs="Tahoma"/>
          <w:bCs/>
          <w:color w:val="000000"/>
          <w:sz w:val="20"/>
          <w:szCs w:val="20"/>
          <w:shd w:val="clear" w:color="auto" w:fill="FFFFFF"/>
          <w:lang w:val="en-US"/>
        </w:rPr>
        <w:t xml:space="preserve"> </w:t>
      </w:r>
      <w:r w:rsidR="00A534EF" w:rsidRPr="00EA6C7A">
        <w:rPr>
          <w:rFonts w:ascii="Verdana" w:eastAsia="Calibri" w:hAnsi="Verdana" w:cs="Tahoma"/>
          <w:bCs/>
          <w:color w:val="000000"/>
          <w:sz w:val="20"/>
          <w:szCs w:val="20"/>
          <w:shd w:val="clear" w:color="auto" w:fill="FFFFFF"/>
          <w:lang w:val="en-US"/>
        </w:rPr>
        <w:t>the</w:t>
      </w:r>
      <w:r w:rsidRPr="00EA6C7A">
        <w:rPr>
          <w:rFonts w:ascii="Verdana" w:eastAsia="Calibri" w:hAnsi="Verdana" w:cs="Tahoma"/>
          <w:bCs/>
          <w:color w:val="000000"/>
          <w:sz w:val="20"/>
          <w:szCs w:val="20"/>
          <w:shd w:val="clear" w:color="auto" w:fill="FFFFFF"/>
          <w:lang w:val="en-US"/>
        </w:rPr>
        <w:t xml:space="preserve"> “</w:t>
      </w:r>
      <w:r w:rsidR="00274B18" w:rsidRPr="00EA6C7A">
        <w:rPr>
          <w:rFonts w:ascii="Verdana" w:eastAsia="Calibri" w:hAnsi="Verdana" w:cs="Tahoma"/>
          <w:bCs/>
          <w:color w:val="000000"/>
          <w:sz w:val="20"/>
          <w:szCs w:val="20"/>
          <w:shd w:val="clear" w:color="auto" w:fill="FFFFFF"/>
          <w:lang w:val="en-US"/>
        </w:rPr>
        <w:t>second moment</w:t>
      </w:r>
      <w:r w:rsidRPr="00EA6C7A">
        <w:rPr>
          <w:rFonts w:ascii="Verdana" w:eastAsia="Calibri" w:hAnsi="Verdana" w:cs="Tahoma"/>
          <w:bCs/>
          <w:color w:val="000000"/>
          <w:sz w:val="20"/>
          <w:szCs w:val="20"/>
          <w:shd w:val="clear" w:color="auto" w:fill="FFFFFF"/>
          <w:lang w:val="en-US"/>
        </w:rPr>
        <w:t>” (</w:t>
      </w:r>
      <w:r w:rsidR="00A534EF" w:rsidRPr="00EA6C7A">
        <w:rPr>
          <w:rFonts w:ascii="Verdana" w:eastAsia="Calibri" w:hAnsi="Verdana" w:cs="Tahoma"/>
          <w:bCs/>
          <w:color w:val="000000"/>
          <w:sz w:val="20"/>
          <w:szCs w:val="20"/>
          <w:shd w:val="clear" w:color="auto" w:fill="FFFFFF"/>
          <w:lang w:val="en-US"/>
        </w:rPr>
        <w:t xml:space="preserve">before the discovery of the body of </w:t>
      </w:r>
      <w:r w:rsidRPr="00EA6C7A">
        <w:rPr>
          <w:rFonts w:ascii="Verdana" w:eastAsia="Calibri" w:hAnsi="Verdana" w:cs="Tahoma"/>
          <w:bCs/>
          <w:color w:val="000000"/>
          <w:sz w:val="20"/>
          <w:szCs w:val="20"/>
          <w:shd w:val="clear" w:color="auto" w:fill="FFFFFF"/>
          <w:lang w:val="en-US"/>
        </w:rPr>
        <w:t xml:space="preserve">Claudina Velásquez: </w:t>
      </w:r>
      <w:r w:rsidR="004D0B0A" w:rsidRPr="00EA6C7A">
        <w:rPr>
          <w:rFonts w:ascii="Verdana" w:eastAsia="Calibri" w:hAnsi="Verdana" w:cs="Tahoma"/>
          <w:bCs/>
          <w:color w:val="000000"/>
          <w:sz w:val="20"/>
          <w:szCs w:val="20"/>
          <w:shd w:val="clear" w:color="auto" w:fill="FFFFFF"/>
          <w:lang w:val="en-US"/>
        </w:rPr>
        <w:t>specific obligation to prevent violations of the rights to integrity and life of</w:t>
      </w:r>
      <w:r w:rsidRPr="00EA6C7A">
        <w:rPr>
          <w:rFonts w:ascii="Verdana" w:eastAsia="Calibri" w:hAnsi="Verdana" w:cs="Tahoma"/>
          <w:bCs/>
          <w:color w:val="000000"/>
          <w:sz w:val="20"/>
          <w:szCs w:val="20"/>
          <w:shd w:val="clear" w:color="auto" w:fill="FFFFFF"/>
          <w:lang w:val="en-US"/>
        </w:rPr>
        <w:t xml:space="preserve"> Claudina Velásquez”), </w:t>
      </w:r>
      <w:r w:rsidR="00C87A3B" w:rsidRPr="00EA6C7A">
        <w:rPr>
          <w:rFonts w:ascii="Verdana" w:eastAsia="Calibri" w:hAnsi="Verdana" w:cs="Tahoma"/>
          <w:bCs/>
          <w:color w:val="000000"/>
          <w:sz w:val="20"/>
          <w:szCs w:val="20"/>
          <w:shd w:val="clear" w:color="auto" w:fill="FFFFFF"/>
          <w:lang w:val="en-US"/>
        </w:rPr>
        <w:t xml:space="preserve">in order </w:t>
      </w:r>
      <w:r w:rsidR="00A534EF" w:rsidRPr="00EA6C7A">
        <w:rPr>
          <w:rFonts w:ascii="Verdana" w:eastAsia="Calibri" w:hAnsi="Verdana" w:cs="Tahoma"/>
          <w:bCs/>
          <w:color w:val="000000"/>
          <w:sz w:val="20"/>
          <w:szCs w:val="20"/>
          <w:shd w:val="clear" w:color="auto" w:fill="FFFFFF"/>
          <w:lang w:val="en-US"/>
        </w:rPr>
        <w:t>to corroborate the existence of Guatemala’s international responsibility.</w:t>
      </w:r>
      <w:r w:rsidRPr="00EA6C7A">
        <w:rPr>
          <w:rFonts w:ascii="Verdana" w:eastAsia="Calibri" w:hAnsi="Verdana" w:cs="Tahoma"/>
          <w:bCs/>
          <w:color w:val="000000"/>
          <w:sz w:val="20"/>
          <w:szCs w:val="20"/>
          <w:shd w:val="clear" w:color="auto" w:fill="FFFFFF"/>
          <w:vertAlign w:val="superscript"/>
          <w:lang w:val="en-US"/>
        </w:rPr>
        <w:footnoteReference w:id="72"/>
      </w:r>
    </w:p>
    <w:p w14:paraId="08918995"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5257CD21"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41. </w:t>
      </w:r>
      <w:r w:rsidRPr="00EA6C7A">
        <w:rPr>
          <w:rFonts w:ascii="Verdana" w:eastAsia="Calibri" w:hAnsi="Verdana" w:cs="Tahoma"/>
          <w:bCs/>
          <w:color w:val="000000"/>
          <w:sz w:val="20"/>
          <w:szCs w:val="20"/>
          <w:shd w:val="clear" w:color="auto" w:fill="FFFFFF"/>
          <w:lang w:val="en-US"/>
        </w:rPr>
        <w:tab/>
      </w:r>
      <w:r w:rsidR="00A534EF" w:rsidRPr="00EA6C7A">
        <w:rPr>
          <w:rFonts w:ascii="Verdana" w:eastAsia="Calibri" w:hAnsi="Verdana" w:cs="Tahoma"/>
          <w:bCs/>
          <w:color w:val="000000"/>
          <w:sz w:val="20"/>
          <w:szCs w:val="20"/>
          <w:shd w:val="clear" w:color="auto" w:fill="FFFFFF"/>
          <w:lang w:val="en-US"/>
        </w:rPr>
        <w:t>Regarding the</w:t>
      </w:r>
      <w:r w:rsidRPr="00EA6C7A">
        <w:rPr>
          <w:rFonts w:ascii="Verdana" w:eastAsia="Calibri" w:hAnsi="Verdana" w:cs="Tahoma"/>
          <w:bCs/>
          <w:color w:val="000000"/>
          <w:sz w:val="20"/>
          <w:szCs w:val="20"/>
          <w:shd w:val="clear" w:color="auto" w:fill="FFFFFF"/>
          <w:lang w:val="en-US"/>
        </w:rPr>
        <w:t xml:space="preserve"> “</w:t>
      </w:r>
      <w:r w:rsidR="00274B18" w:rsidRPr="00EA6C7A">
        <w:rPr>
          <w:rFonts w:ascii="Verdana" w:eastAsia="Calibri" w:hAnsi="Verdana" w:cs="Tahoma"/>
          <w:bCs/>
          <w:color w:val="000000"/>
          <w:sz w:val="20"/>
          <w:szCs w:val="20"/>
          <w:shd w:val="clear" w:color="auto" w:fill="FFFFFF"/>
          <w:lang w:val="en-US"/>
        </w:rPr>
        <w:t>first moment</w:t>
      </w:r>
      <w:r w:rsidRPr="00EA6C7A">
        <w:rPr>
          <w:rFonts w:ascii="Verdana" w:eastAsia="Calibri" w:hAnsi="Verdana" w:cs="Tahoma"/>
          <w:bCs/>
          <w:color w:val="000000"/>
          <w:sz w:val="20"/>
          <w:szCs w:val="20"/>
          <w:shd w:val="clear" w:color="auto" w:fill="FFFFFF"/>
          <w:lang w:val="en-US"/>
        </w:rPr>
        <w:t>” —</w:t>
      </w:r>
      <w:r w:rsidR="00A534EF" w:rsidRPr="00EA6C7A">
        <w:rPr>
          <w:rFonts w:ascii="Verdana" w:eastAsia="Calibri" w:hAnsi="Verdana" w:cs="Tahoma"/>
          <w:bCs/>
          <w:color w:val="000000"/>
          <w:sz w:val="20"/>
          <w:szCs w:val="20"/>
          <w:shd w:val="clear" w:color="auto" w:fill="FFFFFF"/>
          <w:lang w:val="en-US"/>
        </w:rPr>
        <w:t xml:space="preserve"> </w:t>
      </w:r>
      <w:r w:rsidR="0001699C" w:rsidRPr="00EA6C7A">
        <w:rPr>
          <w:rFonts w:ascii="Verdana" w:eastAsia="Calibri" w:hAnsi="Verdana" w:cs="Tahoma"/>
          <w:bCs/>
          <w:color w:val="000000"/>
          <w:sz w:val="20"/>
          <w:szCs w:val="20"/>
          <w:shd w:val="clear" w:color="auto" w:fill="FFFFFF"/>
          <w:lang w:val="en-US"/>
        </w:rPr>
        <w:t>before the disappearance</w:t>
      </w:r>
      <w:r w:rsidRPr="00EA6C7A">
        <w:rPr>
          <w:rFonts w:ascii="Verdana" w:eastAsia="Calibri" w:hAnsi="Verdana" w:cs="Tahoma"/>
          <w:bCs/>
          <w:color w:val="000000"/>
          <w:sz w:val="20"/>
          <w:szCs w:val="20"/>
          <w:shd w:val="clear" w:color="auto" w:fill="FFFFFF"/>
          <w:lang w:val="en-US"/>
        </w:rPr>
        <w:t xml:space="preserve"> Claudina Velásquez</w:t>
      </w:r>
      <w:r w:rsidR="00A534EF"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w:t>
      </w:r>
      <w:r w:rsidR="00A534EF" w:rsidRPr="00EA6C7A">
        <w:rPr>
          <w:rFonts w:ascii="Verdana" w:eastAsia="Calibri" w:hAnsi="Verdana" w:cs="Tahoma"/>
          <w:bCs/>
          <w:color w:val="000000"/>
          <w:sz w:val="20"/>
          <w:szCs w:val="20"/>
          <w:shd w:val="clear" w:color="auto" w:fill="FFFFFF"/>
          <w:lang w:val="en-US"/>
        </w:rPr>
        <w:t xml:space="preserve"> I consider it </w:t>
      </w:r>
      <w:r w:rsidR="00671A06" w:rsidRPr="00EA6C7A">
        <w:rPr>
          <w:rFonts w:ascii="Verdana" w:eastAsia="Calibri" w:hAnsi="Verdana" w:cs="Tahoma"/>
          <w:bCs/>
          <w:color w:val="000000"/>
          <w:sz w:val="20"/>
          <w:szCs w:val="20"/>
          <w:shd w:val="clear" w:color="auto" w:fill="FFFFFF"/>
          <w:lang w:val="en-US"/>
        </w:rPr>
        <w:t>pertinent</w:t>
      </w:r>
      <w:r w:rsidR="00A534EF" w:rsidRPr="00EA6C7A">
        <w:rPr>
          <w:rFonts w:ascii="Verdana" w:eastAsia="Calibri" w:hAnsi="Verdana" w:cs="Tahoma"/>
          <w:bCs/>
          <w:color w:val="000000"/>
          <w:sz w:val="20"/>
          <w:szCs w:val="20"/>
          <w:shd w:val="clear" w:color="auto" w:fill="FFFFFF"/>
          <w:lang w:val="en-US"/>
        </w:rPr>
        <w:t xml:space="preserve"> to underline the Court’s analysis regarding the existence, in 2001, of a context of an escalation of </w:t>
      </w:r>
      <w:r w:rsidR="00812408" w:rsidRPr="00EA6C7A">
        <w:rPr>
          <w:rFonts w:ascii="Verdana" w:eastAsia="Calibri" w:hAnsi="Verdana" w:cs="Tahoma"/>
          <w:bCs/>
          <w:color w:val="000000"/>
          <w:sz w:val="20"/>
          <w:szCs w:val="20"/>
          <w:shd w:val="clear" w:color="auto" w:fill="FFFFFF"/>
          <w:lang w:val="en-US"/>
        </w:rPr>
        <w:t>homicidal violence</w:t>
      </w:r>
      <w:r w:rsidRPr="00EA6C7A">
        <w:rPr>
          <w:rFonts w:ascii="Verdana" w:eastAsia="Calibri" w:hAnsi="Verdana" w:cs="Tahoma"/>
          <w:bCs/>
          <w:color w:val="000000"/>
          <w:sz w:val="20"/>
          <w:szCs w:val="20"/>
          <w:shd w:val="clear" w:color="auto" w:fill="FFFFFF"/>
          <w:lang w:val="en-US"/>
        </w:rPr>
        <w:t xml:space="preserve"> </w:t>
      </w:r>
      <w:r w:rsidR="00A534EF" w:rsidRPr="00EA6C7A">
        <w:rPr>
          <w:rFonts w:ascii="Verdana" w:eastAsia="Calibri" w:hAnsi="Verdana" w:cs="Tahoma"/>
          <w:bCs/>
          <w:color w:val="000000"/>
          <w:sz w:val="20"/>
          <w:szCs w:val="20"/>
          <w:shd w:val="clear" w:color="auto" w:fill="FFFFFF"/>
          <w:lang w:val="en-US"/>
        </w:rPr>
        <w:t>against women</w:t>
      </w:r>
      <w:r w:rsidR="00FC7D3B" w:rsidRPr="00EA6C7A">
        <w:rPr>
          <w:rFonts w:ascii="Verdana" w:eastAsia="Calibri" w:hAnsi="Verdana" w:cs="Tahoma"/>
          <w:bCs/>
          <w:color w:val="000000"/>
          <w:sz w:val="20"/>
          <w:szCs w:val="20"/>
          <w:shd w:val="clear" w:color="auto" w:fill="FFFFFF"/>
          <w:lang w:val="en-US"/>
        </w:rPr>
        <w:t xml:space="preserve"> in Guatemala</w:t>
      </w:r>
      <w:r w:rsidR="00C87A3B"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73"/>
      </w:r>
      <w:r w:rsidR="00A534EF" w:rsidRPr="00EA6C7A">
        <w:rPr>
          <w:rFonts w:ascii="Verdana" w:eastAsia="Calibri" w:hAnsi="Verdana" w:cs="Tahoma"/>
          <w:bCs/>
          <w:color w:val="000000"/>
          <w:sz w:val="20"/>
          <w:szCs w:val="20"/>
          <w:shd w:val="clear" w:color="auto" w:fill="FFFFFF"/>
          <w:lang w:val="en-US"/>
        </w:rPr>
        <w:t xml:space="preserve"> </w:t>
      </w:r>
      <w:r w:rsidR="00C87A3B" w:rsidRPr="00EA6C7A">
        <w:rPr>
          <w:rFonts w:ascii="Verdana" w:eastAsia="Calibri" w:hAnsi="Verdana" w:cs="Tahoma"/>
          <w:bCs/>
          <w:color w:val="000000"/>
          <w:sz w:val="20"/>
          <w:szCs w:val="20"/>
          <w:shd w:val="clear" w:color="auto" w:fill="FFFFFF"/>
          <w:lang w:val="en-US"/>
        </w:rPr>
        <w:t>Also,</w:t>
      </w:r>
      <w:r w:rsidR="00A534EF" w:rsidRPr="00EA6C7A">
        <w:rPr>
          <w:rFonts w:ascii="Verdana" w:eastAsia="Calibri" w:hAnsi="Verdana" w:cs="Tahoma"/>
          <w:bCs/>
          <w:color w:val="000000"/>
          <w:sz w:val="20"/>
          <w:szCs w:val="20"/>
          <w:shd w:val="clear" w:color="auto" w:fill="FFFFFF"/>
          <w:lang w:val="en-US"/>
        </w:rPr>
        <w:t xml:space="preserve"> </w:t>
      </w:r>
      <w:r w:rsidR="00C87A3B" w:rsidRPr="00EA6C7A">
        <w:rPr>
          <w:rFonts w:ascii="Verdana" w:eastAsia="Calibri" w:hAnsi="Verdana" w:cs="Tahoma"/>
          <w:bCs/>
          <w:color w:val="000000"/>
          <w:sz w:val="20"/>
          <w:szCs w:val="20"/>
          <w:shd w:val="clear" w:color="auto" w:fill="FFFFFF"/>
          <w:lang w:val="en-US"/>
        </w:rPr>
        <w:t>the</w:t>
      </w:r>
      <w:r w:rsidR="00A534EF" w:rsidRPr="00EA6C7A">
        <w:rPr>
          <w:rFonts w:ascii="Verdana" w:eastAsia="Calibri" w:hAnsi="Verdana" w:cs="Tahoma"/>
          <w:bCs/>
          <w:color w:val="000000"/>
          <w:sz w:val="20"/>
          <w:szCs w:val="20"/>
          <w:shd w:val="clear" w:color="auto" w:fill="FFFFFF"/>
          <w:lang w:val="en-US"/>
        </w:rPr>
        <w:t xml:space="preserve"> subsequent </w:t>
      </w:r>
      <w:r w:rsidR="00C87A3B" w:rsidRPr="00EA6C7A">
        <w:rPr>
          <w:rFonts w:ascii="Verdana" w:eastAsia="Calibri" w:hAnsi="Verdana" w:cs="Tahoma"/>
          <w:bCs/>
          <w:color w:val="000000"/>
          <w:sz w:val="20"/>
          <w:szCs w:val="20"/>
          <w:shd w:val="clear" w:color="auto" w:fill="FFFFFF"/>
          <w:lang w:val="en-US"/>
        </w:rPr>
        <w:t>mention</w:t>
      </w:r>
      <w:r w:rsidR="00A534EF" w:rsidRPr="00EA6C7A">
        <w:rPr>
          <w:rFonts w:ascii="Verdana" w:eastAsia="Calibri" w:hAnsi="Verdana" w:cs="Tahoma"/>
          <w:bCs/>
          <w:color w:val="000000"/>
          <w:sz w:val="20"/>
          <w:szCs w:val="20"/>
          <w:shd w:val="clear" w:color="auto" w:fill="FFFFFF"/>
          <w:lang w:val="en-US"/>
        </w:rPr>
        <w:t xml:space="preserve"> of the measures taken by the State following the case of</w:t>
      </w:r>
      <w:r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i/>
          <w:color w:val="000000"/>
          <w:sz w:val="20"/>
          <w:szCs w:val="20"/>
          <w:shd w:val="clear" w:color="auto" w:fill="FFFFFF"/>
          <w:lang w:val="en-US"/>
        </w:rPr>
        <w:t xml:space="preserve">Veliz Franco </w:t>
      </w:r>
      <w:r w:rsidR="001914FC" w:rsidRPr="00EA6C7A">
        <w:rPr>
          <w:rFonts w:ascii="Verdana" w:eastAsia="Calibri" w:hAnsi="Verdana" w:cs="Tahoma"/>
          <w:bCs/>
          <w:i/>
          <w:color w:val="000000"/>
          <w:sz w:val="20"/>
          <w:szCs w:val="20"/>
          <w:shd w:val="clear" w:color="auto" w:fill="FFFFFF"/>
          <w:lang w:val="en-US"/>
        </w:rPr>
        <w:t>et al. v.</w:t>
      </w:r>
      <w:r w:rsidRPr="00EA6C7A">
        <w:rPr>
          <w:rFonts w:ascii="Verdana" w:eastAsia="Calibri" w:hAnsi="Verdana" w:cs="Tahoma"/>
          <w:bCs/>
          <w:i/>
          <w:color w:val="000000"/>
          <w:sz w:val="20"/>
          <w:szCs w:val="20"/>
          <w:shd w:val="clear" w:color="auto" w:fill="FFFFFF"/>
          <w:lang w:val="en-US"/>
        </w:rPr>
        <w:t xml:space="preserve"> Guatemala,</w:t>
      </w:r>
      <w:r w:rsidR="00D948A1" w:rsidRPr="00EA6C7A">
        <w:rPr>
          <w:rFonts w:ascii="Verdana" w:eastAsia="Calibri" w:hAnsi="Verdana" w:cs="Tahoma"/>
          <w:bCs/>
          <w:i/>
          <w:color w:val="000000"/>
          <w:sz w:val="20"/>
          <w:szCs w:val="20"/>
          <w:shd w:val="clear" w:color="auto" w:fill="FFFFFF"/>
          <w:lang w:val="en-US"/>
        </w:rPr>
        <w:t xml:space="preserve"> </w:t>
      </w:r>
      <w:r w:rsidR="00AD1D9E" w:rsidRPr="00EA6C7A">
        <w:rPr>
          <w:rFonts w:ascii="Verdana" w:eastAsia="Calibri" w:hAnsi="Verdana" w:cs="Tahoma"/>
          <w:bCs/>
          <w:color w:val="000000"/>
          <w:sz w:val="20"/>
          <w:szCs w:val="20"/>
          <w:shd w:val="clear" w:color="auto" w:fill="FFFFFF"/>
          <w:lang w:val="en-US"/>
        </w:rPr>
        <w:t>a</w:t>
      </w:r>
      <w:r w:rsidR="00C87A3B" w:rsidRPr="00EA6C7A">
        <w:rPr>
          <w:rFonts w:ascii="Verdana" w:eastAsia="Calibri" w:hAnsi="Verdana" w:cs="Tahoma"/>
          <w:bCs/>
          <w:color w:val="000000"/>
          <w:sz w:val="20"/>
          <w:szCs w:val="20"/>
          <w:shd w:val="clear" w:color="auto" w:fill="FFFFFF"/>
          <w:lang w:val="en-US"/>
        </w:rPr>
        <w:t>s well as</w:t>
      </w:r>
      <w:r w:rsidR="00AD1D9E" w:rsidRPr="00EA6C7A">
        <w:rPr>
          <w:rFonts w:ascii="Verdana" w:eastAsia="Calibri" w:hAnsi="Verdana" w:cs="Tahoma"/>
          <w:bCs/>
          <w:color w:val="000000"/>
          <w:sz w:val="20"/>
          <w:szCs w:val="20"/>
          <w:shd w:val="clear" w:color="auto" w:fill="FFFFFF"/>
          <w:lang w:val="en-US"/>
        </w:rPr>
        <w:t xml:space="preserve"> the measures and mechanisms implemented by the State before and after the facts of the case examined in </w:t>
      </w:r>
      <w:r w:rsidR="00C87A3B" w:rsidRPr="00EA6C7A">
        <w:rPr>
          <w:rFonts w:ascii="Verdana" w:eastAsia="Calibri" w:hAnsi="Verdana" w:cs="Tahoma"/>
          <w:bCs/>
          <w:color w:val="000000"/>
          <w:sz w:val="20"/>
          <w:szCs w:val="20"/>
          <w:shd w:val="clear" w:color="auto" w:fill="FFFFFF"/>
          <w:lang w:val="en-US"/>
        </w:rPr>
        <w:t xml:space="preserve">this </w:t>
      </w:r>
      <w:r w:rsidR="00D5307F" w:rsidRPr="00EA6C7A">
        <w:rPr>
          <w:rFonts w:ascii="Verdana" w:eastAsia="Calibri" w:hAnsi="Verdana" w:cs="Tahoma"/>
          <w:bCs/>
          <w:color w:val="000000"/>
          <w:sz w:val="20"/>
          <w:szCs w:val="20"/>
          <w:shd w:val="clear" w:color="auto" w:fill="FFFFFF"/>
          <w:lang w:val="en-US"/>
        </w:rPr>
        <w:t>judgment</w:t>
      </w:r>
      <w:r w:rsidR="00AD1D9E"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74"/>
      </w:r>
      <w:r w:rsidR="00D948A1" w:rsidRPr="00EA6C7A">
        <w:rPr>
          <w:rFonts w:ascii="Verdana" w:eastAsia="Calibri" w:hAnsi="Verdana" w:cs="Tahoma"/>
          <w:bCs/>
          <w:color w:val="000000"/>
          <w:sz w:val="20"/>
          <w:szCs w:val="20"/>
          <w:shd w:val="clear" w:color="auto" w:fill="FFFFFF"/>
          <w:lang w:val="en-US"/>
        </w:rPr>
        <w:t xml:space="preserve"> </w:t>
      </w:r>
      <w:r w:rsidR="00C87A3B" w:rsidRPr="00EA6C7A">
        <w:rPr>
          <w:rFonts w:ascii="Verdana" w:eastAsia="Calibri" w:hAnsi="Verdana" w:cs="Tahoma"/>
          <w:bCs/>
          <w:color w:val="000000"/>
          <w:sz w:val="20"/>
          <w:szCs w:val="20"/>
          <w:shd w:val="clear" w:color="auto" w:fill="FFFFFF"/>
          <w:lang w:val="en-US"/>
        </w:rPr>
        <w:t>which it then</w:t>
      </w:r>
      <w:r w:rsidR="00AD1D9E" w:rsidRPr="00EA6C7A">
        <w:rPr>
          <w:rFonts w:ascii="Verdana" w:eastAsia="Calibri" w:hAnsi="Verdana" w:cs="Tahoma"/>
          <w:bCs/>
          <w:color w:val="000000"/>
          <w:sz w:val="20"/>
          <w:szCs w:val="20"/>
          <w:shd w:val="clear" w:color="auto" w:fill="FFFFFF"/>
          <w:lang w:val="en-US"/>
        </w:rPr>
        <w:t xml:space="preserve"> compar</w:t>
      </w:r>
      <w:r w:rsidR="00C87A3B" w:rsidRPr="00EA6C7A">
        <w:rPr>
          <w:rFonts w:ascii="Verdana" w:eastAsia="Calibri" w:hAnsi="Verdana" w:cs="Tahoma"/>
          <w:bCs/>
          <w:color w:val="000000"/>
          <w:sz w:val="20"/>
          <w:szCs w:val="20"/>
          <w:shd w:val="clear" w:color="auto" w:fill="FFFFFF"/>
          <w:lang w:val="en-US"/>
        </w:rPr>
        <w:t>ed with</w:t>
      </w:r>
      <w:r w:rsidR="00AD1D9E" w:rsidRPr="00EA6C7A">
        <w:rPr>
          <w:rFonts w:ascii="Verdana" w:eastAsia="Calibri" w:hAnsi="Verdana" w:cs="Tahoma"/>
          <w:bCs/>
          <w:color w:val="000000"/>
          <w:sz w:val="20"/>
          <w:szCs w:val="20"/>
          <w:shd w:val="clear" w:color="auto" w:fill="FFFFFF"/>
          <w:lang w:val="en-US"/>
        </w:rPr>
        <w:t xml:space="preserve"> with reports of national and international agencies and organizations that criticized the effectiveness of such measures and institutions,</w:t>
      </w:r>
      <w:r w:rsidRPr="00EA6C7A">
        <w:rPr>
          <w:rFonts w:ascii="Verdana" w:eastAsia="Calibri" w:hAnsi="Verdana" w:cs="Tahoma"/>
          <w:bCs/>
          <w:color w:val="000000"/>
          <w:sz w:val="20"/>
          <w:szCs w:val="20"/>
          <w:shd w:val="clear" w:color="auto" w:fill="FFFFFF"/>
          <w:vertAlign w:val="superscript"/>
          <w:lang w:val="en-US"/>
        </w:rPr>
        <w:footnoteReference w:id="75"/>
      </w:r>
      <w:r w:rsidR="00AD1D9E" w:rsidRPr="00EA6C7A">
        <w:rPr>
          <w:rFonts w:ascii="Verdana" w:eastAsia="Calibri" w:hAnsi="Verdana" w:cs="Tahoma"/>
          <w:bCs/>
          <w:color w:val="000000"/>
          <w:sz w:val="20"/>
          <w:szCs w:val="20"/>
          <w:shd w:val="clear" w:color="auto" w:fill="FFFFFF"/>
          <w:lang w:val="en-US"/>
        </w:rPr>
        <w:t xml:space="preserve"> </w:t>
      </w:r>
      <w:r w:rsidR="00C87A3B" w:rsidRPr="00EA6C7A">
        <w:rPr>
          <w:rFonts w:ascii="Verdana" w:eastAsia="Calibri" w:hAnsi="Verdana" w:cs="Tahoma"/>
          <w:bCs/>
          <w:color w:val="000000"/>
          <w:sz w:val="20"/>
          <w:szCs w:val="20"/>
          <w:shd w:val="clear" w:color="auto" w:fill="FFFFFF"/>
          <w:lang w:val="en-US"/>
        </w:rPr>
        <w:t xml:space="preserve">while </w:t>
      </w:r>
      <w:r w:rsidR="00AD1D9E" w:rsidRPr="00EA6C7A">
        <w:rPr>
          <w:rFonts w:ascii="Verdana" w:eastAsia="Calibri" w:hAnsi="Verdana" w:cs="Tahoma"/>
          <w:bCs/>
          <w:color w:val="000000"/>
          <w:sz w:val="20"/>
          <w:szCs w:val="20"/>
          <w:shd w:val="clear" w:color="auto" w:fill="FFFFFF"/>
          <w:lang w:val="en-US"/>
        </w:rPr>
        <w:t xml:space="preserve">acknowledging the State’s initiative of implementing “actions aimed </w:t>
      </w:r>
      <w:r w:rsidR="00C87A3B" w:rsidRPr="00EA6C7A">
        <w:rPr>
          <w:rFonts w:ascii="Verdana" w:eastAsia="Calibri" w:hAnsi="Verdana" w:cs="Tahoma"/>
          <w:bCs/>
          <w:color w:val="000000"/>
          <w:sz w:val="20"/>
          <w:szCs w:val="20"/>
          <w:shd w:val="clear" w:color="auto" w:fill="FFFFFF"/>
          <w:lang w:val="en-US"/>
        </w:rPr>
        <w:t>at addressing</w:t>
      </w:r>
      <w:r w:rsidR="00AD1D9E" w:rsidRPr="00EA6C7A">
        <w:rPr>
          <w:rFonts w:ascii="Verdana" w:eastAsia="Calibri" w:hAnsi="Verdana" w:cs="Tahoma"/>
          <w:bCs/>
          <w:color w:val="000000"/>
          <w:sz w:val="20"/>
          <w:szCs w:val="20"/>
          <w:shd w:val="clear" w:color="auto" w:fill="FFFFFF"/>
          <w:lang w:val="en-US"/>
        </w:rPr>
        <w:t xml:space="preserve"> the problem of</w:t>
      </w:r>
      <w:r w:rsidR="00D5307F" w:rsidRPr="00EA6C7A">
        <w:rPr>
          <w:rFonts w:ascii="Verdana" w:eastAsia="Calibri" w:hAnsi="Verdana" w:cs="Tahoma"/>
          <w:bCs/>
          <w:color w:val="000000"/>
          <w:sz w:val="20"/>
          <w:szCs w:val="20"/>
          <w:shd w:val="clear" w:color="auto" w:fill="FFFFFF"/>
          <w:lang w:val="en-US"/>
        </w:rPr>
        <w:t xml:space="preserve"> </w:t>
      </w:r>
      <w:r w:rsidR="00C12C08" w:rsidRPr="00EA6C7A">
        <w:rPr>
          <w:rFonts w:ascii="Verdana" w:eastAsia="Calibri" w:hAnsi="Verdana" w:cs="Tahoma"/>
          <w:bCs/>
          <w:color w:val="000000"/>
          <w:sz w:val="20"/>
          <w:szCs w:val="20"/>
          <w:shd w:val="clear" w:color="auto" w:fill="FFFFFF"/>
          <w:lang w:val="en-US"/>
        </w:rPr>
        <w:t>violence against women</w:t>
      </w:r>
      <w:r w:rsidR="00AD1D9E"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lang w:val="en-US"/>
        </w:rPr>
        <w:t xml:space="preserve">” </w:t>
      </w:r>
      <w:r w:rsidR="00AD1D9E" w:rsidRPr="00EA6C7A">
        <w:rPr>
          <w:rFonts w:ascii="Verdana" w:eastAsia="Calibri" w:hAnsi="Verdana" w:cs="Tahoma"/>
          <w:bCs/>
          <w:color w:val="000000"/>
          <w:sz w:val="20"/>
          <w:szCs w:val="20"/>
          <w:shd w:val="clear" w:color="auto" w:fill="FFFFFF"/>
          <w:lang w:val="en-US"/>
        </w:rPr>
        <w:t>but revealing the insufficiency of such measures.</w:t>
      </w:r>
      <w:r w:rsidRPr="00EA6C7A">
        <w:rPr>
          <w:rFonts w:ascii="Verdana" w:eastAsia="Calibri" w:hAnsi="Verdana" w:cs="Tahoma"/>
          <w:bCs/>
          <w:color w:val="000000"/>
          <w:sz w:val="20"/>
          <w:szCs w:val="20"/>
          <w:shd w:val="clear" w:color="auto" w:fill="FFFFFF"/>
          <w:vertAlign w:val="superscript"/>
          <w:lang w:val="en-US"/>
        </w:rPr>
        <w:footnoteReference w:id="76"/>
      </w:r>
      <w:r w:rsidR="00AD1D9E" w:rsidRPr="00EA6C7A">
        <w:rPr>
          <w:rFonts w:ascii="Verdana" w:eastAsia="Calibri" w:hAnsi="Verdana" w:cs="Tahoma"/>
          <w:bCs/>
          <w:color w:val="000000"/>
          <w:sz w:val="20"/>
          <w:szCs w:val="20"/>
          <w:shd w:val="clear" w:color="auto" w:fill="FFFFFF"/>
          <w:lang w:val="en-US"/>
        </w:rPr>
        <w:t xml:space="preserve"> In this regard, I should stress that the analysis of this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first moment</w:t>
      </w:r>
      <w:r w:rsidRPr="00EA6C7A">
        <w:rPr>
          <w:rFonts w:ascii="Verdana" w:eastAsia="Calibri" w:hAnsi="Verdana" w:cs="Tahoma"/>
          <w:bCs/>
          <w:color w:val="000000"/>
          <w:sz w:val="20"/>
          <w:szCs w:val="20"/>
          <w:shd w:val="clear" w:color="auto" w:fill="FFFFFF"/>
          <w:lang w:val="en-US"/>
        </w:rPr>
        <w:t xml:space="preserve">” </w:t>
      </w:r>
      <w:r w:rsidR="00AD1D9E" w:rsidRPr="00EA6C7A">
        <w:rPr>
          <w:rFonts w:ascii="Verdana" w:eastAsia="Calibri" w:hAnsi="Verdana" w:cs="Tahoma"/>
          <w:bCs/>
          <w:color w:val="000000"/>
          <w:sz w:val="20"/>
          <w:szCs w:val="20"/>
          <w:shd w:val="clear" w:color="auto" w:fill="FFFFFF"/>
          <w:lang w:val="en-US"/>
        </w:rPr>
        <w:t xml:space="preserve">does not conclude with a ruling by the Court, which I consider should </w:t>
      </w:r>
      <w:r w:rsidR="00C87A3B" w:rsidRPr="00EA6C7A">
        <w:rPr>
          <w:rFonts w:ascii="Verdana" w:eastAsia="Calibri" w:hAnsi="Verdana" w:cs="Tahoma"/>
          <w:bCs/>
          <w:color w:val="000000"/>
          <w:sz w:val="20"/>
          <w:szCs w:val="20"/>
          <w:shd w:val="clear" w:color="auto" w:fill="FFFFFF"/>
          <w:lang w:val="en-US"/>
        </w:rPr>
        <w:t>have been made</w:t>
      </w:r>
      <w:r w:rsidR="00AD1D9E" w:rsidRPr="00EA6C7A">
        <w:rPr>
          <w:rFonts w:ascii="Verdana" w:eastAsia="Calibri" w:hAnsi="Verdana" w:cs="Tahoma"/>
          <w:bCs/>
          <w:color w:val="000000"/>
          <w:sz w:val="20"/>
          <w:szCs w:val="20"/>
          <w:shd w:val="clear" w:color="auto" w:fill="FFFFFF"/>
          <w:lang w:val="en-US"/>
        </w:rPr>
        <w:t xml:space="preserve"> owing to its importance and </w:t>
      </w:r>
      <w:r w:rsidR="00C87A3B" w:rsidRPr="00EA6C7A">
        <w:rPr>
          <w:rFonts w:ascii="Verdana" w:eastAsia="Calibri" w:hAnsi="Verdana" w:cs="Tahoma"/>
          <w:bCs/>
          <w:color w:val="000000"/>
          <w:sz w:val="20"/>
          <w:szCs w:val="20"/>
          <w:shd w:val="clear" w:color="auto" w:fill="FFFFFF"/>
          <w:lang w:val="en-US"/>
        </w:rPr>
        <w:t xml:space="preserve">the </w:t>
      </w:r>
      <w:r w:rsidR="00AD1D9E" w:rsidRPr="00EA6C7A">
        <w:rPr>
          <w:rFonts w:ascii="Verdana" w:eastAsia="Calibri" w:hAnsi="Verdana" w:cs="Tahoma"/>
          <w:bCs/>
          <w:color w:val="000000"/>
          <w:sz w:val="20"/>
          <w:szCs w:val="20"/>
          <w:shd w:val="clear" w:color="auto" w:fill="FFFFFF"/>
          <w:lang w:val="en-US"/>
        </w:rPr>
        <w:t xml:space="preserve">special consequences on the following moment </w:t>
      </w:r>
      <w:r w:rsidRPr="00EA6C7A">
        <w:rPr>
          <w:rFonts w:ascii="Verdana" w:eastAsia="Calibri" w:hAnsi="Verdana" w:cs="Tahoma"/>
          <w:bCs/>
          <w:color w:val="000000"/>
          <w:sz w:val="20"/>
          <w:szCs w:val="20"/>
          <w:shd w:val="clear" w:color="auto" w:fill="FFFFFF"/>
          <w:lang w:val="en-US"/>
        </w:rPr>
        <w:t>(</w:t>
      </w:r>
      <w:r w:rsidR="00AD1D9E" w:rsidRPr="00EA6C7A">
        <w:rPr>
          <w:rFonts w:ascii="Verdana" w:eastAsia="Calibri" w:hAnsi="Verdana" w:cs="Tahoma"/>
          <w:bCs/>
          <w:color w:val="000000"/>
          <w:sz w:val="20"/>
          <w:szCs w:val="20"/>
          <w:shd w:val="clear" w:color="auto" w:fill="FFFFFF"/>
          <w:lang w:val="en-US"/>
        </w:rPr>
        <w:t xml:space="preserve">the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second moment</w:t>
      </w:r>
      <w:r w:rsidRPr="00EA6C7A">
        <w:rPr>
          <w:rFonts w:ascii="Verdana" w:eastAsia="Calibri" w:hAnsi="Verdana" w:cs="Tahoma"/>
          <w:bCs/>
          <w:color w:val="000000"/>
          <w:sz w:val="20"/>
          <w:szCs w:val="20"/>
          <w:shd w:val="clear" w:color="auto" w:fill="FFFFFF"/>
          <w:lang w:val="en-US"/>
        </w:rPr>
        <w:t>”).</w:t>
      </w:r>
    </w:p>
    <w:p w14:paraId="0D654714"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016486D0"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42. </w:t>
      </w:r>
      <w:r w:rsidRPr="00EA6C7A">
        <w:rPr>
          <w:rFonts w:ascii="Verdana" w:eastAsia="Calibri" w:hAnsi="Verdana" w:cs="Tahoma"/>
          <w:bCs/>
          <w:color w:val="000000"/>
          <w:sz w:val="20"/>
          <w:szCs w:val="20"/>
          <w:shd w:val="clear" w:color="auto" w:fill="FFFFFF"/>
          <w:lang w:val="en-US"/>
        </w:rPr>
        <w:tab/>
      </w:r>
      <w:r w:rsidR="00BE1E44" w:rsidRPr="00EA6C7A">
        <w:rPr>
          <w:rFonts w:ascii="Verdana" w:eastAsia="Calibri" w:hAnsi="Verdana" w:cs="Tahoma"/>
          <w:bCs/>
          <w:color w:val="000000"/>
          <w:sz w:val="20"/>
          <w:szCs w:val="20"/>
          <w:shd w:val="clear" w:color="auto" w:fill="FFFFFF"/>
          <w:lang w:val="en-US"/>
        </w:rPr>
        <w:t xml:space="preserve">When examining the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second moment</w:t>
      </w:r>
      <w:r w:rsidRPr="00EA6C7A">
        <w:rPr>
          <w:rFonts w:ascii="Verdana" w:eastAsia="Calibri" w:hAnsi="Verdana" w:cs="Tahoma"/>
          <w:bCs/>
          <w:color w:val="000000"/>
          <w:sz w:val="20"/>
          <w:szCs w:val="20"/>
          <w:shd w:val="clear" w:color="auto" w:fill="FFFFFF"/>
          <w:lang w:val="en-US"/>
        </w:rPr>
        <w:t>” —</w:t>
      </w:r>
      <w:r w:rsidR="00BE1E44" w:rsidRPr="00EA6C7A">
        <w:rPr>
          <w:rFonts w:ascii="Verdana" w:eastAsia="Calibri" w:hAnsi="Verdana" w:cs="Tahoma"/>
          <w:bCs/>
          <w:color w:val="000000"/>
          <w:sz w:val="20"/>
          <w:szCs w:val="20"/>
          <w:shd w:val="clear" w:color="auto" w:fill="FFFFFF"/>
          <w:lang w:val="en-US"/>
        </w:rPr>
        <w:t xml:space="preserve"> before the discovery of the body of </w:t>
      </w:r>
      <w:r w:rsidRPr="00EA6C7A">
        <w:rPr>
          <w:rFonts w:ascii="Verdana" w:eastAsia="Calibri" w:hAnsi="Verdana" w:cs="Tahoma"/>
          <w:bCs/>
          <w:color w:val="000000"/>
          <w:sz w:val="20"/>
          <w:szCs w:val="20"/>
          <w:shd w:val="clear" w:color="auto" w:fill="FFFFFF"/>
          <w:lang w:val="en-US"/>
        </w:rPr>
        <w:t>Claudina Velásquez</w:t>
      </w:r>
      <w:r w:rsidR="00BE1E44"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 xml:space="preserve">the </w:t>
      </w:r>
      <w:r w:rsidR="009939AC" w:rsidRPr="00EA6C7A">
        <w:rPr>
          <w:rFonts w:ascii="Verdana" w:eastAsia="Calibri" w:hAnsi="Verdana" w:cs="Tahoma"/>
          <w:bCs/>
          <w:color w:val="000000"/>
          <w:sz w:val="20"/>
          <w:szCs w:val="20"/>
          <w:shd w:val="clear" w:color="auto" w:fill="FFFFFF"/>
          <w:lang w:val="en-US"/>
        </w:rPr>
        <w:t>Court</w:t>
      </w:r>
      <w:r w:rsidRPr="00EA6C7A">
        <w:rPr>
          <w:rFonts w:ascii="Verdana" w:eastAsia="Calibri" w:hAnsi="Verdana" w:cs="Tahoma"/>
          <w:bCs/>
          <w:color w:val="000000"/>
          <w:sz w:val="20"/>
          <w:szCs w:val="20"/>
          <w:shd w:val="clear" w:color="auto" w:fill="FFFFFF"/>
          <w:lang w:val="en-US"/>
        </w:rPr>
        <w:t xml:space="preserve"> anal</w:t>
      </w:r>
      <w:r w:rsidR="00BE1E44" w:rsidRPr="00EA6C7A">
        <w:rPr>
          <w:rFonts w:ascii="Verdana" w:eastAsia="Calibri" w:hAnsi="Verdana" w:cs="Tahoma"/>
          <w:bCs/>
          <w:color w:val="000000"/>
          <w:sz w:val="20"/>
          <w:szCs w:val="20"/>
          <w:shd w:val="clear" w:color="auto" w:fill="FFFFFF"/>
          <w:lang w:val="en-US"/>
        </w:rPr>
        <w:t xml:space="preserve">yzed, on the one hand, the moment at “which the State authorities knew or </w:t>
      </w:r>
      <w:r w:rsidR="0074682E" w:rsidRPr="00EA6C7A">
        <w:rPr>
          <w:rFonts w:ascii="Verdana" w:eastAsia="Calibri" w:hAnsi="Verdana" w:cs="Tahoma"/>
          <w:bCs/>
          <w:color w:val="000000"/>
          <w:sz w:val="20"/>
          <w:szCs w:val="20"/>
          <w:shd w:val="clear" w:color="auto" w:fill="FFFFFF"/>
          <w:lang w:val="en-US"/>
        </w:rPr>
        <w:t>ought to</w:t>
      </w:r>
      <w:r w:rsidR="00BE1E44" w:rsidRPr="00EA6C7A">
        <w:rPr>
          <w:rFonts w:ascii="Verdana" w:eastAsia="Calibri" w:hAnsi="Verdana" w:cs="Tahoma"/>
          <w:bCs/>
          <w:color w:val="000000"/>
          <w:sz w:val="20"/>
          <w:szCs w:val="20"/>
          <w:shd w:val="clear" w:color="auto" w:fill="FFFFFF"/>
          <w:lang w:val="en-US"/>
        </w:rPr>
        <w:t xml:space="preserve"> have know</w:t>
      </w:r>
      <w:r w:rsidR="007131A8" w:rsidRPr="00EA6C7A">
        <w:rPr>
          <w:rFonts w:ascii="Verdana" w:eastAsia="Calibri" w:hAnsi="Verdana" w:cs="Tahoma"/>
          <w:bCs/>
          <w:color w:val="000000"/>
          <w:sz w:val="20"/>
          <w:szCs w:val="20"/>
          <w:shd w:val="clear" w:color="auto" w:fill="FFFFFF"/>
          <w:lang w:val="en-US"/>
        </w:rPr>
        <w:t>n</w:t>
      </w:r>
      <w:r w:rsidR="00BE1E44" w:rsidRPr="00EA6C7A">
        <w:rPr>
          <w:rFonts w:ascii="Verdana" w:eastAsia="Calibri" w:hAnsi="Verdana" w:cs="Tahoma"/>
          <w:bCs/>
          <w:color w:val="000000"/>
          <w:sz w:val="20"/>
          <w:szCs w:val="20"/>
          <w:shd w:val="clear" w:color="auto" w:fill="FFFFFF"/>
          <w:lang w:val="en-US"/>
        </w:rPr>
        <w:t xml:space="preserve"> </w:t>
      </w:r>
      <w:r w:rsidR="00C87A3B" w:rsidRPr="00EA6C7A">
        <w:rPr>
          <w:rFonts w:ascii="Verdana" w:eastAsia="Calibri" w:hAnsi="Verdana" w:cs="Tahoma"/>
          <w:bCs/>
          <w:color w:val="000000"/>
          <w:sz w:val="20"/>
          <w:szCs w:val="20"/>
          <w:shd w:val="clear" w:color="auto" w:fill="FFFFFF"/>
          <w:lang w:val="en-US"/>
        </w:rPr>
        <w:t>about</w:t>
      </w:r>
      <w:r w:rsidR="00BE1E44" w:rsidRPr="00EA6C7A">
        <w:rPr>
          <w:rFonts w:ascii="Verdana" w:eastAsia="Calibri" w:hAnsi="Verdana" w:cs="Tahoma"/>
          <w:bCs/>
          <w:color w:val="000000"/>
          <w:sz w:val="20"/>
          <w:szCs w:val="20"/>
          <w:shd w:val="clear" w:color="auto" w:fill="FFFFFF"/>
          <w:lang w:val="en-US"/>
        </w:rPr>
        <w:t xml:space="preserve"> the existence of a real and immediate danger </w:t>
      </w:r>
      <w:r w:rsidR="00C87A3B" w:rsidRPr="00EA6C7A">
        <w:rPr>
          <w:rFonts w:ascii="Verdana" w:eastAsia="Calibri" w:hAnsi="Verdana" w:cs="Tahoma"/>
          <w:bCs/>
          <w:color w:val="000000"/>
          <w:sz w:val="20"/>
          <w:szCs w:val="20"/>
          <w:shd w:val="clear" w:color="auto" w:fill="FFFFFF"/>
          <w:lang w:val="en-US"/>
        </w:rPr>
        <w:t>to</w:t>
      </w:r>
      <w:r w:rsidR="00BE1E44" w:rsidRPr="00EA6C7A">
        <w:rPr>
          <w:rFonts w:ascii="Verdana" w:eastAsia="Calibri" w:hAnsi="Verdana" w:cs="Tahoma"/>
          <w:bCs/>
          <w:color w:val="000000"/>
          <w:sz w:val="20"/>
          <w:szCs w:val="20"/>
          <w:shd w:val="clear" w:color="auto" w:fill="FFFFFF"/>
          <w:lang w:val="en-US"/>
        </w:rPr>
        <w:t xml:space="preserve"> the life and integrity of </w:t>
      </w:r>
      <w:r w:rsidRPr="00EA6C7A">
        <w:rPr>
          <w:rFonts w:ascii="Verdana" w:eastAsia="Calibri" w:hAnsi="Verdana" w:cs="Tahoma"/>
          <w:bCs/>
          <w:color w:val="000000"/>
          <w:sz w:val="20"/>
          <w:szCs w:val="20"/>
          <w:shd w:val="clear" w:color="auto" w:fill="FFFFFF"/>
          <w:lang w:val="en-US"/>
        </w:rPr>
        <w:t>Claudina Velásquez” determin</w:t>
      </w:r>
      <w:r w:rsidR="00BE1E44" w:rsidRPr="00EA6C7A">
        <w:rPr>
          <w:rFonts w:ascii="Verdana" w:eastAsia="Calibri" w:hAnsi="Verdana" w:cs="Tahoma"/>
          <w:bCs/>
          <w:color w:val="000000"/>
          <w:sz w:val="20"/>
          <w:szCs w:val="20"/>
          <w:shd w:val="clear" w:color="auto" w:fill="FFFFFF"/>
          <w:lang w:val="en-US"/>
        </w:rPr>
        <w:t>ing</w:t>
      </w:r>
      <w:r w:rsidR="00077D21" w:rsidRPr="00EA6C7A">
        <w:rPr>
          <w:rFonts w:ascii="Verdana" w:eastAsia="Calibri" w:hAnsi="Verdana" w:cs="Tahoma"/>
          <w:bCs/>
          <w:color w:val="000000"/>
          <w:sz w:val="20"/>
          <w:szCs w:val="20"/>
          <w:shd w:val="clear" w:color="auto" w:fill="FFFFFF"/>
          <w:lang w:val="en-US"/>
        </w:rPr>
        <w:t xml:space="preserve"> that this was</w:t>
      </w:r>
      <w:r w:rsidR="00BE1E44" w:rsidRPr="00EA6C7A">
        <w:rPr>
          <w:rFonts w:ascii="Verdana" w:eastAsia="Calibri" w:hAnsi="Verdana" w:cs="Tahoma"/>
          <w:bCs/>
          <w:color w:val="000000"/>
          <w:sz w:val="20"/>
          <w:szCs w:val="20"/>
          <w:shd w:val="clear" w:color="auto" w:fill="FFFFFF"/>
          <w:lang w:val="en-US"/>
        </w:rPr>
        <w:t xml:space="preserve"> the moment </w:t>
      </w:r>
      <w:r w:rsidR="00077D21" w:rsidRPr="00EA6C7A">
        <w:rPr>
          <w:rFonts w:ascii="Verdana" w:eastAsia="Calibri" w:hAnsi="Verdana" w:cs="Tahoma"/>
          <w:bCs/>
          <w:color w:val="000000"/>
          <w:sz w:val="20"/>
          <w:szCs w:val="20"/>
          <w:shd w:val="clear" w:color="auto" w:fill="FFFFFF"/>
          <w:lang w:val="en-US"/>
        </w:rPr>
        <w:t>at which</w:t>
      </w:r>
      <w:r w:rsidR="00BE1E44" w:rsidRPr="00EA6C7A">
        <w:rPr>
          <w:rFonts w:ascii="Verdana" w:eastAsia="Calibri" w:hAnsi="Verdana" w:cs="Tahoma"/>
          <w:bCs/>
          <w:color w:val="000000"/>
          <w:sz w:val="20"/>
          <w:szCs w:val="20"/>
          <w:shd w:val="clear" w:color="auto" w:fill="FFFFFF"/>
          <w:lang w:val="en-US"/>
        </w:rPr>
        <w:t xml:space="preserve"> the authorities received the telephone call from the victim’s parents;</w:t>
      </w:r>
      <w:r w:rsidRPr="00EA6C7A">
        <w:rPr>
          <w:rFonts w:ascii="Verdana" w:eastAsia="Calibri" w:hAnsi="Verdana" w:cs="Tahoma"/>
          <w:bCs/>
          <w:color w:val="000000"/>
          <w:sz w:val="20"/>
          <w:szCs w:val="20"/>
          <w:shd w:val="clear" w:color="auto" w:fill="FFFFFF"/>
          <w:vertAlign w:val="superscript"/>
          <w:lang w:val="en-US"/>
        </w:rPr>
        <w:footnoteReference w:id="77"/>
      </w:r>
      <w:r w:rsidR="00BE1E44" w:rsidRPr="00EA6C7A">
        <w:rPr>
          <w:rFonts w:ascii="Verdana" w:eastAsia="Calibri" w:hAnsi="Verdana" w:cs="Tahoma"/>
          <w:bCs/>
          <w:color w:val="000000"/>
          <w:sz w:val="20"/>
          <w:szCs w:val="20"/>
          <w:shd w:val="clear" w:color="auto" w:fill="FFFFFF"/>
          <w:lang w:val="en-US"/>
        </w:rPr>
        <w:t xml:space="preserve"> and, on the other hand, “the </w:t>
      </w:r>
      <w:r w:rsidR="00077D21" w:rsidRPr="00EA6C7A">
        <w:rPr>
          <w:rFonts w:ascii="Verdana" w:eastAsia="Calibri" w:hAnsi="Verdana" w:cs="Tahoma"/>
          <w:bCs/>
          <w:color w:val="000000"/>
          <w:sz w:val="20"/>
          <w:szCs w:val="20"/>
          <w:shd w:val="clear" w:color="auto" w:fill="FFFFFF"/>
          <w:lang w:val="en-US"/>
        </w:rPr>
        <w:t>steps</w:t>
      </w:r>
      <w:r w:rsidR="00BE1E44" w:rsidRPr="00EA6C7A">
        <w:rPr>
          <w:rFonts w:ascii="Verdana" w:eastAsia="Calibri" w:hAnsi="Verdana" w:cs="Tahoma"/>
          <w:bCs/>
          <w:color w:val="000000"/>
          <w:sz w:val="20"/>
          <w:szCs w:val="20"/>
          <w:shd w:val="clear" w:color="auto" w:fill="FFFFFF"/>
          <w:lang w:val="en-US"/>
        </w:rPr>
        <w:t xml:space="preserve"> taken by the Guatemalan authorities</w:t>
      </w:r>
      <w:r w:rsidR="00077D21" w:rsidRPr="00EA6C7A">
        <w:rPr>
          <w:rFonts w:ascii="Verdana" w:eastAsia="Calibri" w:hAnsi="Verdana" w:cs="Tahoma"/>
          <w:bCs/>
          <w:color w:val="000000"/>
          <w:sz w:val="20"/>
          <w:szCs w:val="20"/>
          <w:shd w:val="clear" w:color="auto" w:fill="FFFFFF"/>
          <w:lang w:val="en-US"/>
        </w:rPr>
        <w:t>, knowing the</w:t>
      </w:r>
      <w:r w:rsidR="007131A8" w:rsidRPr="00EA6C7A">
        <w:rPr>
          <w:rFonts w:ascii="Verdana" w:eastAsia="Calibri" w:hAnsi="Verdana" w:cs="Tahoma"/>
          <w:bCs/>
          <w:color w:val="000000"/>
          <w:sz w:val="20"/>
          <w:szCs w:val="20"/>
          <w:shd w:val="clear" w:color="auto" w:fill="FFFFFF"/>
          <w:lang w:val="en-US"/>
        </w:rPr>
        <w:t xml:space="preserve"> context and the nature of the danger reported, [</w:t>
      </w:r>
      <w:r w:rsidR="00077D21" w:rsidRPr="00EA6C7A">
        <w:rPr>
          <w:rFonts w:ascii="Verdana" w:eastAsia="Calibri" w:hAnsi="Verdana" w:cs="Tahoma"/>
          <w:bCs/>
          <w:color w:val="000000"/>
          <w:sz w:val="20"/>
          <w:szCs w:val="20"/>
          <w:shd w:val="clear" w:color="auto" w:fill="FFFFFF"/>
          <w:lang w:val="en-US"/>
        </w:rPr>
        <w:t xml:space="preserve">and also </w:t>
      </w:r>
      <w:r w:rsidR="007131A8" w:rsidRPr="00EA6C7A">
        <w:rPr>
          <w:rFonts w:ascii="Verdana" w:eastAsia="Calibri" w:hAnsi="Verdana" w:cs="Tahoma"/>
          <w:bCs/>
          <w:color w:val="000000"/>
          <w:sz w:val="20"/>
          <w:szCs w:val="20"/>
          <w:shd w:val="clear" w:color="auto" w:fill="FFFFFF"/>
          <w:lang w:val="en-US"/>
        </w:rPr>
        <w:t xml:space="preserve">whether </w:t>
      </w:r>
      <w:r w:rsidR="00077D21" w:rsidRPr="00EA6C7A">
        <w:rPr>
          <w:rFonts w:ascii="Verdana" w:eastAsia="Calibri" w:hAnsi="Verdana" w:cs="Tahoma"/>
          <w:bCs/>
          <w:color w:val="000000"/>
          <w:sz w:val="20"/>
          <w:szCs w:val="20"/>
          <w:shd w:val="clear" w:color="auto" w:fill="FFFFFF"/>
          <w:lang w:val="en-US"/>
        </w:rPr>
        <w:t>they]</w:t>
      </w:r>
      <w:r w:rsidR="007131A8" w:rsidRPr="00EA6C7A">
        <w:rPr>
          <w:rFonts w:ascii="Verdana" w:eastAsia="Calibri" w:hAnsi="Verdana" w:cs="Tahoma"/>
          <w:bCs/>
          <w:color w:val="000000"/>
          <w:sz w:val="20"/>
          <w:szCs w:val="20"/>
          <w:shd w:val="clear" w:color="auto" w:fill="FFFFFF"/>
          <w:lang w:val="en-US"/>
        </w:rPr>
        <w:t xml:space="preserve"> promptly</w:t>
      </w:r>
      <w:r w:rsidR="00077D21" w:rsidRPr="00EA6C7A">
        <w:rPr>
          <w:rFonts w:ascii="Verdana" w:eastAsia="Calibri" w:hAnsi="Verdana" w:cs="Tahoma"/>
          <w:bCs/>
          <w:color w:val="000000"/>
          <w:sz w:val="20"/>
          <w:szCs w:val="20"/>
          <w:shd w:val="clear" w:color="auto" w:fill="FFFFFF"/>
          <w:lang w:val="en-US"/>
        </w:rPr>
        <w:t xml:space="preserve"> took</w:t>
      </w:r>
      <w:r w:rsidR="007131A8" w:rsidRPr="00EA6C7A">
        <w:rPr>
          <w:rFonts w:ascii="Verdana" w:eastAsia="Calibri" w:hAnsi="Verdana" w:cs="Tahoma"/>
          <w:bCs/>
          <w:color w:val="000000"/>
          <w:sz w:val="20"/>
          <w:szCs w:val="20"/>
          <w:shd w:val="clear" w:color="auto" w:fill="FFFFFF"/>
          <w:lang w:val="en-US"/>
        </w:rPr>
        <w:t xml:space="preserve"> the necessary measures within the</w:t>
      </w:r>
      <w:r w:rsidR="00077D21" w:rsidRPr="00EA6C7A">
        <w:rPr>
          <w:rFonts w:ascii="Verdana" w:eastAsia="Calibri" w:hAnsi="Verdana" w:cs="Tahoma"/>
          <w:bCs/>
          <w:color w:val="000000"/>
          <w:sz w:val="20"/>
          <w:szCs w:val="20"/>
          <w:shd w:val="clear" w:color="auto" w:fill="FFFFFF"/>
          <w:lang w:val="en-US"/>
        </w:rPr>
        <w:t xml:space="preserve"> scope of their</w:t>
      </w:r>
      <w:r w:rsidR="007131A8" w:rsidRPr="00EA6C7A">
        <w:rPr>
          <w:rFonts w:ascii="Verdana" w:eastAsia="Calibri" w:hAnsi="Verdana" w:cs="Tahoma"/>
          <w:bCs/>
          <w:color w:val="000000"/>
          <w:sz w:val="20"/>
          <w:szCs w:val="20"/>
          <w:shd w:val="clear" w:color="auto" w:fill="FFFFFF"/>
          <w:lang w:val="en-US"/>
        </w:rPr>
        <w:t xml:space="preserve"> powers” to prevent or avoid that </w:t>
      </w:r>
      <w:r w:rsidR="00077D21" w:rsidRPr="00EA6C7A">
        <w:rPr>
          <w:rFonts w:ascii="Verdana" w:eastAsia="Calibri" w:hAnsi="Verdana" w:cs="Tahoma"/>
          <w:bCs/>
          <w:color w:val="000000"/>
          <w:sz w:val="20"/>
          <w:szCs w:val="20"/>
          <w:shd w:val="clear" w:color="auto" w:fill="FFFFFF"/>
          <w:lang w:val="en-US"/>
        </w:rPr>
        <w:t>danger</w:t>
      </w:r>
      <w:r w:rsidR="007131A8"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78"/>
      </w:r>
    </w:p>
    <w:p w14:paraId="0894840D"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449A99D3"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43. </w:t>
      </w:r>
      <w:r w:rsidRPr="00EA6C7A">
        <w:rPr>
          <w:rFonts w:ascii="Verdana" w:eastAsia="Calibri" w:hAnsi="Verdana" w:cs="Tahoma"/>
          <w:bCs/>
          <w:color w:val="000000"/>
          <w:sz w:val="20"/>
          <w:szCs w:val="20"/>
          <w:shd w:val="clear" w:color="auto" w:fill="FFFFFF"/>
          <w:lang w:val="en-US"/>
        </w:rPr>
        <w:tab/>
      </w:r>
      <w:r w:rsidR="00DF5143" w:rsidRPr="00EA6C7A">
        <w:rPr>
          <w:rFonts w:ascii="Verdana" w:eastAsia="Calibri" w:hAnsi="Verdana" w:cs="Tahoma"/>
          <w:bCs/>
          <w:color w:val="000000"/>
          <w:sz w:val="20"/>
          <w:szCs w:val="20"/>
          <w:shd w:val="clear" w:color="auto" w:fill="FFFFFF"/>
          <w:lang w:val="en-US"/>
        </w:rPr>
        <w:t>In this regard</w:t>
      </w:r>
      <w:r w:rsidRPr="00EA6C7A">
        <w:rPr>
          <w:rFonts w:ascii="Verdana" w:eastAsia="Calibri" w:hAnsi="Verdana" w:cs="Tahoma"/>
          <w:bCs/>
          <w:color w:val="000000"/>
          <w:sz w:val="20"/>
          <w:szCs w:val="20"/>
          <w:shd w:val="clear" w:color="auto" w:fill="FFFFFF"/>
          <w:lang w:val="en-US"/>
        </w:rPr>
        <w:t>,</w:t>
      </w:r>
      <w:r w:rsidR="00D948A1" w:rsidRPr="00EA6C7A">
        <w:rPr>
          <w:rFonts w:ascii="Verdana" w:eastAsia="Calibri" w:hAnsi="Verdana" w:cs="Tahoma"/>
          <w:bCs/>
          <w:color w:val="000000"/>
          <w:sz w:val="20"/>
          <w:szCs w:val="20"/>
          <w:shd w:val="clear" w:color="auto" w:fill="FFFFFF"/>
          <w:lang w:val="en-US"/>
        </w:rPr>
        <w:t xml:space="preserve"> and </w:t>
      </w:r>
      <w:r w:rsidR="00DF5143" w:rsidRPr="00EA6C7A">
        <w:rPr>
          <w:rFonts w:ascii="Verdana" w:eastAsia="Calibri" w:hAnsi="Verdana" w:cs="Tahoma"/>
          <w:bCs/>
          <w:color w:val="000000"/>
          <w:sz w:val="20"/>
          <w:szCs w:val="20"/>
          <w:shd w:val="clear" w:color="auto" w:fill="FFFFFF"/>
          <w:lang w:val="en-US"/>
        </w:rPr>
        <w:t xml:space="preserve">following an analysis of the facts already described in the judgment, </w:t>
      </w:r>
      <w:r w:rsidR="00160741" w:rsidRPr="00EA6C7A">
        <w:rPr>
          <w:rFonts w:ascii="Verdana" w:eastAsia="Calibri" w:hAnsi="Verdana" w:cs="Tahoma"/>
          <w:bCs/>
          <w:color w:val="000000"/>
          <w:sz w:val="20"/>
          <w:szCs w:val="20"/>
          <w:shd w:val="clear" w:color="auto" w:fill="FFFFFF"/>
          <w:lang w:val="en-US"/>
        </w:rPr>
        <w:t xml:space="preserve">it determined that the response of the authorities had been “clearly insufficient </w:t>
      </w:r>
      <w:r w:rsidR="00077D21" w:rsidRPr="00EA6C7A">
        <w:rPr>
          <w:rFonts w:ascii="Verdana" w:eastAsia="Calibri" w:hAnsi="Verdana" w:cs="Tahoma"/>
          <w:bCs/>
          <w:color w:val="000000"/>
          <w:sz w:val="20"/>
          <w:szCs w:val="20"/>
          <w:shd w:val="clear" w:color="auto" w:fill="FFFFFF"/>
          <w:lang w:val="en-US"/>
        </w:rPr>
        <w:t xml:space="preserve">given </w:t>
      </w:r>
      <w:r w:rsidR="00160741" w:rsidRPr="00EA6C7A">
        <w:rPr>
          <w:rFonts w:ascii="Verdana" w:eastAsia="Calibri" w:hAnsi="Verdana" w:cs="Tahoma"/>
          <w:bCs/>
          <w:color w:val="000000"/>
          <w:sz w:val="20"/>
          <w:szCs w:val="20"/>
          <w:shd w:val="clear" w:color="auto" w:fill="FFFFFF"/>
          <w:lang w:val="en-US"/>
        </w:rPr>
        <w:t>the possibility that the</w:t>
      </w:r>
      <w:r w:rsidR="00077D21" w:rsidRPr="00EA6C7A">
        <w:rPr>
          <w:rFonts w:ascii="Verdana" w:eastAsia="Calibri" w:hAnsi="Verdana" w:cs="Tahoma"/>
          <w:bCs/>
          <w:color w:val="000000"/>
          <w:sz w:val="20"/>
          <w:szCs w:val="20"/>
          <w:shd w:val="clear" w:color="auto" w:fill="FFFFFF"/>
          <w:lang w:val="en-US"/>
        </w:rPr>
        <w:t xml:space="preserve"> [victim’s]</w:t>
      </w:r>
      <w:r w:rsidR="00160741" w:rsidRPr="00EA6C7A">
        <w:rPr>
          <w:rFonts w:ascii="Verdana" w:eastAsia="Calibri" w:hAnsi="Verdana" w:cs="Tahoma"/>
          <w:bCs/>
          <w:color w:val="000000"/>
          <w:sz w:val="20"/>
          <w:szCs w:val="20"/>
          <w:shd w:val="clear" w:color="auto" w:fill="FFFFFF"/>
          <w:lang w:val="en-US"/>
        </w:rPr>
        <w:t xml:space="preserve"> personal integrity and life were in danger,”</w:t>
      </w:r>
      <w:r w:rsidRPr="00EA6C7A">
        <w:rPr>
          <w:rFonts w:ascii="Verdana" w:eastAsia="Calibri" w:hAnsi="Verdana" w:cs="Tahoma"/>
          <w:bCs/>
          <w:color w:val="000000"/>
          <w:sz w:val="20"/>
          <w:szCs w:val="20"/>
          <w:shd w:val="clear" w:color="auto" w:fill="FFFFFF"/>
          <w:vertAlign w:val="superscript"/>
          <w:lang w:val="en-US"/>
        </w:rPr>
        <w:footnoteReference w:id="79"/>
      </w:r>
      <w:r w:rsidRPr="00EA6C7A">
        <w:rPr>
          <w:rFonts w:ascii="Verdana" w:eastAsia="Calibri" w:hAnsi="Verdana" w:cs="Tahoma"/>
          <w:bCs/>
          <w:color w:val="000000"/>
          <w:sz w:val="20"/>
          <w:szCs w:val="20"/>
          <w:shd w:val="clear" w:color="auto" w:fill="FFFFFF"/>
          <w:lang w:val="en-US"/>
        </w:rPr>
        <w:t xml:space="preserve"> </w:t>
      </w:r>
      <w:r w:rsidR="00160741" w:rsidRPr="00EA6C7A">
        <w:rPr>
          <w:rFonts w:ascii="Verdana" w:eastAsia="Calibri" w:hAnsi="Verdana" w:cs="Tahoma"/>
          <w:bCs/>
          <w:color w:val="000000"/>
          <w:sz w:val="20"/>
          <w:szCs w:val="20"/>
          <w:shd w:val="clear" w:color="auto" w:fill="FFFFFF"/>
          <w:lang w:val="en-US"/>
        </w:rPr>
        <w:t>and also</w:t>
      </w:r>
      <w:r w:rsidRPr="00EA6C7A">
        <w:rPr>
          <w:rFonts w:ascii="Verdana" w:eastAsia="Calibri" w:hAnsi="Verdana" w:cs="Tahoma"/>
          <w:bCs/>
          <w:color w:val="000000"/>
          <w:sz w:val="20"/>
          <w:szCs w:val="20"/>
          <w:shd w:val="clear" w:color="auto" w:fill="FFFFFF"/>
          <w:lang w:val="en-US"/>
        </w:rPr>
        <w:t xml:space="preserve"> </w:t>
      </w:r>
      <w:r w:rsidR="00160741" w:rsidRPr="00EA6C7A">
        <w:rPr>
          <w:rFonts w:ascii="Verdana" w:eastAsia="Calibri" w:hAnsi="Verdana" w:cs="Tahoma"/>
          <w:bCs/>
          <w:color w:val="000000"/>
          <w:sz w:val="20"/>
          <w:szCs w:val="20"/>
          <w:u w:val="single"/>
          <w:shd w:val="clear" w:color="auto" w:fill="FFFFFF"/>
          <w:lang w:val="en-US"/>
        </w:rPr>
        <w:t>the lack of clarity in the law regarding the proper moment to file a report,</w:t>
      </w:r>
      <w:r w:rsidRPr="00EA6C7A">
        <w:rPr>
          <w:rFonts w:ascii="Verdana" w:eastAsia="Calibri" w:hAnsi="Verdana" w:cs="Tahoma"/>
          <w:bCs/>
          <w:color w:val="000000"/>
          <w:sz w:val="20"/>
          <w:szCs w:val="20"/>
          <w:shd w:val="clear" w:color="auto" w:fill="FFFFFF"/>
          <w:vertAlign w:val="superscript"/>
          <w:lang w:val="en-US"/>
        </w:rPr>
        <w:footnoteReference w:id="80"/>
      </w:r>
      <w:r w:rsidRPr="00EA6C7A">
        <w:rPr>
          <w:rFonts w:ascii="Verdana" w:eastAsia="Calibri" w:hAnsi="Verdana" w:cs="Tahoma"/>
          <w:bCs/>
          <w:color w:val="000000"/>
          <w:sz w:val="20"/>
          <w:szCs w:val="20"/>
          <w:shd w:val="clear" w:color="auto" w:fill="FFFFFF"/>
          <w:lang w:val="en-US"/>
        </w:rPr>
        <w:t xml:space="preserve"> consider</w:t>
      </w:r>
      <w:r w:rsidR="00160741" w:rsidRPr="00EA6C7A">
        <w:rPr>
          <w:rFonts w:ascii="Verdana" w:eastAsia="Calibri" w:hAnsi="Verdana" w:cs="Tahoma"/>
          <w:bCs/>
          <w:color w:val="000000"/>
          <w:sz w:val="20"/>
          <w:szCs w:val="20"/>
          <w:shd w:val="clear" w:color="auto" w:fill="FFFFFF"/>
          <w:lang w:val="en-US"/>
        </w:rPr>
        <w:t>ing that the action of the authorities had not involved the adoption of the necessary measures to prevent or avoid the danger reported by the victims.</w:t>
      </w:r>
      <w:r w:rsidRPr="00EA6C7A">
        <w:rPr>
          <w:rFonts w:ascii="Verdana" w:eastAsia="Calibri" w:hAnsi="Verdana" w:cs="Tahoma"/>
          <w:bCs/>
          <w:color w:val="000000"/>
          <w:sz w:val="20"/>
          <w:szCs w:val="20"/>
          <w:shd w:val="clear" w:color="auto" w:fill="FFFFFF"/>
          <w:vertAlign w:val="superscript"/>
          <w:lang w:val="en-US"/>
        </w:rPr>
        <w:footnoteReference w:id="81"/>
      </w:r>
      <w:r w:rsidR="00160741" w:rsidRPr="00EA6C7A">
        <w:rPr>
          <w:rFonts w:ascii="Verdana" w:eastAsia="Calibri" w:hAnsi="Verdana" w:cs="Tahoma"/>
          <w:bCs/>
          <w:color w:val="000000"/>
          <w:sz w:val="20"/>
          <w:szCs w:val="20"/>
          <w:shd w:val="clear" w:color="auto" w:fill="FFFFFF"/>
          <w:lang w:val="en-US"/>
        </w:rPr>
        <w:t xml:space="preserve"> Consequently, he Court considered that</w:t>
      </w:r>
      <w:r w:rsidRPr="00EA6C7A">
        <w:rPr>
          <w:rFonts w:ascii="Verdana" w:eastAsia="Calibri" w:hAnsi="Verdana" w:cs="Tahoma"/>
          <w:bCs/>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Articles</w:t>
      </w:r>
      <w:r w:rsidRPr="00EA6C7A">
        <w:rPr>
          <w:rFonts w:ascii="Verdana" w:eastAsia="Calibri" w:hAnsi="Verdana" w:cs="Tahoma"/>
          <w:bCs/>
          <w:color w:val="000000"/>
          <w:sz w:val="20"/>
          <w:szCs w:val="20"/>
          <w:shd w:val="clear" w:color="auto" w:fill="FFFFFF"/>
          <w:lang w:val="en-US"/>
        </w:rPr>
        <w:t xml:space="preserve"> 2</w:t>
      </w:r>
      <w:r w:rsidR="0096418F" w:rsidRPr="00EA6C7A">
        <w:rPr>
          <w:rFonts w:ascii="Verdana" w:eastAsia="Calibri" w:hAnsi="Verdana" w:cs="Tahoma"/>
          <w:bCs/>
          <w:color w:val="000000"/>
          <w:sz w:val="20"/>
          <w:szCs w:val="20"/>
          <w:shd w:val="clear" w:color="auto" w:fill="FFFFFF"/>
          <w:lang w:val="en-US"/>
        </w:rPr>
        <w:t xml:space="preserve"> of the American Convention</w:t>
      </w:r>
      <w:r w:rsidR="00D948A1" w:rsidRPr="00EA6C7A">
        <w:rPr>
          <w:rFonts w:ascii="Verdana" w:eastAsia="Calibri" w:hAnsi="Verdana" w:cs="Tahoma"/>
          <w:bCs/>
          <w:color w:val="000000"/>
          <w:sz w:val="20"/>
          <w:szCs w:val="20"/>
          <w:shd w:val="clear" w:color="auto" w:fill="FFFFFF"/>
          <w:lang w:val="en-US"/>
        </w:rPr>
        <w:t xml:space="preserve"> and </w:t>
      </w:r>
      <w:r w:rsidRPr="00EA6C7A">
        <w:rPr>
          <w:rFonts w:ascii="Verdana" w:eastAsia="Calibri" w:hAnsi="Verdana" w:cs="Tahoma"/>
          <w:bCs/>
          <w:color w:val="000000"/>
          <w:sz w:val="20"/>
          <w:szCs w:val="20"/>
          <w:shd w:val="clear" w:color="auto" w:fill="FFFFFF"/>
          <w:lang w:val="en-US"/>
        </w:rPr>
        <w:t>7</w:t>
      </w:r>
      <w:r w:rsidR="00D5307F" w:rsidRPr="00EA6C7A">
        <w:rPr>
          <w:rFonts w:ascii="Verdana" w:eastAsia="Calibri" w:hAnsi="Verdana" w:cs="Tahoma"/>
          <w:bCs/>
          <w:color w:val="000000"/>
          <w:sz w:val="20"/>
          <w:szCs w:val="20"/>
          <w:shd w:val="clear" w:color="auto" w:fill="FFFFFF"/>
          <w:lang w:val="en-US"/>
        </w:rPr>
        <w:t xml:space="preserve"> of the </w:t>
      </w:r>
      <w:r w:rsidRPr="00EA6C7A">
        <w:rPr>
          <w:rFonts w:ascii="Verdana" w:eastAsia="Calibri" w:hAnsi="Verdana" w:cs="Tahoma"/>
          <w:bCs/>
          <w:color w:val="000000"/>
          <w:sz w:val="20"/>
          <w:szCs w:val="20"/>
          <w:shd w:val="clear" w:color="auto" w:fill="FFFFFF"/>
          <w:lang w:val="en-US"/>
        </w:rPr>
        <w:t>“</w:t>
      </w:r>
      <w:r w:rsidR="00F912BD" w:rsidRPr="00EA6C7A">
        <w:rPr>
          <w:rFonts w:ascii="Verdana" w:eastAsia="Calibri" w:hAnsi="Verdana" w:cs="Tahoma"/>
          <w:bCs/>
          <w:color w:val="000000"/>
          <w:sz w:val="20"/>
          <w:szCs w:val="20"/>
          <w:shd w:val="clear" w:color="auto" w:fill="FFFFFF"/>
          <w:lang w:val="en-US"/>
        </w:rPr>
        <w:t>Convention of</w:t>
      </w:r>
      <w:r w:rsidRPr="00EA6C7A">
        <w:rPr>
          <w:rFonts w:ascii="Verdana" w:eastAsia="Calibri" w:hAnsi="Verdana" w:cs="Tahoma"/>
          <w:bCs/>
          <w:color w:val="000000"/>
          <w:sz w:val="20"/>
          <w:szCs w:val="20"/>
          <w:shd w:val="clear" w:color="auto" w:fill="FFFFFF"/>
          <w:lang w:val="en-US"/>
        </w:rPr>
        <w:t xml:space="preserve"> Belém do Pará” </w:t>
      </w:r>
      <w:r w:rsidR="00160741" w:rsidRPr="00EA6C7A">
        <w:rPr>
          <w:rFonts w:ascii="Verdana" w:eastAsia="Calibri" w:hAnsi="Verdana" w:cs="Tahoma"/>
          <w:bCs/>
          <w:color w:val="000000"/>
          <w:sz w:val="20"/>
          <w:szCs w:val="20"/>
          <w:shd w:val="clear" w:color="auto" w:fill="FFFFFF"/>
          <w:lang w:val="en-US"/>
        </w:rPr>
        <w:t>had been violated owing to the lack of capacity,</w:t>
      </w:r>
      <w:r w:rsidR="008E3357" w:rsidRPr="00EA6C7A">
        <w:rPr>
          <w:rFonts w:ascii="Verdana" w:eastAsia="Calibri" w:hAnsi="Verdana" w:cs="Tahoma"/>
          <w:bCs/>
          <w:color w:val="000000"/>
          <w:sz w:val="20"/>
          <w:szCs w:val="20"/>
          <w:shd w:val="clear" w:color="auto" w:fill="FFFFFF"/>
          <w:lang w:val="en-US"/>
        </w:rPr>
        <w:t xml:space="preserve"> </w:t>
      </w:r>
      <w:r w:rsidR="00160741" w:rsidRPr="00EA6C7A">
        <w:rPr>
          <w:rFonts w:ascii="Verdana" w:eastAsia="Calibri" w:hAnsi="Verdana" w:cs="Tahoma"/>
          <w:bCs/>
          <w:color w:val="000000"/>
          <w:sz w:val="20"/>
          <w:szCs w:val="20"/>
          <w:shd w:val="clear" w:color="auto" w:fill="FFFFFF"/>
          <w:lang w:val="en-US"/>
        </w:rPr>
        <w:t xml:space="preserve">sensitivity, willingness and training to respond to </w:t>
      </w:r>
      <w:r w:rsidR="008A04F5" w:rsidRPr="00EA6C7A">
        <w:rPr>
          <w:rFonts w:ascii="Verdana" w:eastAsia="Calibri" w:hAnsi="Verdana" w:cs="Tahoma"/>
          <w:bCs/>
          <w:color w:val="000000"/>
          <w:sz w:val="20"/>
          <w:szCs w:val="20"/>
          <w:shd w:val="clear" w:color="auto" w:fill="FFFFFF"/>
          <w:lang w:val="en-US"/>
        </w:rPr>
        <w:t xml:space="preserve">missing person </w:t>
      </w:r>
      <w:r w:rsidR="008A04F5" w:rsidRPr="00EA6C7A">
        <w:rPr>
          <w:rFonts w:ascii="Verdana" w:eastAsia="Calibri" w:hAnsi="Verdana" w:cs="Tahoma"/>
          <w:bCs/>
          <w:color w:val="000000"/>
          <w:sz w:val="20"/>
          <w:szCs w:val="20"/>
          <w:shd w:val="clear" w:color="auto" w:fill="FFFFFF"/>
          <w:lang w:val="en-US"/>
        </w:rPr>
        <w:lastRenderedPageBreak/>
        <w:t>report</w:t>
      </w:r>
      <w:r w:rsidR="008E3357" w:rsidRPr="00EA6C7A">
        <w:rPr>
          <w:rFonts w:ascii="Verdana" w:eastAsia="Calibri" w:hAnsi="Verdana" w:cs="Tahoma"/>
          <w:bCs/>
          <w:color w:val="000000"/>
          <w:sz w:val="20"/>
          <w:szCs w:val="20"/>
          <w:shd w:val="clear" w:color="auto" w:fill="FFFFFF"/>
          <w:lang w:val="en-US"/>
        </w:rPr>
        <w:t>s</w:t>
      </w:r>
      <w:r w:rsidR="00160741" w:rsidRPr="00EA6C7A">
        <w:rPr>
          <w:rFonts w:ascii="Verdana" w:eastAsia="Calibri" w:hAnsi="Verdana" w:cs="Tahoma"/>
          <w:bCs/>
          <w:color w:val="000000"/>
          <w:sz w:val="20"/>
          <w:szCs w:val="20"/>
          <w:shd w:val="clear" w:color="auto" w:fill="FFFFFF"/>
          <w:lang w:val="en-US"/>
        </w:rPr>
        <w:t xml:space="preserve"> in the Guatemalan context, as well as the absence of immediate and effective actions.</w:t>
      </w:r>
      <w:r w:rsidRPr="00EA6C7A">
        <w:rPr>
          <w:rFonts w:ascii="Verdana" w:eastAsia="Calibri" w:hAnsi="Verdana" w:cs="Tahoma"/>
          <w:bCs/>
          <w:color w:val="000000"/>
          <w:sz w:val="20"/>
          <w:szCs w:val="20"/>
          <w:shd w:val="clear" w:color="auto" w:fill="FFFFFF"/>
          <w:vertAlign w:val="superscript"/>
          <w:lang w:val="en-US"/>
        </w:rPr>
        <w:footnoteReference w:id="82"/>
      </w:r>
      <w:r w:rsidR="00160741" w:rsidRPr="00EA6C7A">
        <w:rPr>
          <w:rFonts w:ascii="Verdana" w:eastAsia="Calibri" w:hAnsi="Verdana" w:cs="Tahoma"/>
          <w:bCs/>
          <w:color w:val="000000"/>
          <w:sz w:val="20"/>
          <w:szCs w:val="20"/>
          <w:shd w:val="clear" w:color="auto" w:fill="FFFFFF"/>
          <w:lang w:val="en-US"/>
        </w:rPr>
        <w:t xml:space="preserve"> The Court also declared the violation of</w:t>
      </w:r>
      <w:r w:rsidRPr="00EA6C7A">
        <w:rPr>
          <w:rFonts w:ascii="Verdana" w:eastAsia="Calibri" w:hAnsi="Verdana" w:cs="Tahoma"/>
          <w:bCs/>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Article</w:t>
      </w:r>
      <w:r w:rsidRPr="00EA6C7A">
        <w:rPr>
          <w:rFonts w:ascii="Verdana" w:eastAsia="Calibri" w:hAnsi="Verdana" w:cs="Tahoma"/>
          <w:bCs/>
          <w:color w:val="000000"/>
          <w:sz w:val="20"/>
          <w:szCs w:val="20"/>
          <w:shd w:val="clear" w:color="auto" w:fill="FFFFFF"/>
          <w:lang w:val="en-US"/>
        </w:rPr>
        <w:t xml:space="preserve"> 7</w:t>
      </w:r>
      <w:r w:rsidR="00D5307F" w:rsidRPr="00EA6C7A">
        <w:rPr>
          <w:rFonts w:ascii="Verdana" w:eastAsia="Calibri" w:hAnsi="Verdana" w:cs="Tahoma"/>
          <w:bCs/>
          <w:color w:val="000000"/>
          <w:sz w:val="20"/>
          <w:szCs w:val="20"/>
          <w:shd w:val="clear" w:color="auto" w:fill="FFFFFF"/>
          <w:lang w:val="en-US"/>
        </w:rPr>
        <w:t xml:space="preserve"> of the </w:t>
      </w:r>
      <w:r w:rsidRPr="00EA6C7A">
        <w:rPr>
          <w:rFonts w:ascii="Verdana" w:eastAsia="Calibri" w:hAnsi="Verdana" w:cs="Tahoma"/>
          <w:bCs/>
          <w:color w:val="000000"/>
          <w:sz w:val="20"/>
          <w:szCs w:val="20"/>
          <w:shd w:val="clear" w:color="auto" w:fill="FFFFFF"/>
          <w:lang w:val="en-US"/>
        </w:rPr>
        <w:t>“</w:t>
      </w:r>
      <w:r w:rsidR="002C132E" w:rsidRPr="00EA6C7A">
        <w:rPr>
          <w:rFonts w:ascii="Verdana" w:eastAsia="Calibri" w:hAnsi="Verdana" w:cs="Tahoma"/>
          <w:bCs/>
          <w:color w:val="000000"/>
          <w:sz w:val="20"/>
          <w:szCs w:val="20"/>
          <w:shd w:val="clear" w:color="auto" w:fill="FFFFFF"/>
          <w:lang w:val="en-US"/>
        </w:rPr>
        <w:t>Convention of Belém</w:t>
      </w:r>
      <w:r w:rsidRPr="00EA6C7A">
        <w:rPr>
          <w:rFonts w:ascii="Verdana" w:eastAsia="Calibri" w:hAnsi="Verdana" w:cs="Tahoma"/>
          <w:bCs/>
          <w:color w:val="000000"/>
          <w:sz w:val="20"/>
          <w:szCs w:val="20"/>
          <w:shd w:val="clear" w:color="auto" w:fill="FFFFFF"/>
          <w:lang w:val="en-US"/>
        </w:rPr>
        <w:t xml:space="preserve"> do Pará” </w:t>
      </w:r>
      <w:r w:rsidR="00160741" w:rsidRPr="00EA6C7A">
        <w:rPr>
          <w:rFonts w:ascii="Verdana" w:eastAsia="Calibri" w:hAnsi="Verdana" w:cs="Tahoma"/>
          <w:bCs/>
          <w:color w:val="000000"/>
          <w:sz w:val="20"/>
          <w:szCs w:val="20"/>
          <w:shd w:val="clear" w:color="auto" w:fill="FFFFFF"/>
          <w:lang w:val="en-US"/>
        </w:rPr>
        <w:t xml:space="preserve">as a result of the failure to ensure the free and full exercise </w:t>
      </w:r>
      <w:r w:rsidR="00123BD3" w:rsidRPr="00EA6C7A">
        <w:rPr>
          <w:rFonts w:ascii="Verdana" w:eastAsia="Calibri" w:hAnsi="Verdana" w:cs="Tahoma"/>
          <w:bCs/>
          <w:color w:val="000000"/>
          <w:sz w:val="20"/>
          <w:szCs w:val="20"/>
          <w:shd w:val="clear" w:color="auto" w:fill="FFFFFF"/>
          <w:lang w:val="en-US"/>
        </w:rPr>
        <w:t>of the rights to</w:t>
      </w:r>
      <w:r w:rsidRPr="00EA6C7A">
        <w:rPr>
          <w:rFonts w:ascii="Verdana" w:eastAsia="Calibri" w:hAnsi="Verdana" w:cs="Tahoma"/>
          <w:bCs/>
          <w:color w:val="000000"/>
          <w:sz w:val="20"/>
          <w:szCs w:val="20"/>
          <w:shd w:val="clear" w:color="auto" w:fill="FFFFFF"/>
          <w:lang w:val="en-US"/>
        </w:rPr>
        <w:t xml:space="preserve"> </w:t>
      </w:r>
      <w:r w:rsidR="00515C34" w:rsidRPr="00EA6C7A">
        <w:rPr>
          <w:rFonts w:ascii="Verdana" w:eastAsia="Calibri" w:hAnsi="Verdana" w:cs="Tahoma"/>
          <w:bCs/>
          <w:color w:val="000000"/>
          <w:sz w:val="20"/>
          <w:szCs w:val="20"/>
          <w:shd w:val="clear" w:color="auto" w:fill="FFFFFF"/>
          <w:lang w:val="en-US"/>
        </w:rPr>
        <w:t>life and to personal integrity</w:t>
      </w:r>
      <w:r w:rsidR="00160741"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83"/>
      </w:r>
    </w:p>
    <w:p w14:paraId="7A0C1458"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3C7570A6"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44. </w:t>
      </w:r>
      <w:r w:rsidRPr="00EA6C7A">
        <w:rPr>
          <w:rFonts w:ascii="Verdana" w:eastAsia="Calibri" w:hAnsi="Verdana" w:cs="Tahoma"/>
          <w:bCs/>
          <w:color w:val="000000"/>
          <w:sz w:val="20"/>
          <w:szCs w:val="20"/>
          <w:shd w:val="clear" w:color="auto" w:fill="FFFFFF"/>
          <w:lang w:val="en-US"/>
        </w:rPr>
        <w:tab/>
      </w:r>
      <w:r w:rsidR="00160741" w:rsidRPr="00EA6C7A">
        <w:rPr>
          <w:rFonts w:ascii="Verdana" w:eastAsia="Calibri" w:hAnsi="Verdana" w:cs="Tahoma"/>
          <w:bCs/>
          <w:color w:val="000000"/>
          <w:sz w:val="20"/>
          <w:szCs w:val="20"/>
          <w:shd w:val="clear" w:color="auto" w:fill="FFFFFF"/>
          <w:lang w:val="en-US"/>
        </w:rPr>
        <w:t xml:space="preserve">The foregoing reveals, at first sight, that based on the absence of a ruling by the Court on concluding its analysis </w:t>
      </w:r>
      <w:r w:rsidR="00A534EF" w:rsidRPr="00EA6C7A">
        <w:rPr>
          <w:rFonts w:ascii="Verdana" w:eastAsia="Calibri" w:hAnsi="Verdana" w:cs="Tahoma"/>
          <w:bCs/>
          <w:color w:val="000000"/>
          <w:sz w:val="20"/>
          <w:szCs w:val="20"/>
          <w:shd w:val="clear" w:color="auto" w:fill="FFFFFF"/>
          <w:lang w:val="en-US"/>
        </w:rPr>
        <w:t xml:space="preserve">of the </w:t>
      </w:r>
      <w:r w:rsidR="00160741" w:rsidRPr="00EA6C7A">
        <w:rPr>
          <w:rFonts w:ascii="Verdana" w:eastAsia="Calibri" w:hAnsi="Verdana" w:cs="Tahoma"/>
          <w:bCs/>
          <w:color w:val="000000"/>
          <w:sz w:val="20"/>
          <w:szCs w:val="20"/>
          <w:shd w:val="clear" w:color="auto" w:fill="FFFFFF"/>
          <w:lang w:val="en-US"/>
        </w:rPr>
        <w:t xml:space="preserve">general </w:t>
      </w:r>
      <w:r w:rsidR="00A534EF" w:rsidRPr="00EA6C7A">
        <w:rPr>
          <w:rFonts w:ascii="Verdana" w:eastAsia="Calibri" w:hAnsi="Verdana" w:cs="Tahoma"/>
          <w:bCs/>
          <w:color w:val="000000"/>
          <w:sz w:val="20"/>
          <w:szCs w:val="20"/>
          <w:shd w:val="clear" w:color="auto" w:fill="FFFFFF"/>
          <w:lang w:val="en-US"/>
        </w:rPr>
        <w:t>obligation</w:t>
      </w:r>
      <w:r w:rsidR="00D5307F" w:rsidRPr="00EA6C7A">
        <w:rPr>
          <w:rFonts w:ascii="Verdana" w:eastAsia="Calibri" w:hAnsi="Verdana" w:cs="Tahoma"/>
          <w:bCs/>
          <w:color w:val="000000"/>
          <w:sz w:val="20"/>
          <w:szCs w:val="20"/>
          <w:shd w:val="clear" w:color="auto" w:fill="FFFFFF"/>
          <w:lang w:val="en-US"/>
        </w:rPr>
        <w:t xml:space="preserve"> of prevention</w:t>
      </w:r>
      <w:r w:rsidR="00160741" w:rsidRPr="00EA6C7A">
        <w:rPr>
          <w:rFonts w:ascii="Verdana" w:eastAsia="Calibri" w:hAnsi="Verdana" w:cs="Tahoma"/>
          <w:bCs/>
          <w:color w:val="000000"/>
          <w:sz w:val="20"/>
          <w:szCs w:val="20"/>
          <w:shd w:val="clear" w:color="auto" w:fill="FFFFFF"/>
          <w:lang w:val="en-US"/>
        </w:rPr>
        <w:t xml:space="preserve"> – in other words, </w:t>
      </w:r>
      <w:r w:rsidR="008E3357" w:rsidRPr="00EA6C7A">
        <w:rPr>
          <w:rFonts w:ascii="Verdana" w:eastAsia="Calibri" w:hAnsi="Verdana" w:cs="Tahoma"/>
          <w:bCs/>
          <w:color w:val="000000"/>
          <w:sz w:val="20"/>
          <w:szCs w:val="20"/>
          <w:shd w:val="clear" w:color="auto" w:fill="FFFFFF"/>
          <w:lang w:val="en-US"/>
        </w:rPr>
        <w:t>during</w:t>
      </w:r>
      <w:r w:rsidR="00160741" w:rsidRPr="00EA6C7A">
        <w:rPr>
          <w:rFonts w:ascii="Verdana" w:eastAsia="Calibri" w:hAnsi="Verdana" w:cs="Tahoma"/>
          <w:bCs/>
          <w:color w:val="000000"/>
          <w:sz w:val="20"/>
          <w:szCs w:val="20"/>
          <w:shd w:val="clear" w:color="auto" w:fill="FFFFFF"/>
          <w:lang w:val="en-US"/>
        </w:rPr>
        <w:t xml:space="preserve"> the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first moment</w:t>
      </w:r>
      <w:r w:rsidRPr="00EA6C7A">
        <w:rPr>
          <w:rFonts w:ascii="Verdana" w:eastAsia="Calibri" w:hAnsi="Verdana" w:cs="Tahoma"/>
          <w:bCs/>
          <w:color w:val="000000"/>
          <w:sz w:val="20"/>
          <w:szCs w:val="20"/>
          <w:shd w:val="clear" w:color="auto" w:fill="FFFFFF"/>
          <w:lang w:val="en-US"/>
        </w:rPr>
        <w:t xml:space="preserve">” </w:t>
      </w:r>
      <w:r w:rsidR="00160741" w:rsidRPr="00EA6C7A">
        <w:rPr>
          <w:rFonts w:ascii="Verdana" w:eastAsia="Calibri" w:hAnsi="Verdana" w:cs="Tahoma"/>
          <w:bCs/>
          <w:color w:val="000000"/>
          <w:sz w:val="20"/>
          <w:szCs w:val="20"/>
          <w:shd w:val="clear" w:color="auto" w:fill="FFFFFF"/>
          <w:lang w:val="en-US"/>
        </w:rPr>
        <w:t>of this obligation</w:t>
      </w:r>
      <w:r w:rsidRPr="00EA6C7A">
        <w:rPr>
          <w:rFonts w:ascii="Verdana" w:eastAsia="Calibri" w:hAnsi="Verdana" w:cs="Tahoma"/>
          <w:bCs/>
          <w:color w:val="000000"/>
          <w:sz w:val="20"/>
          <w:szCs w:val="20"/>
          <w:shd w:val="clear" w:color="auto" w:fill="FFFFFF"/>
          <w:lang w:val="en-US"/>
        </w:rPr>
        <w:t xml:space="preserve"> (</w:t>
      </w:r>
      <w:r w:rsidR="0001699C" w:rsidRPr="00EA6C7A">
        <w:rPr>
          <w:rFonts w:ascii="Verdana" w:eastAsia="Calibri" w:hAnsi="Verdana" w:cs="Tahoma"/>
          <w:bCs/>
          <w:color w:val="000000"/>
          <w:sz w:val="20"/>
          <w:szCs w:val="20"/>
          <w:shd w:val="clear" w:color="auto" w:fill="FFFFFF"/>
          <w:lang w:val="en-US"/>
        </w:rPr>
        <w:t>before the disappearance</w:t>
      </w:r>
      <w:r w:rsidRPr="00EA6C7A">
        <w:rPr>
          <w:rFonts w:ascii="Verdana" w:eastAsia="Calibri" w:hAnsi="Verdana" w:cs="Tahoma"/>
          <w:bCs/>
          <w:color w:val="000000"/>
          <w:sz w:val="20"/>
          <w:szCs w:val="20"/>
          <w:shd w:val="clear" w:color="auto" w:fill="FFFFFF"/>
          <w:lang w:val="en-US"/>
        </w:rPr>
        <w:t xml:space="preserve"> </w:t>
      </w:r>
      <w:r w:rsidR="00160741" w:rsidRPr="00EA6C7A">
        <w:rPr>
          <w:rFonts w:ascii="Verdana" w:eastAsia="Calibri" w:hAnsi="Verdana" w:cs="Tahoma"/>
          <w:bCs/>
          <w:color w:val="000000"/>
          <w:sz w:val="20"/>
          <w:szCs w:val="20"/>
          <w:shd w:val="clear" w:color="auto" w:fill="FFFFFF"/>
          <w:lang w:val="en-US"/>
        </w:rPr>
        <w:t xml:space="preserve">of </w:t>
      </w:r>
      <w:r w:rsidRPr="00EA6C7A">
        <w:rPr>
          <w:rFonts w:ascii="Verdana" w:eastAsia="Calibri" w:hAnsi="Verdana" w:cs="Tahoma"/>
          <w:bCs/>
          <w:color w:val="000000"/>
          <w:sz w:val="20"/>
          <w:szCs w:val="20"/>
          <w:shd w:val="clear" w:color="auto" w:fill="FFFFFF"/>
          <w:lang w:val="en-US"/>
        </w:rPr>
        <w:t>Claudina Velásquez)</w:t>
      </w:r>
      <w:r w:rsidR="00160741" w:rsidRPr="00EA6C7A">
        <w:rPr>
          <w:rFonts w:ascii="Verdana" w:eastAsia="Calibri" w:hAnsi="Verdana" w:cs="Tahoma"/>
          <w:bCs/>
          <w:color w:val="000000"/>
          <w:sz w:val="20"/>
          <w:szCs w:val="20"/>
          <w:shd w:val="clear" w:color="auto" w:fill="FFFFFF"/>
          <w:lang w:val="en-US"/>
        </w:rPr>
        <w:t xml:space="preserve"> –</w:t>
      </w:r>
      <w:r w:rsidR="008E3357" w:rsidRPr="00EA6C7A">
        <w:rPr>
          <w:rFonts w:ascii="Verdana" w:eastAsia="Calibri" w:hAnsi="Verdana" w:cs="Tahoma"/>
          <w:bCs/>
          <w:color w:val="000000"/>
          <w:sz w:val="20"/>
          <w:szCs w:val="20"/>
          <w:shd w:val="clear" w:color="auto" w:fill="FFFFFF"/>
          <w:lang w:val="en-US"/>
        </w:rPr>
        <w:t xml:space="preserve"> the </w:t>
      </w:r>
      <w:r w:rsidR="00671A06" w:rsidRPr="00EA6C7A">
        <w:rPr>
          <w:rFonts w:ascii="Verdana" w:eastAsia="Calibri" w:hAnsi="Verdana" w:cs="Tahoma"/>
          <w:bCs/>
          <w:color w:val="000000"/>
          <w:sz w:val="20"/>
          <w:szCs w:val="20"/>
          <w:shd w:val="clear" w:color="auto" w:fill="FFFFFF"/>
          <w:lang w:val="en-US"/>
        </w:rPr>
        <w:t>State</w:t>
      </w:r>
      <w:r w:rsidR="008E3357" w:rsidRPr="00EA6C7A">
        <w:rPr>
          <w:rFonts w:ascii="Verdana" w:eastAsia="Calibri" w:hAnsi="Verdana" w:cs="Tahoma"/>
          <w:bCs/>
          <w:color w:val="000000"/>
          <w:sz w:val="20"/>
          <w:szCs w:val="20"/>
          <w:shd w:val="clear" w:color="auto" w:fill="FFFFFF"/>
          <w:lang w:val="en-US"/>
        </w:rPr>
        <w:t>’s</w:t>
      </w:r>
      <w:r w:rsidR="00160741" w:rsidRPr="00EA6C7A">
        <w:rPr>
          <w:rFonts w:ascii="Verdana" w:eastAsia="Calibri" w:hAnsi="Verdana" w:cs="Tahoma"/>
          <w:bCs/>
          <w:color w:val="000000"/>
          <w:sz w:val="20"/>
          <w:szCs w:val="20"/>
          <w:shd w:val="clear" w:color="auto" w:fill="FFFFFF"/>
          <w:lang w:val="en-US"/>
        </w:rPr>
        <w:t xml:space="preserve"> responsibility</w:t>
      </w:r>
      <w:r w:rsidR="008E3357" w:rsidRPr="00EA6C7A">
        <w:rPr>
          <w:rFonts w:ascii="Verdana" w:eastAsia="Calibri" w:hAnsi="Verdana" w:cs="Tahoma"/>
          <w:bCs/>
          <w:color w:val="000000"/>
          <w:sz w:val="20"/>
          <w:szCs w:val="20"/>
          <w:shd w:val="clear" w:color="auto" w:fill="FFFFFF"/>
          <w:lang w:val="en-US"/>
        </w:rPr>
        <w:t xml:space="preserve"> is </w:t>
      </w:r>
      <w:r w:rsidR="00876BEA" w:rsidRPr="00EA6C7A">
        <w:rPr>
          <w:rFonts w:ascii="Verdana" w:eastAsia="Calibri" w:hAnsi="Verdana" w:cs="Tahoma"/>
          <w:bCs/>
          <w:color w:val="000000"/>
          <w:sz w:val="20"/>
          <w:szCs w:val="20"/>
          <w:shd w:val="clear" w:color="auto" w:fill="FFFFFF"/>
          <w:lang w:val="en-US"/>
        </w:rPr>
        <w:t>constituted by</w:t>
      </w:r>
      <w:r w:rsidR="00160741" w:rsidRPr="00EA6C7A">
        <w:rPr>
          <w:rFonts w:ascii="Verdana" w:eastAsia="Calibri" w:hAnsi="Verdana" w:cs="Tahoma"/>
          <w:bCs/>
          <w:color w:val="000000"/>
          <w:sz w:val="20"/>
          <w:szCs w:val="20"/>
          <w:shd w:val="clear" w:color="auto" w:fill="FFFFFF"/>
          <w:lang w:val="en-US"/>
        </w:rPr>
        <w:t xml:space="preserve"> </w:t>
      </w:r>
      <w:r w:rsidR="00876BEA" w:rsidRPr="00EA6C7A">
        <w:rPr>
          <w:rFonts w:ascii="Verdana" w:eastAsia="Calibri" w:hAnsi="Verdana" w:cs="Tahoma"/>
          <w:bCs/>
          <w:color w:val="000000"/>
          <w:sz w:val="20"/>
          <w:szCs w:val="20"/>
          <w:shd w:val="clear" w:color="auto" w:fill="FFFFFF"/>
          <w:lang w:val="en-US"/>
        </w:rPr>
        <w:t>the Court’s</w:t>
      </w:r>
      <w:r w:rsidR="00160741" w:rsidRPr="00EA6C7A">
        <w:rPr>
          <w:rFonts w:ascii="Verdana" w:eastAsia="Calibri" w:hAnsi="Verdana" w:cs="Tahoma"/>
          <w:bCs/>
          <w:color w:val="000000"/>
          <w:sz w:val="20"/>
          <w:szCs w:val="20"/>
          <w:shd w:val="clear" w:color="auto" w:fill="FFFFFF"/>
          <w:lang w:val="en-US"/>
        </w:rPr>
        <w:t xml:space="preserve"> analysis of the specific obligation of prevention, establishing the international responsibility of Guatemala as a result of the analysis of the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second moment</w:t>
      </w:r>
      <w:r w:rsidRPr="00EA6C7A">
        <w:rPr>
          <w:rFonts w:ascii="Verdana" w:eastAsia="Calibri" w:hAnsi="Verdana" w:cs="Tahoma"/>
          <w:bCs/>
          <w:color w:val="000000"/>
          <w:sz w:val="20"/>
          <w:szCs w:val="20"/>
          <w:shd w:val="clear" w:color="auto" w:fill="FFFFFF"/>
          <w:lang w:val="en-US"/>
        </w:rPr>
        <w:t>” —</w:t>
      </w:r>
      <w:r w:rsidR="00160741" w:rsidRPr="00EA6C7A">
        <w:rPr>
          <w:rFonts w:ascii="Verdana" w:eastAsia="Calibri" w:hAnsi="Verdana" w:cs="Tahoma"/>
          <w:bCs/>
          <w:color w:val="000000"/>
          <w:sz w:val="20"/>
          <w:szCs w:val="20"/>
          <w:shd w:val="clear" w:color="auto" w:fill="FFFFFF"/>
          <w:lang w:val="en-US"/>
        </w:rPr>
        <w:t xml:space="preserve"> before </w:t>
      </w:r>
      <w:r w:rsidRPr="00EA6C7A">
        <w:rPr>
          <w:rFonts w:ascii="Verdana" w:eastAsia="Calibri" w:hAnsi="Verdana" w:cs="Tahoma"/>
          <w:bCs/>
          <w:color w:val="000000"/>
          <w:sz w:val="20"/>
          <w:szCs w:val="20"/>
          <w:shd w:val="clear" w:color="auto" w:fill="FFFFFF"/>
          <w:lang w:val="en-US"/>
        </w:rPr>
        <w:t>Claudina Velázquez</w:t>
      </w:r>
      <w:r w:rsidR="00160741" w:rsidRPr="00EA6C7A">
        <w:rPr>
          <w:rFonts w:ascii="Verdana" w:eastAsia="Calibri" w:hAnsi="Verdana" w:cs="Tahoma"/>
          <w:bCs/>
          <w:color w:val="000000"/>
          <w:sz w:val="20"/>
          <w:szCs w:val="20"/>
          <w:shd w:val="clear" w:color="auto" w:fill="FFFFFF"/>
          <w:lang w:val="en-US"/>
        </w:rPr>
        <w:t xml:space="preserve">’s body was found </w:t>
      </w:r>
      <w:r w:rsidRPr="00EA6C7A">
        <w:rPr>
          <w:rFonts w:ascii="Verdana" w:eastAsia="Calibri" w:hAnsi="Verdana" w:cs="Tahoma"/>
          <w:bCs/>
          <w:color w:val="000000"/>
          <w:sz w:val="20"/>
          <w:szCs w:val="20"/>
          <w:shd w:val="clear" w:color="auto" w:fill="FFFFFF"/>
          <w:lang w:val="en-US"/>
        </w:rPr>
        <w:t xml:space="preserve">— </w:t>
      </w:r>
      <w:r w:rsidR="00160741" w:rsidRPr="00EA6C7A">
        <w:rPr>
          <w:rFonts w:ascii="Verdana" w:eastAsia="Calibri" w:hAnsi="Verdana" w:cs="Tahoma"/>
          <w:bCs/>
          <w:color w:val="000000"/>
          <w:sz w:val="20"/>
          <w:szCs w:val="20"/>
          <w:shd w:val="clear" w:color="auto" w:fill="FFFFFF"/>
          <w:lang w:val="en-US"/>
        </w:rPr>
        <w:t>as a result of the failure of the authorities to take measures aimed at preventing the danger reported by the victim’s parents</w:t>
      </w:r>
      <w:r w:rsidRPr="00EA6C7A">
        <w:rPr>
          <w:rFonts w:ascii="Verdana" w:eastAsia="Calibri" w:hAnsi="Verdana" w:cs="Tahoma"/>
          <w:bCs/>
          <w:color w:val="000000"/>
          <w:sz w:val="20"/>
          <w:szCs w:val="20"/>
          <w:shd w:val="clear" w:color="auto" w:fill="FFFFFF"/>
          <w:lang w:val="en-US"/>
        </w:rPr>
        <w:t>.</w:t>
      </w:r>
    </w:p>
    <w:p w14:paraId="006F73BD"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4EB7CE8F"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45. </w:t>
      </w:r>
      <w:r w:rsidRPr="00EA6C7A">
        <w:rPr>
          <w:rFonts w:ascii="Verdana" w:eastAsia="Calibri" w:hAnsi="Verdana" w:cs="Tahoma"/>
          <w:bCs/>
          <w:color w:val="000000"/>
          <w:sz w:val="20"/>
          <w:szCs w:val="20"/>
          <w:shd w:val="clear" w:color="auto" w:fill="FFFFFF"/>
          <w:lang w:val="en-US"/>
        </w:rPr>
        <w:tab/>
      </w:r>
      <w:r w:rsidR="00160741" w:rsidRPr="00EA6C7A">
        <w:rPr>
          <w:rFonts w:ascii="Verdana" w:eastAsia="Calibri" w:hAnsi="Verdana" w:cs="Tahoma"/>
          <w:bCs/>
          <w:color w:val="000000"/>
          <w:sz w:val="20"/>
          <w:szCs w:val="20"/>
          <w:shd w:val="clear" w:color="auto" w:fill="FFFFFF"/>
          <w:lang w:val="en-US"/>
        </w:rPr>
        <w:t xml:space="preserve">I consider that this has </w:t>
      </w:r>
      <w:r w:rsidR="00876BEA" w:rsidRPr="00EA6C7A">
        <w:rPr>
          <w:rFonts w:ascii="Verdana" w:eastAsia="Calibri" w:hAnsi="Verdana" w:cs="Tahoma"/>
          <w:bCs/>
          <w:color w:val="000000"/>
          <w:sz w:val="20"/>
          <w:szCs w:val="20"/>
          <w:shd w:val="clear" w:color="auto" w:fill="FFFFFF"/>
          <w:lang w:val="en-US"/>
        </w:rPr>
        <w:t xml:space="preserve">a </w:t>
      </w:r>
      <w:r w:rsidR="00160741" w:rsidRPr="00EA6C7A">
        <w:rPr>
          <w:rFonts w:ascii="Verdana" w:eastAsia="Calibri" w:hAnsi="Verdana" w:cs="Tahoma"/>
          <w:bCs/>
          <w:color w:val="000000"/>
          <w:sz w:val="20"/>
          <w:szCs w:val="20"/>
          <w:shd w:val="clear" w:color="auto" w:fill="FFFFFF"/>
          <w:lang w:val="en-US"/>
        </w:rPr>
        <w:t xml:space="preserve">negative </w:t>
      </w:r>
      <w:r w:rsidR="00876BEA" w:rsidRPr="00EA6C7A">
        <w:rPr>
          <w:rFonts w:ascii="Verdana" w:eastAsia="Calibri" w:hAnsi="Verdana" w:cs="Tahoma"/>
          <w:bCs/>
          <w:color w:val="000000"/>
          <w:sz w:val="20"/>
          <w:szCs w:val="20"/>
          <w:shd w:val="clear" w:color="auto" w:fill="FFFFFF"/>
          <w:lang w:val="en-US"/>
        </w:rPr>
        <w:t>impact</w:t>
      </w:r>
      <w:r w:rsidR="00160741" w:rsidRPr="00EA6C7A">
        <w:rPr>
          <w:rFonts w:ascii="Verdana" w:eastAsia="Calibri" w:hAnsi="Verdana" w:cs="Tahoma"/>
          <w:bCs/>
          <w:color w:val="000000"/>
          <w:sz w:val="20"/>
          <w:szCs w:val="20"/>
          <w:shd w:val="clear" w:color="auto" w:fill="FFFFFF"/>
          <w:lang w:val="en-US"/>
        </w:rPr>
        <w:t xml:space="preserve"> on the analysis </w:t>
      </w:r>
      <w:r w:rsidR="00A534EF" w:rsidRPr="00EA6C7A">
        <w:rPr>
          <w:rFonts w:ascii="Verdana" w:eastAsia="Calibri" w:hAnsi="Verdana" w:cs="Tahoma"/>
          <w:bCs/>
          <w:color w:val="000000"/>
          <w:sz w:val="20"/>
          <w:szCs w:val="20"/>
          <w:shd w:val="clear" w:color="auto" w:fill="FFFFFF"/>
          <w:lang w:val="en-US"/>
        </w:rPr>
        <w:t>of the obligation</w:t>
      </w:r>
      <w:r w:rsidR="00D5307F" w:rsidRPr="00EA6C7A">
        <w:rPr>
          <w:rFonts w:ascii="Verdana" w:eastAsia="Calibri" w:hAnsi="Verdana" w:cs="Tahoma"/>
          <w:bCs/>
          <w:color w:val="000000"/>
          <w:sz w:val="20"/>
          <w:szCs w:val="20"/>
          <w:shd w:val="clear" w:color="auto" w:fill="FFFFFF"/>
          <w:lang w:val="en-US"/>
        </w:rPr>
        <w:t xml:space="preserve"> of prevention</w:t>
      </w:r>
      <w:r w:rsidRPr="00EA6C7A">
        <w:rPr>
          <w:rFonts w:ascii="Verdana" w:eastAsia="Calibri" w:hAnsi="Verdana" w:cs="Tahoma"/>
          <w:bCs/>
          <w:color w:val="000000"/>
          <w:sz w:val="20"/>
          <w:szCs w:val="20"/>
          <w:shd w:val="clear" w:color="auto" w:fill="FFFFFF"/>
          <w:lang w:val="en-US"/>
        </w:rPr>
        <w:t xml:space="preserve"> </w:t>
      </w:r>
      <w:r w:rsidR="00160741" w:rsidRPr="00EA6C7A">
        <w:rPr>
          <w:rFonts w:ascii="Verdana" w:eastAsia="Calibri" w:hAnsi="Verdana" w:cs="Tahoma"/>
          <w:bCs/>
          <w:i/>
          <w:color w:val="000000"/>
          <w:sz w:val="20"/>
          <w:szCs w:val="20"/>
          <w:shd w:val="clear" w:color="auto" w:fill="FFFFFF"/>
          <w:lang w:val="en-US"/>
        </w:rPr>
        <w:t>as a whole</w:t>
      </w:r>
      <w:r w:rsidR="00D948A1" w:rsidRPr="00EA6C7A">
        <w:rPr>
          <w:rFonts w:ascii="Verdana" w:eastAsia="Calibri" w:hAnsi="Verdana" w:cs="Tahoma"/>
          <w:bCs/>
          <w:color w:val="000000"/>
          <w:sz w:val="20"/>
          <w:szCs w:val="20"/>
          <w:shd w:val="clear" w:color="auto" w:fill="FFFFFF"/>
          <w:lang w:val="en-US"/>
        </w:rPr>
        <w:t xml:space="preserve"> and</w:t>
      </w:r>
      <w:r w:rsidR="00160741" w:rsidRPr="00EA6C7A">
        <w:rPr>
          <w:rFonts w:ascii="Verdana" w:eastAsia="Calibri" w:hAnsi="Verdana" w:cs="Tahoma"/>
          <w:bCs/>
          <w:color w:val="000000"/>
          <w:sz w:val="20"/>
          <w:szCs w:val="20"/>
          <w:shd w:val="clear" w:color="auto" w:fill="FFFFFF"/>
          <w:lang w:val="en-US"/>
        </w:rPr>
        <w:t>, subsequently, on the determination of international responsibility, because the failure</w:t>
      </w:r>
      <w:r w:rsidR="001F328E" w:rsidRPr="00EA6C7A">
        <w:rPr>
          <w:rFonts w:ascii="Verdana" w:eastAsia="Calibri" w:hAnsi="Verdana" w:cs="Tahoma"/>
          <w:bCs/>
          <w:color w:val="000000"/>
          <w:sz w:val="20"/>
          <w:szCs w:val="20"/>
          <w:shd w:val="clear" w:color="auto" w:fill="FFFFFF"/>
          <w:lang w:val="en-US"/>
        </w:rPr>
        <w:t xml:space="preserve"> of the authorities</w:t>
      </w:r>
      <w:r w:rsidR="00160741" w:rsidRPr="00EA6C7A">
        <w:rPr>
          <w:rFonts w:ascii="Verdana" w:eastAsia="Calibri" w:hAnsi="Verdana" w:cs="Tahoma"/>
          <w:bCs/>
          <w:color w:val="000000"/>
          <w:sz w:val="20"/>
          <w:szCs w:val="20"/>
          <w:shd w:val="clear" w:color="auto" w:fill="FFFFFF"/>
          <w:lang w:val="en-US"/>
        </w:rPr>
        <w:t xml:space="preserve"> to adopt measures and</w:t>
      </w:r>
      <w:r w:rsidR="001F328E" w:rsidRPr="00EA6C7A">
        <w:rPr>
          <w:rFonts w:ascii="Verdana" w:eastAsia="Calibri" w:hAnsi="Verdana" w:cs="Tahoma"/>
          <w:bCs/>
          <w:color w:val="000000"/>
          <w:sz w:val="20"/>
          <w:szCs w:val="20"/>
          <w:shd w:val="clear" w:color="auto" w:fill="FFFFFF"/>
          <w:lang w:val="en-US"/>
        </w:rPr>
        <w:t xml:space="preserve"> </w:t>
      </w:r>
      <w:r w:rsidR="00876BEA" w:rsidRPr="00EA6C7A">
        <w:rPr>
          <w:rFonts w:ascii="Verdana" w:eastAsia="Calibri" w:hAnsi="Verdana" w:cs="Tahoma"/>
          <w:bCs/>
          <w:color w:val="000000"/>
          <w:sz w:val="20"/>
          <w:szCs w:val="20"/>
          <w:shd w:val="clear" w:color="auto" w:fill="FFFFFF"/>
          <w:lang w:val="en-US"/>
        </w:rPr>
        <w:t xml:space="preserve">take </w:t>
      </w:r>
      <w:r w:rsidR="001F328E" w:rsidRPr="00EA6C7A">
        <w:rPr>
          <w:rFonts w:ascii="Verdana" w:eastAsia="Calibri" w:hAnsi="Verdana" w:cs="Tahoma"/>
          <w:bCs/>
          <w:color w:val="000000"/>
          <w:sz w:val="20"/>
          <w:szCs w:val="20"/>
          <w:shd w:val="clear" w:color="auto" w:fill="FFFFFF"/>
          <w:lang w:val="en-US"/>
        </w:rPr>
        <w:t xml:space="preserve">diligent actions – during the “second moment” of the State’s obligation of prevention that, in this specific case, had the purpose of preventing the danger and avoiding the injuries suffered by </w:t>
      </w:r>
      <w:r w:rsidRPr="00EA6C7A">
        <w:rPr>
          <w:rFonts w:ascii="Verdana" w:eastAsia="Calibri" w:hAnsi="Verdana" w:cs="Tahoma"/>
          <w:bCs/>
          <w:color w:val="000000"/>
          <w:sz w:val="20"/>
          <w:szCs w:val="20"/>
          <w:shd w:val="clear" w:color="auto" w:fill="FFFFFF"/>
          <w:lang w:val="en-US"/>
        </w:rPr>
        <w:t>Claudina Velásquez</w:t>
      </w:r>
      <w:r w:rsidR="001F328E"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w:t>
      </w:r>
      <w:r w:rsidR="001F328E" w:rsidRPr="00EA6C7A">
        <w:rPr>
          <w:rFonts w:ascii="Verdana" w:eastAsia="Calibri" w:hAnsi="Verdana" w:cs="Tahoma"/>
          <w:bCs/>
          <w:color w:val="000000"/>
          <w:sz w:val="20"/>
          <w:szCs w:val="20"/>
          <w:shd w:val="clear" w:color="auto" w:fill="FFFFFF"/>
          <w:lang w:val="en-US"/>
        </w:rPr>
        <w:t xml:space="preserve"> was a result of the lack of clarity in the laws that should have defined the actions to be taken following the report that the victim was missing</w:t>
      </w:r>
      <w:r w:rsidR="00876BEA" w:rsidRPr="00EA6C7A">
        <w:rPr>
          <w:rFonts w:ascii="Verdana" w:eastAsia="Calibri" w:hAnsi="Verdana" w:cs="Tahoma"/>
          <w:bCs/>
          <w:color w:val="000000"/>
          <w:sz w:val="20"/>
          <w:szCs w:val="20"/>
          <w:shd w:val="clear" w:color="auto" w:fill="FFFFFF"/>
          <w:lang w:val="en-US"/>
        </w:rPr>
        <w:t>. And this resulted from</w:t>
      </w:r>
      <w:r w:rsidR="001F328E" w:rsidRPr="00EA6C7A">
        <w:rPr>
          <w:rFonts w:ascii="Verdana" w:eastAsia="Calibri" w:hAnsi="Verdana" w:cs="Tahoma"/>
          <w:bCs/>
          <w:color w:val="000000"/>
          <w:sz w:val="20"/>
          <w:szCs w:val="20"/>
          <w:shd w:val="clear" w:color="auto" w:fill="FFFFFF"/>
          <w:lang w:val="en-US"/>
        </w:rPr>
        <w:t xml:space="preserve"> the adoption of “insufficient measures to resolve the problem”</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o</w:t>
      </w:r>
      <w:r w:rsidR="001F328E" w:rsidRPr="00EA6C7A">
        <w:rPr>
          <w:rFonts w:ascii="Verdana" w:eastAsia="Calibri" w:hAnsi="Verdana" w:cs="Tahoma"/>
          <w:bCs/>
          <w:color w:val="000000"/>
          <w:sz w:val="20"/>
          <w:szCs w:val="20"/>
          <w:shd w:val="clear" w:color="auto" w:fill="FFFFFF"/>
          <w:lang w:val="en-US"/>
        </w:rPr>
        <w:t>f</w:t>
      </w:r>
      <w:r w:rsidR="00D5307F" w:rsidRPr="00EA6C7A">
        <w:rPr>
          <w:rFonts w:ascii="Verdana" w:eastAsia="Calibri" w:hAnsi="Verdana" w:cs="Tahoma"/>
          <w:bCs/>
          <w:color w:val="000000"/>
          <w:sz w:val="20"/>
          <w:szCs w:val="20"/>
          <w:shd w:val="clear" w:color="auto" w:fill="FFFFFF"/>
          <w:lang w:val="en-US"/>
        </w:rPr>
        <w:t xml:space="preserve"> </w:t>
      </w:r>
      <w:r w:rsidR="00C12C08" w:rsidRPr="00EA6C7A">
        <w:rPr>
          <w:rFonts w:ascii="Verdana" w:eastAsia="Calibri" w:hAnsi="Verdana" w:cs="Tahoma"/>
          <w:bCs/>
          <w:color w:val="000000"/>
          <w:sz w:val="20"/>
          <w:szCs w:val="20"/>
          <w:shd w:val="clear" w:color="auto" w:fill="FFFFFF"/>
          <w:lang w:val="en-US"/>
        </w:rPr>
        <w:t>violence against women</w:t>
      </w:r>
      <w:r w:rsidR="00FC7D3B" w:rsidRPr="00EA6C7A">
        <w:rPr>
          <w:rFonts w:ascii="Verdana" w:eastAsia="Calibri" w:hAnsi="Verdana" w:cs="Tahoma"/>
          <w:bCs/>
          <w:color w:val="000000"/>
          <w:sz w:val="20"/>
          <w:szCs w:val="20"/>
          <w:shd w:val="clear" w:color="auto" w:fill="FFFFFF"/>
          <w:lang w:val="en-US"/>
        </w:rPr>
        <w:t xml:space="preserve"> in Guatemala</w:t>
      </w:r>
      <w:r w:rsidR="001F328E"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84"/>
      </w:r>
      <w:r w:rsidRPr="00EA6C7A">
        <w:rPr>
          <w:rFonts w:ascii="Verdana" w:eastAsia="Calibri" w:hAnsi="Verdana" w:cs="Tahoma"/>
          <w:bCs/>
          <w:color w:val="000000"/>
          <w:sz w:val="20"/>
          <w:szCs w:val="20"/>
          <w:shd w:val="clear" w:color="auto" w:fill="FFFFFF"/>
          <w:lang w:val="en-US"/>
        </w:rPr>
        <w:t xml:space="preserve"> </w:t>
      </w:r>
      <w:r w:rsidR="001F328E" w:rsidRPr="00EA6C7A">
        <w:rPr>
          <w:rFonts w:ascii="Verdana" w:eastAsia="Calibri" w:hAnsi="Verdana" w:cs="Tahoma"/>
          <w:bCs/>
          <w:i/>
          <w:color w:val="000000"/>
          <w:sz w:val="20"/>
          <w:szCs w:val="20"/>
          <w:u w:val="single"/>
          <w:shd w:val="clear" w:color="auto" w:fill="FFFFFF"/>
          <w:lang w:val="en-US"/>
        </w:rPr>
        <w:t>non-</w:t>
      </w:r>
      <w:r w:rsidR="00671A06" w:rsidRPr="00EA6C7A">
        <w:rPr>
          <w:rFonts w:ascii="Verdana" w:eastAsia="Calibri" w:hAnsi="Verdana" w:cs="Tahoma"/>
          <w:bCs/>
          <w:i/>
          <w:color w:val="000000"/>
          <w:sz w:val="20"/>
          <w:szCs w:val="20"/>
          <w:u w:val="single"/>
          <w:shd w:val="clear" w:color="auto" w:fill="FFFFFF"/>
          <w:lang w:val="en-US"/>
        </w:rPr>
        <w:t>compliance</w:t>
      </w:r>
      <w:r w:rsidR="001F328E" w:rsidRPr="00EA6C7A">
        <w:rPr>
          <w:rFonts w:ascii="Verdana" w:eastAsia="Calibri" w:hAnsi="Verdana" w:cs="Tahoma"/>
          <w:bCs/>
          <w:i/>
          <w:color w:val="000000"/>
          <w:sz w:val="20"/>
          <w:szCs w:val="20"/>
          <w:u w:val="single"/>
          <w:shd w:val="clear" w:color="auto" w:fill="FFFFFF"/>
          <w:lang w:val="en-US"/>
        </w:rPr>
        <w:t xml:space="preserve"> that plainly </w:t>
      </w:r>
      <w:r w:rsidR="00876BEA" w:rsidRPr="00EA6C7A">
        <w:rPr>
          <w:rFonts w:ascii="Verdana" w:eastAsia="Calibri" w:hAnsi="Verdana" w:cs="Tahoma"/>
          <w:bCs/>
          <w:i/>
          <w:color w:val="000000"/>
          <w:sz w:val="20"/>
          <w:szCs w:val="20"/>
          <w:u w:val="single"/>
          <w:shd w:val="clear" w:color="auto" w:fill="FFFFFF"/>
          <w:lang w:val="en-US"/>
        </w:rPr>
        <w:t xml:space="preserve">formed </w:t>
      </w:r>
      <w:r w:rsidR="001F328E" w:rsidRPr="00EA6C7A">
        <w:rPr>
          <w:rFonts w:ascii="Verdana" w:eastAsia="Calibri" w:hAnsi="Verdana" w:cs="Tahoma"/>
          <w:bCs/>
          <w:i/>
          <w:color w:val="000000"/>
          <w:sz w:val="20"/>
          <w:szCs w:val="20"/>
          <w:u w:val="single"/>
          <w:shd w:val="clear" w:color="auto" w:fill="FFFFFF"/>
          <w:lang w:val="en-US"/>
        </w:rPr>
        <w:t xml:space="preserve">part of the State’s general </w:t>
      </w:r>
      <w:r w:rsidR="00D5307F" w:rsidRPr="00EA6C7A">
        <w:rPr>
          <w:rFonts w:ascii="Verdana" w:eastAsia="Calibri" w:hAnsi="Verdana" w:cs="Tahoma"/>
          <w:bCs/>
          <w:i/>
          <w:color w:val="000000"/>
          <w:sz w:val="20"/>
          <w:szCs w:val="20"/>
          <w:u w:val="single"/>
          <w:shd w:val="clear" w:color="auto" w:fill="FFFFFF"/>
          <w:lang w:val="en-US"/>
        </w:rPr>
        <w:t>obligation of prevention</w:t>
      </w:r>
      <w:r w:rsidRPr="00EA6C7A">
        <w:rPr>
          <w:rFonts w:ascii="Verdana" w:eastAsia="Calibri" w:hAnsi="Verdana" w:cs="Tahoma"/>
          <w:bCs/>
          <w:i/>
          <w:color w:val="000000"/>
          <w:sz w:val="20"/>
          <w:szCs w:val="20"/>
          <w:u w:val="single"/>
          <w:shd w:val="clear" w:color="auto" w:fill="FFFFFF"/>
          <w:lang w:val="en-US"/>
        </w:rPr>
        <w:t xml:space="preserve"> </w:t>
      </w:r>
      <w:r w:rsidR="001F328E" w:rsidRPr="00EA6C7A">
        <w:rPr>
          <w:rFonts w:ascii="Verdana" w:eastAsia="Calibri" w:hAnsi="Verdana" w:cs="Tahoma"/>
          <w:bCs/>
          <w:i/>
          <w:color w:val="000000"/>
          <w:sz w:val="20"/>
          <w:szCs w:val="20"/>
          <w:u w:val="single"/>
          <w:shd w:val="clear" w:color="auto" w:fill="FFFFFF"/>
          <w:lang w:val="en-US"/>
        </w:rPr>
        <w:t xml:space="preserve">with regard to the </w:t>
      </w:r>
      <w:r w:rsidRPr="00EA6C7A">
        <w:rPr>
          <w:rFonts w:ascii="Verdana" w:eastAsia="Calibri" w:hAnsi="Verdana" w:cs="Tahoma"/>
          <w:bCs/>
          <w:i/>
          <w:color w:val="000000"/>
          <w:sz w:val="20"/>
          <w:szCs w:val="20"/>
          <w:u w:val="single"/>
          <w:shd w:val="clear" w:color="auto" w:fill="FFFFFF"/>
          <w:lang w:val="en-US"/>
        </w:rPr>
        <w:t>“</w:t>
      </w:r>
      <w:r w:rsidR="00274B18" w:rsidRPr="00EA6C7A">
        <w:rPr>
          <w:rFonts w:ascii="Verdana" w:eastAsia="Calibri" w:hAnsi="Verdana" w:cs="Tahoma"/>
          <w:bCs/>
          <w:i/>
          <w:color w:val="000000"/>
          <w:sz w:val="20"/>
          <w:szCs w:val="20"/>
          <w:u w:val="single"/>
          <w:shd w:val="clear" w:color="auto" w:fill="FFFFFF"/>
          <w:lang w:val="en-US"/>
        </w:rPr>
        <w:t>first moment</w:t>
      </w:r>
      <w:r w:rsidRPr="00EA6C7A">
        <w:rPr>
          <w:rFonts w:ascii="Verdana" w:eastAsia="Calibri" w:hAnsi="Verdana" w:cs="Tahoma"/>
          <w:bCs/>
          <w:i/>
          <w:color w:val="000000"/>
          <w:sz w:val="20"/>
          <w:szCs w:val="20"/>
          <w:u w:val="single"/>
          <w:shd w:val="clear" w:color="auto" w:fill="FFFFFF"/>
          <w:lang w:val="en-US"/>
        </w:rPr>
        <w:t>”</w:t>
      </w:r>
      <w:r w:rsidR="001F328E" w:rsidRPr="00EA6C7A">
        <w:rPr>
          <w:rFonts w:ascii="Verdana" w:eastAsia="Calibri" w:hAnsi="Verdana" w:cs="Tahoma"/>
          <w:bCs/>
          <w:i/>
          <w:color w:val="000000"/>
          <w:sz w:val="20"/>
          <w:szCs w:val="20"/>
          <w:u w:val="single"/>
          <w:shd w:val="clear" w:color="auto" w:fill="FFFFFF"/>
          <w:lang w:val="en-US"/>
        </w:rPr>
        <w:t xml:space="preserve"> – that is, related to the general obligation to </w:t>
      </w:r>
      <w:r w:rsidR="00671A06" w:rsidRPr="00EA6C7A">
        <w:rPr>
          <w:rFonts w:ascii="Verdana" w:eastAsia="Calibri" w:hAnsi="Verdana" w:cs="Tahoma"/>
          <w:bCs/>
          <w:i/>
          <w:color w:val="000000"/>
          <w:sz w:val="20"/>
          <w:szCs w:val="20"/>
          <w:u w:val="single"/>
          <w:shd w:val="clear" w:color="auto" w:fill="FFFFFF"/>
          <w:lang w:val="en-US"/>
        </w:rPr>
        <w:t>prevent</w:t>
      </w:r>
      <w:r w:rsidR="001F328E" w:rsidRPr="00EA6C7A">
        <w:rPr>
          <w:rFonts w:ascii="Verdana" w:eastAsia="Calibri" w:hAnsi="Verdana" w:cs="Tahoma"/>
          <w:bCs/>
          <w:i/>
          <w:color w:val="000000"/>
          <w:sz w:val="20"/>
          <w:szCs w:val="20"/>
          <w:u w:val="single"/>
          <w:shd w:val="clear" w:color="auto" w:fill="FFFFFF"/>
          <w:lang w:val="en-US"/>
        </w:rPr>
        <w:t xml:space="preserve"> the disappearances and murder of women</w:t>
      </w:r>
      <w:r w:rsidRPr="00EA6C7A">
        <w:rPr>
          <w:rFonts w:ascii="Verdana" w:eastAsia="Calibri" w:hAnsi="Verdana" w:cs="Tahoma"/>
          <w:bCs/>
          <w:color w:val="000000"/>
          <w:sz w:val="20"/>
          <w:szCs w:val="20"/>
          <w:shd w:val="clear" w:color="auto" w:fill="FFFFFF"/>
          <w:lang w:val="en-US"/>
        </w:rPr>
        <w:t>.</w:t>
      </w:r>
    </w:p>
    <w:p w14:paraId="7C7C26ED"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41EE5BBE"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46. </w:t>
      </w:r>
      <w:r w:rsidRPr="00EA6C7A">
        <w:rPr>
          <w:rFonts w:ascii="Verdana" w:eastAsia="Calibri" w:hAnsi="Verdana" w:cs="Tahoma"/>
          <w:bCs/>
          <w:color w:val="000000"/>
          <w:sz w:val="20"/>
          <w:szCs w:val="20"/>
          <w:shd w:val="clear" w:color="auto" w:fill="FFFFFF"/>
          <w:lang w:val="en-US"/>
        </w:rPr>
        <w:tab/>
      </w:r>
      <w:r w:rsidR="001F328E" w:rsidRPr="00EA6C7A">
        <w:rPr>
          <w:rFonts w:ascii="Verdana" w:eastAsia="Calibri" w:hAnsi="Verdana" w:cs="Tahoma"/>
          <w:bCs/>
          <w:color w:val="000000"/>
          <w:sz w:val="20"/>
          <w:szCs w:val="20"/>
          <w:shd w:val="clear" w:color="auto" w:fill="FFFFFF"/>
          <w:lang w:val="en-US"/>
        </w:rPr>
        <w:t xml:space="preserve">In this regard, I consider that this </w:t>
      </w:r>
      <w:r w:rsidR="00671A06" w:rsidRPr="00EA6C7A">
        <w:rPr>
          <w:rFonts w:ascii="Verdana" w:eastAsia="Calibri" w:hAnsi="Verdana" w:cs="Tahoma"/>
          <w:bCs/>
          <w:color w:val="000000"/>
          <w:sz w:val="20"/>
          <w:szCs w:val="20"/>
          <w:shd w:val="clear" w:color="auto" w:fill="FFFFFF"/>
          <w:lang w:val="en-US"/>
        </w:rPr>
        <w:t>constitution</w:t>
      </w:r>
      <w:r w:rsidR="001F328E" w:rsidRPr="00EA6C7A">
        <w:rPr>
          <w:rFonts w:ascii="Verdana" w:eastAsia="Calibri" w:hAnsi="Verdana" w:cs="Tahoma"/>
          <w:bCs/>
          <w:color w:val="000000"/>
          <w:sz w:val="20"/>
          <w:szCs w:val="20"/>
          <w:shd w:val="clear" w:color="auto" w:fill="FFFFFF"/>
          <w:lang w:val="en-US"/>
        </w:rPr>
        <w:t xml:space="preserve"> of responsibility is a result of a </w:t>
      </w:r>
      <w:r w:rsidR="00671A06" w:rsidRPr="00EA6C7A">
        <w:rPr>
          <w:rFonts w:ascii="Verdana" w:eastAsia="Calibri" w:hAnsi="Verdana" w:cs="Tahoma"/>
          <w:bCs/>
          <w:color w:val="000000"/>
          <w:sz w:val="20"/>
          <w:szCs w:val="20"/>
          <w:shd w:val="clear" w:color="auto" w:fill="FFFFFF"/>
          <w:lang w:val="en-US"/>
        </w:rPr>
        <w:t>State</w:t>
      </w:r>
      <w:r w:rsidR="001F328E" w:rsidRPr="00EA6C7A">
        <w:rPr>
          <w:rFonts w:ascii="Verdana" w:eastAsia="Calibri" w:hAnsi="Verdana" w:cs="Tahoma"/>
          <w:bCs/>
          <w:color w:val="000000"/>
          <w:sz w:val="20"/>
          <w:szCs w:val="20"/>
          <w:shd w:val="clear" w:color="auto" w:fill="FFFFFF"/>
          <w:lang w:val="en-US"/>
        </w:rPr>
        <w:t xml:space="preserve"> responsibility that appears </w:t>
      </w:r>
      <w:r w:rsidR="00876BEA" w:rsidRPr="00EA6C7A">
        <w:rPr>
          <w:rFonts w:ascii="Verdana" w:eastAsia="Calibri" w:hAnsi="Verdana" w:cs="Tahoma"/>
          <w:bCs/>
          <w:color w:val="000000"/>
          <w:sz w:val="20"/>
          <w:szCs w:val="20"/>
          <w:shd w:val="clear" w:color="auto" w:fill="FFFFFF"/>
          <w:lang w:val="en-US"/>
        </w:rPr>
        <w:t>during</w:t>
      </w:r>
      <w:r w:rsidR="001F328E" w:rsidRPr="00EA6C7A">
        <w:rPr>
          <w:rFonts w:ascii="Verdana" w:eastAsia="Calibri" w:hAnsi="Verdana" w:cs="Tahoma"/>
          <w:bCs/>
          <w:color w:val="000000"/>
          <w:sz w:val="20"/>
          <w:szCs w:val="20"/>
          <w:shd w:val="clear" w:color="auto" w:fill="FFFFFF"/>
          <w:lang w:val="en-US"/>
        </w:rPr>
        <w:t xml:space="preserve"> the</w:t>
      </w:r>
      <w:r w:rsidRPr="00EA6C7A">
        <w:rPr>
          <w:rFonts w:ascii="Verdana" w:eastAsia="Calibri" w:hAnsi="Verdana" w:cs="Tahoma"/>
          <w:bCs/>
          <w:color w:val="000000"/>
          <w:sz w:val="20"/>
          <w:szCs w:val="20"/>
          <w:shd w:val="clear" w:color="auto" w:fill="FFFFFF"/>
          <w:lang w:val="en-US"/>
        </w:rPr>
        <w:t xml:space="preserve"> “</w:t>
      </w:r>
      <w:r w:rsidR="00274B18" w:rsidRPr="00EA6C7A">
        <w:rPr>
          <w:rFonts w:ascii="Verdana" w:eastAsia="Calibri" w:hAnsi="Verdana" w:cs="Tahoma"/>
          <w:bCs/>
          <w:color w:val="000000"/>
          <w:sz w:val="20"/>
          <w:szCs w:val="20"/>
          <w:shd w:val="clear" w:color="auto" w:fill="FFFFFF"/>
          <w:lang w:val="en-US"/>
        </w:rPr>
        <w:t>first moment</w:t>
      </w:r>
      <w:r w:rsidRPr="00EA6C7A">
        <w:rPr>
          <w:rFonts w:ascii="Verdana" w:eastAsia="Calibri" w:hAnsi="Verdana" w:cs="Tahoma"/>
          <w:bCs/>
          <w:color w:val="000000"/>
          <w:sz w:val="20"/>
          <w:szCs w:val="20"/>
          <w:shd w:val="clear" w:color="auto" w:fill="FFFFFF"/>
          <w:lang w:val="en-US"/>
        </w:rPr>
        <w:t>”</w:t>
      </w:r>
      <w:r w:rsidR="00A534EF" w:rsidRPr="00EA6C7A">
        <w:rPr>
          <w:rFonts w:ascii="Verdana" w:eastAsia="Calibri" w:hAnsi="Verdana" w:cs="Tahoma"/>
          <w:bCs/>
          <w:color w:val="000000"/>
          <w:sz w:val="20"/>
          <w:szCs w:val="20"/>
          <w:shd w:val="clear" w:color="auto" w:fill="FFFFFF"/>
          <w:lang w:val="en-US"/>
        </w:rPr>
        <w:t xml:space="preserve"> of the obligation</w:t>
      </w:r>
      <w:r w:rsidR="00D5307F" w:rsidRPr="00EA6C7A">
        <w:rPr>
          <w:rFonts w:ascii="Verdana" w:eastAsia="Calibri" w:hAnsi="Verdana" w:cs="Tahoma"/>
          <w:bCs/>
          <w:color w:val="000000"/>
          <w:sz w:val="20"/>
          <w:szCs w:val="20"/>
          <w:shd w:val="clear" w:color="auto" w:fill="FFFFFF"/>
          <w:lang w:val="en-US"/>
        </w:rPr>
        <w:t xml:space="preserve"> of prevention</w:t>
      </w:r>
      <w:r w:rsidRPr="00EA6C7A">
        <w:rPr>
          <w:rFonts w:ascii="Verdana" w:eastAsia="Calibri" w:hAnsi="Verdana" w:cs="Tahoma"/>
          <w:bCs/>
          <w:color w:val="000000"/>
          <w:sz w:val="20"/>
          <w:szCs w:val="20"/>
          <w:shd w:val="clear" w:color="auto" w:fill="FFFFFF"/>
          <w:lang w:val="en-US"/>
        </w:rPr>
        <w:t xml:space="preserve"> </w:t>
      </w:r>
      <w:r w:rsidR="001F328E" w:rsidRPr="00EA6C7A">
        <w:rPr>
          <w:rFonts w:ascii="Verdana" w:eastAsia="Calibri" w:hAnsi="Verdana" w:cs="Tahoma"/>
          <w:bCs/>
          <w:color w:val="000000"/>
          <w:sz w:val="20"/>
          <w:szCs w:val="20"/>
          <w:shd w:val="clear" w:color="auto" w:fill="FFFFFF"/>
          <w:lang w:val="en-US"/>
        </w:rPr>
        <w:t>because, in the context of an escalation of homicidal</w:t>
      </w:r>
      <w:r w:rsidR="00812408" w:rsidRPr="00EA6C7A">
        <w:rPr>
          <w:rFonts w:ascii="Verdana" w:eastAsia="Calibri" w:hAnsi="Verdana" w:cs="Tahoma"/>
          <w:bCs/>
          <w:color w:val="000000"/>
          <w:sz w:val="20"/>
          <w:szCs w:val="20"/>
          <w:shd w:val="clear" w:color="auto" w:fill="FFFFFF"/>
          <w:lang w:val="en-US"/>
        </w:rPr>
        <w:t xml:space="preserve"> violence</w:t>
      </w:r>
      <w:r w:rsidRPr="00EA6C7A">
        <w:rPr>
          <w:rFonts w:ascii="Verdana" w:eastAsia="Calibri" w:hAnsi="Verdana" w:cs="Tahoma"/>
          <w:bCs/>
          <w:color w:val="000000"/>
          <w:sz w:val="20"/>
          <w:szCs w:val="20"/>
          <w:shd w:val="clear" w:color="auto" w:fill="FFFFFF"/>
          <w:lang w:val="en-US"/>
        </w:rPr>
        <w:t xml:space="preserve"> </w:t>
      </w:r>
      <w:r w:rsidR="001F328E" w:rsidRPr="00EA6C7A">
        <w:rPr>
          <w:rFonts w:ascii="Verdana" w:eastAsia="Calibri" w:hAnsi="Verdana" w:cs="Tahoma"/>
          <w:bCs/>
          <w:color w:val="000000"/>
          <w:sz w:val="20"/>
          <w:szCs w:val="20"/>
          <w:shd w:val="clear" w:color="auto" w:fill="FFFFFF"/>
          <w:lang w:val="en-US"/>
        </w:rPr>
        <w:t>against women</w:t>
      </w:r>
      <w:r w:rsidR="00FC7D3B" w:rsidRPr="00EA6C7A">
        <w:rPr>
          <w:rFonts w:ascii="Verdana" w:eastAsia="Calibri" w:hAnsi="Verdana" w:cs="Tahoma"/>
          <w:bCs/>
          <w:color w:val="000000"/>
          <w:sz w:val="20"/>
          <w:szCs w:val="20"/>
          <w:shd w:val="clear" w:color="auto" w:fill="FFFFFF"/>
          <w:lang w:val="en-US"/>
        </w:rPr>
        <w:t xml:space="preserve"> in Guatemala</w:t>
      </w:r>
      <w:r w:rsidRPr="00EA6C7A">
        <w:rPr>
          <w:rFonts w:ascii="Verdana" w:eastAsia="Calibri" w:hAnsi="Verdana" w:cs="Tahoma"/>
          <w:bCs/>
          <w:color w:val="000000"/>
          <w:sz w:val="20"/>
          <w:szCs w:val="20"/>
          <w:shd w:val="clear" w:color="auto" w:fill="FFFFFF"/>
          <w:lang w:val="en-US"/>
        </w:rPr>
        <w:t xml:space="preserve"> </w:t>
      </w:r>
      <w:r w:rsidR="00876BEA" w:rsidRPr="00EA6C7A">
        <w:rPr>
          <w:rFonts w:ascii="Verdana" w:eastAsia="Calibri" w:hAnsi="Verdana" w:cs="Tahoma"/>
          <w:bCs/>
          <w:color w:val="000000"/>
          <w:sz w:val="20"/>
          <w:szCs w:val="20"/>
          <w:shd w:val="clear" w:color="auto" w:fill="FFFFFF"/>
          <w:lang w:val="en-US"/>
        </w:rPr>
        <w:t>of which</w:t>
      </w:r>
      <w:r w:rsidR="001F328E" w:rsidRPr="00EA6C7A">
        <w:rPr>
          <w:rFonts w:ascii="Verdana" w:eastAsia="Calibri" w:hAnsi="Verdana" w:cs="Tahoma"/>
          <w:bCs/>
          <w:color w:val="000000"/>
          <w:sz w:val="20"/>
          <w:szCs w:val="20"/>
          <w:shd w:val="clear" w:color="auto" w:fill="FFFFFF"/>
          <w:lang w:val="en-US"/>
        </w:rPr>
        <w:t xml:space="preserve"> the State</w:t>
      </w:r>
      <w:r w:rsidR="00876BEA" w:rsidRPr="00EA6C7A">
        <w:rPr>
          <w:rFonts w:ascii="Verdana" w:eastAsia="Calibri" w:hAnsi="Verdana" w:cs="Tahoma"/>
          <w:bCs/>
          <w:color w:val="000000"/>
          <w:sz w:val="20"/>
          <w:szCs w:val="20"/>
          <w:shd w:val="clear" w:color="auto" w:fill="FFFFFF"/>
          <w:lang w:val="en-US"/>
        </w:rPr>
        <w:t xml:space="preserve"> was aware</w:t>
      </w:r>
      <w:r w:rsidR="001F328E"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85"/>
      </w:r>
      <w:r w:rsidR="00D948A1" w:rsidRPr="00EA6C7A">
        <w:rPr>
          <w:rFonts w:ascii="Verdana" w:eastAsia="Calibri" w:hAnsi="Verdana" w:cs="Tahoma"/>
          <w:bCs/>
          <w:color w:val="000000"/>
          <w:sz w:val="20"/>
          <w:szCs w:val="20"/>
          <w:shd w:val="clear" w:color="auto" w:fill="FFFFFF"/>
          <w:lang w:val="en-US"/>
        </w:rPr>
        <w:t xml:space="preserve"> and </w:t>
      </w:r>
      <w:r w:rsidR="001F328E" w:rsidRPr="00EA6C7A">
        <w:rPr>
          <w:rFonts w:ascii="Verdana" w:eastAsia="Calibri" w:hAnsi="Verdana" w:cs="Tahoma"/>
          <w:bCs/>
          <w:color w:val="000000"/>
          <w:sz w:val="20"/>
          <w:szCs w:val="20"/>
          <w:shd w:val="clear" w:color="auto" w:fill="FFFFFF"/>
          <w:lang w:val="en-US"/>
        </w:rPr>
        <w:t>despite all the measures taken by the State with regard to the problem, at least since 2001,</w:t>
      </w:r>
      <w:r w:rsidRPr="00EA6C7A">
        <w:rPr>
          <w:rFonts w:ascii="Verdana" w:eastAsia="Calibri" w:hAnsi="Verdana" w:cs="Tahoma"/>
          <w:bCs/>
          <w:color w:val="000000"/>
          <w:sz w:val="20"/>
          <w:szCs w:val="20"/>
          <w:shd w:val="clear" w:color="auto" w:fill="FFFFFF"/>
          <w:vertAlign w:val="superscript"/>
          <w:lang w:val="en-US"/>
        </w:rPr>
        <w:footnoteReference w:id="86"/>
      </w:r>
      <w:r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u w:val="single"/>
          <w:shd w:val="clear" w:color="auto" w:fill="FFFFFF"/>
          <w:lang w:val="en-US"/>
        </w:rPr>
        <w:t>n</w:t>
      </w:r>
      <w:r w:rsidR="001F328E" w:rsidRPr="00EA6C7A">
        <w:rPr>
          <w:rFonts w:ascii="Verdana" w:eastAsia="Calibri" w:hAnsi="Verdana" w:cs="Tahoma"/>
          <w:bCs/>
          <w:color w:val="000000"/>
          <w:sz w:val="20"/>
          <w:szCs w:val="20"/>
          <w:u w:val="single"/>
          <w:shd w:val="clear" w:color="auto" w:fill="FFFFFF"/>
          <w:lang w:val="en-US"/>
        </w:rPr>
        <w:t>one of the</w:t>
      </w:r>
      <w:r w:rsidR="00876BEA" w:rsidRPr="00EA6C7A">
        <w:rPr>
          <w:rFonts w:ascii="Verdana" w:eastAsia="Calibri" w:hAnsi="Verdana" w:cs="Tahoma"/>
          <w:bCs/>
          <w:color w:val="000000"/>
          <w:sz w:val="20"/>
          <w:szCs w:val="20"/>
          <w:u w:val="single"/>
          <w:shd w:val="clear" w:color="auto" w:fill="FFFFFF"/>
          <w:lang w:val="en-US"/>
        </w:rPr>
        <w:t>se measures</w:t>
      </w:r>
      <w:r w:rsidR="001F328E" w:rsidRPr="00EA6C7A">
        <w:rPr>
          <w:rFonts w:ascii="Verdana" w:eastAsia="Calibri" w:hAnsi="Verdana" w:cs="Tahoma"/>
          <w:bCs/>
          <w:color w:val="000000"/>
          <w:sz w:val="20"/>
          <w:szCs w:val="20"/>
          <w:u w:val="single"/>
          <w:shd w:val="clear" w:color="auto" w:fill="FFFFFF"/>
          <w:lang w:val="en-US"/>
        </w:rPr>
        <w:t xml:space="preserve"> w</w:t>
      </w:r>
      <w:r w:rsidR="00876BEA" w:rsidRPr="00EA6C7A">
        <w:rPr>
          <w:rFonts w:ascii="Verdana" w:eastAsia="Calibri" w:hAnsi="Verdana" w:cs="Tahoma"/>
          <w:bCs/>
          <w:color w:val="000000"/>
          <w:sz w:val="20"/>
          <w:szCs w:val="20"/>
          <w:u w:val="single"/>
          <w:shd w:val="clear" w:color="auto" w:fill="FFFFFF"/>
          <w:lang w:val="en-US"/>
        </w:rPr>
        <w:t>as</w:t>
      </w:r>
      <w:r w:rsidR="001F328E" w:rsidRPr="00EA6C7A">
        <w:rPr>
          <w:rFonts w:ascii="Verdana" w:eastAsia="Calibri" w:hAnsi="Verdana" w:cs="Tahoma"/>
          <w:bCs/>
          <w:color w:val="000000"/>
          <w:sz w:val="20"/>
          <w:szCs w:val="20"/>
          <w:u w:val="single"/>
          <w:shd w:val="clear" w:color="auto" w:fill="FFFFFF"/>
          <w:lang w:val="en-US"/>
        </w:rPr>
        <w:t xml:space="preserve"> aimed at establishing an effective mechanism or practice that would ensure </w:t>
      </w:r>
      <w:r w:rsidR="00876BEA" w:rsidRPr="00EA6C7A">
        <w:rPr>
          <w:rFonts w:ascii="Verdana" w:eastAsia="Calibri" w:hAnsi="Verdana" w:cs="Tahoma"/>
          <w:bCs/>
          <w:color w:val="000000"/>
          <w:sz w:val="20"/>
          <w:szCs w:val="20"/>
          <w:u w:val="single"/>
          <w:shd w:val="clear" w:color="auto" w:fill="FFFFFF"/>
          <w:lang w:val="en-US"/>
        </w:rPr>
        <w:t>an</w:t>
      </w:r>
      <w:r w:rsidR="001F328E" w:rsidRPr="00EA6C7A">
        <w:rPr>
          <w:rFonts w:ascii="Verdana" w:eastAsia="Calibri" w:hAnsi="Verdana" w:cs="Tahoma"/>
          <w:bCs/>
          <w:color w:val="000000"/>
          <w:sz w:val="20"/>
          <w:szCs w:val="20"/>
          <w:u w:val="single"/>
          <w:shd w:val="clear" w:color="auto" w:fill="FFFFFF"/>
          <w:lang w:val="en-US"/>
        </w:rPr>
        <w:t xml:space="preserve"> immediate search for missing women</w:t>
      </w:r>
      <w:r w:rsidRPr="00EA6C7A">
        <w:rPr>
          <w:rFonts w:ascii="Verdana" w:eastAsia="Calibri" w:hAnsi="Verdana" w:cs="Tahoma"/>
          <w:bCs/>
          <w:color w:val="000000"/>
          <w:sz w:val="20"/>
          <w:szCs w:val="20"/>
          <w:u w:val="single"/>
          <w:shd w:val="clear" w:color="auto" w:fill="FFFFFF"/>
          <w:lang w:val="en-US"/>
        </w:rPr>
        <w:t>;</w:t>
      </w:r>
      <w:r w:rsidR="001F328E" w:rsidRPr="00EA6C7A">
        <w:rPr>
          <w:rFonts w:ascii="Verdana" w:eastAsia="Calibri" w:hAnsi="Verdana" w:cs="Tahoma"/>
          <w:bCs/>
          <w:color w:val="000000"/>
          <w:sz w:val="20"/>
          <w:szCs w:val="20"/>
          <w:shd w:val="clear" w:color="auto" w:fill="FFFFFF"/>
          <w:lang w:val="en-US"/>
        </w:rPr>
        <w:t xml:space="preserve"> a situation that evidently had an impact on the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second moment</w:t>
      </w:r>
      <w:r w:rsidR="001F328E"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lang w:val="en-US"/>
        </w:rPr>
        <w:t>”</w:t>
      </w:r>
      <w:r w:rsidR="001F328E" w:rsidRPr="00EA6C7A">
        <w:rPr>
          <w:rFonts w:ascii="Verdana" w:eastAsia="Calibri" w:hAnsi="Verdana" w:cs="Tahoma"/>
          <w:bCs/>
          <w:color w:val="000000"/>
          <w:sz w:val="20"/>
          <w:szCs w:val="20"/>
          <w:shd w:val="clear" w:color="auto" w:fill="FFFFFF"/>
          <w:lang w:val="en-US"/>
        </w:rPr>
        <w:t xml:space="preserve"> when the victim’s parent</w:t>
      </w:r>
      <w:r w:rsidR="00876BEA" w:rsidRPr="00EA6C7A">
        <w:rPr>
          <w:rFonts w:ascii="Verdana" w:eastAsia="Calibri" w:hAnsi="Verdana" w:cs="Tahoma"/>
          <w:bCs/>
          <w:color w:val="000000"/>
          <w:sz w:val="20"/>
          <w:szCs w:val="20"/>
          <w:shd w:val="clear" w:color="auto" w:fill="FFFFFF"/>
          <w:lang w:val="en-US"/>
        </w:rPr>
        <w:t>s</w:t>
      </w:r>
      <w:r w:rsidR="001F328E" w:rsidRPr="00EA6C7A">
        <w:rPr>
          <w:rFonts w:ascii="Verdana" w:eastAsia="Calibri" w:hAnsi="Verdana" w:cs="Tahoma"/>
          <w:bCs/>
          <w:color w:val="000000"/>
          <w:sz w:val="20"/>
          <w:szCs w:val="20"/>
          <w:shd w:val="clear" w:color="auto" w:fill="FFFFFF"/>
          <w:lang w:val="en-US"/>
        </w:rPr>
        <w:t xml:space="preserve"> were confronted by the inexistence – that persists up until the present – of an instrument, mechanism or practice </w:t>
      </w:r>
      <w:r w:rsidR="00876BEA" w:rsidRPr="00EA6C7A">
        <w:rPr>
          <w:rFonts w:ascii="Verdana" w:eastAsia="Calibri" w:hAnsi="Verdana" w:cs="Tahoma"/>
          <w:bCs/>
          <w:color w:val="000000"/>
          <w:sz w:val="20"/>
          <w:szCs w:val="20"/>
          <w:shd w:val="clear" w:color="auto" w:fill="FFFFFF"/>
          <w:lang w:val="en-US"/>
        </w:rPr>
        <w:t>requiring</w:t>
      </w:r>
      <w:r w:rsidR="001F328E" w:rsidRPr="00EA6C7A">
        <w:rPr>
          <w:rFonts w:ascii="Verdana" w:eastAsia="Calibri" w:hAnsi="Verdana" w:cs="Tahoma"/>
          <w:bCs/>
          <w:color w:val="000000"/>
          <w:sz w:val="20"/>
          <w:szCs w:val="20"/>
          <w:shd w:val="clear" w:color="auto" w:fill="FFFFFF"/>
          <w:lang w:val="en-US"/>
        </w:rPr>
        <w:t xml:space="preserve"> the immediate search for their daughter.</w:t>
      </w:r>
    </w:p>
    <w:p w14:paraId="7042556C"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3BD4026D"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47. </w:t>
      </w:r>
      <w:r w:rsidRPr="00EA6C7A">
        <w:rPr>
          <w:rFonts w:ascii="Verdana" w:eastAsia="Calibri" w:hAnsi="Verdana" w:cs="Tahoma"/>
          <w:bCs/>
          <w:color w:val="000000"/>
          <w:sz w:val="20"/>
          <w:szCs w:val="20"/>
          <w:shd w:val="clear" w:color="auto" w:fill="FFFFFF"/>
          <w:lang w:val="en-US"/>
        </w:rPr>
        <w:tab/>
      </w:r>
      <w:r w:rsidR="0074687E" w:rsidRPr="00EA6C7A">
        <w:rPr>
          <w:rFonts w:ascii="Verdana" w:eastAsia="Calibri" w:hAnsi="Verdana" w:cs="Tahoma"/>
          <w:bCs/>
          <w:color w:val="000000"/>
          <w:sz w:val="20"/>
          <w:szCs w:val="20"/>
          <w:shd w:val="clear" w:color="auto" w:fill="FFFFFF"/>
          <w:lang w:val="en-US"/>
        </w:rPr>
        <w:t>This is logical</w:t>
      </w:r>
      <w:r w:rsidRPr="00EA6C7A">
        <w:rPr>
          <w:rFonts w:ascii="Verdana" w:eastAsia="Calibri" w:hAnsi="Verdana" w:cs="Tahoma"/>
          <w:bCs/>
          <w:color w:val="000000"/>
          <w:sz w:val="20"/>
          <w:szCs w:val="20"/>
          <w:shd w:val="clear" w:color="auto" w:fill="FFFFFF"/>
          <w:lang w:val="en-US"/>
        </w:rPr>
        <w:t xml:space="preserve"> </w:t>
      </w:r>
      <w:r w:rsidR="0074687E" w:rsidRPr="00EA6C7A">
        <w:rPr>
          <w:rFonts w:ascii="Verdana" w:eastAsia="Calibri" w:hAnsi="Verdana" w:cs="Tahoma"/>
          <w:bCs/>
          <w:color w:val="000000"/>
          <w:sz w:val="20"/>
          <w:szCs w:val="20"/>
          <w:shd w:val="clear" w:color="auto" w:fill="FFFFFF"/>
          <w:lang w:val="en-US"/>
        </w:rPr>
        <w:t xml:space="preserve">when noting the measures of reparation ordered by the Court. Indeed, among the “guarantee of non-repetition” and under the heading </w:t>
      </w:r>
      <w:r w:rsidRPr="00EA6C7A">
        <w:rPr>
          <w:rFonts w:ascii="Verdana" w:eastAsia="Calibri" w:hAnsi="Verdana" w:cs="Tahoma"/>
          <w:bCs/>
          <w:color w:val="000000"/>
          <w:sz w:val="20"/>
          <w:szCs w:val="20"/>
          <w:shd w:val="clear" w:color="auto" w:fill="FFFFFF"/>
          <w:lang w:val="en-US"/>
        </w:rPr>
        <w:t>“</w:t>
      </w:r>
      <w:r w:rsidR="00D42BA8" w:rsidRPr="00EA6C7A">
        <w:rPr>
          <w:rFonts w:ascii="Verdana" w:eastAsia="Calibri" w:hAnsi="Verdana" w:cs="Tahoma"/>
          <w:bCs/>
          <w:color w:val="000000"/>
          <w:sz w:val="20"/>
          <w:szCs w:val="20"/>
          <w:shd w:val="clear" w:color="auto" w:fill="FFFFFF"/>
          <w:lang w:val="en-US"/>
        </w:rPr>
        <w:t>Measures to prevent</w:t>
      </w:r>
      <w:r w:rsidRPr="00EA6C7A">
        <w:rPr>
          <w:rFonts w:ascii="Verdana" w:eastAsia="Calibri" w:hAnsi="Verdana" w:cs="Tahoma"/>
          <w:bCs/>
          <w:color w:val="000000"/>
          <w:sz w:val="20"/>
          <w:szCs w:val="20"/>
          <w:shd w:val="clear" w:color="auto" w:fill="FFFFFF"/>
          <w:lang w:val="en-US"/>
        </w:rPr>
        <w:t xml:space="preserve"> </w:t>
      </w:r>
      <w:r w:rsidR="00C12C08" w:rsidRPr="00EA6C7A">
        <w:rPr>
          <w:rFonts w:ascii="Verdana" w:eastAsia="Calibri" w:hAnsi="Verdana" w:cs="Tahoma"/>
          <w:bCs/>
          <w:color w:val="000000"/>
          <w:sz w:val="20"/>
          <w:szCs w:val="20"/>
          <w:shd w:val="clear" w:color="auto" w:fill="FFFFFF"/>
          <w:lang w:val="en-US"/>
        </w:rPr>
        <w:t>violence against women</w:t>
      </w:r>
      <w:r w:rsidRPr="00EA6C7A">
        <w:rPr>
          <w:rFonts w:ascii="Verdana" w:eastAsia="Calibri" w:hAnsi="Verdana" w:cs="Tahoma"/>
          <w:bCs/>
          <w:color w:val="000000"/>
          <w:sz w:val="20"/>
          <w:szCs w:val="20"/>
          <w:shd w:val="clear" w:color="auto" w:fill="FFFFFF"/>
          <w:lang w:val="en-US"/>
        </w:rPr>
        <w:t xml:space="preserve">: </w:t>
      </w:r>
      <w:r w:rsidR="00D42BA8" w:rsidRPr="00EA6C7A">
        <w:rPr>
          <w:rFonts w:ascii="Verdana" w:eastAsia="Calibri" w:hAnsi="Verdana" w:cs="Tahoma"/>
          <w:bCs/>
          <w:color w:val="000000"/>
          <w:sz w:val="20"/>
          <w:szCs w:val="20"/>
          <w:shd w:val="clear" w:color="auto" w:fill="FFFFFF"/>
          <w:lang w:val="en-US"/>
        </w:rPr>
        <w:t>State policies</w:t>
      </w:r>
      <w:r w:rsidR="0074687E"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87"/>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the Inter-American Court</w:t>
      </w:r>
      <w:r w:rsidRPr="00EA6C7A">
        <w:rPr>
          <w:rFonts w:ascii="Verdana" w:eastAsia="Calibri" w:hAnsi="Verdana" w:cs="Tahoma"/>
          <w:bCs/>
          <w:color w:val="000000"/>
          <w:sz w:val="20"/>
          <w:szCs w:val="20"/>
          <w:shd w:val="clear" w:color="auto" w:fill="FFFFFF"/>
          <w:lang w:val="en-US"/>
        </w:rPr>
        <w:t xml:space="preserve"> </w:t>
      </w:r>
      <w:r w:rsidR="0074687E" w:rsidRPr="00EA6C7A">
        <w:rPr>
          <w:rFonts w:ascii="Verdana" w:eastAsia="Calibri" w:hAnsi="Verdana" w:cs="Tahoma"/>
          <w:bCs/>
          <w:color w:val="000000"/>
          <w:sz w:val="20"/>
          <w:szCs w:val="20"/>
          <w:shd w:val="clear" w:color="auto" w:fill="FFFFFF"/>
          <w:lang w:val="en-US"/>
        </w:rPr>
        <w:t>indicated the insufficiency of the measures implemented by the State to address the problem,</w:t>
      </w:r>
      <w:r w:rsidRPr="00EA6C7A">
        <w:rPr>
          <w:rFonts w:ascii="Verdana" w:eastAsia="Calibri" w:hAnsi="Verdana" w:cs="Tahoma"/>
          <w:bCs/>
          <w:color w:val="000000"/>
          <w:sz w:val="20"/>
          <w:szCs w:val="20"/>
          <w:shd w:val="clear" w:color="auto" w:fill="FFFFFF"/>
          <w:vertAlign w:val="superscript"/>
          <w:lang w:val="en-US"/>
        </w:rPr>
        <w:footnoteReference w:id="88"/>
      </w:r>
      <w:r w:rsidRPr="00EA6C7A">
        <w:rPr>
          <w:rFonts w:ascii="Verdana" w:eastAsia="Calibri" w:hAnsi="Verdana" w:cs="Tahoma"/>
          <w:bCs/>
          <w:color w:val="000000"/>
          <w:sz w:val="20"/>
          <w:szCs w:val="20"/>
          <w:shd w:val="clear" w:color="auto" w:fill="FFFFFF"/>
          <w:lang w:val="en-US"/>
        </w:rPr>
        <w:t xml:space="preserve"> </w:t>
      </w:r>
      <w:r w:rsidR="0074687E" w:rsidRPr="00EA6C7A">
        <w:rPr>
          <w:rFonts w:ascii="Verdana" w:eastAsia="Calibri" w:hAnsi="Verdana" w:cs="Tahoma"/>
          <w:bCs/>
          <w:color w:val="000000"/>
          <w:sz w:val="20"/>
          <w:szCs w:val="20"/>
          <w:shd w:val="clear" w:color="auto" w:fill="FFFFFF"/>
          <w:lang w:val="en-US"/>
        </w:rPr>
        <w:t xml:space="preserve">stressing that, despite the existence of a “bill on the immediate search for missing women” – which </w:t>
      </w:r>
      <w:r w:rsidR="0074687E" w:rsidRPr="00EA6C7A">
        <w:rPr>
          <w:rFonts w:ascii="Verdana" w:eastAsia="Calibri" w:hAnsi="Verdana" w:cs="Tahoma"/>
          <w:bCs/>
          <w:color w:val="000000"/>
          <w:sz w:val="20"/>
          <w:szCs w:val="20"/>
          <w:shd w:val="clear" w:color="auto" w:fill="FFFFFF"/>
          <w:lang w:val="en-US"/>
        </w:rPr>
        <w:lastRenderedPageBreak/>
        <w:t>addressed the problem of the lack of an immediate search mechanism for missing women – to date this has not been adopted by the Guatemalan Congress.</w:t>
      </w:r>
      <w:r w:rsidRPr="00EA6C7A">
        <w:rPr>
          <w:rFonts w:ascii="Verdana" w:eastAsia="Calibri" w:hAnsi="Verdana" w:cs="Tahoma"/>
          <w:bCs/>
          <w:color w:val="000000"/>
          <w:sz w:val="20"/>
          <w:szCs w:val="20"/>
          <w:shd w:val="clear" w:color="auto" w:fill="FFFFFF"/>
          <w:vertAlign w:val="superscript"/>
          <w:lang w:val="en-US"/>
        </w:rPr>
        <w:footnoteReference w:id="89"/>
      </w:r>
    </w:p>
    <w:p w14:paraId="4F6DE28B"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4598CB42"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48. </w:t>
      </w:r>
      <w:r w:rsidRPr="00EA6C7A">
        <w:rPr>
          <w:rFonts w:ascii="Verdana" w:eastAsia="Calibri" w:hAnsi="Verdana" w:cs="Tahoma"/>
          <w:bCs/>
          <w:color w:val="000000"/>
          <w:sz w:val="20"/>
          <w:szCs w:val="20"/>
          <w:shd w:val="clear" w:color="auto" w:fill="FFFFFF"/>
          <w:lang w:val="en-US"/>
        </w:rPr>
        <w:tab/>
      </w:r>
      <w:r w:rsidR="00F868C0" w:rsidRPr="00EA6C7A">
        <w:rPr>
          <w:rFonts w:ascii="Verdana" w:eastAsia="Calibri" w:hAnsi="Verdana" w:cs="Tahoma"/>
          <w:bCs/>
          <w:color w:val="000000"/>
          <w:sz w:val="20"/>
          <w:szCs w:val="20"/>
          <w:shd w:val="clear" w:color="auto" w:fill="FFFFFF"/>
          <w:lang w:val="en-US"/>
        </w:rPr>
        <w:t>In this regard</w:t>
      </w:r>
      <w:r w:rsidRPr="00EA6C7A">
        <w:rPr>
          <w:rFonts w:ascii="Verdana" w:eastAsia="Calibri" w:hAnsi="Verdana" w:cs="Tahoma"/>
          <w:bCs/>
          <w:color w:val="000000"/>
          <w:sz w:val="20"/>
          <w:szCs w:val="20"/>
          <w:shd w:val="clear" w:color="auto" w:fill="FFFFFF"/>
          <w:lang w:val="en-US"/>
        </w:rPr>
        <w:t xml:space="preserve">, </w:t>
      </w:r>
      <w:r w:rsidR="0096418F" w:rsidRPr="00EA6C7A">
        <w:rPr>
          <w:rFonts w:ascii="Verdana" w:eastAsia="Calibri" w:hAnsi="Verdana" w:cs="Tahoma"/>
          <w:bCs/>
          <w:color w:val="000000"/>
          <w:sz w:val="20"/>
          <w:szCs w:val="20"/>
          <w:shd w:val="clear" w:color="auto" w:fill="FFFFFF"/>
          <w:lang w:val="en-US"/>
        </w:rPr>
        <w:t xml:space="preserve">the </w:t>
      </w:r>
      <w:r w:rsidR="009939AC" w:rsidRPr="00EA6C7A">
        <w:rPr>
          <w:rFonts w:ascii="Verdana" w:eastAsia="Calibri" w:hAnsi="Verdana" w:cs="Tahoma"/>
          <w:bCs/>
          <w:color w:val="000000"/>
          <w:sz w:val="20"/>
          <w:szCs w:val="20"/>
          <w:shd w:val="clear" w:color="auto" w:fill="FFFFFF"/>
          <w:lang w:val="en-US"/>
        </w:rPr>
        <w:t>Court</w:t>
      </w:r>
      <w:r w:rsidRPr="00EA6C7A">
        <w:rPr>
          <w:rFonts w:ascii="Verdana" w:eastAsia="Calibri" w:hAnsi="Verdana" w:cs="Tahoma"/>
          <w:bCs/>
          <w:color w:val="000000"/>
          <w:sz w:val="20"/>
          <w:szCs w:val="20"/>
          <w:shd w:val="clear" w:color="auto" w:fill="FFFFFF"/>
          <w:lang w:val="en-US"/>
        </w:rPr>
        <w:t xml:space="preserve"> conclu</w:t>
      </w:r>
      <w:r w:rsidR="00F868C0" w:rsidRPr="00EA6C7A">
        <w:rPr>
          <w:rFonts w:ascii="Verdana" w:eastAsia="Calibri" w:hAnsi="Verdana" w:cs="Tahoma"/>
          <w:bCs/>
          <w:color w:val="000000"/>
          <w:sz w:val="20"/>
          <w:szCs w:val="20"/>
          <w:shd w:val="clear" w:color="auto" w:fill="FFFFFF"/>
          <w:lang w:val="en-US"/>
        </w:rPr>
        <w:t xml:space="preserve">ded in the need “to regulate the search for missing women </w:t>
      </w:r>
      <w:r w:rsidR="00FC7D3B" w:rsidRPr="00EA6C7A">
        <w:rPr>
          <w:rFonts w:ascii="Verdana" w:eastAsia="Calibri" w:hAnsi="Verdana" w:cs="Tahoma"/>
          <w:bCs/>
          <w:color w:val="000000"/>
          <w:sz w:val="20"/>
          <w:szCs w:val="20"/>
          <w:shd w:val="clear" w:color="auto" w:fill="FFFFFF"/>
          <w:lang w:val="en-US"/>
        </w:rPr>
        <w:t>in Guatemala</w:t>
      </w:r>
      <w:r w:rsidRPr="00EA6C7A">
        <w:rPr>
          <w:rFonts w:ascii="Verdana" w:eastAsia="Calibri" w:hAnsi="Verdana" w:cs="Tahoma"/>
          <w:bCs/>
          <w:color w:val="000000"/>
          <w:sz w:val="20"/>
          <w:szCs w:val="20"/>
          <w:shd w:val="clear" w:color="auto" w:fill="FFFFFF"/>
          <w:lang w:val="en-US"/>
        </w:rPr>
        <w:t>”</w:t>
      </w:r>
      <w:r w:rsidR="00D948A1" w:rsidRPr="00EA6C7A">
        <w:rPr>
          <w:rFonts w:ascii="Verdana" w:eastAsia="Calibri" w:hAnsi="Verdana" w:cs="Tahoma"/>
          <w:bCs/>
          <w:color w:val="000000"/>
          <w:sz w:val="20"/>
          <w:szCs w:val="20"/>
          <w:shd w:val="clear" w:color="auto" w:fill="FFFFFF"/>
          <w:lang w:val="en-US"/>
        </w:rPr>
        <w:t xml:space="preserve"> and</w:t>
      </w:r>
      <w:r w:rsidR="00F868C0" w:rsidRPr="00EA6C7A">
        <w:rPr>
          <w:rFonts w:ascii="Verdana" w:eastAsia="Calibri" w:hAnsi="Verdana" w:cs="Tahoma"/>
          <w:bCs/>
          <w:color w:val="000000"/>
          <w:sz w:val="20"/>
          <w:szCs w:val="20"/>
          <w:shd w:val="clear" w:color="auto" w:fill="FFFFFF"/>
          <w:lang w:val="en-US"/>
        </w:rPr>
        <w:t xml:space="preserve">, consequently required the State </w:t>
      </w:r>
      <w:r w:rsidR="00876BEA" w:rsidRPr="00EA6C7A">
        <w:rPr>
          <w:rFonts w:ascii="Verdana" w:eastAsia="Calibri" w:hAnsi="Verdana" w:cs="Tahoma"/>
          <w:bCs/>
          <w:color w:val="000000"/>
          <w:sz w:val="20"/>
          <w:szCs w:val="20"/>
          <w:shd w:val="clear" w:color="auto" w:fill="FFFFFF"/>
          <w:lang w:val="en-US"/>
        </w:rPr>
        <w:t>“</w:t>
      </w:r>
      <w:r w:rsidR="00F868C0" w:rsidRPr="00EA6C7A">
        <w:rPr>
          <w:rFonts w:ascii="Verdana" w:eastAsia="Calibri" w:hAnsi="Verdana" w:cs="Tahoma"/>
          <w:bCs/>
          <w:color w:val="000000"/>
          <w:sz w:val="20"/>
          <w:szCs w:val="20"/>
          <w:shd w:val="clear" w:color="auto" w:fill="FFFFFF"/>
          <w:lang w:val="en-US"/>
        </w:rPr>
        <w:t>to adopt a national strategy, system</w:t>
      </w:r>
      <w:r w:rsidR="00876BEA" w:rsidRPr="00EA6C7A">
        <w:rPr>
          <w:rFonts w:ascii="Verdana" w:eastAsia="Calibri" w:hAnsi="Verdana" w:cs="Tahoma"/>
          <w:bCs/>
          <w:color w:val="000000"/>
          <w:sz w:val="20"/>
          <w:szCs w:val="20"/>
          <w:shd w:val="clear" w:color="auto" w:fill="FFFFFF"/>
          <w:lang w:val="en-US"/>
        </w:rPr>
        <w:t xml:space="preserve">, </w:t>
      </w:r>
      <w:r w:rsidR="00F868C0" w:rsidRPr="00EA6C7A">
        <w:rPr>
          <w:rFonts w:ascii="Verdana" w:eastAsia="Calibri" w:hAnsi="Verdana" w:cs="Tahoma"/>
          <w:bCs/>
          <w:color w:val="000000"/>
          <w:sz w:val="20"/>
          <w:szCs w:val="20"/>
          <w:shd w:val="clear" w:color="auto" w:fill="FFFFFF"/>
          <w:lang w:val="en-US"/>
        </w:rPr>
        <w:t>mechanism</w:t>
      </w:r>
      <w:r w:rsidR="00876BEA" w:rsidRPr="00EA6C7A">
        <w:rPr>
          <w:rFonts w:ascii="Verdana" w:eastAsia="Calibri" w:hAnsi="Verdana" w:cs="Tahoma"/>
          <w:bCs/>
          <w:color w:val="000000"/>
          <w:sz w:val="20"/>
          <w:szCs w:val="20"/>
          <w:shd w:val="clear" w:color="auto" w:fill="FFFFFF"/>
          <w:lang w:val="en-US"/>
        </w:rPr>
        <w:t xml:space="preserve"> or</w:t>
      </w:r>
      <w:r w:rsidR="004E7CD9" w:rsidRPr="00EA6C7A">
        <w:rPr>
          <w:rFonts w:ascii="Verdana" w:eastAsia="Calibri" w:hAnsi="Verdana" w:cs="Tahoma"/>
          <w:bCs/>
          <w:color w:val="000000"/>
          <w:sz w:val="20"/>
          <w:szCs w:val="20"/>
          <w:shd w:val="clear" w:color="auto" w:fill="FFFFFF"/>
          <w:lang w:val="en-US"/>
        </w:rPr>
        <w:t xml:space="preserve"> </w:t>
      </w:r>
      <w:r w:rsidR="00876BEA" w:rsidRPr="00EA6C7A">
        <w:rPr>
          <w:rFonts w:ascii="Verdana" w:eastAsia="Calibri" w:hAnsi="Verdana" w:cs="Tahoma"/>
          <w:bCs/>
          <w:color w:val="000000"/>
          <w:sz w:val="20"/>
          <w:szCs w:val="20"/>
          <w:shd w:val="clear" w:color="auto" w:fill="FFFFFF"/>
          <w:lang w:val="en-US"/>
        </w:rPr>
        <w:t>program</w:t>
      </w:r>
      <w:r w:rsidRPr="00EA6C7A">
        <w:rPr>
          <w:rFonts w:ascii="Verdana" w:eastAsia="Calibri" w:hAnsi="Verdana" w:cs="Tahoma"/>
          <w:bCs/>
          <w:color w:val="000000"/>
          <w:sz w:val="20"/>
          <w:szCs w:val="20"/>
          <w:shd w:val="clear" w:color="auto" w:fill="FFFFFF"/>
          <w:lang w:val="en-US"/>
        </w:rPr>
        <w:t>,</w:t>
      </w:r>
      <w:r w:rsidR="00F868C0" w:rsidRPr="00EA6C7A">
        <w:rPr>
          <w:rFonts w:ascii="Verdana" w:eastAsia="Calibri" w:hAnsi="Verdana" w:cs="Tahoma"/>
          <w:bCs/>
          <w:color w:val="000000"/>
          <w:sz w:val="20"/>
          <w:szCs w:val="20"/>
          <w:shd w:val="clear" w:color="auto" w:fill="FFFFFF"/>
          <w:lang w:val="en-US"/>
        </w:rPr>
        <w:t xml:space="preserve"> by legislative or other means</w:t>
      </w:r>
      <w:r w:rsidR="00F868C0" w:rsidRPr="00EA6C7A">
        <w:rPr>
          <w:rFonts w:ascii="Verdana" w:hAnsi="Verdana"/>
          <w:sz w:val="20"/>
          <w:szCs w:val="20"/>
          <w:lang w:val="en-US"/>
        </w:rPr>
        <w:t>, to ensure the immediate and effective search for missing women, and that ensures that in case</w:t>
      </w:r>
      <w:r w:rsidR="00876BEA" w:rsidRPr="00EA6C7A">
        <w:rPr>
          <w:rFonts w:ascii="Verdana" w:hAnsi="Verdana"/>
          <w:sz w:val="20"/>
          <w:szCs w:val="20"/>
          <w:lang w:val="en-US"/>
        </w:rPr>
        <w:t>s</w:t>
      </w:r>
      <w:r w:rsidR="00F868C0" w:rsidRPr="00EA6C7A">
        <w:rPr>
          <w:rFonts w:ascii="Verdana" w:hAnsi="Verdana"/>
          <w:sz w:val="20"/>
          <w:szCs w:val="20"/>
          <w:lang w:val="en-US"/>
        </w:rPr>
        <w:t xml:space="preserve"> of reports of this nature, the corresponding authorities receive them immediately, without the need for formalities and, at the same time, initiate actions to locate the possible victims and prevent the violation of their rights to life and to personal integrit</w:t>
      </w:r>
      <w:r w:rsidR="00612AB3" w:rsidRPr="00EA6C7A">
        <w:rPr>
          <w:rFonts w:ascii="Verdana" w:hAnsi="Verdana"/>
          <w:sz w:val="20"/>
          <w:szCs w:val="20"/>
          <w:lang w:val="en-US"/>
        </w:rPr>
        <w:t>y.</w:t>
      </w:r>
      <w:r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90"/>
      </w:r>
      <w:r w:rsidRPr="00EA6C7A">
        <w:rPr>
          <w:rFonts w:ascii="Verdana" w:eastAsia="Calibri" w:hAnsi="Verdana" w:cs="Tahoma"/>
          <w:bCs/>
          <w:color w:val="000000"/>
          <w:sz w:val="20"/>
          <w:szCs w:val="20"/>
          <w:shd w:val="clear" w:color="auto" w:fill="FFFFFF"/>
          <w:lang w:val="en-US"/>
        </w:rPr>
        <w:t xml:space="preserve"> </w:t>
      </w:r>
    </w:p>
    <w:p w14:paraId="11BA77E0"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39957822"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49. </w:t>
      </w:r>
      <w:r w:rsidRPr="00EA6C7A">
        <w:rPr>
          <w:rFonts w:ascii="Verdana" w:eastAsia="Calibri" w:hAnsi="Verdana" w:cs="Tahoma"/>
          <w:bCs/>
          <w:color w:val="000000"/>
          <w:sz w:val="20"/>
          <w:szCs w:val="20"/>
          <w:shd w:val="clear" w:color="auto" w:fill="FFFFFF"/>
          <w:lang w:val="en-US"/>
        </w:rPr>
        <w:tab/>
      </w:r>
      <w:r w:rsidR="00612AB3" w:rsidRPr="00EA6C7A">
        <w:rPr>
          <w:rFonts w:ascii="Verdana" w:eastAsia="Calibri" w:hAnsi="Verdana" w:cs="Tahoma"/>
          <w:bCs/>
          <w:color w:val="000000"/>
          <w:sz w:val="20"/>
          <w:szCs w:val="20"/>
          <w:shd w:val="clear" w:color="auto" w:fill="FFFFFF"/>
          <w:lang w:val="en-US"/>
        </w:rPr>
        <w:t xml:space="preserve">In this scenario, it is evident that, to address the context of </w:t>
      </w:r>
      <w:r w:rsidR="00C12C08" w:rsidRPr="00EA6C7A">
        <w:rPr>
          <w:rFonts w:ascii="Verdana" w:eastAsia="Calibri" w:hAnsi="Verdana" w:cs="Tahoma"/>
          <w:bCs/>
          <w:color w:val="000000"/>
          <w:sz w:val="20"/>
          <w:szCs w:val="20"/>
          <w:shd w:val="clear" w:color="auto" w:fill="FFFFFF"/>
          <w:lang w:val="en-US"/>
        </w:rPr>
        <w:t>violence against women</w:t>
      </w:r>
      <w:r w:rsidRPr="00EA6C7A">
        <w:rPr>
          <w:rFonts w:ascii="Verdana" w:eastAsia="Calibri" w:hAnsi="Verdana" w:cs="Tahoma"/>
          <w:bCs/>
          <w:color w:val="000000"/>
          <w:sz w:val="20"/>
          <w:szCs w:val="20"/>
          <w:shd w:val="clear" w:color="auto" w:fill="FFFFFF"/>
          <w:lang w:val="en-US"/>
        </w:rPr>
        <w:t xml:space="preserve"> </w:t>
      </w:r>
      <w:r w:rsidR="00612AB3" w:rsidRPr="00EA6C7A">
        <w:rPr>
          <w:rFonts w:ascii="Verdana" w:eastAsia="Calibri" w:hAnsi="Verdana" w:cs="Tahoma"/>
          <w:bCs/>
          <w:color w:val="000000"/>
          <w:sz w:val="20"/>
          <w:szCs w:val="20"/>
          <w:shd w:val="clear" w:color="auto" w:fill="FFFFFF"/>
          <w:lang w:val="en-US"/>
        </w:rPr>
        <w:t>in</w:t>
      </w:r>
      <w:r w:rsidRPr="00EA6C7A">
        <w:rPr>
          <w:rFonts w:ascii="Verdana" w:eastAsia="Calibri" w:hAnsi="Verdana" w:cs="Tahoma"/>
          <w:bCs/>
          <w:color w:val="000000"/>
          <w:sz w:val="20"/>
          <w:szCs w:val="20"/>
          <w:shd w:val="clear" w:color="auto" w:fill="FFFFFF"/>
          <w:lang w:val="en-US"/>
        </w:rPr>
        <w:t xml:space="preserve"> Guatemala,</w:t>
      </w:r>
      <w:r w:rsidR="00612AB3" w:rsidRPr="00EA6C7A">
        <w:rPr>
          <w:rFonts w:ascii="Verdana" w:eastAsia="Calibri" w:hAnsi="Verdana" w:cs="Tahoma"/>
          <w:bCs/>
          <w:color w:val="000000"/>
          <w:sz w:val="20"/>
          <w:szCs w:val="20"/>
          <w:shd w:val="clear" w:color="auto" w:fill="FFFFFF"/>
          <w:lang w:val="en-US"/>
        </w:rPr>
        <w:t xml:space="preserve"> the </w:t>
      </w:r>
      <w:r w:rsidR="00671A06" w:rsidRPr="00EA6C7A">
        <w:rPr>
          <w:rFonts w:ascii="Verdana" w:eastAsia="Calibri" w:hAnsi="Verdana" w:cs="Tahoma"/>
          <w:bCs/>
          <w:color w:val="000000"/>
          <w:sz w:val="20"/>
          <w:szCs w:val="20"/>
          <w:shd w:val="clear" w:color="auto" w:fill="FFFFFF"/>
          <w:lang w:val="en-US"/>
        </w:rPr>
        <w:t>State</w:t>
      </w:r>
      <w:r w:rsidR="00612AB3" w:rsidRPr="00EA6C7A">
        <w:rPr>
          <w:rFonts w:ascii="Verdana" w:eastAsia="Calibri" w:hAnsi="Verdana" w:cs="Tahoma"/>
          <w:bCs/>
          <w:color w:val="000000"/>
          <w:sz w:val="20"/>
          <w:szCs w:val="20"/>
          <w:shd w:val="clear" w:color="auto" w:fill="FFFFFF"/>
          <w:lang w:val="en-US"/>
        </w:rPr>
        <w:t xml:space="preserve"> must establish laws, measures or </w:t>
      </w:r>
      <w:r w:rsidR="004E7CD9" w:rsidRPr="00EA6C7A">
        <w:rPr>
          <w:rFonts w:ascii="Verdana" w:eastAsia="Calibri" w:hAnsi="Verdana" w:cs="Tahoma"/>
          <w:bCs/>
          <w:color w:val="000000"/>
          <w:sz w:val="20"/>
          <w:szCs w:val="20"/>
          <w:shd w:val="clear" w:color="auto" w:fill="FFFFFF"/>
          <w:lang w:val="en-US"/>
        </w:rPr>
        <w:t xml:space="preserve">a </w:t>
      </w:r>
      <w:r w:rsidR="00612AB3" w:rsidRPr="00EA6C7A">
        <w:rPr>
          <w:rFonts w:ascii="Verdana" w:eastAsia="Calibri" w:hAnsi="Verdana" w:cs="Tahoma"/>
          <w:bCs/>
          <w:color w:val="000000"/>
          <w:sz w:val="20"/>
          <w:szCs w:val="20"/>
          <w:shd w:val="clear" w:color="auto" w:fill="FFFFFF"/>
          <w:lang w:val="en-US"/>
        </w:rPr>
        <w:t xml:space="preserve">mechanism that, regardless of the fact that </w:t>
      </w:r>
      <w:r w:rsidR="004E7CD9" w:rsidRPr="00EA6C7A">
        <w:rPr>
          <w:rFonts w:ascii="Verdana" w:eastAsia="Calibri" w:hAnsi="Verdana" w:cs="Tahoma"/>
          <w:bCs/>
          <w:color w:val="000000"/>
          <w:sz w:val="20"/>
          <w:szCs w:val="20"/>
          <w:shd w:val="clear" w:color="auto" w:fill="FFFFFF"/>
          <w:lang w:val="en-US"/>
        </w:rPr>
        <w:t>they</w:t>
      </w:r>
      <w:r w:rsidR="00612AB3" w:rsidRPr="00EA6C7A">
        <w:rPr>
          <w:rFonts w:ascii="Verdana" w:eastAsia="Calibri" w:hAnsi="Verdana" w:cs="Tahoma"/>
          <w:bCs/>
          <w:color w:val="000000"/>
          <w:sz w:val="20"/>
          <w:szCs w:val="20"/>
          <w:shd w:val="clear" w:color="auto" w:fill="FFFFFF"/>
          <w:lang w:val="en-US"/>
        </w:rPr>
        <w:t xml:space="preserve"> exist, </w:t>
      </w:r>
      <w:r w:rsidR="004E7CD9" w:rsidRPr="00EA6C7A">
        <w:rPr>
          <w:rFonts w:ascii="Verdana" w:eastAsia="Calibri" w:hAnsi="Verdana" w:cs="Tahoma"/>
          <w:bCs/>
          <w:color w:val="000000"/>
          <w:sz w:val="20"/>
          <w:szCs w:val="20"/>
          <w:shd w:val="clear" w:color="auto" w:fill="FFFFFF"/>
          <w:lang w:val="en-US"/>
        </w:rPr>
        <w:t>are</w:t>
      </w:r>
      <w:r w:rsidR="00612AB3" w:rsidRPr="00EA6C7A">
        <w:rPr>
          <w:rFonts w:ascii="Verdana" w:eastAsia="Calibri" w:hAnsi="Verdana" w:cs="Tahoma"/>
          <w:bCs/>
          <w:color w:val="000000"/>
          <w:sz w:val="20"/>
          <w:szCs w:val="20"/>
          <w:shd w:val="clear" w:color="auto" w:fill="FFFFFF"/>
          <w:lang w:val="en-US"/>
        </w:rPr>
        <w:t xml:space="preserve"> “effective” in “practice” – in the terms </w:t>
      </w:r>
      <w:r w:rsidR="001914FC" w:rsidRPr="00EA6C7A">
        <w:rPr>
          <w:rFonts w:ascii="Verdana" w:eastAsia="Calibri" w:hAnsi="Verdana" w:cs="Tahoma"/>
          <w:bCs/>
          <w:color w:val="000000"/>
          <w:sz w:val="20"/>
          <w:szCs w:val="20"/>
          <w:shd w:val="clear" w:color="auto" w:fill="FFFFFF"/>
          <w:lang w:val="en-US"/>
        </w:rPr>
        <w:t>of Article</w:t>
      </w:r>
      <w:r w:rsidRPr="00EA6C7A">
        <w:rPr>
          <w:rFonts w:ascii="Verdana" w:eastAsia="Calibri" w:hAnsi="Verdana" w:cs="Tahoma"/>
          <w:bCs/>
          <w:color w:val="000000"/>
          <w:sz w:val="20"/>
          <w:szCs w:val="20"/>
          <w:shd w:val="clear" w:color="auto" w:fill="FFFFFF"/>
          <w:lang w:val="en-US"/>
        </w:rPr>
        <w:t xml:space="preserve"> 2</w:t>
      </w:r>
      <w:r w:rsidR="0096418F" w:rsidRPr="00EA6C7A">
        <w:rPr>
          <w:rFonts w:ascii="Verdana" w:eastAsia="Calibri" w:hAnsi="Verdana" w:cs="Tahoma"/>
          <w:bCs/>
          <w:color w:val="000000"/>
          <w:sz w:val="20"/>
          <w:szCs w:val="20"/>
          <w:shd w:val="clear" w:color="auto" w:fill="FFFFFF"/>
          <w:lang w:val="en-US"/>
        </w:rPr>
        <w:t xml:space="preserve"> of the American Convention</w:t>
      </w:r>
      <w:r w:rsidR="00612AB3" w:rsidRPr="00EA6C7A">
        <w:rPr>
          <w:rFonts w:ascii="Verdana" w:eastAsia="Calibri" w:hAnsi="Verdana" w:cs="Tahoma"/>
          <w:bCs/>
          <w:color w:val="000000"/>
          <w:sz w:val="20"/>
          <w:szCs w:val="20"/>
          <w:shd w:val="clear" w:color="auto" w:fill="FFFFFF"/>
          <w:lang w:val="en-US"/>
        </w:rPr>
        <w:t xml:space="preserve"> – aimed at preventing the disappearance of women </w:t>
      </w:r>
      <w:r w:rsidR="004E7CD9" w:rsidRPr="00EA6C7A">
        <w:rPr>
          <w:rFonts w:ascii="Verdana" w:eastAsia="Calibri" w:hAnsi="Verdana" w:cs="Tahoma"/>
          <w:bCs/>
          <w:color w:val="000000"/>
          <w:sz w:val="20"/>
          <w:szCs w:val="20"/>
          <w:shd w:val="clear" w:color="auto" w:fill="FFFFFF"/>
          <w:lang w:val="en-US"/>
        </w:rPr>
        <w:t>through</w:t>
      </w:r>
      <w:r w:rsidR="00612AB3" w:rsidRPr="00EA6C7A">
        <w:rPr>
          <w:rFonts w:ascii="Verdana" w:eastAsia="Calibri" w:hAnsi="Verdana" w:cs="Tahoma"/>
          <w:bCs/>
          <w:color w:val="000000"/>
          <w:sz w:val="20"/>
          <w:szCs w:val="20"/>
          <w:shd w:val="clear" w:color="auto" w:fill="FFFFFF"/>
          <w:lang w:val="en-US"/>
        </w:rPr>
        <w:t xml:space="preserve"> diligent and appropriate actions </w:t>
      </w:r>
      <w:r w:rsidR="004E7CD9" w:rsidRPr="00EA6C7A">
        <w:rPr>
          <w:rFonts w:ascii="Verdana" w:eastAsia="Calibri" w:hAnsi="Verdana" w:cs="Tahoma"/>
          <w:bCs/>
          <w:color w:val="000000"/>
          <w:sz w:val="20"/>
          <w:szCs w:val="20"/>
          <w:shd w:val="clear" w:color="auto" w:fill="FFFFFF"/>
          <w:lang w:val="en-US"/>
        </w:rPr>
        <w:t>by</w:t>
      </w:r>
      <w:r w:rsidR="00612AB3" w:rsidRPr="00EA6C7A">
        <w:rPr>
          <w:rFonts w:ascii="Verdana" w:eastAsia="Calibri" w:hAnsi="Verdana" w:cs="Tahoma"/>
          <w:bCs/>
          <w:color w:val="000000"/>
          <w:sz w:val="20"/>
          <w:szCs w:val="20"/>
          <w:shd w:val="clear" w:color="auto" w:fill="FFFFFF"/>
          <w:lang w:val="en-US"/>
        </w:rPr>
        <w:t xml:space="preserve"> the authorities entail</w:t>
      </w:r>
      <w:r w:rsidR="004E7CD9" w:rsidRPr="00EA6C7A">
        <w:rPr>
          <w:rFonts w:ascii="Verdana" w:eastAsia="Calibri" w:hAnsi="Verdana" w:cs="Tahoma"/>
          <w:bCs/>
          <w:color w:val="000000"/>
          <w:sz w:val="20"/>
          <w:szCs w:val="20"/>
          <w:shd w:val="clear" w:color="auto" w:fill="FFFFFF"/>
          <w:lang w:val="en-US"/>
        </w:rPr>
        <w:t xml:space="preserve">ing </w:t>
      </w:r>
      <w:r w:rsidR="00612AB3" w:rsidRPr="00EA6C7A">
        <w:rPr>
          <w:rFonts w:ascii="Verdana" w:eastAsia="Calibri" w:hAnsi="Verdana" w:cs="Tahoma"/>
          <w:bCs/>
          <w:color w:val="000000"/>
          <w:sz w:val="20"/>
          <w:szCs w:val="20"/>
          <w:shd w:val="clear" w:color="auto" w:fill="FFFFFF"/>
          <w:lang w:val="en-US"/>
        </w:rPr>
        <w:t>the immediate search for these women and prevent the perpetration of violations of their human rights</w:t>
      </w:r>
      <w:r w:rsidRPr="00EA6C7A">
        <w:rPr>
          <w:rFonts w:ascii="Verdana" w:eastAsia="Calibri" w:hAnsi="Verdana" w:cs="Tahoma"/>
          <w:bCs/>
          <w:color w:val="000000"/>
          <w:sz w:val="20"/>
          <w:szCs w:val="20"/>
          <w:shd w:val="clear" w:color="auto" w:fill="FFFFFF"/>
          <w:lang w:val="en-US"/>
        </w:rPr>
        <w:t>.</w:t>
      </w:r>
    </w:p>
    <w:p w14:paraId="362E8D30" w14:textId="77777777" w:rsidR="00175ABB" w:rsidRPr="00EA6C7A" w:rsidRDefault="00175ABB" w:rsidP="00175ABB">
      <w:pPr>
        <w:spacing w:after="0" w:line="240" w:lineRule="auto"/>
        <w:jc w:val="both"/>
        <w:rPr>
          <w:rFonts w:ascii="Verdana" w:eastAsia="Calibri" w:hAnsi="Verdana" w:cs="Tahoma"/>
          <w:bCs/>
          <w:color w:val="000000"/>
          <w:sz w:val="20"/>
          <w:szCs w:val="20"/>
          <w:shd w:val="clear" w:color="auto" w:fill="FFFFFF"/>
          <w:lang w:val="en-US"/>
        </w:rPr>
      </w:pPr>
    </w:p>
    <w:p w14:paraId="32EB464D" w14:textId="77777777" w:rsidR="00175ABB" w:rsidRPr="00EA6C7A" w:rsidRDefault="00175ABB" w:rsidP="00175ABB">
      <w:pPr>
        <w:spacing w:after="0" w:line="240" w:lineRule="auto"/>
        <w:jc w:val="center"/>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IV.  </w:t>
      </w:r>
      <w:r w:rsidR="00F53A64" w:rsidRPr="00EA6C7A">
        <w:rPr>
          <w:rFonts w:ascii="Verdana" w:eastAsia="Calibri" w:hAnsi="Verdana" w:cs="Tahoma"/>
          <w:bCs/>
          <w:color w:val="000000"/>
          <w:sz w:val="20"/>
          <w:szCs w:val="20"/>
          <w:shd w:val="clear" w:color="auto" w:fill="FFFFFF"/>
          <w:lang w:val="en-US"/>
        </w:rPr>
        <w:t>CONCLUSION</w:t>
      </w:r>
    </w:p>
    <w:p w14:paraId="06F4C5FA" w14:textId="77777777" w:rsidR="00175ABB" w:rsidRPr="00EA6C7A" w:rsidRDefault="00175ABB" w:rsidP="00175ABB">
      <w:pPr>
        <w:spacing w:after="0" w:line="240" w:lineRule="auto"/>
        <w:rPr>
          <w:rFonts w:ascii="Verdana" w:eastAsia="Calibri" w:hAnsi="Verdana" w:cs="Tahoma"/>
          <w:b/>
          <w:bCs/>
          <w:color w:val="000000"/>
          <w:sz w:val="20"/>
          <w:szCs w:val="20"/>
          <w:shd w:val="clear" w:color="auto" w:fill="FFFFFF"/>
          <w:lang w:val="en-US"/>
        </w:rPr>
      </w:pPr>
    </w:p>
    <w:p w14:paraId="775BBEAA" w14:textId="77777777" w:rsidR="00695933" w:rsidRPr="00EA6C7A" w:rsidRDefault="00175ABB" w:rsidP="00175ABB">
      <w:pPr>
        <w:spacing w:after="0" w:line="240" w:lineRule="auto"/>
        <w:jc w:val="both"/>
        <w:rPr>
          <w:rFonts w:ascii="Verdana" w:eastAsia="Calibri" w:hAnsi="Verdana"/>
          <w:sz w:val="20"/>
          <w:szCs w:val="20"/>
          <w:lang w:val="en-US"/>
        </w:rPr>
      </w:pPr>
      <w:r w:rsidRPr="00EA6C7A">
        <w:rPr>
          <w:rFonts w:ascii="Verdana" w:eastAsia="Calibri" w:hAnsi="Verdana"/>
          <w:sz w:val="20"/>
          <w:szCs w:val="20"/>
          <w:lang w:val="en-US"/>
        </w:rPr>
        <w:t xml:space="preserve">50. </w:t>
      </w:r>
      <w:r w:rsidRPr="00EA6C7A">
        <w:rPr>
          <w:rFonts w:ascii="Verdana" w:eastAsia="Calibri" w:hAnsi="Verdana"/>
          <w:sz w:val="20"/>
          <w:szCs w:val="20"/>
          <w:lang w:val="en-US"/>
        </w:rPr>
        <w:tab/>
      </w:r>
      <w:r w:rsidR="00695933" w:rsidRPr="00EA6C7A">
        <w:rPr>
          <w:rFonts w:ascii="Verdana" w:eastAsia="Calibri" w:hAnsi="Verdana"/>
          <w:sz w:val="20"/>
          <w:szCs w:val="20"/>
          <w:lang w:val="en-US"/>
        </w:rPr>
        <w:t xml:space="preserve">The </w:t>
      </w:r>
      <w:r w:rsidR="00671A06" w:rsidRPr="00EA6C7A">
        <w:rPr>
          <w:rFonts w:ascii="Verdana" w:eastAsia="Calibri" w:hAnsi="Verdana"/>
          <w:sz w:val="20"/>
          <w:szCs w:val="20"/>
          <w:lang w:val="en-US"/>
        </w:rPr>
        <w:t>culture</w:t>
      </w:r>
      <w:r w:rsidR="00695933" w:rsidRPr="00EA6C7A">
        <w:rPr>
          <w:rFonts w:ascii="Verdana" w:eastAsia="Calibri" w:hAnsi="Verdana"/>
          <w:sz w:val="20"/>
          <w:szCs w:val="20"/>
          <w:lang w:val="en-US"/>
        </w:rPr>
        <w:t xml:space="preserve"> of discrimination </w:t>
      </w:r>
      <w:r w:rsidR="00D948A1" w:rsidRPr="00EA6C7A">
        <w:rPr>
          <w:rFonts w:ascii="Verdana" w:eastAsia="Calibri" w:hAnsi="Verdana"/>
          <w:sz w:val="20"/>
          <w:szCs w:val="20"/>
          <w:lang w:val="en-US"/>
        </w:rPr>
        <w:t xml:space="preserve">and </w:t>
      </w:r>
      <w:r w:rsidR="00C12C08" w:rsidRPr="00EA6C7A">
        <w:rPr>
          <w:rFonts w:ascii="Verdana" w:eastAsia="Calibri" w:hAnsi="Verdana"/>
          <w:sz w:val="20"/>
          <w:szCs w:val="20"/>
          <w:lang w:val="en-US"/>
        </w:rPr>
        <w:t>violence against women</w:t>
      </w:r>
      <w:r w:rsidRPr="00EA6C7A">
        <w:rPr>
          <w:rFonts w:ascii="Verdana" w:eastAsia="Calibri" w:hAnsi="Verdana"/>
          <w:sz w:val="20"/>
          <w:szCs w:val="20"/>
          <w:lang w:val="en-US"/>
        </w:rPr>
        <w:t xml:space="preserve"> </w:t>
      </w:r>
      <w:r w:rsidR="00695933" w:rsidRPr="00EA6C7A">
        <w:rPr>
          <w:rFonts w:ascii="Verdana" w:eastAsia="Calibri" w:hAnsi="Verdana"/>
          <w:sz w:val="20"/>
          <w:szCs w:val="20"/>
          <w:lang w:val="en-US"/>
        </w:rPr>
        <w:t xml:space="preserve">is a phenomenon that persists up until the present, nullifying the dignity and also the enjoyment and exercise of the human rights of women in the Americas. </w:t>
      </w:r>
      <w:r w:rsidR="004E7CD9" w:rsidRPr="00EA6C7A">
        <w:rPr>
          <w:rFonts w:ascii="Verdana" w:eastAsia="Calibri" w:hAnsi="Verdana"/>
          <w:sz w:val="20"/>
          <w:szCs w:val="20"/>
          <w:lang w:val="en-US"/>
        </w:rPr>
        <w:t>To confront</w:t>
      </w:r>
      <w:r w:rsidR="00695933" w:rsidRPr="00EA6C7A">
        <w:rPr>
          <w:rFonts w:ascii="Verdana" w:eastAsia="Calibri" w:hAnsi="Verdana"/>
          <w:sz w:val="20"/>
          <w:szCs w:val="20"/>
          <w:lang w:val="en-US"/>
        </w:rPr>
        <w:t xml:space="preserve"> this situation, the State obligation “of prevention” plays an essential role, to which</w:t>
      </w:r>
      <w:r w:rsidR="004E7CD9" w:rsidRPr="00EA6C7A">
        <w:rPr>
          <w:rFonts w:ascii="Verdana" w:eastAsia="Calibri" w:hAnsi="Verdana"/>
          <w:sz w:val="20"/>
          <w:szCs w:val="20"/>
          <w:lang w:val="en-US"/>
        </w:rPr>
        <w:t>,</w:t>
      </w:r>
      <w:r w:rsidR="00695933" w:rsidRPr="00EA6C7A">
        <w:rPr>
          <w:rFonts w:ascii="Verdana" w:eastAsia="Calibri" w:hAnsi="Verdana"/>
          <w:sz w:val="20"/>
          <w:szCs w:val="20"/>
          <w:lang w:val="en-US"/>
        </w:rPr>
        <w:t xml:space="preserve"> I consider</w:t>
      </w:r>
      <w:r w:rsidR="004E7CD9" w:rsidRPr="00EA6C7A">
        <w:rPr>
          <w:rFonts w:ascii="Verdana" w:eastAsia="Calibri" w:hAnsi="Verdana"/>
          <w:sz w:val="20"/>
          <w:szCs w:val="20"/>
          <w:lang w:val="en-US"/>
        </w:rPr>
        <w:t>,</w:t>
      </w:r>
      <w:r w:rsidR="00695933" w:rsidRPr="00EA6C7A">
        <w:rPr>
          <w:rFonts w:ascii="Verdana" w:eastAsia="Calibri" w:hAnsi="Verdana"/>
          <w:sz w:val="20"/>
          <w:szCs w:val="20"/>
          <w:lang w:val="en-US"/>
        </w:rPr>
        <w:t xml:space="preserve"> State</w:t>
      </w:r>
      <w:r w:rsidR="004E7CD9" w:rsidRPr="00EA6C7A">
        <w:rPr>
          <w:rFonts w:ascii="Verdana" w:eastAsia="Calibri" w:hAnsi="Verdana"/>
          <w:sz w:val="20"/>
          <w:szCs w:val="20"/>
          <w:lang w:val="en-US"/>
        </w:rPr>
        <w:t>s</w:t>
      </w:r>
      <w:r w:rsidR="00695933" w:rsidRPr="00EA6C7A">
        <w:rPr>
          <w:rFonts w:ascii="Verdana" w:eastAsia="Calibri" w:hAnsi="Verdana"/>
          <w:sz w:val="20"/>
          <w:szCs w:val="20"/>
          <w:lang w:val="en-US"/>
        </w:rPr>
        <w:t xml:space="preserve"> should pay special attention.</w:t>
      </w:r>
    </w:p>
    <w:p w14:paraId="15AE7E77" w14:textId="77777777" w:rsidR="00175ABB" w:rsidRPr="00EA6C7A" w:rsidRDefault="00175ABB" w:rsidP="00175ABB">
      <w:pPr>
        <w:spacing w:after="0" w:line="240" w:lineRule="auto"/>
        <w:jc w:val="both"/>
        <w:rPr>
          <w:rFonts w:ascii="Verdana" w:eastAsia="Calibri" w:hAnsi="Verdana"/>
          <w:sz w:val="20"/>
          <w:szCs w:val="20"/>
          <w:lang w:val="en-US"/>
        </w:rPr>
      </w:pPr>
    </w:p>
    <w:p w14:paraId="623654B3" w14:textId="77777777" w:rsidR="00175ABB" w:rsidRPr="00EA6C7A" w:rsidRDefault="00175ABB" w:rsidP="00175ABB">
      <w:pPr>
        <w:spacing w:after="0" w:line="240" w:lineRule="auto"/>
        <w:jc w:val="both"/>
        <w:rPr>
          <w:rFonts w:ascii="Verdana" w:eastAsia="Calibri" w:hAnsi="Verdana"/>
          <w:sz w:val="20"/>
          <w:szCs w:val="20"/>
          <w:lang w:val="en-US"/>
        </w:rPr>
      </w:pPr>
      <w:r w:rsidRPr="00EA6C7A">
        <w:rPr>
          <w:rFonts w:ascii="Verdana" w:eastAsia="Calibri" w:hAnsi="Verdana" w:cs="Tahoma"/>
          <w:bCs/>
          <w:color w:val="000000"/>
          <w:sz w:val="20"/>
          <w:szCs w:val="20"/>
          <w:shd w:val="clear" w:color="auto" w:fill="FFFFFF"/>
          <w:lang w:val="en-US"/>
        </w:rPr>
        <w:t xml:space="preserve">51. </w:t>
      </w:r>
      <w:r w:rsidRPr="00EA6C7A">
        <w:rPr>
          <w:rFonts w:ascii="Verdana" w:eastAsia="Calibri" w:hAnsi="Verdana" w:cs="Tahoma"/>
          <w:bCs/>
          <w:color w:val="000000"/>
          <w:sz w:val="20"/>
          <w:szCs w:val="20"/>
          <w:shd w:val="clear" w:color="auto" w:fill="FFFFFF"/>
          <w:lang w:val="en-US"/>
        </w:rPr>
        <w:tab/>
      </w:r>
      <w:r w:rsidR="00695933" w:rsidRPr="00EA6C7A">
        <w:rPr>
          <w:rFonts w:ascii="Verdana" w:eastAsia="Calibri" w:hAnsi="Verdana" w:cs="Tahoma"/>
          <w:bCs/>
          <w:color w:val="000000"/>
          <w:sz w:val="20"/>
          <w:szCs w:val="20"/>
          <w:shd w:val="clear" w:color="auto" w:fill="FFFFFF"/>
          <w:lang w:val="en-US"/>
        </w:rPr>
        <w:t xml:space="preserve">As emphasized in </w:t>
      </w:r>
      <w:r w:rsidR="00D5307F" w:rsidRPr="00EA6C7A">
        <w:rPr>
          <w:rFonts w:ascii="Verdana" w:eastAsia="Calibri" w:hAnsi="Verdana" w:cs="Tahoma"/>
          <w:bCs/>
          <w:color w:val="000000"/>
          <w:sz w:val="20"/>
          <w:szCs w:val="20"/>
          <w:shd w:val="clear" w:color="auto" w:fill="FFFFFF"/>
          <w:lang w:val="en-US"/>
        </w:rPr>
        <w:t>the judgment</w:t>
      </w:r>
      <w:r w:rsidRPr="00EA6C7A">
        <w:rPr>
          <w:rFonts w:ascii="Verdana" w:eastAsia="Calibri" w:hAnsi="Verdana" w:cs="Tahoma"/>
          <w:bCs/>
          <w:color w:val="000000"/>
          <w:sz w:val="20"/>
          <w:szCs w:val="20"/>
          <w:shd w:val="clear" w:color="auto" w:fill="FFFFFF"/>
          <w:lang w:val="en-US"/>
        </w:rPr>
        <w:t xml:space="preserve">, </w:t>
      </w:r>
      <w:r w:rsidR="00695933" w:rsidRPr="00EA6C7A">
        <w:rPr>
          <w:rFonts w:ascii="Verdana" w:eastAsia="Calibri" w:hAnsi="Verdana" w:cs="Tahoma"/>
          <w:bCs/>
          <w:color w:val="000000"/>
          <w:sz w:val="20"/>
          <w:szCs w:val="20"/>
          <w:shd w:val="clear" w:color="auto" w:fill="FFFFFF"/>
          <w:lang w:val="en-US"/>
        </w:rPr>
        <w:t>the</w:t>
      </w:r>
      <w:r w:rsidRPr="00EA6C7A">
        <w:rPr>
          <w:rFonts w:ascii="Verdana" w:eastAsia="Calibri" w:hAnsi="Verdana" w:cs="Tahoma"/>
          <w:bCs/>
          <w:color w:val="000000"/>
          <w:sz w:val="20"/>
          <w:szCs w:val="20"/>
          <w:shd w:val="clear" w:color="auto" w:fill="FFFFFF"/>
          <w:lang w:val="en-US"/>
        </w:rPr>
        <w:t xml:space="preserve"> </w:t>
      </w:r>
      <w:r w:rsidR="00D5307F" w:rsidRPr="00EA6C7A">
        <w:rPr>
          <w:rFonts w:ascii="Verdana" w:eastAsia="Calibri" w:hAnsi="Verdana" w:cs="Tahoma"/>
          <w:bCs/>
          <w:color w:val="000000"/>
          <w:sz w:val="20"/>
          <w:szCs w:val="20"/>
          <w:shd w:val="clear" w:color="auto" w:fill="FFFFFF"/>
          <w:lang w:val="en-US"/>
        </w:rPr>
        <w:t>obligation of prevention</w:t>
      </w:r>
      <w:r w:rsidRPr="00EA6C7A">
        <w:rPr>
          <w:rFonts w:ascii="Verdana" w:eastAsia="Calibri" w:hAnsi="Verdana" w:cs="Tahoma"/>
          <w:bCs/>
          <w:color w:val="000000"/>
          <w:sz w:val="20"/>
          <w:szCs w:val="20"/>
          <w:shd w:val="clear" w:color="auto" w:fill="FFFFFF"/>
          <w:lang w:val="en-US"/>
        </w:rPr>
        <w:t xml:space="preserve"> </w:t>
      </w:r>
      <w:r w:rsidR="00695933" w:rsidRPr="00EA6C7A">
        <w:rPr>
          <w:rFonts w:ascii="Verdana" w:eastAsia="Calibri" w:hAnsi="Verdana" w:cs="Tahoma"/>
          <w:bCs/>
          <w:color w:val="000000"/>
          <w:sz w:val="20"/>
          <w:szCs w:val="20"/>
          <w:shd w:val="clear" w:color="auto" w:fill="FFFFFF"/>
          <w:lang w:val="en-US"/>
        </w:rPr>
        <w:t xml:space="preserve">is an essential presumption to ensure </w:t>
      </w:r>
      <w:r w:rsidR="00123BD3" w:rsidRPr="00EA6C7A">
        <w:rPr>
          <w:rFonts w:ascii="Verdana" w:eastAsia="Calibri" w:hAnsi="Verdana" w:cs="Tahoma"/>
          <w:bCs/>
          <w:color w:val="000000"/>
          <w:sz w:val="20"/>
          <w:szCs w:val="20"/>
          <w:shd w:val="clear" w:color="auto" w:fill="FFFFFF"/>
          <w:lang w:val="en-US"/>
        </w:rPr>
        <w:t xml:space="preserve">the </w:t>
      </w:r>
      <w:r w:rsidR="00F53A64" w:rsidRPr="00EA6C7A">
        <w:rPr>
          <w:rFonts w:ascii="Verdana" w:eastAsia="Calibri" w:hAnsi="Verdana" w:cs="Tahoma"/>
          <w:bCs/>
          <w:color w:val="000000"/>
          <w:sz w:val="20"/>
          <w:szCs w:val="20"/>
          <w:shd w:val="clear" w:color="auto" w:fill="FFFFFF"/>
          <w:lang w:val="en-US"/>
        </w:rPr>
        <w:t>rights to life</w:t>
      </w:r>
      <w:r w:rsidRPr="00EA6C7A">
        <w:rPr>
          <w:rFonts w:ascii="Verdana" w:eastAsia="Calibri" w:hAnsi="Verdana" w:cs="Tahoma"/>
          <w:bCs/>
          <w:color w:val="000000"/>
          <w:sz w:val="20"/>
          <w:szCs w:val="20"/>
          <w:shd w:val="clear" w:color="auto" w:fill="FFFFFF"/>
          <w:lang w:val="en-US"/>
        </w:rPr>
        <w:t xml:space="preserve"> </w:t>
      </w:r>
      <w:r w:rsidR="004C1E19" w:rsidRPr="00EA6C7A">
        <w:rPr>
          <w:rFonts w:ascii="Verdana" w:eastAsia="Calibri" w:hAnsi="Verdana" w:cs="Tahoma"/>
          <w:bCs/>
          <w:color w:val="000000"/>
          <w:sz w:val="20"/>
          <w:szCs w:val="20"/>
          <w:shd w:val="clear" w:color="auto" w:fill="FFFFFF"/>
          <w:lang w:val="en-US"/>
        </w:rPr>
        <w:t xml:space="preserve">and </w:t>
      </w:r>
      <w:r w:rsidR="00695933" w:rsidRPr="00EA6C7A">
        <w:rPr>
          <w:rFonts w:ascii="Verdana" w:eastAsia="Calibri" w:hAnsi="Verdana" w:cs="Tahoma"/>
          <w:bCs/>
          <w:color w:val="000000"/>
          <w:sz w:val="20"/>
          <w:szCs w:val="20"/>
          <w:shd w:val="clear" w:color="auto" w:fill="FFFFFF"/>
          <w:lang w:val="en-US"/>
        </w:rPr>
        <w:t>to p</w:t>
      </w:r>
      <w:r w:rsidR="004C1E19" w:rsidRPr="00EA6C7A">
        <w:rPr>
          <w:rFonts w:ascii="Verdana" w:eastAsia="Calibri" w:hAnsi="Verdana" w:cs="Tahoma"/>
          <w:bCs/>
          <w:color w:val="000000"/>
          <w:sz w:val="20"/>
          <w:szCs w:val="20"/>
          <w:shd w:val="clear" w:color="auto" w:fill="FFFFFF"/>
          <w:lang w:val="en-US"/>
        </w:rPr>
        <w:t>ersonal</w:t>
      </w:r>
      <w:r w:rsidR="00515C34" w:rsidRPr="00EA6C7A">
        <w:rPr>
          <w:rFonts w:ascii="Verdana" w:eastAsia="Calibri" w:hAnsi="Verdana" w:cs="Tahoma"/>
          <w:bCs/>
          <w:color w:val="000000"/>
          <w:sz w:val="20"/>
          <w:szCs w:val="20"/>
          <w:shd w:val="clear" w:color="auto" w:fill="FFFFFF"/>
          <w:lang w:val="en-US"/>
        </w:rPr>
        <w:t xml:space="preserve"> integrity</w:t>
      </w:r>
      <w:r w:rsidR="00695933"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vertAlign w:val="superscript"/>
          <w:lang w:val="en-US"/>
        </w:rPr>
        <w:footnoteReference w:id="91"/>
      </w:r>
      <w:r w:rsidR="00695933" w:rsidRPr="00EA6C7A">
        <w:rPr>
          <w:rFonts w:ascii="Verdana" w:eastAsia="Calibri" w:hAnsi="Verdana" w:cs="Tahoma"/>
          <w:bCs/>
          <w:color w:val="000000"/>
          <w:sz w:val="20"/>
          <w:szCs w:val="20"/>
          <w:shd w:val="clear" w:color="auto" w:fill="FFFFFF"/>
          <w:lang w:val="en-US"/>
        </w:rPr>
        <w:t xml:space="preserve"> and </w:t>
      </w:r>
      <w:r w:rsidR="004E7CD9" w:rsidRPr="00EA6C7A">
        <w:rPr>
          <w:rFonts w:ascii="Verdana" w:eastAsia="Calibri" w:hAnsi="Verdana" w:cs="Tahoma"/>
          <w:bCs/>
          <w:color w:val="000000"/>
          <w:sz w:val="20"/>
          <w:szCs w:val="20"/>
          <w:shd w:val="clear" w:color="auto" w:fill="FFFFFF"/>
          <w:lang w:val="en-US"/>
        </w:rPr>
        <w:t>“</w:t>
      </w:r>
      <w:r w:rsidR="00C751C6" w:rsidRPr="00EA6C7A">
        <w:rPr>
          <w:rFonts w:ascii="Verdana" w:eastAsia="Calibri" w:hAnsi="Verdana" w:cs="Tahoma"/>
          <w:bCs/>
          <w:color w:val="000000"/>
          <w:sz w:val="20"/>
          <w:szCs w:val="20"/>
          <w:shd w:val="clear" w:color="auto" w:fill="FFFFFF"/>
          <w:lang w:val="en-US"/>
        </w:rPr>
        <w:t>encompasses</w:t>
      </w:r>
      <w:r w:rsidR="00695933" w:rsidRPr="00EA6C7A">
        <w:rPr>
          <w:rFonts w:ascii="Verdana" w:eastAsia="Calibri" w:hAnsi="Verdana" w:cs="Tahoma"/>
          <w:bCs/>
          <w:color w:val="000000"/>
          <w:sz w:val="20"/>
          <w:szCs w:val="20"/>
          <w:shd w:val="clear" w:color="auto" w:fill="FFFFFF"/>
          <w:lang w:val="en-US"/>
        </w:rPr>
        <w:t xml:space="preserve"> </w:t>
      </w:r>
      <w:r w:rsidR="00C751C6" w:rsidRPr="00EA6C7A">
        <w:rPr>
          <w:rFonts w:ascii="Verdana" w:hAnsi="Verdana"/>
          <w:sz w:val="20"/>
          <w:szCs w:val="20"/>
          <w:lang w:val="en-US"/>
        </w:rPr>
        <w:t xml:space="preserve">all those measures of a legal, political, administrative and cultural nature that promote the safeguard of human rights and that ensure that eventual violations of these rights are </w:t>
      </w:r>
      <w:r w:rsidR="004E7CD9" w:rsidRPr="00EA6C7A">
        <w:rPr>
          <w:rFonts w:ascii="Verdana" w:hAnsi="Verdana"/>
          <w:sz w:val="20"/>
          <w:szCs w:val="20"/>
          <w:lang w:val="en-US"/>
        </w:rPr>
        <w:t>truly</w:t>
      </w:r>
      <w:r w:rsidR="00C751C6" w:rsidRPr="00EA6C7A">
        <w:rPr>
          <w:rFonts w:ascii="Verdana" w:hAnsi="Verdana"/>
          <w:sz w:val="20"/>
          <w:szCs w:val="20"/>
          <w:lang w:val="en-US"/>
        </w:rPr>
        <w:t xml:space="preserve"> considered and </w:t>
      </w:r>
      <w:r w:rsidR="004E7CD9" w:rsidRPr="00EA6C7A">
        <w:rPr>
          <w:rFonts w:ascii="Verdana" w:hAnsi="Verdana"/>
          <w:sz w:val="20"/>
          <w:szCs w:val="20"/>
          <w:lang w:val="en-US"/>
        </w:rPr>
        <w:t>dealt with as</w:t>
      </w:r>
      <w:r w:rsidR="00C751C6" w:rsidRPr="00EA6C7A">
        <w:rPr>
          <w:rFonts w:ascii="Verdana" w:hAnsi="Verdana"/>
          <w:sz w:val="20"/>
          <w:szCs w:val="20"/>
          <w:lang w:val="en-US"/>
        </w:rPr>
        <w:t xml:space="preserve"> wrongful acts that, as such, </w:t>
      </w:r>
      <w:r w:rsidR="004E7CD9" w:rsidRPr="00EA6C7A">
        <w:rPr>
          <w:rFonts w:ascii="Verdana" w:hAnsi="Verdana"/>
          <w:sz w:val="20"/>
          <w:szCs w:val="20"/>
          <w:lang w:val="en-US"/>
        </w:rPr>
        <w:t>may result in</w:t>
      </w:r>
      <w:r w:rsidR="00C751C6" w:rsidRPr="00EA6C7A">
        <w:rPr>
          <w:rFonts w:ascii="Verdana" w:hAnsi="Verdana"/>
          <w:sz w:val="20"/>
          <w:szCs w:val="20"/>
          <w:lang w:val="en-US"/>
        </w:rPr>
        <w:t xml:space="preserve"> punishment for those who commit them, as well as the obligation to compensate the victims for the </w:t>
      </w:r>
      <w:r w:rsidR="004E7CD9" w:rsidRPr="00EA6C7A">
        <w:rPr>
          <w:rFonts w:ascii="Verdana" w:hAnsi="Verdana"/>
          <w:sz w:val="20"/>
          <w:szCs w:val="20"/>
          <w:lang w:val="en-US"/>
        </w:rPr>
        <w:t>harmful</w:t>
      </w:r>
      <w:r w:rsidR="00C751C6" w:rsidRPr="00EA6C7A">
        <w:rPr>
          <w:rFonts w:ascii="Verdana" w:hAnsi="Verdana"/>
          <w:sz w:val="20"/>
          <w:szCs w:val="20"/>
          <w:lang w:val="en-US"/>
        </w:rPr>
        <w:t xml:space="preserve"> consequences.</w:t>
      </w:r>
      <w:r w:rsidRPr="00EA6C7A">
        <w:rPr>
          <w:rFonts w:ascii="Verdana" w:eastAsia="Calibri" w:hAnsi="Verdana"/>
          <w:sz w:val="20"/>
          <w:szCs w:val="20"/>
          <w:lang w:val="en-US"/>
        </w:rPr>
        <w:t>”</w:t>
      </w:r>
      <w:r w:rsidRPr="00EA6C7A">
        <w:rPr>
          <w:rFonts w:ascii="Verdana" w:eastAsia="Calibri" w:hAnsi="Verdana"/>
          <w:sz w:val="20"/>
          <w:szCs w:val="20"/>
          <w:vertAlign w:val="superscript"/>
          <w:lang w:val="en-US"/>
        </w:rPr>
        <w:footnoteReference w:id="92"/>
      </w:r>
    </w:p>
    <w:p w14:paraId="595C3D14" w14:textId="77777777" w:rsidR="00175ABB" w:rsidRPr="00EA6C7A" w:rsidRDefault="00175ABB" w:rsidP="00175ABB">
      <w:pPr>
        <w:spacing w:after="0" w:line="240" w:lineRule="auto"/>
        <w:jc w:val="both"/>
        <w:rPr>
          <w:rFonts w:ascii="Verdana" w:eastAsia="Calibri" w:hAnsi="Verdana"/>
          <w:sz w:val="20"/>
          <w:szCs w:val="20"/>
          <w:lang w:val="en-US"/>
        </w:rPr>
      </w:pPr>
    </w:p>
    <w:p w14:paraId="42A0113E"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Calibri" w:hAnsi="Verdana"/>
          <w:sz w:val="20"/>
          <w:szCs w:val="20"/>
          <w:lang w:val="en-US"/>
        </w:rPr>
      </w:pPr>
      <w:r w:rsidRPr="00EA6C7A">
        <w:rPr>
          <w:rFonts w:ascii="Verdana" w:eastAsia="Calibri" w:hAnsi="Verdana"/>
          <w:sz w:val="20"/>
          <w:szCs w:val="20"/>
          <w:lang w:val="en-US"/>
        </w:rPr>
        <w:t xml:space="preserve">52. </w:t>
      </w:r>
      <w:r w:rsidRPr="00EA6C7A">
        <w:rPr>
          <w:rFonts w:ascii="Verdana" w:eastAsia="Calibri" w:hAnsi="Verdana"/>
          <w:sz w:val="20"/>
          <w:szCs w:val="20"/>
          <w:lang w:val="en-US"/>
        </w:rPr>
        <w:tab/>
      </w:r>
      <w:r w:rsidR="00C751C6" w:rsidRPr="00EA6C7A">
        <w:rPr>
          <w:rFonts w:ascii="Verdana" w:eastAsia="Calibri" w:hAnsi="Verdana"/>
          <w:sz w:val="20"/>
          <w:szCs w:val="20"/>
          <w:lang w:val="en-US"/>
        </w:rPr>
        <w:t>In p</w:t>
      </w:r>
      <w:r w:rsidRPr="00EA6C7A">
        <w:rPr>
          <w:rFonts w:ascii="Verdana" w:eastAsia="Calibri" w:hAnsi="Verdana"/>
          <w:sz w:val="20"/>
          <w:szCs w:val="20"/>
          <w:lang w:val="en-US"/>
        </w:rPr>
        <w:t>articula</w:t>
      </w:r>
      <w:r w:rsidR="00C751C6" w:rsidRPr="00EA6C7A">
        <w:rPr>
          <w:rFonts w:ascii="Verdana" w:eastAsia="Calibri" w:hAnsi="Verdana"/>
          <w:sz w:val="20"/>
          <w:szCs w:val="20"/>
          <w:lang w:val="en-US"/>
        </w:rPr>
        <w:t>r,</w:t>
      </w:r>
      <w:r w:rsidRPr="00EA6C7A">
        <w:rPr>
          <w:rFonts w:ascii="Verdana" w:eastAsia="Calibri" w:hAnsi="Verdana"/>
          <w:sz w:val="20"/>
          <w:szCs w:val="20"/>
          <w:lang w:val="en-US"/>
        </w:rPr>
        <w:t xml:space="preserve"> </w:t>
      </w:r>
      <w:r w:rsidR="0096418F" w:rsidRPr="00EA6C7A">
        <w:rPr>
          <w:rFonts w:ascii="Verdana" w:eastAsia="Calibri" w:hAnsi="Verdana"/>
          <w:sz w:val="20"/>
          <w:szCs w:val="20"/>
          <w:lang w:val="en-US"/>
        </w:rPr>
        <w:t>Article</w:t>
      </w:r>
      <w:r w:rsidRPr="00EA6C7A">
        <w:rPr>
          <w:rFonts w:ascii="Verdana" w:eastAsia="Calibri" w:hAnsi="Verdana"/>
          <w:sz w:val="20"/>
          <w:szCs w:val="20"/>
          <w:lang w:val="en-US"/>
        </w:rPr>
        <w:t xml:space="preserve"> 7</w:t>
      </w:r>
      <w:r w:rsidR="00D5307F" w:rsidRPr="00EA6C7A">
        <w:rPr>
          <w:rFonts w:ascii="Verdana" w:eastAsia="Calibri" w:hAnsi="Verdana"/>
          <w:sz w:val="20"/>
          <w:szCs w:val="20"/>
          <w:lang w:val="en-US"/>
        </w:rPr>
        <w:t xml:space="preserve"> of the </w:t>
      </w:r>
      <w:r w:rsidRPr="00EA6C7A">
        <w:rPr>
          <w:rFonts w:ascii="Verdana" w:eastAsia="Calibri" w:hAnsi="Verdana"/>
          <w:sz w:val="20"/>
          <w:szCs w:val="20"/>
          <w:lang w:val="en-US"/>
        </w:rPr>
        <w:t>“</w:t>
      </w:r>
      <w:r w:rsidR="00F912BD" w:rsidRPr="00EA6C7A">
        <w:rPr>
          <w:rFonts w:ascii="Verdana" w:eastAsia="Calibri" w:hAnsi="Verdana"/>
          <w:sz w:val="20"/>
          <w:szCs w:val="20"/>
          <w:lang w:val="en-US"/>
        </w:rPr>
        <w:t>Convention of</w:t>
      </w:r>
      <w:r w:rsidRPr="00EA6C7A">
        <w:rPr>
          <w:rFonts w:ascii="Verdana" w:eastAsia="Calibri" w:hAnsi="Verdana"/>
          <w:sz w:val="20"/>
          <w:szCs w:val="20"/>
          <w:lang w:val="en-US"/>
        </w:rPr>
        <w:t xml:space="preserve"> Belém do Pará” </w:t>
      </w:r>
      <w:r w:rsidR="00C751C6" w:rsidRPr="00EA6C7A">
        <w:rPr>
          <w:rFonts w:ascii="Verdana" w:eastAsia="Calibri" w:hAnsi="Verdana"/>
          <w:sz w:val="20"/>
          <w:szCs w:val="20"/>
          <w:lang w:val="en-US"/>
        </w:rPr>
        <w:t xml:space="preserve">establishes </w:t>
      </w:r>
      <w:r w:rsidR="00671A06" w:rsidRPr="00EA6C7A">
        <w:rPr>
          <w:rFonts w:ascii="Verdana" w:eastAsia="Calibri" w:hAnsi="Verdana"/>
          <w:sz w:val="20"/>
          <w:szCs w:val="20"/>
          <w:lang w:val="en-US"/>
        </w:rPr>
        <w:t>State</w:t>
      </w:r>
      <w:r w:rsidR="00C751C6" w:rsidRPr="00EA6C7A">
        <w:rPr>
          <w:rFonts w:ascii="Verdana" w:eastAsia="Calibri" w:hAnsi="Verdana"/>
          <w:sz w:val="20"/>
          <w:szCs w:val="20"/>
          <w:lang w:val="en-US"/>
        </w:rPr>
        <w:t xml:space="preserve"> obligations to prevent, punish and eradicate </w:t>
      </w:r>
      <w:r w:rsidR="00C12C08" w:rsidRPr="00EA6C7A">
        <w:rPr>
          <w:rFonts w:ascii="Verdana" w:eastAsia="Calibri" w:hAnsi="Verdana"/>
          <w:sz w:val="20"/>
          <w:szCs w:val="20"/>
          <w:lang w:val="en-US"/>
        </w:rPr>
        <w:t>violence against women</w:t>
      </w:r>
      <w:r w:rsidR="00C751C6" w:rsidRPr="00EA6C7A">
        <w:rPr>
          <w:rFonts w:ascii="Verdana" w:eastAsia="Calibri" w:hAnsi="Verdana"/>
          <w:sz w:val="20"/>
          <w:szCs w:val="20"/>
          <w:lang w:val="en-US"/>
        </w:rPr>
        <w:t>,</w:t>
      </w:r>
      <w:r w:rsidRPr="00EA6C7A">
        <w:rPr>
          <w:rFonts w:ascii="Verdana" w:eastAsia="Calibri" w:hAnsi="Verdana"/>
          <w:sz w:val="20"/>
          <w:szCs w:val="20"/>
          <w:vertAlign w:val="superscript"/>
          <w:lang w:val="en-US"/>
        </w:rPr>
        <w:footnoteReference w:id="93"/>
      </w:r>
      <w:r w:rsidR="00C751C6" w:rsidRPr="00EA6C7A">
        <w:rPr>
          <w:rFonts w:ascii="Verdana" w:eastAsia="Calibri" w:hAnsi="Verdana"/>
          <w:sz w:val="20"/>
          <w:szCs w:val="20"/>
          <w:lang w:val="en-US"/>
        </w:rPr>
        <w:t xml:space="preserve"> which specify and supplement the State obligations </w:t>
      </w:r>
      <w:r w:rsidR="00565C71" w:rsidRPr="00EA6C7A">
        <w:rPr>
          <w:rFonts w:ascii="Verdana" w:eastAsia="Calibri" w:hAnsi="Verdana"/>
          <w:sz w:val="20"/>
          <w:szCs w:val="20"/>
          <w:lang w:val="en-US"/>
        </w:rPr>
        <w:t>regarding</w:t>
      </w:r>
      <w:r w:rsidR="00C751C6" w:rsidRPr="00EA6C7A">
        <w:rPr>
          <w:rFonts w:ascii="Verdana" w:eastAsia="Calibri" w:hAnsi="Verdana"/>
          <w:sz w:val="20"/>
          <w:szCs w:val="20"/>
          <w:lang w:val="en-US"/>
        </w:rPr>
        <w:t xml:space="preserve"> compliance with the rights recognized in </w:t>
      </w:r>
      <w:r w:rsidR="0096418F" w:rsidRPr="00EA6C7A">
        <w:rPr>
          <w:rFonts w:ascii="Verdana" w:eastAsia="Calibri" w:hAnsi="Verdana"/>
          <w:sz w:val="20"/>
          <w:szCs w:val="20"/>
          <w:lang w:val="en-US"/>
        </w:rPr>
        <w:t>the American Convention</w:t>
      </w:r>
      <w:r w:rsidRPr="00EA6C7A">
        <w:rPr>
          <w:rFonts w:ascii="Verdana" w:eastAsia="Calibri" w:hAnsi="Verdana"/>
          <w:sz w:val="20"/>
          <w:szCs w:val="20"/>
          <w:lang w:val="en-US"/>
        </w:rPr>
        <w:t xml:space="preserve">, </w:t>
      </w:r>
      <w:r w:rsidR="00C751C6" w:rsidRPr="00EA6C7A">
        <w:rPr>
          <w:rFonts w:ascii="Verdana" w:eastAsia="Calibri" w:hAnsi="Verdana"/>
          <w:sz w:val="20"/>
          <w:szCs w:val="20"/>
          <w:lang w:val="en-US"/>
        </w:rPr>
        <w:t>including those established in</w:t>
      </w:r>
      <w:r w:rsidRPr="00EA6C7A">
        <w:rPr>
          <w:rFonts w:ascii="Verdana" w:eastAsia="Calibri" w:hAnsi="Verdana"/>
          <w:sz w:val="20"/>
          <w:szCs w:val="20"/>
          <w:lang w:val="en-US"/>
        </w:rPr>
        <w:t xml:space="preserve"> </w:t>
      </w:r>
      <w:r w:rsidR="0096418F" w:rsidRPr="00EA6C7A">
        <w:rPr>
          <w:rFonts w:ascii="Verdana" w:eastAsia="Calibri" w:hAnsi="Verdana"/>
          <w:sz w:val="20"/>
          <w:szCs w:val="20"/>
          <w:lang w:val="en-US"/>
        </w:rPr>
        <w:t>Articles</w:t>
      </w:r>
      <w:r w:rsidRPr="00EA6C7A">
        <w:rPr>
          <w:rFonts w:ascii="Verdana" w:eastAsia="Calibri" w:hAnsi="Verdana"/>
          <w:sz w:val="20"/>
          <w:szCs w:val="20"/>
          <w:lang w:val="en-US"/>
        </w:rPr>
        <w:t xml:space="preserve"> 4</w:t>
      </w:r>
      <w:r w:rsidR="00D948A1" w:rsidRPr="00EA6C7A">
        <w:rPr>
          <w:rFonts w:ascii="Verdana" w:eastAsia="Calibri" w:hAnsi="Verdana"/>
          <w:sz w:val="20"/>
          <w:szCs w:val="20"/>
          <w:lang w:val="en-US"/>
        </w:rPr>
        <w:t xml:space="preserve"> and </w:t>
      </w:r>
      <w:r w:rsidRPr="00EA6C7A">
        <w:rPr>
          <w:rFonts w:ascii="Verdana" w:eastAsia="Calibri" w:hAnsi="Verdana"/>
          <w:sz w:val="20"/>
          <w:szCs w:val="20"/>
          <w:lang w:val="en-US"/>
        </w:rPr>
        <w:t>5</w:t>
      </w:r>
      <w:r w:rsidR="00C751C6" w:rsidRPr="00EA6C7A">
        <w:rPr>
          <w:rFonts w:ascii="Verdana" w:eastAsia="Calibri" w:hAnsi="Verdana"/>
          <w:sz w:val="20"/>
          <w:szCs w:val="20"/>
          <w:lang w:val="en-US"/>
        </w:rPr>
        <w:t>.</w:t>
      </w:r>
      <w:r w:rsidRPr="00EA6C7A">
        <w:rPr>
          <w:rFonts w:ascii="Verdana" w:eastAsia="Calibri" w:hAnsi="Verdana"/>
          <w:sz w:val="20"/>
          <w:szCs w:val="20"/>
          <w:vertAlign w:val="superscript"/>
          <w:lang w:val="en-US"/>
        </w:rPr>
        <w:footnoteReference w:id="94"/>
      </w:r>
      <w:r w:rsidR="00C751C6" w:rsidRPr="00EA6C7A">
        <w:rPr>
          <w:rFonts w:ascii="Verdana" w:eastAsia="Calibri" w:hAnsi="Verdana"/>
          <w:sz w:val="20"/>
          <w:szCs w:val="20"/>
          <w:lang w:val="en-US"/>
        </w:rPr>
        <w:t xml:space="preserve"> And the Court has indicated that States must adopt comprehensive measures to comply with due diligence, in cases of </w:t>
      </w:r>
      <w:r w:rsidRPr="00EA6C7A">
        <w:rPr>
          <w:rFonts w:ascii="Verdana" w:eastAsia="Calibri" w:hAnsi="Verdana"/>
          <w:sz w:val="20"/>
          <w:szCs w:val="20"/>
          <w:lang w:val="en-US"/>
        </w:rPr>
        <w:t xml:space="preserve"> </w:t>
      </w:r>
      <w:r w:rsidR="00C12C08" w:rsidRPr="00EA6C7A">
        <w:rPr>
          <w:rFonts w:ascii="Verdana" w:eastAsia="Calibri" w:hAnsi="Verdana"/>
          <w:sz w:val="20"/>
          <w:szCs w:val="20"/>
          <w:lang w:val="en-US"/>
        </w:rPr>
        <w:t>violence against women</w:t>
      </w:r>
      <w:r w:rsidR="00C751C6" w:rsidRPr="00EA6C7A">
        <w:rPr>
          <w:rFonts w:ascii="Verdana" w:eastAsia="Calibri" w:hAnsi="Verdana"/>
          <w:sz w:val="20"/>
          <w:szCs w:val="20"/>
          <w:lang w:val="en-US"/>
        </w:rPr>
        <w:t>.</w:t>
      </w:r>
      <w:r w:rsidRPr="00EA6C7A">
        <w:rPr>
          <w:rFonts w:ascii="Verdana" w:eastAsia="Calibri" w:hAnsi="Verdana"/>
          <w:sz w:val="20"/>
          <w:szCs w:val="20"/>
          <w:vertAlign w:val="superscript"/>
          <w:lang w:val="en-US"/>
        </w:rPr>
        <w:footnoteReference w:id="95"/>
      </w:r>
      <w:r w:rsidR="00C751C6" w:rsidRPr="00EA6C7A">
        <w:rPr>
          <w:rFonts w:ascii="Verdana" w:eastAsia="Calibri" w:hAnsi="Verdana"/>
          <w:sz w:val="20"/>
          <w:szCs w:val="20"/>
          <w:lang w:val="en-US"/>
        </w:rPr>
        <w:t xml:space="preserve"> Thus, the </w:t>
      </w:r>
      <w:r w:rsidR="00C751C6" w:rsidRPr="00EA6C7A">
        <w:rPr>
          <w:rFonts w:ascii="Verdana" w:hAnsi="Verdana" w:cs="Segoe UI"/>
          <w:sz w:val="20"/>
          <w:szCs w:val="20"/>
          <w:u w:val="single"/>
          <w:lang w:val="en-US" w:eastAsia="es-PA"/>
        </w:rPr>
        <w:t>general o</w:t>
      </w:r>
      <w:r w:rsidR="00D5307F" w:rsidRPr="00EA6C7A">
        <w:rPr>
          <w:rFonts w:ascii="Verdana" w:hAnsi="Verdana" w:cs="Segoe UI"/>
          <w:sz w:val="20"/>
          <w:szCs w:val="20"/>
          <w:u w:val="single"/>
          <w:lang w:val="en-US" w:eastAsia="es-PA"/>
        </w:rPr>
        <w:t>bligation of prevention</w:t>
      </w:r>
      <w:r w:rsidR="00C751C6" w:rsidRPr="00EA6C7A">
        <w:rPr>
          <w:rFonts w:ascii="Verdana" w:hAnsi="Verdana" w:cs="Segoe UI"/>
          <w:sz w:val="20"/>
          <w:szCs w:val="20"/>
          <w:lang w:val="en-US" w:eastAsia="es-PA"/>
        </w:rPr>
        <w:t xml:space="preserve"> or during its</w:t>
      </w:r>
      <w:r w:rsidRPr="00EA6C7A">
        <w:rPr>
          <w:rFonts w:ascii="Verdana" w:hAnsi="Verdana" w:cs="Segoe UI"/>
          <w:sz w:val="20"/>
          <w:szCs w:val="20"/>
          <w:lang w:val="en-US" w:eastAsia="es-PA"/>
        </w:rPr>
        <w:t xml:space="preserve"> </w:t>
      </w:r>
      <w:r w:rsidRPr="00EA6C7A">
        <w:rPr>
          <w:rFonts w:ascii="Verdana" w:hAnsi="Verdana" w:cs="Segoe UI"/>
          <w:sz w:val="20"/>
          <w:szCs w:val="20"/>
          <w:lang w:val="en-US" w:eastAsia="es-PA"/>
        </w:rPr>
        <w:lastRenderedPageBreak/>
        <w:t>“</w:t>
      </w:r>
      <w:r w:rsidR="00274B18" w:rsidRPr="00EA6C7A">
        <w:rPr>
          <w:rFonts w:ascii="Verdana" w:hAnsi="Verdana" w:cs="Segoe UI"/>
          <w:sz w:val="20"/>
          <w:szCs w:val="20"/>
          <w:lang w:val="en-US" w:eastAsia="es-PA"/>
        </w:rPr>
        <w:t>first moment</w:t>
      </w:r>
      <w:r w:rsidRPr="00EA6C7A">
        <w:rPr>
          <w:rFonts w:ascii="Verdana" w:hAnsi="Verdana" w:cs="Segoe UI"/>
          <w:sz w:val="20"/>
          <w:szCs w:val="20"/>
          <w:lang w:val="en-US" w:eastAsia="es-PA"/>
        </w:rPr>
        <w:t xml:space="preserve">” </w:t>
      </w:r>
      <w:r w:rsidR="00C751C6" w:rsidRPr="00EA6C7A">
        <w:rPr>
          <w:rFonts w:ascii="Verdana" w:hAnsi="Verdana" w:cs="Segoe UI"/>
          <w:sz w:val="20"/>
          <w:szCs w:val="20"/>
          <w:lang w:val="en-US" w:eastAsia="es-PA"/>
        </w:rPr>
        <w:t>of analysis, includes the existence of a legal protection framework that is enforced effectively, prevention policies</w:t>
      </w:r>
      <w:r w:rsidRPr="00EA6C7A">
        <w:rPr>
          <w:rFonts w:ascii="Verdana" w:hAnsi="Verdana" w:cs="Segoe UI"/>
          <w:sz w:val="20"/>
          <w:szCs w:val="20"/>
          <w:lang w:val="en-US" w:eastAsia="es-PA"/>
        </w:rPr>
        <w:t xml:space="preserve">, </w:t>
      </w:r>
      <w:r w:rsidR="00C751C6" w:rsidRPr="00EA6C7A">
        <w:rPr>
          <w:rFonts w:ascii="Verdana" w:hAnsi="Verdana" w:cs="Segoe UI"/>
          <w:sz w:val="20"/>
          <w:szCs w:val="20"/>
          <w:lang w:val="en-US" w:eastAsia="es-PA"/>
        </w:rPr>
        <w:t xml:space="preserve">and prevention practices and strategies; while the </w:t>
      </w:r>
      <w:r w:rsidR="00C751C6" w:rsidRPr="00EA6C7A">
        <w:rPr>
          <w:rFonts w:ascii="Verdana" w:hAnsi="Verdana" w:cs="Segoe UI"/>
          <w:sz w:val="20"/>
          <w:szCs w:val="20"/>
          <w:u w:val="single"/>
          <w:lang w:val="en-US" w:eastAsia="es-PA"/>
        </w:rPr>
        <w:t>specific obligation of prevention</w:t>
      </w:r>
      <w:r w:rsidR="00C751C6" w:rsidRPr="00EA6C7A">
        <w:rPr>
          <w:rFonts w:ascii="Verdana" w:hAnsi="Verdana" w:cs="Segoe UI"/>
          <w:sz w:val="20"/>
          <w:szCs w:val="20"/>
          <w:lang w:val="en-US" w:eastAsia="es-PA"/>
        </w:rPr>
        <w:t xml:space="preserve"> </w:t>
      </w:r>
      <w:r w:rsidRPr="00EA6C7A">
        <w:rPr>
          <w:rFonts w:ascii="Verdana" w:hAnsi="Verdana" w:cs="Segoe UI"/>
          <w:sz w:val="20"/>
          <w:szCs w:val="20"/>
          <w:lang w:val="en-US" w:eastAsia="es-PA"/>
        </w:rPr>
        <w:t>o</w:t>
      </w:r>
      <w:r w:rsidR="00C751C6" w:rsidRPr="00EA6C7A">
        <w:rPr>
          <w:rFonts w:ascii="Verdana" w:hAnsi="Verdana" w:cs="Segoe UI"/>
          <w:sz w:val="20"/>
          <w:szCs w:val="20"/>
          <w:lang w:val="en-US" w:eastAsia="es-PA"/>
        </w:rPr>
        <w:t>r during its</w:t>
      </w:r>
      <w:r w:rsidRPr="00EA6C7A">
        <w:rPr>
          <w:rFonts w:ascii="Verdana" w:hAnsi="Verdana" w:cs="Segoe UI"/>
          <w:sz w:val="20"/>
          <w:szCs w:val="20"/>
          <w:lang w:val="en-US" w:eastAsia="es-PA"/>
        </w:rPr>
        <w:t xml:space="preserve"> “</w:t>
      </w:r>
      <w:r w:rsidR="00274B18" w:rsidRPr="00EA6C7A">
        <w:rPr>
          <w:rFonts w:ascii="Verdana" w:hAnsi="Verdana" w:cs="Segoe UI"/>
          <w:sz w:val="20"/>
          <w:szCs w:val="20"/>
          <w:lang w:val="en-US" w:eastAsia="es-PA"/>
        </w:rPr>
        <w:t>second moment</w:t>
      </w:r>
      <w:r w:rsidRPr="00EA6C7A">
        <w:rPr>
          <w:rFonts w:ascii="Verdana" w:hAnsi="Verdana" w:cs="Segoe UI"/>
          <w:sz w:val="20"/>
          <w:szCs w:val="20"/>
          <w:lang w:val="en-US" w:eastAsia="es-PA"/>
        </w:rPr>
        <w:t xml:space="preserve">” </w:t>
      </w:r>
      <w:r w:rsidR="00C751C6" w:rsidRPr="00EA6C7A">
        <w:rPr>
          <w:rFonts w:ascii="Verdana" w:hAnsi="Verdana" w:cs="Segoe UI"/>
          <w:sz w:val="20"/>
          <w:szCs w:val="20"/>
          <w:lang w:val="en-US" w:eastAsia="es-PA"/>
        </w:rPr>
        <w:t xml:space="preserve">of analysis, consists in the adoption of preventive measures in specific cases to avoid the perpetration of human rights violations when the State is aware </w:t>
      </w:r>
      <w:r w:rsidR="00565C71" w:rsidRPr="00EA6C7A">
        <w:rPr>
          <w:rFonts w:ascii="Verdana" w:hAnsi="Verdana" w:cs="Segoe UI"/>
          <w:sz w:val="20"/>
          <w:szCs w:val="20"/>
          <w:lang w:val="en-US" w:eastAsia="es-PA"/>
        </w:rPr>
        <w:t>that a person is in danger</w:t>
      </w:r>
      <w:r w:rsidRPr="00EA6C7A">
        <w:rPr>
          <w:rFonts w:ascii="Verdana" w:hAnsi="Verdana" w:cs="Segoe UI"/>
          <w:sz w:val="20"/>
          <w:szCs w:val="20"/>
          <w:lang w:val="en-US" w:eastAsia="es-PA"/>
        </w:rPr>
        <w:t>.</w:t>
      </w:r>
    </w:p>
    <w:p w14:paraId="11C23D5C"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Segoe UI"/>
          <w:color w:val="444444"/>
          <w:sz w:val="20"/>
          <w:szCs w:val="20"/>
          <w:lang w:val="en-US" w:eastAsia="es-PA"/>
        </w:rPr>
      </w:pPr>
    </w:p>
    <w:p w14:paraId="63B8B0FC"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Segoe UI"/>
          <w:sz w:val="20"/>
          <w:szCs w:val="20"/>
          <w:lang w:val="en-US" w:eastAsia="es-PA"/>
        </w:rPr>
      </w:pPr>
      <w:r w:rsidRPr="00EA6C7A">
        <w:rPr>
          <w:rFonts w:ascii="Verdana" w:hAnsi="Verdana" w:cs="Segoe UI"/>
          <w:sz w:val="20"/>
          <w:szCs w:val="20"/>
          <w:lang w:val="en-US" w:eastAsia="es-PA"/>
        </w:rPr>
        <w:t xml:space="preserve">53. </w:t>
      </w:r>
      <w:r w:rsidRPr="00EA6C7A">
        <w:rPr>
          <w:rFonts w:ascii="Verdana" w:hAnsi="Verdana" w:cs="Segoe UI"/>
          <w:sz w:val="20"/>
          <w:szCs w:val="20"/>
          <w:lang w:val="en-US" w:eastAsia="es-PA"/>
        </w:rPr>
        <w:tab/>
      </w:r>
      <w:r w:rsidR="00C751C6" w:rsidRPr="00EA6C7A">
        <w:rPr>
          <w:rFonts w:ascii="Verdana" w:hAnsi="Verdana" w:cs="Segoe UI"/>
          <w:sz w:val="20"/>
          <w:szCs w:val="20"/>
          <w:lang w:val="en-US" w:eastAsia="es-PA"/>
        </w:rPr>
        <w:t>Based on the above, with regard to the “general’ and “specific” particularities</w:t>
      </w:r>
      <w:r w:rsidR="00A534EF" w:rsidRPr="00EA6C7A">
        <w:rPr>
          <w:rFonts w:ascii="Verdana" w:hAnsi="Verdana" w:cs="Segoe UI"/>
          <w:sz w:val="20"/>
          <w:szCs w:val="20"/>
          <w:lang w:val="en-US" w:eastAsia="es-PA"/>
        </w:rPr>
        <w:t xml:space="preserve"> of the obligation</w:t>
      </w:r>
      <w:r w:rsidR="00D5307F" w:rsidRPr="00EA6C7A">
        <w:rPr>
          <w:rFonts w:ascii="Verdana" w:hAnsi="Verdana" w:cs="Segoe UI"/>
          <w:sz w:val="20"/>
          <w:szCs w:val="20"/>
          <w:lang w:val="en-US" w:eastAsia="es-PA"/>
        </w:rPr>
        <w:t xml:space="preserve"> of prevention</w:t>
      </w:r>
      <w:r w:rsidRPr="00EA6C7A">
        <w:rPr>
          <w:rFonts w:ascii="Verdana" w:hAnsi="Verdana" w:cs="Segoe UI"/>
          <w:sz w:val="20"/>
          <w:szCs w:val="20"/>
          <w:lang w:val="en-US" w:eastAsia="es-PA"/>
        </w:rPr>
        <w:t>, o</w:t>
      </w:r>
      <w:r w:rsidR="00C751C6" w:rsidRPr="00EA6C7A">
        <w:rPr>
          <w:rFonts w:ascii="Verdana" w:hAnsi="Verdana" w:cs="Segoe UI"/>
          <w:sz w:val="20"/>
          <w:szCs w:val="20"/>
          <w:lang w:val="en-US" w:eastAsia="es-PA"/>
        </w:rPr>
        <w:t>r its</w:t>
      </w:r>
      <w:r w:rsidRPr="00EA6C7A">
        <w:rPr>
          <w:rFonts w:ascii="Verdana" w:hAnsi="Verdana" w:cs="Segoe UI"/>
          <w:sz w:val="20"/>
          <w:szCs w:val="20"/>
          <w:lang w:val="en-US" w:eastAsia="es-PA"/>
        </w:rPr>
        <w:t xml:space="preserve"> “</w:t>
      </w:r>
      <w:r w:rsidR="007C280B" w:rsidRPr="00EA6C7A">
        <w:rPr>
          <w:rFonts w:ascii="Verdana" w:hAnsi="Verdana" w:cs="Segoe UI"/>
          <w:sz w:val="20"/>
          <w:szCs w:val="20"/>
          <w:lang w:val="en-US" w:eastAsia="es-PA"/>
        </w:rPr>
        <w:t>two moments</w:t>
      </w:r>
      <w:r w:rsidRPr="00EA6C7A">
        <w:rPr>
          <w:rFonts w:ascii="Verdana" w:hAnsi="Verdana" w:cs="Segoe UI"/>
          <w:sz w:val="20"/>
          <w:szCs w:val="20"/>
          <w:lang w:val="en-US" w:eastAsia="es-PA"/>
        </w:rPr>
        <w:t xml:space="preserve">” </w:t>
      </w:r>
      <w:r w:rsidR="00C751C6" w:rsidRPr="00EA6C7A">
        <w:rPr>
          <w:rFonts w:ascii="Verdana" w:hAnsi="Verdana" w:cs="Segoe UI"/>
          <w:sz w:val="20"/>
          <w:szCs w:val="20"/>
          <w:lang w:val="en-US" w:eastAsia="es-PA"/>
        </w:rPr>
        <w:t>of analysis, it can be seen that</w:t>
      </w:r>
      <w:r w:rsidR="00565C71" w:rsidRPr="00EA6C7A">
        <w:rPr>
          <w:rFonts w:ascii="Verdana" w:hAnsi="Verdana" w:cs="Segoe UI"/>
          <w:sz w:val="20"/>
          <w:szCs w:val="20"/>
          <w:lang w:val="en-US" w:eastAsia="es-PA"/>
        </w:rPr>
        <w:t>,</w:t>
      </w:r>
      <w:r w:rsidR="00C751C6" w:rsidRPr="00EA6C7A">
        <w:rPr>
          <w:rFonts w:ascii="Verdana" w:hAnsi="Verdana" w:cs="Segoe UI"/>
          <w:sz w:val="20"/>
          <w:szCs w:val="20"/>
          <w:lang w:val="en-US" w:eastAsia="es-PA"/>
        </w:rPr>
        <w:t xml:space="preserve"> </w:t>
      </w:r>
      <w:r w:rsidR="0019043E" w:rsidRPr="00EA6C7A">
        <w:rPr>
          <w:rFonts w:ascii="Verdana" w:hAnsi="Verdana" w:cs="Segoe UI"/>
          <w:sz w:val="20"/>
          <w:szCs w:val="20"/>
          <w:lang w:val="en-US" w:eastAsia="es-PA"/>
        </w:rPr>
        <w:t xml:space="preserve">when analyzing the </w:t>
      </w:r>
      <w:r w:rsidRPr="00EA6C7A">
        <w:rPr>
          <w:rFonts w:ascii="Verdana" w:hAnsi="Verdana" w:cs="Segoe UI"/>
          <w:sz w:val="20"/>
          <w:szCs w:val="20"/>
          <w:lang w:val="en-US" w:eastAsia="es-PA"/>
        </w:rPr>
        <w:t>“</w:t>
      </w:r>
      <w:r w:rsidR="00274B18" w:rsidRPr="00EA6C7A">
        <w:rPr>
          <w:rFonts w:ascii="Verdana" w:hAnsi="Verdana" w:cs="Segoe UI"/>
          <w:sz w:val="20"/>
          <w:szCs w:val="20"/>
          <w:lang w:val="en-US" w:eastAsia="es-PA"/>
        </w:rPr>
        <w:t>first moment</w:t>
      </w:r>
      <w:r w:rsidR="00565C71" w:rsidRPr="00EA6C7A">
        <w:rPr>
          <w:rFonts w:ascii="Verdana" w:hAnsi="Verdana" w:cs="Segoe UI"/>
          <w:sz w:val="20"/>
          <w:szCs w:val="20"/>
          <w:lang w:val="en-US" w:eastAsia="es-PA"/>
        </w:rPr>
        <w:t>,</w:t>
      </w:r>
      <w:r w:rsidRPr="00EA6C7A">
        <w:rPr>
          <w:rFonts w:ascii="Verdana" w:hAnsi="Verdana" w:cs="Segoe UI"/>
          <w:sz w:val="20"/>
          <w:szCs w:val="20"/>
          <w:lang w:val="en-US" w:eastAsia="es-PA"/>
        </w:rPr>
        <w:t>”</w:t>
      </w:r>
      <w:r w:rsidR="00565C71" w:rsidRPr="00EA6C7A">
        <w:rPr>
          <w:rFonts w:ascii="Verdana" w:hAnsi="Verdana" w:cs="Segoe UI"/>
          <w:sz w:val="20"/>
          <w:szCs w:val="20"/>
          <w:lang w:val="en-US" w:eastAsia="es-PA"/>
        </w:rPr>
        <w:t xml:space="preserve"> although the Court has established</w:t>
      </w:r>
      <w:r w:rsidR="0019043E" w:rsidRPr="00EA6C7A">
        <w:rPr>
          <w:rFonts w:ascii="Verdana" w:hAnsi="Verdana" w:cs="Segoe UI"/>
          <w:sz w:val="20"/>
          <w:szCs w:val="20"/>
          <w:lang w:val="en-US" w:eastAsia="es-PA"/>
        </w:rPr>
        <w:t xml:space="preserve"> that, in a </w:t>
      </w:r>
      <w:r w:rsidRPr="00EA6C7A">
        <w:rPr>
          <w:rFonts w:ascii="Verdana" w:hAnsi="Verdana" w:cs="Segoe UI"/>
          <w:sz w:val="20"/>
          <w:szCs w:val="20"/>
          <w:lang w:val="en-US" w:eastAsia="es-PA"/>
        </w:rPr>
        <w:t>context</w:t>
      </w:r>
      <w:r w:rsidR="0019043E" w:rsidRPr="00EA6C7A">
        <w:rPr>
          <w:rFonts w:ascii="Verdana" w:hAnsi="Verdana" w:cs="Segoe UI"/>
          <w:sz w:val="20"/>
          <w:szCs w:val="20"/>
          <w:lang w:val="en-US" w:eastAsia="es-PA"/>
        </w:rPr>
        <w:t xml:space="preserve"> of</w:t>
      </w:r>
      <w:r w:rsidRPr="00EA6C7A">
        <w:rPr>
          <w:rFonts w:ascii="Verdana" w:hAnsi="Verdana" w:cs="Segoe UI"/>
          <w:sz w:val="20"/>
          <w:szCs w:val="20"/>
          <w:lang w:val="en-US" w:eastAsia="es-PA"/>
        </w:rPr>
        <w:t xml:space="preserve"> </w:t>
      </w:r>
      <w:r w:rsidR="00C12C08" w:rsidRPr="00EA6C7A">
        <w:rPr>
          <w:rFonts w:ascii="Verdana" w:hAnsi="Verdana" w:cs="Segoe UI"/>
          <w:sz w:val="20"/>
          <w:szCs w:val="20"/>
          <w:lang w:val="en-US" w:eastAsia="es-PA"/>
        </w:rPr>
        <w:t>violence against women</w:t>
      </w:r>
      <w:r w:rsidRPr="00EA6C7A">
        <w:rPr>
          <w:rFonts w:ascii="Verdana" w:hAnsi="Verdana" w:cs="Segoe UI"/>
          <w:sz w:val="20"/>
          <w:szCs w:val="20"/>
          <w:lang w:val="en-US" w:eastAsia="es-PA"/>
        </w:rPr>
        <w:t xml:space="preserve"> “</w:t>
      </w:r>
      <w:r w:rsidR="0019043E" w:rsidRPr="00EA6C7A">
        <w:rPr>
          <w:rFonts w:ascii="Verdana" w:hAnsi="Verdana" w:cs="Segoe UI"/>
          <w:sz w:val="20"/>
          <w:szCs w:val="20"/>
          <w:lang w:val="en-US" w:eastAsia="es-PA"/>
        </w:rPr>
        <w:t xml:space="preserve">international obligations impose on the State an enhanced responsibility with regard to the protection of women […] which includes the </w:t>
      </w:r>
      <w:r w:rsidR="00D5307F" w:rsidRPr="00EA6C7A">
        <w:rPr>
          <w:rFonts w:ascii="Verdana" w:hAnsi="Verdana" w:cs="Segoe UI"/>
          <w:sz w:val="20"/>
          <w:szCs w:val="20"/>
          <w:lang w:val="en-US" w:eastAsia="es-PA"/>
        </w:rPr>
        <w:t>obligation of prevention</w:t>
      </w:r>
      <w:r w:rsidR="0019043E" w:rsidRPr="00EA6C7A">
        <w:rPr>
          <w:rFonts w:ascii="Verdana" w:hAnsi="Verdana" w:cs="Segoe UI"/>
          <w:sz w:val="20"/>
          <w:szCs w:val="20"/>
          <w:lang w:val="en-US" w:eastAsia="es-PA"/>
        </w:rPr>
        <w:t>,</w:t>
      </w:r>
      <w:r w:rsidRPr="00EA6C7A">
        <w:rPr>
          <w:rFonts w:ascii="Verdana" w:hAnsi="Verdana" w:cs="Segoe UI"/>
          <w:sz w:val="20"/>
          <w:szCs w:val="20"/>
          <w:lang w:val="en-US" w:eastAsia="es-PA"/>
        </w:rPr>
        <w:t>”</w:t>
      </w:r>
      <w:r w:rsidR="0019043E" w:rsidRPr="00EA6C7A">
        <w:rPr>
          <w:rFonts w:ascii="Verdana" w:hAnsi="Verdana" w:cs="Segoe UI"/>
          <w:sz w:val="20"/>
          <w:szCs w:val="20"/>
          <w:lang w:val="en-US" w:eastAsia="es-PA"/>
        </w:rPr>
        <w:t xml:space="preserve"> it has also indicated that this does not impose on the State “unlimited responsibility for </w:t>
      </w:r>
      <w:r w:rsidR="00565C71" w:rsidRPr="00EA6C7A">
        <w:rPr>
          <w:rFonts w:ascii="Verdana" w:hAnsi="Verdana" w:cs="Segoe UI"/>
          <w:sz w:val="20"/>
          <w:szCs w:val="20"/>
          <w:lang w:val="en-US" w:eastAsia="es-PA"/>
        </w:rPr>
        <w:t>every</w:t>
      </w:r>
      <w:r w:rsidR="0019043E" w:rsidRPr="00EA6C7A">
        <w:rPr>
          <w:rFonts w:ascii="Verdana" w:hAnsi="Verdana" w:cs="Segoe UI"/>
          <w:sz w:val="20"/>
          <w:szCs w:val="20"/>
          <w:lang w:val="en-US" w:eastAsia="es-PA"/>
        </w:rPr>
        <w:t xml:space="preserve"> wrongful act committed against them.</w:t>
      </w:r>
      <w:r w:rsidRPr="00EA6C7A">
        <w:rPr>
          <w:rFonts w:ascii="Verdana" w:hAnsi="Verdana" w:cs="Segoe UI"/>
          <w:sz w:val="20"/>
          <w:szCs w:val="20"/>
          <w:lang w:val="en-US" w:eastAsia="es-PA"/>
        </w:rPr>
        <w:t>”</w:t>
      </w:r>
      <w:r w:rsidRPr="00EA6C7A">
        <w:rPr>
          <w:rFonts w:ascii="Verdana" w:hAnsi="Verdana" w:cs="Segoe UI"/>
          <w:sz w:val="20"/>
          <w:szCs w:val="20"/>
          <w:vertAlign w:val="superscript"/>
          <w:lang w:val="en-US" w:eastAsia="es-PA"/>
        </w:rPr>
        <w:footnoteReference w:id="96"/>
      </w:r>
      <w:r w:rsidRPr="00EA6C7A">
        <w:rPr>
          <w:rFonts w:ascii="Verdana" w:hAnsi="Verdana" w:cs="Segoe UI"/>
          <w:sz w:val="20"/>
          <w:szCs w:val="20"/>
          <w:lang w:val="en-US" w:eastAsia="es-PA"/>
        </w:rPr>
        <w:t xml:space="preserve"> </w:t>
      </w:r>
    </w:p>
    <w:p w14:paraId="3F6AA716"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Segoe UI"/>
          <w:sz w:val="20"/>
          <w:szCs w:val="20"/>
          <w:lang w:val="en-US" w:eastAsia="es-PA"/>
        </w:rPr>
      </w:pPr>
    </w:p>
    <w:p w14:paraId="7998D446"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Segoe UI"/>
          <w:sz w:val="20"/>
          <w:szCs w:val="20"/>
          <w:lang w:val="en-US" w:eastAsia="es-PA"/>
        </w:rPr>
      </w:pPr>
      <w:r w:rsidRPr="00EA6C7A">
        <w:rPr>
          <w:rFonts w:ascii="Verdana" w:hAnsi="Verdana" w:cs="Segoe UI"/>
          <w:sz w:val="20"/>
          <w:szCs w:val="20"/>
          <w:lang w:val="en-US" w:eastAsia="es-PA"/>
        </w:rPr>
        <w:t xml:space="preserve">54. </w:t>
      </w:r>
      <w:r w:rsidRPr="00EA6C7A">
        <w:rPr>
          <w:rFonts w:ascii="Verdana" w:hAnsi="Verdana" w:cs="Segoe UI"/>
          <w:sz w:val="20"/>
          <w:szCs w:val="20"/>
          <w:lang w:val="en-US" w:eastAsia="es-PA"/>
        </w:rPr>
        <w:tab/>
      </w:r>
      <w:r w:rsidR="0019043E" w:rsidRPr="00EA6C7A">
        <w:rPr>
          <w:rFonts w:ascii="Verdana" w:hAnsi="Verdana" w:cs="Segoe UI"/>
          <w:sz w:val="20"/>
          <w:szCs w:val="20"/>
          <w:lang w:val="en-US" w:eastAsia="es-PA"/>
        </w:rPr>
        <w:t>Even though I share this opinion, I also consider that, in reality</w:t>
      </w:r>
      <w:r w:rsidR="000321CA" w:rsidRPr="00EA6C7A">
        <w:rPr>
          <w:rFonts w:ascii="Verdana" w:hAnsi="Verdana" w:cs="Segoe UI"/>
          <w:sz w:val="20"/>
          <w:szCs w:val="20"/>
          <w:lang w:val="en-US" w:eastAsia="es-PA"/>
        </w:rPr>
        <w:t xml:space="preserve">, </w:t>
      </w:r>
      <w:r w:rsidR="0019043E" w:rsidRPr="00EA6C7A">
        <w:rPr>
          <w:rFonts w:ascii="Verdana" w:hAnsi="Verdana" w:cs="Segoe UI"/>
          <w:sz w:val="20"/>
          <w:szCs w:val="20"/>
          <w:u w:val="single"/>
          <w:lang w:val="en-US" w:eastAsia="es-PA"/>
        </w:rPr>
        <w:t>compliance with its obligation “to have an adequate legal protection framework that is enforced effective</w:t>
      </w:r>
      <w:r w:rsidR="000321CA" w:rsidRPr="00EA6C7A">
        <w:rPr>
          <w:rFonts w:ascii="Verdana" w:hAnsi="Verdana" w:cs="Segoe UI"/>
          <w:sz w:val="20"/>
          <w:szCs w:val="20"/>
          <w:u w:val="single"/>
          <w:lang w:val="en-US" w:eastAsia="es-PA"/>
        </w:rPr>
        <w:t>ly</w:t>
      </w:r>
      <w:r w:rsidR="0019043E" w:rsidRPr="00EA6C7A">
        <w:rPr>
          <w:rFonts w:ascii="Verdana" w:hAnsi="Verdana" w:cs="Segoe UI"/>
          <w:sz w:val="20"/>
          <w:szCs w:val="20"/>
          <w:u w:val="single"/>
          <w:lang w:val="en-US" w:eastAsia="es-PA"/>
        </w:rPr>
        <w:t xml:space="preserve"> and prevention policies and practices that permit eff</w:t>
      </w:r>
      <w:r w:rsidR="000321CA" w:rsidRPr="00EA6C7A">
        <w:rPr>
          <w:rFonts w:ascii="Verdana" w:hAnsi="Verdana" w:cs="Segoe UI"/>
          <w:sz w:val="20"/>
          <w:szCs w:val="20"/>
          <w:u w:val="single"/>
          <w:lang w:val="en-US" w:eastAsia="es-PA"/>
        </w:rPr>
        <w:t>icient</w:t>
      </w:r>
      <w:r w:rsidR="0019043E" w:rsidRPr="00EA6C7A">
        <w:rPr>
          <w:rFonts w:ascii="Verdana" w:hAnsi="Verdana" w:cs="Segoe UI"/>
          <w:sz w:val="20"/>
          <w:szCs w:val="20"/>
          <w:u w:val="single"/>
          <w:lang w:val="en-US" w:eastAsia="es-PA"/>
        </w:rPr>
        <w:t xml:space="preserve"> actions in response to reports</w:t>
      </w:r>
      <w:r w:rsidR="0019043E" w:rsidRPr="00EA6C7A">
        <w:rPr>
          <w:rFonts w:ascii="Verdana" w:hAnsi="Verdana" w:cs="Segoe UI"/>
          <w:sz w:val="20"/>
          <w:szCs w:val="20"/>
          <w:lang w:val="en-US" w:eastAsia="es-PA"/>
        </w:rPr>
        <w:t xml:space="preserve">, does not represent </w:t>
      </w:r>
      <w:r w:rsidR="000321CA" w:rsidRPr="00EA6C7A">
        <w:rPr>
          <w:rFonts w:ascii="Verdana" w:hAnsi="Verdana" w:cs="Segoe UI"/>
          <w:sz w:val="20"/>
          <w:szCs w:val="20"/>
          <w:lang w:val="en-US" w:eastAsia="es-PA"/>
        </w:rPr>
        <w:t>imposing</w:t>
      </w:r>
      <w:r w:rsidR="0019043E" w:rsidRPr="00EA6C7A">
        <w:rPr>
          <w:rFonts w:ascii="Verdana" w:hAnsi="Verdana" w:cs="Segoe UI"/>
          <w:sz w:val="20"/>
          <w:szCs w:val="20"/>
          <w:lang w:val="en-US" w:eastAsia="es-PA"/>
        </w:rPr>
        <w:t xml:space="preserve"> an unlimited responsibility on the State; nor does the fact that the prevention strategy </w:t>
      </w:r>
      <w:r w:rsidR="0019043E" w:rsidRPr="00EA6C7A">
        <w:rPr>
          <w:rFonts w:ascii="Verdana" w:hAnsi="Verdana" w:cs="Segoe UI"/>
          <w:sz w:val="20"/>
          <w:szCs w:val="20"/>
          <w:u w:val="single"/>
          <w:lang w:val="en-US" w:eastAsia="es-PA"/>
        </w:rPr>
        <w:t>must be comprehensive</w:t>
      </w:r>
      <w:r w:rsidR="0019043E" w:rsidRPr="00EA6C7A">
        <w:rPr>
          <w:rFonts w:ascii="Verdana" w:hAnsi="Verdana" w:cs="Segoe UI"/>
          <w:sz w:val="20"/>
          <w:szCs w:val="20"/>
          <w:lang w:val="en-US" w:eastAsia="es-PA"/>
        </w:rPr>
        <w:t xml:space="preserve"> and must prevent “</w:t>
      </w:r>
      <w:r w:rsidR="0019043E" w:rsidRPr="00EA6C7A">
        <w:rPr>
          <w:rFonts w:ascii="Verdana" w:hAnsi="Verdana" w:cs="Segoe UI"/>
          <w:sz w:val="20"/>
          <w:szCs w:val="20"/>
          <w:u w:val="single"/>
          <w:lang w:val="en-US" w:eastAsia="es-PA"/>
        </w:rPr>
        <w:t>the risk factors and, at the same time, reinforce the institutions so that they can provide an effective response to cases of</w:t>
      </w:r>
      <w:r w:rsidR="0019043E" w:rsidRPr="00EA6C7A">
        <w:rPr>
          <w:rFonts w:ascii="Verdana" w:hAnsi="Verdana" w:cs="Segoe UI"/>
          <w:sz w:val="20"/>
          <w:szCs w:val="20"/>
          <w:lang w:val="en-US" w:eastAsia="es-PA"/>
        </w:rPr>
        <w:t xml:space="preserve"> </w:t>
      </w:r>
      <w:r w:rsidR="00C12C08" w:rsidRPr="00EA6C7A">
        <w:rPr>
          <w:rFonts w:ascii="Verdana" w:hAnsi="Verdana" w:cs="Segoe UI"/>
          <w:sz w:val="20"/>
          <w:szCs w:val="20"/>
          <w:u w:val="single"/>
          <w:lang w:val="en-US" w:eastAsia="es-PA"/>
        </w:rPr>
        <w:t>violence against women</w:t>
      </w:r>
      <w:r w:rsidRPr="00EA6C7A">
        <w:rPr>
          <w:rFonts w:ascii="Verdana" w:hAnsi="Verdana" w:cs="Segoe UI"/>
          <w:sz w:val="20"/>
          <w:szCs w:val="20"/>
          <w:lang w:val="en-US" w:eastAsia="es-PA"/>
        </w:rPr>
        <w:t xml:space="preserve">” </w:t>
      </w:r>
      <w:r w:rsidR="0019043E" w:rsidRPr="00EA6C7A">
        <w:rPr>
          <w:rFonts w:ascii="Verdana" w:hAnsi="Verdana" w:cs="Segoe UI"/>
          <w:sz w:val="20"/>
          <w:szCs w:val="20"/>
          <w:lang w:val="en-US" w:eastAsia="es-PA"/>
        </w:rPr>
        <w:t>as</w:t>
      </w:r>
      <w:r w:rsidRPr="00EA6C7A">
        <w:rPr>
          <w:rFonts w:ascii="Verdana" w:hAnsi="Verdana" w:cs="Segoe UI"/>
          <w:sz w:val="20"/>
          <w:szCs w:val="20"/>
          <w:lang w:val="en-US" w:eastAsia="es-PA"/>
        </w:rPr>
        <w:t xml:space="preserve"> </w:t>
      </w:r>
      <w:r w:rsidR="0096418F" w:rsidRPr="00EA6C7A">
        <w:rPr>
          <w:rFonts w:ascii="Verdana" w:hAnsi="Verdana" w:cs="Segoe UI"/>
          <w:sz w:val="20"/>
          <w:szCs w:val="20"/>
          <w:lang w:val="en-US" w:eastAsia="es-PA"/>
        </w:rPr>
        <w:t xml:space="preserve">the </w:t>
      </w:r>
      <w:r w:rsidR="009939AC" w:rsidRPr="00EA6C7A">
        <w:rPr>
          <w:rFonts w:ascii="Verdana" w:hAnsi="Verdana" w:cs="Segoe UI"/>
          <w:sz w:val="20"/>
          <w:szCs w:val="20"/>
          <w:lang w:val="en-US" w:eastAsia="es-PA"/>
        </w:rPr>
        <w:t>Court</w:t>
      </w:r>
      <w:r w:rsidRPr="00EA6C7A">
        <w:rPr>
          <w:rFonts w:ascii="Verdana" w:hAnsi="Verdana" w:cs="Segoe UI"/>
          <w:sz w:val="20"/>
          <w:szCs w:val="20"/>
          <w:lang w:val="en-US" w:eastAsia="es-PA"/>
        </w:rPr>
        <w:t xml:space="preserve"> </w:t>
      </w:r>
      <w:r w:rsidR="0019043E" w:rsidRPr="00EA6C7A">
        <w:rPr>
          <w:rFonts w:ascii="Verdana" w:hAnsi="Verdana" w:cs="Segoe UI"/>
          <w:sz w:val="20"/>
          <w:szCs w:val="20"/>
          <w:lang w:val="en-US" w:eastAsia="es-PA"/>
        </w:rPr>
        <w:t>has established in its case law,</w:t>
      </w:r>
      <w:r w:rsidRPr="00EA6C7A">
        <w:rPr>
          <w:rFonts w:ascii="Verdana" w:hAnsi="Verdana" w:cs="Segoe UI"/>
          <w:sz w:val="20"/>
          <w:szCs w:val="20"/>
          <w:vertAlign w:val="superscript"/>
          <w:lang w:val="en-US" w:eastAsia="es-PA"/>
        </w:rPr>
        <w:footnoteReference w:id="97"/>
      </w:r>
      <w:r w:rsidRPr="00EA6C7A">
        <w:rPr>
          <w:rFonts w:ascii="Verdana" w:hAnsi="Verdana" w:cs="Segoe UI"/>
          <w:sz w:val="20"/>
          <w:szCs w:val="20"/>
          <w:lang w:val="en-US" w:eastAsia="es-PA"/>
        </w:rPr>
        <w:t xml:space="preserve"> aspects</w:t>
      </w:r>
      <w:r w:rsidR="0019043E" w:rsidRPr="00EA6C7A">
        <w:rPr>
          <w:rFonts w:ascii="Verdana" w:hAnsi="Verdana" w:cs="Segoe UI"/>
          <w:sz w:val="20"/>
          <w:szCs w:val="20"/>
          <w:lang w:val="en-US" w:eastAsia="es-PA"/>
        </w:rPr>
        <w:t xml:space="preserve"> that form part of the general obligation of prevention or the </w:t>
      </w:r>
      <w:r w:rsidRPr="00EA6C7A">
        <w:rPr>
          <w:rFonts w:ascii="Verdana" w:hAnsi="Verdana" w:cs="Segoe UI"/>
          <w:sz w:val="20"/>
          <w:szCs w:val="20"/>
          <w:lang w:val="en-US" w:eastAsia="es-PA"/>
        </w:rPr>
        <w:t>“</w:t>
      </w:r>
      <w:r w:rsidR="00274B18" w:rsidRPr="00EA6C7A">
        <w:rPr>
          <w:rFonts w:ascii="Verdana" w:hAnsi="Verdana" w:cs="Segoe UI"/>
          <w:sz w:val="20"/>
          <w:szCs w:val="20"/>
          <w:lang w:val="en-US" w:eastAsia="es-PA"/>
        </w:rPr>
        <w:t>first moment</w:t>
      </w:r>
      <w:r w:rsidRPr="00EA6C7A">
        <w:rPr>
          <w:rFonts w:ascii="Verdana" w:hAnsi="Verdana" w:cs="Segoe UI"/>
          <w:sz w:val="20"/>
          <w:szCs w:val="20"/>
          <w:lang w:val="en-US" w:eastAsia="es-PA"/>
        </w:rPr>
        <w:t xml:space="preserve">” </w:t>
      </w:r>
      <w:r w:rsidR="0019043E" w:rsidRPr="00EA6C7A">
        <w:rPr>
          <w:rFonts w:ascii="Verdana" w:hAnsi="Verdana" w:cs="Segoe UI"/>
          <w:sz w:val="20"/>
          <w:szCs w:val="20"/>
          <w:lang w:val="en-US" w:eastAsia="es-PA"/>
        </w:rPr>
        <w:t xml:space="preserve">of the analysis. Thus, this </w:t>
      </w:r>
      <w:r w:rsidRPr="00EA6C7A">
        <w:rPr>
          <w:rFonts w:ascii="Verdana" w:hAnsi="Verdana" w:cs="Segoe UI"/>
          <w:sz w:val="20"/>
          <w:szCs w:val="20"/>
          <w:lang w:val="en-US" w:eastAsia="es-PA"/>
        </w:rPr>
        <w:t>“</w:t>
      </w:r>
      <w:r w:rsidR="00274B18" w:rsidRPr="00EA6C7A">
        <w:rPr>
          <w:rFonts w:ascii="Verdana" w:hAnsi="Verdana" w:cs="Segoe UI"/>
          <w:sz w:val="20"/>
          <w:szCs w:val="20"/>
          <w:lang w:val="en-US" w:eastAsia="es-PA"/>
        </w:rPr>
        <w:t>first moment</w:t>
      </w:r>
      <w:r w:rsidRPr="00EA6C7A">
        <w:rPr>
          <w:rFonts w:ascii="Verdana" w:hAnsi="Verdana" w:cs="Segoe UI"/>
          <w:sz w:val="20"/>
          <w:szCs w:val="20"/>
          <w:lang w:val="en-US" w:eastAsia="es-PA"/>
        </w:rPr>
        <w:t>”</w:t>
      </w:r>
      <w:r w:rsidR="00A534EF" w:rsidRPr="00EA6C7A">
        <w:rPr>
          <w:rFonts w:ascii="Verdana" w:hAnsi="Verdana" w:cs="Segoe UI"/>
          <w:sz w:val="20"/>
          <w:szCs w:val="20"/>
          <w:lang w:val="en-US" w:eastAsia="es-PA"/>
        </w:rPr>
        <w:t xml:space="preserve"> of the obligation</w:t>
      </w:r>
      <w:r w:rsidR="00D5307F" w:rsidRPr="00EA6C7A">
        <w:rPr>
          <w:rFonts w:ascii="Verdana" w:hAnsi="Verdana" w:cs="Segoe UI"/>
          <w:sz w:val="20"/>
          <w:szCs w:val="20"/>
          <w:lang w:val="en-US" w:eastAsia="es-PA"/>
        </w:rPr>
        <w:t xml:space="preserve"> of prevention</w:t>
      </w:r>
      <w:r w:rsidRPr="00EA6C7A">
        <w:rPr>
          <w:rFonts w:ascii="Verdana" w:hAnsi="Verdana" w:cs="Segoe UI"/>
          <w:sz w:val="20"/>
          <w:szCs w:val="20"/>
          <w:lang w:val="en-US" w:eastAsia="es-PA"/>
        </w:rPr>
        <w:t xml:space="preserve"> </w:t>
      </w:r>
      <w:r w:rsidR="0019043E" w:rsidRPr="00EA6C7A">
        <w:rPr>
          <w:rFonts w:ascii="Verdana" w:hAnsi="Verdana" w:cs="Segoe UI"/>
          <w:sz w:val="20"/>
          <w:szCs w:val="20"/>
          <w:lang w:val="en-US" w:eastAsia="es-PA"/>
        </w:rPr>
        <w:t>has a determinant impact on the</w:t>
      </w:r>
      <w:r w:rsidRPr="00EA6C7A">
        <w:rPr>
          <w:rFonts w:ascii="Verdana" w:hAnsi="Verdana" w:cs="Segoe UI"/>
          <w:sz w:val="20"/>
          <w:szCs w:val="20"/>
          <w:lang w:val="en-US" w:eastAsia="es-PA"/>
        </w:rPr>
        <w:t xml:space="preserve"> “</w:t>
      </w:r>
      <w:r w:rsidR="00274B18" w:rsidRPr="00EA6C7A">
        <w:rPr>
          <w:rFonts w:ascii="Verdana" w:hAnsi="Verdana" w:cs="Segoe UI"/>
          <w:sz w:val="20"/>
          <w:szCs w:val="20"/>
          <w:lang w:val="en-US" w:eastAsia="es-PA"/>
        </w:rPr>
        <w:t>second moment</w:t>
      </w:r>
      <w:r w:rsidRPr="00EA6C7A">
        <w:rPr>
          <w:rFonts w:ascii="Verdana" w:hAnsi="Verdana" w:cs="Segoe UI"/>
          <w:sz w:val="20"/>
          <w:szCs w:val="20"/>
          <w:lang w:val="en-US" w:eastAsia="es-PA"/>
        </w:rPr>
        <w:t>”</w:t>
      </w:r>
      <w:r w:rsidR="0019043E" w:rsidRPr="00EA6C7A">
        <w:rPr>
          <w:rFonts w:ascii="Verdana" w:hAnsi="Verdana" w:cs="Segoe UI"/>
          <w:sz w:val="20"/>
          <w:szCs w:val="20"/>
          <w:lang w:val="en-US" w:eastAsia="es-PA"/>
        </w:rPr>
        <w:t xml:space="preserve"> in which the State prevention apparatus </w:t>
      </w:r>
      <w:r w:rsidR="000321CA" w:rsidRPr="00EA6C7A">
        <w:rPr>
          <w:rFonts w:ascii="Verdana" w:hAnsi="Verdana" w:cs="Segoe UI"/>
          <w:sz w:val="20"/>
          <w:szCs w:val="20"/>
          <w:lang w:val="en-US" w:eastAsia="es-PA"/>
        </w:rPr>
        <w:t>is</w:t>
      </w:r>
      <w:r w:rsidR="0019043E" w:rsidRPr="00EA6C7A">
        <w:rPr>
          <w:rFonts w:ascii="Verdana" w:hAnsi="Verdana" w:cs="Segoe UI"/>
          <w:sz w:val="20"/>
          <w:szCs w:val="20"/>
          <w:lang w:val="en-US" w:eastAsia="es-PA"/>
        </w:rPr>
        <w:t xml:space="preserve"> applied to </w:t>
      </w:r>
      <w:r w:rsidR="000321CA" w:rsidRPr="00EA6C7A">
        <w:rPr>
          <w:rFonts w:ascii="Verdana" w:hAnsi="Verdana" w:cs="Segoe UI"/>
          <w:sz w:val="20"/>
          <w:szCs w:val="20"/>
          <w:lang w:val="en-US" w:eastAsia="es-PA"/>
        </w:rPr>
        <w:t xml:space="preserve">the </w:t>
      </w:r>
      <w:r w:rsidR="0019043E" w:rsidRPr="00EA6C7A">
        <w:rPr>
          <w:rFonts w:ascii="Verdana" w:hAnsi="Verdana" w:cs="Segoe UI"/>
          <w:sz w:val="20"/>
          <w:szCs w:val="20"/>
          <w:lang w:val="en-US" w:eastAsia="es-PA"/>
        </w:rPr>
        <w:t xml:space="preserve">cases of </w:t>
      </w:r>
      <w:r w:rsidR="000321CA" w:rsidRPr="00EA6C7A">
        <w:rPr>
          <w:rFonts w:ascii="Verdana" w:hAnsi="Verdana" w:cs="Segoe UI"/>
          <w:sz w:val="20"/>
          <w:szCs w:val="20"/>
          <w:lang w:val="en-US" w:eastAsia="es-PA"/>
        </w:rPr>
        <w:t>missing persons</w:t>
      </w:r>
      <w:r w:rsidR="0019043E" w:rsidRPr="00EA6C7A">
        <w:rPr>
          <w:rFonts w:ascii="Verdana" w:hAnsi="Verdana" w:cs="Segoe UI"/>
          <w:sz w:val="20"/>
          <w:szCs w:val="20"/>
          <w:lang w:val="en-US" w:eastAsia="es-PA"/>
        </w:rPr>
        <w:t xml:space="preserve"> and gender-based violence that</w:t>
      </w:r>
      <w:r w:rsidR="000321CA" w:rsidRPr="00EA6C7A">
        <w:rPr>
          <w:rFonts w:ascii="Verdana" w:hAnsi="Verdana" w:cs="Segoe UI"/>
          <w:sz w:val="20"/>
          <w:szCs w:val="20"/>
          <w:lang w:val="en-US" w:eastAsia="es-PA"/>
        </w:rPr>
        <w:t xml:space="preserve"> confront</w:t>
      </w:r>
      <w:r w:rsidR="0019043E" w:rsidRPr="00EA6C7A">
        <w:rPr>
          <w:rFonts w:ascii="Verdana" w:hAnsi="Verdana" w:cs="Segoe UI"/>
          <w:sz w:val="20"/>
          <w:szCs w:val="20"/>
          <w:lang w:val="en-US" w:eastAsia="es-PA"/>
        </w:rPr>
        <w:t xml:space="preserve"> the State</w:t>
      </w:r>
      <w:r w:rsidRPr="00EA6C7A">
        <w:rPr>
          <w:rFonts w:ascii="Verdana" w:hAnsi="Verdana" w:cs="Segoe UI"/>
          <w:sz w:val="20"/>
          <w:szCs w:val="20"/>
          <w:lang w:val="en-US" w:eastAsia="es-PA"/>
        </w:rPr>
        <w:t>.</w:t>
      </w:r>
    </w:p>
    <w:p w14:paraId="77148719"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Segoe UI"/>
          <w:color w:val="444444"/>
          <w:sz w:val="20"/>
          <w:szCs w:val="20"/>
          <w:lang w:val="en-US" w:eastAsia="es-PA"/>
        </w:rPr>
      </w:pPr>
    </w:p>
    <w:p w14:paraId="698FCC15"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Calibri" w:hAnsi="Verdana" w:cs="Tahoma"/>
          <w:bCs/>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55. </w:t>
      </w:r>
      <w:r w:rsidRPr="00EA6C7A">
        <w:rPr>
          <w:rFonts w:ascii="Verdana" w:eastAsia="Calibri" w:hAnsi="Verdana" w:cs="Tahoma"/>
          <w:bCs/>
          <w:color w:val="000000"/>
          <w:sz w:val="20"/>
          <w:szCs w:val="20"/>
          <w:shd w:val="clear" w:color="auto" w:fill="FFFFFF"/>
          <w:lang w:val="en-US"/>
        </w:rPr>
        <w:tab/>
      </w:r>
      <w:r w:rsidR="009B17AA" w:rsidRPr="00EA6C7A">
        <w:rPr>
          <w:rFonts w:ascii="Verdana" w:eastAsia="Calibri" w:hAnsi="Verdana" w:cs="Tahoma"/>
          <w:bCs/>
          <w:color w:val="000000"/>
          <w:sz w:val="20"/>
          <w:szCs w:val="20"/>
          <w:shd w:val="clear" w:color="auto" w:fill="FFFFFF"/>
          <w:lang w:val="en-US"/>
        </w:rPr>
        <w:t xml:space="preserve">In the instant case, it should be noted that, faced with a persistent “context” of an escalation of </w:t>
      </w:r>
      <w:r w:rsidR="00C12C08" w:rsidRPr="00EA6C7A">
        <w:rPr>
          <w:rFonts w:ascii="Verdana" w:eastAsia="Calibri" w:hAnsi="Verdana" w:cs="Tahoma"/>
          <w:bCs/>
          <w:color w:val="000000"/>
          <w:sz w:val="20"/>
          <w:szCs w:val="20"/>
          <w:shd w:val="clear" w:color="auto" w:fill="FFFFFF"/>
          <w:lang w:val="en-US"/>
        </w:rPr>
        <w:t>violence against women</w:t>
      </w:r>
      <w:r w:rsidR="00D948A1" w:rsidRPr="00EA6C7A">
        <w:rPr>
          <w:rFonts w:ascii="Verdana" w:eastAsia="Calibri" w:hAnsi="Verdana" w:cs="Tahoma"/>
          <w:bCs/>
          <w:color w:val="000000"/>
          <w:sz w:val="20"/>
          <w:szCs w:val="20"/>
          <w:shd w:val="clear" w:color="auto" w:fill="FFFFFF"/>
          <w:lang w:val="en-US"/>
        </w:rPr>
        <w:t xml:space="preserve"> and </w:t>
      </w:r>
      <w:r w:rsidR="009B17AA" w:rsidRPr="00EA6C7A">
        <w:rPr>
          <w:rFonts w:ascii="Verdana" w:eastAsia="Calibri" w:hAnsi="Verdana" w:cs="Tahoma"/>
          <w:bCs/>
          <w:color w:val="000000"/>
          <w:sz w:val="20"/>
          <w:szCs w:val="20"/>
          <w:shd w:val="clear" w:color="auto" w:fill="FFFFFF"/>
          <w:lang w:val="en-US"/>
        </w:rPr>
        <w:t xml:space="preserve">even though the </w:t>
      </w:r>
      <w:r w:rsidR="000321CA" w:rsidRPr="00EA6C7A">
        <w:rPr>
          <w:rFonts w:ascii="Verdana" w:eastAsia="Calibri" w:hAnsi="Verdana" w:cs="Tahoma"/>
          <w:bCs/>
          <w:color w:val="000000"/>
          <w:sz w:val="20"/>
          <w:szCs w:val="20"/>
          <w:shd w:val="clear" w:color="auto" w:fill="FFFFFF"/>
          <w:lang w:val="en-US"/>
        </w:rPr>
        <w:t xml:space="preserve">Guatemalan </w:t>
      </w:r>
      <w:r w:rsidR="009B17AA" w:rsidRPr="00EA6C7A">
        <w:rPr>
          <w:rFonts w:ascii="Verdana" w:eastAsia="Calibri" w:hAnsi="Verdana" w:cs="Tahoma"/>
          <w:bCs/>
          <w:color w:val="000000"/>
          <w:sz w:val="20"/>
          <w:szCs w:val="20"/>
          <w:shd w:val="clear" w:color="auto" w:fill="FFFFFF"/>
          <w:lang w:val="en-US"/>
        </w:rPr>
        <w:t xml:space="preserve">State has taken some actions </w:t>
      </w:r>
      <w:r w:rsidR="000321CA" w:rsidRPr="00EA6C7A">
        <w:rPr>
          <w:rFonts w:ascii="Verdana" w:eastAsia="Calibri" w:hAnsi="Verdana" w:cs="Tahoma"/>
          <w:bCs/>
          <w:color w:val="000000"/>
          <w:sz w:val="20"/>
          <w:szCs w:val="20"/>
          <w:shd w:val="clear" w:color="auto" w:fill="FFFFFF"/>
          <w:lang w:val="en-US"/>
        </w:rPr>
        <w:t>to</w:t>
      </w:r>
      <w:r w:rsidR="009B17AA" w:rsidRPr="00EA6C7A">
        <w:rPr>
          <w:rFonts w:ascii="Verdana" w:eastAsia="Calibri" w:hAnsi="Verdana" w:cs="Tahoma"/>
          <w:bCs/>
          <w:color w:val="000000"/>
          <w:sz w:val="20"/>
          <w:szCs w:val="20"/>
          <w:shd w:val="clear" w:color="auto" w:fill="FFFFFF"/>
          <w:lang w:val="en-US"/>
        </w:rPr>
        <w:t xml:space="preserve"> address the problem</w:t>
      </w:r>
      <w:r w:rsidR="009B17AA" w:rsidRPr="00EA6C7A">
        <w:rPr>
          <w:rFonts w:ascii="Verdana" w:eastAsia="Calibri" w:hAnsi="Verdana" w:cs="Tahoma"/>
          <w:bCs/>
          <w:sz w:val="20"/>
          <w:szCs w:val="20"/>
          <w:shd w:val="clear" w:color="auto" w:fill="FFFFFF"/>
          <w:lang w:val="en-US"/>
        </w:rPr>
        <w:t>,</w:t>
      </w:r>
      <w:r w:rsidRPr="00EA6C7A">
        <w:rPr>
          <w:rFonts w:ascii="Verdana" w:eastAsia="Calibri" w:hAnsi="Verdana" w:cs="Tahoma"/>
          <w:bCs/>
          <w:sz w:val="20"/>
          <w:szCs w:val="20"/>
          <w:shd w:val="clear" w:color="auto" w:fill="FFFFFF"/>
          <w:vertAlign w:val="superscript"/>
          <w:lang w:val="en-US"/>
        </w:rPr>
        <w:footnoteReference w:id="98"/>
      </w:r>
      <w:r w:rsidR="009B17AA" w:rsidRPr="00EA6C7A">
        <w:rPr>
          <w:rFonts w:ascii="Verdana" w:eastAsia="Calibri" w:hAnsi="Verdana" w:cs="Tahoma"/>
          <w:bCs/>
          <w:sz w:val="20"/>
          <w:szCs w:val="20"/>
          <w:shd w:val="clear" w:color="auto" w:fill="FFFFFF"/>
          <w:lang w:val="en-US"/>
        </w:rPr>
        <w:t xml:space="preserve"> the insufficiency and ineffectiveness of such measures </w:t>
      </w:r>
      <w:r w:rsidR="000321CA" w:rsidRPr="00EA6C7A">
        <w:rPr>
          <w:rFonts w:ascii="Verdana" w:eastAsia="Calibri" w:hAnsi="Verdana" w:cs="Tahoma"/>
          <w:bCs/>
          <w:sz w:val="20"/>
          <w:szCs w:val="20"/>
          <w:shd w:val="clear" w:color="auto" w:fill="FFFFFF"/>
          <w:lang w:val="en-US"/>
        </w:rPr>
        <w:t>h</w:t>
      </w:r>
      <w:r w:rsidR="009B17AA" w:rsidRPr="00EA6C7A">
        <w:rPr>
          <w:rFonts w:ascii="Verdana" w:eastAsia="Calibri" w:hAnsi="Verdana" w:cs="Tahoma"/>
          <w:bCs/>
          <w:sz w:val="20"/>
          <w:szCs w:val="20"/>
          <w:shd w:val="clear" w:color="auto" w:fill="FFFFFF"/>
          <w:lang w:val="en-US"/>
        </w:rPr>
        <w:t xml:space="preserve">as meant that the country still does not have a mechanism, instrument </w:t>
      </w:r>
      <w:r w:rsidR="000321CA" w:rsidRPr="00EA6C7A">
        <w:rPr>
          <w:rFonts w:ascii="Verdana" w:eastAsia="Calibri" w:hAnsi="Verdana" w:cs="Tahoma"/>
          <w:bCs/>
          <w:sz w:val="20"/>
          <w:szCs w:val="20"/>
          <w:shd w:val="clear" w:color="auto" w:fill="FFFFFF"/>
          <w:lang w:val="en-US"/>
        </w:rPr>
        <w:t>or,</w:t>
      </w:r>
      <w:r w:rsidR="009B17AA" w:rsidRPr="00EA6C7A">
        <w:rPr>
          <w:rFonts w:ascii="Verdana" w:eastAsia="Calibri" w:hAnsi="Verdana" w:cs="Tahoma"/>
          <w:bCs/>
          <w:sz w:val="20"/>
          <w:szCs w:val="20"/>
          <w:shd w:val="clear" w:color="auto" w:fill="FFFFFF"/>
          <w:lang w:val="en-US"/>
        </w:rPr>
        <w:t xml:space="preserve"> in particular, a practice to search immediately for missing women, in accordance with the standard established by the Inter-American Court in the two previous cases on th</w:t>
      </w:r>
      <w:r w:rsidR="000321CA" w:rsidRPr="00EA6C7A">
        <w:rPr>
          <w:rFonts w:ascii="Verdana" w:eastAsia="Calibri" w:hAnsi="Verdana" w:cs="Tahoma"/>
          <w:bCs/>
          <w:sz w:val="20"/>
          <w:szCs w:val="20"/>
          <w:shd w:val="clear" w:color="auto" w:fill="FFFFFF"/>
          <w:lang w:val="en-US"/>
        </w:rPr>
        <w:t>is</w:t>
      </w:r>
      <w:r w:rsidR="009B17AA" w:rsidRPr="00EA6C7A">
        <w:rPr>
          <w:rFonts w:ascii="Verdana" w:eastAsia="Calibri" w:hAnsi="Verdana" w:cs="Tahoma"/>
          <w:bCs/>
          <w:sz w:val="20"/>
          <w:szCs w:val="20"/>
          <w:shd w:val="clear" w:color="auto" w:fill="FFFFFF"/>
          <w:lang w:val="en-US"/>
        </w:rPr>
        <w:t xml:space="preserve"> matter,</w:t>
      </w:r>
      <w:r w:rsidRPr="00EA6C7A">
        <w:rPr>
          <w:rFonts w:ascii="Verdana" w:hAnsi="Verdana" w:cs="Segoe UI"/>
          <w:sz w:val="20"/>
          <w:szCs w:val="20"/>
          <w:vertAlign w:val="superscript"/>
          <w:lang w:val="en-US" w:eastAsia="es-PA"/>
        </w:rPr>
        <w:footnoteReference w:id="99"/>
      </w:r>
      <w:r w:rsidR="009B17AA" w:rsidRPr="00EA6C7A">
        <w:rPr>
          <w:rFonts w:ascii="Verdana" w:hAnsi="Verdana" w:cs="Segoe UI"/>
          <w:sz w:val="20"/>
          <w:szCs w:val="20"/>
          <w:lang w:val="en-US" w:eastAsia="es-PA"/>
        </w:rPr>
        <w:t xml:space="preserve"> that could prevent the </w:t>
      </w:r>
      <w:r w:rsidR="000321CA" w:rsidRPr="00EA6C7A">
        <w:rPr>
          <w:rFonts w:ascii="Verdana" w:hAnsi="Verdana" w:cs="Segoe UI"/>
          <w:sz w:val="20"/>
          <w:szCs w:val="20"/>
          <w:lang w:val="en-US" w:eastAsia="es-PA"/>
        </w:rPr>
        <w:t>risk</w:t>
      </w:r>
      <w:r w:rsidR="009B17AA" w:rsidRPr="00EA6C7A">
        <w:rPr>
          <w:rFonts w:ascii="Verdana" w:hAnsi="Verdana" w:cs="Segoe UI"/>
          <w:sz w:val="20"/>
          <w:szCs w:val="20"/>
          <w:lang w:val="en-US" w:eastAsia="es-PA"/>
        </w:rPr>
        <w:t xml:space="preserve"> faced by Guatemalan women and girls given the </w:t>
      </w:r>
      <w:r w:rsidR="000321CA" w:rsidRPr="00EA6C7A">
        <w:rPr>
          <w:rFonts w:ascii="Verdana" w:hAnsi="Verdana" w:cs="Segoe UI"/>
          <w:sz w:val="20"/>
          <w:szCs w:val="20"/>
          <w:lang w:val="en-US" w:eastAsia="es-PA"/>
        </w:rPr>
        <w:t>escalation</w:t>
      </w:r>
      <w:r w:rsidR="009B17AA" w:rsidRPr="00EA6C7A">
        <w:rPr>
          <w:rFonts w:ascii="Verdana" w:hAnsi="Verdana" w:cs="Segoe UI"/>
          <w:sz w:val="20"/>
          <w:szCs w:val="20"/>
          <w:lang w:val="en-US" w:eastAsia="es-PA"/>
        </w:rPr>
        <w:t xml:space="preserve"> in the murder of women </w:t>
      </w:r>
      <w:r w:rsidR="000321CA" w:rsidRPr="00EA6C7A">
        <w:rPr>
          <w:rFonts w:ascii="Verdana" w:hAnsi="Verdana" w:cs="Segoe UI"/>
          <w:sz w:val="20"/>
          <w:szCs w:val="20"/>
          <w:lang w:val="en-US" w:eastAsia="es-PA"/>
        </w:rPr>
        <w:t>and</w:t>
      </w:r>
      <w:r w:rsidR="009B17AA" w:rsidRPr="00EA6C7A">
        <w:rPr>
          <w:rFonts w:ascii="Verdana" w:hAnsi="Verdana" w:cs="Segoe UI"/>
          <w:sz w:val="20"/>
          <w:szCs w:val="20"/>
          <w:lang w:val="en-US" w:eastAsia="es-PA"/>
        </w:rPr>
        <w:t xml:space="preserve"> the brutal circumstances</w:t>
      </w:r>
      <w:r w:rsidRPr="00EA6C7A">
        <w:rPr>
          <w:rFonts w:ascii="Verdana" w:hAnsi="Verdana" w:cs="Segoe UI"/>
          <w:sz w:val="20"/>
          <w:szCs w:val="20"/>
          <w:lang w:val="en-US" w:eastAsia="es-PA"/>
        </w:rPr>
        <w:t xml:space="preserve"> </w:t>
      </w:r>
      <w:r w:rsidR="009B17AA" w:rsidRPr="00EA6C7A">
        <w:rPr>
          <w:rFonts w:ascii="Verdana" w:hAnsi="Verdana" w:cs="Segoe UI"/>
          <w:sz w:val="20"/>
          <w:szCs w:val="20"/>
          <w:lang w:val="en-US" w:eastAsia="es-PA"/>
        </w:rPr>
        <w:t>in which it is perpetrated</w:t>
      </w:r>
      <w:r w:rsidRPr="00EA6C7A">
        <w:rPr>
          <w:rFonts w:ascii="Verdana" w:hAnsi="Verdana" w:cs="Segoe UI"/>
          <w:sz w:val="20"/>
          <w:szCs w:val="20"/>
          <w:lang w:val="en-US" w:eastAsia="es-PA"/>
        </w:rPr>
        <w:t xml:space="preserve">. </w:t>
      </w:r>
    </w:p>
    <w:p w14:paraId="4C952129"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Calibri" w:hAnsi="Verdana" w:cs="Tahoma"/>
          <w:bCs/>
          <w:color w:val="000000"/>
          <w:sz w:val="20"/>
          <w:szCs w:val="20"/>
          <w:shd w:val="clear" w:color="auto" w:fill="FFFFFF"/>
          <w:lang w:val="en-US"/>
        </w:rPr>
      </w:pPr>
    </w:p>
    <w:p w14:paraId="10261271"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56. </w:t>
      </w:r>
      <w:r w:rsidRPr="00EA6C7A">
        <w:rPr>
          <w:rFonts w:ascii="Verdana" w:eastAsia="Calibri" w:hAnsi="Verdana" w:cs="Tahoma"/>
          <w:bCs/>
          <w:color w:val="000000"/>
          <w:sz w:val="20"/>
          <w:szCs w:val="20"/>
          <w:shd w:val="clear" w:color="auto" w:fill="FFFFFF"/>
          <w:lang w:val="en-US"/>
        </w:rPr>
        <w:tab/>
      </w:r>
      <w:r w:rsidR="009B17AA" w:rsidRPr="00EA6C7A">
        <w:rPr>
          <w:rFonts w:ascii="Verdana" w:eastAsia="Calibri" w:hAnsi="Verdana" w:cs="Tahoma"/>
          <w:bCs/>
          <w:color w:val="000000"/>
          <w:sz w:val="20"/>
          <w:szCs w:val="20"/>
          <w:shd w:val="clear" w:color="auto" w:fill="FFFFFF"/>
          <w:lang w:val="en-US"/>
        </w:rPr>
        <w:t>It is a factor of special concern that, as a result of the failure to adopt effective and sufficient measures to prevent violence against Guatemalan women, they continue to face a constant situation of danger, where the guarantee of their rights is nullified</w:t>
      </w:r>
      <w:r w:rsidR="000321CA" w:rsidRPr="00EA6C7A">
        <w:rPr>
          <w:rFonts w:ascii="Verdana" w:eastAsia="Calibri" w:hAnsi="Verdana" w:cs="Tahoma"/>
          <w:bCs/>
          <w:color w:val="000000"/>
          <w:sz w:val="20"/>
          <w:szCs w:val="20"/>
          <w:shd w:val="clear" w:color="auto" w:fill="FFFFFF"/>
          <w:lang w:val="en-US"/>
        </w:rPr>
        <w:t xml:space="preserve">, as well as </w:t>
      </w:r>
      <w:r w:rsidR="009B17AA" w:rsidRPr="00EA6C7A">
        <w:rPr>
          <w:rFonts w:ascii="Verdana" w:eastAsia="Calibri" w:hAnsi="Verdana" w:cs="Tahoma"/>
          <w:bCs/>
          <w:color w:val="000000"/>
          <w:sz w:val="20"/>
          <w:szCs w:val="20"/>
          <w:shd w:val="clear" w:color="auto" w:fill="FFFFFF"/>
          <w:lang w:val="en-US"/>
        </w:rPr>
        <w:t>th</w:t>
      </w:r>
      <w:r w:rsidR="000321CA" w:rsidRPr="00EA6C7A">
        <w:rPr>
          <w:rFonts w:ascii="Verdana" w:eastAsia="Calibri" w:hAnsi="Verdana" w:cs="Tahoma"/>
          <w:bCs/>
          <w:color w:val="000000"/>
          <w:sz w:val="20"/>
          <w:szCs w:val="20"/>
          <w:shd w:val="clear" w:color="auto" w:fill="FFFFFF"/>
          <w:lang w:val="en-US"/>
        </w:rPr>
        <w:t>e rights</w:t>
      </w:r>
      <w:r w:rsidR="009B17AA" w:rsidRPr="00EA6C7A">
        <w:rPr>
          <w:rFonts w:ascii="Verdana" w:eastAsia="Calibri" w:hAnsi="Verdana" w:cs="Tahoma"/>
          <w:bCs/>
          <w:color w:val="000000"/>
          <w:sz w:val="20"/>
          <w:szCs w:val="20"/>
          <w:shd w:val="clear" w:color="auto" w:fill="FFFFFF"/>
          <w:lang w:val="en-US"/>
        </w:rPr>
        <w:t xml:space="preserve"> of the</w:t>
      </w:r>
      <w:r w:rsidR="000321CA" w:rsidRPr="00EA6C7A">
        <w:rPr>
          <w:rFonts w:ascii="Verdana" w:eastAsia="Calibri" w:hAnsi="Verdana" w:cs="Tahoma"/>
          <w:bCs/>
          <w:color w:val="000000"/>
          <w:sz w:val="20"/>
          <w:szCs w:val="20"/>
          <w:shd w:val="clear" w:color="auto" w:fill="FFFFFF"/>
          <w:lang w:val="en-US"/>
        </w:rPr>
        <w:t>ir</w:t>
      </w:r>
      <w:r w:rsidR="009B17AA" w:rsidRPr="00EA6C7A">
        <w:rPr>
          <w:rFonts w:ascii="Verdana" w:eastAsia="Calibri" w:hAnsi="Verdana" w:cs="Tahoma"/>
          <w:bCs/>
          <w:color w:val="000000"/>
          <w:sz w:val="20"/>
          <w:szCs w:val="20"/>
          <w:shd w:val="clear" w:color="auto" w:fill="FFFFFF"/>
          <w:lang w:val="en-US"/>
        </w:rPr>
        <w:t xml:space="preserve"> next of kin, as in the instant case</w:t>
      </w:r>
      <w:r w:rsidRPr="00EA6C7A">
        <w:rPr>
          <w:rFonts w:ascii="Verdana" w:eastAsia="Calibri" w:hAnsi="Verdana" w:cs="Tahoma"/>
          <w:bCs/>
          <w:color w:val="000000"/>
          <w:sz w:val="20"/>
          <w:szCs w:val="20"/>
          <w:shd w:val="clear" w:color="auto" w:fill="FFFFFF"/>
          <w:lang w:val="en-US"/>
        </w:rPr>
        <w:t>.</w:t>
      </w:r>
    </w:p>
    <w:p w14:paraId="1F9E25C9"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Calibri" w:hAnsi="Verdana" w:cs="Tahoma"/>
          <w:bCs/>
          <w:color w:val="000000"/>
          <w:sz w:val="20"/>
          <w:szCs w:val="20"/>
          <w:shd w:val="clear" w:color="auto" w:fill="FFFFFF"/>
          <w:lang w:val="en-US"/>
        </w:rPr>
      </w:pPr>
    </w:p>
    <w:p w14:paraId="111C545B" w14:textId="77777777" w:rsidR="009430E7"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lastRenderedPageBreak/>
        <w:t xml:space="preserve">57. </w:t>
      </w:r>
      <w:r w:rsidRPr="00EA6C7A">
        <w:rPr>
          <w:rFonts w:ascii="Verdana" w:eastAsia="Calibri" w:hAnsi="Verdana" w:cs="Tahoma"/>
          <w:bCs/>
          <w:color w:val="000000"/>
          <w:sz w:val="20"/>
          <w:szCs w:val="20"/>
          <w:shd w:val="clear" w:color="auto" w:fill="FFFFFF"/>
          <w:lang w:val="en-US"/>
        </w:rPr>
        <w:tab/>
      </w:r>
      <w:r w:rsidR="009B17AA" w:rsidRPr="00EA6C7A">
        <w:rPr>
          <w:rFonts w:ascii="Verdana" w:eastAsia="Calibri" w:hAnsi="Verdana" w:cs="Tahoma"/>
          <w:bCs/>
          <w:color w:val="000000"/>
          <w:sz w:val="20"/>
          <w:szCs w:val="20"/>
          <w:shd w:val="clear" w:color="auto" w:fill="FFFFFF"/>
          <w:lang w:val="en-US"/>
        </w:rPr>
        <w:t xml:space="preserve">Consequently, the undersigned finds it pertinent to indicate that, </w:t>
      </w:r>
      <w:r w:rsidR="000321CA" w:rsidRPr="00EA6C7A">
        <w:rPr>
          <w:rFonts w:ascii="Verdana" w:eastAsia="Calibri" w:hAnsi="Verdana" w:cs="Tahoma"/>
          <w:bCs/>
          <w:color w:val="000000"/>
          <w:sz w:val="20"/>
          <w:szCs w:val="20"/>
          <w:shd w:val="clear" w:color="auto" w:fill="FFFFFF"/>
          <w:lang w:val="en-US"/>
        </w:rPr>
        <w:t>given</w:t>
      </w:r>
      <w:r w:rsidR="009B17AA" w:rsidRPr="00EA6C7A">
        <w:rPr>
          <w:rFonts w:ascii="Verdana" w:eastAsia="Calibri" w:hAnsi="Verdana" w:cs="Tahoma"/>
          <w:bCs/>
          <w:color w:val="000000"/>
          <w:sz w:val="20"/>
          <w:szCs w:val="20"/>
          <w:shd w:val="clear" w:color="auto" w:fill="FFFFFF"/>
          <w:lang w:val="en-US"/>
        </w:rPr>
        <w:t xml:space="preserve"> the context of </w:t>
      </w:r>
      <w:r w:rsidRPr="00EA6C7A">
        <w:rPr>
          <w:rFonts w:ascii="Verdana" w:eastAsia="Calibri" w:hAnsi="Verdana" w:cs="Tahoma"/>
          <w:bCs/>
          <w:color w:val="000000"/>
          <w:sz w:val="20"/>
          <w:szCs w:val="20"/>
          <w:shd w:val="clear" w:color="auto" w:fill="FFFFFF"/>
          <w:lang w:val="en-US"/>
        </w:rPr>
        <w:t>violenc</w:t>
      </w:r>
      <w:r w:rsidR="009B17AA" w:rsidRPr="00EA6C7A">
        <w:rPr>
          <w:rFonts w:ascii="Verdana" w:eastAsia="Calibri" w:hAnsi="Verdana" w:cs="Tahoma"/>
          <w:bCs/>
          <w:color w:val="000000"/>
          <w:sz w:val="20"/>
          <w:szCs w:val="20"/>
          <w:shd w:val="clear" w:color="auto" w:fill="FFFFFF"/>
          <w:lang w:val="en-US"/>
        </w:rPr>
        <w:t xml:space="preserve">e faced by women </w:t>
      </w:r>
      <w:r w:rsidR="00FC7D3B" w:rsidRPr="00EA6C7A">
        <w:rPr>
          <w:rFonts w:ascii="Verdana" w:eastAsia="Calibri" w:hAnsi="Verdana" w:cs="Tahoma"/>
          <w:bCs/>
          <w:color w:val="000000"/>
          <w:sz w:val="20"/>
          <w:szCs w:val="20"/>
          <w:shd w:val="clear" w:color="auto" w:fill="FFFFFF"/>
          <w:lang w:val="en-US"/>
        </w:rPr>
        <w:t>in Guatemala</w:t>
      </w:r>
      <w:r w:rsidR="009B17AA" w:rsidRPr="00EA6C7A">
        <w:rPr>
          <w:rFonts w:ascii="Verdana" w:eastAsia="Calibri" w:hAnsi="Verdana" w:cs="Tahoma"/>
          <w:bCs/>
          <w:color w:val="000000"/>
          <w:sz w:val="20"/>
          <w:szCs w:val="20"/>
          <w:shd w:val="clear" w:color="auto" w:fill="FFFFFF"/>
          <w:lang w:val="en-US"/>
        </w:rPr>
        <w:t xml:space="preserve"> </w:t>
      </w:r>
      <w:r w:rsidR="00D948A1" w:rsidRPr="00EA6C7A">
        <w:rPr>
          <w:rFonts w:ascii="Verdana" w:eastAsia="Calibri" w:hAnsi="Verdana" w:cs="Tahoma"/>
          <w:bCs/>
          <w:color w:val="000000"/>
          <w:sz w:val="20"/>
          <w:szCs w:val="20"/>
          <w:shd w:val="clear" w:color="auto" w:fill="FFFFFF"/>
          <w:lang w:val="en-US"/>
        </w:rPr>
        <w:t>and</w:t>
      </w:r>
      <w:r w:rsidR="009B17AA" w:rsidRPr="00EA6C7A">
        <w:rPr>
          <w:rFonts w:ascii="Verdana" w:eastAsia="Calibri" w:hAnsi="Verdana" w:cs="Tahoma"/>
          <w:bCs/>
          <w:color w:val="000000"/>
          <w:sz w:val="20"/>
          <w:szCs w:val="20"/>
          <w:shd w:val="clear" w:color="auto" w:fill="FFFFFF"/>
          <w:lang w:val="en-US"/>
        </w:rPr>
        <w:t>,</w:t>
      </w:r>
      <w:r w:rsidR="00D948A1" w:rsidRPr="00EA6C7A">
        <w:rPr>
          <w:rFonts w:ascii="Verdana" w:eastAsia="Calibri" w:hAnsi="Verdana" w:cs="Tahoma"/>
          <w:bCs/>
          <w:color w:val="000000"/>
          <w:sz w:val="20"/>
          <w:szCs w:val="20"/>
          <w:shd w:val="clear" w:color="auto" w:fill="FFFFFF"/>
          <w:lang w:val="en-US"/>
        </w:rPr>
        <w:t xml:space="preserve"> </w:t>
      </w:r>
      <w:r w:rsidR="009B17AA" w:rsidRPr="00EA6C7A">
        <w:rPr>
          <w:rFonts w:ascii="Verdana" w:eastAsia="Calibri" w:hAnsi="Verdana" w:cs="Tahoma"/>
          <w:bCs/>
          <w:color w:val="000000"/>
          <w:sz w:val="20"/>
          <w:szCs w:val="20"/>
          <w:shd w:val="clear" w:color="auto" w:fill="FFFFFF"/>
          <w:lang w:val="en-US"/>
        </w:rPr>
        <w:t>consequently</w:t>
      </w:r>
      <w:r w:rsidRPr="00EA6C7A">
        <w:rPr>
          <w:rFonts w:ascii="Verdana" w:eastAsia="Calibri" w:hAnsi="Verdana" w:cs="Tahoma"/>
          <w:bCs/>
          <w:color w:val="000000"/>
          <w:sz w:val="20"/>
          <w:szCs w:val="20"/>
          <w:shd w:val="clear" w:color="auto" w:fill="FFFFFF"/>
          <w:lang w:val="en-US"/>
        </w:rPr>
        <w:t xml:space="preserve">, </w:t>
      </w:r>
      <w:r w:rsidR="009B17AA" w:rsidRPr="00EA6C7A">
        <w:rPr>
          <w:rFonts w:ascii="Verdana" w:eastAsia="Calibri" w:hAnsi="Verdana" w:cs="Tahoma"/>
          <w:bCs/>
          <w:color w:val="000000"/>
          <w:sz w:val="20"/>
          <w:szCs w:val="20"/>
          <w:shd w:val="clear" w:color="auto" w:fill="FFFFFF"/>
          <w:lang w:val="en-US"/>
        </w:rPr>
        <w:t>the enhanced obligation of the State to prevent this situation, the Court should have</w:t>
      </w:r>
      <w:r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u w:val="single"/>
          <w:shd w:val="clear" w:color="auto" w:fill="FFFFFF"/>
          <w:lang w:val="en-US"/>
        </w:rPr>
        <w:t>declar</w:t>
      </w:r>
      <w:r w:rsidR="009B17AA" w:rsidRPr="00EA6C7A">
        <w:rPr>
          <w:rFonts w:ascii="Verdana" w:eastAsia="Calibri" w:hAnsi="Verdana" w:cs="Tahoma"/>
          <w:bCs/>
          <w:color w:val="000000"/>
          <w:sz w:val="20"/>
          <w:szCs w:val="20"/>
          <w:u w:val="single"/>
          <w:shd w:val="clear" w:color="auto" w:fill="FFFFFF"/>
          <w:lang w:val="en-US"/>
        </w:rPr>
        <w:t>ed the international responsibility of the State for failing to comply with its general obligation of prevention</w:t>
      </w:r>
      <w:r w:rsidR="009430E7" w:rsidRPr="00EA6C7A">
        <w:rPr>
          <w:rFonts w:ascii="Verdana" w:eastAsia="Calibri" w:hAnsi="Verdana" w:cs="Tahoma"/>
          <w:bCs/>
          <w:color w:val="000000"/>
          <w:sz w:val="20"/>
          <w:szCs w:val="20"/>
          <w:u w:val="single"/>
          <w:shd w:val="clear" w:color="auto" w:fill="FFFFFF"/>
          <w:lang w:val="en-US"/>
        </w:rPr>
        <w:t xml:space="preserve"> when examining the </w:t>
      </w:r>
      <w:r w:rsidRPr="00EA6C7A">
        <w:rPr>
          <w:rFonts w:ascii="Verdana" w:eastAsia="Calibri" w:hAnsi="Verdana" w:cs="Tahoma"/>
          <w:bCs/>
          <w:color w:val="000000"/>
          <w:sz w:val="20"/>
          <w:szCs w:val="20"/>
          <w:u w:val="single"/>
          <w:shd w:val="clear" w:color="auto" w:fill="FFFFFF"/>
          <w:lang w:val="en-US"/>
        </w:rPr>
        <w:t>“</w:t>
      </w:r>
      <w:r w:rsidR="00274B18" w:rsidRPr="00EA6C7A">
        <w:rPr>
          <w:rFonts w:ascii="Verdana" w:eastAsia="Calibri" w:hAnsi="Verdana" w:cs="Tahoma"/>
          <w:bCs/>
          <w:color w:val="000000"/>
          <w:sz w:val="20"/>
          <w:szCs w:val="20"/>
          <w:u w:val="single"/>
          <w:shd w:val="clear" w:color="auto" w:fill="FFFFFF"/>
          <w:lang w:val="en-US"/>
        </w:rPr>
        <w:t>first moment</w:t>
      </w:r>
      <w:r w:rsidRPr="00EA6C7A">
        <w:rPr>
          <w:rFonts w:ascii="Verdana" w:eastAsia="Calibri" w:hAnsi="Verdana" w:cs="Tahoma"/>
          <w:bCs/>
          <w:color w:val="000000"/>
          <w:sz w:val="20"/>
          <w:szCs w:val="20"/>
          <w:u w:val="single"/>
          <w:shd w:val="clear" w:color="auto" w:fill="FFFFFF"/>
          <w:lang w:val="en-US"/>
        </w:rPr>
        <w:t xml:space="preserve">” </w:t>
      </w:r>
      <w:r w:rsidR="009430E7" w:rsidRPr="00EA6C7A">
        <w:rPr>
          <w:rFonts w:ascii="Verdana" w:eastAsia="Calibri" w:hAnsi="Verdana" w:cs="Tahoma"/>
          <w:bCs/>
          <w:color w:val="000000"/>
          <w:sz w:val="20"/>
          <w:szCs w:val="20"/>
          <w:u w:val="single"/>
          <w:shd w:val="clear" w:color="auto" w:fill="FFFFFF"/>
          <w:lang w:val="en-US"/>
        </w:rPr>
        <w:t>of the measures adopted by the State</w:t>
      </w:r>
      <w:r w:rsidRPr="00EA6C7A">
        <w:rPr>
          <w:rFonts w:ascii="Verdana" w:eastAsia="Calibri" w:hAnsi="Verdana" w:cs="Tahoma"/>
          <w:bCs/>
          <w:color w:val="000000"/>
          <w:sz w:val="20"/>
          <w:szCs w:val="20"/>
          <w:u w:val="single"/>
          <w:shd w:val="clear" w:color="auto" w:fill="FFFFFF"/>
          <w:lang w:val="en-US"/>
        </w:rPr>
        <w:t>.</w:t>
      </w:r>
      <w:r w:rsidRPr="00EA6C7A">
        <w:rPr>
          <w:rFonts w:ascii="Verdana" w:eastAsia="Calibri" w:hAnsi="Verdana" w:cs="Tahoma"/>
          <w:bCs/>
          <w:color w:val="000000"/>
          <w:sz w:val="20"/>
          <w:szCs w:val="20"/>
          <w:shd w:val="clear" w:color="auto" w:fill="FFFFFF"/>
          <w:lang w:val="en-US"/>
        </w:rPr>
        <w:t xml:space="preserve"> </w:t>
      </w:r>
      <w:r w:rsidR="009430E7" w:rsidRPr="00EA6C7A">
        <w:rPr>
          <w:rFonts w:ascii="Verdana" w:eastAsia="Calibri" w:hAnsi="Verdana" w:cs="Tahoma"/>
          <w:bCs/>
          <w:color w:val="000000"/>
          <w:sz w:val="20"/>
          <w:szCs w:val="20"/>
          <w:shd w:val="clear" w:color="auto" w:fill="FFFFFF"/>
          <w:lang w:val="en-US"/>
        </w:rPr>
        <w:t xml:space="preserve">This is because this failure </w:t>
      </w:r>
      <w:r w:rsidR="000321CA" w:rsidRPr="00EA6C7A">
        <w:rPr>
          <w:rFonts w:ascii="Verdana" w:eastAsia="Calibri" w:hAnsi="Verdana" w:cs="Tahoma"/>
          <w:bCs/>
          <w:color w:val="000000"/>
          <w:sz w:val="20"/>
          <w:szCs w:val="20"/>
          <w:shd w:val="clear" w:color="auto" w:fill="FFFFFF"/>
          <w:lang w:val="en-US"/>
        </w:rPr>
        <w:t>originated</w:t>
      </w:r>
      <w:r w:rsidR="009430E7" w:rsidRPr="00EA6C7A">
        <w:rPr>
          <w:rFonts w:ascii="Verdana" w:eastAsia="Calibri" w:hAnsi="Verdana" w:cs="Tahoma"/>
          <w:bCs/>
          <w:color w:val="000000"/>
          <w:sz w:val="20"/>
          <w:szCs w:val="20"/>
          <w:shd w:val="clear" w:color="auto" w:fill="FFFFFF"/>
          <w:lang w:val="en-US"/>
        </w:rPr>
        <w:t xml:space="preserve"> the absence of specific prevention or</w:t>
      </w:r>
      <w:r w:rsidR="000321CA" w:rsidRPr="00EA6C7A">
        <w:rPr>
          <w:rFonts w:ascii="Verdana" w:eastAsia="Calibri" w:hAnsi="Verdana" w:cs="Tahoma"/>
          <w:bCs/>
          <w:color w:val="000000"/>
          <w:sz w:val="20"/>
          <w:szCs w:val="20"/>
          <w:shd w:val="clear" w:color="auto" w:fill="FFFFFF"/>
          <w:lang w:val="en-US"/>
        </w:rPr>
        <w:t xml:space="preserve"> the</w:t>
      </w:r>
      <w:r w:rsidR="009430E7" w:rsidRPr="00EA6C7A">
        <w:rPr>
          <w:rFonts w:ascii="Verdana" w:eastAsia="Calibri" w:hAnsi="Verdana" w:cs="Tahoma"/>
          <w:bCs/>
          <w:color w:val="000000"/>
          <w:sz w:val="20"/>
          <w:szCs w:val="20"/>
          <w:shd w:val="clear" w:color="auto" w:fill="FFFFFF"/>
          <w:lang w:val="en-US"/>
        </w:rPr>
        <w:t xml:space="preserve"> </w:t>
      </w:r>
      <w:r w:rsidRPr="00EA6C7A">
        <w:rPr>
          <w:rFonts w:ascii="Verdana" w:eastAsia="Calibri" w:hAnsi="Verdana" w:cs="Tahoma"/>
          <w:bCs/>
          <w:color w:val="000000"/>
          <w:sz w:val="20"/>
          <w:szCs w:val="20"/>
          <w:shd w:val="clear" w:color="auto" w:fill="FFFFFF"/>
          <w:lang w:val="en-US"/>
        </w:rPr>
        <w:t>“</w:t>
      </w:r>
      <w:r w:rsidR="00274B18" w:rsidRPr="00EA6C7A">
        <w:rPr>
          <w:rFonts w:ascii="Verdana" w:eastAsia="Calibri" w:hAnsi="Verdana" w:cs="Tahoma"/>
          <w:bCs/>
          <w:color w:val="000000"/>
          <w:sz w:val="20"/>
          <w:szCs w:val="20"/>
          <w:shd w:val="clear" w:color="auto" w:fill="FFFFFF"/>
          <w:lang w:val="en-US"/>
        </w:rPr>
        <w:t>second moment</w:t>
      </w:r>
      <w:r w:rsidRPr="00EA6C7A">
        <w:rPr>
          <w:rFonts w:ascii="Verdana" w:eastAsia="Calibri" w:hAnsi="Verdana" w:cs="Tahoma"/>
          <w:bCs/>
          <w:color w:val="000000"/>
          <w:sz w:val="20"/>
          <w:szCs w:val="20"/>
          <w:shd w:val="clear" w:color="auto" w:fill="FFFFFF"/>
          <w:lang w:val="en-US"/>
        </w:rPr>
        <w:t>”</w:t>
      </w:r>
      <w:r w:rsidR="00D5307F" w:rsidRPr="00EA6C7A">
        <w:rPr>
          <w:rFonts w:ascii="Verdana" w:eastAsia="Calibri" w:hAnsi="Verdana" w:cs="Tahoma"/>
          <w:bCs/>
          <w:color w:val="000000"/>
          <w:sz w:val="20"/>
          <w:szCs w:val="20"/>
          <w:shd w:val="clear" w:color="auto" w:fill="FFFFFF"/>
          <w:lang w:val="en-US"/>
        </w:rPr>
        <w:t xml:space="preserve"> of </w:t>
      </w:r>
      <w:r w:rsidR="009430E7" w:rsidRPr="00EA6C7A">
        <w:rPr>
          <w:rFonts w:ascii="Verdana" w:eastAsia="Calibri" w:hAnsi="Verdana" w:cs="Tahoma"/>
          <w:bCs/>
          <w:color w:val="000000"/>
          <w:sz w:val="20"/>
          <w:szCs w:val="20"/>
          <w:shd w:val="clear" w:color="auto" w:fill="FFFFFF"/>
          <w:lang w:val="en-US"/>
        </w:rPr>
        <w:t xml:space="preserve">prevention; </w:t>
      </w:r>
      <w:r w:rsidR="000321CA" w:rsidRPr="00EA6C7A">
        <w:rPr>
          <w:rFonts w:ascii="Verdana" w:eastAsia="Calibri" w:hAnsi="Verdana" w:cs="Tahoma"/>
          <w:bCs/>
          <w:color w:val="000000"/>
          <w:sz w:val="20"/>
          <w:szCs w:val="20"/>
          <w:shd w:val="clear" w:color="auto" w:fill="FFFFFF"/>
          <w:lang w:val="en-US"/>
        </w:rPr>
        <w:t>in other words</w:t>
      </w:r>
      <w:r w:rsidR="009430E7" w:rsidRPr="00EA6C7A">
        <w:rPr>
          <w:rFonts w:ascii="Verdana" w:eastAsia="Calibri" w:hAnsi="Verdana" w:cs="Tahoma"/>
          <w:bCs/>
          <w:color w:val="000000"/>
          <w:sz w:val="20"/>
          <w:szCs w:val="20"/>
          <w:shd w:val="clear" w:color="auto" w:fill="FFFFFF"/>
          <w:lang w:val="en-US"/>
        </w:rPr>
        <w:t xml:space="preserve">, when the State was </w:t>
      </w:r>
      <w:r w:rsidR="000321CA" w:rsidRPr="00EA6C7A">
        <w:rPr>
          <w:rFonts w:ascii="Verdana" w:eastAsia="Calibri" w:hAnsi="Verdana" w:cs="Tahoma"/>
          <w:bCs/>
          <w:color w:val="000000"/>
          <w:sz w:val="20"/>
          <w:szCs w:val="20"/>
          <w:shd w:val="clear" w:color="auto" w:fill="FFFFFF"/>
          <w:lang w:val="en-US"/>
        </w:rPr>
        <w:t>confronted by</w:t>
      </w:r>
      <w:r w:rsidR="009430E7" w:rsidRPr="00EA6C7A">
        <w:rPr>
          <w:rFonts w:ascii="Verdana" w:eastAsia="Calibri" w:hAnsi="Verdana" w:cs="Tahoma"/>
          <w:bCs/>
          <w:color w:val="000000"/>
          <w:sz w:val="20"/>
          <w:szCs w:val="20"/>
          <w:shd w:val="clear" w:color="auto" w:fill="FFFFFF"/>
          <w:lang w:val="en-US"/>
        </w:rPr>
        <w:t xml:space="preserve"> the disappearance of </w:t>
      </w:r>
      <w:r w:rsidRPr="00EA6C7A">
        <w:rPr>
          <w:rFonts w:ascii="Verdana" w:eastAsia="Calibri" w:hAnsi="Verdana" w:cs="Tahoma"/>
          <w:bCs/>
          <w:color w:val="000000"/>
          <w:sz w:val="20"/>
          <w:szCs w:val="20"/>
          <w:shd w:val="clear" w:color="auto" w:fill="FFFFFF"/>
          <w:lang w:val="en-US"/>
        </w:rPr>
        <w:t xml:space="preserve">Claudina Velásquez; </w:t>
      </w:r>
      <w:r w:rsidR="009430E7" w:rsidRPr="00EA6C7A">
        <w:rPr>
          <w:rFonts w:ascii="Verdana" w:eastAsia="Calibri" w:hAnsi="Verdana" w:cs="Tahoma"/>
          <w:bCs/>
          <w:color w:val="000000"/>
          <w:sz w:val="20"/>
          <w:szCs w:val="20"/>
          <w:shd w:val="clear" w:color="auto" w:fill="FFFFFF"/>
          <w:lang w:val="en-US"/>
        </w:rPr>
        <w:t xml:space="preserve">because, </w:t>
      </w:r>
      <w:r w:rsidR="000321CA" w:rsidRPr="00EA6C7A">
        <w:rPr>
          <w:rFonts w:ascii="Verdana" w:eastAsia="Calibri" w:hAnsi="Verdana" w:cs="Tahoma"/>
          <w:bCs/>
          <w:color w:val="000000"/>
          <w:sz w:val="20"/>
          <w:szCs w:val="20"/>
          <w:shd w:val="clear" w:color="auto" w:fill="FFFFFF"/>
          <w:lang w:val="en-US"/>
        </w:rPr>
        <w:t>as</w:t>
      </w:r>
      <w:r w:rsidR="009430E7" w:rsidRPr="00EA6C7A">
        <w:rPr>
          <w:rFonts w:ascii="Verdana" w:eastAsia="Calibri" w:hAnsi="Verdana" w:cs="Tahoma"/>
          <w:bCs/>
          <w:color w:val="000000"/>
          <w:sz w:val="20"/>
          <w:szCs w:val="20"/>
          <w:shd w:val="clear" w:color="auto" w:fill="FFFFFF"/>
          <w:lang w:val="en-US"/>
        </w:rPr>
        <w:t xml:space="preserve"> there was no mechanism, instrument or practice for the immediate search for missing women (which should have existed owing to </w:t>
      </w:r>
      <w:r w:rsidR="000321CA" w:rsidRPr="00EA6C7A">
        <w:rPr>
          <w:rFonts w:ascii="Verdana" w:eastAsia="Calibri" w:hAnsi="Verdana" w:cs="Tahoma"/>
          <w:bCs/>
          <w:color w:val="000000"/>
          <w:sz w:val="20"/>
          <w:szCs w:val="20"/>
          <w:shd w:val="clear" w:color="auto" w:fill="FFFFFF"/>
          <w:lang w:val="en-US"/>
        </w:rPr>
        <w:t>the State’s</w:t>
      </w:r>
      <w:r w:rsidR="009430E7" w:rsidRPr="00EA6C7A">
        <w:rPr>
          <w:rFonts w:ascii="Verdana" w:eastAsia="Calibri" w:hAnsi="Verdana" w:cs="Tahoma"/>
          <w:bCs/>
          <w:color w:val="000000"/>
          <w:sz w:val="20"/>
          <w:szCs w:val="20"/>
          <w:shd w:val="clear" w:color="auto" w:fill="FFFFFF"/>
          <w:lang w:val="en-US"/>
        </w:rPr>
        <w:t xml:space="preserve"> “general obligation of prevention”), this evidently influenced the actions of the State when it was informed </w:t>
      </w:r>
      <w:r w:rsidR="000321CA" w:rsidRPr="00EA6C7A">
        <w:rPr>
          <w:rFonts w:ascii="Verdana" w:eastAsia="Calibri" w:hAnsi="Verdana" w:cs="Tahoma"/>
          <w:bCs/>
          <w:color w:val="000000"/>
          <w:sz w:val="20"/>
          <w:szCs w:val="20"/>
          <w:shd w:val="clear" w:color="auto" w:fill="FFFFFF"/>
          <w:lang w:val="en-US"/>
        </w:rPr>
        <w:t>that the</w:t>
      </w:r>
      <w:r w:rsidR="009430E7" w:rsidRPr="00EA6C7A">
        <w:rPr>
          <w:rFonts w:ascii="Verdana" w:eastAsia="Calibri" w:hAnsi="Verdana" w:cs="Tahoma"/>
          <w:bCs/>
          <w:color w:val="000000"/>
          <w:sz w:val="20"/>
          <w:szCs w:val="20"/>
          <w:shd w:val="clear" w:color="auto" w:fill="FFFFFF"/>
          <w:lang w:val="en-US"/>
        </w:rPr>
        <w:t xml:space="preserve"> victim</w:t>
      </w:r>
      <w:r w:rsidR="000321CA" w:rsidRPr="00EA6C7A">
        <w:rPr>
          <w:rFonts w:ascii="Verdana" w:eastAsia="Calibri" w:hAnsi="Verdana" w:cs="Tahoma"/>
          <w:bCs/>
          <w:color w:val="000000"/>
          <w:sz w:val="20"/>
          <w:szCs w:val="20"/>
          <w:shd w:val="clear" w:color="auto" w:fill="FFFFFF"/>
          <w:lang w:val="en-US"/>
        </w:rPr>
        <w:t xml:space="preserve"> was missing</w:t>
      </w:r>
      <w:r w:rsidR="009430E7" w:rsidRPr="00EA6C7A">
        <w:rPr>
          <w:rFonts w:ascii="Verdana" w:eastAsia="Calibri" w:hAnsi="Verdana" w:cs="Tahoma"/>
          <w:bCs/>
          <w:color w:val="000000"/>
          <w:sz w:val="20"/>
          <w:szCs w:val="20"/>
          <w:shd w:val="clear" w:color="auto" w:fill="FFFFFF"/>
          <w:lang w:val="en-US"/>
        </w:rPr>
        <w:t>.</w:t>
      </w:r>
    </w:p>
    <w:p w14:paraId="06DCF3B7" w14:textId="77777777" w:rsidR="00175ABB"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Calibri" w:hAnsi="Verdana" w:cs="Tahoma"/>
          <w:bCs/>
          <w:color w:val="000000"/>
          <w:sz w:val="20"/>
          <w:szCs w:val="20"/>
          <w:shd w:val="clear" w:color="auto" w:fill="FFFFFF"/>
          <w:lang w:val="en-US"/>
        </w:rPr>
      </w:pPr>
    </w:p>
    <w:p w14:paraId="657E5FFC" w14:textId="77777777" w:rsidR="00DD20A9" w:rsidRPr="00EA6C7A" w:rsidRDefault="00175ABB" w:rsidP="00175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Calibri" w:hAnsi="Verdana" w:cs="Tahoma"/>
          <w:bCs/>
          <w:color w:val="000000"/>
          <w:sz w:val="20"/>
          <w:szCs w:val="20"/>
          <w:shd w:val="clear" w:color="auto" w:fill="FFFFFF"/>
          <w:lang w:val="en-US"/>
        </w:rPr>
      </w:pPr>
      <w:r w:rsidRPr="00EA6C7A">
        <w:rPr>
          <w:rFonts w:ascii="Verdana" w:eastAsia="Calibri" w:hAnsi="Verdana" w:cs="Tahoma"/>
          <w:bCs/>
          <w:color w:val="000000"/>
          <w:sz w:val="20"/>
          <w:szCs w:val="20"/>
          <w:shd w:val="clear" w:color="auto" w:fill="FFFFFF"/>
          <w:lang w:val="en-US"/>
        </w:rPr>
        <w:t xml:space="preserve">58. </w:t>
      </w:r>
      <w:r w:rsidRPr="00EA6C7A">
        <w:rPr>
          <w:rFonts w:ascii="Verdana" w:eastAsia="Calibri" w:hAnsi="Verdana" w:cs="Tahoma"/>
          <w:bCs/>
          <w:color w:val="000000"/>
          <w:sz w:val="20"/>
          <w:szCs w:val="20"/>
          <w:shd w:val="clear" w:color="auto" w:fill="FFFFFF"/>
          <w:lang w:val="en-US"/>
        </w:rPr>
        <w:tab/>
      </w:r>
      <w:r w:rsidR="00CD0B6E" w:rsidRPr="00EA6C7A">
        <w:rPr>
          <w:rFonts w:ascii="Verdana" w:eastAsia="Calibri" w:hAnsi="Verdana" w:cs="Tahoma"/>
          <w:bCs/>
          <w:color w:val="000000"/>
          <w:sz w:val="20"/>
          <w:szCs w:val="20"/>
          <w:shd w:val="clear" w:color="auto" w:fill="FFFFFF"/>
          <w:lang w:val="en-US"/>
        </w:rPr>
        <w:t xml:space="preserve">On this point, I consider that States must </w:t>
      </w:r>
      <w:r w:rsidR="00877FE2" w:rsidRPr="00EA6C7A">
        <w:rPr>
          <w:rFonts w:ascii="Verdana" w:eastAsia="Calibri" w:hAnsi="Verdana" w:cs="Tahoma"/>
          <w:bCs/>
          <w:color w:val="000000"/>
          <w:sz w:val="20"/>
          <w:szCs w:val="20"/>
          <w:shd w:val="clear" w:color="auto" w:fill="FFFFFF"/>
          <w:lang w:val="en-US"/>
        </w:rPr>
        <w:t>pay special attention to</w:t>
      </w:r>
      <w:r w:rsidR="00CD0B6E" w:rsidRPr="00EA6C7A">
        <w:rPr>
          <w:rFonts w:ascii="Verdana" w:eastAsia="Calibri" w:hAnsi="Verdana" w:cs="Tahoma"/>
          <w:bCs/>
          <w:color w:val="000000"/>
          <w:sz w:val="20"/>
          <w:szCs w:val="20"/>
          <w:shd w:val="clear" w:color="auto" w:fill="FFFFFF"/>
          <w:lang w:val="en-US"/>
        </w:rPr>
        <w:t xml:space="preserve"> the general obligation of prevention in accordance with the requirements for th</w:t>
      </w:r>
      <w:r w:rsidR="00877FE2" w:rsidRPr="00EA6C7A">
        <w:rPr>
          <w:rFonts w:ascii="Verdana" w:eastAsia="Calibri" w:hAnsi="Verdana" w:cs="Tahoma"/>
          <w:bCs/>
          <w:color w:val="000000"/>
          <w:sz w:val="20"/>
          <w:szCs w:val="20"/>
          <w:shd w:val="clear" w:color="auto" w:fill="FFFFFF"/>
          <w:lang w:val="en-US"/>
        </w:rPr>
        <w:t>is</w:t>
      </w:r>
      <w:r w:rsidR="00CD0B6E" w:rsidRPr="00EA6C7A">
        <w:rPr>
          <w:rFonts w:ascii="Verdana" w:eastAsia="Calibri" w:hAnsi="Verdana" w:cs="Tahoma"/>
          <w:bCs/>
          <w:color w:val="000000"/>
          <w:sz w:val="20"/>
          <w:szCs w:val="20"/>
          <w:shd w:val="clear" w:color="auto" w:fill="FFFFFF"/>
          <w:lang w:val="en-US"/>
        </w:rPr>
        <w:t xml:space="preserve"> obligations established by </w:t>
      </w:r>
      <w:r w:rsidR="0096418F" w:rsidRPr="00EA6C7A">
        <w:rPr>
          <w:rFonts w:ascii="Verdana" w:eastAsia="Calibri" w:hAnsi="Verdana" w:cs="Tahoma"/>
          <w:bCs/>
          <w:color w:val="000000"/>
          <w:sz w:val="20"/>
          <w:szCs w:val="20"/>
          <w:shd w:val="clear" w:color="auto" w:fill="FFFFFF"/>
          <w:lang w:val="en-US"/>
        </w:rPr>
        <w:t>the American Convention on Human Rights</w:t>
      </w:r>
      <w:r w:rsidR="00D948A1" w:rsidRPr="00EA6C7A">
        <w:rPr>
          <w:rFonts w:ascii="Verdana" w:eastAsia="Calibri" w:hAnsi="Verdana" w:cs="Tahoma"/>
          <w:bCs/>
          <w:color w:val="000000"/>
          <w:sz w:val="20"/>
          <w:szCs w:val="20"/>
          <w:shd w:val="clear" w:color="auto" w:fill="FFFFFF"/>
          <w:lang w:val="en-US"/>
        </w:rPr>
        <w:t xml:space="preserve"> and </w:t>
      </w:r>
      <w:r w:rsidR="00CD0B6E" w:rsidRPr="00EA6C7A">
        <w:rPr>
          <w:rFonts w:ascii="Verdana" w:eastAsia="Calibri" w:hAnsi="Verdana" w:cs="Tahoma"/>
          <w:bCs/>
          <w:color w:val="000000"/>
          <w:sz w:val="20"/>
          <w:szCs w:val="20"/>
          <w:shd w:val="clear" w:color="auto" w:fill="FFFFFF"/>
          <w:lang w:val="en-US"/>
        </w:rPr>
        <w:t>the</w:t>
      </w:r>
      <w:r w:rsidRPr="00EA6C7A">
        <w:rPr>
          <w:rFonts w:ascii="Verdana" w:eastAsia="Calibri" w:hAnsi="Verdana" w:cs="Tahoma"/>
          <w:bCs/>
          <w:color w:val="000000"/>
          <w:sz w:val="20"/>
          <w:szCs w:val="20"/>
          <w:shd w:val="clear" w:color="auto" w:fill="FFFFFF"/>
          <w:lang w:val="en-US"/>
        </w:rPr>
        <w:t xml:space="preserve"> “</w:t>
      </w:r>
      <w:r w:rsidR="00F912BD" w:rsidRPr="00EA6C7A">
        <w:rPr>
          <w:rFonts w:ascii="Verdana" w:eastAsia="Calibri" w:hAnsi="Verdana" w:cs="Tahoma"/>
          <w:bCs/>
          <w:color w:val="000000"/>
          <w:sz w:val="20"/>
          <w:szCs w:val="20"/>
          <w:shd w:val="clear" w:color="auto" w:fill="FFFFFF"/>
          <w:lang w:val="en-US"/>
        </w:rPr>
        <w:t>Convention of</w:t>
      </w:r>
      <w:r w:rsidRPr="00EA6C7A">
        <w:rPr>
          <w:rFonts w:ascii="Verdana" w:eastAsia="Calibri" w:hAnsi="Verdana" w:cs="Tahoma"/>
          <w:bCs/>
          <w:color w:val="000000"/>
          <w:sz w:val="20"/>
          <w:szCs w:val="20"/>
          <w:shd w:val="clear" w:color="auto" w:fill="FFFFFF"/>
          <w:lang w:val="en-US"/>
        </w:rPr>
        <w:t xml:space="preserve"> Belém do Pará</w:t>
      </w:r>
      <w:r w:rsidR="00CD0B6E" w:rsidRPr="00EA6C7A">
        <w:rPr>
          <w:rFonts w:ascii="Verdana" w:eastAsia="Calibri" w:hAnsi="Verdana" w:cs="Tahoma"/>
          <w:bCs/>
          <w:color w:val="000000"/>
          <w:sz w:val="20"/>
          <w:szCs w:val="20"/>
          <w:shd w:val="clear" w:color="auto" w:fill="FFFFFF"/>
          <w:lang w:val="en-US"/>
        </w:rPr>
        <w:t>.</w:t>
      </w:r>
      <w:r w:rsidRPr="00EA6C7A">
        <w:rPr>
          <w:rFonts w:ascii="Verdana" w:eastAsia="Calibri" w:hAnsi="Verdana" w:cs="Tahoma"/>
          <w:bCs/>
          <w:color w:val="000000"/>
          <w:sz w:val="20"/>
          <w:szCs w:val="20"/>
          <w:shd w:val="clear" w:color="auto" w:fill="FFFFFF"/>
          <w:lang w:val="en-US"/>
        </w:rPr>
        <w:t>”</w:t>
      </w:r>
      <w:r w:rsidR="00CD0B6E" w:rsidRPr="00EA6C7A">
        <w:rPr>
          <w:rFonts w:ascii="Verdana" w:eastAsia="Calibri" w:hAnsi="Verdana" w:cs="Tahoma"/>
          <w:bCs/>
          <w:color w:val="000000"/>
          <w:sz w:val="20"/>
          <w:szCs w:val="20"/>
          <w:shd w:val="clear" w:color="auto" w:fill="FFFFFF"/>
          <w:lang w:val="en-US"/>
        </w:rPr>
        <w:t xml:space="preserve"> Thus, it is not sufficient for the State to take</w:t>
      </w:r>
      <w:r w:rsidRPr="00EA6C7A">
        <w:rPr>
          <w:rFonts w:ascii="Verdana" w:eastAsia="Calibri" w:hAnsi="Verdana" w:cs="Tahoma"/>
          <w:bCs/>
          <w:color w:val="000000"/>
          <w:sz w:val="20"/>
          <w:szCs w:val="20"/>
          <w:shd w:val="clear" w:color="auto" w:fill="FFFFFF"/>
          <w:lang w:val="en-US"/>
        </w:rPr>
        <w:t xml:space="preserve"> </w:t>
      </w:r>
      <w:r w:rsidR="00CD0B6E" w:rsidRPr="00EA6C7A">
        <w:rPr>
          <w:rFonts w:ascii="Verdana" w:eastAsia="Calibri" w:hAnsi="Verdana" w:cs="Tahoma"/>
          <w:bCs/>
          <w:color w:val="000000"/>
          <w:sz w:val="20"/>
          <w:szCs w:val="20"/>
          <w:shd w:val="clear" w:color="auto" w:fill="FFFFFF"/>
          <w:lang w:val="en-US"/>
        </w:rPr>
        <w:t xml:space="preserve">just any measure or action to comply with the obligation </w:t>
      </w:r>
      <w:r w:rsidR="00D5307F" w:rsidRPr="00EA6C7A">
        <w:rPr>
          <w:rFonts w:ascii="Verdana" w:eastAsia="Calibri" w:hAnsi="Verdana" w:cs="Tahoma"/>
          <w:bCs/>
          <w:color w:val="000000"/>
          <w:sz w:val="20"/>
          <w:szCs w:val="20"/>
          <w:shd w:val="clear" w:color="auto" w:fill="FFFFFF"/>
          <w:lang w:val="en-US"/>
        </w:rPr>
        <w:t>of prevention</w:t>
      </w:r>
      <w:r w:rsidR="00CD0B6E" w:rsidRPr="00EA6C7A">
        <w:rPr>
          <w:rFonts w:ascii="Verdana" w:eastAsia="Calibri" w:hAnsi="Verdana" w:cs="Tahoma"/>
          <w:bCs/>
          <w:color w:val="000000"/>
          <w:sz w:val="20"/>
          <w:szCs w:val="20"/>
          <w:shd w:val="clear" w:color="auto" w:fill="FFFFFF"/>
          <w:lang w:val="en-US"/>
        </w:rPr>
        <w:t xml:space="preserve">; rather, </w:t>
      </w:r>
      <w:r w:rsidR="00877FE2" w:rsidRPr="00EA6C7A">
        <w:rPr>
          <w:rFonts w:ascii="Verdana" w:eastAsia="Calibri" w:hAnsi="Verdana" w:cs="Tahoma"/>
          <w:bCs/>
          <w:color w:val="000000"/>
          <w:sz w:val="20"/>
          <w:szCs w:val="20"/>
          <w:shd w:val="clear" w:color="auto" w:fill="FFFFFF"/>
          <w:lang w:val="en-US"/>
        </w:rPr>
        <w:t>it</w:t>
      </w:r>
      <w:r w:rsidR="00CD0B6E" w:rsidRPr="00EA6C7A">
        <w:rPr>
          <w:rFonts w:ascii="Verdana" w:eastAsia="Calibri" w:hAnsi="Verdana" w:cs="Tahoma"/>
          <w:bCs/>
          <w:color w:val="000000"/>
          <w:sz w:val="20"/>
          <w:szCs w:val="20"/>
          <w:shd w:val="clear" w:color="auto" w:fill="FFFFFF"/>
          <w:lang w:val="en-US"/>
        </w:rPr>
        <w:t xml:space="preserve"> must ensure that </w:t>
      </w:r>
      <w:r w:rsidR="00877FE2" w:rsidRPr="00EA6C7A">
        <w:rPr>
          <w:rFonts w:ascii="Verdana" w:eastAsia="Calibri" w:hAnsi="Verdana" w:cs="Tahoma"/>
          <w:bCs/>
          <w:color w:val="000000"/>
          <w:sz w:val="20"/>
          <w:szCs w:val="20"/>
          <w:shd w:val="clear" w:color="auto" w:fill="FFFFFF"/>
          <w:lang w:val="en-US"/>
        </w:rPr>
        <w:t>such measure or action</w:t>
      </w:r>
      <w:r w:rsidR="00CD0B6E" w:rsidRPr="00EA6C7A">
        <w:rPr>
          <w:rFonts w:ascii="Verdana" w:eastAsia="Calibri" w:hAnsi="Verdana" w:cs="Tahoma"/>
          <w:bCs/>
          <w:color w:val="000000"/>
          <w:sz w:val="20"/>
          <w:szCs w:val="20"/>
          <w:shd w:val="clear" w:color="auto" w:fill="FFFFFF"/>
          <w:lang w:val="en-US"/>
        </w:rPr>
        <w:t xml:space="preserve"> effectively has the purpose of preventing, </w:t>
      </w:r>
      <w:r w:rsidR="00CD0B6E" w:rsidRPr="00EA6C7A">
        <w:rPr>
          <w:rFonts w:ascii="Verdana" w:eastAsia="Calibri" w:hAnsi="Verdana" w:cs="Tahoma"/>
          <w:bCs/>
          <w:color w:val="000000"/>
          <w:sz w:val="20"/>
          <w:szCs w:val="20"/>
          <w:u w:val="single"/>
          <w:shd w:val="clear" w:color="auto" w:fill="FFFFFF"/>
          <w:lang w:val="en-US"/>
        </w:rPr>
        <w:t xml:space="preserve">as of </w:t>
      </w:r>
      <w:r w:rsidR="00877FE2" w:rsidRPr="00EA6C7A">
        <w:rPr>
          <w:rFonts w:ascii="Verdana" w:eastAsia="Calibri" w:hAnsi="Verdana" w:cs="Tahoma"/>
          <w:bCs/>
          <w:color w:val="000000"/>
          <w:sz w:val="20"/>
          <w:szCs w:val="20"/>
          <w:u w:val="single"/>
          <w:shd w:val="clear" w:color="auto" w:fill="FFFFFF"/>
          <w:lang w:val="en-US"/>
        </w:rPr>
        <w:t>the</w:t>
      </w:r>
      <w:r w:rsidR="00CD0B6E" w:rsidRPr="00EA6C7A">
        <w:rPr>
          <w:rFonts w:ascii="Verdana" w:eastAsia="Calibri" w:hAnsi="Verdana" w:cs="Tahoma"/>
          <w:bCs/>
          <w:color w:val="000000"/>
          <w:sz w:val="20"/>
          <w:szCs w:val="20"/>
          <w:u w:val="single"/>
          <w:shd w:val="clear" w:color="auto" w:fill="FFFFFF"/>
          <w:lang w:val="en-US"/>
        </w:rPr>
        <w:t xml:space="preserve"> first moment and in general, the specific danger that women and girls in the region may face</w:t>
      </w:r>
      <w:r w:rsidR="00CD0B6E" w:rsidRPr="00EA6C7A">
        <w:rPr>
          <w:rFonts w:ascii="Verdana" w:eastAsia="Calibri" w:hAnsi="Verdana" w:cs="Tahoma"/>
          <w:bCs/>
          <w:color w:val="000000"/>
          <w:sz w:val="20"/>
          <w:szCs w:val="20"/>
          <w:shd w:val="clear" w:color="auto" w:fill="FFFFFF"/>
          <w:lang w:val="en-US"/>
        </w:rPr>
        <w:t>. In sum, this represents a fundamental question</w:t>
      </w:r>
      <w:r w:rsidR="00DD20A9" w:rsidRPr="00EA6C7A">
        <w:rPr>
          <w:rFonts w:ascii="Verdana" w:eastAsia="Calibri" w:hAnsi="Verdana" w:cs="Tahoma"/>
          <w:bCs/>
          <w:color w:val="000000"/>
          <w:sz w:val="20"/>
          <w:szCs w:val="20"/>
          <w:shd w:val="clear" w:color="auto" w:fill="FFFFFF"/>
          <w:lang w:val="en-US"/>
        </w:rPr>
        <w:t xml:space="preserve"> to which</w:t>
      </w:r>
      <w:r w:rsidR="00CD0B6E" w:rsidRPr="00EA6C7A">
        <w:rPr>
          <w:rFonts w:ascii="Verdana" w:eastAsia="Calibri" w:hAnsi="Verdana" w:cs="Tahoma"/>
          <w:bCs/>
          <w:color w:val="000000"/>
          <w:sz w:val="20"/>
          <w:szCs w:val="20"/>
          <w:shd w:val="clear" w:color="auto" w:fill="FFFFFF"/>
          <w:lang w:val="en-US"/>
        </w:rPr>
        <w:t xml:space="preserve"> the States </w:t>
      </w:r>
      <w:r w:rsidR="00DD20A9" w:rsidRPr="00EA6C7A">
        <w:rPr>
          <w:rFonts w:ascii="Verdana" w:eastAsia="Calibri" w:hAnsi="Verdana" w:cs="Tahoma"/>
          <w:bCs/>
          <w:color w:val="000000"/>
          <w:sz w:val="20"/>
          <w:szCs w:val="20"/>
          <w:shd w:val="clear" w:color="auto" w:fill="FFFFFF"/>
          <w:lang w:val="en-US"/>
        </w:rPr>
        <w:t xml:space="preserve">should give special consideration in contexts of </w:t>
      </w:r>
      <w:r w:rsidR="00C12C08" w:rsidRPr="00EA6C7A">
        <w:rPr>
          <w:rFonts w:ascii="Verdana" w:eastAsia="Calibri" w:hAnsi="Verdana" w:cs="Tahoma"/>
          <w:bCs/>
          <w:color w:val="000000"/>
          <w:sz w:val="20"/>
          <w:szCs w:val="20"/>
          <w:shd w:val="clear" w:color="auto" w:fill="FFFFFF"/>
          <w:lang w:val="en-US"/>
        </w:rPr>
        <w:t>violence against women</w:t>
      </w:r>
      <w:r w:rsidR="00DD20A9" w:rsidRPr="00EA6C7A">
        <w:rPr>
          <w:rFonts w:ascii="Verdana" w:eastAsia="Calibri" w:hAnsi="Verdana" w:cs="Tahoma"/>
          <w:bCs/>
          <w:color w:val="000000"/>
          <w:sz w:val="20"/>
          <w:szCs w:val="20"/>
          <w:shd w:val="clear" w:color="auto" w:fill="FFFFFF"/>
          <w:lang w:val="en-US"/>
        </w:rPr>
        <w:t xml:space="preserve"> – as seen in the instant case – because the eradication of femicide and, in general, of violence against women, a social burden that regrettably continues to afflict the region, depends to a large extent on compliance with the said “obligation of prevention.</w:t>
      </w:r>
    </w:p>
    <w:p w14:paraId="3C3542B4" w14:textId="77777777" w:rsidR="00175ABB" w:rsidRPr="00EA6C7A" w:rsidRDefault="00175ABB" w:rsidP="00DD20A9">
      <w:pPr>
        <w:contextualSpacing/>
        <w:rPr>
          <w:rFonts w:ascii="Verdana" w:eastAsia="Calibri" w:hAnsi="Verdana" w:cs="Tahoma"/>
          <w:bCs/>
          <w:color w:val="000000"/>
          <w:shd w:val="clear" w:color="auto" w:fill="FFFFFF"/>
          <w:lang w:val="en-US"/>
        </w:rPr>
      </w:pPr>
    </w:p>
    <w:p w14:paraId="624CCC67" w14:textId="77777777" w:rsidR="00175ABB" w:rsidRPr="00EA6C7A" w:rsidRDefault="00175ABB" w:rsidP="00175ABB">
      <w:pPr>
        <w:ind w:left="720"/>
        <w:contextualSpacing/>
        <w:rPr>
          <w:rFonts w:ascii="Verdana" w:eastAsia="Calibri" w:hAnsi="Verdana" w:cs="Tahoma"/>
          <w:bCs/>
          <w:color w:val="000000"/>
          <w:shd w:val="clear" w:color="auto" w:fill="FFFFFF"/>
          <w:lang w:val="en-US"/>
        </w:rPr>
      </w:pPr>
    </w:p>
    <w:p w14:paraId="374A8387" w14:textId="77777777" w:rsidR="00175ABB" w:rsidRPr="00EA6C7A" w:rsidRDefault="00175ABB" w:rsidP="00175ABB">
      <w:pPr>
        <w:ind w:left="720"/>
        <w:contextualSpacing/>
        <w:rPr>
          <w:rFonts w:ascii="Verdana" w:eastAsia="Calibri" w:hAnsi="Verdana" w:cs="Tahoma"/>
          <w:bCs/>
          <w:color w:val="000000"/>
          <w:shd w:val="clear" w:color="auto" w:fill="FFFFFF"/>
          <w:lang w:val="en-US"/>
        </w:rPr>
      </w:pPr>
    </w:p>
    <w:p w14:paraId="40A4B267" w14:textId="77777777" w:rsidR="00175ABB" w:rsidRPr="00EA6C7A" w:rsidRDefault="00175ABB" w:rsidP="00175ABB">
      <w:pPr>
        <w:ind w:left="720"/>
        <w:contextualSpacing/>
        <w:rPr>
          <w:rFonts w:ascii="Verdana" w:eastAsia="Calibri" w:hAnsi="Verdana" w:cs="Tahoma"/>
          <w:bCs/>
          <w:color w:val="000000"/>
          <w:shd w:val="clear" w:color="auto" w:fill="FFFFFF"/>
          <w:lang w:val="en-US"/>
        </w:rPr>
      </w:pPr>
    </w:p>
    <w:p w14:paraId="095CE387" w14:textId="77777777" w:rsidR="00175ABB" w:rsidRPr="00EA6C7A" w:rsidRDefault="00175ABB" w:rsidP="00175ABB">
      <w:pPr>
        <w:spacing w:after="0" w:line="240" w:lineRule="auto"/>
        <w:ind w:left="3600" w:right="96" w:firstLine="720"/>
        <w:jc w:val="center"/>
        <w:rPr>
          <w:rFonts w:ascii="Verdana" w:eastAsia="Calibri" w:hAnsi="Verdana"/>
          <w:sz w:val="20"/>
          <w:szCs w:val="20"/>
          <w:lang w:val="en-US"/>
        </w:rPr>
      </w:pPr>
      <w:r w:rsidRPr="00EA6C7A">
        <w:rPr>
          <w:rFonts w:ascii="Verdana" w:eastAsia="Calibri" w:hAnsi="Verdana"/>
          <w:sz w:val="20"/>
          <w:szCs w:val="20"/>
          <w:lang w:val="en-US"/>
        </w:rPr>
        <w:t>Eduardo Ferrer Mac-Gregor Poisot</w:t>
      </w:r>
    </w:p>
    <w:p w14:paraId="4B9157CE" w14:textId="77777777" w:rsidR="00175ABB" w:rsidRPr="00EA6C7A" w:rsidRDefault="0096418F" w:rsidP="00175ABB">
      <w:pPr>
        <w:spacing w:after="0" w:line="240" w:lineRule="auto"/>
        <w:ind w:left="3960" w:right="96" w:firstLine="360"/>
        <w:jc w:val="center"/>
        <w:rPr>
          <w:rFonts w:ascii="Verdana" w:eastAsia="Calibri" w:hAnsi="Verdana"/>
          <w:sz w:val="20"/>
          <w:szCs w:val="20"/>
          <w:lang w:val="en-US"/>
        </w:rPr>
      </w:pPr>
      <w:r w:rsidRPr="00EA6C7A">
        <w:rPr>
          <w:rFonts w:ascii="Verdana" w:eastAsia="Calibri" w:hAnsi="Verdana"/>
          <w:sz w:val="20"/>
          <w:szCs w:val="20"/>
          <w:lang w:val="en-US"/>
        </w:rPr>
        <w:t>Judge</w:t>
      </w:r>
    </w:p>
    <w:p w14:paraId="21E268A8" w14:textId="77777777" w:rsidR="00175ABB" w:rsidRPr="00EA6C7A" w:rsidRDefault="00175ABB" w:rsidP="00175ABB">
      <w:pPr>
        <w:rPr>
          <w:rFonts w:ascii="Verdana" w:eastAsia="Calibri" w:hAnsi="Verdana"/>
          <w:lang w:val="en-US"/>
        </w:rPr>
      </w:pPr>
    </w:p>
    <w:p w14:paraId="05D5C150" w14:textId="77777777" w:rsidR="00175ABB" w:rsidRPr="00EA6C7A" w:rsidRDefault="00175ABB" w:rsidP="00175ABB">
      <w:pPr>
        <w:spacing w:after="0" w:line="240" w:lineRule="auto"/>
        <w:rPr>
          <w:rFonts w:ascii="Verdana" w:eastAsia="Calibri" w:hAnsi="Verdana"/>
          <w:sz w:val="20"/>
          <w:szCs w:val="20"/>
          <w:lang w:val="en-US"/>
        </w:rPr>
      </w:pPr>
      <w:r w:rsidRPr="00EA6C7A">
        <w:rPr>
          <w:rFonts w:ascii="Verdana" w:eastAsia="Calibri" w:hAnsi="Verdana"/>
          <w:sz w:val="20"/>
          <w:szCs w:val="20"/>
          <w:lang w:val="en-US"/>
        </w:rPr>
        <w:t>Pablo Saavedra Alessandri</w:t>
      </w:r>
    </w:p>
    <w:p w14:paraId="7465CA17" w14:textId="77777777" w:rsidR="00175ABB" w:rsidRPr="00576E40" w:rsidRDefault="00175ABB" w:rsidP="00175ABB">
      <w:pPr>
        <w:spacing w:after="0" w:line="240" w:lineRule="auto"/>
        <w:rPr>
          <w:rFonts w:ascii="Verdana" w:eastAsia="Calibri" w:hAnsi="Verdana"/>
          <w:sz w:val="20"/>
          <w:szCs w:val="20"/>
          <w:lang w:val="en-US"/>
        </w:rPr>
      </w:pPr>
      <w:r w:rsidRPr="00EA6C7A">
        <w:rPr>
          <w:rFonts w:ascii="Verdana" w:eastAsia="Calibri" w:hAnsi="Verdana"/>
          <w:sz w:val="20"/>
          <w:szCs w:val="20"/>
          <w:lang w:val="en-US"/>
        </w:rPr>
        <w:tab/>
      </w:r>
      <w:r w:rsidR="0096418F" w:rsidRPr="00EA6C7A">
        <w:rPr>
          <w:rFonts w:ascii="Verdana" w:eastAsia="Calibri" w:hAnsi="Verdana"/>
          <w:sz w:val="20"/>
          <w:szCs w:val="20"/>
          <w:lang w:val="en-US"/>
        </w:rPr>
        <w:t>Secretary</w:t>
      </w:r>
    </w:p>
    <w:sectPr w:rsidR="00175ABB" w:rsidRPr="00576E40" w:rsidSect="00DA35B6">
      <w:footerReference w:type="even" r:id="rId12"/>
      <w:footerReference w:type="default" r:id="rId13"/>
      <w:footnotePr>
        <w:numRestart w:val="eachSect"/>
      </w:footnotePr>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2A0BD" w14:textId="77777777" w:rsidR="00FF5973" w:rsidRDefault="00FF5973" w:rsidP="006701FF">
      <w:pPr>
        <w:spacing w:after="0" w:line="240" w:lineRule="auto"/>
      </w:pPr>
      <w:r>
        <w:separator/>
      </w:r>
    </w:p>
  </w:endnote>
  <w:endnote w:type="continuationSeparator" w:id="0">
    <w:p w14:paraId="64A24B5C" w14:textId="77777777" w:rsidR="00FF5973" w:rsidRDefault="00FF5973" w:rsidP="006701FF">
      <w:pPr>
        <w:spacing w:after="0" w:line="240" w:lineRule="auto"/>
      </w:pPr>
      <w:r>
        <w:continuationSeparator/>
      </w:r>
    </w:p>
  </w:endnote>
  <w:endnote w:type="continuationNotice" w:id="1">
    <w:p w14:paraId="31E47476" w14:textId="77777777" w:rsidR="00FF5973" w:rsidRDefault="00FF59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Univers">
    <w:altName w:val="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Palatino-Italic">
    <w:altName w:val="Palatino Linotyp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39CE4" w14:textId="77777777" w:rsidR="00576E40" w:rsidRDefault="00576E40" w:rsidP="00E11A7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166C918" w14:textId="77777777" w:rsidR="00576E40" w:rsidRDefault="00576E4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63A5E" w14:textId="3FAA170B" w:rsidR="00576E40" w:rsidRDefault="00576E40" w:rsidP="00E11A7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105B5">
      <w:rPr>
        <w:rStyle w:val="Nmerodepgina"/>
        <w:noProof/>
      </w:rPr>
      <w:t>16</w:t>
    </w:r>
    <w:r>
      <w:rPr>
        <w:rStyle w:val="Nmerodepgina"/>
      </w:rPr>
      <w:fldChar w:fldCharType="end"/>
    </w:r>
  </w:p>
  <w:p w14:paraId="4999D2EF" w14:textId="77777777" w:rsidR="00576E40" w:rsidRDefault="00576E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F4D34" w14:textId="77777777" w:rsidR="00FF5973" w:rsidRDefault="00FF5973" w:rsidP="006701FF">
      <w:pPr>
        <w:spacing w:after="0" w:line="240" w:lineRule="auto"/>
      </w:pPr>
      <w:r>
        <w:separator/>
      </w:r>
    </w:p>
  </w:footnote>
  <w:footnote w:type="continuationSeparator" w:id="0">
    <w:p w14:paraId="3CF0685E" w14:textId="77777777" w:rsidR="00FF5973" w:rsidRDefault="00FF5973" w:rsidP="006701FF">
      <w:pPr>
        <w:spacing w:after="0" w:line="240" w:lineRule="auto"/>
      </w:pPr>
      <w:r>
        <w:continuationSeparator/>
      </w:r>
    </w:p>
  </w:footnote>
  <w:footnote w:type="continuationNotice" w:id="1">
    <w:p w14:paraId="5DBD9C16" w14:textId="77777777" w:rsidR="00FF5973" w:rsidRDefault="00FF5973">
      <w:pPr>
        <w:spacing w:after="0" w:line="240" w:lineRule="auto"/>
      </w:pPr>
    </w:p>
  </w:footnote>
  <w:footnote w:id="2">
    <w:p w14:paraId="2102B1C2"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Preamble of the </w:t>
      </w:r>
      <w:r w:rsidRPr="007D3F3C">
        <w:rPr>
          <w:rFonts w:ascii="Verdana" w:eastAsia="Calibri" w:hAnsi="Verdana"/>
          <w:sz w:val="16"/>
          <w:szCs w:val="16"/>
          <w:lang w:val="en-US" w:eastAsia="es-PA"/>
        </w:rPr>
        <w:t>Inter-American Convention on the Prevention, Punishment and Eradication of Violence against Women</w:t>
      </w:r>
      <w:r w:rsidRPr="007D3F3C">
        <w:rPr>
          <w:rFonts w:ascii="Verdana" w:eastAsia="Calibri" w:hAnsi="Verdana"/>
          <w:sz w:val="16"/>
          <w:szCs w:val="16"/>
          <w:lang w:val="en-US"/>
        </w:rPr>
        <w:t xml:space="preserve"> </w:t>
      </w:r>
      <w:r w:rsidRPr="007D3F3C">
        <w:rPr>
          <w:rFonts w:ascii="Verdana" w:hAnsi="Verdana"/>
          <w:sz w:val="16"/>
          <w:szCs w:val="16"/>
          <w:lang w:val="en-US"/>
        </w:rPr>
        <w:t>(“Convention of Belém do Pará”), adopted on June 9 1994, during the twenty-fourth General Assembly of the OAS, entered into force on May 5, 1995.</w:t>
      </w:r>
    </w:p>
  </w:footnote>
  <w:footnote w:id="3">
    <w:p w14:paraId="7F6A1306"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r>
      <w:r w:rsidRPr="007D3F3C">
        <w:rPr>
          <w:rFonts w:ascii="Verdana" w:hAnsi="Verdana" w:cs="Arial"/>
          <w:sz w:val="16"/>
          <w:szCs w:val="16"/>
          <w:lang w:val="en-US"/>
        </w:rPr>
        <w:t>Understood as “any act or conduct, based on gender, which causes death or physical, sexual or psychological harm or suffering to women, whether in the public or the private sphere</w:t>
      </w:r>
      <w:r w:rsidRPr="007D3F3C">
        <w:rPr>
          <w:rFonts w:ascii="Verdana" w:hAnsi="Verdana"/>
          <w:sz w:val="16"/>
          <w:szCs w:val="16"/>
          <w:lang w:val="en-US"/>
        </w:rPr>
        <w:t>.” Article 1 of the “Convention of Belém do Pará.”</w:t>
      </w:r>
    </w:p>
  </w:footnote>
  <w:footnote w:id="4">
    <w:p w14:paraId="2368CC2F"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Judgment of November 16, 2009. Series C No. 205, para. 143.</w:t>
      </w:r>
    </w:p>
  </w:footnote>
  <w:footnote w:id="5">
    <w:p w14:paraId="066DFC6C" w14:textId="77777777" w:rsidR="00576E40" w:rsidRPr="007D3F3C" w:rsidRDefault="00576E40" w:rsidP="00551CA7">
      <w:pPr>
        <w:pStyle w:val="Textonotapie"/>
        <w:jc w:val="both"/>
        <w:rPr>
          <w:rFonts w:ascii="Verdana" w:hAnsi="Verdana"/>
          <w:sz w:val="16"/>
          <w:szCs w:val="16"/>
          <w:lang w:val="es-CR"/>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In the judgments in both cases, the terms “feminicide” and “femicide” were used interchangeably to refer to the “gender-based murder of women.” Also, the two judgments underlined that, in May 2008, Guatemala had enacted the Law against Femicide and other forms of violence against women (Decree No. 22-2008), which criminalized “femicide,” defining this as the “violent death of a woman, occurring in the context of the unequal power relations between women and men, in exercise of gender-based power against women.” See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 71, footnote 68; and </w:t>
      </w:r>
      <w:r w:rsidRPr="007D3F3C">
        <w:rPr>
          <w:rStyle w:val="Textoennegrita"/>
          <w:rFonts w:ascii="Verdana" w:hAnsi="Verdana" w:cs="Tahoma"/>
          <w:b w:val="0"/>
          <w:i/>
          <w:sz w:val="16"/>
          <w:szCs w:val="16"/>
          <w:shd w:val="clear" w:color="auto" w:fill="FFFFFF"/>
          <w:lang w:val="en-US"/>
        </w:rPr>
        <w:t xml:space="preserve">Case of Velásquez Paiz et al. v. Guatemala. Preliminary objections, Merits, reparations and costs. </w:t>
      </w:r>
      <w:r w:rsidRPr="007D3F3C">
        <w:rPr>
          <w:rStyle w:val="Textoennegrita"/>
          <w:rFonts w:ascii="Verdana" w:hAnsi="Verdana" w:cs="Tahoma"/>
          <w:b w:val="0"/>
          <w:sz w:val="16"/>
          <w:szCs w:val="16"/>
          <w:shd w:val="clear" w:color="auto" w:fill="FFFFFF"/>
          <w:lang w:val="en-US"/>
        </w:rPr>
        <w:t xml:space="preserve">Judgment of November 19, 2015, Series C No. 307, para. </w:t>
      </w:r>
      <w:r w:rsidRPr="007D3F3C">
        <w:rPr>
          <w:rStyle w:val="Textoennegrita"/>
          <w:rFonts w:ascii="Verdana" w:hAnsi="Verdana" w:cs="Tahoma"/>
          <w:b w:val="0"/>
          <w:sz w:val="16"/>
          <w:szCs w:val="16"/>
          <w:shd w:val="clear" w:color="auto" w:fill="FFFFFF"/>
          <w:lang w:val="es-CR"/>
        </w:rPr>
        <w:t>45, footnote 26.</w:t>
      </w:r>
    </w:p>
  </w:footnote>
  <w:footnote w:id="6">
    <w:p w14:paraId="44796A70" w14:textId="77777777" w:rsidR="00576E40" w:rsidRPr="007D3F3C" w:rsidRDefault="00576E40" w:rsidP="00551CA7">
      <w:pPr>
        <w:pStyle w:val="Textonotapie"/>
        <w:tabs>
          <w:tab w:val="left" w:pos="709"/>
        </w:tabs>
        <w:rPr>
          <w:rFonts w:ascii="Verdana" w:eastAsia="Arial Unicode MS" w:hAnsi="Verdana" w:cs="Arial Unicode MS"/>
          <w:b/>
          <w:bCs/>
          <w:color w:val="000000"/>
          <w:spacing w:val="4"/>
          <w:sz w:val="16"/>
          <w:szCs w:val="16"/>
          <w:bdr w:val="none" w:sz="0" w:space="0" w:color="auto" w:frame="1"/>
          <w:shd w:val="clear" w:color="auto" w:fill="FFFFFF"/>
          <w:lang w:val="en-US"/>
        </w:rPr>
      </w:pPr>
      <w:r w:rsidRPr="007D3F3C">
        <w:rPr>
          <w:rStyle w:val="Refdenotaalpie"/>
          <w:rFonts w:ascii="Verdana" w:hAnsi="Verdana"/>
          <w:sz w:val="16"/>
          <w:szCs w:val="16"/>
          <w:lang w:val="en-US"/>
        </w:rPr>
        <w:footnoteRef/>
      </w:r>
      <w:r w:rsidRPr="007D3F3C">
        <w:rPr>
          <w:rFonts w:ascii="Verdana" w:hAnsi="Verdana"/>
          <w:sz w:val="16"/>
          <w:szCs w:val="16"/>
          <w:lang w:val="es-CR"/>
        </w:rPr>
        <w:tab/>
        <w:t xml:space="preserve">“Femicide”: from the </w:t>
      </w:r>
      <w:r w:rsidRPr="007D3F3C">
        <w:rPr>
          <w:rFonts w:ascii="Verdana" w:hAnsi="Verdana"/>
          <w:sz w:val="16"/>
          <w:szCs w:val="16"/>
          <w:lang w:val="es-CR" w:eastAsia="es-PA"/>
        </w:rPr>
        <w:t>lat. </w:t>
      </w:r>
      <w:r w:rsidRPr="007D3F3C">
        <w:rPr>
          <w:rFonts w:ascii="Verdana" w:hAnsi="Verdana"/>
          <w:i/>
          <w:iCs/>
          <w:sz w:val="16"/>
          <w:szCs w:val="16"/>
          <w:bdr w:val="none" w:sz="0" w:space="0" w:color="auto" w:frame="1"/>
          <w:lang w:val="es-CR" w:eastAsia="es-PA"/>
        </w:rPr>
        <w:t>femĭna</w:t>
      </w:r>
      <w:r w:rsidRPr="007D3F3C">
        <w:rPr>
          <w:rFonts w:ascii="Verdana" w:hAnsi="Verdana"/>
          <w:sz w:val="16"/>
          <w:szCs w:val="16"/>
          <w:lang w:val="es-CR" w:eastAsia="es-PA"/>
        </w:rPr>
        <w:t xml:space="preserve"> 'woman' and </w:t>
      </w:r>
      <w:r w:rsidRPr="007D3F3C">
        <w:rPr>
          <w:rFonts w:ascii="Verdana" w:hAnsi="Verdana"/>
          <w:i/>
          <w:iCs/>
          <w:sz w:val="16"/>
          <w:szCs w:val="16"/>
          <w:bdr w:val="none" w:sz="0" w:space="0" w:color="auto" w:frame="1"/>
          <w:lang w:val="es-CR" w:eastAsia="es-PA"/>
        </w:rPr>
        <w:t>-cidio.</w:t>
      </w:r>
      <w:r w:rsidRPr="007D3F3C">
        <w:rPr>
          <w:rFonts w:ascii="Verdana" w:eastAsia="Arial Unicode MS" w:hAnsi="Verdana" w:cs="Arial Unicode MS"/>
          <w:b/>
          <w:bCs/>
          <w:color w:val="000000"/>
          <w:spacing w:val="4"/>
          <w:sz w:val="16"/>
          <w:szCs w:val="16"/>
          <w:bdr w:val="none" w:sz="0" w:space="0" w:color="auto" w:frame="1"/>
          <w:shd w:val="clear" w:color="auto" w:fill="FFFFFF"/>
          <w:lang w:val="es-CR"/>
        </w:rPr>
        <w:t xml:space="preserve"> </w:t>
      </w:r>
      <w:r w:rsidRPr="007D3F3C">
        <w:rPr>
          <w:rFonts w:ascii="Verdana" w:hAnsi="Verdana"/>
          <w:sz w:val="16"/>
          <w:szCs w:val="16"/>
          <w:lang w:val="es-CR"/>
        </w:rPr>
        <w:t>1.m.</w:t>
      </w:r>
      <w:r w:rsidRPr="007D3F3C">
        <w:rPr>
          <w:rStyle w:val="apple-converted-space"/>
          <w:rFonts w:ascii="Verdana" w:eastAsia="Arial Unicode MS" w:hAnsi="Verdana" w:cs="Arial Unicode MS"/>
          <w:color w:val="000000"/>
          <w:spacing w:val="4"/>
          <w:sz w:val="16"/>
          <w:szCs w:val="16"/>
          <w:shd w:val="clear" w:color="auto" w:fill="FFFFFF"/>
          <w:lang w:val="es-CR"/>
        </w:rPr>
        <w:t> </w:t>
      </w:r>
      <w:r w:rsidRPr="007D3F3C">
        <w:rPr>
          <w:rFonts w:ascii="Verdana" w:hAnsi="Verdana"/>
          <w:i/>
          <w:iCs/>
          <w:sz w:val="16"/>
          <w:szCs w:val="16"/>
          <w:lang w:val="es-CR"/>
        </w:rPr>
        <w:t>Asesinato</w:t>
      </w:r>
      <w:r w:rsidRPr="007D3F3C">
        <w:rPr>
          <w:rStyle w:val="apple-converted-space"/>
          <w:rFonts w:ascii="Verdana" w:eastAsia="Arial Unicode MS" w:hAnsi="Verdana" w:cs="Arial Unicode MS"/>
          <w:i/>
          <w:iCs/>
          <w:color w:val="000000"/>
          <w:spacing w:val="4"/>
          <w:sz w:val="16"/>
          <w:szCs w:val="16"/>
          <w:shd w:val="clear" w:color="auto" w:fill="FFFFFF"/>
          <w:lang w:val="es-CR"/>
        </w:rPr>
        <w:t> </w:t>
      </w:r>
      <w:r w:rsidRPr="007D3F3C">
        <w:rPr>
          <w:rFonts w:ascii="Verdana" w:hAnsi="Verdana"/>
          <w:i/>
          <w:iCs/>
          <w:sz w:val="16"/>
          <w:szCs w:val="16"/>
          <w:lang w:val="es-CR"/>
        </w:rPr>
        <w:t>de</w:t>
      </w:r>
      <w:r w:rsidRPr="007D3F3C">
        <w:rPr>
          <w:rStyle w:val="apple-converted-space"/>
          <w:rFonts w:ascii="Verdana" w:eastAsia="Arial Unicode MS" w:hAnsi="Verdana" w:cs="Arial Unicode MS"/>
          <w:i/>
          <w:iCs/>
          <w:color w:val="000000"/>
          <w:spacing w:val="4"/>
          <w:sz w:val="16"/>
          <w:szCs w:val="16"/>
          <w:shd w:val="clear" w:color="auto" w:fill="FFFFFF"/>
          <w:lang w:val="es-CR"/>
        </w:rPr>
        <w:t> </w:t>
      </w:r>
      <w:r w:rsidRPr="007D3F3C">
        <w:rPr>
          <w:rFonts w:ascii="Verdana" w:hAnsi="Verdana"/>
          <w:i/>
          <w:iCs/>
          <w:sz w:val="16"/>
          <w:szCs w:val="16"/>
          <w:lang w:val="es-CR"/>
        </w:rPr>
        <w:t>una</w:t>
      </w:r>
      <w:r w:rsidRPr="007D3F3C">
        <w:rPr>
          <w:rStyle w:val="apple-converted-space"/>
          <w:rFonts w:ascii="Verdana" w:eastAsia="Arial Unicode MS" w:hAnsi="Verdana" w:cs="Arial Unicode MS"/>
          <w:i/>
          <w:iCs/>
          <w:color w:val="000000"/>
          <w:spacing w:val="4"/>
          <w:sz w:val="16"/>
          <w:szCs w:val="16"/>
          <w:shd w:val="clear" w:color="auto" w:fill="FFFFFF"/>
          <w:lang w:val="es-CR"/>
        </w:rPr>
        <w:t> </w:t>
      </w:r>
      <w:r w:rsidRPr="007D3F3C">
        <w:rPr>
          <w:rFonts w:ascii="Verdana" w:hAnsi="Verdana"/>
          <w:i/>
          <w:iCs/>
          <w:sz w:val="16"/>
          <w:szCs w:val="16"/>
          <w:lang w:val="es-CR"/>
        </w:rPr>
        <w:t>mujer</w:t>
      </w:r>
      <w:r w:rsidRPr="007D3F3C">
        <w:rPr>
          <w:rStyle w:val="apple-converted-space"/>
          <w:rFonts w:ascii="Verdana" w:eastAsia="Arial Unicode MS" w:hAnsi="Verdana" w:cs="Arial Unicode MS"/>
          <w:i/>
          <w:iCs/>
          <w:color w:val="000000"/>
          <w:spacing w:val="4"/>
          <w:sz w:val="16"/>
          <w:szCs w:val="16"/>
          <w:shd w:val="clear" w:color="auto" w:fill="FFFFFF"/>
          <w:lang w:val="es-CR"/>
        </w:rPr>
        <w:t> </w:t>
      </w:r>
      <w:r w:rsidRPr="007D3F3C">
        <w:rPr>
          <w:rFonts w:ascii="Verdana" w:hAnsi="Verdana"/>
          <w:i/>
          <w:iCs/>
          <w:sz w:val="16"/>
          <w:szCs w:val="16"/>
          <w:lang w:val="es-CR"/>
        </w:rPr>
        <w:t>por</w:t>
      </w:r>
      <w:r w:rsidRPr="007D3F3C">
        <w:rPr>
          <w:rStyle w:val="apple-converted-space"/>
          <w:rFonts w:ascii="Verdana" w:eastAsia="Arial Unicode MS" w:hAnsi="Verdana" w:cs="Arial Unicode MS"/>
          <w:i/>
          <w:iCs/>
          <w:color w:val="000000"/>
          <w:spacing w:val="4"/>
          <w:sz w:val="16"/>
          <w:szCs w:val="16"/>
          <w:shd w:val="clear" w:color="auto" w:fill="FFFFFF"/>
          <w:lang w:val="es-CR"/>
        </w:rPr>
        <w:t> </w:t>
      </w:r>
      <w:r w:rsidRPr="007D3F3C">
        <w:rPr>
          <w:rFonts w:ascii="Verdana" w:hAnsi="Verdana"/>
          <w:i/>
          <w:iCs/>
          <w:sz w:val="16"/>
          <w:szCs w:val="16"/>
          <w:lang w:val="es-CR"/>
        </w:rPr>
        <w:t>razón</w:t>
      </w:r>
      <w:r w:rsidRPr="007D3F3C">
        <w:rPr>
          <w:rStyle w:val="apple-converted-space"/>
          <w:rFonts w:ascii="Verdana" w:eastAsia="Arial Unicode MS" w:hAnsi="Verdana" w:cs="Arial Unicode MS"/>
          <w:i/>
          <w:iCs/>
          <w:color w:val="000000"/>
          <w:spacing w:val="4"/>
          <w:sz w:val="16"/>
          <w:szCs w:val="16"/>
          <w:shd w:val="clear" w:color="auto" w:fill="FFFFFF"/>
          <w:lang w:val="es-CR"/>
        </w:rPr>
        <w:t> </w:t>
      </w:r>
      <w:r w:rsidRPr="007D3F3C">
        <w:rPr>
          <w:rFonts w:ascii="Verdana" w:hAnsi="Verdana"/>
          <w:i/>
          <w:iCs/>
          <w:sz w:val="16"/>
          <w:szCs w:val="16"/>
          <w:lang w:val="es-CR"/>
        </w:rPr>
        <w:t>de</w:t>
      </w:r>
      <w:r w:rsidRPr="007D3F3C">
        <w:rPr>
          <w:rStyle w:val="apple-converted-space"/>
          <w:rFonts w:ascii="Verdana" w:eastAsia="Arial Unicode MS" w:hAnsi="Verdana" w:cs="Arial Unicode MS"/>
          <w:i/>
          <w:iCs/>
          <w:color w:val="000000"/>
          <w:spacing w:val="4"/>
          <w:sz w:val="16"/>
          <w:szCs w:val="16"/>
          <w:shd w:val="clear" w:color="auto" w:fill="FFFFFF"/>
          <w:lang w:val="es-CR"/>
        </w:rPr>
        <w:t> </w:t>
      </w:r>
      <w:r w:rsidRPr="007D3F3C">
        <w:rPr>
          <w:rFonts w:ascii="Verdana" w:hAnsi="Verdana"/>
          <w:i/>
          <w:iCs/>
          <w:sz w:val="16"/>
          <w:szCs w:val="16"/>
          <w:lang w:val="es-CR"/>
        </w:rPr>
        <w:t>su</w:t>
      </w:r>
      <w:r w:rsidRPr="007D3F3C">
        <w:rPr>
          <w:rStyle w:val="apple-converted-space"/>
          <w:rFonts w:ascii="Verdana" w:eastAsia="Arial Unicode MS" w:hAnsi="Verdana" w:cs="Arial Unicode MS"/>
          <w:i/>
          <w:iCs/>
          <w:color w:val="000000"/>
          <w:spacing w:val="4"/>
          <w:sz w:val="16"/>
          <w:szCs w:val="16"/>
          <w:shd w:val="clear" w:color="auto" w:fill="FFFFFF"/>
          <w:lang w:val="es-CR"/>
        </w:rPr>
        <w:t> </w:t>
      </w:r>
      <w:r w:rsidRPr="007D3F3C">
        <w:rPr>
          <w:rFonts w:ascii="Verdana" w:hAnsi="Verdana"/>
          <w:i/>
          <w:iCs/>
          <w:sz w:val="16"/>
          <w:szCs w:val="16"/>
          <w:lang w:val="es-CR"/>
        </w:rPr>
        <w:t>sexo</w:t>
      </w:r>
      <w:r w:rsidRPr="007D3F3C">
        <w:rPr>
          <w:rFonts w:ascii="Verdana" w:eastAsia="Arial Unicode MS" w:hAnsi="Verdana" w:cs="Arial Unicode MS"/>
          <w:i/>
          <w:iCs/>
          <w:color w:val="000000"/>
          <w:spacing w:val="4"/>
          <w:sz w:val="16"/>
          <w:szCs w:val="16"/>
          <w:shd w:val="clear" w:color="auto" w:fill="FFFFFF"/>
          <w:lang w:val="es-CR"/>
        </w:rPr>
        <w:t>.</w:t>
      </w:r>
      <w:r w:rsidRPr="007D3F3C">
        <w:rPr>
          <w:rFonts w:ascii="Verdana" w:eastAsia="Arial Unicode MS" w:hAnsi="Verdana" w:cs="Arial Unicode MS"/>
          <w:color w:val="000000"/>
          <w:spacing w:val="4"/>
          <w:sz w:val="16"/>
          <w:szCs w:val="16"/>
          <w:shd w:val="clear" w:color="auto" w:fill="FFFFFF"/>
          <w:lang w:val="es-CR"/>
        </w:rPr>
        <w:t xml:space="preserve"> </w:t>
      </w:r>
      <w:r w:rsidRPr="007D3F3C">
        <w:rPr>
          <w:rFonts w:ascii="Verdana" w:eastAsia="Arial Unicode MS" w:hAnsi="Verdana" w:cs="Arial Unicode MS"/>
          <w:color w:val="000000"/>
          <w:spacing w:val="4"/>
          <w:sz w:val="16"/>
          <w:szCs w:val="16"/>
          <w:shd w:val="clear" w:color="auto" w:fill="FFFFFF"/>
          <w:lang w:val="en-US"/>
        </w:rPr>
        <w:t xml:space="preserve">Available at: </w:t>
      </w:r>
      <w:r w:rsidRPr="007D3F3C">
        <w:rPr>
          <w:rFonts w:ascii="Verdana" w:eastAsia="Arial Unicode MS" w:hAnsi="Verdana" w:cs="Arial Unicode MS"/>
          <w:i/>
          <w:color w:val="000000"/>
          <w:spacing w:val="4"/>
          <w:sz w:val="16"/>
          <w:szCs w:val="16"/>
          <w:shd w:val="clear" w:color="auto" w:fill="FFFFFF"/>
          <w:lang w:val="en-US"/>
        </w:rPr>
        <w:t>http://dle.rae.es/</w:t>
      </w:r>
    </w:p>
  </w:footnote>
  <w:footnote w:id="7">
    <w:p w14:paraId="00F5352A" w14:textId="77777777" w:rsidR="00576E40" w:rsidRPr="007D3F3C" w:rsidRDefault="00576E40" w:rsidP="00551CA7">
      <w:pPr>
        <w:spacing w:after="0" w:line="240" w:lineRule="auto"/>
        <w:jc w:val="both"/>
        <w:rPr>
          <w:rFonts w:ascii="Verdana" w:hAnsi="Verdana" w:cs="Arial"/>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cs="Tahoma"/>
          <w:sz w:val="16"/>
          <w:szCs w:val="16"/>
          <w:lang w:val="en-US"/>
        </w:rPr>
        <w:tab/>
        <w:t>“Article 7:</w:t>
      </w:r>
      <w:r w:rsidRPr="007D3F3C">
        <w:rPr>
          <w:rFonts w:ascii="Verdana" w:hAnsi="Verdana" w:cs="Tahoma"/>
          <w:color w:val="000000"/>
          <w:sz w:val="16"/>
          <w:szCs w:val="16"/>
          <w:shd w:val="clear" w:color="auto" w:fill="FFFFFF"/>
          <w:lang w:val="en-US"/>
        </w:rPr>
        <w:t xml:space="preserve"> </w:t>
      </w:r>
      <w:r w:rsidRPr="007D3F3C">
        <w:rPr>
          <w:rFonts w:ascii="Verdana" w:hAnsi="Verdana"/>
          <w:sz w:val="16"/>
          <w:szCs w:val="16"/>
          <w:lang w:val="en-US"/>
        </w:rPr>
        <w:t>“</w:t>
      </w:r>
      <w:r w:rsidRPr="007D3F3C">
        <w:rPr>
          <w:rFonts w:ascii="Verdana" w:hAnsi="Verdana" w:cs="Arial"/>
          <w:sz w:val="16"/>
          <w:szCs w:val="16"/>
          <w:lang w:val="en-US"/>
        </w:rPr>
        <w:t xml:space="preserve">The States Parties condemn all forms of violence against women and agree to pursue, by all appropriate means and without delay, policies to prevent, punish and eradicate such violence and undertake to: </w:t>
      </w:r>
    </w:p>
    <w:p w14:paraId="5A054401" w14:textId="77777777" w:rsidR="00576E40" w:rsidRPr="007D3F3C" w:rsidRDefault="00576E40" w:rsidP="00551CA7">
      <w:pPr>
        <w:spacing w:after="0" w:line="240" w:lineRule="auto"/>
        <w:jc w:val="both"/>
        <w:rPr>
          <w:rFonts w:ascii="Verdana" w:hAnsi="Verdana" w:cs="Arial"/>
          <w:sz w:val="16"/>
          <w:szCs w:val="16"/>
          <w:lang w:val="en-US"/>
        </w:rPr>
      </w:pPr>
      <w:r w:rsidRPr="007D3F3C">
        <w:rPr>
          <w:rFonts w:ascii="Verdana" w:hAnsi="Verdana" w:cs="Arial"/>
          <w:sz w:val="16"/>
          <w:szCs w:val="16"/>
          <w:lang w:val="en-US"/>
        </w:rPr>
        <w:t xml:space="preserve">(a) refrain from engaging in any act or practice of violence against women and to ensure that their authorities, officials, personnel, agents, and institutions act in conformity with this obligation; </w:t>
      </w:r>
    </w:p>
    <w:p w14:paraId="170EB99A" w14:textId="77777777" w:rsidR="00576E40" w:rsidRPr="007D3F3C" w:rsidRDefault="00576E40" w:rsidP="00551CA7">
      <w:pPr>
        <w:spacing w:after="0" w:line="240" w:lineRule="auto"/>
        <w:jc w:val="both"/>
        <w:rPr>
          <w:rFonts w:ascii="Verdana" w:hAnsi="Verdana" w:cs="Arial"/>
          <w:sz w:val="16"/>
          <w:szCs w:val="16"/>
          <w:lang w:val="en-US"/>
        </w:rPr>
      </w:pPr>
      <w:r w:rsidRPr="007D3F3C">
        <w:rPr>
          <w:rFonts w:ascii="Verdana" w:hAnsi="Verdana" w:cs="Arial"/>
          <w:sz w:val="16"/>
          <w:szCs w:val="16"/>
          <w:lang w:val="en-US"/>
        </w:rPr>
        <w:t xml:space="preserve">(b) apply due diligence to prevent, investigate and impose penalties for violence against women; </w:t>
      </w:r>
    </w:p>
    <w:p w14:paraId="2AF302B7" w14:textId="77777777" w:rsidR="00576E40" w:rsidRPr="007D3F3C" w:rsidRDefault="00576E40" w:rsidP="00551CA7">
      <w:pPr>
        <w:spacing w:after="0" w:line="240" w:lineRule="auto"/>
        <w:jc w:val="both"/>
        <w:rPr>
          <w:rFonts w:ascii="Verdana" w:hAnsi="Verdana" w:cs="Arial"/>
          <w:sz w:val="16"/>
          <w:szCs w:val="16"/>
          <w:lang w:val="en-US"/>
        </w:rPr>
      </w:pPr>
      <w:r w:rsidRPr="007D3F3C">
        <w:rPr>
          <w:rFonts w:ascii="Verdana" w:hAnsi="Verdana" w:cs="Arial"/>
          <w:sz w:val="16"/>
          <w:szCs w:val="16"/>
          <w:lang w:val="en-US"/>
        </w:rPr>
        <w:t xml:space="preserve">(c) include in their domestic legislation penal, civil, administrative and any other type of provisions that may be needed to prevent, punish and eradicate violence against women and to adopt appropriate administrative measures where necessary; </w:t>
      </w:r>
    </w:p>
    <w:p w14:paraId="47BC020B" w14:textId="77777777" w:rsidR="00576E40" w:rsidRPr="007D3F3C" w:rsidRDefault="00576E40" w:rsidP="00551CA7">
      <w:pPr>
        <w:spacing w:after="0" w:line="240" w:lineRule="auto"/>
        <w:jc w:val="both"/>
        <w:rPr>
          <w:rFonts w:ascii="Verdana" w:hAnsi="Verdana" w:cs="Arial"/>
          <w:sz w:val="16"/>
          <w:szCs w:val="16"/>
          <w:lang w:val="en-US"/>
        </w:rPr>
      </w:pPr>
      <w:r w:rsidRPr="007D3F3C">
        <w:rPr>
          <w:rFonts w:ascii="Verdana" w:hAnsi="Verdana" w:cs="Arial"/>
          <w:sz w:val="16"/>
          <w:szCs w:val="16"/>
          <w:lang w:val="en-US"/>
        </w:rPr>
        <w:t xml:space="preserve">(d) adopt legal measures to require the perpetrator to refrain from harassing, intimidating or threatening the woman or using any method that harms or endangers her life or integrity, or damages her property; </w:t>
      </w:r>
    </w:p>
    <w:p w14:paraId="12A7387D" w14:textId="77777777" w:rsidR="00576E40" w:rsidRPr="007D3F3C" w:rsidRDefault="00576E40" w:rsidP="00551CA7">
      <w:pPr>
        <w:spacing w:after="0" w:line="240" w:lineRule="auto"/>
        <w:jc w:val="both"/>
        <w:rPr>
          <w:rFonts w:ascii="Verdana" w:hAnsi="Verdana" w:cs="Arial"/>
          <w:sz w:val="16"/>
          <w:szCs w:val="16"/>
          <w:lang w:val="en-US"/>
        </w:rPr>
      </w:pPr>
      <w:r w:rsidRPr="007D3F3C">
        <w:rPr>
          <w:rFonts w:ascii="Verdana" w:hAnsi="Verdana" w:cs="Arial"/>
          <w:sz w:val="16"/>
          <w:szCs w:val="16"/>
          <w:lang w:val="en-US"/>
        </w:rPr>
        <w:t xml:space="preserve">(e) take all appropriate measures, including legislative measures, to amend or repeal existing laws and regulations or to modify legal or customary practices which sustain the persistence and tolerance of violence against women; (f) establish fair and effective legal procedures for women who have been subjected to violence which include, among others, protective measures, a timely hearing and effective access to such procedures; </w:t>
      </w:r>
    </w:p>
    <w:p w14:paraId="342EDABE" w14:textId="77777777" w:rsidR="00576E40" w:rsidRPr="007D3F3C" w:rsidRDefault="00576E40" w:rsidP="00551CA7">
      <w:pPr>
        <w:spacing w:after="0" w:line="240" w:lineRule="auto"/>
        <w:jc w:val="both"/>
        <w:rPr>
          <w:rFonts w:ascii="Verdana" w:hAnsi="Verdana" w:cs="Arial"/>
          <w:sz w:val="16"/>
          <w:szCs w:val="16"/>
          <w:lang w:val="en-US"/>
        </w:rPr>
      </w:pPr>
      <w:r w:rsidRPr="007D3F3C">
        <w:rPr>
          <w:rFonts w:ascii="Verdana" w:hAnsi="Verdana" w:cs="Arial"/>
          <w:sz w:val="16"/>
          <w:szCs w:val="16"/>
          <w:lang w:val="en-US"/>
        </w:rPr>
        <w:t xml:space="preserve">(g) establish the necessary legal and administrative mechanisms to ensure that women subjected to violence have effective access to restitution, reparations or other just and effective remedies; and </w:t>
      </w:r>
    </w:p>
    <w:p w14:paraId="048A81DF" w14:textId="77777777" w:rsidR="00576E40" w:rsidRPr="007D3F3C" w:rsidRDefault="00576E40" w:rsidP="00551CA7">
      <w:pPr>
        <w:pStyle w:val="NormalWeb"/>
        <w:shd w:val="clear" w:color="auto" w:fill="FFFFFF"/>
        <w:spacing w:after="0"/>
        <w:ind w:right="74"/>
        <w:jc w:val="both"/>
        <w:rPr>
          <w:rFonts w:ascii="Verdana" w:hAnsi="Verdana" w:cs="Arial"/>
          <w:sz w:val="16"/>
          <w:szCs w:val="16"/>
        </w:rPr>
      </w:pPr>
      <w:r w:rsidRPr="007D3F3C">
        <w:rPr>
          <w:rFonts w:ascii="Verdana" w:hAnsi="Verdana" w:cs="Arial"/>
          <w:sz w:val="16"/>
          <w:szCs w:val="16"/>
        </w:rPr>
        <w:t>(h) adopt such legislative or other measures as may be necessary to give effect to this Convention.”</w:t>
      </w:r>
    </w:p>
  </w:footnote>
  <w:footnote w:id="8">
    <w:p w14:paraId="50A4E921"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 205, and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Judgment of May 19, 2014. Series C No. 277.</w:t>
      </w:r>
    </w:p>
  </w:footnote>
  <w:footnote w:id="9">
    <w:p w14:paraId="61907BC4" w14:textId="77777777" w:rsidR="00576E40" w:rsidRPr="007D3F3C" w:rsidRDefault="00576E40" w:rsidP="00551CA7">
      <w:pPr>
        <w:pStyle w:val="Textonotapie"/>
        <w:jc w:val="both"/>
        <w:rPr>
          <w:rFonts w:ascii="Verdana" w:hAnsi="Verdana" w:cs="Tahoma"/>
          <w:bCs/>
          <w:color w:val="000000"/>
          <w:sz w:val="16"/>
          <w:szCs w:val="16"/>
          <w:shd w:val="clear" w:color="auto" w:fill="FFFFFF"/>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In the instant case, the State questioned the Court’s competence </w:t>
      </w:r>
      <w:r w:rsidRPr="007D3F3C">
        <w:rPr>
          <w:rFonts w:ascii="Verdana" w:hAnsi="Verdana" w:cs="Tahoma"/>
          <w:i/>
          <w:sz w:val="16"/>
          <w:szCs w:val="16"/>
          <w:lang w:val="en-US"/>
        </w:rPr>
        <w:t>ratione materiae</w:t>
      </w:r>
      <w:r w:rsidRPr="007D3F3C">
        <w:rPr>
          <w:rFonts w:ascii="Verdana" w:hAnsi="Verdana" w:cs="Tahoma"/>
          <w:sz w:val="16"/>
          <w:szCs w:val="16"/>
          <w:lang w:val="en-US"/>
        </w:rPr>
        <w:t>. Based on its precedents, the Inter-American Court rejected this preliminary objection in the understanding that “</w:t>
      </w:r>
      <w:r w:rsidRPr="007D3F3C">
        <w:rPr>
          <w:rFonts w:ascii="Verdana" w:eastAsia="Calibri" w:hAnsi="Verdana" w:cs="Arial"/>
          <w:sz w:val="16"/>
          <w:szCs w:val="16"/>
          <w:lang w:val="en-US"/>
        </w:rPr>
        <w:t>it seems clear that the literal meaning of Article 12 of the Belém do Pará Convention grants competence to the Court, by not excluding from its application any of the norms and procedural requirements for individual communications</w:t>
      </w:r>
      <w:r w:rsidRPr="007D3F3C">
        <w:rPr>
          <w:rFonts w:ascii="Verdana" w:hAnsi="Verdana" w:cs="Tahoma"/>
          <w:sz w:val="16"/>
          <w:szCs w:val="16"/>
          <w:lang w:val="en-US"/>
        </w:rPr>
        <w:t>”, and also, that in other contentious cases against Guatemala, the Court had declared that the State was responsible for the violation of Article 7 of the Convention of Belém do Pará and found no evidence to change its case law. See paras. 16 to 19 of the judgment.</w:t>
      </w:r>
    </w:p>
  </w:footnote>
  <w:footnote w:id="10">
    <w:p w14:paraId="7EE8F3CD"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r>
      <w:r w:rsidRPr="007D3F3C">
        <w:rPr>
          <w:rStyle w:val="Textoennegrita"/>
          <w:rFonts w:ascii="Verdana" w:hAnsi="Verdana" w:cs="Tahoma"/>
          <w:b w:val="0"/>
          <w:color w:val="000000"/>
          <w:sz w:val="16"/>
          <w:szCs w:val="16"/>
          <w:shd w:val="clear" w:color="auto" w:fill="FFFFFF"/>
          <w:lang w:val="en-US"/>
        </w:rPr>
        <w:t xml:space="preserve">I/A Court HR, </w:t>
      </w:r>
      <w:r w:rsidRPr="007D3F3C">
        <w:rPr>
          <w:rStyle w:val="Textoennegrita"/>
          <w:rFonts w:ascii="Verdana" w:hAnsi="Verdana" w:cs="Tahoma"/>
          <w:b w:val="0"/>
          <w:i/>
          <w:color w:val="000000"/>
          <w:sz w:val="16"/>
          <w:szCs w:val="16"/>
          <w:shd w:val="clear" w:color="auto" w:fill="FFFFFF"/>
          <w:lang w:val="en-US"/>
        </w:rPr>
        <w:t>Case of the Miguel Castro Castro Prison v. Peru.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25, 2006. Series C No. 160;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 205; </w:t>
      </w:r>
      <w:r w:rsidRPr="007D3F3C">
        <w:rPr>
          <w:rStyle w:val="Textoennegrita"/>
          <w:rFonts w:ascii="Verdana" w:hAnsi="Verdana" w:cs="Tahoma"/>
          <w:b w:val="0"/>
          <w:i/>
          <w:color w:val="000000"/>
          <w:sz w:val="16"/>
          <w:szCs w:val="16"/>
          <w:shd w:val="clear" w:color="auto" w:fill="FFFFFF"/>
          <w:lang w:val="en-US"/>
        </w:rPr>
        <w:t xml:space="preserve">Case of the Las Dos Erres Massacre v. Guatemala. Preliminary objection, merits, reparations and costs. </w:t>
      </w:r>
      <w:r w:rsidRPr="007D3F3C">
        <w:rPr>
          <w:rStyle w:val="Textoennegrita"/>
          <w:rFonts w:ascii="Verdana" w:hAnsi="Verdana" w:cs="Tahoma"/>
          <w:b w:val="0"/>
          <w:color w:val="000000"/>
          <w:sz w:val="16"/>
          <w:szCs w:val="16"/>
          <w:shd w:val="clear" w:color="auto" w:fill="FFFFFF"/>
          <w:lang w:val="en-US"/>
        </w:rPr>
        <w:t xml:space="preserve">Judgment of November 24, 2009. Series C No. 211; </w:t>
      </w:r>
      <w:r w:rsidRPr="007D3F3C">
        <w:rPr>
          <w:rStyle w:val="Textoennegrita"/>
          <w:rFonts w:ascii="Verdana" w:hAnsi="Verdana" w:cs="Tahoma"/>
          <w:b w:val="0"/>
          <w:i/>
          <w:color w:val="000000"/>
          <w:sz w:val="16"/>
          <w:szCs w:val="16"/>
          <w:shd w:val="clear" w:color="auto" w:fill="FFFFFF"/>
          <w:lang w:val="en-US"/>
        </w:rPr>
        <w:t>Case of Fernández Ortega et al.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August 30, 2010 Series C No. 215; </w:t>
      </w:r>
      <w:r w:rsidRPr="007D3F3C">
        <w:rPr>
          <w:rStyle w:val="Textoennegrita"/>
          <w:rFonts w:ascii="Verdana" w:hAnsi="Verdana" w:cs="Tahoma"/>
          <w:b w:val="0"/>
          <w:i/>
          <w:color w:val="000000"/>
          <w:sz w:val="16"/>
          <w:szCs w:val="16"/>
          <w:shd w:val="clear" w:color="auto" w:fill="FFFFFF"/>
          <w:lang w:val="en-US"/>
        </w:rPr>
        <w:t xml:space="preserve">Case of Rosendo Cantú et al. v. Mexico. Preliminary objection, merits, reparations and costs. </w:t>
      </w:r>
      <w:r w:rsidRPr="007D3F3C">
        <w:rPr>
          <w:rStyle w:val="Textoennegrita"/>
          <w:rFonts w:ascii="Verdana" w:hAnsi="Verdana" w:cs="Tahoma"/>
          <w:b w:val="0"/>
          <w:color w:val="000000"/>
          <w:sz w:val="16"/>
          <w:szCs w:val="16"/>
          <w:shd w:val="clear" w:color="auto" w:fill="FFFFFF"/>
          <w:lang w:val="en-US"/>
        </w:rPr>
        <w:t xml:space="preserve">Judgment of August 31, 2010 Series C No. 216; </w:t>
      </w:r>
      <w:r w:rsidRPr="007D3F3C">
        <w:rPr>
          <w:rStyle w:val="Textoennegrita"/>
          <w:rFonts w:ascii="Verdana" w:hAnsi="Verdana" w:cs="Tahoma"/>
          <w:b w:val="0"/>
          <w:i/>
          <w:color w:val="000000"/>
          <w:sz w:val="16"/>
          <w:szCs w:val="16"/>
          <w:shd w:val="clear" w:color="auto" w:fill="FFFFFF"/>
          <w:lang w:val="en-US"/>
        </w:rPr>
        <w:t>Case of the Río Negro Massacres v. Guatemala.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September 4, 2012 Series C No. 250; </w:t>
      </w:r>
      <w:r w:rsidRPr="007D3F3C">
        <w:rPr>
          <w:rStyle w:val="Textoennegrita"/>
          <w:rFonts w:ascii="Verdana" w:hAnsi="Verdana" w:cs="Tahoma"/>
          <w:b w:val="0"/>
          <w:i/>
          <w:color w:val="000000"/>
          <w:sz w:val="16"/>
          <w:szCs w:val="16"/>
          <w:shd w:val="clear" w:color="auto" w:fill="FFFFFF"/>
          <w:lang w:val="en-US"/>
        </w:rPr>
        <w:t xml:space="preserve">Case of the Massacres of El Mozote and neighboring places v. El Salvador. Merits, reparations and costs. </w:t>
      </w:r>
      <w:r w:rsidRPr="007D3F3C">
        <w:rPr>
          <w:rStyle w:val="Textoennegrita"/>
          <w:rFonts w:ascii="Verdana" w:hAnsi="Verdana" w:cs="Tahoma"/>
          <w:b w:val="0"/>
          <w:color w:val="000000"/>
          <w:sz w:val="16"/>
          <w:szCs w:val="16"/>
          <w:shd w:val="clear" w:color="auto" w:fill="FFFFFF"/>
          <w:lang w:val="en-US"/>
        </w:rPr>
        <w:t xml:space="preserve">Judgment of October 25, 2012 Series C No. 252; </w:t>
      </w:r>
      <w:r w:rsidRPr="007D3F3C">
        <w:rPr>
          <w:rStyle w:val="Textoennegrita"/>
          <w:rFonts w:ascii="Verdana" w:hAnsi="Verdana" w:cs="Tahoma"/>
          <w:b w:val="0"/>
          <w:i/>
          <w:color w:val="000000"/>
          <w:sz w:val="16"/>
          <w:szCs w:val="16"/>
          <w:shd w:val="clear" w:color="auto" w:fill="FFFFFF"/>
          <w:lang w:val="en-US"/>
        </w:rPr>
        <w:t xml:space="preserve">Case of Gudiel Álvarez et al. ("Diario Militar") v. Guatemala. Merits, reparations and costs. </w:t>
      </w:r>
      <w:r w:rsidRPr="007D3F3C">
        <w:rPr>
          <w:rStyle w:val="Textoennegrita"/>
          <w:rFonts w:ascii="Verdana" w:hAnsi="Verdana" w:cs="Tahoma"/>
          <w:b w:val="0"/>
          <w:color w:val="000000"/>
          <w:sz w:val="16"/>
          <w:szCs w:val="16"/>
          <w:shd w:val="clear" w:color="auto" w:fill="FFFFFF"/>
          <w:lang w:val="en-US"/>
        </w:rPr>
        <w:t xml:space="preserve">Judgment of November 20, 2012 Series C No. 253; </w:t>
      </w:r>
      <w:r w:rsidRPr="007D3F3C">
        <w:rPr>
          <w:rStyle w:val="Textoennegrita"/>
          <w:rFonts w:ascii="Verdana" w:hAnsi="Verdana" w:cs="Tahoma"/>
          <w:b w:val="0"/>
          <w:i/>
          <w:color w:val="000000"/>
          <w:sz w:val="16"/>
          <w:szCs w:val="16"/>
          <w:shd w:val="clear" w:color="auto" w:fill="FFFFFF"/>
          <w:lang w:val="en-US"/>
        </w:rPr>
        <w:t>Case of J. v. Peru.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27, 2013. Series C No. 275;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and </w:t>
      </w:r>
      <w:r w:rsidRPr="007D3F3C">
        <w:rPr>
          <w:rStyle w:val="Textoennegrita"/>
          <w:rFonts w:ascii="Verdana" w:hAnsi="Verdana" w:cs="Tahoma"/>
          <w:b w:val="0"/>
          <w:i/>
          <w:color w:val="000000"/>
          <w:sz w:val="16"/>
          <w:szCs w:val="16"/>
          <w:shd w:val="clear" w:color="auto" w:fill="FFFFFF"/>
          <w:lang w:val="en-US"/>
        </w:rPr>
        <w:t>Case of Espinoza Gonzáles v. Peru.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20, 2014. Series C No. 289.</w:t>
      </w:r>
    </w:p>
  </w:footnote>
  <w:footnote w:id="11">
    <w:p w14:paraId="49DE0B5D"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Article 7 of the “Convention of Belém do Pará,” see </w:t>
      </w:r>
      <w:r w:rsidRPr="007D3F3C">
        <w:rPr>
          <w:rFonts w:ascii="Verdana" w:hAnsi="Verdana"/>
          <w:i/>
          <w:sz w:val="16"/>
          <w:szCs w:val="16"/>
          <w:lang w:val="en-US"/>
        </w:rPr>
        <w:t>supra</w:t>
      </w:r>
      <w:r w:rsidRPr="007D3F3C">
        <w:rPr>
          <w:rFonts w:ascii="Verdana" w:hAnsi="Verdana"/>
          <w:sz w:val="16"/>
          <w:szCs w:val="16"/>
          <w:lang w:val="en-US"/>
        </w:rPr>
        <w:t xml:space="preserve"> nota 6.</w:t>
      </w:r>
    </w:p>
  </w:footnote>
  <w:footnote w:id="12">
    <w:p w14:paraId="6666CD6B"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r>
      <w:r w:rsidRPr="007D3F3C">
        <w:rPr>
          <w:rStyle w:val="Textoennegrita"/>
          <w:rFonts w:ascii="Verdana" w:hAnsi="Verdana" w:cs="Tahoma"/>
          <w:b w:val="0"/>
          <w:color w:val="000000"/>
          <w:sz w:val="16"/>
          <w:szCs w:val="16"/>
          <w:shd w:val="clear" w:color="auto" w:fill="FFFFFF"/>
          <w:lang w:val="en-US"/>
        </w:rPr>
        <w:t xml:space="preserve">I/A Court HR, </w:t>
      </w:r>
      <w:r w:rsidRPr="007D3F3C">
        <w:rPr>
          <w:rStyle w:val="Textoennegrita"/>
          <w:rFonts w:ascii="Verdana" w:hAnsi="Verdana" w:cs="Tahoma"/>
          <w:b w:val="0"/>
          <w:i/>
          <w:color w:val="000000"/>
          <w:sz w:val="16"/>
          <w:szCs w:val="16"/>
          <w:shd w:val="clear" w:color="auto" w:fill="FFFFFF"/>
          <w:lang w:val="en-US"/>
        </w:rPr>
        <w:t>Case of the Miguel Castro Castro Prison v. Peru. Merits, reparations and costs</w:t>
      </w:r>
      <w:r w:rsidRPr="007D3F3C">
        <w:rPr>
          <w:rStyle w:val="Textoennegrita"/>
          <w:rFonts w:ascii="Verdana" w:hAnsi="Verdana" w:cs="Tahoma"/>
          <w:b w:val="0"/>
          <w:color w:val="000000"/>
          <w:sz w:val="16"/>
          <w:szCs w:val="16"/>
          <w:shd w:val="clear" w:color="auto" w:fill="FFFFFF"/>
          <w:lang w:val="en-US"/>
        </w:rPr>
        <w:t>. Judgment of November 25, 2006. Series C No. 160.</w:t>
      </w:r>
    </w:p>
  </w:footnote>
  <w:footnote w:id="13">
    <w:p w14:paraId="10E36B86" w14:textId="77777777" w:rsidR="00576E40" w:rsidRPr="007D3F3C" w:rsidRDefault="00576E40" w:rsidP="00551CA7">
      <w:pPr>
        <w:pStyle w:val="Textonotapie"/>
        <w:jc w:val="both"/>
        <w:rPr>
          <w:rFonts w:ascii="Verdana" w:hAnsi="Verdana" w:cs="Tahom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r>
      <w:r w:rsidRPr="007D3F3C">
        <w:rPr>
          <w:rStyle w:val="Textoennegrita"/>
          <w:rFonts w:ascii="Verdana" w:hAnsi="Verdana" w:cs="Tahoma"/>
          <w:b w:val="0"/>
          <w:color w:val="000000"/>
          <w:sz w:val="16"/>
          <w:szCs w:val="16"/>
          <w:shd w:val="clear" w:color="auto" w:fill="FFFFFF"/>
          <w:lang w:val="en-US"/>
        </w:rPr>
        <w:t xml:space="preserve">I/A Court HR, </w:t>
      </w:r>
      <w:r w:rsidRPr="007D3F3C">
        <w:rPr>
          <w:rStyle w:val="Textoennegrita"/>
          <w:rFonts w:ascii="Verdana" w:hAnsi="Verdana" w:cs="Tahoma"/>
          <w:b w:val="0"/>
          <w:i/>
          <w:color w:val="000000"/>
          <w:sz w:val="16"/>
          <w:szCs w:val="16"/>
          <w:shd w:val="clear" w:color="auto" w:fill="FFFFFF"/>
          <w:lang w:val="en-US"/>
        </w:rPr>
        <w:t>Case of the Miguel Castro Castro Prison v. Peru.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25, 2006. Series C No. 160, para. 394.</w:t>
      </w:r>
    </w:p>
  </w:footnote>
  <w:footnote w:id="14">
    <w:p w14:paraId="7FA0AB7F" w14:textId="77777777" w:rsidR="00576E40" w:rsidRPr="007D3F3C" w:rsidRDefault="00576E40" w:rsidP="00551CA7">
      <w:pPr>
        <w:pStyle w:val="Textonotapie"/>
        <w:jc w:val="both"/>
        <w:rPr>
          <w:rFonts w:ascii="Verdana" w:hAnsi="Verdana" w:cs="Tahom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r>
      <w:r w:rsidRPr="007D3F3C">
        <w:rPr>
          <w:rStyle w:val="Textoennegrita"/>
          <w:rFonts w:ascii="Verdana" w:hAnsi="Verdana" w:cs="Tahoma"/>
          <w:b w:val="0"/>
          <w:color w:val="000000"/>
          <w:sz w:val="16"/>
          <w:szCs w:val="16"/>
          <w:shd w:val="clear" w:color="auto" w:fill="FFFFFF"/>
          <w:lang w:val="en-US"/>
        </w:rPr>
        <w:t xml:space="preserve">I/A Court HR, </w:t>
      </w:r>
      <w:r w:rsidRPr="007D3F3C">
        <w:rPr>
          <w:rStyle w:val="Textoennegrita"/>
          <w:rFonts w:ascii="Verdana" w:hAnsi="Verdana" w:cs="Tahoma"/>
          <w:b w:val="0"/>
          <w:i/>
          <w:color w:val="000000"/>
          <w:sz w:val="16"/>
          <w:szCs w:val="16"/>
          <w:shd w:val="clear" w:color="auto" w:fill="FFFFFF"/>
          <w:lang w:val="en-US"/>
        </w:rPr>
        <w:t>Case of the Miguel Castro Castro Prison v. Peru.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25, 2006. Series C No. 160, para. 408.</w:t>
      </w:r>
    </w:p>
  </w:footnote>
  <w:footnote w:id="15">
    <w:p w14:paraId="51E033B4" w14:textId="77777777" w:rsidR="00576E40" w:rsidRPr="007D3F3C" w:rsidRDefault="00576E40" w:rsidP="00551CA7">
      <w:pPr>
        <w:pStyle w:val="Textonotapie"/>
        <w:jc w:val="both"/>
        <w:rPr>
          <w:rFonts w:ascii="Verdana" w:hAnsi="Verdana" w:cs="Tahom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 xml:space="preserve">Case of González et al. (“Cotton Field”) v. Mexico. Preliminary objection, merits, reparations and costs. </w:t>
      </w:r>
      <w:r w:rsidRPr="007D3F3C">
        <w:rPr>
          <w:rStyle w:val="Textoennegrita"/>
          <w:rFonts w:ascii="Verdana" w:hAnsi="Verdana" w:cs="Tahoma"/>
          <w:b w:val="0"/>
          <w:color w:val="000000"/>
          <w:sz w:val="16"/>
          <w:szCs w:val="16"/>
          <w:shd w:val="clear" w:color="auto" w:fill="FFFFFF"/>
          <w:lang w:val="en-US"/>
        </w:rPr>
        <w:t>Judgment of November 16, 2009. Series C No.205, para. 284.</w:t>
      </w:r>
    </w:p>
  </w:footnote>
  <w:footnote w:id="16">
    <w:p w14:paraId="212C50F1"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I/A Court HR,</w:t>
      </w:r>
      <w:r w:rsidRPr="007D3F3C">
        <w:rPr>
          <w:rFonts w:ascii="Verdana" w:hAnsi="Verdana" w:cs="Tahoma"/>
          <w:b/>
          <w:sz w:val="16"/>
          <w:szCs w:val="16"/>
          <w:lang w:val="en-US"/>
        </w:rPr>
        <w:t xml:space="preserve"> </w:t>
      </w:r>
      <w:r w:rsidRPr="007D3F3C">
        <w:rPr>
          <w:rStyle w:val="Textoennegrita"/>
          <w:rFonts w:ascii="Verdana" w:hAnsi="Verdana" w:cs="Tahoma"/>
          <w:b w:val="0"/>
          <w:i/>
          <w:color w:val="000000"/>
          <w:sz w:val="16"/>
          <w:szCs w:val="16"/>
          <w:shd w:val="clear" w:color="auto" w:fill="FFFFFF"/>
          <w:lang w:val="en-US"/>
        </w:rPr>
        <w:t xml:space="preserve">Case of González et al. (“Cotton Field”) v. Mexico. Preliminary objection, merits, reparations and costs. </w:t>
      </w:r>
      <w:r w:rsidRPr="007D3F3C">
        <w:rPr>
          <w:rStyle w:val="Textoennegrita"/>
          <w:rFonts w:ascii="Verdana" w:hAnsi="Verdana" w:cs="Tahoma"/>
          <w:b w:val="0"/>
          <w:color w:val="000000"/>
          <w:sz w:val="16"/>
          <w:szCs w:val="16"/>
          <w:shd w:val="clear" w:color="auto" w:fill="FFFFFF"/>
          <w:lang w:val="en-US"/>
        </w:rPr>
        <w:t>Judgment of November 16, 2009. Series C No.205, para. 285.</w:t>
      </w:r>
    </w:p>
  </w:footnote>
  <w:footnote w:id="17">
    <w:p w14:paraId="3C29EB24"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b/>
          <w:sz w:val="16"/>
          <w:szCs w:val="16"/>
          <w:lang w:val="en-US"/>
        </w:rPr>
        <w:footnoteRef/>
      </w:r>
      <w:r w:rsidRPr="007D3F3C">
        <w:rPr>
          <w:rFonts w:ascii="Verdana" w:hAnsi="Verdana" w:cs="Tahoma"/>
          <w:b/>
          <w:sz w:val="16"/>
          <w:szCs w:val="16"/>
          <w:lang w:val="en-US"/>
        </w:rPr>
        <w:t xml:space="preserve"> </w:t>
      </w:r>
      <w:r w:rsidRPr="007D3F3C">
        <w:rPr>
          <w:rFonts w:ascii="Verdana" w:hAnsi="Verdana" w:cs="Tahoma"/>
          <w:b/>
          <w:sz w:val="16"/>
          <w:szCs w:val="16"/>
          <w:lang w:val="en-US"/>
        </w:rPr>
        <w:tab/>
      </w:r>
      <w:r w:rsidRPr="007D3F3C">
        <w:rPr>
          <w:rFonts w:ascii="Verdana" w:hAnsi="Verdana" w:cs="Tahoma"/>
          <w:sz w:val="16"/>
          <w:szCs w:val="16"/>
          <w:lang w:val="en-US"/>
        </w:rPr>
        <w:t>I/A Court HR,</w:t>
      </w:r>
      <w:r w:rsidRPr="007D3F3C">
        <w:rPr>
          <w:rFonts w:ascii="Verdana" w:hAnsi="Verdana" w:cs="Tahoma"/>
          <w:b/>
          <w:sz w:val="16"/>
          <w:szCs w:val="16"/>
          <w:lang w:val="en-US"/>
        </w:rPr>
        <w:t xml:space="preserve"> </w:t>
      </w:r>
      <w:r w:rsidRPr="007D3F3C">
        <w:rPr>
          <w:rStyle w:val="Textoennegrita"/>
          <w:rFonts w:ascii="Verdana" w:hAnsi="Verdana" w:cs="Tahoma"/>
          <w:b w:val="0"/>
          <w:i/>
          <w:color w:val="000000"/>
          <w:sz w:val="16"/>
          <w:szCs w:val="16"/>
          <w:shd w:val="clear" w:color="auto" w:fill="FFFFFF"/>
          <w:lang w:val="en-US"/>
        </w:rPr>
        <w:t xml:space="preserve">Case of the Las Dos Erres Massacre v. Guatemala. Preliminary objection, merits, reparations and costs. </w:t>
      </w:r>
      <w:r w:rsidRPr="007D3F3C">
        <w:rPr>
          <w:rStyle w:val="Textoennegrita"/>
          <w:rFonts w:ascii="Verdana" w:hAnsi="Verdana" w:cs="Tahoma"/>
          <w:b w:val="0"/>
          <w:color w:val="000000"/>
          <w:sz w:val="16"/>
          <w:szCs w:val="16"/>
          <w:shd w:val="clear" w:color="auto" w:fill="FFFFFF"/>
          <w:lang w:val="en-US"/>
        </w:rPr>
        <w:t>Judgment of November 24, 2009. Series C No. 211.</w:t>
      </w:r>
    </w:p>
  </w:footnote>
  <w:footnote w:id="18">
    <w:p w14:paraId="2F2EA9C2"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b/>
          <w:sz w:val="16"/>
          <w:szCs w:val="16"/>
          <w:lang w:val="en-US"/>
        </w:rPr>
        <w:footnoteRef/>
      </w:r>
      <w:r w:rsidRPr="007D3F3C">
        <w:rPr>
          <w:rFonts w:ascii="Verdana" w:hAnsi="Verdana" w:cs="Tahoma"/>
          <w:b/>
          <w:sz w:val="16"/>
          <w:szCs w:val="16"/>
          <w:lang w:val="en-US"/>
        </w:rPr>
        <w:t xml:space="preserve"> </w:t>
      </w:r>
      <w:r w:rsidRPr="007D3F3C">
        <w:rPr>
          <w:rFonts w:ascii="Verdana" w:hAnsi="Verdana" w:cs="Tahoma"/>
          <w:b/>
          <w:sz w:val="16"/>
          <w:szCs w:val="16"/>
          <w:lang w:val="en-US"/>
        </w:rPr>
        <w:tab/>
      </w:r>
      <w:r w:rsidRPr="007D3F3C">
        <w:rPr>
          <w:rFonts w:ascii="Verdana" w:hAnsi="Verdana" w:cs="Tahoma"/>
          <w:sz w:val="16"/>
          <w:szCs w:val="16"/>
          <w:lang w:val="en-US"/>
        </w:rPr>
        <w:t>I/A Court HR,</w:t>
      </w:r>
      <w:r w:rsidRPr="007D3F3C">
        <w:rPr>
          <w:rFonts w:ascii="Verdana" w:hAnsi="Verdana" w:cs="Tahoma"/>
          <w:b/>
          <w:sz w:val="16"/>
          <w:szCs w:val="16"/>
          <w:lang w:val="en-US"/>
        </w:rPr>
        <w:t xml:space="preserve"> </w:t>
      </w:r>
      <w:r w:rsidRPr="007D3F3C">
        <w:rPr>
          <w:rStyle w:val="Textoennegrita"/>
          <w:rFonts w:ascii="Verdana" w:hAnsi="Verdana" w:cs="Tahoma"/>
          <w:b w:val="0"/>
          <w:i/>
          <w:color w:val="000000"/>
          <w:sz w:val="16"/>
          <w:szCs w:val="16"/>
          <w:shd w:val="clear" w:color="auto" w:fill="FFFFFF"/>
          <w:lang w:val="en-US"/>
        </w:rPr>
        <w:t xml:space="preserve">Case of the Las Dos Erres Massacre v. Guatemala. Preliminary objection, merits, reparations and costs. </w:t>
      </w:r>
      <w:r w:rsidRPr="007D3F3C">
        <w:rPr>
          <w:rStyle w:val="Textoennegrita"/>
          <w:rFonts w:ascii="Verdana" w:hAnsi="Verdana" w:cs="Tahoma"/>
          <w:b w:val="0"/>
          <w:color w:val="000000"/>
          <w:sz w:val="16"/>
          <w:szCs w:val="16"/>
          <w:shd w:val="clear" w:color="auto" w:fill="FFFFFF"/>
          <w:lang w:val="en-US"/>
        </w:rPr>
        <w:t>Judgment of November 24, 2009. Series C No. 211, para. 139 a 141.</w:t>
      </w:r>
    </w:p>
  </w:footnote>
  <w:footnote w:id="19">
    <w:p w14:paraId="2C333D9C"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b/>
          <w:sz w:val="16"/>
          <w:szCs w:val="16"/>
          <w:lang w:val="en-US"/>
        </w:rPr>
        <w:footnoteRef/>
      </w:r>
      <w:r w:rsidRPr="007D3F3C">
        <w:rPr>
          <w:rFonts w:ascii="Verdana" w:hAnsi="Verdana" w:cs="Tahoma"/>
          <w:b/>
          <w:sz w:val="16"/>
          <w:szCs w:val="16"/>
          <w:lang w:val="en-US"/>
        </w:rPr>
        <w:t xml:space="preserve"> </w:t>
      </w:r>
      <w:r w:rsidRPr="007D3F3C">
        <w:rPr>
          <w:rFonts w:ascii="Verdana" w:hAnsi="Verdana" w:cs="Tahoma"/>
          <w:b/>
          <w:sz w:val="16"/>
          <w:szCs w:val="16"/>
          <w:lang w:val="en-US"/>
        </w:rPr>
        <w:tab/>
      </w:r>
      <w:r w:rsidRPr="007D3F3C">
        <w:rPr>
          <w:rFonts w:ascii="Verdana" w:hAnsi="Verdana" w:cs="Tahoma"/>
          <w:sz w:val="16"/>
          <w:szCs w:val="16"/>
          <w:lang w:val="en-US"/>
        </w:rPr>
        <w:t>I/A Court HR,</w:t>
      </w:r>
      <w:r w:rsidRPr="007D3F3C">
        <w:rPr>
          <w:rFonts w:ascii="Verdana" w:hAnsi="Verdana" w:cs="Tahoma"/>
          <w:b/>
          <w:sz w:val="16"/>
          <w:szCs w:val="16"/>
          <w:lang w:val="en-US"/>
        </w:rPr>
        <w:t xml:space="preserve"> </w:t>
      </w:r>
      <w:r w:rsidRPr="007D3F3C">
        <w:rPr>
          <w:rStyle w:val="Textoennegrita"/>
          <w:rFonts w:ascii="Verdana" w:hAnsi="Verdana" w:cs="Tahoma"/>
          <w:b w:val="0"/>
          <w:i/>
          <w:color w:val="000000"/>
          <w:sz w:val="16"/>
          <w:szCs w:val="16"/>
          <w:shd w:val="clear" w:color="auto" w:fill="FFFFFF"/>
          <w:lang w:val="en-US"/>
        </w:rPr>
        <w:t xml:space="preserve">Case of the Las Dos Erres Massacre v. Guatemala. Preliminary objection, merits, reparations and costs. </w:t>
      </w:r>
      <w:r w:rsidRPr="007D3F3C">
        <w:rPr>
          <w:rStyle w:val="Textoennegrita"/>
          <w:rFonts w:ascii="Verdana" w:hAnsi="Verdana" w:cs="Tahoma"/>
          <w:b w:val="0"/>
          <w:color w:val="000000"/>
          <w:sz w:val="16"/>
          <w:szCs w:val="16"/>
          <w:shd w:val="clear" w:color="auto" w:fill="FFFFFF"/>
          <w:lang w:val="en-US"/>
        </w:rPr>
        <w:t>Judgment of November 24, 2009. Series C No. 211, para. 153.</w:t>
      </w:r>
    </w:p>
  </w:footnote>
  <w:footnote w:id="20">
    <w:p w14:paraId="44CF641C"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b/>
          <w:sz w:val="16"/>
          <w:szCs w:val="16"/>
          <w:lang w:val="en-US"/>
        </w:rPr>
        <w:footnoteRef/>
      </w:r>
      <w:r w:rsidRPr="007D3F3C">
        <w:rPr>
          <w:rFonts w:ascii="Verdana" w:hAnsi="Verdana" w:cs="Tahoma"/>
          <w:b/>
          <w:sz w:val="16"/>
          <w:szCs w:val="16"/>
          <w:lang w:val="en-US"/>
        </w:rPr>
        <w:t xml:space="preserve"> </w:t>
      </w:r>
      <w:r w:rsidRPr="007D3F3C">
        <w:rPr>
          <w:rFonts w:ascii="Verdana" w:hAnsi="Verdana" w:cs="Tahoma"/>
          <w:b/>
          <w:sz w:val="16"/>
          <w:szCs w:val="16"/>
          <w:lang w:val="en-US"/>
        </w:rPr>
        <w:tab/>
      </w:r>
      <w:r w:rsidRPr="007D3F3C">
        <w:rPr>
          <w:rFonts w:ascii="Verdana" w:hAnsi="Verdana" w:cs="Tahoma"/>
          <w:sz w:val="16"/>
          <w:szCs w:val="16"/>
          <w:lang w:val="en-US"/>
        </w:rPr>
        <w:t>I/A Court HR,</w:t>
      </w:r>
      <w:r w:rsidRPr="007D3F3C">
        <w:rPr>
          <w:rFonts w:ascii="Verdana" w:hAnsi="Verdana" w:cs="Tahoma"/>
          <w:b/>
          <w:sz w:val="16"/>
          <w:szCs w:val="16"/>
          <w:lang w:val="en-US"/>
        </w:rPr>
        <w:t xml:space="preserve"> </w:t>
      </w:r>
      <w:r w:rsidRPr="007D3F3C">
        <w:rPr>
          <w:rStyle w:val="Textoennegrita"/>
          <w:rFonts w:ascii="Verdana" w:hAnsi="Verdana" w:cs="Tahoma"/>
          <w:b w:val="0"/>
          <w:i/>
          <w:color w:val="000000"/>
          <w:sz w:val="16"/>
          <w:szCs w:val="16"/>
          <w:shd w:val="clear" w:color="auto" w:fill="FFFFFF"/>
          <w:lang w:val="en-US"/>
        </w:rPr>
        <w:t xml:space="preserve">Case of Fernández Ortega et al. v. Mexico. Preliminary objection, merits, reparations and costs. </w:t>
      </w:r>
      <w:r w:rsidRPr="007D3F3C">
        <w:rPr>
          <w:rStyle w:val="Textoennegrita"/>
          <w:rFonts w:ascii="Verdana" w:hAnsi="Verdana" w:cs="Tahoma"/>
          <w:b w:val="0"/>
          <w:color w:val="000000"/>
          <w:sz w:val="16"/>
          <w:szCs w:val="16"/>
          <w:shd w:val="clear" w:color="auto" w:fill="FFFFFF"/>
          <w:lang w:val="en-US"/>
        </w:rPr>
        <w:t>Judgment of August 30, 2010 Series C No. 215.</w:t>
      </w:r>
    </w:p>
  </w:footnote>
  <w:footnote w:id="21">
    <w:p w14:paraId="6340693A"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b/>
          <w:sz w:val="16"/>
          <w:szCs w:val="16"/>
          <w:lang w:val="en-US"/>
        </w:rPr>
        <w:footnoteRef/>
      </w:r>
      <w:r w:rsidRPr="007D3F3C">
        <w:rPr>
          <w:rFonts w:ascii="Verdana" w:hAnsi="Verdana" w:cs="Tahoma"/>
          <w:b/>
          <w:sz w:val="16"/>
          <w:szCs w:val="16"/>
          <w:lang w:val="en-US"/>
        </w:rPr>
        <w:t xml:space="preserve"> </w:t>
      </w:r>
      <w:r w:rsidRPr="007D3F3C">
        <w:rPr>
          <w:rFonts w:ascii="Verdana" w:hAnsi="Verdana" w:cs="Tahoma"/>
          <w:b/>
          <w:sz w:val="16"/>
          <w:szCs w:val="16"/>
          <w:lang w:val="en-US"/>
        </w:rPr>
        <w:tab/>
      </w:r>
      <w:r w:rsidRPr="007D3F3C">
        <w:rPr>
          <w:rFonts w:ascii="Verdana" w:hAnsi="Verdana" w:cs="Tahoma"/>
          <w:sz w:val="16"/>
          <w:szCs w:val="16"/>
          <w:lang w:val="en-US"/>
        </w:rPr>
        <w:t>I/A Court HR,</w:t>
      </w:r>
      <w:r w:rsidRPr="007D3F3C">
        <w:rPr>
          <w:rFonts w:ascii="Verdana" w:hAnsi="Verdana" w:cs="Tahoma"/>
          <w:b/>
          <w:sz w:val="16"/>
          <w:szCs w:val="16"/>
          <w:lang w:val="en-US"/>
        </w:rPr>
        <w:t xml:space="preserve"> </w:t>
      </w:r>
      <w:r w:rsidRPr="007D3F3C">
        <w:rPr>
          <w:rStyle w:val="Textoennegrita"/>
          <w:rFonts w:ascii="Verdana" w:hAnsi="Verdana" w:cs="Tahoma"/>
          <w:b w:val="0"/>
          <w:i/>
          <w:color w:val="000000"/>
          <w:sz w:val="16"/>
          <w:szCs w:val="16"/>
          <w:shd w:val="clear" w:color="auto" w:fill="FFFFFF"/>
          <w:lang w:val="en-US"/>
        </w:rPr>
        <w:t xml:space="preserve">Case of Rosendo Cantú et al. v. Mexico. Preliminary objection, merits, reparations and costs. </w:t>
      </w:r>
      <w:r w:rsidRPr="007D3F3C">
        <w:rPr>
          <w:rStyle w:val="Textoennegrita"/>
          <w:rFonts w:ascii="Verdana" w:hAnsi="Verdana" w:cs="Tahoma"/>
          <w:b w:val="0"/>
          <w:color w:val="000000"/>
          <w:sz w:val="16"/>
          <w:szCs w:val="16"/>
          <w:shd w:val="clear" w:color="auto" w:fill="FFFFFF"/>
          <w:lang w:val="en-US"/>
        </w:rPr>
        <w:t>Judgment of August 31, 2010 Series C No. 216.</w:t>
      </w:r>
    </w:p>
  </w:footnote>
  <w:footnote w:id="22">
    <w:p w14:paraId="3911B4DB"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b/>
          <w:sz w:val="16"/>
          <w:szCs w:val="16"/>
          <w:lang w:val="en-US"/>
        </w:rPr>
        <w:footnoteRef/>
      </w:r>
      <w:r w:rsidRPr="007D3F3C">
        <w:rPr>
          <w:rFonts w:ascii="Verdana" w:hAnsi="Verdana" w:cs="Tahoma"/>
          <w:b/>
          <w:sz w:val="16"/>
          <w:szCs w:val="16"/>
          <w:lang w:val="en-US"/>
        </w:rPr>
        <w:t xml:space="preserve"> </w:t>
      </w:r>
      <w:r w:rsidRPr="007D3F3C">
        <w:rPr>
          <w:rFonts w:ascii="Verdana" w:hAnsi="Verdana" w:cs="Tahoma"/>
          <w:b/>
          <w:sz w:val="16"/>
          <w:szCs w:val="16"/>
          <w:lang w:val="en-US"/>
        </w:rPr>
        <w:tab/>
      </w:r>
      <w:r w:rsidRPr="007D3F3C">
        <w:rPr>
          <w:rFonts w:ascii="Verdana" w:hAnsi="Verdana" w:cs="Tahoma"/>
          <w:sz w:val="16"/>
          <w:szCs w:val="16"/>
          <w:lang w:val="en-US"/>
        </w:rPr>
        <w:t>I/A Court HR,</w:t>
      </w:r>
      <w:r w:rsidRPr="007D3F3C">
        <w:rPr>
          <w:rFonts w:ascii="Verdana" w:hAnsi="Verdana" w:cs="Tahoma"/>
          <w:b/>
          <w:sz w:val="16"/>
          <w:szCs w:val="16"/>
          <w:lang w:val="en-US"/>
        </w:rPr>
        <w:t xml:space="preserve"> </w:t>
      </w:r>
      <w:r w:rsidRPr="007D3F3C">
        <w:rPr>
          <w:rStyle w:val="Textoennegrita"/>
          <w:rFonts w:ascii="Verdana" w:hAnsi="Verdana" w:cs="Tahoma"/>
          <w:b w:val="0"/>
          <w:i/>
          <w:color w:val="000000"/>
          <w:sz w:val="16"/>
          <w:szCs w:val="16"/>
          <w:shd w:val="clear" w:color="auto" w:fill="FFFFFF"/>
          <w:lang w:val="en-US"/>
        </w:rPr>
        <w:t>Case of Fernández Ortega et al.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August 30, 2010 Series C No. 215, para. 131, and </w:t>
      </w:r>
      <w:r w:rsidRPr="007D3F3C">
        <w:rPr>
          <w:rStyle w:val="Textoennegrita"/>
          <w:rFonts w:ascii="Verdana" w:hAnsi="Verdana" w:cs="Tahoma"/>
          <w:b w:val="0"/>
          <w:i/>
          <w:color w:val="000000"/>
          <w:sz w:val="16"/>
          <w:szCs w:val="16"/>
          <w:shd w:val="clear" w:color="auto" w:fill="FFFFFF"/>
          <w:lang w:val="en-US"/>
        </w:rPr>
        <w:t>Case of Rosendo Cantú et al.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August 31, 2010 Series C No. 216, para. 121.</w:t>
      </w:r>
    </w:p>
  </w:footnote>
  <w:footnote w:id="23">
    <w:p w14:paraId="775406C7"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b/>
          <w:sz w:val="16"/>
          <w:szCs w:val="16"/>
          <w:lang w:val="en-US"/>
        </w:rPr>
        <w:footnoteRef/>
      </w:r>
      <w:r w:rsidRPr="007D3F3C">
        <w:rPr>
          <w:rFonts w:ascii="Verdana" w:hAnsi="Verdana" w:cs="Tahoma"/>
          <w:b/>
          <w:sz w:val="16"/>
          <w:szCs w:val="16"/>
          <w:lang w:val="en-US"/>
        </w:rPr>
        <w:t xml:space="preserve"> </w:t>
      </w:r>
      <w:r w:rsidRPr="007D3F3C">
        <w:rPr>
          <w:rFonts w:ascii="Verdana" w:hAnsi="Verdana" w:cs="Tahoma"/>
          <w:b/>
          <w:sz w:val="16"/>
          <w:szCs w:val="16"/>
          <w:lang w:val="en-US"/>
        </w:rPr>
        <w:tab/>
      </w:r>
      <w:r w:rsidRPr="007D3F3C">
        <w:rPr>
          <w:rFonts w:ascii="Verdana" w:hAnsi="Verdana" w:cs="Tahoma"/>
          <w:sz w:val="16"/>
          <w:szCs w:val="16"/>
          <w:lang w:val="en-US"/>
        </w:rPr>
        <w:t>I/A Court HR,</w:t>
      </w:r>
      <w:r w:rsidRPr="007D3F3C">
        <w:rPr>
          <w:rFonts w:ascii="Verdana" w:hAnsi="Verdana" w:cs="Tahoma"/>
          <w:b/>
          <w:sz w:val="16"/>
          <w:szCs w:val="16"/>
          <w:lang w:val="en-US"/>
        </w:rPr>
        <w:t xml:space="preserve"> </w:t>
      </w:r>
      <w:r w:rsidRPr="007D3F3C">
        <w:rPr>
          <w:rStyle w:val="Textoennegrita"/>
          <w:rFonts w:ascii="Verdana" w:hAnsi="Verdana" w:cs="Tahoma"/>
          <w:b w:val="0"/>
          <w:i/>
          <w:color w:val="000000"/>
          <w:sz w:val="16"/>
          <w:szCs w:val="16"/>
          <w:shd w:val="clear" w:color="auto" w:fill="FFFFFF"/>
          <w:lang w:val="en-US"/>
        </w:rPr>
        <w:t>Case of Fernández Ortega et al.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August 30, 2010 Series C No. 215, paras. 197 and 198, and </w:t>
      </w:r>
      <w:r w:rsidRPr="007D3F3C">
        <w:rPr>
          <w:rStyle w:val="Textoennegrita"/>
          <w:rFonts w:ascii="Verdana" w:hAnsi="Verdana" w:cs="Tahoma"/>
          <w:b w:val="0"/>
          <w:i/>
          <w:color w:val="000000"/>
          <w:sz w:val="16"/>
          <w:szCs w:val="16"/>
          <w:shd w:val="clear" w:color="auto" w:fill="FFFFFF"/>
          <w:lang w:val="en-US"/>
        </w:rPr>
        <w:t>Case of Rosendo Cantú et al.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August 31, 2010 Series C No. 216, paras. 181 and 182.</w:t>
      </w:r>
    </w:p>
  </w:footnote>
  <w:footnote w:id="24">
    <w:p w14:paraId="6D94FC99"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b/>
          <w:sz w:val="16"/>
          <w:szCs w:val="16"/>
          <w:lang w:val="en-US"/>
        </w:rPr>
        <w:footnoteRef/>
      </w:r>
      <w:r w:rsidRPr="007D3F3C">
        <w:rPr>
          <w:rFonts w:ascii="Verdana" w:hAnsi="Verdana" w:cs="Tahoma"/>
          <w:b/>
          <w:sz w:val="16"/>
          <w:szCs w:val="16"/>
          <w:lang w:val="en-US"/>
        </w:rPr>
        <w:t xml:space="preserve"> </w:t>
      </w:r>
      <w:r w:rsidRPr="007D3F3C">
        <w:rPr>
          <w:rFonts w:ascii="Verdana" w:hAnsi="Verdana" w:cs="Tahoma"/>
          <w:b/>
          <w:sz w:val="16"/>
          <w:szCs w:val="16"/>
          <w:lang w:val="en-US"/>
        </w:rPr>
        <w:tab/>
      </w:r>
      <w:r w:rsidRPr="007D3F3C">
        <w:rPr>
          <w:rFonts w:ascii="Verdana" w:hAnsi="Verdana" w:cs="Tahoma"/>
          <w:sz w:val="16"/>
          <w:szCs w:val="16"/>
          <w:lang w:val="en-US"/>
        </w:rPr>
        <w:t>I/A Court HR,</w:t>
      </w:r>
      <w:r w:rsidRPr="007D3F3C">
        <w:rPr>
          <w:rFonts w:ascii="Verdana" w:hAnsi="Verdana" w:cs="Tahoma"/>
          <w:b/>
          <w:sz w:val="16"/>
          <w:szCs w:val="16"/>
          <w:lang w:val="en-US"/>
        </w:rPr>
        <w:t xml:space="preserve"> </w:t>
      </w:r>
      <w:r w:rsidRPr="007D3F3C">
        <w:rPr>
          <w:rStyle w:val="Textoennegrita"/>
          <w:rFonts w:ascii="Verdana" w:hAnsi="Verdana" w:cs="Tahoma"/>
          <w:b w:val="0"/>
          <w:i/>
          <w:color w:val="000000"/>
          <w:sz w:val="16"/>
          <w:szCs w:val="16"/>
          <w:shd w:val="clear" w:color="auto" w:fill="FFFFFF"/>
          <w:lang w:val="en-US"/>
        </w:rPr>
        <w:t>Case of the Río Negro Massacres v. Guatemala.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September 4, 2012 Series C No. 250.</w:t>
      </w:r>
    </w:p>
  </w:footnote>
  <w:footnote w:id="25">
    <w:p w14:paraId="07AB609D"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the Massacres of El Mozote and neighboring places v. El Salvador. Merits, reparations and costs.</w:t>
      </w:r>
      <w:r w:rsidRPr="007D3F3C">
        <w:rPr>
          <w:rStyle w:val="Textoennegrita"/>
          <w:rFonts w:ascii="Verdana" w:hAnsi="Verdana" w:cs="Tahoma"/>
          <w:b w:val="0"/>
          <w:color w:val="000000"/>
          <w:sz w:val="16"/>
          <w:szCs w:val="16"/>
          <w:shd w:val="clear" w:color="auto" w:fill="FFFFFF"/>
          <w:lang w:val="en-US"/>
        </w:rPr>
        <w:t xml:space="preserve"> Judgment of October 25, 2012 Series C No. 252.</w:t>
      </w:r>
    </w:p>
  </w:footnote>
  <w:footnote w:id="26">
    <w:p w14:paraId="54A61138"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Gudiel Álvarez et al. ("Diario Militar") v. Guatemala.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20, 2012 Series C No. 253.</w:t>
      </w:r>
    </w:p>
  </w:footnote>
  <w:footnote w:id="27">
    <w:p w14:paraId="01EF754D"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the Río Negro Massacres v. Guatemala.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September 4, 2012 Series C No. 250, para. 227 and 236; </w:t>
      </w:r>
      <w:r w:rsidRPr="007D3F3C">
        <w:rPr>
          <w:rStyle w:val="Textoennegrita"/>
          <w:rFonts w:ascii="Verdana" w:hAnsi="Verdana" w:cs="Tahoma"/>
          <w:b w:val="0"/>
          <w:i/>
          <w:color w:val="000000"/>
          <w:sz w:val="16"/>
          <w:szCs w:val="16"/>
          <w:shd w:val="clear" w:color="auto" w:fill="FFFFFF"/>
          <w:lang w:val="en-US"/>
        </w:rPr>
        <w:t>Case of the Massacres of El Mozote and neighboring places v. El Salvador. Merits, reparations and costs.</w:t>
      </w:r>
      <w:r w:rsidRPr="007D3F3C">
        <w:rPr>
          <w:rStyle w:val="Textoennegrita"/>
          <w:rFonts w:ascii="Verdana" w:hAnsi="Verdana" w:cs="Tahoma"/>
          <w:b w:val="0"/>
          <w:color w:val="000000"/>
          <w:sz w:val="16"/>
          <w:szCs w:val="16"/>
          <w:shd w:val="clear" w:color="auto" w:fill="FFFFFF"/>
          <w:lang w:val="en-US"/>
        </w:rPr>
        <w:t xml:space="preserve"> Judgment of October 25, 2012 Series C No. 252, paras. 2 and 252, and </w:t>
      </w:r>
      <w:r w:rsidRPr="007D3F3C">
        <w:rPr>
          <w:rStyle w:val="Textoennegrita"/>
          <w:rFonts w:ascii="Verdana" w:hAnsi="Verdana" w:cs="Tahoma"/>
          <w:b w:val="0"/>
          <w:i/>
          <w:color w:val="000000"/>
          <w:sz w:val="16"/>
          <w:szCs w:val="16"/>
          <w:shd w:val="clear" w:color="auto" w:fill="FFFFFF"/>
          <w:lang w:val="en-US"/>
        </w:rPr>
        <w:t>Case of Gudiel Álvarez et al. ("Diario Militar") v. Guatemala.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20, 2012 Series C No. 253, paras. 2 and  281.</w:t>
      </w:r>
    </w:p>
  </w:footnote>
  <w:footnote w:id="28">
    <w:p w14:paraId="5A73CA49" w14:textId="77777777" w:rsidR="00576E40" w:rsidRPr="007D3F3C" w:rsidRDefault="00576E40" w:rsidP="00551CA7">
      <w:pPr>
        <w:autoSpaceDE w:val="0"/>
        <w:autoSpaceDN w:val="0"/>
        <w:adjustRightInd w:val="0"/>
        <w:spacing w:after="0" w:line="240" w:lineRule="auto"/>
        <w:jc w:val="both"/>
        <w:rPr>
          <w:rFonts w:ascii="Verdana" w:hAnsi="Verdana" w:cs="Tahoma"/>
          <w:b/>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The case related to the unlawful and arbitrary detention of J., and the home searches conducted on April 13, 1992, by State agents who had presumably perpetrated acts of torture and cruel, inhuman and degrading treatment, including sexual violence. I/A Court HR, </w:t>
      </w:r>
      <w:r w:rsidRPr="007D3F3C">
        <w:rPr>
          <w:rStyle w:val="Textoennegrita"/>
          <w:rFonts w:ascii="Verdana" w:hAnsi="Verdana" w:cs="Tahoma"/>
          <w:b w:val="0"/>
          <w:i/>
          <w:color w:val="000000"/>
          <w:sz w:val="16"/>
          <w:szCs w:val="16"/>
          <w:shd w:val="clear" w:color="auto" w:fill="FFFFFF"/>
          <w:lang w:val="en-US"/>
        </w:rPr>
        <w:t>Case of J. v. Peru.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27, 2013. Series C No. 275.</w:t>
      </w:r>
    </w:p>
  </w:footnote>
  <w:footnote w:id="29">
    <w:p w14:paraId="27243F05" w14:textId="77777777" w:rsidR="00576E40" w:rsidRPr="007D3F3C" w:rsidRDefault="00576E40" w:rsidP="00551CA7">
      <w:pPr>
        <w:pStyle w:val="Textonotapie"/>
        <w:jc w:val="both"/>
        <w:rPr>
          <w:rFonts w:ascii="Verdana" w:hAnsi="Verdana" w:cs="Tahoma"/>
          <w:b/>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J. v. Peru.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2November 7, 2013. Series C No. 275, paras. 365 to 368.</w:t>
      </w:r>
    </w:p>
  </w:footnote>
  <w:footnote w:id="30">
    <w:p w14:paraId="34926DE5" w14:textId="77777777" w:rsidR="00576E40" w:rsidRPr="007D3F3C" w:rsidRDefault="00576E40" w:rsidP="00551CA7">
      <w:pPr>
        <w:pStyle w:val="Textonotapie"/>
        <w:jc w:val="both"/>
        <w:rPr>
          <w:rFonts w:ascii="Verdana" w:hAnsi="Verdana" w:cs="Tahom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I/A Court HR,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w:t>
      </w:r>
    </w:p>
  </w:footnote>
  <w:footnote w:id="31">
    <w:p w14:paraId="708EC42D" w14:textId="77777777" w:rsidR="00576E40" w:rsidRPr="007D3F3C" w:rsidRDefault="00576E40" w:rsidP="00551CA7">
      <w:pPr>
        <w:pStyle w:val="Textonotapie"/>
        <w:jc w:val="both"/>
        <w:rPr>
          <w:rFonts w:ascii="Verdana" w:hAnsi="Verdana" w:cs="Tahom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In that case, the Court declared the violation of Articles 7(b) and 7(c) of the “Convention of Belém do Pará.” It also declared the violation of Articles 4(1) and 5(1) of the American Convention, in relation to Articles 19  and 1(1), as well as 7(b) of the “Convention of Belém do Pará” based on “the lack of due diligence in the investigation, from the outset, which resulted in the impunity of the facts” in reference to the initial hours after the report that María Isabel Veliz was missing. I/A Court HR,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 157.</w:t>
      </w:r>
    </w:p>
  </w:footnote>
  <w:footnote w:id="32">
    <w:p w14:paraId="3008F852" w14:textId="77777777" w:rsidR="00576E40" w:rsidRPr="007D3F3C" w:rsidRDefault="00576E40" w:rsidP="00551CA7">
      <w:pPr>
        <w:pStyle w:val="Textonotapie"/>
        <w:jc w:val="both"/>
        <w:rPr>
          <w:rFonts w:ascii="Verdana" w:hAnsi="Verdana" w:cs="Tahom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I/A Court HR,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 225.</w:t>
      </w:r>
    </w:p>
  </w:footnote>
  <w:footnote w:id="33">
    <w:p w14:paraId="632B32EF" w14:textId="77777777" w:rsidR="00576E40" w:rsidRPr="007D3F3C" w:rsidRDefault="00576E40" w:rsidP="00551CA7">
      <w:pPr>
        <w:pStyle w:val="Textonotapie"/>
        <w:jc w:val="both"/>
        <w:rPr>
          <w:rFonts w:ascii="Verdana" w:hAnsi="Verdana" w:cs="Tahom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That case relates to the alleged unlawful and arbitrary detention of Gladys Carol Espinoza Gonzáles, as well as the alleged rape and other acts that constituted torture that she was a victim of while in the custody of State agents. I/A Court HR, </w:t>
      </w:r>
      <w:r w:rsidRPr="007D3F3C">
        <w:rPr>
          <w:rStyle w:val="Textoennegrita"/>
          <w:rFonts w:ascii="Verdana" w:hAnsi="Verdana" w:cs="Tahoma"/>
          <w:b w:val="0"/>
          <w:i/>
          <w:color w:val="000000"/>
          <w:sz w:val="16"/>
          <w:szCs w:val="16"/>
          <w:shd w:val="clear" w:color="auto" w:fill="FFFFFF"/>
          <w:lang w:val="en-US"/>
        </w:rPr>
        <w:t>Case of Espinoza Gonzáles v. Peru.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20, 2014. Series C No. 289, para. 1.</w:t>
      </w:r>
    </w:p>
  </w:footnote>
  <w:footnote w:id="34">
    <w:p w14:paraId="0B4DF02A" w14:textId="77777777" w:rsidR="00576E40" w:rsidRPr="007D3F3C" w:rsidRDefault="00576E40" w:rsidP="00551CA7">
      <w:pPr>
        <w:pStyle w:val="Textonotapie"/>
        <w:jc w:val="both"/>
        <w:rPr>
          <w:rFonts w:ascii="Verdana" w:hAnsi="Verdana" w:cs="Tahom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Espinoza Gonzáles v. Peru.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20, 2014. Series C No. 289, para. 287.</w:t>
      </w:r>
    </w:p>
  </w:footnote>
  <w:footnote w:id="35">
    <w:p w14:paraId="48033FF8" w14:textId="77777777" w:rsidR="00576E40" w:rsidRPr="007D3F3C" w:rsidRDefault="00576E40" w:rsidP="00551CA7">
      <w:pPr>
        <w:pStyle w:val="Textonotapie"/>
        <w:jc w:val="both"/>
        <w:rPr>
          <w:rFonts w:ascii="Verdana" w:hAnsi="Verdana" w:cs="Tahom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Espinoza Gonzáles v. Peru.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20, 2014. Series C No. 289, para. 288.</w:t>
      </w:r>
    </w:p>
  </w:footnote>
  <w:footnote w:id="36">
    <w:p w14:paraId="3FB9D639" w14:textId="77777777" w:rsidR="00576E40" w:rsidRPr="007D3F3C" w:rsidRDefault="00576E40" w:rsidP="00551CA7">
      <w:pPr>
        <w:pStyle w:val="Textonotapie"/>
        <w:jc w:val="both"/>
        <w:rPr>
          <w:rFonts w:ascii="Verdana" w:hAnsi="Verdana" w:cs="Tahoma"/>
          <w:sz w:val="16"/>
          <w:szCs w:val="16"/>
          <w:lang w:val="en-US"/>
        </w:rPr>
      </w:pPr>
      <w:r w:rsidRPr="007D3F3C">
        <w:rPr>
          <w:rStyle w:val="Refdenotaalpie"/>
          <w:rFonts w:ascii="Verdana" w:hAnsi="Verdana" w:cs="Tahoma"/>
          <w:sz w:val="16"/>
          <w:szCs w:val="16"/>
          <w:lang w:val="en-US"/>
        </w:rPr>
        <w:footnoteRef/>
      </w:r>
      <w:r w:rsidRPr="007D3F3C">
        <w:rPr>
          <w:rFonts w:ascii="Verdana" w:hAnsi="Verdana" w:cs="Tahoma"/>
          <w:sz w:val="16"/>
          <w:szCs w:val="16"/>
          <w:lang w:val="en-US"/>
        </w:rPr>
        <w:t xml:space="preserve"> </w:t>
      </w:r>
      <w:r w:rsidRPr="007D3F3C">
        <w:rPr>
          <w:rFonts w:ascii="Verdana" w:hAnsi="Verdana" w:cs="Tahom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Espinoza Gonzáles v. Peru.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20, 2014. Series C No. 289, para. 229.</w:t>
      </w:r>
    </w:p>
  </w:footnote>
  <w:footnote w:id="37">
    <w:p w14:paraId="575C2D56"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No.205, and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w:t>
      </w:r>
    </w:p>
  </w:footnote>
  <w:footnote w:id="38">
    <w:p w14:paraId="064413EA"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No.205, paras. 249</w:t>
      </w:r>
      <w:r w:rsidRPr="007D3F3C">
        <w:rPr>
          <w:rStyle w:val="Textoennegrita"/>
          <w:rFonts w:ascii="Verdana" w:hAnsi="Verdana" w:cs="Tahoma"/>
          <w:color w:val="000000"/>
          <w:sz w:val="16"/>
          <w:szCs w:val="16"/>
          <w:shd w:val="clear" w:color="auto" w:fill="FFFFFF"/>
          <w:lang w:val="en-US"/>
        </w:rPr>
        <w:t xml:space="preserve"> </w:t>
      </w:r>
      <w:r w:rsidRPr="007D3F3C">
        <w:rPr>
          <w:rStyle w:val="Textoennegrita"/>
          <w:rFonts w:ascii="Verdana" w:hAnsi="Verdana" w:cs="Tahoma"/>
          <w:b w:val="0"/>
          <w:color w:val="000000"/>
          <w:sz w:val="16"/>
          <w:szCs w:val="16"/>
          <w:shd w:val="clear" w:color="auto" w:fill="FFFFFF"/>
          <w:lang w:val="en-US"/>
        </w:rPr>
        <w:t xml:space="preserve">to 286, and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paras. 133 to 158.</w:t>
      </w:r>
    </w:p>
  </w:footnote>
  <w:footnote w:id="39">
    <w:p w14:paraId="7CBC990C" w14:textId="77777777" w:rsidR="00576E40" w:rsidRPr="007D3F3C" w:rsidRDefault="00576E40" w:rsidP="00551CA7">
      <w:pPr>
        <w:autoSpaceDE w:val="0"/>
        <w:autoSpaceDN w:val="0"/>
        <w:adjustRightInd w:val="0"/>
        <w:spacing w:after="0" w:line="240" w:lineRule="auto"/>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This case related to the disappearance and subsequent death of the adolescents, </w:t>
      </w:r>
      <w:r w:rsidRPr="007D3F3C">
        <w:rPr>
          <w:rFonts w:ascii="Verdana" w:hAnsi="Verdana" w:cs="Verdana"/>
          <w:sz w:val="16"/>
          <w:szCs w:val="16"/>
          <w:lang w:val="en-US"/>
        </w:rPr>
        <w:t xml:space="preserve">Claudia Ivette González, Esmeralda Herrera Monreal and Laura Berenice Ramos Monárrez, whose bodies were found in a field of cotton in Ciudad Juárez on November 6, 2001, as well as the lack of due diligence on the part of the authorities. </w:t>
      </w:r>
      <w:r w:rsidRPr="007D3F3C">
        <w:rPr>
          <w:rFonts w:ascii="Verdana" w:hAnsi="Verdana"/>
          <w:sz w:val="16"/>
          <w:szCs w:val="16"/>
          <w:lang w:val="en-US"/>
        </w:rPr>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No.205.</w:t>
      </w:r>
    </w:p>
  </w:footnote>
  <w:footnote w:id="40">
    <w:p w14:paraId="6A486588"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No.205, paras. 258 and, 108.</w:t>
      </w:r>
    </w:p>
  </w:footnote>
  <w:footnote w:id="41">
    <w:p w14:paraId="766BFC21"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No.205, para. 258;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paras. 136 and 108.</w:t>
      </w:r>
    </w:p>
  </w:footnote>
  <w:footnote w:id="42">
    <w:p w14:paraId="27B46325"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No.205, para. 281 and </w:t>
      </w:r>
      <w:r w:rsidRPr="007D3F3C">
        <w:rPr>
          <w:rStyle w:val="Textoennegrita"/>
          <w:rFonts w:ascii="Verdana" w:hAnsi="Verdana" w:cs="Tahoma"/>
          <w:b w:val="0"/>
          <w:i/>
          <w:iCs/>
          <w:color w:val="000000"/>
          <w:sz w:val="16"/>
          <w:szCs w:val="16"/>
          <w:shd w:val="clear" w:color="auto" w:fill="FFFFFF"/>
          <w:lang w:val="en-US"/>
        </w:rPr>
        <w:t>ff</w:t>
      </w:r>
      <w:r w:rsidRPr="007D3F3C">
        <w:rPr>
          <w:rStyle w:val="Textoennegrita"/>
          <w:rFonts w:ascii="Verdana" w:hAnsi="Verdana" w:cs="Tahoma"/>
          <w:b w:val="0"/>
          <w:color w:val="000000"/>
          <w:sz w:val="16"/>
          <w:szCs w:val="16"/>
          <w:shd w:val="clear" w:color="auto" w:fill="FFFFFF"/>
          <w:lang w:val="en-US"/>
        </w:rPr>
        <w:t xml:space="preserve">;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paras. 138 and 110 of the judgment.</w:t>
      </w:r>
    </w:p>
  </w:footnote>
  <w:footnote w:id="43">
    <w:p w14:paraId="4E4C3E4F"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No.205, para. 282.</w:t>
      </w:r>
    </w:p>
  </w:footnote>
  <w:footnote w:id="44">
    <w:p w14:paraId="5DFF3B8F"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No.205, para. 283.</w:t>
      </w:r>
    </w:p>
  </w:footnote>
  <w:footnote w:id="45">
    <w:p w14:paraId="239CB524"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 xml:space="preserve">Case of González et al. (“Cotton Field”) v. Mexico. Preliminary objection, merits, reparations and costs. </w:t>
      </w:r>
      <w:r w:rsidRPr="007D3F3C">
        <w:rPr>
          <w:rStyle w:val="Textoennegrita"/>
          <w:rFonts w:ascii="Verdana" w:hAnsi="Verdana" w:cs="Tahoma"/>
          <w:b w:val="0"/>
          <w:color w:val="000000"/>
          <w:sz w:val="16"/>
          <w:szCs w:val="16"/>
          <w:shd w:val="clear" w:color="auto" w:fill="FFFFFF"/>
          <w:lang w:val="en-US"/>
        </w:rPr>
        <w:t>Judgment of November 16, 2009. Series C No.205, paras. 284 and 285.</w:t>
      </w:r>
    </w:p>
  </w:footnote>
  <w:footnote w:id="46">
    <w:p w14:paraId="4DDDF7E6"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No.205, paras. 284 and 286.</w:t>
      </w:r>
    </w:p>
  </w:footnote>
  <w:footnote w:id="47">
    <w:p w14:paraId="577C19E1"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This case relates to the disappearance of subsequent death of María Isabel Veliz, as well as the absence of an effective response by the State when she was reported missing, and the subsequent deficiencies in the investigation of the facts. I/A Court HR,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w:t>
      </w:r>
    </w:p>
  </w:footnote>
  <w:footnote w:id="48">
    <w:p w14:paraId="4EF9B916" w14:textId="77777777" w:rsidR="00576E40" w:rsidRPr="007D3F3C" w:rsidRDefault="00576E40" w:rsidP="00551CA7">
      <w:pPr>
        <w:pStyle w:val="Textonotapie"/>
        <w:jc w:val="both"/>
        <w:rPr>
          <w:rFonts w:ascii="Verdana" w:hAnsi="Verdana" w:cs="Tahoma"/>
          <w:bCs/>
          <w:color w:val="000000"/>
          <w:sz w:val="16"/>
          <w:szCs w:val="16"/>
          <w:shd w:val="clear" w:color="auto" w:fill="FFFFFF"/>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 </w:t>
      </w:r>
      <w:r w:rsidRPr="007D3F3C">
        <w:rPr>
          <w:rStyle w:val="Textoennegrita"/>
          <w:rFonts w:ascii="Verdana" w:hAnsi="Verdana" w:cs="Tahoma"/>
          <w:b w:val="0"/>
          <w:color w:val="000000"/>
          <w:sz w:val="16"/>
          <w:szCs w:val="16"/>
          <w:shd w:val="clear" w:color="auto" w:fill="FFFFFF"/>
          <w:lang w:val="en-US"/>
        </w:rPr>
        <w:t xml:space="preserve">Judgment of May 19, 2014. Series C No. 277, para. 135. See, similarly: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No.205, paras. 252 and 107.</w:t>
      </w:r>
    </w:p>
  </w:footnote>
  <w:footnote w:id="49">
    <w:p w14:paraId="5D3E4D7E" w14:textId="77777777" w:rsidR="00576E40" w:rsidRPr="007D3F3C" w:rsidRDefault="00576E40" w:rsidP="00551CA7">
      <w:pPr>
        <w:pStyle w:val="Textonotapie"/>
        <w:jc w:val="both"/>
        <w:rPr>
          <w:rFonts w:ascii="Verdana" w:hAnsi="Verdana"/>
          <w:b/>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 136, and </w:t>
      </w:r>
      <w:r w:rsidRPr="007D3F3C">
        <w:rPr>
          <w:rStyle w:val="Textoennegrita"/>
          <w:rFonts w:ascii="Verdana" w:hAnsi="Verdana" w:cs="Tahoma"/>
          <w:b w:val="0"/>
          <w:i/>
          <w:color w:val="000000"/>
          <w:sz w:val="16"/>
          <w:szCs w:val="16"/>
          <w:shd w:val="clear" w:color="auto" w:fill="FFFFFF"/>
          <w:lang w:val="en-US"/>
        </w:rPr>
        <w:t>Case of</w:t>
      </w:r>
      <w:r w:rsidRPr="007D3F3C">
        <w:rPr>
          <w:rStyle w:val="Textoennegrita"/>
          <w:rFonts w:ascii="Verdana" w:hAnsi="Verdana" w:cs="Tahoma"/>
          <w:i/>
          <w:color w:val="000000"/>
          <w:sz w:val="16"/>
          <w:szCs w:val="16"/>
          <w:shd w:val="clear" w:color="auto" w:fill="FFFFFF"/>
          <w:lang w:val="en-US"/>
        </w:rPr>
        <w:t xml:space="preserve"> </w:t>
      </w:r>
      <w:r w:rsidRPr="007D3F3C">
        <w:rPr>
          <w:rStyle w:val="Textoennegrita"/>
          <w:rFonts w:ascii="Verdana" w:hAnsi="Verdana" w:cs="Tahoma"/>
          <w:b w:val="0"/>
          <w:i/>
          <w:color w:val="000000"/>
          <w:sz w:val="16"/>
          <w:szCs w:val="16"/>
          <w:shd w:val="clear" w:color="auto" w:fill="FFFFFF"/>
          <w:lang w:val="en-US"/>
        </w:rPr>
        <w:t>González et al.</w:t>
      </w:r>
      <w:r w:rsidRPr="007D3F3C">
        <w:rPr>
          <w:rStyle w:val="Textoennegrita"/>
          <w:rFonts w:ascii="Verdana" w:hAnsi="Verdana" w:cs="Tahoma"/>
          <w:i/>
          <w:color w:val="000000"/>
          <w:sz w:val="16"/>
          <w:szCs w:val="16"/>
          <w:shd w:val="clear" w:color="auto" w:fill="FFFFFF"/>
          <w:lang w:val="en-US"/>
        </w:rPr>
        <w:t xml:space="preserve"> </w:t>
      </w:r>
      <w:r w:rsidRPr="007D3F3C">
        <w:rPr>
          <w:rStyle w:val="Textoennegrita"/>
          <w:rFonts w:ascii="Verdana" w:hAnsi="Verdana" w:cs="Tahoma"/>
          <w:b w:val="0"/>
          <w:i/>
          <w:color w:val="000000"/>
          <w:sz w:val="16"/>
          <w:szCs w:val="16"/>
          <w:shd w:val="clear" w:color="auto" w:fill="FFFFFF"/>
          <w:lang w:val="en-US"/>
        </w:rPr>
        <w:t xml:space="preserve">(“Cotton Field”) v. Mexico. Preliminary objection, merits, reparations and costs. </w:t>
      </w:r>
      <w:r w:rsidRPr="007D3F3C">
        <w:rPr>
          <w:rStyle w:val="Textoennegrita"/>
          <w:rFonts w:ascii="Verdana" w:hAnsi="Verdana" w:cs="Tahoma"/>
          <w:b w:val="0"/>
          <w:color w:val="000000"/>
          <w:sz w:val="16"/>
          <w:szCs w:val="16"/>
          <w:shd w:val="clear" w:color="auto" w:fill="FFFFFF"/>
          <w:lang w:val="en-US"/>
        </w:rPr>
        <w:t>Judgment of November 16, 2009. Series C No. 205, para. 258.</w:t>
      </w:r>
    </w:p>
  </w:footnote>
  <w:footnote w:id="50">
    <w:p w14:paraId="3A2FC612"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 138, and </w:t>
      </w:r>
      <w:r w:rsidRPr="007D3F3C">
        <w:rPr>
          <w:rStyle w:val="Textoennegrita"/>
          <w:rFonts w:ascii="Verdana" w:hAnsi="Verdana" w:cs="Tahoma"/>
          <w:b w:val="0"/>
          <w:i/>
          <w:color w:val="000000"/>
          <w:sz w:val="16"/>
          <w:szCs w:val="16"/>
          <w:shd w:val="clear" w:color="auto" w:fill="FFFFFF"/>
          <w:lang w:val="en-US"/>
        </w:rPr>
        <w:t xml:space="preserve">Case of González et al. (“Cotton Field”) v. Mexico. Preliminary objection, merits, reparations and costs. </w:t>
      </w:r>
      <w:r w:rsidRPr="007D3F3C">
        <w:rPr>
          <w:rStyle w:val="Textoennegrita"/>
          <w:rFonts w:ascii="Verdana" w:hAnsi="Verdana" w:cs="Tahoma"/>
          <w:b w:val="0"/>
          <w:color w:val="000000"/>
          <w:sz w:val="16"/>
          <w:szCs w:val="16"/>
          <w:shd w:val="clear" w:color="auto" w:fill="FFFFFF"/>
          <w:lang w:val="en-US"/>
        </w:rPr>
        <w:t>Judgment of November 16, 2009. Series C No. 205, para. 281.</w:t>
      </w:r>
    </w:p>
  </w:footnote>
  <w:footnote w:id="51">
    <w:p w14:paraId="55CE7E93"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 139.</w:t>
      </w:r>
    </w:p>
  </w:footnote>
  <w:footnote w:id="52">
    <w:p w14:paraId="6DDAA5AA"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Judgment of May 19, 2014. Series C No. 277, para. 142.</w:t>
      </w:r>
    </w:p>
  </w:footnote>
  <w:footnote w:id="53">
    <w:p w14:paraId="781269E8"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 </w:t>
      </w:r>
      <w:r w:rsidRPr="007D3F3C">
        <w:rPr>
          <w:rStyle w:val="Textoennegrita"/>
          <w:rFonts w:ascii="Verdana" w:hAnsi="Verdana" w:cs="Tahoma"/>
          <w:b w:val="0"/>
          <w:color w:val="000000"/>
          <w:sz w:val="16"/>
          <w:szCs w:val="16"/>
          <w:shd w:val="clear" w:color="auto" w:fill="FFFFFF"/>
          <w:lang w:val="en-US"/>
        </w:rPr>
        <w:t>Judgment of May 19, 2014. Series C No. 277, para. 155.</w:t>
      </w:r>
    </w:p>
  </w:footnote>
  <w:footnote w:id="54">
    <w:p w14:paraId="7575F2EC"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 </w:t>
      </w:r>
      <w:r w:rsidRPr="007D3F3C">
        <w:rPr>
          <w:rStyle w:val="Textoennegrita"/>
          <w:rFonts w:ascii="Verdana" w:hAnsi="Verdana" w:cs="Tahoma"/>
          <w:b w:val="0"/>
          <w:color w:val="000000"/>
          <w:sz w:val="16"/>
          <w:szCs w:val="16"/>
          <w:shd w:val="clear" w:color="auto" w:fill="FFFFFF"/>
          <w:lang w:val="en-US"/>
        </w:rPr>
        <w:t>Judgment of May 19, 2014. Series C No. 277, para. 144.</w:t>
      </w:r>
    </w:p>
  </w:footnote>
  <w:footnote w:id="55">
    <w:p w14:paraId="48F53B80"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 </w:t>
      </w:r>
      <w:r w:rsidRPr="007D3F3C">
        <w:rPr>
          <w:rStyle w:val="Textoennegrita"/>
          <w:rFonts w:ascii="Verdana" w:hAnsi="Verdana" w:cs="Tahoma"/>
          <w:b w:val="0"/>
          <w:color w:val="000000"/>
          <w:sz w:val="16"/>
          <w:szCs w:val="16"/>
          <w:shd w:val="clear" w:color="auto" w:fill="FFFFFF"/>
          <w:lang w:val="en-US"/>
        </w:rPr>
        <w:t>Judgment of May 19, 2014. Series C No. 277, para. 154.</w:t>
      </w:r>
    </w:p>
  </w:footnote>
  <w:footnote w:id="56">
    <w:p w14:paraId="02F86968"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 </w:t>
      </w:r>
      <w:r w:rsidRPr="007D3F3C">
        <w:rPr>
          <w:rStyle w:val="Textoennegrita"/>
          <w:rFonts w:ascii="Verdana" w:hAnsi="Verdana" w:cs="Tahoma"/>
          <w:b w:val="0"/>
          <w:color w:val="000000"/>
          <w:sz w:val="16"/>
          <w:szCs w:val="16"/>
          <w:shd w:val="clear" w:color="auto" w:fill="FFFFFF"/>
          <w:lang w:val="en-US"/>
        </w:rPr>
        <w:t>Judgment of May 19, 2014. Series C No. 277, para. 155.</w:t>
      </w:r>
    </w:p>
  </w:footnote>
  <w:footnote w:id="57">
    <w:p w14:paraId="0EF06E56"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 </w:t>
      </w:r>
      <w:r w:rsidRPr="007D3F3C">
        <w:rPr>
          <w:rStyle w:val="Textoennegrita"/>
          <w:rFonts w:ascii="Verdana" w:hAnsi="Verdana" w:cs="Tahoma"/>
          <w:b w:val="0"/>
          <w:color w:val="000000"/>
          <w:sz w:val="16"/>
          <w:szCs w:val="16"/>
          <w:shd w:val="clear" w:color="auto" w:fill="FFFFFF"/>
          <w:lang w:val="en-US"/>
        </w:rPr>
        <w:t>Judgment of May 19, 2014. Series C No. 277, para. 158.</w:t>
      </w:r>
    </w:p>
  </w:footnote>
  <w:footnote w:id="58">
    <w:p w14:paraId="38C58B86"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 xml:space="preserve">Case of González et al. (“Cotton Field”) v. Mexico. Preliminary objection, merits, reparations and costs. </w:t>
      </w:r>
      <w:r w:rsidRPr="007D3F3C">
        <w:rPr>
          <w:rStyle w:val="Textoennegrita"/>
          <w:rFonts w:ascii="Verdana" w:hAnsi="Verdana" w:cs="Tahoma"/>
          <w:b w:val="0"/>
          <w:color w:val="000000"/>
          <w:sz w:val="16"/>
          <w:szCs w:val="16"/>
          <w:shd w:val="clear" w:color="auto" w:fill="FFFFFF"/>
          <w:lang w:val="en-US"/>
        </w:rPr>
        <w:t xml:space="preserve">Judgment of November 16, 2009. Series C No. 205, para. 282, and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 139.</w:t>
      </w:r>
    </w:p>
  </w:footnote>
  <w:footnote w:id="59">
    <w:p w14:paraId="0D865997"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 205, para. 282.</w:t>
      </w:r>
    </w:p>
  </w:footnote>
  <w:footnote w:id="60">
    <w:p w14:paraId="7627BB63"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w:t>
      </w:r>
      <w:r w:rsidRPr="007D3F3C">
        <w:rPr>
          <w:rFonts w:ascii="Verdana" w:hAnsi="Verdana"/>
          <w:sz w:val="16"/>
          <w:szCs w:val="16"/>
          <w:lang w:val="en-US"/>
        </w:rPr>
        <w:t xml:space="preserve"> 139.</w:t>
      </w:r>
    </w:p>
  </w:footnote>
  <w:footnote w:id="61">
    <w:p w14:paraId="6D4CB461"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Paras. 45 to 48 of the judgment.</w:t>
      </w:r>
    </w:p>
  </w:footnote>
  <w:footnote w:id="62">
    <w:p w14:paraId="32B0F157"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Paras. 45 and </w:t>
      </w:r>
      <w:r w:rsidRPr="007D3F3C">
        <w:rPr>
          <w:rFonts w:ascii="Verdana" w:hAnsi="Verdana"/>
          <w:i/>
          <w:iCs/>
          <w:sz w:val="16"/>
          <w:szCs w:val="16"/>
          <w:lang w:val="en-US"/>
        </w:rPr>
        <w:t>ff.</w:t>
      </w:r>
    </w:p>
  </w:footnote>
  <w:footnote w:id="63">
    <w:p w14:paraId="49275313"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Paras. 45 of the judgment. Citing: 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paras.</w:t>
      </w:r>
      <w:r w:rsidRPr="007D3F3C">
        <w:rPr>
          <w:rFonts w:ascii="Verdana" w:hAnsi="Verdana"/>
          <w:sz w:val="16"/>
          <w:szCs w:val="16"/>
          <w:lang w:val="en-US"/>
        </w:rPr>
        <w:t xml:space="preserve"> 73, 81 and 152.</w:t>
      </w:r>
    </w:p>
  </w:footnote>
  <w:footnote w:id="64">
    <w:p w14:paraId="04AAC9C9"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Paras. 46 of the judgment. Citing: 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w:t>
      </w:r>
      <w:r w:rsidRPr="007D3F3C">
        <w:rPr>
          <w:rFonts w:ascii="Verdana" w:hAnsi="Verdana"/>
          <w:sz w:val="16"/>
          <w:szCs w:val="16"/>
          <w:lang w:val="en-US"/>
        </w:rPr>
        <w:t xml:space="preserve"> 76.</w:t>
      </w:r>
    </w:p>
  </w:footnote>
  <w:footnote w:id="65">
    <w:p w14:paraId="270BDB3E"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Paras. 46 of the judgment.</w:t>
      </w:r>
    </w:p>
  </w:footnote>
  <w:footnote w:id="66">
    <w:p w14:paraId="0CE6AE59"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Paras. 45, 46 and 47 of the judgment.</w:t>
      </w:r>
    </w:p>
  </w:footnote>
  <w:footnote w:id="67">
    <w:p w14:paraId="08BB3120"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paras.</w:t>
      </w:r>
      <w:r w:rsidRPr="007D3F3C">
        <w:rPr>
          <w:rFonts w:ascii="Verdana" w:hAnsi="Verdana"/>
          <w:sz w:val="16"/>
          <w:szCs w:val="16"/>
          <w:lang w:val="en-US"/>
        </w:rPr>
        <w:t xml:space="preserve"> 78 and 48. </w:t>
      </w:r>
    </w:p>
  </w:footnote>
  <w:footnote w:id="68">
    <w:p w14:paraId="10585339"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paras.</w:t>
      </w:r>
      <w:r w:rsidRPr="007D3F3C">
        <w:rPr>
          <w:rFonts w:ascii="Verdana" w:hAnsi="Verdana"/>
          <w:sz w:val="16"/>
          <w:szCs w:val="16"/>
          <w:lang w:val="en-US"/>
        </w:rPr>
        <w:t xml:space="preserve"> 89 and 49.</w:t>
      </w:r>
    </w:p>
  </w:footnote>
  <w:footnote w:id="69">
    <w:p w14:paraId="277D66D5"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paras.</w:t>
      </w:r>
      <w:r w:rsidRPr="007D3F3C">
        <w:rPr>
          <w:rFonts w:ascii="Verdana" w:hAnsi="Verdana"/>
          <w:sz w:val="16"/>
          <w:szCs w:val="16"/>
          <w:lang w:val="en-US"/>
        </w:rPr>
        <w:t xml:space="preserve"> 90, 212 and 49.</w:t>
      </w:r>
    </w:p>
  </w:footnote>
  <w:footnote w:id="70">
    <w:p w14:paraId="10DECAE7"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 para.</w:t>
      </w:r>
      <w:r w:rsidRPr="007D3F3C">
        <w:rPr>
          <w:rFonts w:ascii="Verdana" w:hAnsi="Verdana"/>
          <w:sz w:val="16"/>
          <w:szCs w:val="16"/>
          <w:lang w:val="en-US"/>
        </w:rPr>
        <w:t xml:space="preserve"> 82.</w:t>
      </w:r>
    </w:p>
  </w:footnote>
  <w:footnote w:id="71">
    <w:p w14:paraId="4E1ACB5F"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109 of the judgment.</w:t>
      </w:r>
    </w:p>
  </w:footnote>
  <w:footnote w:id="72">
    <w:p w14:paraId="74F8D1FA"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110 of the judgment.</w:t>
      </w:r>
    </w:p>
  </w:footnote>
  <w:footnote w:id="73">
    <w:p w14:paraId="089C5531"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111 of the judgment.</w:t>
      </w:r>
    </w:p>
  </w:footnote>
  <w:footnote w:id="74">
    <w:p w14:paraId="707CE588"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Paras. 112 and </w:t>
      </w:r>
      <w:r w:rsidRPr="007D3F3C">
        <w:rPr>
          <w:rFonts w:ascii="Verdana" w:hAnsi="Verdana"/>
          <w:i/>
          <w:iCs/>
          <w:sz w:val="16"/>
          <w:szCs w:val="16"/>
          <w:lang w:val="en-US"/>
        </w:rPr>
        <w:t>ff.</w:t>
      </w:r>
      <w:r w:rsidRPr="007D3F3C">
        <w:rPr>
          <w:rFonts w:ascii="Verdana" w:hAnsi="Verdana"/>
          <w:sz w:val="16"/>
          <w:szCs w:val="16"/>
          <w:lang w:val="en-US"/>
        </w:rPr>
        <w:t xml:space="preserve"> of the judgment.</w:t>
      </w:r>
    </w:p>
  </w:footnote>
  <w:footnote w:id="75">
    <w:p w14:paraId="027E7D1C"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118 a 120 of the judgment.</w:t>
      </w:r>
    </w:p>
  </w:footnote>
  <w:footnote w:id="76">
    <w:p w14:paraId="49924176"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120 of the judgment.</w:t>
      </w:r>
    </w:p>
  </w:footnote>
  <w:footnote w:id="77">
    <w:p w14:paraId="0AE61EBE"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121 of the judgment.</w:t>
      </w:r>
    </w:p>
  </w:footnote>
  <w:footnote w:id="78">
    <w:p w14:paraId="39362575"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123 of the judgment.</w:t>
      </w:r>
    </w:p>
  </w:footnote>
  <w:footnote w:id="79">
    <w:p w14:paraId="6D47C973"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126 of the judgment.</w:t>
      </w:r>
    </w:p>
  </w:footnote>
  <w:footnote w:id="80">
    <w:p w14:paraId="760839B5"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In this regard, it its worth mentioning, first, that the Court noted the lack of clarity as to the moment </w:t>
      </w:r>
      <w:r w:rsidR="008E3357" w:rsidRPr="007D3F3C">
        <w:rPr>
          <w:rFonts w:ascii="Verdana" w:hAnsi="Verdana"/>
          <w:sz w:val="16"/>
          <w:szCs w:val="16"/>
          <w:lang w:val="en-US"/>
        </w:rPr>
        <w:t>as of which</w:t>
      </w:r>
      <w:r w:rsidRPr="007D3F3C">
        <w:rPr>
          <w:rFonts w:ascii="Verdana" w:hAnsi="Verdana"/>
          <w:sz w:val="16"/>
          <w:szCs w:val="16"/>
          <w:lang w:val="en-US"/>
        </w:rPr>
        <w:t xml:space="preserve"> the 24-hour period before presentation of the report </w:t>
      </w:r>
      <w:r w:rsidR="008E3357" w:rsidRPr="007D3F3C">
        <w:rPr>
          <w:rFonts w:ascii="Verdana" w:hAnsi="Verdana"/>
          <w:sz w:val="16"/>
          <w:szCs w:val="16"/>
          <w:lang w:val="en-US"/>
        </w:rPr>
        <w:t>that</w:t>
      </w:r>
      <w:r w:rsidRPr="007D3F3C">
        <w:rPr>
          <w:rFonts w:ascii="Verdana" w:hAnsi="Verdana"/>
          <w:sz w:val="16"/>
          <w:szCs w:val="16"/>
          <w:lang w:val="en-US"/>
        </w:rPr>
        <w:t xml:space="preserve"> Claudina Velásquez </w:t>
      </w:r>
      <w:r w:rsidR="008E3357" w:rsidRPr="007D3F3C">
        <w:rPr>
          <w:rFonts w:ascii="Verdana" w:hAnsi="Verdana"/>
          <w:sz w:val="16"/>
          <w:szCs w:val="16"/>
          <w:lang w:val="en-US"/>
        </w:rPr>
        <w:t>was missing</w:t>
      </w:r>
      <w:r w:rsidRPr="007D3F3C">
        <w:rPr>
          <w:rFonts w:ascii="Verdana" w:hAnsi="Verdana"/>
          <w:sz w:val="16"/>
          <w:szCs w:val="16"/>
          <w:lang w:val="en-US"/>
        </w:rPr>
        <w:t xml:space="preserve"> should have been calculated. Second, in response to </w:t>
      </w:r>
      <w:r w:rsidR="008E3357" w:rsidRPr="007D3F3C">
        <w:rPr>
          <w:rFonts w:ascii="Verdana" w:hAnsi="Verdana"/>
          <w:sz w:val="16"/>
          <w:szCs w:val="16"/>
          <w:lang w:val="en-US"/>
        </w:rPr>
        <w:t>its</w:t>
      </w:r>
      <w:r w:rsidRPr="007D3F3C">
        <w:rPr>
          <w:rFonts w:ascii="Verdana" w:hAnsi="Verdana"/>
          <w:sz w:val="16"/>
          <w:szCs w:val="16"/>
          <w:lang w:val="en-US"/>
        </w:rPr>
        <w:t xml:space="preserve"> request to the State for information concerning the existence of any law or practice according to which it was necessary to wait 24 hours to receive missing person report</w:t>
      </w:r>
      <w:r w:rsidR="008E3357" w:rsidRPr="007D3F3C">
        <w:rPr>
          <w:rFonts w:ascii="Verdana" w:hAnsi="Verdana"/>
          <w:sz w:val="16"/>
          <w:szCs w:val="16"/>
          <w:lang w:val="en-US"/>
        </w:rPr>
        <w:t>s</w:t>
      </w:r>
      <w:r w:rsidRPr="007D3F3C">
        <w:rPr>
          <w:rFonts w:ascii="Verdana" w:hAnsi="Verdana"/>
          <w:sz w:val="16"/>
          <w:szCs w:val="16"/>
          <w:lang w:val="en-US"/>
        </w:rPr>
        <w:t xml:space="preserve">, the State indicated that “there is no provision in domestic law” relating to this lapse and, third, the law on which the State argued that the agents had based their actions (article 51 of Decree No. 40-90 of the Organic Law of the Public Prosecution Service) did not </w:t>
      </w:r>
      <w:r w:rsidR="008E3357" w:rsidRPr="007D3F3C">
        <w:rPr>
          <w:rFonts w:ascii="Verdana" w:hAnsi="Verdana"/>
          <w:sz w:val="16"/>
          <w:szCs w:val="16"/>
          <w:lang w:val="en-US"/>
        </w:rPr>
        <w:t>indicate</w:t>
      </w:r>
      <w:r w:rsidRPr="007D3F3C">
        <w:rPr>
          <w:rFonts w:ascii="Verdana" w:hAnsi="Verdana"/>
          <w:sz w:val="16"/>
          <w:szCs w:val="16"/>
          <w:lang w:val="en-US"/>
        </w:rPr>
        <w:t xml:space="preserve"> the actions that the authorities should have taken in that case and made no reference to receiving the report, reflecting confusion </w:t>
      </w:r>
      <w:r w:rsidR="008E3357" w:rsidRPr="007D3F3C">
        <w:rPr>
          <w:rFonts w:ascii="Verdana" w:hAnsi="Verdana"/>
          <w:sz w:val="16"/>
          <w:szCs w:val="16"/>
          <w:lang w:val="en-US"/>
        </w:rPr>
        <w:t>“</w:t>
      </w:r>
      <w:r w:rsidRPr="007D3F3C">
        <w:rPr>
          <w:rFonts w:ascii="Verdana" w:hAnsi="Verdana"/>
          <w:sz w:val="16"/>
          <w:szCs w:val="16"/>
          <w:lang w:val="en-US"/>
        </w:rPr>
        <w:t xml:space="preserve">as </w:t>
      </w:r>
      <w:r w:rsidR="008E3357" w:rsidRPr="007D3F3C">
        <w:rPr>
          <w:rFonts w:ascii="Verdana" w:hAnsi="Verdana"/>
          <w:sz w:val="16"/>
          <w:szCs w:val="16"/>
          <w:lang w:val="en-US"/>
        </w:rPr>
        <w:t>to the rules that</w:t>
      </w:r>
      <w:r w:rsidRPr="007D3F3C">
        <w:rPr>
          <w:rFonts w:ascii="Verdana" w:hAnsi="Verdana"/>
          <w:sz w:val="16"/>
          <w:szCs w:val="16"/>
          <w:lang w:val="en-US"/>
        </w:rPr>
        <w:t xml:space="preserve"> the police should follow.” Paras. 128 to 131 of the judgment.</w:t>
      </w:r>
    </w:p>
  </w:footnote>
  <w:footnote w:id="81">
    <w:p w14:paraId="349ADB8D"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132 of the judgment.</w:t>
      </w:r>
    </w:p>
  </w:footnote>
  <w:footnote w:id="82">
    <w:p w14:paraId="33E5815F"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133 of the judgment.</w:t>
      </w:r>
    </w:p>
  </w:footnote>
  <w:footnote w:id="83">
    <w:p w14:paraId="06A0E87D"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133 of the judgment.</w:t>
      </w:r>
    </w:p>
  </w:footnote>
  <w:footnote w:id="84">
    <w:p w14:paraId="6603C81E"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120 of the judgment.</w:t>
      </w:r>
    </w:p>
  </w:footnote>
  <w:footnote w:id="85">
    <w:p w14:paraId="3A211664"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111 of the judgment.</w:t>
      </w:r>
    </w:p>
  </w:footnote>
  <w:footnote w:id="86">
    <w:p w14:paraId="2264DEF5"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112 of the judgment.</w:t>
      </w:r>
    </w:p>
  </w:footnote>
  <w:footnote w:id="87">
    <w:p w14:paraId="12CA34AC"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Para. 259 and </w:t>
      </w:r>
      <w:r w:rsidRPr="007D3F3C">
        <w:rPr>
          <w:rFonts w:ascii="Verdana" w:hAnsi="Verdana"/>
          <w:i/>
          <w:iCs/>
          <w:sz w:val="16"/>
          <w:szCs w:val="16"/>
          <w:lang w:val="en-US"/>
        </w:rPr>
        <w:t xml:space="preserve">ff </w:t>
      </w:r>
      <w:r w:rsidRPr="007D3F3C">
        <w:rPr>
          <w:rFonts w:ascii="Verdana" w:hAnsi="Verdana"/>
          <w:sz w:val="16"/>
          <w:szCs w:val="16"/>
          <w:lang w:val="en-US"/>
        </w:rPr>
        <w:t>of the judgment.</w:t>
      </w:r>
    </w:p>
  </w:footnote>
  <w:footnote w:id="88">
    <w:p w14:paraId="725371E3"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The insufficiency stems from the failure to allocate resources, </w:t>
      </w:r>
      <w:r w:rsidR="00400CCA" w:rsidRPr="007D3F3C">
        <w:rPr>
          <w:rFonts w:ascii="Verdana" w:hAnsi="Verdana"/>
          <w:sz w:val="16"/>
          <w:szCs w:val="16"/>
          <w:lang w:val="en-US"/>
        </w:rPr>
        <w:t>“</w:t>
      </w:r>
      <w:r w:rsidRPr="007D3F3C">
        <w:rPr>
          <w:rFonts w:ascii="Verdana" w:hAnsi="Verdana"/>
          <w:sz w:val="16"/>
          <w:szCs w:val="16"/>
          <w:lang w:val="en-US"/>
        </w:rPr>
        <w:t>the lack of coordination between the different institutions and a comprehensive protection</w:t>
      </w:r>
      <w:r w:rsidR="004E7CD9" w:rsidRPr="007D3F3C">
        <w:rPr>
          <w:rFonts w:ascii="Verdana" w:hAnsi="Verdana"/>
          <w:sz w:val="16"/>
          <w:szCs w:val="16"/>
          <w:lang w:val="en-US"/>
        </w:rPr>
        <w:t xml:space="preserve"> strategy</w:t>
      </w:r>
      <w:r w:rsidRPr="007D3F3C">
        <w:rPr>
          <w:rFonts w:ascii="Verdana" w:hAnsi="Verdana"/>
          <w:sz w:val="16"/>
          <w:szCs w:val="16"/>
          <w:lang w:val="en-US"/>
        </w:rPr>
        <w:t xml:space="preserve">,” as well as the fact that the State </w:t>
      </w:r>
      <w:r w:rsidR="00400CCA" w:rsidRPr="007D3F3C">
        <w:rPr>
          <w:rFonts w:ascii="Verdana" w:hAnsi="Verdana"/>
          <w:sz w:val="16"/>
          <w:szCs w:val="16"/>
          <w:lang w:val="en-US"/>
        </w:rPr>
        <w:t>“</w:t>
      </w:r>
      <w:r w:rsidRPr="007D3F3C">
        <w:rPr>
          <w:rFonts w:ascii="Verdana" w:hAnsi="Verdana"/>
          <w:sz w:val="16"/>
          <w:szCs w:val="16"/>
          <w:lang w:val="en-US"/>
        </w:rPr>
        <w:t xml:space="preserve">had not </w:t>
      </w:r>
      <w:r w:rsidR="00400CCA" w:rsidRPr="007D3F3C">
        <w:rPr>
          <w:rFonts w:ascii="Verdana" w:hAnsi="Verdana"/>
          <w:sz w:val="16"/>
          <w:szCs w:val="16"/>
          <w:lang w:val="en-US"/>
        </w:rPr>
        <w:t>proved</w:t>
      </w:r>
      <w:r w:rsidRPr="007D3F3C">
        <w:rPr>
          <w:rFonts w:ascii="Verdana" w:hAnsi="Verdana"/>
          <w:sz w:val="16"/>
          <w:szCs w:val="16"/>
          <w:lang w:val="en-US"/>
        </w:rPr>
        <w:t xml:space="preserve"> that it had implemented the</w:t>
      </w:r>
      <w:r w:rsidR="00400CCA" w:rsidRPr="007D3F3C">
        <w:rPr>
          <w:rFonts w:ascii="Verdana" w:hAnsi="Verdana"/>
          <w:sz w:val="16"/>
          <w:szCs w:val="16"/>
          <w:lang w:val="en-US"/>
        </w:rPr>
        <w:t xml:space="preserve"> necessary</w:t>
      </w:r>
      <w:r w:rsidRPr="007D3F3C">
        <w:rPr>
          <w:rFonts w:ascii="Verdana" w:hAnsi="Verdana"/>
          <w:sz w:val="16"/>
          <w:szCs w:val="16"/>
          <w:lang w:val="en-US"/>
        </w:rPr>
        <w:t xml:space="preserve"> measures </w:t>
      </w:r>
      <w:r w:rsidR="00400CCA" w:rsidRPr="007D3F3C">
        <w:rPr>
          <w:rFonts w:ascii="Verdana" w:hAnsi="Verdana"/>
          <w:sz w:val="16"/>
          <w:szCs w:val="16"/>
          <w:lang w:val="en-US"/>
        </w:rPr>
        <w:t xml:space="preserve">to ensure </w:t>
      </w:r>
      <w:r w:rsidRPr="007D3F3C">
        <w:rPr>
          <w:rFonts w:ascii="Verdana" w:hAnsi="Verdana"/>
          <w:sz w:val="16"/>
          <w:szCs w:val="16"/>
          <w:lang w:val="en-US"/>
        </w:rPr>
        <w:t xml:space="preserve">that the officials responsible for receiving missing person reports had the capacity and the sensitivity to understand the </w:t>
      </w:r>
      <w:r w:rsidR="00400CCA" w:rsidRPr="007D3F3C">
        <w:rPr>
          <w:rFonts w:ascii="Verdana" w:hAnsi="Verdana"/>
          <w:sz w:val="16"/>
          <w:szCs w:val="16"/>
          <w:lang w:val="en-US"/>
        </w:rPr>
        <w:t xml:space="preserve">gravity of such reports </w:t>
      </w:r>
      <w:r w:rsidRPr="007D3F3C">
        <w:rPr>
          <w:rFonts w:ascii="Verdana" w:hAnsi="Verdana"/>
          <w:sz w:val="16"/>
          <w:szCs w:val="16"/>
          <w:lang w:val="en-US"/>
        </w:rPr>
        <w:t xml:space="preserve">in the context of violence against women, </w:t>
      </w:r>
      <w:r w:rsidR="00400CCA" w:rsidRPr="007D3F3C">
        <w:rPr>
          <w:rFonts w:ascii="Verdana" w:hAnsi="Verdana"/>
          <w:sz w:val="16"/>
          <w:szCs w:val="16"/>
          <w:lang w:val="en-US"/>
        </w:rPr>
        <w:t>and</w:t>
      </w:r>
      <w:r w:rsidRPr="007D3F3C">
        <w:rPr>
          <w:rFonts w:ascii="Verdana" w:hAnsi="Verdana"/>
          <w:sz w:val="16"/>
          <w:szCs w:val="16"/>
          <w:lang w:val="en-US"/>
        </w:rPr>
        <w:t xml:space="preserve"> the willingness and training to act immediately and effectively.” Para. 264 of the judgment.</w:t>
      </w:r>
    </w:p>
  </w:footnote>
  <w:footnote w:id="89">
    <w:p w14:paraId="064515A4"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265 of the judgment.</w:t>
      </w:r>
    </w:p>
  </w:footnote>
  <w:footnote w:id="90">
    <w:p w14:paraId="235BF7F1"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266 of the judgment.</w:t>
      </w:r>
    </w:p>
  </w:footnote>
  <w:footnote w:id="91">
    <w:p w14:paraId="1A439758"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107 of the judgment.</w:t>
      </w:r>
    </w:p>
  </w:footnote>
  <w:footnote w:id="92">
    <w:p w14:paraId="2E11C6B0"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r>
      <w:r w:rsidRPr="007D3F3C">
        <w:rPr>
          <w:rFonts w:ascii="Verdana" w:eastAsia="MS Mincho" w:hAnsi="Verdana" w:cs="Verdana"/>
          <w:spacing w:val="-4"/>
          <w:sz w:val="16"/>
          <w:szCs w:val="16"/>
          <w:lang w:val="en-US"/>
        </w:rPr>
        <w:t>Para. 107 of the judgment</w:t>
      </w:r>
      <w:r w:rsidRPr="007D3F3C">
        <w:rPr>
          <w:rFonts w:ascii="Verdana" w:hAnsi="Verdana"/>
          <w:sz w:val="16"/>
          <w:szCs w:val="16"/>
          <w:lang w:val="en-US"/>
        </w:rPr>
        <w:t xml:space="preserve">. Citing: I/A Court HR, </w:t>
      </w:r>
      <w:r w:rsidRPr="007D3F3C">
        <w:rPr>
          <w:rFonts w:ascii="Verdana" w:hAnsi="Verdana"/>
          <w:i/>
          <w:spacing w:val="-4"/>
          <w:sz w:val="16"/>
          <w:szCs w:val="16"/>
          <w:lang w:val="en-US"/>
        </w:rPr>
        <w:t xml:space="preserve">Cf. Case of Velásquez Rodríguez v. Honduras. </w:t>
      </w:r>
      <w:r w:rsidRPr="007D3F3C">
        <w:rPr>
          <w:rStyle w:val="Textoennegrita"/>
          <w:rFonts w:ascii="Verdana" w:hAnsi="Verdana"/>
          <w:b w:val="0"/>
          <w:i/>
          <w:color w:val="000000"/>
          <w:sz w:val="16"/>
          <w:szCs w:val="16"/>
          <w:shd w:val="clear" w:color="auto" w:fill="FFFFFF"/>
          <w:lang w:val="en-US"/>
        </w:rPr>
        <w:t>Merits.</w:t>
      </w:r>
      <w:r w:rsidRPr="007D3F3C">
        <w:rPr>
          <w:rStyle w:val="Textoennegrita"/>
          <w:rFonts w:ascii="Verdana" w:hAnsi="Verdana"/>
          <w:b w:val="0"/>
          <w:color w:val="000000"/>
          <w:sz w:val="16"/>
          <w:szCs w:val="16"/>
          <w:shd w:val="clear" w:color="auto" w:fill="FFFFFF"/>
          <w:lang w:val="en-US"/>
        </w:rPr>
        <w:t xml:space="preserve"> Judgment of July 29, 1988. Series C No. 4,</w:t>
      </w:r>
      <w:r w:rsidRPr="007D3F3C">
        <w:rPr>
          <w:rFonts w:ascii="Verdana" w:hAnsi="Verdana"/>
          <w:spacing w:val="-4"/>
          <w:sz w:val="16"/>
          <w:szCs w:val="16"/>
          <w:lang w:val="en-US"/>
        </w:rPr>
        <w:t xml:space="preserve"> para. 166, and </w:t>
      </w:r>
      <w:r w:rsidRPr="007D3F3C">
        <w:rPr>
          <w:rFonts w:ascii="Verdana" w:hAnsi="Verdana"/>
          <w:i/>
          <w:spacing w:val="-4"/>
          <w:sz w:val="16"/>
          <w:szCs w:val="16"/>
          <w:lang w:val="en-US"/>
        </w:rPr>
        <w:t xml:space="preserve">Case of Rodríguez Vera et al. (Disappeared of the Palace of Justice)v. Colombia. Preliminary objections, merits, reparations and costs. </w:t>
      </w:r>
      <w:r w:rsidRPr="007D3F3C">
        <w:rPr>
          <w:rFonts w:ascii="Verdana" w:hAnsi="Verdana"/>
          <w:spacing w:val="-4"/>
          <w:sz w:val="16"/>
          <w:szCs w:val="16"/>
          <w:lang w:val="en-US"/>
        </w:rPr>
        <w:t>Judgment of November 14, 2014. Series C No. 287, para. 519.</w:t>
      </w:r>
    </w:p>
  </w:footnote>
  <w:footnote w:id="93">
    <w:p w14:paraId="7B001EDB"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108 of the judgment.</w:t>
      </w:r>
    </w:p>
  </w:footnote>
  <w:footnote w:id="94">
    <w:p w14:paraId="4EACBE5B"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Para. 108 of the judgment</w:t>
      </w:r>
      <w:r w:rsidRPr="007D3F3C">
        <w:rPr>
          <w:rFonts w:ascii="Verdana" w:hAnsi="Verdana"/>
          <w:i/>
          <w:sz w:val="16"/>
          <w:szCs w:val="16"/>
          <w:lang w:val="en-US"/>
        </w:rPr>
        <w:t xml:space="preserve">. </w:t>
      </w:r>
      <w:r w:rsidRPr="007D3F3C">
        <w:rPr>
          <w:rFonts w:ascii="Verdana" w:hAnsi="Verdana"/>
          <w:sz w:val="16"/>
          <w:szCs w:val="16"/>
          <w:lang w:val="en-US"/>
        </w:rPr>
        <w:t>Citing:</w:t>
      </w:r>
      <w:r w:rsidRPr="007D3F3C">
        <w:rPr>
          <w:rFonts w:ascii="Verdana" w:hAnsi="Verdana"/>
          <w:i/>
          <w:sz w:val="16"/>
          <w:szCs w:val="16"/>
          <w:lang w:val="en-US"/>
        </w:rPr>
        <w:t xml:space="preserve"> I/A Court HR, Case of the Miguel Castro Castro Prison v. Peru. Merits, reparations and costs. </w:t>
      </w:r>
      <w:r w:rsidRPr="007D3F3C">
        <w:rPr>
          <w:rFonts w:ascii="Verdana" w:hAnsi="Verdana"/>
          <w:sz w:val="16"/>
          <w:szCs w:val="16"/>
          <w:lang w:val="en-US"/>
        </w:rPr>
        <w:t xml:space="preserve">Judgment of November 25, 2006. Series C No. 160, para. 346, and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w:t>
      </w:r>
      <w:r w:rsidRPr="007D3F3C">
        <w:rPr>
          <w:rFonts w:ascii="Verdana" w:hAnsi="Verdana"/>
          <w:i/>
          <w:sz w:val="16"/>
          <w:szCs w:val="16"/>
          <w:lang w:val="en-US"/>
        </w:rPr>
        <w:t xml:space="preserve">, </w:t>
      </w:r>
      <w:r w:rsidRPr="007D3F3C">
        <w:rPr>
          <w:rFonts w:ascii="Verdana" w:hAnsi="Verdana"/>
          <w:sz w:val="16"/>
          <w:szCs w:val="16"/>
          <w:lang w:val="en-US"/>
        </w:rPr>
        <w:t>para. 133</w:t>
      </w:r>
      <w:r w:rsidRPr="007D3F3C">
        <w:rPr>
          <w:rStyle w:val="Textoennegrita"/>
          <w:rFonts w:ascii="Verdana" w:hAnsi="Verdana"/>
          <w:color w:val="000000"/>
          <w:sz w:val="16"/>
          <w:szCs w:val="16"/>
          <w:shd w:val="clear" w:color="auto" w:fill="FFFFFF"/>
          <w:lang w:val="en-US"/>
        </w:rPr>
        <w:t>.</w:t>
      </w:r>
    </w:p>
  </w:footnote>
  <w:footnote w:id="95">
    <w:p w14:paraId="540F7A34"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Para. 108 of the judgment. Citing: 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 205</w:t>
      </w:r>
      <w:r w:rsidRPr="007D3F3C">
        <w:rPr>
          <w:rFonts w:ascii="Verdana" w:hAnsi="Verdana"/>
          <w:sz w:val="16"/>
          <w:szCs w:val="16"/>
          <w:lang w:val="en-US"/>
        </w:rPr>
        <w:t xml:space="preserve">, para. 258, and </w:t>
      </w:r>
      <w:r w:rsidRPr="007D3F3C">
        <w:rPr>
          <w:rFonts w:ascii="Verdana" w:hAnsi="Verdana" w:cs="Tahoma"/>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w:t>
      </w:r>
      <w:r w:rsidRPr="007D3F3C">
        <w:rPr>
          <w:rFonts w:ascii="Verdana" w:hAnsi="Verdana"/>
          <w:i/>
          <w:sz w:val="16"/>
          <w:szCs w:val="16"/>
          <w:lang w:val="en-US"/>
        </w:rPr>
        <w:t xml:space="preserve">, </w:t>
      </w:r>
      <w:r w:rsidRPr="007D3F3C">
        <w:rPr>
          <w:rFonts w:ascii="Verdana" w:hAnsi="Verdana"/>
          <w:sz w:val="16"/>
          <w:szCs w:val="16"/>
          <w:lang w:val="en-US"/>
        </w:rPr>
        <w:t>para. 136.</w:t>
      </w:r>
    </w:p>
  </w:footnote>
  <w:footnote w:id="96">
    <w:p w14:paraId="70D0123A"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 205, para. 282, and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w:t>
      </w:r>
      <w:r w:rsidRPr="007D3F3C">
        <w:rPr>
          <w:rFonts w:ascii="Verdana" w:hAnsi="Verdana"/>
          <w:i/>
          <w:sz w:val="16"/>
          <w:szCs w:val="16"/>
          <w:lang w:val="en-US"/>
        </w:rPr>
        <w:t xml:space="preserve">, </w:t>
      </w:r>
      <w:r w:rsidRPr="007D3F3C">
        <w:rPr>
          <w:rFonts w:ascii="Verdana" w:hAnsi="Verdana"/>
          <w:sz w:val="16"/>
          <w:szCs w:val="16"/>
          <w:lang w:val="en-US"/>
        </w:rPr>
        <w:t>para. 139.</w:t>
      </w:r>
    </w:p>
  </w:footnote>
  <w:footnote w:id="97">
    <w:p w14:paraId="79582624"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 205, para. 258, and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xml:space="preserve"> Judgment of May 19, 2014. Series C No. 277</w:t>
      </w:r>
      <w:r w:rsidRPr="007D3F3C">
        <w:rPr>
          <w:rFonts w:ascii="Verdana" w:hAnsi="Verdana"/>
          <w:i/>
          <w:sz w:val="16"/>
          <w:szCs w:val="16"/>
          <w:lang w:val="en-US"/>
        </w:rPr>
        <w:t xml:space="preserve">, </w:t>
      </w:r>
      <w:r w:rsidRPr="007D3F3C">
        <w:rPr>
          <w:rFonts w:ascii="Verdana" w:hAnsi="Verdana"/>
          <w:sz w:val="16"/>
          <w:szCs w:val="16"/>
          <w:lang w:val="en-US"/>
        </w:rPr>
        <w:t>para. 136.</w:t>
      </w:r>
    </w:p>
  </w:footnote>
  <w:footnote w:id="98">
    <w:p w14:paraId="45BC22A5" w14:textId="77777777" w:rsidR="00576E40" w:rsidRPr="007D3F3C" w:rsidRDefault="00576E40" w:rsidP="00551CA7">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As described in paras. 112 to 120 of the judgment.</w:t>
      </w:r>
    </w:p>
  </w:footnote>
  <w:footnote w:id="99">
    <w:p w14:paraId="5D89FF9D" w14:textId="77777777" w:rsidR="00576E40" w:rsidRPr="007D3F3C" w:rsidRDefault="00576E40" w:rsidP="009502DD">
      <w:pPr>
        <w:pStyle w:val="Textonotapie"/>
        <w:jc w:val="both"/>
        <w:rPr>
          <w:rFonts w:ascii="Verdana" w:hAnsi="Verdana"/>
          <w:sz w:val="16"/>
          <w:szCs w:val="16"/>
          <w:lang w:val="en-US"/>
        </w:rPr>
      </w:pPr>
      <w:r w:rsidRPr="007D3F3C">
        <w:rPr>
          <w:rStyle w:val="Refdenotaalpie"/>
          <w:rFonts w:ascii="Verdana" w:hAnsi="Verdana"/>
          <w:sz w:val="16"/>
          <w:szCs w:val="16"/>
          <w:lang w:val="en-US"/>
        </w:rPr>
        <w:footnoteRef/>
      </w:r>
      <w:r w:rsidRPr="007D3F3C">
        <w:rPr>
          <w:rFonts w:ascii="Verdana" w:hAnsi="Verdana"/>
          <w:sz w:val="16"/>
          <w:szCs w:val="16"/>
          <w:lang w:val="en-US"/>
        </w:rPr>
        <w:t xml:space="preserve"> </w:t>
      </w:r>
      <w:r w:rsidRPr="007D3F3C">
        <w:rPr>
          <w:rFonts w:ascii="Verdana" w:hAnsi="Verdana"/>
          <w:sz w:val="16"/>
          <w:szCs w:val="16"/>
          <w:lang w:val="en-US"/>
        </w:rPr>
        <w:tab/>
        <w:t xml:space="preserve">I/A Court HR, </w:t>
      </w:r>
      <w:r w:rsidRPr="007D3F3C">
        <w:rPr>
          <w:rStyle w:val="Textoennegrita"/>
          <w:rFonts w:ascii="Verdana" w:hAnsi="Verdana" w:cs="Tahoma"/>
          <w:b w:val="0"/>
          <w:i/>
          <w:color w:val="000000"/>
          <w:sz w:val="16"/>
          <w:szCs w:val="16"/>
          <w:shd w:val="clear" w:color="auto" w:fill="FFFFFF"/>
          <w:lang w:val="en-US"/>
        </w:rPr>
        <w:t>Case of González et al. (“Cotton Field”) v. Mexico. Preliminary objection, merits, reparations and costs</w:t>
      </w:r>
      <w:r w:rsidRPr="007D3F3C">
        <w:rPr>
          <w:rStyle w:val="Textoennegrita"/>
          <w:rFonts w:ascii="Verdana" w:hAnsi="Verdana" w:cs="Tahoma"/>
          <w:b w:val="0"/>
          <w:color w:val="000000"/>
          <w:sz w:val="16"/>
          <w:szCs w:val="16"/>
          <w:shd w:val="clear" w:color="auto" w:fill="FFFFFF"/>
          <w:lang w:val="en-US"/>
        </w:rPr>
        <w:t xml:space="preserve">. Judgment of November 16, 2009. Series C No. 205, and </w:t>
      </w:r>
      <w:r w:rsidRPr="007D3F3C">
        <w:rPr>
          <w:rFonts w:ascii="Verdana" w:hAnsi="Verdana" w:cs="Tahoma"/>
          <w:bCs/>
          <w:i/>
          <w:sz w:val="16"/>
          <w:szCs w:val="16"/>
          <w:lang w:val="en-US"/>
        </w:rPr>
        <w:t>Case of</w:t>
      </w:r>
      <w:r w:rsidRPr="007D3F3C">
        <w:rPr>
          <w:rStyle w:val="Textoennegrita"/>
          <w:rFonts w:ascii="Verdana" w:hAnsi="Verdana" w:cs="Tahoma"/>
          <w:b w:val="0"/>
          <w:i/>
          <w:color w:val="000000"/>
          <w:sz w:val="16"/>
          <w:szCs w:val="16"/>
          <w:shd w:val="clear" w:color="auto" w:fill="FFFFFF"/>
          <w:lang w:val="en-US"/>
        </w:rPr>
        <w:t xml:space="preserve"> Veliz Franco et al. v. Guatemala. Preliminary objections, merits, reparations and costs</w:t>
      </w:r>
      <w:r w:rsidRPr="007D3F3C">
        <w:rPr>
          <w:rStyle w:val="Textoennegrita"/>
          <w:rFonts w:ascii="Verdana" w:hAnsi="Verdana" w:cs="Tahoma"/>
          <w:b w:val="0"/>
          <w:color w:val="000000"/>
          <w:sz w:val="16"/>
          <w:szCs w:val="16"/>
          <w:shd w:val="clear" w:color="auto" w:fill="FFFFFF"/>
          <w:lang w:val="en-US"/>
        </w:rPr>
        <w:t>. Judgment of May 19, 2014.</w:t>
      </w:r>
      <w:r w:rsidRPr="007D3F3C">
        <w:rPr>
          <w:rStyle w:val="Textoennegrita"/>
          <w:rFonts w:ascii="Verdana" w:hAnsi="Verdana" w:cs="Tahoma"/>
          <w:color w:val="000000"/>
          <w:sz w:val="16"/>
          <w:szCs w:val="16"/>
          <w:shd w:val="clear" w:color="auto" w:fill="FFFFFF"/>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4CC1BE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74E7427"/>
    <w:multiLevelType w:val="hybridMultilevel"/>
    <w:tmpl w:val="B8A4F9EC"/>
    <w:lvl w:ilvl="0" w:tplc="5F548F5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515E9E"/>
    <w:multiLevelType w:val="hybridMultilevel"/>
    <w:tmpl w:val="B5341A8C"/>
    <w:lvl w:ilvl="0" w:tplc="AD4CDA26">
      <w:start w:val="1"/>
      <w:numFmt w:val="decimal"/>
      <w:lvlText w:val="%1."/>
      <w:lvlJc w:val="left"/>
      <w:pPr>
        <w:ind w:left="45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067B87"/>
    <w:multiLevelType w:val="hybridMultilevel"/>
    <w:tmpl w:val="0E28763A"/>
    <w:lvl w:ilvl="0" w:tplc="F88E27AE">
      <w:start w:val="1"/>
      <w:numFmt w:val="lowerLetter"/>
      <w:lvlText w:val="%1)"/>
      <w:lvlJc w:val="left"/>
      <w:pPr>
        <w:ind w:left="900" w:hanging="360"/>
      </w:pPr>
      <w:rPr>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21404869"/>
    <w:multiLevelType w:val="hybridMultilevel"/>
    <w:tmpl w:val="DD14FFF4"/>
    <w:lvl w:ilvl="0" w:tplc="D92E5164">
      <w:start w:val="1"/>
      <w:numFmt w:val="lowerRoman"/>
      <w:lvlText w:val="%1."/>
      <w:lvlJc w:val="left"/>
      <w:pPr>
        <w:tabs>
          <w:tab w:val="num" w:pos="1080"/>
        </w:tabs>
        <w:ind w:left="1080" w:hanging="360"/>
      </w:pPr>
      <w:rPr>
        <w:rFonts w:ascii="Verdana" w:eastAsia="Times New Roman" w:hAnsi="Verdana" w:cs="Times New Roman"/>
      </w:rPr>
    </w:lvl>
    <w:lvl w:ilvl="1" w:tplc="8D125AA8">
      <w:start w:val="1"/>
      <w:numFmt w:val="bullet"/>
      <w:lvlText w:val=""/>
      <w:lvlJc w:val="left"/>
      <w:pPr>
        <w:tabs>
          <w:tab w:val="num" w:pos="1800"/>
        </w:tabs>
        <w:ind w:left="1800" w:hanging="360"/>
      </w:pPr>
      <w:rPr>
        <w:rFonts w:ascii="Symbol" w:hAnsi="Symbol" w:hint="default"/>
        <w:sz w:val="16"/>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24BC0193"/>
    <w:multiLevelType w:val="hybridMultilevel"/>
    <w:tmpl w:val="19FC52A2"/>
    <w:lvl w:ilvl="0" w:tplc="93D493C4">
      <w:start w:val="1"/>
      <w:numFmt w:val="decimal"/>
      <w:lvlText w:val="%1."/>
      <w:lvlJc w:val="left"/>
      <w:pPr>
        <w:ind w:left="502" w:hanging="360"/>
      </w:pPr>
      <w:rPr>
        <w:rFonts w:hint="default"/>
        <w:b w:val="0"/>
        <w:color w:val="auto"/>
      </w:rPr>
    </w:lvl>
    <w:lvl w:ilvl="1" w:tplc="180A0019" w:tentative="1">
      <w:start w:val="1"/>
      <w:numFmt w:val="lowerLetter"/>
      <w:lvlText w:val="%2."/>
      <w:lvlJc w:val="left"/>
      <w:pPr>
        <w:ind w:left="1222" w:hanging="360"/>
      </w:pPr>
    </w:lvl>
    <w:lvl w:ilvl="2" w:tplc="180A001B" w:tentative="1">
      <w:start w:val="1"/>
      <w:numFmt w:val="lowerRoman"/>
      <w:lvlText w:val="%3."/>
      <w:lvlJc w:val="right"/>
      <w:pPr>
        <w:ind w:left="1942" w:hanging="180"/>
      </w:pPr>
    </w:lvl>
    <w:lvl w:ilvl="3" w:tplc="180A000F" w:tentative="1">
      <w:start w:val="1"/>
      <w:numFmt w:val="decimal"/>
      <w:lvlText w:val="%4."/>
      <w:lvlJc w:val="left"/>
      <w:pPr>
        <w:ind w:left="2662" w:hanging="360"/>
      </w:pPr>
    </w:lvl>
    <w:lvl w:ilvl="4" w:tplc="180A0019" w:tentative="1">
      <w:start w:val="1"/>
      <w:numFmt w:val="lowerLetter"/>
      <w:lvlText w:val="%5."/>
      <w:lvlJc w:val="left"/>
      <w:pPr>
        <w:ind w:left="3382" w:hanging="360"/>
      </w:pPr>
    </w:lvl>
    <w:lvl w:ilvl="5" w:tplc="180A001B" w:tentative="1">
      <w:start w:val="1"/>
      <w:numFmt w:val="lowerRoman"/>
      <w:lvlText w:val="%6."/>
      <w:lvlJc w:val="right"/>
      <w:pPr>
        <w:ind w:left="4102" w:hanging="180"/>
      </w:pPr>
    </w:lvl>
    <w:lvl w:ilvl="6" w:tplc="180A000F" w:tentative="1">
      <w:start w:val="1"/>
      <w:numFmt w:val="decimal"/>
      <w:lvlText w:val="%7."/>
      <w:lvlJc w:val="left"/>
      <w:pPr>
        <w:ind w:left="4822" w:hanging="360"/>
      </w:pPr>
    </w:lvl>
    <w:lvl w:ilvl="7" w:tplc="180A0019" w:tentative="1">
      <w:start w:val="1"/>
      <w:numFmt w:val="lowerLetter"/>
      <w:lvlText w:val="%8."/>
      <w:lvlJc w:val="left"/>
      <w:pPr>
        <w:ind w:left="5542" w:hanging="360"/>
      </w:pPr>
    </w:lvl>
    <w:lvl w:ilvl="8" w:tplc="180A001B" w:tentative="1">
      <w:start w:val="1"/>
      <w:numFmt w:val="lowerRoman"/>
      <w:lvlText w:val="%9."/>
      <w:lvlJc w:val="right"/>
      <w:pPr>
        <w:ind w:left="6262" w:hanging="180"/>
      </w:pPr>
    </w:lvl>
  </w:abstractNum>
  <w:abstractNum w:abstractNumId="6" w15:restartNumberingAfterBreak="0">
    <w:nsid w:val="2D2231E0"/>
    <w:multiLevelType w:val="hybridMultilevel"/>
    <w:tmpl w:val="356CDC3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4767F3"/>
    <w:multiLevelType w:val="hybridMultilevel"/>
    <w:tmpl w:val="BA04CB36"/>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900" w:hanging="360"/>
      </w:pPr>
      <w:rPr>
        <w:rFonts w:ascii="Verdana" w:hAnsi="Verdana" w:cs="Times New Roman" w:hint="default"/>
        <w:b w:val="0"/>
        <w:i w:val="0"/>
        <w:caps w:val="0"/>
        <w:strike w:val="0"/>
        <w:dstrike w:val="0"/>
        <w:vanish w:val="0"/>
        <w:color w:val="auto"/>
        <w:sz w:val="20"/>
        <w:vertAlign w:val="baseline"/>
      </w:rPr>
    </w:lvl>
    <w:lvl w:ilvl="2" w:tplc="AC3E3A68">
      <w:start w:val="1"/>
      <w:numFmt w:val="lowerRoman"/>
      <w:lvlText w:val="%3."/>
      <w:lvlJc w:val="right"/>
      <w:pPr>
        <w:ind w:left="2160" w:hanging="180"/>
      </w:pPr>
      <w:rPr>
        <w:rFonts w:ascii="Verdana" w:eastAsia="Times New Roman" w:hAnsi="Verdana" w:cs="Times New Roman"/>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46C8F0C2">
      <w:start w:val="1"/>
      <w:numFmt w:val="upperLetter"/>
      <w:lvlText w:val="%7)"/>
      <w:lvlJc w:val="left"/>
      <w:pPr>
        <w:ind w:left="5040" w:hanging="360"/>
      </w:pPr>
      <w:rPr>
        <w:rFonts w:hint="default"/>
      </w:rPr>
    </w:lvl>
    <w:lvl w:ilvl="7" w:tplc="63D0A284">
      <w:start w:val="1"/>
      <w:numFmt w:val="upperLetter"/>
      <w:lvlText w:val="%8."/>
      <w:lvlJc w:val="left"/>
      <w:pPr>
        <w:ind w:left="5760" w:hanging="360"/>
      </w:pPr>
      <w:rPr>
        <w:rFonts w:hint="default"/>
        <w:b/>
      </w:rPr>
    </w:lvl>
    <w:lvl w:ilvl="8" w:tplc="140A001B" w:tentative="1">
      <w:start w:val="1"/>
      <w:numFmt w:val="lowerRoman"/>
      <w:lvlText w:val="%9."/>
      <w:lvlJc w:val="right"/>
      <w:pPr>
        <w:ind w:left="6480" w:hanging="180"/>
      </w:pPr>
    </w:lvl>
  </w:abstractNum>
  <w:abstractNum w:abstractNumId="8" w15:restartNumberingAfterBreak="0">
    <w:nsid w:val="3A936564"/>
    <w:multiLevelType w:val="hybridMultilevel"/>
    <w:tmpl w:val="162E493C"/>
    <w:lvl w:ilvl="0" w:tplc="04090001">
      <w:start w:val="1"/>
      <w:numFmt w:val="bullet"/>
      <w:lvlText w:val=""/>
      <w:lvlJc w:val="left"/>
      <w:pPr>
        <w:ind w:left="1442" w:hanging="360"/>
      </w:pPr>
      <w:rPr>
        <w:rFonts w:ascii="Symbol" w:hAnsi="Symbol" w:hint="default"/>
      </w:rPr>
    </w:lvl>
    <w:lvl w:ilvl="1" w:tplc="04090003" w:tentative="1">
      <w:start w:val="1"/>
      <w:numFmt w:val="bullet"/>
      <w:lvlText w:val="o"/>
      <w:lvlJc w:val="left"/>
      <w:pPr>
        <w:ind w:left="2162" w:hanging="360"/>
      </w:pPr>
      <w:rPr>
        <w:rFonts w:ascii="Courier New" w:hAnsi="Courier New" w:cs="Courier New" w:hint="default"/>
      </w:rPr>
    </w:lvl>
    <w:lvl w:ilvl="2" w:tplc="04090005" w:tentative="1">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9" w15:restartNumberingAfterBreak="0">
    <w:nsid w:val="3DCA2AEB"/>
    <w:multiLevelType w:val="hybridMultilevel"/>
    <w:tmpl w:val="3064BBD6"/>
    <w:lvl w:ilvl="0" w:tplc="A3A0B252">
      <w:start w:val="1"/>
      <w:numFmt w:val="lowerLetter"/>
      <w:lvlText w:val="%1)"/>
      <w:lvlJc w:val="left"/>
      <w:pPr>
        <w:ind w:left="1080" w:hanging="360"/>
      </w:pPr>
      <w:rPr>
        <w:rFonts w:ascii="Verdana" w:hAnsi="Verdana"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C5469CD"/>
    <w:multiLevelType w:val="hybridMultilevel"/>
    <w:tmpl w:val="67208BC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145092A4">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9E0D86"/>
    <w:multiLevelType w:val="hybridMultilevel"/>
    <w:tmpl w:val="0E9CC2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727599"/>
    <w:multiLevelType w:val="hybridMultilevel"/>
    <w:tmpl w:val="30F447EE"/>
    <w:lvl w:ilvl="0" w:tplc="C9042214">
      <w:start w:val="1"/>
      <w:numFmt w:val="decimal"/>
      <w:pStyle w:val="PrrafodeSentencia"/>
      <w:lvlText w:val="%1."/>
      <w:lvlJc w:val="left"/>
      <w:pPr>
        <w:ind w:left="360" w:hanging="360"/>
      </w:pPr>
      <w:rPr>
        <w:rFonts w:ascii="Verdana" w:eastAsia="Times New Roman" w:hAnsi="Verdana" w:cs="Times New Roman" w:hint="default"/>
        <w:b w:val="0"/>
        <w:i w:val="0"/>
        <w:color w:val="auto"/>
        <w:w w:val="100"/>
        <w:sz w:val="20"/>
        <w:szCs w:val="20"/>
        <w:lang w:val="es-ES_tradnl"/>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33537D1"/>
    <w:multiLevelType w:val="hybridMultilevel"/>
    <w:tmpl w:val="05A4BFF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7"/>
  </w:num>
  <w:num w:numId="3">
    <w:abstractNumId w:val="12"/>
  </w:num>
  <w:num w:numId="4">
    <w:abstractNumId w:val="10"/>
  </w:num>
  <w:num w:numId="5">
    <w:abstractNumId w:val="9"/>
  </w:num>
  <w:num w:numId="6">
    <w:abstractNumId w:val="6"/>
  </w:num>
  <w:num w:numId="7">
    <w:abstractNumId w:val="11"/>
  </w:num>
  <w:num w:numId="8">
    <w:abstractNumId w:val="1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1"/>
  </w:num>
  <w:num w:numId="13">
    <w:abstractNumId w:val="12"/>
    <w:lvlOverride w:ilvl="0">
      <w:startOverride w:val="1"/>
    </w:lvlOverride>
  </w:num>
  <w:num w:numId="14">
    <w:abstractNumId w:val="5"/>
  </w:num>
  <w:num w:numId="15">
    <w:abstractNumId w:val="12"/>
    <w:lvlOverride w:ilvl="0">
      <w:startOverride w:val="1"/>
    </w:lvlOverride>
  </w:num>
  <w:num w:numId="16">
    <w:abstractNumId w:val="4"/>
  </w:num>
  <w:num w:numId="1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hyphenationZone w:val="425"/>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577"/>
    <w:rsid w:val="00000070"/>
    <w:rsid w:val="000012D6"/>
    <w:rsid w:val="00001469"/>
    <w:rsid w:val="00001A52"/>
    <w:rsid w:val="00001DAD"/>
    <w:rsid w:val="00001F17"/>
    <w:rsid w:val="00001FF6"/>
    <w:rsid w:val="000025BB"/>
    <w:rsid w:val="000044BF"/>
    <w:rsid w:val="0001012D"/>
    <w:rsid w:val="000105B5"/>
    <w:rsid w:val="00010AEE"/>
    <w:rsid w:val="00010F4A"/>
    <w:rsid w:val="00011491"/>
    <w:rsid w:val="00011841"/>
    <w:rsid w:val="00011E3C"/>
    <w:rsid w:val="00012077"/>
    <w:rsid w:val="00012B3C"/>
    <w:rsid w:val="0001374B"/>
    <w:rsid w:val="000153E5"/>
    <w:rsid w:val="000154C2"/>
    <w:rsid w:val="00015D59"/>
    <w:rsid w:val="00015E7D"/>
    <w:rsid w:val="000168D6"/>
    <w:rsid w:val="0001699C"/>
    <w:rsid w:val="00016A6A"/>
    <w:rsid w:val="00016E5A"/>
    <w:rsid w:val="0001764A"/>
    <w:rsid w:val="00017AC5"/>
    <w:rsid w:val="000200E4"/>
    <w:rsid w:val="00020322"/>
    <w:rsid w:val="000204F2"/>
    <w:rsid w:val="00020704"/>
    <w:rsid w:val="00021847"/>
    <w:rsid w:val="00022A62"/>
    <w:rsid w:val="000237AB"/>
    <w:rsid w:val="00024443"/>
    <w:rsid w:val="00024C89"/>
    <w:rsid w:val="000254D2"/>
    <w:rsid w:val="000254FE"/>
    <w:rsid w:val="000256CC"/>
    <w:rsid w:val="00026495"/>
    <w:rsid w:val="00026CB6"/>
    <w:rsid w:val="000272B7"/>
    <w:rsid w:val="0002755B"/>
    <w:rsid w:val="00027D5C"/>
    <w:rsid w:val="00030137"/>
    <w:rsid w:val="0003123C"/>
    <w:rsid w:val="000315E1"/>
    <w:rsid w:val="00031ABE"/>
    <w:rsid w:val="00031FDF"/>
    <w:rsid w:val="000321CA"/>
    <w:rsid w:val="00033FB7"/>
    <w:rsid w:val="00034485"/>
    <w:rsid w:val="00034BAC"/>
    <w:rsid w:val="00035604"/>
    <w:rsid w:val="0003561F"/>
    <w:rsid w:val="00035BC1"/>
    <w:rsid w:val="00036147"/>
    <w:rsid w:val="00036757"/>
    <w:rsid w:val="00036D05"/>
    <w:rsid w:val="00037322"/>
    <w:rsid w:val="000374F0"/>
    <w:rsid w:val="000375CE"/>
    <w:rsid w:val="00037EEF"/>
    <w:rsid w:val="00040591"/>
    <w:rsid w:val="00040BA1"/>
    <w:rsid w:val="00041862"/>
    <w:rsid w:val="00042CC2"/>
    <w:rsid w:val="00042F21"/>
    <w:rsid w:val="00043FBD"/>
    <w:rsid w:val="000441D6"/>
    <w:rsid w:val="00044C14"/>
    <w:rsid w:val="00045018"/>
    <w:rsid w:val="00045E5B"/>
    <w:rsid w:val="00046DEF"/>
    <w:rsid w:val="00047869"/>
    <w:rsid w:val="0005039A"/>
    <w:rsid w:val="00050467"/>
    <w:rsid w:val="000506DD"/>
    <w:rsid w:val="00050D41"/>
    <w:rsid w:val="00050ECF"/>
    <w:rsid w:val="00052281"/>
    <w:rsid w:val="00052B5C"/>
    <w:rsid w:val="00052DC7"/>
    <w:rsid w:val="00052F18"/>
    <w:rsid w:val="0005326C"/>
    <w:rsid w:val="0005349C"/>
    <w:rsid w:val="00053B2C"/>
    <w:rsid w:val="00053C57"/>
    <w:rsid w:val="00053FC5"/>
    <w:rsid w:val="00054259"/>
    <w:rsid w:val="00054350"/>
    <w:rsid w:val="00055578"/>
    <w:rsid w:val="00055C66"/>
    <w:rsid w:val="0005639C"/>
    <w:rsid w:val="000569F4"/>
    <w:rsid w:val="000572AC"/>
    <w:rsid w:val="00060147"/>
    <w:rsid w:val="00061079"/>
    <w:rsid w:val="00061AE2"/>
    <w:rsid w:val="00061B34"/>
    <w:rsid w:val="000626AA"/>
    <w:rsid w:val="0006287C"/>
    <w:rsid w:val="00062CC4"/>
    <w:rsid w:val="00063267"/>
    <w:rsid w:val="00063EDE"/>
    <w:rsid w:val="0006490A"/>
    <w:rsid w:val="000657E8"/>
    <w:rsid w:val="00065CD0"/>
    <w:rsid w:val="00065DEC"/>
    <w:rsid w:val="00065EC9"/>
    <w:rsid w:val="0006605D"/>
    <w:rsid w:val="000667B9"/>
    <w:rsid w:val="0006799E"/>
    <w:rsid w:val="00070701"/>
    <w:rsid w:val="00070D63"/>
    <w:rsid w:val="000715B8"/>
    <w:rsid w:val="00071690"/>
    <w:rsid w:val="00076E57"/>
    <w:rsid w:val="00077D21"/>
    <w:rsid w:val="0008006A"/>
    <w:rsid w:val="00080190"/>
    <w:rsid w:val="0008067A"/>
    <w:rsid w:val="00080782"/>
    <w:rsid w:val="000808CC"/>
    <w:rsid w:val="00081E19"/>
    <w:rsid w:val="0008215B"/>
    <w:rsid w:val="000821BA"/>
    <w:rsid w:val="000825DF"/>
    <w:rsid w:val="00083888"/>
    <w:rsid w:val="00083C97"/>
    <w:rsid w:val="00084D3D"/>
    <w:rsid w:val="00085ABE"/>
    <w:rsid w:val="000878B7"/>
    <w:rsid w:val="000905BC"/>
    <w:rsid w:val="00090C6C"/>
    <w:rsid w:val="000911D3"/>
    <w:rsid w:val="000914B5"/>
    <w:rsid w:val="00091C3B"/>
    <w:rsid w:val="00091F20"/>
    <w:rsid w:val="0009285A"/>
    <w:rsid w:val="0009392F"/>
    <w:rsid w:val="00096053"/>
    <w:rsid w:val="000973C5"/>
    <w:rsid w:val="00097EB2"/>
    <w:rsid w:val="000A11AE"/>
    <w:rsid w:val="000A1224"/>
    <w:rsid w:val="000A124C"/>
    <w:rsid w:val="000A17CA"/>
    <w:rsid w:val="000A230E"/>
    <w:rsid w:val="000A2931"/>
    <w:rsid w:val="000A2AC8"/>
    <w:rsid w:val="000A3AE5"/>
    <w:rsid w:val="000A41AB"/>
    <w:rsid w:val="000A4804"/>
    <w:rsid w:val="000A6840"/>
    <w:rsid w:val="000A737C"/>
    <w:rsid w:val="000A7476"/>
    <w:rsid w:val="000B02F1"/>
    <w:rsid w:val="000B0BDE"/>
    <w:rsid w:val="000B1A31"/>
    <w:rsid w:val="000B1B9F"/>
    <w:rsid w:val="000B20F2"/>
    <w:rsid w:val="000B24A4"/>
    <w:rsid w:val="000B33A4"/>
    <w:rsid w:val="000B3E6E"/>
    <w:rsid w:val="000B435A"/>
    <w:rsid w:val="000B4434"/>
    <w:rsid w:val="000B5027"/>
    <w:rsid w:val="000B5788"/>
    <w:rsid w:val="000B58F4"/>
    <w:rsid w:val="000B6175"/>
    <w:rsid w:val="000B64A4"/>
    <w:rsid w:val="000B697C"/>
    <w:rsid w:val="000B6AEE"/>
    <w:rsid w:val="000B6E8C"/>
    <w:rsid w:val="000B71A0"/>
    <w:rsid w:val="000B77DD"/>
    <w:rsid w:val="000B7CE6"/>
    <w:rsid w:val="000C2B86"/>
    <w:rsid w:val="000C3672"/>
    <w:rsid w:val="000C3A69"/>
    <w:rsid w:val="000C4475"/>
    <w:rsid w:val="000C4581"/>
    <w:rsid w:val="000C4A18"/>
    <w:rsid w:val="000C4BEF"/>
    <w:rsid w:val="000C508E"/>
    <w:rsid w:val="000C5372"/>
    <w:rsid w:val="000C54AF"/>
    <w:rsid w:val="000C56E5"/>
    <w:rsid w:val="000C5930"/>
    <w:rsid w:val="000C5DB8"/>
    <w:rsid w:val="000C67BA"/>
    <w:rsid w:val="000C6F5B"/>
    <w:rsid w:val="000C79D8"/>
    <w:rsid w:val="000C7AFD"/>
    <w:rsid w:val="000D1688"/>
    <w:rsid w:val="000D2506"/>
    <w:rsid w:val="000D30CA"/>
    <w:rsid w:val="000D3DB1"/>
    <w:rsid w:val="000D45EB"/>
    <w:rsid w:val="000D49AD"/>
    <w:rsid w:val="000D4E26"/>
    <w:rsid w:val="000D5341"/>
    <w:rsid w:val="000D5BC3"/>
    <w:rsid w:val="000D6536"/>
    <w:rsid w:val="000E0AE4"/>
    <w:rsid w:val="000E214E"/>
    <w:rsid w:val="000E2198"/>
    <w:rsid w:val="000E2A5A"/>
    <w:rsid w:val="000E2BE8"/>
    <w:rsid w:val="000E2C47"/>
    <w:rsid w:val="000E2D3B"/>
    <w:rsid w:val="000E3924"/>
    <w:rsid w:val="000E3965"/>
    <w:rsid w:val="000E3A08"/>
    <w:rsid w:val="000E3A81"/>
    <w:rsid w:val="000E5B91"/>
    <w:rsid w:val="000E638F"/>
    <w:rsid w:val="000E7419"/>
    <w:rsid w:val="000E7C14"/>
    <w:rsid w:val="000E7CEF"/>
    <w:rsid w:val="000F1215"/>
    <w:rsid w:val="000F1462"/>
    <w:rsid w:val="000F1527"/>
    <w:rsid w:val="000F200E"/>
    <w:rsid w:val="000F20BD"/>
    <w:rsid w:val="000F2E02"/>
    <w:rsid w:val="000F3CA6"/>
    <w:rsid w:val="000F6231"/>
    <w:rsid w:val="000F72CD"/>
    <w:rsid w:val="000F781C"/>
    <w:rsid w:val="000F7B9B"/>
    <w:rsid w:val="001004B1"/>
    <w:rsid w:val="001006A8"/>
    <w:rsid w:val="00100E3D"/>
    <w:rsid w:val="00100FD6"/>
    <w:rsid w:val="00102ACB"/>
    <w:rsid w:val="00103C9F"/>
    <w:rsid w:val="00103E07"/>
    <w:rsid w:val="00103E77"/>
    <w:rsid w:val="00104ABE"/>
    <w:rsid w:val="00104D93"/>
    <w:rsid w:val="001054C7"/>
    <w:rsid w:val="0011183C"/>
    <w:rsid w:val="001121A9"/>
    <w:rsid w:val="00114B12"/>
    <w:rsid w:val="00116404"/>
    <w:rsid w:val="001201D8"/>
    <w:rsid w:val="00120D23"/>
    <w:rsid w:val="00121515"/>
    <w:rsid w:val="00121856"/>
    <w:rsid w:val="00121FC7"/>
    <w:rsid w:val="0012296B"/>
    <w:rsid w:val="00122DC9"/>
    <w:rsid w:val="0012374B"/>
    <w:rsid w:val="001238A7"/>
    <w:rsid w:val="0012397E"/>
    <w:rsid w:val="00123BD3"/>
    <w:rsid w:val="00124137"/>
    <w:rsid w:val="0012450D"/>
    <w:rsid w:val="00124B29"/>
    <w:rsid w:val="001257BB"/>
    <w:rsid w:val="0012643E"/>
    <w:rsid w:val="0012652D"/>
    <w:rsid w:val="00126BF3"/>
    <w:rsid w:val="001270BD"/>
    <w:rsid w:val="001301FA"/>
    <w:rsid w:val="00130253"/>
    <w:rsid w:val="00130557"/>
    <w:rsid w:val="00130955"/>
    <w:rsid w:val="00130F00"/>
    <w:rsid w:val="00131079"/>
    <w:rsid w:val="001313E6"/>
    <w:rsid w:val="00131C44"/>
    <w:rsid w:val="001324DD"/>
    <w:rsid w:val="00132F21"/>
    <w:rsid w:val="00133462"/>
    <w:rsid w:val="001336B1"/>
    <w:rsid w:val="00134620"/>
    <w:rsid w:val="00134BFE"/>
    <w:rsid w:val="00135AC2"/>
    <w:rsid w:val="00135B93"/>
    <w:rsid w:val="0013662B"/>
    <w:rsid w:val="001366FE"/>
    <w:rsid w:val="00140C58"/>
    <w:rsid w:val="0014106A"/>
    <w:rsid w:val="001413C4"/>
    <w:rsid w:val="0014165F"/>
    <w:rsid w:val="00143325"/>
    <w:rsid w:val="00143CD6"/>
    <w:rsid w:val="00144107"/>
    <w:rsid w:val="00144F2F"/>
    <w:rsid w:val="001459BB"/>
    <w:rsid w:val="00145D6A"/>
    <w:rsid w:val="00146296"/>
    <w:rsid w:val="0014655A"/>
    <w:rsid w:val="00146996"/>
    <w:rsid w:val="0014766F"/>
    <w:rsid w:val="001478AD"/>
    <w:rsid w:val="00150F32"/>
    <w:rsid w:val="0015186A"/>
    <w:rsid w:val="0015189A"/>
    <w:rsid w:val="0015276E"/>
    <w:rsid w:val="00152C54"/>
    <w:rsid w:val="00154223"/>
    <w:rsid w:val="001543ED"/>
    <w:rsid w:val="00154C05"/>
    <w:rsid w:val="00154DE5"/>
    <w:rsid w:val="00155609"/>
    <w:rsid w:val="00155FEA"/>
    <w:rsid w:val="00157C80"/>
    <w:rsid w:val="001603F0"/>
    <w:rsid w:val="00160741"/>
    <w:rsid w:val="00160BF2"/>
    <w:rsid w:val="00161931"/>
    <w:rsid w:val="00161F11"/>
    <w:rsid w:val="00162364"/>
    <w:rsid w:val="00162904"/>
    <w:rsid w:val="001629FF"/>
    <w:rsid w:val="00163A12"/>
    <w:rsid w:val="00163A85"/>
    <w:rsid w:val="00164343"/>
    <w:rsid w:val="001654C5"/>
    <w:rsid w:val="00165633"/>
    <w:rsid w:val="001658C4"/>
    <w:rsid w:val="00166448"/>
    <w:rsid w:val="00166C69"/>
    <w:rsid w:val="00167311"/>
    <w:rsid w:val="001703D6"/>
    <w:rsid w:val="0017063C"/>
    <w:rsid w:val="0017103E"/>
    <w:rsid w:val="001715B3"/>
    <w:rsid w:val="00171B5A"/>
    <w:rsid w:val="00172523"/>
    <w:rsid w:val="001729ED"/>
    <w:rsid w:val="001732D1"/>
    <w:rsid w:val="00173418"/>
    <w:rsid w:val="00173858"/>
    <w:rsid w:val="001758D5"/>
    <w:rsid w:val="00175ABB"/>
    <w:rsid w:val="00175BCC"/>
    <w:rsid w:val="00175BFB"/>
    <w:rsid w:val="00175CE2"/>
    <w:rsid w:val="00176053"/>
    <w:rsid w:val="00176142"/>
    <w:rsid w:val="00177710"/>
    <w:rsid w:val="0018037B"/>
    <w:rsid w:val="00180F61"/>
    <w:rsid w:val="00181AB4"/>
    <w:rsid w:val="00181BE6"/>
    <w:rsid w:val="001821EB"/>
    <w:rsid w:val="0018347B"/>
    <w:rsid w:val="001836AA"/>
    <w:rsid w:val="0018456A"/>
    <w:rsid w:val="0018462E"/>
    <w:rsid w:val="0018469D"/>
    <w:rsid w:val="00184D9A"/>
    <w:rsid w:val="00185690"/>
    <w:rsid w:val="00186919"/>
    <w:rsid w:val="00187AD0"/>
    <w:rsid w:val="001903F2"/>
    <w:rsid w:val="0019043E"/>
    <w:rsid w:val="00190719"/>
    <w:rsid w:val="001914FC"/>
    <w:rsid w:val="00191C19"/>
    <w:rsid w:val="00192B59"/>
    <w:rsid w:val="0019362C"/>
    <w:rsid w:val="001941E3"/>
    <w:rsid w:val="00194C93"/>
    <w:rsid w:val="00194C9E"/>
    <w:rsid w:val="001951AC"/>
    <w:rsid w:val="0019554E"/>
    <w:rsid w:val="00195F19"/>
    <w:rsid w:val="00196227"/>
    <w:rsid w:val="0019641E"/>
    <w:rsid w:val="001978BC"/>
    <w:rsid w:val="00197A60"/>
    <w:rsid w:val="00197C1E"/>
    <w:rsid w:val="001A02E8"/>
    <w:rsid w:val="001A0CC7"/>
    <w:rsid w:val="001A1118"/>
    <w:rsid w:val="001A1486"/>
    <w:rsid w:val="001A1AD3"/>
    <w:rsid w:val="001A20AC"/>
    <w:rsid w:val="001A20D8"/>
    <w:rsid w:val="001A22B7"/>
    <w:rsid w:val="001A28A4"/>
    <w:rsid w:val="001A3465"/>
    <w:rsid w:val="001A36C3"/>
    <w:rsid w:val="001A5164"/>
    <w:rsid w:val="001A53A7"/>
    <w:rsid w:val="001A5490"/>
    <w:rsid w:val="001A5ED0"/>
    <w:rsid w:val="001A6017"/>
    <w:rsid w:val="001A644D"/>
    <w:rsid w:val="001A65EE"/>
    <w:rsid w:val="001A7A00"/>
    <w:rsid w:val="001A7C73"/>
    <w:rsid w:val="001A7C76"/>
    <w:rsid w:val="001B066E"/>
    <w:rsid w:val="001B11F2"/>
    <w:rsid w:val="001B3072"/>
    <w:rsid w:val="001B353B"/>
    <w:rsid w:val="001B3828"/>
    <w:rsid w:val="001B45F2"/>
    <w:rsid w:val="001B49CF"/>
    <w:rsid w:val="001B530B"/>
    <w:rsid w:val="001B5B34"/>
    <w:rsid w:val="001B5BF3"/>
    <w:rsid w:val="001B5C0B"/>
    <w:rsid w:val="001B5D73"/>
    <w:rsid w:val="001B6E81"/>
    <w:rsid w:val="001B7093"/>
    <w:rsid w:val="001C1BEC"/>
    <w:rsid w:val="001C209C"/>
    <w:rsid w:val="001C2B25"/>
    <w:rsid w:val="001C3E82"/>
    <w:rsid w:val="001C54C3"/>
    <w:rsid w:val="001C6CF6"/>
    <w:rsid w:val="001D078E"/>
    <w:rsid w:val="001D0808"/>
    <w:rsid w:val="001D086E"/>
    <w:rsid w:val="001D0B86"/>
    <w:rsid w:val="001D17DB"/>
    <w:rsid w:val="001D1864"/>
    <w:rsid w:val="001D1DD4"/>
    <w:rsid w:val="001D2041"/>
    <w:rsid w:val="001D2476"/>
    <w:rsid w:val="001D2AB1"/>
    <w:rsid w:val="001D3F03"/>
    <w:rsid w:val="001D4B1E"/>
    <w:rsid w:val="001D4BA8"/>
    <w:rsid w:val="001D500F"/>
    <w:rsid w:val="001D54E5"/>
    <w:rsid w:val="001D59C3"/>
    <w:rsid w:val="001D5AFA"/>
    <w:rsid w:val="001D6B6F"/>
    <w:rsid w:val="001D73C5"/>
    <w:rsid w:val="001E02E0"/>
    <w:rsid w:val="001E0BBC"/>
    <w:rsid w:val="001E0BF3"/>
    <w:rsid w:val="001E0FB6"/>
    <w:rsid w:val="001E12AA"/>
    <w:rsid w:val="001E1386"/>
    <w:rsid w:val="001E20D7"/>
    <w:rsid w:val="001E2B53"/>
    <w:rsid w:val="001E2D9B"/>
    <w:rsid w:val="001E3D51"/>
    <w:rsid w:val="001E3E1E"/>
    <w:rsid w:val="001E53A8"/>
    <w:rsid w:val="001E585A"/>
    <w:rsid w:val="001E5E38"/>
    <w:rsid w:val="001E659E"/>
    <w:rsid w:val="001E6C64"/>
    <w:rsid w:val="001E6DBE"/>
    <w:rsid w:val="001E70A3"/>
    <w:rsid w:val="001E7171"/>
    <w:rsid w:val="001E7391"/>
    <w:rsid w:val="001E7BC3"/>
    <w:rsid w:val="001F105C"/>
    <w:rsid w:val="001F124A"/>
    <w:rsid w:val="001F1BF8"/>
    <w:rsid w:val="001F1DC4"/>
    <w:rsid w:val="001F1DFA"/>
    <w:rsid w:val="001F1F28"/>
    <w:rsid w:val="001F22AF"/>
    <w:rsid w:val="001F271B"/>
    <w:rsid w:val="001F328E"/>
    <w:rsid w:val="001F38C3"/>
    <w:rsid w:val="001F43CC"/>
    <w:rsid w:val="001F46B3"/>
    <w:rsid w:val="001F50ED"/>
    <w:rsid w:val="001F5139"/>
    <w:rsid w:val="001F5253"/>
    <w:rsid w:val="001F62D2"/>
    <w:rsid w:val="001F6403"/>
    <w:rsid w:val="001F65E7"/>
    <w:rsid w:val="001F67FC"/>
    <w:rsid w:val="001F6B8D"/>
    <w:rsid w:val="001F72EA"/>
    <w:rsid w:val="001F7715"/>
    <w:rsid w:val="002005D8"/>
    <w:rsid w:val="00200F80"/>
    <w:rsid w:val="002010EE"/>
    <w:rsid w:val="0020127B"/>
    <w:rsid w:val="0020212D"/>
    <w:rsid w:val="00202938"/>
    <w:rsid w:val="00203650"/>
    <w:rsid w:val="00203B2B"/>
    <w:rsid w:val="00203EAF"/>
    <w:rsid w:val="00205273"/>
    <w:rsid w:val="00205C8F"/>
    <w:rsid w:val="002062C4"/>
    <w:rsid w:val="00206CBE"/>
    <w:rsid w:val="00210BB3"/>
    <w:rsid w:val="002111E4"/>
    <w:rsid w:val="0021136D"/>
    <w:rsid w:val="0021226A"/>
    <w:rsid w:val="00214332"/>
    <w:rsid w:val="002148E2"/>
    <w:rsid w:val="00215714"/>
    <w:rsid w:val="0021602B"/>
    <w:rsid w:val="0021604D"/>
    <w:rsid w:val="00216560"/>
    <w:rsid w:val="002169E3"/>
    <w:rsid w:val="00216A8A"/>
    <w:rsid w:val="0021794B"/>
    <w:rsid w:val="002207A3"/>
    <w:rsid w:val="00221A40"/>
    <w:rsid w:val="00222072"/>
    <w:rsid w:val="00222089"/>
    <w:rsid w:val="00222419"/>
    <w:rsid w:val="00222D81"/>
    <w:rsid w:val="0022407A"/>
    <w:rsid w:val="00224AFE"/>
    <w:rsid w:val="00225050"/>
    <w:rsid w:val="00225328"/>
    <w:rsid w:val="002253E8"/>
    <w:rsid w:val="0022623F"/>
    <w:rsid w:val="00226964"/>
    <w:rsid w:val="002306DE"/>
    <w:rsid w:val="00231661"/>
    <w:rsid w:val="0023184B"/>
    <w:rsid w:val="002327A1"/>
    <w:rsid w:val="00232840"/>
    <w:rsid w:val="00234316"/>
    <w:rsid w:val="00234E6A"/>
    <w:rsid w:val="00234E90"/>
    <w:rsid w:val="00235851"/>
    <w:rsid w:val="002360E4"/>
    <w:rsid w:val="00236F1B"/>
    <w:rsid w:val="00237873"/>
    <w:rsid w:val="00240642"/>
    <w:rsid w:val="00240B6C"/>
    <w:rsid w:val="002414E4"/>
    <w:rsid w:val="00241D0B"/>
    <w:rsid w:val="00241D7E"/>
    <w:rsid w:val="00242019"/>
    <w:rsid w:val="002428DD"/>
    <w:rsid w:val="002437E6"/>
    <w:rsid w:val="00244910"/>
    <w:rsid w:val="00244B46"/>
    <w:rsid w:val="00244BF6"/>
    <w:rsid w:val="002463B5"/>
    <w:rsid w:val="002465B3"/>
    <w:rsid w:val="002466C9"/>
    <w:rsid w:val="00247736"/>
    <w:rsid w:val="0025015F"/>
    <w:rsid w:val="0025055D"/>
    <w:rsid w:val="002506BD"/>
    <w:rsid w:val="00250AE9"/>
    <w:rsid w:val="002516AC"/>
    <w:rsid w:val="002520C4"/>
    <w:rsid w:val="002530E5"/>
    <w:rsid w:val="00253358"/>
    <w:rsid w:val="00254635"/>
    <w:rsid w:val="00254D2D"/>
    <w:rsid w:val="0025512E"/>
    <w:rsid w:val="002554D2"/>
    <w:rsid w:val="00255CA5"/>
    <w:rsid w:val="002565AF"/>
    <w:rsid w:val="00256BE4"/>
    <w:rsid w:val="00256DC8"/>
    <w:rsid w:val="00260A26"/>
    <w:rsid w:val="00260A6E"/>
    <w:rsid w:val="00260E68"/>
    <w:rsid w:val="0026254B"/>
    <w:rsid w:val="00262936"/>
    <w:rsid w:val="00262E64"/>
    <w:rsid w:val="00262EC1"/>
    <w:rsid w:val="00263212"/>
    <w:rsid w:val="00264859"/>
    <w:rsid w:val="00264EC6"/>
    <w:rsid w:val="0026573C"/>
    <w:rsid w:val="002669E6"/>
    <w:rsid w:val="00266F35"/>
    <w:rsid w:val="0026772C"/>
    <w:rsid w:val="00267E46"/>
    <w:rsid w:val="00270EEA"/>
    <w:rsid w:val="002713BD"/>
    <w:rsid w:val="00271D7A"/>
    <w:rsid w:val="00272165"/>
    <w:rsid w:val="0027289F"/>
    <w:rsid w:val="00272F2F"/>
    <w:rsid w:val="00272F38"/>
    <w:rsid w:val="00272FF0"/>
    <w:rsid w:val="00273247"/>
    <w:rsid w:val="0027338C"/>
    <w:rsid w:val="00274226"/>
    <w:rsid w:val="00274B18"/>
    <w:rsid w:val="00274C7F"/>
    <w:rsid w:val="00275705"/>
    <w:rsid w:val="002759B3"/>
    <w:rsid w:val="00275F01"/>
    <w:rsid w:val="002763D4"/>
    <w:rsid w:val="00277244"/>
    <w:rsid w:val="00277E55"/>
    <w:rsid w:val="0028062F"/>
    <w:rsid w:val="00281199"/>
    <w:rsid w:val="00281A5C"/>
    <w:rsid w:val="00282321"/>
    <w:rsid w:val="0028244E"/>
    <w:rsid w:val="002828E7"/>
    <w:rsid w:val="00282B4E"/>
    <w:rsid w:val="002845EE"/>
    <w:rsid w:val="00284CB5"/>
    <w:rsid w:val="00284D46"/>
    <w:rsid w:val="00285531"/>
    <w:rsid w:val="00285720"/>
    <w:rsid w:val="00285F6F"/>
    <w:rsid w:val="00286035"/>
    <w:rsid w:val="0028655E"/>
    <w:rsid w:val="00287B02"/>
    <w:rsid w:val="00287CB7"/>
    <w:rsid w:val="002901C2"/>
    <w:rsid w:val="00290503"/>
    <w:rsid w:val="002907A5"/>
    <w:rsid w:val="002921A5"/>
    <w:rsid w:val="00292D42"/>
    <w:rsid w:val="00293766"/>
    <w:rsid w:val="00293BF7"/>
    <w:rsid w:val="00293C0E"/>
    <w:rsid w:val="00293CC3"/>
    <w:rsid w:val="00294D53"/>
    <w:rsid w:val="00296343"/>
    <w:rsid w:val="00296423"/>
    <w:rsid w:val="00296F4D"/>
    <w:rsid w:val="0029747A"/>
    <w:rsid w:val="002A02E6"/>
    <w:rsid w:val="002A058F"/>
    <w:rsid w:val="002A11C5"/>
    <w:rsid w:val="002A1506"/>
    <w:rsid w:val="002A1997"/>
    <w:rsid w:val="002A1A41"/>
    <w:rsid w:val="002A2307"/>
    <w:rsid w:val="002A28CA"/>
    <w:rsid w:val="002A454C"/>
    <w:rsid w:val="002A489D"/>
    <w:rsid w:val="002A4C85"/>
    <w:rsid w:val="002A4EC9"/>
    <w:rsid w:val="002A550F"/>
    <w:rsid w:val="002A5679"/>
    <w:rsid w:val="002A632F"/>
    <w:rsid w:val="002A6914"/>
    <w:rsid w:val="002A74D2"/>
    <w:rsid w:val="002A76EA"/>
    <w:rsid w:val="002A7B7B"/>
    <w:rsid w:val="002A7D3A"/>
    <w:rsid w:val="002B0327"/>
    <w:rsid w:val="002B0566"/>
    <w:rsid w:val="002B0777"/>
    <w:rsid w:val="002B0FE2"/>
    <w:rsid w:val="002B1105"/>
    <w:rsid w:val="002B1691"/>
    <w:rsid w:val="002B174A"/>
    <w:rsid w:val="002B2A5A"/>
    <w:rsid w:val="002B2FCA"/>
    <w:rsid w:val="002B325A"/>
    <w:rsid w:val="002B3885"/>
    <w:rsid w:val="002B3EEB"/>
    <w:rsid w:val="002B41C4"/>
    <w:rsid w:val="002B4407"/>
    <w:rsid w:val="002B46A0"/>
    <w:rsid w:val="002B483F"/>
    <w:rsid w:val="002B51B5"/>
    <w:rsid w:val="002B61FA"/>
    <w:rsid w:val="002B7257"/>
    <w:rsid w:val="002B7467"/>
    <w:rsid w:val="002C0709"/>
    <w:rsid w:val="002C0BCA"/>
    <w:rsid w:val="002C132E"/>
    <w:rsid w:val="002C263C"/>
    <w:rsid w:val="002C294F"/>
    <w:rsid w:val="002C2964"/>
    <w:rsid w:val="002C36F2"/>
    <w:rsid w:val="002C5308"/>
    <w:rsid w:val="002C533E"/>
    <w:rsid w:val="002C5D40"/>
    <w:rsid w:val="002C6EEE"/>
    <w:rsid w:val="002D07AB"/>
    <w:rsid w:val="002D0AFA"/>
    <w:rsid w:val="002D17A8"/>
    <w:rsid w:val="002D218C"/>
    <w:rsid w:val="002D31A1"/>
    <w:rsid w:val="002D3363"/>
    <w:rsid w:val="002D33C0"/>
    <w:rsid w:val="002D43FE"/>
    <w:rsid w:val="002D46A2"/>
    <w:rsid w:val="002D50CE"/>
    <w:rsid w:val="002D5F2F"/>
    <w:rsid w:val="002D6398"/>
    <w:rsid w:val="002D75FA"/>
    <w:rsid w:val="002E077B"/>
    <w:rsid w:val="002E0A04"/>
    <w:rsid w:val="002E1C81"/>
    <w:rsid w:val="002E1CF7"/>
    <w:rsid w:val="002E1EA8"/>
    <w:rsid w:val="002E24FC"/>
    <w:rsid w:val="002E474F"/>
    <w:rsid w:val="002E4B54"/>
    <w:rsid w:val="002E4F20"/>
    <w:rsid w:val="002E7122"/>
    <w:rsid w:val="002E7B6E"/>
    <w:rsid w:val="002F1F43"/>
    <w:rsid w:val="002F325B"/>
    <w:rsid w:val="002F3465"/>
    <w:rsid w:val="002F3848"/>
    <w:rsid w:val="002F38F9"/>
    <w:rsid w:val="002F3AEA"/>
    <w:rsid w:val="002F3D84"/>
    <w:rsid w:val="002F5125"/>
    <w:rsid w:val="002F58F1"/>
    <w:rsid w:val="002F6FA8"/>
    <w:rsid w:val="002F7A37"/>
    <w:rsid w:val="002F7F78"/>
    <w:rsid w:val="00300DAE"/>
    <w:rsid w:val="00300F6A"/>
    <w:rsid w:val="00302C02"/>
    <w:rsid w:val="0030386E"/>
    <w:rsid w:val="00305F2C"/>
    <w:rsid w:val="003060C0"/>
    <w:rsid w:val="00306937"/>
    <w:rsid w:val="00306E9A"/>
    <w:rsid w:val="00307A94"/>
    <w:rsid w:val="00310540"/>
    <w:rsid w:val="00310837"/>
    <w:rsid w:val="003109C5"/>
    <w:rsid w:val="003112C6"/>
    <w:rsid w:val="0031149E"/>
    <w:rsid w:val="00311CED"/>
    <w:rsid w:val="00312339"/>
    <w:rsid w:val="003130DB"/>
    <w:rsid w:val="00313460"/>
    <w:rsid w:val="00313ADC"/>
    <w:rsid w:val="003141EF"/>
    <w:rsid w:val="00314EC4"/>
    <w:rsid w:val="003157B6"/>
    <w:rsid w:val="00316202"/>
    <w:rsid w:val="00316AD7"/>
    <w:rsid w:val="0032003B"/>
    <w:rsid w:val="00320239"/>
    <w:rsid w:val="00320800"/>
    <w:rsid w:val="00321658"/>
    <w:rsid w:val="0032237C"/>
    <w:rsid w:val="00322462"/>
    <w:rsid w:val="0032276B"/>
    <w:rsid w:val="00322FEB"/>
    <w:rsid w:val="00323056"/>
    <w:rsid w:val="0032306D"/>
    <w:rsid w:val="003233C0"/>
    <w:rsid w:val="003239D6"/>
    <w:rsid w:val="00324140"/>
    <w:rsid w:val="00325778"/>
    <w:rsid w:val="003260F8"/>
    <w:rsid w:val="003264CF"/>
    <w:rsid w:val="003279F2"/>
    <w:rsid w:val="00327F51"/>
    <w:rsid w:val="00330D2B"/>
    <w:rsid w:val="00330F74"/>
    <w:rsid w:val="00331134"/>
    <w:rsid w:val="0033115D"/>
    <w:rsid w:val="00331E6B"/>
    <w:rsid w:val="003325D5"/>
    <w:rsid w:val="003326F9"/>
    <w:rsid w:val="00332B80"/>
    <w:rsid w:val="003344EE"/>
    <w:rsid w:val="00334F0D"/>
    <w:rsid w:val="00334FDA"/>
    <w:rsid w:val="00335109"/>
    <w:rsid w:val="00335EA4"/>
    <w:rsid w:val="00337F0C"/>
    <w:rsid w:val="0034007D"/>
    <w:rsid w:val="00340D10"/>
    <w:rsid w:val="00342466"/>
    <w:rsid w:val="00343C5F"/>
    <w:rsid w:val="00343CF1"/>
    <w:rsid w:val="00343D25"/>
    <w:rsid w:val="003441B5"/>
    <w:rsid w:val="0034518E"/>
    <w:rsid w:val="003457EF"/>
    <w:rsid w:val="00345842"/>
    <w:rsid w:val="00345B0C"/>
    <w:rsid w:val="003477E9"/>
    <w:rsid w:val="00347B00"/>
    <w:rsid w:val="00350115"/>
    <w:rsid w:val="00350807"/>
    <w:rsid w:val="003509D7"/>
    <w:rsid w:val="00350A3C"/>
    <w:rsid w:val="0035120B"/>
    <w:rsid w:val="003512D0"/>
    <w:rsid w:val="00351863"/>
    <w:rsid w:val="00352045"/>
    <w:rsid w:val="0035271F"/>
    <w:rsid w:val="00352C7F"/>
    <w:rsid w:val="0035365B"/>
    <w:rsid w:val="00353660"/>
    <w:rsid w:val="00353A5B"/>
    <w:rsid w:val="00353E85"/>
    <w:rsid w:val="00354EE7"/>
    <w:rsid w:val="00355A30"/>
    <w:rsid w:val="003560B5"/>
    <w:rsid w:val="003561EE"/>
    <w:rsid w:val="00356EDE"/>
    <w:rsid w:val="003575FB"/>
    <w:rsid w:val="003579FE"/>
    <w:rsid w:val="00357AE4"/>
    <w:rsid w:val="00360561"/>
    <w:rsid w:val="003606EA"/>
    <w:rsid w:val="00360E77"/>
    <w:rsid w:val="00362111"/>
    <w:rsid w:val="00363E37"/>
    <w:rsid w:val="00365111"/>
    <w:rsid w:val="003657C9"/>
    <w:rsid w:val="00365C18"/>
    <w:rsid w:val="003718D4"/>
    <w:rsid w:val="003718F3"/>
    <w:rsid w:val="00372F6A"/>
    <w:rsid w:val="003732A2"/>
    <w:rsid w:val="00373687"/>
    <w:rsid w:val="0037515E"/>
    <w:rsid w:val="00377858"/>
    <w:rsid w:val="00377EB5"/>
    <w:rsid w:val="00380B55"/>
    <w:rsid w:val="00380C5B"/>
    <w:rsid w:val="003815CE"/>
    <w:rsid w:val="00381A8F"/>
    <w:rsid w:val="00381B38"/>
    <w:rsid w:val="003821AA"/>
    <w:rsid w:val="0038276C"/>
    <w:rsid w:val="00383494"/>
    <w:rsid w:val="003834FF"/>
    <w:rsid w:val="00384575"/>
    <w:rsid w:val="003854C0"/>
    <w:rsid w:val="003861D2"/>
    <w:rsid w:val="00387859"/>
    <w:rsid w:val="00387991"/>
    <w:rsid w:val="003879D6"/>
    <w:rsid w:val="00390722"/>
    <w:rsid w:val="00390F18"/>
    <w:rsid w:val="00391716"/>
    <w:rsid w:val="00391BA4"/>
    <w:rsid w:val="00391D11"/>
    <w:rsid w:val="00392247"/>
    <w:rsid w:val="00392DFC"/>
    <w:rsid w:val="00392F61"/>
    <w:rsid w:val="0039425B"/>
    <w:rsid w:val="00394B39"/>
    <w:rsid w:val="003951C4"/>
    <w:rsid w:val="0039589C"/>
    <w:rsid w:val="00395A49"/>
    <w:rsid w:val="00397C02"/>
    <w:rsid w:val="003A036E"/>
    <w:rsid w:val="003A06A4"/>
    <w:rsid w:val="003A0AD9"/>
    <w:rsid w:val="003A205C"/>
    <w:rsid w:val="003A212F"/>
    <w:rsid w:val="003A4241"/>
    <w:rsid w:val="003A4735"/>
    <w:rsid w:val="003A4D19"/>
    <w:rsid w:val="003A4E23"/>
    <w:rsid w:val="003A541C"/>
    <w:rsid w:val="003A6091"/>
    <w:rsid w:val="003A6B85"/>
    <w:rsid w:val="003A7214"/>
    <w:rsid w:val="003B0404"/>
    <w:rsid w:val="003B0AD9"/>
    <w:rsid w:val="003B0C0C"/>
    <w:rsid w:val="003B2485"/>
    <w:rsid w:val="003B2A40"/>
    <w:rsid w:val="003B2BB8"/>
    <w:rsid w:val="003B4387"/>
    <w:rsid w:val="003B5762"/>
    <w:rsid w:val="003B57C4"/>
    <w:rsid w:val="003B5C41"/>
    <w:rsid w:val="003B5C9C"/>
    <w:rsid w:val="003B5D2D"/>
    <w:rsid w:val="003B5E5F"/>
    <w:rsid w:val="003B60C1"/>
    <w:rsid w:val="003B6D5B"/>
    <w:rsid w:val="003B7AB8"/>
    <w:rsid w:val="003C14C1"/>
    <w:rsid w:val="003C3331"/>
    <w:rsid w:val="003C386B"/>
    <w:rsid w:val="003C39CC"/>
    <w:rsid w:val="003C47D9"/>
    <w:rsid w:val="003C4BE5"/>
    <w:rsid w:val="003C4D1A"/>
    <w:rsid w:val="003C589A"/>
    <w:rsid w:val="003C5A17"/>
    <w:rsid w:val="003C5C90"/>
    <w:rsid w:val="003C6242"/>
    <w:rsid w:val="003C635C"/>
    <w:rsid w:val="003C6693"/>
    <w:rsid w:val="003C6A51"/>
    <w:rsid w:val="003C7A47"/>
    <w:rsid w:val="003D01D1"/>
    <w:rsid w:val="003D049F"/>
    <w:rsid w:val="003D129D"/>
    <w:rsid w:val="003D16FF"/>
    <w:rsid w:val="003D1C61"/>
    <w:rsid w:val="003D2D9C"/>
    <w:rsid w:val="003D2EF9"/>
    <w:rsid w:val="003D3373"/>
    <w:rsid w:val="003D36D3"/>
    <w:rsid w:val="003D3C9F"/>
    <w:rsid w:val="003D4A13"/>
    <w:rsid w:val="003D6995"/>
    <w:rsid w:val="003D6A63"/>
    <w:rsid w:val="003D7B61"/>
    <w:rsid w:val="003E0296"/>
    <w:rsid w:val="003E0B77"/>
    <w:rsid w:val="003E0E90"/>
    <w:rsid w:val="003E2012"/>
    <w:rsid w:val="003E2B61"/>
    <w:rsid w:val="003E34A6"/>
    <w:rsid w:val="003E44B9"/>
    <w:rsid w:val="003E4C92"/>
    <w:rsid w:val="003E505E"/>
    <w:rsid w:val="003E6572"/>
    <w:rsid w:val="003E6AF0"/>
    <w:rsid w:val="003E6D7E"/>
    <w:rsid w:val="003E728C"/>
    <w:rsid w:val="003E7387"/>
    <w:rsid w:val="003E7F8E"/>
    <w:rsid w:val="003F0B46"/>
    <w:rsid w:val="003F174E"/>
    <w:rsid w:val="003F1D17"/>
    <w:rsid w:val="003F31B4"/>
    <w:rsid w:val="003F3FC4"/>
    <w:rsid w:val="003F4566"/>
    <w:rsid w:val="003F456B"/>
    <w:rsid w:val="003F4623"/>
    <w:rsid w:val="003F4E0F"/>
    <w:rsid w:val="003F510E"/>
    <w:rsid w:val="003F528E"/>
    <w:rsid w:val="003F5574"/>
    <w:rsid w:val="003F5EBB"/>
    <w:rsid w:val="003F6438"/>
    <w:rsid w:val="003F7447"/>
    <w:rsid w:val="003F7CD6"/>
    <w:rsid w:val="003F7E6D"/>
    <w:rsid w:val="00400170"/>
    <w:rsid w:val="0040039B"/>
    <w:rsid w:val="00400837"/>
    <w:rsid w:val="00400CCA"/>
    <w:rsid w:val="00402247"/>
    <w:rsid w:val="00402AAA"/>
    <w:rsid w:val="00402ABF"/>
    <w:rsid w:val="00402FB6"/>
    <w:rsid w:val="00403414"/>
    <w:rsid w:val="00403B9D"/>
    <w:rsid w:val="00404BDC"/>
    <w:rsid w:val="0040520D"/>
    <w:rsid w:val="00405DCC"/>
    <w:rsid w:val="00406289"/>
    <w:rsid w:val="0040722A"/>
    <w:rsid w:val="004074AB"/>
    <w:rsid w:val="00410E3A"/>
    <w:rsid w:val="00411288"/>
    <w:rsid w:val="0041165F"/>
    <w:rsid w:val="0041253B"/>
    <w:rsid w:val="0041254F"/>
    <w:rsid w:val="004134DF"/>
    <w:rsid w:val="00413BE9"/>
    <w:rsid w:val="00413F65"/>
    <w:rsid w:val="004140A7"/>
    <w:rsid w:val="00415490"/>
    <w:rsid w:val="004165B6"/>
    <w:rsid w:val="00416EE3"/>
    <w:rsid w:val="00417A1C"/>
    <w:rsid w:val="00420189"/>
    <w:rsid w:val="0042115D"/>
    <w:rsid w:val="00421758"/>
    <w:rsid w:val="00423880"/>
    <w:rsid w:val="00425D19"/>
    <w:rsid w:val="00425F9B"/>
    <w:rsid w:val="00426218"/>
    <w:rsid w:val="004264FE"/>
    <w:rsid w:val="004266CC"/>
    <w:rsid w:val="00426736"/>
    <w:rsid w:val="004268C6"/>
    <w:rsid w:val="00426C7F"/>
    <w:rsid w:val="004272DC"/>
    <w:rsid w:val="00427C42"/>
    <w:rsid w:val="00432075"/>
    <w:rsid w:val="0043207A"/>
    <w:rsid w:val="00433130"/>
    <w:rsid w:val="00433D50"/>
    <w:rsid w:val="00434C3B"/>
    <w:rsid w:val="0043541D"/>
    <w:rsid w:val="00435615"/>
    <w:rsid w:val="00435695"/>
    <w:rsid w:val="00437292"/>
    <w:rsid w:val="00437AAC"/>
    <w:rsid w:val="00437FCF"/>
    <w:rsid w:val="00440527"/>
    <w:rsid w:val="00440698"/>
    <w:rsid w:val="00440F3D"/>
    <w:rsid w:val="00441280"/>
    <w:rsid w:val="00441439"/>
    <w:rsid w:val="004420C8"/>
    <w:rsid w:val="00442BA9"/>
    <w:rsid w:val="00442F18"/>
    <w:rsid w:val="00443745"/>
    <w:rsid w:val="0044407C"/>
    <w:rsid w:val="0044498D"/>
    <w:rsid w:val="00444A4F"/>
    <w:rsid w:val="00445092"/>
    <w:rsid w:val="00445C37"/>
    <w:rsid w:val="00445DB6"/>
    <w:rsid w:val="00446E1C"/>
    <w:rsid w:val="00450529"/>
    <w:rsid w:val="004506C3"/>
    <w:rsid w:val="004509FB"/>
    <w:rsid w:val="00450A90"/>
    <w:rsid w:val="00450D2D"/>
    <w:rsid w:val="00452278"/>
    <w:rsid w:val="0045305E"/>
    <w:rsid w:val="004537AB"/>
    <w:rsid w:val="0045491C"/>
    <w:rsid w:val="004554C7"/>
    <w:rsid w:val="0045554E"/>
    <w:rsid w:val="00455D0E"/>
    <w:rsid w:val="004562CA"/>
    <w:rsid w:val="00456A1F"/>
    <w:rsid w:val="00457100"/>
    <w:rsid w:val="00457D79"/>
    <w:rsid w:val="004603EF"/>
    <w:rsid w:val="00460552"/>
    <w:rsid w:val="00460A38"/>
    <w:rsid w:val="0046106D"/>
    <w:rsid w:val="00461CBD"/>
    <w:rsid w:val="00461D2B"/>
    <w:rsid w:val="00463E47"/>
    <w:rsid w:val="00463EE9"/>
    <w:rsid w:val="00464D32"/>
    <w:rsid w:val="0046506E"/>
    <w:rsid w:val="004650CF"/>
    <w:rsid w:val="004653C0"/>
    <w:rsid w:val="0046584A"/>
    <w:rsid w:val="00465CFA"/>
    <w:rsid w:val="0046697F"/>
    <w:rsid w:val="004669B0"/>
    <w:rsid w:val="00466D03"/>
    <w:rsid w:val="00467056"/>
    <w:rsid w:val="0046723B"/>
    <w:rsid w:val="00467999"/>
    <w:rsid w:val="00467BB3"/>
    <w:rsid w:val="00467E5F"/>
    <w:rsid w:val="00470298"/>
    <w:rsid w:val="0047031D"/>
    <w:rsid w:val="00470EB5"/>
    <w:rsid w:val="004718C1"/>
    <w:rsid w:val="00471AEF"/>
    <w:rsid w:val="00471B0C"/>
    <w:rsid w:val="0047256E"/>
    <w:rsid w:val="004743F7"/>
    <w:rsid w:val="00474633"/>
    <w:rsid w:val="00474D72"/>
    <w:rsid w:val="00475C5A"/>
    <w:rsid w:val="0047681A"/>
    <w:rsid w:val="004776A2"/>
    <w:rsid w:val="0047799E"/>
    <w:rsid w:val="0048042C"/>
    <w:rsid w:val="0048074D"/>
    <w:rsid w:val="00481ACF"/>
    <w:rsid w:val="004831B4"/>
    <w:rsid w:val="004836DA"/>
    <w:rsid w:val="00483BDC"/>
    <w:rsid w:val="00484012"/>
    <w:rsid w:val="00484E24"/>
    <w:rsid w:val="00485B8C"/>
    <w:rsid w:val="00486229"/>
    <w:rsid w:val="004876C6"/>
    <w:rsid w:val="0048784D"/>
    <w:rsid w:val="004879CD"/>
    <w:rsid w:val="0049017F"/>
    <w:rsid w:val="00490F2A"/>
    <w:rsid w:val="004912B8"/>
    <w:rsid w:val="00492982"/>
    <w:rsid w:val="004930A3"/>
    <w:rsid w:val="00493BB7"/>
    <w:rsid w:val="00493BFC"/>
    <w:rsid w:val="00494470"/>
    <w:rsid w:val="004944C7"/>
    <w:rsid w:val="004944EA"/>
    <w:rsid w:val="00494AE0"/>
    <w:rsid w:val="00495309"/>
    <w:rsid w:val="00496143"/>
    <w:rsid w:val="00496C1B"/>
    <w:rsid w:val="00496D81"/>
    <w:rsid w:val="00496DBE"/>
    <w:rsid w:val="00497139"/>
    <w:rsid w:val="004973CC"/>
    <w:rsid w:val="00497DE3"/>
    <w:rsid w:val="004A1E45"/>
    <w:rsid w:val="004A22A7"/>
    <w:rsid w:val="004A2741"/>
    <w:rsid w:val="004A33E6"/>
    <w:rsid w:val="004A3921"/>
    <w:rsid w:val="004A614C"/>
    <w:rsid w:val="004B1481"/>
    <w:rsid w:val="004B192D"/>
    <w:rsid w:val="004B1C16"/>
    <w:rsid w:val="004B2140"/>
    <w:rsid w:val="004B2DDB"/>
    <w:rsid w:val="004B2F88"/>
    <w:rsid w:val="004B3146"/>
    <w:rsid w:val="004B3497"/>
    <w:rsid w:val="004B34A6"/>
    <w:rsid w:val="004B3A80"/>
    <w:rsid w:val="004B3D14"/>
    <w:rsid w:val="004B531B"/>
    <w:rsid w:val="004B56E1"/>
    <w:rsid w:val="004B5B22"/>
    <w:rsid w:val="004B5C1E"/>
    <w:rsid w:val="004B60DF"/>
    <w:rsid w:val="004B68AE"/>
    <w:rsid w:val="004B7818"/>
    <w:rsid w:val="004B7928"/>
    <w:rsid w:val="004B7AF7"/>
    <w:rsid w:val="004B7CAD"/>
    <w:rsid w:val="004B7E34"/>
    <w:rsid w:val="004C01BA"/>
    <w:rsid w:val="004C052E"/>
    <w:rsid w:val="004C0A98"/>
    <w:rsid w:val="004C0B46"/>
    <w:rsid w:val="004C1E19"/>
    <w:rsid w:val="004C1E1C"/>
    <w:rsid w:val="004C1F1B"/>
    <w:rsid w:val="004C2344"/>
    <w:rsid w:val="004C2623"/>
    <w:rsid w:val="004C2C8B"/>
    <w:rsid w:val="004C4CCD"/>
    <w:rsid w:val="004C4E35"/>
    <w:rsid w:val="004C527B"/>
    <w:rsid w:val="004C5F1E"/>
    <w:rsid w:val="004C7460"/>
    <w:rsid w:val="004D03B9"/>
    <w:rsid w:val="004D0541"/>
    <w:rsid w:val="004D0B0A"/>
    <w:rsid w:val="004D0D40"/>
    <w:rsid w:val="004D0F94"/>
    <w:rsid w:val="004D1C36"/>
    <w:rsid w:val="004D1D71"/>
    <w:rsid w:val="004D21ED"/>
    <w:rsid w:val="004D2394"/>
    <w:rsid w:val="004D249F"/>
    <w:rsid w:val="004D31DC"/>
    <w:rsid w:val="004D325E"/>
    <w:rsid w:val="004D4A20"/>
    <w:rsid w:val="004D4B91"/>
    <w:rsid w:val="004D61BC"/>
    <w:rsid w:val="004D641F"/>
    <w:rsid w:val="004D6739"/>
    <w:rsid w:val="004D714A"/>
    <w:rsid w:val="004D7A07"/>
    <w:rsid w:val="004E0DAF"/>
    <w:rsid w:val="004E204F"/>
    <w:rsid w:val="004E2561"/>
    <w:rsid w:val="004E3A14"/>
    <w:rsid w:val="004E3F57"/>
    <w:rsid w:val="004E4238"/>
    <w:rsid w:val="004E44D6"/>
    <w:rsid w:val="004E48D5"/>
    <w:rsid w:val="004E4FF9"/>
    <w:rsid w:val="004E54C6"/>
    <w:rsid w:val="004E60A7"/>
    <w:rsid w:val="004E630C"/>
    <w:rsid w:val="004E6437"/>
    <w:rsid w:val="004E741B"/>
    <w:rsid w:val="004E7CD9"/>
    <w:rsid w:val="004F05E0"/>
    <w:rsid w:val="004F0AA5"/>
    <w:rsid w:val="004F10DD"/>
    <w:rsid w:val="004F164C"/>
    <w:rsid w:val="004F17C0"/>
    <w:rsid w:val="004F1B37"/>
    <w:rsid w:val="004F25C1"/>
    <w:rsid w:val="004F278F"/>
    <w:rsid w:val="004F2C74"/>
    <w:rsid w:val="004F3A5D"/>
    <w:rsid w:val="004F3BDE"/>
    <w:rsid w:val="004F3FFD"/>
    <w:rsid w:val="004F4604"/>
    <w:rsid w:val="004F5322"/>
    <w:rsid w:val="004F6BE6"/>
    <w:rsid w:val="004F75C7"/>
    <w:rsid w:val="004F7917"/>
    <w:rsid w:val="00500138"/>
    <w:rsid w:val="00500236"/>
    <w:rsid w:val="0050033C"/>
    <w:rsid w:val="00500D3B"/>
    <w:rsid w:val="005010D4"/>
    <w:rsid w:val="005011A9"/>
    <w:rsid w:val="00501EA8"/>
    <w:rsid w:val="005020B7"/>
    <w:rsid w:val="00502650"/>
    <w:rsid w:val="00502AD5"/>
    <w:rsid w:val="00503B1B"/>
    <w:rsid w:val="005047B8"/>
    <w:rsid w:val="005049C0"/>
    <w:rsid w:val="00504A32"/>
    <w:rsid w:val="00505396"/>
    <w:rsid w:val="00505550"/>
    <w:rsid w:val="00505861"/>
    <w:rsid w:val="005059B4"/>
    <w:rsid w:val="00505D46"/>
    <w:rsid w:val="005069A0"/>
    <w:rsid w:val="00507268"/>
    <w:rsid w:val="00510AEC"/>
    <w:rsid w:val="00510F89"/>
    <w:rsid w:val="00511BBB"/>
    <w:rsid w:val="00512790"/>
    <w:rsid w:val="005127B9"/>
    <w:rsid w:val="005136B1"/>
    <w:rsid w:val="00515C34"/>
    <w:rsid w:val="00515CC6"/>
    <w:rsid w:val="00515CCC"/>
    <w:rsid w:val="005161D7"/>
    <w:rsid w:val="005166E3"/>
    <w:rsid w:val="00517488"/>
    <w:rsid w:val="005175C9"/>
    <w:rsid w:val="00520D8C"/>
    <w:rsid w:val="0052153B"/>
    <w:rsid w:val="005221DC"/>
    <w:rsid w:val="005229B1"/>
    <w:rsid w:val="00523C8C"/>
    <w:rsid w:val="005248C1"/>
    <w:rsid w:val="00524A87"/>
    <w:rsid w:val="00525FC4"/>
    <w:rsid w:val="005263A3"/>
    <w:rsid w:val="00526A21"/>
    <w:rsid w:val="00527333"/>
    <w:rsid w:val="00527499"/>
    <w:rsid w:val="00530020"/>
    <w:rsid w:val="00530488"/>
    <w:rsid w:val="00530F3D"/>
    <w:rsid w:val="005313F2"/>
    <w:rsid w:val="0053140E"/>
    <w:rsid w:val="005319CD"/>
    <w:rsid w:val="00531BDB"/>
    <w:rsid w:val="00531C27"/>
    <w:rsid w:val="00531D90"/>
    <w:rsid w:val="00532D1C"/>
    <w:rsid w:val="005344F8"/>
    <w:rsid w:val="00534C42"/>
    <w:rsid w:val="0053542D"/>
    <w:rsid w:val="00535851"/>
    <w:rsid w:val="00536017"/>
    <w:rsid w:val="00536E42"/>
    <w:rsid w:val="0053761A"/>
    <w:rsid w:val="00540794"/>
    <w:rsid w:val="005428C2"/>
    <w:rsid w:val="00543077"/>
    <w:rsid w:val="00543BB1"/>
    <w:rsid w:val="00544298"/>
    <w:rsid w:val="00544329"/>
    <w:rsid w:val="00545A10"/>
    <w:rsid w:val="00546401"/>
    <w:rsid w:val="00546464"/>
    <w:rsid w:val="0054671F"/>
    <w:rsid w:val="00547574"/>
    <w:rsid w:val="0054765E"/>
    <w:rsid w:val="005514A4"/>
    <w:rsid w:val="0055198A"/>
    <w:rsid w:val="00551CA7"/>
    <w:rsid w:val="00552559"/>
    <w:rsid w:val="00552571"/>
    <w:rsid w:val="0055269A"/>
    <w:rsid w:val="00552AFF"/>
    <w:rsid w:val="00552B4C"/>
    <w:rsid w:val="0055381B"/>
    <w:rsid w:val="00553B49"/>
    <w:rsid w:val="005559F5"/>
    <w:rsid w:val="00556941"/>
    <w:rsid w:val="00556BD4"/>
    <w:rsid w:val="00556E9C"/>
    <w:rsid w:val="0055721B"/>
    <w:rsid w:val="00557341"/>
    <w:rsid w:val="005577C2"/>
    <w:rsid w:val="00557B17"/>
    <w:rsid w:val="00557D3B"/>
    <w:rsid w:val="00560D3F"/>
    <w:rsid w:val="00560DB3"/>
    <w:rsid w:val="00561F2D"/>
    <w:rsid w:val="00562302"/>
    <w:rsid w:val="00562907"/>
    <w:rsid w:val="00562FE7"/>
    <w:rsid w:val="00563CBD"/>
    <w:rsid w:val="005640CE"/>
    <w:rsid w:val="00565307"/>
    <w:rsid w:val="00565C71"/>
    <w:rsid w:val="00566DA9"/>
    <w:rsid w:val="00567152"/>
    <w:rsid w:val="00567268"/>
    <w:rsid w:val="005702DF"/>
    <w:rsid w:val="00570CD4"/>
    <w:rsid w:val="0057101C"/>
    <w:rsid w:val="00571B0A"/>
    <w:rsid w:val="00571DE2"/>
    <w:rsid w:val="00573ABB"/>
    <w:rsid w:val="00575982"/>
    <w:rsid w:val="00576E40"/>
    <w:rsid w:val="00577C32"/>
    <w:rsid w:val="00577D56"/>
    <w:rsid w:val="00577E01"/>
    <w:rsid w:val="00577FF3"/>
    <w:rsid w:val="00580B43"/>
    <w:rsid w:val="00580C17"/>
    <w:rsid w:val="0058254B"/>
    <w:rsid w:val="0058282D"/>
    <w:rsid w:val="005837F3"/>
    <w:rsid w:val="00584490"/>
    <w:rsid w:val="00584E09"/>
    <w:rsid w:val="0058552A"/>
    <w:rsid w:val="00585974"/>
    <w:rsid w:val="005860B2"/>
    <w:rsid w:val="0058627B"/>
    <w:rsid w:val="00586DC6"/>
    <w:rsid w:val="005870E5"/>
    <w:rsid w:val="0058769A"/>
    <w:rsid w:val="005909D2"/>
    <w:rsid w:val="00590D4F"/>
    <w:rsid w:val="00591011"/>
    <w:rsid w:val="005917A5"/>
    <w:rsid w:val="00592AFF"/>
    <w:rsid w:val="00593303"/>
    <w:rsid w:val="00593B14"/>
    <w:rsid w:val="00593D40"/>
    <w:rsid w:val="00593E86"/>
    <w:rsid w:val="005943EF"/>
    <w:rsid w:val="00595A1D"/>
    <w:rsid w:val="00595CA3"/>
    <w:rsid w:val="00595CCA"/>
    <w:rsid w:val="00595FC1"/>
    <w:rsid w:val="005960B1"/>
    <w:rsid w:val="00596C85"/>
    <w:rsid w:val="00597013"/>
    <w:rsid w:val="00597962"/>
    <w:rsid w:val="00597CF5"/>
    <w:rsid w:val="005A0210"/>
    <w:rsid w:val="005A0576"/>
    <w:rsid w:val="005A0B83"/>
    <w:rsid w:val="005A120C"/>
    <w:rsid w:val="005A16EF"/>
    <w:rsid w:val="005A19FA"/>
    <w:rsid w:val="005A1DF0"/>
    <w:rsid w:val="005A3DAF"/>
    <w:rsid w:val="005A46EF"/>
    <w:rsid w:val="005A48F2"/>
    <w:rsid w:val="005A4AAE"/>
    <w:rsid w:val="005A6E83"/>
    <w:rsid w:val="005A71FB"/>
    <w:rsid w:val="005A7715"/>
    <w:rsid w:val="005B0207"/>
    <w:rsid w:val="005B0E69"/>
    <w:rsid w:val="005B1BAD"/>
    <w:rsid w:val="005B24C1"/>
    <w:rsid w:val="005B25E9"/>
    <w:rsid w:val="005B5003"/>
    <w:rsid w:val="005B5A15"/>
    <w:rsid w:val="005B642F"/>
    <w:rsid w:val="005B652A"/>
    <w:rsid w:val="005B714D"/>
    <w:rsid w:val="005B72FA"/>
    <w:rsid w:val="005B7D2E"/>
    <w:rsid w:val="005C0BFA"/>
    <w:rsid w:val="005C1282"/>
    <w:rsid w:val="005C12CF"/>
    <w:rsid w:val="005C13A6"/>
    <w:rsid w:val="005C2113"/>
    <w:rsid w:val="005C2115"/>
    <w:rsid w:val="005C224D"/>
    <w:rsid w:val="005C225D"/>
    <w:rsid w:val="005C2A56"/>
    <w:rsid w:val="005C2BEB"/>
    <w:rsid w:val="005C3073"/>
    <w:rsid w:val="005C3512"/>
    <w:rsid w:val="005C3DD7"/>
    <w:rsid w:val="005C4A69"/>
    <w:rsid w:val="005C4F6F"/>
    <w:rsid w:val="005C5F01"/>
    <w:rsid w:val="005C6294"/>
    <w:rsid w:val="005C64D5"/>
    <w:rsid w:val="005C6A12"/>
    <w:rsid w:val="005C7D53"/>
    <w:rsid w:val="005D2050"/>
    <w:rsid w:val="005D225D"/>
    <w:rsid w:val="005D24A5"/>
    <w:rsid w:val="005D2A05"/>
    <w:rsid w:val="005D2C91"/>
    <w:rsid w:val="005D346F"/>
    <w:rsid w:val="005D4707"/>
    <w:rsid w:val="005D4A4B"/>
    <w:rsid w:val="005D547D"/>
    <w:rsid w:val="005D5603"/>
    <w:rsid w:val="005D659C"/>
    <w:rsid w:val="005D6898"/>
    <w:rsid w:val="005D7877"/>
    <w:rsid w:val="005E0B08"/>
    <w:rsid w:val="005E1569"/>
    <w:rsid w:val="005E196A"/>
    <w:rsid w:val="005E2DFE"/>
    <w:rsid w:val="005E3AB5"/>
    <w:rsid w:val="005E4AA4"/>
    <w:rsid w:val="005E4E52"/>
    <w:rsid w:val="005E504C"/>
    <w:rsid w:val="005E582F"/>
    <w:rsid w:val="005E5E17"/>
    <w:rsid w:val="005E627D"/>
    <w:rsid w:val="005E62D4"/>
    <w:rsid w:val="005E6EC8"/>
    <w:rsid w:val="005E7234"/>
    <w:rsid w:val="005E73CD"/>
    <w:rsid w:val="005E74BB"/>
    <w:rsid w:val="005F0032"/>
    <w:rsid w:val="005F03F8"/>
    <w:rsid w:val="005F1575"/>
    <w:rsid w:val="005F15B4"/>
    <w:rsid w:val="005F2A0B"/>
    <w:rsid w:val="005F2B23"/>
    <w:rsid w:val="005F2D0A"/>
    <w:rsid w:val="005F31D3"/>
    <w:rsid w:val="005F4394"/>
    <w:rsid w:val="005F44D5"/>
    <w:rsid w:val="005F4579"/>
    <w:rsid w:val="005F5338"/>
    <w:rsid w:val="005F5B74"/>
    <w:rsid w:val="005F5F57"/>
    <w:rsid w:val="005F6B7F"/>
    <w:rsid w:val="00600072"/>
    <w:rsid w:val="00601ADC"/>
    <w:rsid w:val="006021E8"/>
    <w:rsid w:val="006022FC"/>
    <w:rsid w:val="00602A5A"/>
    <w:rsid w:val="00603260"/>
    <w:rsid w:val="006038E9"/>
    <w:rsid w:val="00603EE7"/>
    <w:rsid w:val="006054D8"/>
    <w:rsid w:val="00605C1A"/>
    <w:rsid w:val="00606B4D"/>
    <w:rsid w:val="00607287"/>
    <w:rsid w:val="00610541"/>
    <w:rsid w:val="0061124A"/>
    <w:rsid w:val="00612240"/>
    <w:rsid w:val="00612426"/>
    <w:rsid w:val="00612AB3"/>
    <w:rsid w:val="00613816"/>
    <w:rsid w:val="00613D3E"/>
    <w:rsid w:val="00613E79"/>
    <w:rsid w:val="00614575"/>
    <w:rsid w:val="006149A5"/>
    <w:rsid w:val="00614E86"/>
    <w:rsid w:val="00614F6F"/>
    <w:rsid w:val="00617046"/>
    <w:rsid w:val="0061713D"/>
    <w:rsid w:val="00617327"/>
    <w:rsid w:val="006174CD"/>
    <w:rsid w:val="00617799"/>
    <w:rsid w:val="006203AA"/>
    <w:rsid w:val="006208DE"/>
    <w:rsid w:val="00620A2C"/>
    <w:rsid w:val="00621256"/>
    <w:rsid w:val="006212EA"/>
    <w:rsid w:val="00621AB7"/>
    <w:rsid w:val="00622B9C"/>
    <w:rsid w:val="00622E09"/>
    <w:rsid w:val="0062384A"/>
    <w:rsid w:val="00624FD7"/>
    <w:rsid w:val="00625BA5"/>
    <w:rsid w:val="006268ED"/>
    <w:rsid w:val="0062696E"/>
    <w:rsid w:val="00627F43"/>
    <w:rsid w:val="00630F08"/>
    <w:rsid w:val="0063101D"/>
    <w:rsid w:val="006324E7"/>
    <w:rsid w:val="0063280C"/>
    <w:rsid w:val="00632B8C"/>
    <w:rsid w:val="00634A0D"/>
    <w:rsid w:val="00634D60"/>
    <w:rsid w:val="00634E16"/>
    <w:rsid w:val="00635318"/>
    <w:rsid w:val="006358DB"/>
    <w:rsid w:val="00635E71"/>
    <w:rsid w:val="006363DC"/>
    <w:rsid w:val="00636DCE"/>
    <w:rsid w:val="0063702A"/>
    <w:rsid w:val="006378C6"/>
    <w:rsid w:val="00637BA6"/>
    <w:rsid w:val="0064010E"/>
    <w:rsid w:val="006405CA"/>
    <w:rsid w:val="00641D3A"/>
    <w:rsid w:val="0064225C"/>
    <w:rsid w:val="00642DE1"/>
    <w:rsid w:val="00642F53"/>
    <w:rsid w:val="00644036"/>
    <w:rsid w:val="006457CA"/>
    <w:rsid w:val="00647017"/>
    <w:rsid w:val="00647242"/>
    <w:rsid w:val="006474C9"/>
    <w:rsid w:val="00650926"/>
    <w:rsid w:val="00650A0B"/>
    <w:rsid w:val="0065147B"/>
    <w:rsid w:val="00651AFA"/>
    <w:rsid w:val="00653330"/>
    <w:rsid w:val="006536A4"/>
    <w:rsid w:val="00654C92"/>
    <w:rsid w:val="00655308"/>
    <w:rsid w:val="0065677A"/>
    <w:rsid w:val="00657127"/>
    <w:rsid w:val="006578E6"/>
    <w:rsid w:val="00657BFF"/>
    <w:rsid w:val="00657F30"/>
    <w:rsid w:val="00660807"/>
    <w:rsid w:val="0066100C"/>
    <w:rsid w:val="00661C79"/>
    <w:rsid w:val="0066282D"/>
    <w:rsid w:val="0066291B"/>
    <w:rsid w:val="0066477C"/>
    <w:rsid w:val="0066511E"/>
    <w:rsid w:val="0066539E"/>
    <w:rsid w:val="00665DF1"/>
    <w:rsid w:val="00666BBF"/>
    <w:rsid w:val="00667D5D"/>
    <w:rsid w:val="006701FF"/>
    <w:rsid w:val="00670445"/>
    <w:rsid w:val="0067119B"/>
    <w:rsid w:val="006711CA"/>
    <w:rsid w:val="00671262"/>
    <w:rsid w:val="0067171F"/>
    <w:rsid w:val="0067189A"/>
    <w:rsid w:val="006719FB"/>
    <w:rsid w:val="00671A06"/>
    <w:rsid w:val="0067264C"/>
    <w:rsid w:val="00672D4F"/>
    <w:rsid w:val="00673302"/>
    <w:rsid w:val="006735C8"/>
    <w:rsid w:val="00674D93"/>
    <w:rsid w:val="006753EF"/>
    <w:rsid w:val="006755D2"/>
    <w:rsid w:val="006763B5"/>
    <w:rsid w:val="00676AE8"/>
    <w:rsid w:val="00676EC0"/>
    <w:rsid w:val="00676EF9"/>
    <w:rsid w:val="006773D3"/>
    <w:rsid w:val="00677716"/>
    <w:rsid w:val="00680D54"/>
    <w:rsid w:val="00680E95"/>
    <w:rsid w:val="00682F6F"/>
    <w:rsid w:val="0068459C"/>
    <w:rsid w:val="00684829"/>
    <w:rsid w:val="00684BCB"/>
    <w:rsid w:val="006853D0"/>
    <w:rsid w:val="006853FD"/>
    <w:rsid w:val="00685890"/>
    <w:rsid w:val="00685EC6"/>
    <w:rsid w:val="00686263"/>
    <w:rsid w:val="00686DC6"/>
    <w:rsid w:val="00687F59"/>
    <w:rsid w:val="006905B4"/>
    <w:rsid w:val="0069075E"/>
    <w:rsid w:val="00691F2D"/>
    <w:rsid w:val="00692131"/>
    <w:rsid w:val="006926B6"/>
    <w:rsid w:val="006928F3"/>
    <w:rsid w:val="00695933"/>
    <w:rsid w:val="00695C69"/>
    <w:rsid w:val="00696018"/>
    <w:rsid w:val="00696CD1"/>
    <w:rsid w:val="0069755F"/>
    <w:rsid w:val="00697F06"/>
    <w:rsid w:val="006A0693"/>
    <w:rsid w:val="006A0BDC"/>
    <w:rsid w:val="006A0CFC"/>
    <w:rsid w:val="006A0D23"/>
    <w:rsid w:val="006A1382"/>
    <w:rsid w:val="006A2147"/>
    <w:rsid w:val="006A2447"/>
    <w:rsid w:val="006A34E2"/>
    <w:rsid w:val="006A3680"/>
    <w:rsid w:val="006A3A1D"/>
    <w:rsid w:val="006A3E01"/>
    <w:rsid w:val="006A47BE"/>
    <w:rsid w:val="006A51FD"/>
    <w:rsid w:val="006A559E"/>
    <w:rsid w:val="006A5A53"/>
    <w:rsid w:val="006A5B9D"/>
    <w:rsid w:val="006A5C73"/>
    <w:rsid w:val="006A77C1"/>
    <w:rsid w:val="006B043D"/>
    <w:rsid w:val="006B045D"/>
    <w:rsid w:val="006B0D1E"/>
    <w:rsid w:val="006B0F53"/>
    <w:rsid w:val="006B0FF9"/>
    <w:rsid w:val="006B1447"/>
    <w:rsid w:val="006B2845"/>
    <w:rsid w:val="006B2848"/>
    <w:rsid w:val="006B2B48"/>
    <w:rsid w:val="006B3440"/>
    <w:rsid w:val="006B3557"/>
    <w:rsid w:val="006B38D7"/>
    <w:rsid w:val="006B3B62"/>
    <w:rsid w:val="006B3F61"/>
    <w:rsid w:val="006B6B8C"/>
    <w:rsid w:val="006B79E9"/>
    <w:rsid w:val="006C0281"/>
    <w:rsid w:val="006C0BBB"/>
    <w:rsid w:val="006C0D87"/>
    <w:rsid w:val="006C11F4"/>
    <w:rsid w:val="006C13C8"/>
    <w:rsid w:val="006C1D0B"/>
    <w:rsid w:val="006C1E11"/>
    <w:rsid w:val="006C2773"/>
    <w:rsid w:val="006C3FE3"/>
    <w:rsid w:val="006C403D"/>
    <w:rsid w:val="006C423C"/>
    <w:rsid w:val="006C580C"/>
    <w:rsid w:val="006C594B"/>
    <w:rsid w:val="006C6ADA"/>
    <w:rsid w:val="006C7084"/>
    <w:rsid w:val="006C71B3"/>
    <w:rsid w:val="006C7C8E"/>
    <w:rsid w:val="006D07D2"/>
    <w:rsid w:val="006D18AA"/>
    <w:rsid w:val="006D1AF2"/>
    <w:rsid w:val="006D228A"/>
    <w:rsid w:val="006D2795"/>
    <w:rsid w:val="006D2F6D"/>
    <w:rsid w:val="006D3D74"/>
    <w:rsid w:val="006D4800"/>
    <w:rsid w:val="006D515E"/>
    <w:rsid w:val="006D52C2"/>
    <w:rsid w:val="006D54A6"/>
    <w:rsid w:val="006D5C0A"/>
    <w:rsid w:val="006D5D3C"/>
    <w:rsid w:val="006D60A0"/>
    <w:rsid w:val="006D67F8"/>
    <w:rsid w:val="006D6D44"/>
    <w:rsid w:val="006D704E"/>
    <w:rsid w:val="006D7789"/>
    <w:rsid w:val="006D78B1"/>
    <w:rsid w:val="006E0D30"/>
    <w:rsid w:val="006E16D2"/>
    <w:rsid w:val="006E3505"/>
    <w:rsid w:val="006E3CD4"/>
    <w:rsid w:val="006E43DF"/>
    <w:rsid w:val="006E43F9"/>
    <w:rsid w:val="006E4BC6"/>
    <w:rsid w:val="006E4DAC"/>
    <w:rsid w:val="006E503C"/>
    <w:rsid w:val="006E6042"/>
    <w:rsid w:val="006E6FE9"/>
    <w:rsid w:val="006F1D99"/>
    <w:rsid w:val="006F1ED0"/>
    <w:rsid w:val="006F1FBA"/>
    <w:rsid w:val="006F2899"/>
    <w:rsid w:val="006F2D86"/>
    <w:rsid w:val="006F3A88"/>
    <w:rsid w:val="006F47A1"/>
    <w:rsid w:val="006F5BB2"/>
    <w:rsid w:val="006F6755"/>
    <w:rsid w:val="006F6A29"/>
    <w:rsid w:val="006F7500"/>
    <w:rsid w:val="006F783F"/>
    <w:rsid w:val="00700DF8"/>
    <w:rsid w:val="00700DFC"/>
    <w:rsid w:val="00700F0F"/>
    <w:rsid w:val="007015C0"/>
    <w:rsid w:val="00701BD2"/>
    <w:rsid w:val="00701D0E"/>
    <w:rsid w:val="00701D68"/>
    <w:rsid w:val="00702035"/>
    <w:rsid w:val="00702B62"/>
    <w:rsid w:val="00704B2C"/>
    <w:rsid w:val="007051FC"/>
    <w:rsid w:val="007057C5"/>
    <w:rsid w:val="007071F1"/>
    <w:rsid w:val="00707622"/>
    <w:rsid w:val="007101E9"/>
    <w:rsid w:val="007106D8"/>
    <w:rsid w:val="00711077"/>
    <w:rsid w:val="007131A8"/>
    <w:rsid w:val="00713B99"/>
    <w:rsid w:val="00713DB0"/>
    <w:rsid w:val="00713DD3"/>
    <w:rsid w:val="00713F15"/>
    <w:rsid w:val="00715B6F"/>
    <w:rsid w:val="007174E1"/>
    <w:rsid w:val="007177DD"/>
    <w:rsid w:val="00717F74"/>
    <w:rsid w:val="00720934"/>
    <w:rsid w:val="007213FA"/>
    <w:rsid w:val="00721B91"/>
    <w:rsid w:val="00721F8D"/>
    <w:rsid w:val="007229B5"/>
    <w:rsid w:val="007230FA"/>
    <w:rsid w:val="0072398A"/>
    <w:rsid w:val="00723B1C"/>
    <w:rsid w:val="00724E96"/>
    <w:rsid w:val="00725AC5"/>
    <w:rsid w:val="00726A2F"/>
    <w:rsid w:val="00726AC8"/>
    <w:rsid w:val="00727583"/>
    <w:rsid w:val="007275A4"/>
    <w:rsid w:val="00727BE8"/>
    <w:rsid w:val="0073014F"/>
    <w:rsid w:val="007318AF"/>
    <w:rsid w:val="00731A7F"/>
    <w:rsid w:val="00731C1D"/>
    <w:rsid w:val="007333BA"/>
    <w:rsid w:val="00734F82"/>
    <w:rsid w:val="00735391"/>
    <w:rsid w:val="00735796"/>
    <w:rsid w:val="00735D52"/>
    <w:rsid w:val="00736338"/>
    <w:rsid w:val="00736990"/>
    <w:rsid w:val="00736B5F"/>
    <w:rsid w:val="0073722C"/>
    <w:rsid w:val="007374CF"/>
    <w:rsid w:val="007374F8"/>
    <w:rsid w:val="00741349"/>
    <w:rsid w:val="0074173C"/>
    <w:rsid w:val="0074223E"/>
    <w:rsid w:val="007427DC"/>
    <w:rsid w:val="007428EB"/>
    <w:rsid w:val="007442E0"/>
    <w:rsid w:val="00745494"/>
    <w:rsid w:val="0074682E"/>
    <w:rsid w:val="0074687E"/>
    <w:rsid w:val="00747042"/>
    <w:rsid w:val="007476C5"/>
    <w:rsid w:val="00747C77"/>
    <w:rsid w:val="00747FCA"/>
    <w:rsid w:val="0075031D"/>
    <w:rsid w:val="007522F6"/>
    <w:rsid w:val="00752BDF"/>
    <w:rsid w:val="007537C9"/>
    <w:rsid w:val="00753C56"/>
    <w:rsid w:val="0075436B"/>
    <w:rsid w:val="0075560B"/>
    <w:rsid w:val="00756A9D"/>
    <w:rsid w:val="00756C97"/>
    <w:rsid w:val="00756E67"/>
    <w:rsid w:val="007572DB"/>
    <w:rsid w:val="0075750C"/>
    <w:rsid w:val="00760192"/>
    <w:rsid w:val="007608A4"/>
    <w:rsid w:val="00761396"/>
    <w:rsid w:val="007616FC"/>
    <w:rsid w:val="00762F2D"/>
    <w:rsid w:val="00764E20"/>
    <w:rsid w:val="007651B1"/>
    <w:rsid w:val="00765852"/>
    <w:rsid w:val="0076619B"/>
    <w:rsid w:val="007671D7"/>
    <w:rsid w:val="007700CE"/>
    <w:rsid w:val="007702B2"/>
    <w:rsid w:val="007723D2"/>
    <w:rsid w:val="00773A97"/>
    <w:rsid w:val="00773FC0"/>
    <w:rsid w:val="00774AED"/>
    <w:rsid w:val="00774C4C"/>
    <w:rsid w:val="007751AC"/>
    <w:rsid w:val="00775EAB"/>
    <w:rsid w:val="007760C6"/>
    <w:rsid w:val="0077650D"/>
    <w:rsid w:val="007768C5"/>
    <w:rsid w:val="007768D3"/>
    <w:rsid w:val="00776EE9"/>
    <w:rsid w:val="0077719C"/>
    <w:rsid w:val="00780045"/>
    <w:rsid w:val="00780332"/>
    <w:rsid w:val="00780CA2"/>
    <w:rsid w:val="0078122E"/>
    <w:rsid w:val="00781B66"/>
    <w:rsid w:val="00781EBE"/>
    <w:rsid w:val="00783A14"/>
    <w:rsid w:val="00783BA4"/>
    <w:rsid w:val="00784A76"/>
    <w:rsid w:val="00784CDF"/>
    <w:rsid w:val="0078580E"/>
    <w:rsid w:val="007859B4"/>
    <w:rsid w:val="00785F37"/>
    <w:rsid w:val="00786484"/>
    <w:rsid w:val="00786A30"/>
    <w:rsid w:val="007900BF"/>
    <w:rsid w:val="007904CD"/>
    <w:rsid w:val="00791963"/>
    <w:rsid w:val="00791B59"/>
    <w:rsid w:val="00793567"/>
    <w:rsid w:val="00793F8B"/>
    <w:rsid w:val="00794128"/>
    <w:rsid w:val="007944A2"/>
    <w:rsid w:val="00794627"/>
    <w:rsid w:val="007949C7"/>
    <w:rsid w:val="00794A81"/>
    <w:rsid w:val="00794BCC"/>
    <w:rsid w:val="007954C8"/>
    <w:rsid w:val="00796659"/>
    <w:rsid w:val="0079729C"/>
    <w:rsid w:val="007A0059"/>
    <w:rsid w:val="007A03BA"/>
    <w:rsid w:val="007A092C"/>
    <w:rsid w:val="007A0E98"/>
    <w:rsid w:val="007A1927"/>
    <w:rsid w:val="007A30CA"/>
    <w:rsid w:val="007A3856"/>
    <w:rsid w:val="007A3951"/>
    <w:rsid w:val="007A46CA"/>
    <w:rsid w:val="007A49E0"/>
    <w:rsid w:val="007A4FA6"/>
    <w:rsid w:val="007A5830"/>
    <w:rsid w:val="007A6657"/>
    <w:rsid w:val="007A6B72"/>
    <w:rsid w:val="007B0A3F"/>
    <w:rsid w:val="007B0CBF"/>
    <w:rsid w:val="007B0DA7"/>
    <w:rsid w:val="007B1AF7"/>
    <w:rsid w:val="007B3F15"/>
    <w:rsid w:val="007B42C5"/>
    <w:rsid w:val="007B4420"/>
    <w:rsid w:val="007B4CFA"/>
    <w:rsid w:val="007B5217"/>
    <w:rsid w:val="007B566E"/>
    <w:rsid w:val="007B5785"/>
    <w:rsid w:val="007B6B7A"/>
    <w:rsid w:val="007B7FCE"/>
    <w:rsid w:val="007C04EC"/>
    <w:rsid w:val="007C0577"/>
    <w:rsid w:val="007C0B6F"/>
    <w:rsid w:val="007C1111"/>
    <w:rsid w:val="007C1955"/>
    <w:rsid w:val="007C2292"/>
    <w:rsid w:val="007C280B"/>
    <w:rsid w:val="007C2859"/>
    <w:rsid w:val="007C39CA"/>
    <w:rsid w:val="007C5EB9"/>
    <w:rsid w:val="007C728F"/>
    <w:rsid w:val="007D1245"/>
    <w:rsid w:val="007D22A8"/>
    <w:rsid w:val="007D248C"/>
    <w:rsid w:val="007D3F3C"/>
    <w:rsid w:val="007D424F"/>
    <w:rsid w:val="007D4A03"/>
    <w:rsid w:val="007D4AA8"/>
    <w:rsid w:val="007D6D48"/>
    <w:rsid w:val="007D73B3"/>
    <w:rsid w:val="007E081F"/>
    <w:rsid w:val="007E291A"/>
    <w:rsid w:val="007E34D2"/>
    <w:rsid w:val="007E552F"/>
    <w:rsid w:val="007E6D96"/>
    <w:rsid w:val="007E6E93"/>
    <w:rsid w:val="007F1592"/>
    <w:rsid w:val="007F2485"/>
    <w:rsid w:val="007F25B2"/>
    <w:rsid w:val="007F2B95"/>
    <w:rsid w:val="007F2EF9"/>
    <w:rsid w:val="007F325E"/>
    <w:rsid w:val="007F3A7D"/>
    <w:rsid w:val="007F3CEB"/>
    <w:rsid w:val="007F437D"/>
    <w:rsid w:val="007F4671"/>
    <w:rsid w:val="007F5192"/>
    <w:rsid w:val="007F601E"/>
    <w:rsid w:val="007F61AC"/>
    <w:rsid w:val="007F6855"/>
    <w:rsid w:val="007F7930"/>
    <w:rsid w:val="0080013D"/>
    <w:rsid w:val="008009E5"/>
    <w:rsid w:val="00800BBF"/>
    <w:rsid w:val="00800D2B"/>
    <w:rsid w:val="00800DF6"/>
    <w:rsid w:val="0080145E"/>
    <w:rsid w:val="008017B7"/>
    <w:rsid w:val="00801DD5"/>
    <w:rsid w:val="00802B64"/>
    <w:rsid w:val="0080348F"/>
    <w:rsid w:val="0080361B"/>
    <w:rsid w:val="00803DD4"/>
    <w:rsid w:val="00803F0D"/>
    <w:rsid w:val="00805DE2"/>
    <w:rsid w:val="00805E15"/>
    <w:rsid w:val="00805E17"/>
    <w:rsid w:val="008066C6"/>
    <w:rsid w:val="00806839"/>
    <w:rsid w:val="00806927"/>
    <w:rsid w:val="00806F39"/>
    <w:rsid w:val="008073BE"/>
    <w:rsid w:val="00807C28"/>
    <w:rsid w:val="00807D40"/>
    <w:rsid w:val="008104EE"/>
    <w:rsid w:val="00810A6C"/>
    <w:rsid w:val="00810A76"/>
    <w:rsid w:val="00810D5A"/>
    <w:rsid w:val="008118E6"/>
    <w:rsid w:val="00812408"/>
    <w:rsid w:val="008129CA"/>
    <w:rsid w:val="0081371D"/>
    <w:rsid w:val="00814D2E"/>
    <w:rsid w:val="00815B60"/>
    <w:rsid w:val="0081611B"/>
    <w:rsid w:val="00816820"/>
    <w:rsid w:val="0081682A"/>
    <w:rsid w:val="00816A33"/>
    <w:rsid w:val="00816B41"/>
    <w:rsid w:val="00817727"/>
    <w:rsid w:val="00817FC4"/>
    <w:rsid w:val="00820F4E"/>
    <w:rsid w:val="0082135C"/>
    <w:rsid w:val="008214D5"/>
    <w:rsid w:val="0082172F"/>
    <w:rsid w:val="00821986"/>
    <w:rsid w:val="00821FA8"/>
    <w:rsid w:val="008225A8"/>
    <w:rsid w:val="0082287E"/>
    <w:rsid w:val="00822A0D"/>
    <w:rsid w:val="00824471"/>
    <w:rsid w:val="00824B0E"/>
    <w:rsid w:val="008253F4"/>
    <w:rsid w:val="00825806"/>
    <w:rsid w:val="00825B22"/>
    <w:rsid w:val="00826201"/>
    <w:rsid w:val="008264D2"/>
    <w:rsid w:val="00826E21"/>
    <w:rsid w:val="008272C2"/>
    <w:rsid w:val="00827720"/>
    <w:rsid w:val="00830F88"/>
    <w:rsid w:val="00831A08"/>
    <w:rsid w:val="00831C0F"/>
    <w:rsid w:val="00831D2E"/>
    <w:rsid w:val="008320BB"/>
    <w:rsid w:val="0083210F"/>
    <w:rsid w:val="00832660"/>
    <w:rsid w:val="00832CC6"/>
    <w:rsid w:val="008334A7"/>
    <w:rsid w:val="00833642"/>
    <w:rsid w:val="00833736"/>
    <w:rsid w:val="00833A36"/>
    <w:rsid w:val="008350D7"/>
    <w:rsid w:val="00836055"/>
    <w:rsid w:val="008363DD"/>
    <w:rsid w:val="008366CA"/>
    <w:rsid w:val="00836CEB"/>
    <w:rsid w:val="00837063"/>
    <w:rsid w:val="00837174"/>
    <w:rsid w:val="008376C4"/>
    <w:rsid w:val="0083780E"/>
    <w:rsid w:val="008403DD"/>
    <w:rsid w:val="0084143C"/>
    <w:rsid w:val="00841561"/>
    <w:rsid w:val="0084242A"/>
    <w:rsid w:val="0084286E"/>
    <w:rsid w:val="008431F2"/>
    <w:rsid w:val="00843511"/>
    <w:rsid w:val="00844267"/>
    <w:rsid w:val="00844635"/>
    <w:rsid w:val="00844BFB"/>
    <w:rsid w:val="00845C02"/>
    <w:rsid w:val="00845D2F"/>
    <w:rsid w:val="00846547"/>
    <w:rsid w:val="00847151"/>
    <w:rsid w:val="008475A5"/>
    <w:rsid w:val="008500EE"/>
    <w:rsid w:val="0085066A"/>
    <w:rsid w:val="00850F80"/>
    <w:rsid w:val="00851090"/>
    <w:rsid w:val="00851AAF"/>
    <w:rsid w:val="008521A8"/>
    <w:rsid w:val="008524CB"/>
    <w:rsid w:val="00852ACB"/>
    <w:rsid w:val="00852C09"/>
    <w:rsid w:val="008534FC"/>
    <w:rsid w:val="00853EDE"/>
    <w:rsid w:val="00854532"/>
    <w:rsid w:val="00854671"/>
    <w:rsid w:val="0085471C"/>
    <w:rsid w:val="00854E32"/>
    <w:rsid w:val="00855012"/>
    <w:rsid w:val="00855C10"/>
    <w:rsid w:val="00855F3D"/>
    <w:rsid w:val="008562AC"/>
    <w:rsid w:val="00857263"/>
    <w:rsid w:val="008604D2"/>
    <w:rsid w:val="0086087D"/>
    <w:rsid w:val="00860D09"/>
    <w:rsid w:val="008612AC"/>
    <w:rsid w:val="00862250"/>
    <w:rsid w:val="008623F5"/>
    <w:rsid w:val="00862B8E"/>
    <w:rsid w:val="00862E56"/>
    <w:rsid w:val="00865509"/>
    <w:rsid w:val="008707E8"/>
    <w:rsid w:val="00870C88"/>
    <w:rsid w:val="00873597"/>
    <w:rsid w:val="008735F1"/>
    <w:rsid w:val="0087364F"/>
    <w:rsid w:val="00873846"/>
    <w:rsid w:val="00874EEB"/>
    <w:rsid w:val="0087501A"/>
    <w:rsid w:val="00875427"/>
    <w:rsid w:val="00876BEA"/>
    <w:rsid w:val="00876F43"/>
    <w:rsid w:val="008776E9"/>
    <w:rsid w:val="00877888"/>
    <w:rsid w:val="00877FE2"/>
    <w:rsid w:val="0088097F"/>
    <w:rsid w:val="00880AE1"/>
    <w:rsid w:val="00880C2C"/>
    <w:rsid w:val="00880CD6"/>
    <w:rsid w:val="00881396"/>
    <w:rsid w:val="00881F57"/>
    <w:rsid w:val="0088213B"/>
    <w:rsid w:val="0088214F"/>
    <w:rsid w:val="0088289C"/>
    <w:rsid w:val="00882937"/>
    <w:rsid w:val="00882F91"/>
    <w:rsid w:val="00883931"/>
    <w:rsid w:val="008844BE"/>
    <w:rsid w:val="008847F5"/>
    <w:rsid w:val="00884FA1"/>
    <w:rsid w:val="00885E4B"/>
    <w:rsid w:val="00887616"/>
    <w:rsid w:val="008917D0"/>
    <w:rsid w:val="00891B5D"/>
    <w:rsid w:val="00891E89"/>
    <w:rsid w:val="008921EE"/>
    <w:rsid w:val="0089348B"/>
    <w:rsid w:val="008934E7"/>
    <w:rsid w:val="00893BAF"/>
    <w:rsid w:val="00894739"/>
    <w:rsid w:val="0089500B"/>
    <w:rsid w:val="00895612"/>
    <w:rsid w:val="00895E34"/>
    <w:rsid w:val="00895E35"/>
    <w:rsid w:val="00895F90"/>
    <w:rsid w:val="00896EFD"/>
    <w:rsid w:val="00897934"/>
    <w:rsid w:val="00897B37"/>
    <w:rsid w:val="008A0082"/>
    <w:rsid w:val="008A04F5"/>
    <w:rsid w:val="008A1494"/>
    <w:rsid w:val="008A14F0"/>
    <w:rsid w:val="008A1E82"/>
    <w:rsid w:val="008A2159"/>
    <w:rsid w:val="008A2F4B"/>
    <w:rsid w:val="008A37BB"/>
    <w:rsid w:val="008A383A"/>
    <w:rsid w:val="008A4013"/>
    <w:rsid w:val="008A4195"/>
    <w:rsid w:val="008A4B39"/>
    <w:rsid w:val="008A50EE"/>
    <w:rsid w:val="008A59B0"/>
    <w:rsid w:val="008A607E"/>
    <w:rsid w:val="008A6499"/>
    <w:rsid w:val="008A69B0"/>
    <w:rsid w:val="008A6EAB"/>
    <w:rsid w:val="008A6EEA"/>
    <w:rsid w:val="008A711F"/>
    <w:rsid w:val="008B04E7"/>
    <w:rsid w:val="008B2669"/>
    <w:rsid w:val="008B30BA"/>
    <w:rsid w:val="008B31C4"/>
    <w:rsid w:val="008B3DCB"/>
    <w:rsid w:val="008B3EF4"/>
    <w:rsid w:val="008B402D"/>
    <w:rsid w:val="008B42FD"/>
    <w:rsid w:val="008B6632"/>
    <w:rsid w:val="008B72C5"/>
    <w:rsid w:val="008B75D4"/>
    <w:rsid w:val="008C140E"/>
    <w:rsid w:val="008C1BD0"/>
    <w:rsid w:val="008C2FAD"/>
    <w:rsid w:val="008C39A1"/>
    <w:rsid w:val="008C3A50"/>
    <w:rsid w:val="008C3C41"/>
    <w:rsid w:val="008C3CF6"/>
    <w:rsid w:val="008C4440"/>
    <w:rsid w:val="008C4DAB"/>
    <w:rsid w:val="008C4FF3"/>
    <w:rsid w:val="008C53A6"/>
    <w:rsid w:val="008C5758"/>
    <w:rsid w:val="008C57E8"/>
    <w:rsid w:val="008C6953"/>
    <w:rsid w:val="008C69B3"/>
    <w:rsid w:val="008C6A1A"/>
    <w:rsid w:val="008C7823"/>
    <w:rsid w:val="008C7AAF"/>
    <w:rsid w:val="008D013F"/>
    <w:rsid w:val="008D0A53"/>
    <w:rsid w:val="008D131D"/>
    <w:rsid w:val="008D1A09"/>
    <w:rsid w:val="008D321F"/>
    <w:rsid w:val="008D3D43"/>
    <w:rsid w:val="008D424F"/>
    <w:rsid w:val="008D443C"/>
    <w:rsid w:val="008D4C0F"/>
    <w:rsid w:val="008D53B4"/>
    <w:rsid w:val="008D5402"/>
    <w:rsid w:val="008D5DEE"/>
    <w:rsid w:val="008D6FD7"/>
    <w:rsid w:val="008D7001"/>
    <w:rsid w:val="008D7104"/>
    <w:rsid w:val="008D71CB"/>
    <w:rsid w:val="008E072E"/>
    <w:rsid w:val="008E0C4B"/>
    <w:rsid w:val="008E0EDA"/>
    <w:rsid w:val="008E1D05"/>
    <w:rsid w:val="008E2940"/>
    <w:rsid w:val="008E3357"/>
    <w:rsid w:val="008E47E5"/>
    <w:rsid w:val="008E4A86"/>
    <w:rsid w:val="008E4D8C"/>
    <w:rsid w:val="008E50BB"/>
    <w:rsid w:val="008F0DF8"/>
    <w:rsid w:val="008F10AF"/>
    <w:rsid w:val="008F3119"/>
    <w:rsid w:val="008F43A1"/>
    <w:rsid w:val="008F5458"/>
    <w:rsid w:val="008F5E1D"/>
    <w:rsid w:val="008F6EA1"/>
    <w:rsid w:val="008F76F8"/>
    <w:rsid w:val="00900246"/>
    <w:rsid w:val="009004D2"/>
    <w:rsid w:val="0090066B"/>
    <w:rsid w:val="0090080A"/>
    <w:rsid w:val="009014A9"/>
    <w:rsid w:val="00901AC8"/>
    <w:rsid w:val="009029AC"/>
    <w:rsid w:val="00903631"/>
    <w:rsid w:val="009046B1"/>
    <w:rsid w:val="009057D0"/>
    <w:rsid w:val="00905A4A"/>
    <w:rsid w:val="00906533"/>
    <w:rsid w:val="00906940"/>
    <w:rsid w:val="00907682"/>
    <w:rsid w:val="00910A7E"/>
    <w:rsid w:val="00911A6B"/>
    <w:rsid w:val="00912D79"/>
    <w:rsid w:val="009137E5"/>
    <w:rsid w:val="00913C83"/>
    <w:rsid w:val="00913ECF"/>
    <w:rsid w:val="0091497A"/>
    <w:rsid w:val="0091610E"/>
    <w:rsid w:val="009163B0"/>
    <w:rsid w:val="00916457"/>
    <w:rsid w:val="00916CD8"/>
    <w:rsid w:val="00917CDE"/>
    <w:rsid w:val="009208DD"/>
    <w:rsid w:val="0092090F"/>
    <w:rsid w:val="0092118F"/>
    <w:rsid w:val="009214ED"/>
    <w:rsid w:val="00921A83"/>
    <w:rsid w:val="00923EA7"/>
    <w:rsid w:val="009241AF"/>
    <w:rsid w:val="00924579"/>
    <w:rsid w:val="00924F29"/>
    <w:rsid w:val="0092568A"/>
    <w:rsid w:val="009263AD"/>
    <w:rsid w:val="00927F86"/>
    <w:rsid w:val="0093059A"/>
    <w:rsid w:val="00931145"/>
    <w:rsid w:val="00931CB5"/>
    <w:rsid w:val="00931D8C"/>
    <w:rsid w:val="0093242B"/>
    <w:rsid w:val="00933478"/>
    <w:rsid w:val="0093362D"/>
    <w:rsid w:val="00933C46"/>
    <w:rsid w:val="00933ECD"/>
    <w:rsid w:val="00933FF0"/>
    <w:rsid w:val="009341FE"/>
    <w:rsid w:val="009345F5"/>
    <w:rsid w:val="00934725"/>
    <w:rsid w:val="009351B5"/>
    <w:rsid w:val="0093542D"/>
    <w:rsid w:val="00935D8F"/>
    <w:rsid w:val="009373C2"/>
    <w:rsid w:val="00937ABD"/>
    <w:rsid w:val="00937D02"/>
    <w:rsid w:val="00940342"/>
    <w:rsid w:val="00940DF0"/>
    <w:rsid w:val="009412CC"/>
    <w:rsid w:val="0094155C"/>
    <w:rsid w:val="009430E7"/>
    <w:rsid w:val="00943883"/>
    <w:rsid w:val="009439B5"/>
    <w:rsid w:val="0094404D"/>
    <w:rsid w:val="00944308"/>
    <w:rsid w:val="0094487C"/>
    <w:rsid w:val="00944BCE"/>
    <w:rsid w:val="009458D0"/>
    <w:rsid w:val="00946B3E"/>
    <w:rsid w:val="00946DD0"/>
    <w:rsid w:val="00947E83"/>
    <w:rsid w:val="00947FC9"/>
    <w:rsid w:val="00950280"/>
    <w:rsid w:val="009502DD"/>
    <w:rsid w:val="00950373"/>
    <w:rsid w:val="009504AF"/>
    <w:rsid w:val="0095069C"/>
    <w:rsid w:val="00951B49"/>
    <w:rsid w:val="0095323E"/>
    <w:rsid w:val="009532CF"/>
    <w:rsid w:val="0095336D"/>
    <w:rsid w:val="00953A23"/>
    <w:rsid w:val="00953DD6"/>
    <w:rsid w:val="00953EB3"/>
    <w:rsid w:val="009542B3"/>
    <w:rsid w:val="00954596"/>
    <w:rsid w:val="009546F4"/>
    <w:rsid w:val="00954F84"/>
    <w:rsid w:val="009551BF"/>
    <w:rsid w:val="0095557E"/>
    <w:rsid w:val="009557EE"/>
    <w:rsid w:val="00956094"/>
    <w:rsid w:val="009565E0"/>
    <w:rsid w:val="00960425"/>
    <w:rsid w:val="00961762"/>
    <w:rsid w:val="00961D76"/>
    <w:rsid w:val="00961F23"/>
    <w:rsid w:val="00962846"/>
    <w:rsid w:val="00962D68"/>
    <w:rsid w:val="00963B59"/>
    <w:rsid w:val="00963DF2"/>
    <w:rsid w:val="0096418F"/>
    <w:rsid w:val="0096502F"/>
    <w:rsid w:val="00966521"/>
    <w:rsid w:val="00966541"/>
    <w:rsid w:val="009665FE"/>
    <w:rsid w:val="009707CD"/>
    <w:rsid w:val="00971D51"/>
    <w:rsid w:val="009736F6"/>
    <w:rsid w:val="00974108"/>
    <w:rsid w:val="0097429D"/>
    <w:rsid w:val="00974749"/>
    <w:rsid w:val="00974B67"/>
    <w:rsid w:val="00974EFB"/>
    <w:rsid w:val="00975DEC"/>
    <w:rsid w:val="00975FE4"/>
    <w:rsid w:val="00976159"/>
    <w:rsid w:val="00976C10"/>
    <w:rsid w:val="00977E55"/>
    <w:rsid w:val="00981160"/>
    <w:rsid w:val="00981641"/>
    <w:rsid w:val="0098189F"/>
    <w:rsid w:val="00981DDB"/>
    <w:rsid w:val="0098362F"/>
    <w:rsid w:val="00983D72"/>
    <w:rsid w:val="00983DA2"/>
    <w:rsid w:val="00983E70"/>
    <w:rsid w:val="009849B4"/>
    <w:rsid w:val="00985FF2"/>
    <w:rsid w:val="00986CFC"/>
    <w:rsid w:val="00990173"/>
    <w:rsid w:val="00990D9D"/>
    <w:rsid w:val="009919A3"/>
    <w:rsid w:val="00991A2A"/>
    <w:rsid w:val="0099213F"/>
    <w:rsid w:val="00992B6B"/>
    <w:rsid w:val="00992D6B"/>
    <w:rsid w:val="009939AC"/>
    <w:rsid w:val="00993DDE"/>
    <w:rsid w:val="00994238"/>
    <w:rsid w:val="00994DD9"/>
    <w:rsid w:val="00996887"/>
    <w:rsid w:val="00996CB1"/>
    <w:rsid w:val="0099741E"/>
    <w:rsid w:val="00997B2F"/>
    <w:rsid w:val="009A0422"/>
    <w:rsid w:val="009A082B"/>
    <w:rsid w:val="009A0FAC"/>
    <w:rsid w:val="009A2559"/>
    <w:rsid w:val="009A2FC6"/>
    <w:rsid w:val="009A3047"/>
    <w:rsid w:val="009A3202"/>
    <w:rsid w:val="009A41F9"/>
    <w:rsid w:val="009A4205"/>
    <w:rsid w:val="009A4AE8"/>
    <w:rsid w:val="009A4C0E"/>
    <w:rsid w:val="009A5011"/>
    <w:rsid w:val="009A51DA"/>
    <w:rsid w:val="009A79E6"/>
    <w:rsid w:val="009B1446"/>
    <w:rsid w:val="009B1764"/>
    <w:rsid w:val="009B17AA"/>
    <w:rsid w:val="009B17E8"/>
    <w:rsid w:val="009B26A0"/>
    <w:rsid w:val="009B2A11"/>
    <w:rsid w:val="009B2CFE"/>
    <w:rsid w:val="009B2D72"/>
    <w:rsid w:val="009B382F"/>
    <w:rsid w:val="009B416A"/>
    <w:rsid w:val="009B494A"/>
    <w:rsid w:val="009B4B56"/>
    <w:rsid w:val="009B51FA"/>
    <w:rsid w:val="009B5E20"/>
    <w:rsid w:val="009B6BE7"/>
    <w:rsid w:val="009C0255"/>
    <w:rsid w:val="009C0895"/>
    <w:rsid w:val="009C0B8D"/>
    <w:rsid w:val="009C17E2"/>
    <w:rsid w:val="009C1822"/>
    <w:rsid w:val="009C46DE"/>
    <w:rsid w:val="009C5D41"/>
    <w:rsid w:val="009C65BE"/>
    <w:rsid w:val="009C7781"/>
    <w:rsid w:val="009C7EFE"/>
    <w:rsid w:val="009D0DAB"/>
    <w:rsid w:val="009D1A9D"/>
    <w:rsid w:val="009D23DA"/>
    <w:rsid w:val="009D25CF"/>
    <w:rsid w:val="009D39CD"/>
    <w:rsid w:val="009D3C4F"/>
    <w:rsid w:val="009D4407"/>
    <w:rsid w:val="009D6592"/>
    <w:rsid w:val="009D73C3"/>
    <w:rsid w:val="009D7999"/>
    <w:rsid w:val="009E0067"/>
    <w:rsid w:val="009E00FE"/>
    <w:rsid w:val="009E049E"/>
    <w:rsid w:val="009E0D1D"/>
    <w:rsid w:val="009E1B98"/>
    <w:rsid w:val="009E2B34"/>
    <w:rsid w:val="009E31DC"/>
    <w:rsid w:val="009E4274"/>
    <w:rsid w:val="009E4929"/>
    <w:rsid w:val="009E63B8"/>
    <w:rsid w:val="009E69FA"/>
    <w:rsid w:val="009F04C7"/>
    <w:rsid w:val="009F16FA"/>
    <w:rsid w:val="009F209A"/>
    <w:rsid w:val="009F2547"/>
    <w:rsid w:val="009F42F8"/>
    <w:rsid w:val="009F64FF"/>
    <w:rsid w:val="009F6990"/>
    <w:rsid w:val="00A0003B"/>
    <w:rsid w:val="00A00BC9"/>
    <w:rsid w:val="00A01330"/>
    <w:rsid w:val="00A018D0"/>
    <w:rsid w:val="00A026EF"/>
    <w:rsid w:val="00A0277B"/>
    <w:rsid w:val="00A03B86"/>
    <w:rsid w:val="00A05897"/>
    <w:rsid w:val="00A05A7B"/>
    <w:rsid w:val="00A06578"/>
    <w:rsid w:val="00A06ED9"/>
    <w:rsid w:val="00A07683"/>
    <w:rsid w:val="00A07761"/>
    <w:rsid w:val="00A07F1F"/>
    <w:rsid w:val="00A10209"/>
    <w:rsid w:val="00A10473"/>
    <w:rsid w:val="00A109AA"/>
    <w:rsid w:val="00A11E1F"/>
    <w:rsid w:val="00A12DF5"/>
    <w:rsid w:val="00A132DA"/>
    <w:rsid w:val="00A139B2"/>
    <w:rsid w:val="00A13C76"/>
    <w:rsid w:val="00A14770"/>
    <w:rsid w:val="00A1527B"/>
    <w:rsid w:val="00A16609"/>
    <w:rsid w:val="00A171E9"/>
    <w:rsid w:val="00A20163"/>
    <w:rsid w:val="00A2048C"/>
    <w:rsid w:val="00A204AD"/>
    <w:rsid w:val="00A211BA"/>
    <w:rsid w:val="00A227C1"/>
    <w:rsid w:val="00A2374B"/>
    <w:rsid w:val="00A238F6"/>
    <w:rsid w:val="00A23BBA"/>
    <w:rsid w:val="00A23CCE"/>
    <w:rsid w:val="00A24131"/>
    <w:rsid w:val="00A24BED"/>
    <w:rsid w:val="00A25C59"/>
    <w:rsid w:val="00A25C8E"/>
    <w:rsid w:val="00A2674B"/>
    <w:rsid w:val="00A31E3A"/>
    <w:rsid w:val="00A32010"/>
    <w:rsid w:val="00A323D1"/>
    <w:rsid w:val="00A3345D"/>
    <w:rsid w:val="00A3435A"/>
    <w:rsid w:val="00A34C57"/>
    <w:rsid w:val="00A35318"/>
    <w:rsid w:val="00A358AC"/>
    <w:rsid w:val="00A37E86"/>
    <w:rsid w:val="00A37EC0"/>
    <w:rsid w:val="00A40583"/>
    <w:rsid w:val="00A40AF7"/>
    <w:rsid w:val="00A41E5A"/>
    <w:rsid w:val="00A426B8"/>
    <w:rsid w:val="00A42F98"/>
    <w:rsid w:val="00A44487"/>
    <w:rsid w:val="00A44550"/>
    <w:rsid w:val="00A44638"/>
    <w:rsid w:val="00A44D38"/>
    <w:rsid w:val="00A457F3"/>
    <w:rsid w:val="00A45970"/>
    <w:rsid w:val="00A47119"/>
    <w:rsid w:val="00A47394"/>
    <w:rsid w:val="00A47955"/>
    <w:rsid w:val="00A51851"/>
    <w:rsid w:val="00A51AD2"/>
    <w:rsid w:val="00A51DF6"/>
    <w:rsid w:val="00A52A3C"/>
    <w:rsid w:val="00A534EF"/>
    <w:rsid w:val="00A53EC1"/>
    <w:rsid w:val="00A5446B"/>
    <w:rsid w:val="00A5452E"/>
    <w:rsid w:val="00A54AA9"/>
    <w:rsid w:val="00A5556F"/>
    <w:rsid w:val="00A55CD6"/>
    <w:rsid w:val="00A565DE"/>
    <w:rsid w:val="00A57295"/>
    <w:rsid w:val="00A57505"/>
    <w:rsid w:val="00A5759F"/>
    <w:rsid w:val="00A57D15"/>
    <w:rsid w:val="00A6104A"/>
    <w:rsid w:val="00A61434"/>
    <w:rsid w:val="00A61ADF"/>
    <w:rsid w:val="00A629D7"/>
    <w:rsid w:val="00A62D08"/>
    <w:rsid w:val="00A6540B"/>
    <w:rsid w:val="00A65E76"/>
    <w:rsid w:val="00A666B8"/>
    <w:rsid w:val="00A66C75"/>
    <w:rsid w:val="00A67528"/>
    <w:rsid w:val="00A70685"/>
    <w:rsid w:val="00A70D0E"/>
    <w:rsid w:val="00A71948"/>
    <w:rsid w:val="00A72430"/>
    <w:rsid w:val="00A7263B"/>
    <w:rsid w:val="00A7282A"/>
    <w:rsid w:val="00A72E15"/>
    <w:rsid w:val="00A737B4"/>
    <w:rsid w:val="00A7474C"/>
    <w:rsid w:val="00A74821"/>
    <w:rsid w:val="00A74D78"/>
    <w:rsid w:val="00A75AE0"/>
    <w:rsid w:val="00A75C61"/>
    <w:rsid w:val="00A75E49"/>
    <w:rsid w:val="00A77183"/>
    <w:rsid w:val="00A8065F"/>
    <w:rsid w:val="00A80976"/>
    <w:rsid w:val="00A841C0"/>
    <w:rsid w:val="00A848E2"/>
    <w:rsid w:val="00A86439"/>
    <w:rsid w:val="00A87387"/>
    <w:rsid w:val="00A87CF5"/>
    <w:rsid w:val="00A87D7A"/>
    <w:rsid w:val="00A90FA3"/>
    <w:rsid w:val="00A917BD"/>
    <w:rsid w:val="00A918AB"/>
    <w:rsid w:val="00A919C1"/>
    <w:rsid w:val="00A91F0A"/>
    <w:rsid w:val="00A92401"/>
    <w:rsid w:val="00A9376A"/>
    <w:rsid w:val="00A93A8F"/>
    <w:rsid w:val="00A943EE"/>
    <w:rsid w:val="00A9462F"/>
    <w:rsid w:val="00A94B27"/>
    <w:rsid w:val="00A950A4"/>
    <w:rsid w:val="00AA042B"/>
    <w:rsid w:val="00AA0953"/>
    <w:rsid w:val="00AA0B81"/>
    <w:rsid w:val="00AA0BE1"/>
    <w:rsid w:val="00AA0FB2"/>
    <w:rsid w:val="00AA1405"/>
    <w:rsid w:val="00AA1A08"/>
    <w:rsid w:val="00AA36B8"/>
    <w:rsid w:val="00AA37BB"/>
    <w:rsid w:val="00AA5AE0"/>
    <w:rsid w:val="00AA65AB"/>
    <w:rsid w:val="00AA7591"/>
    <w:rsid w:val="00AB039C"/>
    <w:rsid w:val="00AB0669"/>
    <w:rsid w:val="00AB08D6"/>
    <w:rsid w:val="00AB0981"/>
    <w:rsid w:val="00AB12F5"/>
    <w:rsid w:val="00AB13A3"/>
    <w:rsid w:val="00AB3F3F"/>
    <w:rsid w:val="00AB4D34"/>
    <w:rsid w:val="00AB5100"/>
    <w:rsid w:val="00AB5260"/>
    <w:rsid w:val="00AB5754"/>
    <w:rsid w:val="00AB5D76"/>
    <w:rsid w:val="00AB5E52"/>
    <w:rsid w:val="00AB6C29"/>
    <w:rsid w:val="00AB6EF4"/>
    <w:rsid w:val="00AB76BB"/>
    <w:rsid w:val="00AB7A82"/>
    <w:rsid w:val="00AC0178"/>
    <w:rsid w:val="00AC1168"/>
    <w:rsid w:val="00AC15A7"/>
    <w:rsid w:val="00AC38EC"/>
    <w:rsid w:val="00AC44D2"/>
    <w:rsid w:val="00AC46BB"/>
    <w:rsid w:val="00AC51BB"/>
    <w:rsid w:val="00AC5C1A"/>
    <w:rsid w:val="00AC6362"/>
    <w:rsid w:val="00AC7297"/>
    <w:rsid w:val="00AC7874"/>
    <w:rsid w:val="00AD1213"/>
    <w:rsid w:val="00AD138C"/>
    <w:rsid w:val="00AD14A2"/>
    <w:rsid w:val="00AD1A45"/>
    <w:rsid w:val="00AD1D9E"/>
    <w:rsid w:val="00AD3BCF"/>
    <w:rsid w:val="00AD3F7E"/>
    <w:rsid w:val="00AD489C"/>
    <w:rsid w:val="00AD58F8"/>
    <w:rsid w:val="00AD6E89"/>
    <w:rsid w:val="00AD7DD3"/>
    <w:rsid w:val="00AE048D"/>
    <w:rsid w:val="00AE13DA"/>
    <w:rsid w:val="00AE17DE"/>
    <w:rsid w:val="00AE1947"/>
    <w:rsid w:val="00AE1DC3"/>
    <w:rsid w:val="00AE2C58"/>
    <w:rsid w:val="00AE2E5C"/>
    <w:rsid w:val="00AE2E97"/>
    <w:rsid w:val="00AE3FC1"/>
    <w:rsid w:val="00AE4A08"/>
    <w:rsid w:val="00AE5656"/>
    <w:rsid w:val="00AE6554"/>
    <w:rsid w:val="00AE7A83"/>
    <w:rsid w:val="00AF1409"/>
    <w:rsid w:val="00AF17F5"/>
    <w:rsid w:val="00AF1AF9"/>
    <w:rsid w:val="00AF1BAD"/>
    <w:rsid w:val="00AF20ED"/>
    <w:rsid w:val="00AF23D1"/>
    <w:rsid w:val="00AF25B7"/>
    <w:rsid w:val="00AF260D"/>
    <w:rsid w:val="00AF34C7"/>
    <w:rsid w:val="00AF4348"/>
    <w:rsid w:val="00AF4421"/>
    <w:rsid w:val="00AF4678"/>
    <w:rsid w:val="00AF4737"/>
    <w:rsid w:val="00AF499B"/>
    <w:rsid w:val="00AF49B0"/>
    <w:rsid w:val="00AF4C9D"/>
    <w:rsid w:val="00AF4D84"/>
    <w:rsid w:val="00AF5223"/>
    <w:rsid w:val="00AF6300"/>
    <w:rsid w:val="00AF6511"/>
    <w:rsid w:val="00AF66C2"/>
    <w:rsid w:val="00AF6868"/>
    <w:rsid w:val="00AF76C8"/>
    <w:rsid w:val="00AF7E34"/>
    <w:rsid w:val="00B003D7"/>
    <w:rsid w:val="00B0041B"/>
    <w:rsid w:val="00B00454"/>
    <w:rsid w:val="00B00D9E"/>
    <w:rsid w:val="00B026AD"/>
    <w:rsid w:val="00B02715"/>
    <w:rsid w:val="00B03519"/>
    <w:rsid w:val="00B03C62"/>
    <w:rsid w:val="00B03DF0"/>
    <w:rsid w:val="00B044B7"/>
    <w:rsid w:val="00B04DD0"/>
    <w:rsid w:val="00B05773"/>
    <w:rsid w:val="00B05AAA"/>
    <w:rsid w:val="00B05C8B"/>
    <w:rsid w:val="00B0610E"/>
    <w:rsid w:val="00B06377"/>
    <w:rsid w:val="00B070A2"/>
    <w:rsid w:val="00B104C6"/>
    <w:rsid w:val="00B109AB"/>
    <w:rsid w:val="00B10DEE"/>
    <w:rsid w:val="00B10FFB"/>
    <w:rsid w:val="00B11505"/>
    <w:rsid w:val="00B11899"/>
    <w:rsid w:val="00B12D93"/>
    <w:rsid w:val="00B131D0"/>
    <w:rsid w:val="00B134BB"/>
    <w:rsid w:val="00B1388E"/>
    <w:rsid w:val="00B13AA6"/>
    <w:rsid w:val="00B149D1"/>
    <w:rsid w:val="00B14DCF"/>
    <w:rsid w:val="00B15877"/>
    <w:rsid w:val="00B15B38"/>
    <w:rsid w:val="00B15F8A"/>
    <w:rsid w:val="00B167E3"/>
    <w:rsid w:val="00B17806"/>
    <w:rsid w:val="00B17909"/>
    <w:rsid w:val="00B20264"/>
    <w:rsid w:val="00B20D2E"/>
    <w:rsid w:val="00B20DBB"/>
    <w:rsid w:val="00B22B87"/>
    <w:rsid w:val="00B22BE8"/>
    <w:rsid w:val="00B22F6F"/>
    <w:rsid w:val="00B23002"/>
    <w:rsid w:val="00B2320C"/>
    <w:rsid w:val="00B250A9"/>
    <w:rsid w:val="00B25DEB"/>
    <w:rsid w:val="00B2617D"/>
    <w:rsid w:val="00B26A9B"/>
    <w:rsid w:val="00B26BF3"/>
    <w:rsid w:val="00B30510"/>
    <w:rsid w:val="00B307CB"/>
    <w:rsid w:val="00B31EDD"/>
    <w:rsid w:val="00B3240F"/>
    <w:rsid w:val="00B3248B"/>
    <w:rsid w:val="00B337B2"/>
    <w:rsid w:val="00B33A6E"/>
    <w:rsid w:val="00B33A8E"/>
    <w:rsid w:val="00B34F0C"/>
    <w:rsid w:val="00B356A9"/>
    <w:rsid w:val="00B36548"/>
    <w:rsid w:val="00B36743"/>
    <w:rsid w:val="00B36AD6"/>
    <w:rsid w:val="00B40264"/>
    <w:rsid w:val="00B40391"/>
    <w:rsid w:val="00B408CF"/>
    <w:rsid w:val="00B409D1"/>
    <w:rsid w:val="00B413DD"/>
    <w:rsid w:val="00B41898"/>
    <w:rsid w:val="00B422C8"/>
    <w:rsid w:val="00B425A5"/>
    <w:rsid w:val="00B42CA4"/>
    <w:rsid w:val="00B43C82"/>
    <w:rsid w:val="00B43E92"/>
    <w:rsid w:val="00B44CE2"/>
    <w:rsid w:val="00B44DED"/>
    <w:rsid w:val="00B453D4"/>
    <w:rsid w:val="00B457BC"/>
    <w:rsid w:val="00B45D5D"/>
    <w:rsid w:val="00B46830"/>
    <w:rsid w:val="00B468D9"/>
    <w:rsid w:val="00B4694E"/>
    <w:rsid w:val="00B46CD6"/>
    <w:rsid w:val="00B47545"/>
    <w:rsid w:val="00B50C6F"/>
    <w:rsid w:val="00B512DD"/>
    <w:rsid w:val="00B513C6"/>
    <w:rsid w:val="00B522F9"/>
    <w:rsid w:val="00B52ADB"/>
    <w:rsid w:val="00B53CF3"/>
    <w:rsid w:val="00B53D53"/>
    <w:rsid w:val="00B54AE0"/>
    <w:rsid w:val="00B579C1"/>
    <w:rsid w:val="00B57A35"/>
    <w:rsid w:val="00B608CF"/>
    <w:rsid w:val="00B61C25"/>
    <w:rsid w:val="00B637A6"/>
    <w:rsid w:val="00B63A31"/>
    <w:rsid w:val="00B64E04"/>
    <w:rsid w:val="00B64FA0"/>
    <w:rsid w:val="00B65664"/>
    <w:rsid w:val="00B66711"/>
    <w:rsid w:val="00B66C03"/>
    <w:rsid w:val="00B66F0F"/>
    <w:rsid w:val="00B67A05"/>
    <w:rsid w:val="00B710C6"/>
    <w:rsid w:val="00B7127D"/>
    <w:rsid w:val="00B71EB2"/>
    <w:rsid w:val="00B72BC2"/>
    <w:rsid w:val="00B73211"/>
    <w:rsid w:val="00B738B9"/>
    <w:rsid w:val="00B738BF"/>
    <w:rsid w:val="00B74B44"/>
    <w:rsid w:val="00B7533B"/>
    <w:rsid w:val="00B7538E"/>
    <w:rsid w:val="00B753A3"/>
    <w:rsid w:val="00B775BF"/>
    <w:rsid w:val="00B80046"/>
    <w:rsid w:val="00B80295"/>
    <w:rsid w:val="00B805C2"/>
    <w:rsid w:val="00B80CE9"/>
    <w:rsid w:val="00B811C1"/>
    <w:rsid w:val="00B814AD"/>
    <w:rsid w:val="00B81915"/>
    <w:rsid w:val="00B82276"/>
    <w:rsid w:val="00B829F1"/>
    <w:rsid w:val="00B8301E"/>
    <w:rsid w:val="00B839BE"/>
    <w:rsid w:val="00B841D7"/>
    <w:rsid w:val="00B847E6"/>
    <w:rsid w:val="00B84975"/>
    <w:rsid w:val="00B84B3B"/>
    <w:rsid w:val="00B84B46"/>
    <w:rsid w:val="00B855ED"/>
    <w:rsid w:val="00B8568F"/>
    <w:rsid w:val="00B86D63"/>
    <w:rsid w:val="00B87F9C"/>
    <w:rsid w:val="00B902F4"/>
    <w:rsid w:val="00B90316"/>
    <w:rsid w:val="00B90FCD"/>
    <w:rsid w:val="00B917B8"/>
    <w:rsid w:val="00B91DC1"/>
    <w:rsid w:val="00B921FD"/>
    <w:rsid w:val="00B92A04"/>
    <w:rsid w:val="00B92CF2"/>
    <w:rsid w:val="00B953B3"/>
    <w:rsid w:val="00B95404"/>
    <w:rsid w:val="00B95BA2"/>
    <w:rsid w:val="00B97818"/>
    <w:rsid w:val="00B97CFF"/>
    <w:rsid w:val="00BA00A2"/>
    <w:rsid w:val="00BA09FB"/>
    <w:rsid w:val="00BA0A1D"/>
    <w:rsid w:val="00BA1F30"/>
    <w:rsid w:val="00BA3221"/>
    <w:rsid w:val="00BA4EA7"/>
    <w:rsid w:val="00BA5534"/>
    <w:rsid w:val="00BA75DA"/>
    <w:rsid w:val="00BB028E"/>
    <w:rsid w:val="00BB09AA"/>
    <w:rsid w:val="00BB1259"/>
    <w:rsid w:val="00BB1868"/>
    <w:rsid w:val="00BB2F89"/>
    <w:rsid w:val="00BB2FBA"/>
    <w:rsid w:val="00BB445E"/>
    <w:rsid w:val="00BB5015"/>
    <w:rsid w:val="00BB57B2"/>
    <w:rsid w:val="00BB6A4F"/>
    <w:rsid w:val="00BB7347"/>
    <w:rsid w:val="00BB764E"/>
    <w:rsid w:val="00BC1A08"/>
    <w:rsid w:val="00BC23C0"/>
    <w:rsid w:val="00BC2CF9"/>
    <w:rsid w:val="00BC3569"/>
    <w:rsid w:val="00BC3BF8"/>
    <w:rsid w:val="00BC49C8"/>
    <w:rsid w:val="00BC4DAF"/>
    <w:rsid w:val="00BC543C"/>
    <w:rsid w:val="00BC5F89"/>
    <w:rsid w:val="00BC6966"/>
    <w:rsid w:val="00BC6F2E"/>
    <w:rsid w:val="00BC7BDE"/>
    <w:rsid w:val="00BC7D6F"/>
    <w:rsid w:val="00BC7E1F"/>
    <w:rsid w:val="00BD02BB"/>
    <w:rsid w:val="00BD02D0"/>
    <w:rsid w:val="00BD03B9"/>
    <w:rsid w:val="00BD1475"/>
    <w:rsid w:val="00BD14DF"/>
    <w:rsid w:val="00BD2180"/>
    <w:rsid w:val="00BD2AD6"/>
    <w:rsid w:val="00BD4C69"/>
    <w:rsid w:val="00BD5070"/>
    <w:rsid w:val="00BD5BC0"/>
    <w:rsid w:val="00BD5FE7"/>
    <w:rsid w:val="00BD7A52"/>
    <w:rsid w:val="00BE0BE4"/>
    <w:rsid w:val="00BE133E"/>
    <w:rsid w:val="00BE1E44"/>
    <w:rsid w:val="00BE2711"/>
    <w:rsid w:val="00BE27CE"/>
    <w:rsid w:val="00BE3544"/>
    <w:rsid w:val="00BE36F1"/>
    <w:rsid w:val="00BE4169"/>
    <w:rsid w:val="00BE4D17"/>
    <w:rsid w:val="00BE4FE9"/>
    <w:rsid w:val="00BE52AB"/>
    <w:rsid w:val="00BE569C"/>
    <w:rsid w:val="00BE5B52"/>
    <w:rsid w:val="00BE5D6F"/>
    <w:rsid w:val="00BE6203"/>
    <w:rsid w:val="00BE6E0B"/>
    <w:rsid w:val="00BE76C9"/>
    <w:rsid w:val="00BF085B"/>
    <w:rsid w:val="00BF0BE1"/>
    <w:rsid w:val="00BF12B5"/>
    <w:rsid w:val="00BF183E"/>
    <w:rsid w:val="00BF1D40"/>
    <w:rsid w:val="00BF1D8D"/>
    <w:rsid w:val="00BF224C"/>
    <w:rsid w:val="00BF2B12"/>
    <w:rsid w:val="00BF3999"/>
    <w:rsid w:val="00BF3E95"/>
    <w:rsid w:val="00BF3EF4"/>
    <w:rsid w:val="00BF44A8"/>
    <w:rsid w:val="00BF472D"/>
    <w:rsid w:val="00BF53CC"/>
    <w:rsid w:val="00BF5794"/>
    <w:rsid w:val="00BF5B34"/>
    <w:rsid w:val="00BF6814"/>
    <w:rsid w:val="00BF6AD3"/>
    <w:rsid w:val="00BF6B79"/>
    <w:rsid w:val="00BF77B3"/>
    <w:rsid w:val="00BF7C32"/>
    <w:rsid w:val="00C0036A"/>
    <w:rsid w:val="00C006CA"/>
    <w:rsid w:val="00C016A8"/>
    <w:rsid w:val="00C01800"/>
    <w:rsid w:val="00C0246C"/>
    <w:rsid w:val="00C02575"/>
    <w:rsid w:val="00C02DA8"/>
    <w:rsid w:val="00C02E3C"/>
    <w:rsid w:val="00C02E4F"/>
    <w:rsid w:val="00C0342F"/>
    <w:rsid w:val="00C03B4A"/>
    <w:rsid w:val="00C03E09"/>
    <w:rsid w:val="00C042AB"/>
    <w:rsid w:val="00C04709"/>
    <w:rsid w:val="00C0533B"/>
    <w:rsid w:val="00C05B0F"/>
    <w:rsid w:val="00C05F1F"/>
    <w:rsid w:val="00C06B09"/>
    <w:rsid w:val="00C07DDA"/>
    <w:rsid w:val="00C10A7B"/>
    <w:rsid w:val="00C10D9D"/>
    <w:rsid w:val="00C11478"/>
    <w:rsid w:val="00C11662"/>
    <w:rsid w:val="00C124DE"/>
    <w:rsid w:val="00C12C08"/>
    <w:rsid w:val="00C15070"/>
    <w:rsid w:val="00C15567"/>
    <w:rsid w:val="00C167D0"/>
    <w:rsid w:val="00C169AC"/>
    <w:rsid w:val="00C16D15"/>
    <w:rsid w:val="00C16EC2"/>
    <w:rsid w:val="00C17164"/>
    <w:rsid w:val="00C1737C"/>
    <w:rsid w:val="00C20BAA"/>
    <w:rsid w:val="00C20BDF"/>
    <w:rsid w:val="00C225DB"/>
    <w:rsid w:val="00C22B27"/>
    <w:rsid w:val="00C23201"/>
    <w:rsid w:val="00C232E9"/>
    <w:rsid w:val="00C23845"/>
    <w:rsid w:val="00C247DA"/>
    <w:rsid w:val="00C24908"/>
    <w:rsid w:val="00C24BA1"/>
    <w:rsid w:val="00C257C4"/>
    <w:rsid w:val="00C260FC"/>
    <w:rsid w:val="00C2616C"/>
    <w:rsid w:val="00C261A6"/>
    <w:rsid w:val="00C2786C"/>
    <w:rsid w:val="00C303A3"/>
    <w:rsid w:val="00C30506"/>
    <w:rsid w:val="00C33081"/>
    <w:rsid w:val="00C330F7"/>
    <w:rsid w:val="00C33DD2"/>
    <w:rsid w:val="00C342E7"/>
    <w:rsid w:val="00C34A73"/>
    <w:rsid w:val="00C357F1"/>
    <w:rsid w:val="00C36687"/>
    <w:rsid w:val="00C36F3E"/>
    <w:rsid w:val="00C37142"/>
    <w:rsid w:val="00C37B5E"/>
    <w:rsid w:val="00C404AB"/>
    <w:rsid w:val="00C40885"/>
    <w:rsid w:val="00C40B41"/>
    <w:rsid w:val="00C41038"/>
    <w:rsid w:val="00C41EB5"/>
    <w:rsid w:val="00C41EEF"/>
    <w:rsid w:val="00C420CC"/>
    <w:rsid w:val="00C4257B"/>
    <w:rsid w:val="00C42C9E"/>
    <w:rsid w:val="00C4306A"/>
    <w:rsid w:val="00C43187"/>
    <w:rsid w:val="00C431B4"/>
    <w:rsid w:val="00C43E0B"/>
    <w:rsid w:val="00C44B5C"/>
    <w:rsid w:val="00C46B39"/>
    <w:rsid w:val="00C46F37"/>
    <w:rsid w:val="00C502D7"/>
    <w:rsid w:val="00C51180"/>
    <w:rsid w:val="00C521FE"/>
    <w:rsid w:val="00C527A3"/>
    <w:rsid w:val="00C529B8"/>
    <w:rsid w:val="00C532EB"/>
    <w:rsid w:val="00C533CE"/>
    <w:rsid w:val="00C53C18"/>
    <w:rsid w:val="00C53E54"/>
    <w:rsid w:val="00C540BD"/>
    <w:rsid w:val="00C5460A"/>
    <w:rsid w:val="00C54D73"/>
    <w:rsid w:val="00C55173"/>
    <w:rsid w:val="00C559DD"/>
    <w:rsid w:val="00C562F2"/>
    <w:rsid w:val="00C57220"/>
    <w:rsid w:val="00C60315"/>
    <w:rsid w:val="00C60684"/>
    <w:rsid w:val="00C608F1"/>
    <w:rsid w:val="00C60C0F"/>
    <w:rsid w:val="00C60CAB"/>
    <w:rsid w:val="00C610E8"/>
    <w:rsid w:val="00C61722"/>
    <w:rsid w:val="00C61C98"/>
    <w:rsid w:val="00C6263F"/>
    <w:rsid w:val="00C628AA"/>
    <w:rsid w:val="00C6307D"/>
    <w:rsid w:val="00C66427"/>
    <w:rsid w:val="00C66727"/>
    <w:rsid w:val="00C67ACD"/>
    <w:rsid w:val="00C71162"/>
    <w:rsid w:val="00C72EAC"/>
    <w:rsid w:val="00C73215"/>
    <w:rsid w:val="00C74E52"/>
    <w:rsid w:val="00C74F75"/>
    <w:rsid w:val="00C751C6"/>
    <w:rsid w:val="00C756F6"/>
    <w:rsid w:val="00C75771"/>
    <w:rsid w:val="00C75BB6"/>
    <w:rsid w:val="00C75DC5"/>
    <w:rsid w:val="00C76151"/>
    <w:rsid w:val="00C7703D"/>
    <w:rsid w:val="00C770EB"/>
    <w:rsid w:val="00C775CC"/>
    <w:rsid w:val="00C77A56"/>
    <w:rsid w:val="00C80A47"/>
    <w:rsid w:val="00C80BE8"/>
    <w:rsid w:val="00C824C1"/>
    <w:rsid w:val="00C825A9"/>
    <w:rsid w:val="00C83DB7"/>
    <w:rsid w:val="00C8525D"/>
    <w:rsid w:val="00C86A69"/>
    <w:rsid w:val="00C86B38"/>
    <w:rsid w:val="00C875B9"/>
    <w:rsid w:val="00C879BA"/>
    <w:rsid w:val="00C87A3B"/>
    <w:rsid w:val="00C87F26"/>
    <w:rsid w:val="00C90138"/>
    <w:rsid w:val="00C90E25"/>
    <w:rsid w:val="00C91952"/>
    <w:rsid w:val="00C91C95"/>
    <w:rsid w:val="00C92376"/>
    <w:rsid w:val="00C9302C"/>
    <w:rsid w:val="00C93375"/>
    <w:rsid w:val="00C94283"/>
    <w:rsid w:val="00C953C8"/>
    <w:rsid w:val="00C96731"/>
    <w:rsid w:val="00C968B5"/>
    <w:rsid w:val="00C96C13"/>
    <w:rsid w:val="00C96CCA"/>
    <w:rsid w:val="00C97128"/>
    <w:rsid w:val="00C971AD"/>
    <w:rsid w:val="00C9786D"/>
    <w:rsid w:val="00CA2411"/>
    <w:rsid w:val="00CA2716"/>
    <w:rsid w:val="00CA28D2"/>
    <w:rsid w:val="00CA3FC4"/>
    <w:rsid w:val="00CA4197"/>
    <w:rsid w:val="00CA479C"/>
    <w:rsid w:val="00CA4C51"/>
    <w:rsid w:val="00CA5F67"/>
    <w:rsid w:val="00CA6CA3"/>
    <w:rsid w:val="00CA6EF1"/>
    <w:rsid w:val="00CA7CF4"/>
    <w:rsid w:val="00CB1C61"/>
    <w:rsid w:val="00CB24D1"/>
    <w:rsid w:val="00CB26A2"/>
    <w:rsid w:val="00CB2CE7"/>
    <w:rsid w:val="00CB3849"/>
    <w:rsid w:val="00CB3B66"/>
    <w:rsid w:val="00CB3B91"/>
    <w:rsid w:val="00CB3CCC"/>
    <w:rsid w:val="00CB3F0D"/>
    <w:rsid w:val="00CB43AF"/>
    <w:rsid w:val="00CB4488"/>
    <w:rsid w:val="00CB4AC6"/>
    <w:rsid w:val="00CB6216"/>
    <w:rsid w:val="00CB6ABD"/>
    <w:rsid w:val="00CB6AFD"/>
    <w:rsid w:val="00CB6ED0"/>
    <w:rsid w:val="00CB731C"/>
    <w:rsid w:val="00CC05BE"/>
    <w:rsid w:val="00CC1933"/>
    <w:rsid w:val="00CC1CD4"/>
    <w:rsid w:val="00CC3EDA"/>
    <w:rsid w:val="00CC4EA4"/>
    <w:rsid w:val="00CC5198"/>
    <w:rsid w:val="00CC5AEA"/>
    <w:rsid w:val="00CC6324"/>
    <w:rsid w:val="00CC65C8"/>
    <w:rsid w:val="00CC672F"/>
    <w:rsid w:val="00CC6F67"/>
    <w:rsid w:val="00CC7D09"/>
    <w:rsid w:val="00CD09AF"/>
    <w:rsid w:val="00CD0A9E"/>
    <w:rsid w:val="00CD0B6E"/>
    <w:rsid w:val="00CD1422"/>
    <w:rsid w:val="00CD1676"/>
    <w:rsid w:val="00CD19AB"/>
    <w:rsid w:val="00CD1B4E"/>
    <w:rsid w:val="00CD37A4"/>
    <w:rsid w:val="00CD3922"/>
    <w:rsid w:val="00CD51A8"/>
    <w:rsid w:val="00CD5831"/>
    <w:rsid w:val="00CD5C5F"/>
    <w:rsid w:val="00CD6AB6"/>
    <w:rsid w:val="00CD712B"/>
    <w:rsid w:val="00CD7779"/>
    <w:rsid w:val="00CD7D17"/>
    <w:rsid w:val="00CD7FFC"/>
    <w:rsid w:val="00CE02D9"/>
    <w:rsid w:val="00CE02F2"/>
    <w:rsid w:val="00CE039B"/>
    <w:rsid w:val="00CE16EC"/>
    <w:rsid w:val="00CE2365"/>
    <w:rsid w:val="00CE2519"/>
    <w:rsid w:val="00CE2CF4"/>
    <w:rsid w:val="00CE33C5"/>
    <w:rsid w:val="00CE4108"/>
    <w:rsid w:val="00CE4FB2"/>
    <w:rsid w:val="00CE51DA"/>
    <w:rsid w:val="00CE567C"/>
    <w:rsid w:val="00CE657E"/>
    <w:rsid w:val="00CE69C6"/>
    <w:rsid w:val="00CE6C82"/>
    <w:rsid w:val="00CF048D"/>
    <w:rsid w:val="00CF0579"/>
    <w:rsid w:val="00CF086F"/>
    <w:rsid w:val="00CF08AC"/>
    <w:rsid w:val="00CF1514"/>
    <w:rsid w:val="00CF167A"/>
    <w:rsid w:val="00CF16AB"/>
    <w:rsid w:val="00CF1821"/>
    <w:rsid w:val="00CF183D"/>
    <w:rsid w:val="00CF1882"/>
    <w:rsid w:val="00CF1999"/>
    <w:rsid w:val="00CF21E4"/>
    <w:rsid w:val="00CF3210"/>
    <w:rsid w:val="00CF36C3"/>
    <w:rsid w:val="00CF3CA5"/>
    <w:rsid w:val="00CF409C"/>
    <w:rsid w:val="00CF41E6"/>
    <w:rsid w:val="00CF48CD"/>
    <w:rsid w:val="00CF5DD5"/>
    <w:rsid w:val="00CF6D56"/>
    <w:rsid w:val="00D002B9"/>
    <w:rsid w:val="00D01052"/>
    <w:rsid w:val="00D01C9C"/>
    <w:rsid w:val="00D0216C"/>
    <w:rsid w:val="00D034A8"/>
    <w:rsid w:val="00D03E43"/>
    <w:rsid w:val="00D042BF"/>
    <w:rsid w:val="00D056EA"/>
    <w:rsid w:val="00D06081"/>
    <w:rsid w:val="00D06FD1"/>
    <w:rsid w:val="00D07566"/>
    <w:rsid w:val="00D075CA"/>
    <w:rsid w:val="00D0765D"/>
    <w:rsid w:val="00D10025"/>
    <w:rsid w:val="00D100BB"/>
    <w:rsid w:val="00D10759"/>
    <w:rsid w:val="00D109E1"/>
    <w:rsid w:val="00D10A91"/>
    <w:rsid w:val="00D10EE7"/>
    <w:rsid w:val="00D115BF"/>
    <w:rsid w:val="00D11940"/>
    <w:rsid w:val="00D1222E"/>
    <w:rsid w:val="00D122F3"/>
    <w:rsid w:val="00D12CE9"/>
    <w:rsid w:val="00D13E62"/>
    <w:rsid w:val="00D14BAB"/>
    <w:rsid w:val="00D14EA1"/>
    <w:rsid w:val="00D14F32"/>
    <w:rsid w:val="00D14FC3"/>
    <w:rsid w:val="00D154D9"/>
    <w:rsid w:val="00D16683"/>
    <w:rsid w:val="00D16D64"/>
    <w:rsid w:val="00D17020"/>
    <w:rsid w:val="00D17B1C"/>
    <w:rsid w:val="00D17E03"/>
    <w:rsid w:val="00D17F53"/>
    <w:rsid w:val="00D20302"/>
    <w:rsid w:val="00D204DE"/>
    <w:rsid w:val="00D207B8"/>
    <w:rsid w:val="00D20910"/>
    <w:rsid w:val="00D20C77"/>
    <w:rsid w:val="00D217E1"/>
    <w:rsid w:val="00D21A87"/>
    <w:rsid w:val="00D21AC8"/>
    <w:rsid w:val="00D21CB3"/>
    <w:rsid w:val="00D2245B"/>
    <w:rsid w:val="00D22693"/>
    <w:rsid w:val="00D22D72"/>
    <w:rsid w:val="00D236D4"/>
    <w:rsid w:val="00D2392E"/>
    <w:rsid w:val="00D23EF1"/>
    <w:rsid w:val="00D24AF5"/>
    <w:rsid w:val="00D25583"/>
    <w:rsid w:val="00D26021"/>
    <w:rsid w:val="00D26083"/>
    <w:rsid w:val="00D26558"/>
    <w:rsid w:val="00D27CF2"/>
    <w:rsid w:val="00D3007D"/>
    <w:rsid w:val="00D3068A"/>
    <w:rsid w:val="00D30D9E"/>
    <w:rsid w:val="00D323D7"/>
    <w:rsid w:val="00D32E70"/>
    <w:rsid w:val="00D33AAF"/>
    <w:rsid w:val="00D34321"/>
    <w:rsid w:val="00D3471D"/>
    <w:rsid w:val="00D347B7"/>
    <w:rsid w:val="00D34B00"/>
    <w:rsid w:val="00D34EFA"/>
    <w:rsid w:val="00D352A2"/>
    <w:rsid w:val="00D3565A"/>
    <w:rsid w:val="00D368FD"/>
    <w:rsid w:val="00D36FBA"/>
    <w:rsid w:val="00D37AC0"/>
    <w:rsid w:val="00D40367"/>
    <w:rsid w:val="00D419EA"/>
    <w:rsid w:val="00D420E6"/>
    <w:rsid w:val="00D42A99"/>
    <w:rsid w:val="00D42BA8"/>
    <w:rsid w:val="00D42FE7"/>
    <w:rsid w:val="00D439ED"/>
    <w:rsid w:val="00D44468"/>
    <w:rsid w:val="00D45645"/>
    <w:rsid w:val="00D45829"/>
    <w:rsid w:val="00D467F4"/>
    <w:rsid w:val="00D46F3F"/>
    <w:rsid w:val="00D472B9"/>
    <w:rsid w:val="00D47776"/>
    <w:rsid w:val="00D508C7"/>
    <w:rsid w:val="00D50DC9"/>
    <w:rsid w:val="00D50E42"/>
    <w:rsid w:val="00D518C6"/>
    <w:rsid w:val="00D529DF"/>
    <w:rsid w:val="00D52BB5"/>
    <w:rsid w:val="00D5307F"/>
    <w:rsid w:val="00D53A32"/>
    <w:rsid w:val="00D54D37"/>
    <w:rsid w:val="00D5615F"/>
    <w:rsid w:val="00D572F9"/>
    <w:rsid w:val="00D57F72"/>
    <w:rsid w:val="00D602A8"/>
    <w:rsid w:val="00D626E3"/>
    <w:rsid w:val="00D634AE"/>
    <w:rsid w:val="00D6416A"/>
    <w:rsid w:val="00D66E30"/>
    <w:rsid w:val="00D67068"/>
    <w:rsid w:val="00D67416"/>
    <w:rsid w:val="00D674CF"/>
    <w:rsid w:val="00D70069"/>
    <w:rsid w:val="00D700EE"/>
    <w:rsid w:val="00D70806"/>
    <w:rsid w:val="00D70B2C"/>
    <w:rsid w:val="00D70DF0"/>
    <w:rsid w:val="00D716B2"/>
    <w:rsid w:val="00D72DF0"/>
    <w:rsid w:val="00D739ED"/>
    <w:rsid w:val="00D73B56"/>
    <w:rsid w:val="00D74622"/>
    <w:rsid w:val="00D747A8"/>
    <w:rsid w:val="00D7523E"/>
    <w:rsid w:val="00D756A0"/>
    <w:rsid w:val="00D75E80"/>
    <w:rsid w:val="00D774E5"/>
    <w:rsid w:val="00D77BA2"/>
    <w:rsid w:val="00D77E5A"/>
    <w:rsid w:val="00D802B5"/>
    <w:rsid w:val="00D80E4B"/>
    <w:rsid w:val="00D8104A"/>
    <w:rsid w:val="00D813B5"/>
    <w:rsid w:val="00D82124"/>
    <w:rsid w:val="00D82BCD"/>
    <w:rsid w:val="00D8329A"/>
    <w:rsid w:val="00D841AE"/>
    <w:rsid w:val="00D841E6"/>
    <w:rsid w:val="00D84709"/>
    <w:rsid w:val="00D84908"/>
    <w:rsid w:val="00D84C65"/>
    <w:rsid w:val="00D863BF"/>
    <w:rsid w:val="00D87046"/>
    <w:rsid w:val="00D876D3"/>
    <w:rsid w:val="00D90CE9"/>
    <w:rsid w:val="00D92606"/>
    <w:rsid w:val="00D92970"/>
    <w:rsid w:val="00D92D0A"/>
    <w:rsid w:val="00D9354B"/>
    <w:rsid w:val="00D93D7B"/>
    <w:rsid w:val="00D93FA5"/>
    <w:rsid w:val="00D948A1"/>
    <w:rsid w:val="00D95F7D"/>
    <w:rsid w:val="00D97B84"/>
    <w:rsid w:val="00D97DFA"/>
    <w:rsid w:val="00DA1C71"/>
    <w:rsid w:val="00DA2FD7"/>
    <w:rsid w:val="00DA30C1"/>
    <w:rsid w:val="00DA35B6"/>
    <w:rsid w:val="00DA37B2"/>
    <w:rsid w:val="00DA4F6C"/>
    <w:rsid w:val="00DA5E62"/>
    <w:rsid w:val="00DA6B15"/>
    <w:rsid w:val="00DA7092"/>
    <w:rsid w:val="00DA76CD"/>
    <w:rsid w:val="00DA7AF1"/>
    <w:rsid w:val="00DA7EFF"/>
    <w:rsid w:val="00DA7F6C"/>
    <w:rsid w:val="00DA7FC1"/>
    <w:rsid w:val="00DB0579"/>
    <w:rsid w:val="00DB0969"/>
    <w:rsid w:val="00DB0A6B"/>
    <w:rsid w:val="00DB183F"/>
    <w:rsid w:val="00DB2256"/>
    <w:rsid w:val="00DB2345"/>
    <w:rsid w:val="00DB25B4"/>
    <w:rsid w:val="00DB274A"/>
    <w:rsid w:val="00DB3901"/>
    <w:rsid w:val="00DB42FB"/>
    <w:rsid w:val="00DB4BFC"/>
    <w:rsid w:val="00DB4F9F"/>
    <w:rsid w:val="00DB5105"/>
    <w:rsid w:val="00DB54C7"/>
    <w:rsid w:val="00DB5978"/>
    <w:rsid w:val="00DB5AC5"/>
    <w:rsid w:val="00DB5C39"/>
    <w:rsid w:val="00DB6626"/>
    <w:rsid w:val="00DB7189"/>
    <w:rsid w:val="00DB7DA5"/>
    <w:rsid w:val="00DC043B"/>
    <w:rsid w:val="00DC1204"/>
    <w:rsid w:val="00DC1669"/>
    <w:rsid w:val="00DC16B1"/>
    <w:rsid w:val="00DC1ACE"/>
    <w:rsid w:val="00DC2039"/>
    <w:rsid w:val="00DC227A"/>
    <w:rsid w:val="00DC2FB4"/>
    <w:rsid w:val="00DC3627"/>
    <w:rsid w:val="00DC4075"/>
    <w:rsid w:val="00DC53BF"/>
    <w:rsid w:val="00DC596D"/>
    <w:rsid w:val="00DD000A"/>
    <w:rsid w:val="00DD048F"/>
    <w:rsid w:val="00DD06BC"/>
    <w:rsid w:val="00DD20A9"/>
    <w:rsid w:val="00DD21BA"/>
    <w:rsid w:val="00DD28C1"/>
    <w:rsid w:val="00DD2D0C"/>
    <w:rsid w:val="00DD30D1"/>
    <w:rsid w:val="00DD4053"/>
    <w:rsid w:val="00DD463C"/>
    <w:rsid w:val="00DD46ED"/>
    <w:rsid w:val="00DD4FD8"/>
    <w:rsid w:val="00DD5AE1"/>
    <w:rsid w:val="00DD5D58"/>
    <w:rsid w:val="00DD6115"/>
    <w:rsid w:val="00DD7D89"/>
    <w:rsid w:val="00DD7E6B"/>
    <w:rsid w:val="00DE004B"/>
    <w:rsid w:val="00DE07FE"/>
    <w:rsid w:val="00DE0836"/>
    <w:rsid w:val="00DE1DAF"/>
    <w:rsid w:val="00DE21A4"/>
    <w:rsid w:val="00DE2297"/>
    <w:rsid w:val="00DE2C73"/>
    <w:rsid w:val="00DE42A0"/>
    <w:rsid w:val="00DE53F7"/>
    <w:rsid w:val="00DE59EF"/>
    <w:rsid w:val="00DE63D1"/>
    <w:rsid w:val="00DE7071"/>
    <w:rsid w:val="00DE71F5"/>
    <w:rsid w:val="00DF066C"/>
    <w:rsid w:val="00DF1BB7"/>
    <w:rsid w:val="00DF1E9F"/>
    <w:rsid w:val="00DF2B17"/>
    <w:rsid w:val="00DF3492"/>
    <w:rsid w:val="00DF391B"/>
    <w:rsid w:val="00DF3970"/>
    <w:rsid w:val="00DF5143"/>
    <w:rsid w:val="00DF5506"/>
    <w:rsid w:val="00DF5626"/>
    <w:rsid w:val="00DF5FB6"/>
    <w:rsid w:val="00DF635D"/>
    <w:rsid w:val="00DF63AD"/>
    <w:rsid w:val="00DF69EB"/>
    <w:rsid w:val="00DF6B6E"/>
    <w:rsid w:val="00DF6E64"/>
    <w:rsid w:val="00DF6EC9"/>
    <w:rsid w:val="00DF7390"/>
    <w:rsid w:val="00DF7460"/>
    <w:rsid w:val="00E00205"/>
    <w:rsid w:val="00E0023E"/>
    <w:rsid w:val="00E003A1"/>
    <w:rsid w:val="00E00E9C"/>
    <w:rsid w:val="00E011E2"/>
    <w:rsid w:val="00E01E96"/>
    <w:rsid w:val="00E02B5F"/>
    <w:rsid w:val="00E02C9C"/>
    <w:rsid w:val="00E02DA7"/>
    <w:rsid w:val="00E02DBD"/>
    <w:rsid w:val="00E0326C"/>
    <w:rsid w:val="00E0415A"/>
    <w:rsid w:val="00E045CE"/>
    <w:rsid w:val="00E053D7"/>
    <w:rsid w:val="00E05B45"/>
    <w:rsid w:val="00E05E6E"/>
    <w:rsid w:val="00E063A9"/>
    <w:rsid w:val="00E07FE7"/>
    <w:rsid w:val="00E101F5"/>
    <w:rsid w:val="00E103F9"/>
    <w:rsid w:val="00E109C0"/>
    <w:rsid w:val="00E1134E"/>
    <w:rsid w:val="00E11A7C"/>
    <w:rsid w:val="00E14478"/>
    <w:rsid w:val="00E1462F"/>
    <w:rsid w:val="00E1521A"/>
    <w:rsid w:val="00E152CF"/>
    <w:rsid w:val="00E15499"/>
    <w:rsid w:val="00E15865"/>
    <w:rsid w:val="00E1604E"/>
    <w:rsid w:val="00E1607F"/>
    <w:rsid w:val="00E168D5"/>
    <w:rsid w:val="00E16FBA"/>
    <w:rsid w:val="00E17F5C"/>
    <w:rsid w:val="00E202C9"/>
    <w:rsid w:val="00E213FA"/>
    <w:rsid w:val="00E21461"/>
    <w:rsid w:val="00E21639"/>
    <w:rsid w:val="00E225B4"/>
    <w:rsid w:val="00E22D07"/>
    <w:rsid w:val="00E23EC7"/>
    <w:rsid w:val="00E247AA"/>
    <w:rsid w:val="00E251C7"/>
    <w:rsid w:val="00E269D3"/>
    <w:rsid w:val="00E2772C"/>
    <w:rsid w:val="00E27EE6"/>
    <w:rsid w:val="00E3042D"/>
    <w:rsid w:val="00E3072E"/>
    <w:rsid w:val="00E31026"/>
    <w:rsid w:val="00E327A2"/>
    <w:rsid w:val="00E33100"/>
    <w:rsid w:val="00E3570C"/>
    <w:rsid w:val="00E364CB"/>
    <w:rsid w:val="00E366DF"/>
    <w:rsid w:val="00E3682E"/>
    <w:rsid w:val="00E36AB4"/>
    <w:rsid w:val="00E37634"/>
    <w:rsid w:val="00E40214"/>
    <w:rsid w:val="00E41206"/>
    <w:rsid w:val="00E42143"/>
    <w:rsid w:val="00E42640"/>
    <w:rsid w:val="00E431DA"/>
    <w:rsid w:val="00E43A75"/>
    <w:rsid w:val="00E44214"/>
    <w:rsid w:val="00E4441A"/>
    <w:rsid w:val="00E44641"/>
    <w:rsid w:val="00E4578F"/>
    <w:rsid w:val="00E4613F"/>
    <w:rsid w:val="00E47CD9"/>
    <w:rsid w:val="00E5134C"/>
    <w:rsid w:val="00E513F2"/>
    <w:rsid w:val="00E51C6B"/>
    <w:rsid w:val="00E51ECB"/>
    <w:rsid w:val="00E520ED"/>
    <w:rsid w:val="00E531E9"/>
    <w:rsid w:val="00E531EC"/>
    <w:rsid w:val="00E5367A"/>
    <w:rsid w:val="00E537BE"/>
    <w:rsid w:val="00E53C52"/>
    <w:rsid w:val="00E53FB0"/>
    <w:rsid w:val="00E55E96"/>
    <w:rsid w:val="00E55FA5"/>
    <w:rsid w:val="00E56CEE"/>
    <w:rsid w:val="00E5739B"/>
    <w:rsid w:val="00E605F3"/>
    <w:rsid w:val="00E61232"/>
    <w:rsid w:val="00E627DE"/>
    <w:rsid w:val="00E62AC4"/>
    <w:rsid w:val="00E635D5"/>
    <w:rsid w:val="00E63FF1"/>
    <w:rsid w:val="00E640C4"/>
    <w:rsid w:val="00E65214"/>
    <w:rsid w:val="00E6611D"/>
    <w:rsid w:val="00E66699"/>
    <w:rsid w:val="00E66D6F"/>
    <w:rsid w:val="00E67953"/>
    <w:rsid w:val="00E70276"/>
    <w:rsid w:val="00E717BA"/>
    <w:rsid w:val="00E718D7"/>
    <w:rsid w:val="00E71D3A"/>
    <w:rsid w:val="00E72ECF"/>
    <w:rsid w:val="00E73B5D"/>
    <w:rsid w:val="00E73BEB"/>
    <w:rsid w:val="00E744D4"/>
    <w:rsid w:val="00E74663"/>
    <w:rsid w:val="00E74ED4"/>
    <w:rsid w:val="00E75177"/>
    <w:rsid w:val="00E75557"/>
    <w:rsid w:val="00E75960"/>
    <w:rsid w:val="00E75FC0"/>
    <w:rsid w:val="00E7662E"/>
    <w:rsid w:val="00E76C03"/>
    <w:rsid w:val="00E76DFF"/>
    <w:rsid w:val="00E77715"/>
    <w:rsid w:val="00E77E60"/>
    <w:rsid w:val="00E8022F"/>
    <w:rsid w:val="00E818A9"/>
    <w:rsid w:val="00E81C81"/>
    <w:rsid w:val="00E81EA7"/>
    <w:rsid w:val="00E81EA9"/>
    <w:rsid w:val="00E83A93"/>
    <w:rsid w:val="00E83B6D"/>
    <w:rsid w:val="00E85B2E"/>
    <w:rsid w:val="00E86488"/>
    <w:rsid w:val="00E86C91"/>
    <w:rsid w:val="00E8740D"/>
    <w:rsid w:val="00E87815"/>
    <w:rsid w:val="00E911C8"/>
    <w:rsid w:val="00E91453"/>
    <w:rsid w:val="00E91A0C"/>
    <w:rsid w:val="00E926C7"/>
    <w:rsid w:val="00E9272E"/>
    <w:rsid w:val="00E92ADD"/>
    <w:rsid w:val="00E93378"/>
    <w:rsid w:val="00E93537"/>
    <w:rsid w:val="00E93E77"/>
    <w:rsid w:val="00E93FBB"/>
    <w:rsid w:val="00E94703"/>
    <w:rsid w:val="00E94AB4"/>
    <w:rsid w:val="00E94E51"/>
    <w:rsid w:val="00E94F32"/>
    <w:rsid w:val="00E9655F"/>
    <w:rsid w:val="00E96B0C"/>
    <w:rsid w:val="00E9746D"/>
    <w:rsid w:val="00E97764"/>
    <w:rsid w:val="00EA05B0"/>
    <w:rsid w:val="00EA1402"/>
    <w:rsid w:val="00EA14D7"/>
    <w:rsid w:val="00EA14E7"/>
    <w:rsid w:val="00EA1682"/>
    <w:rsid w:val="00EA1849"/>
    <w:rsid w:val="00EA1C6D"/>
    <w:rsid w:val="00EA229D"/>
    <w:rsid w:val="00EA26C1"/>
    <w:rsid w:val="00EA3004"/>
    <w:rsid w:val="00EA38DB"/>
    <w:rsid w:val="00EA414E"/>
    <w:rsid w:val="00EA4B34"/>
    <w:rsid w:val="00EA618B"/>
    <w:rsid w:val="00EA6440"/>
    <w:rsid w:val="00EA6C7A"/>
    <w:rsid w:val="00EA77F1"/>
    <w:rsid w:val="00EA7B17"/>
    <w:rsid w:val="00EB0113"/>
    <w:rsid w:val="00EB04DD"/>
    <w:rsid w:val="00EB06DF"/>
    <w:rsid w:val="00EB0896"/>
    <w:rsid w:val="00EB102B"/>
    <w:rsid w:val="00EB1059"/>
    <w:rsid w:val="00EB1365"/>
    <w:rsid w:val="00EB1A5A"/>
    <w:rsid w:val="00EB2D07"/>
    <w:rsid w:val="00EB3E60"/>
    <w:rsid w:val="00EB40E7"/>
    <w:rsid w:val="00EB5D86"/>
    <w:rsid w:val="00EB5E56"/>
    <w:rsid w:val="00EB5F6C"/>
    <w:rsid w:val="00EB6AC8"/>
    <w:rsid w:val="00EB6E56"/>
    <w:rsid w:val="00EB71FA"/>
    <w:rsid w:val="00EB7F4B"/>
    <w:rsid w:val="00EC057A"/>
    <w:rsid w:val="00EC079D"/>
    <w:rsid w:val="00EC1530"/>
    <w:rsid w:val="00EC1D6B"/>
    <w:rsid w:val="00EC226C"/>
    <w:rsid w:val="00EC33CB"/>
    <w:rsid w:val="00EC3D79"/>
    <w:rsid w:val="00EC4A6F"/>
    <w:rsid w:val="00EC5332"/>
    <w:rsid w:val="00EC6085"/>
    <w:rsid w:val="00EC6658"/>
    <w:rsid w:val="00EC716C"/>
    <w:rsid w:val="00EC744A"/>
    <w:rsid w:val="00EC7F25"/>
    <w:rsid w:val="00EC7F67"/>
    <w:rsid w:val="00ED07AC"/>
    <w:rsid w:val="00ED2337"/>
    <w:rsid w:val="00ED2349"/>
    <w:rsid w:val="00ED24CA"/>
    <w:rsid w:val="00ED27D8"/>
    <w:rsid w:val="00ED2CAE"/>
    <w:rsid w:val="00ED3174"/>
    <w:rsid w:val="00ED36DB"/>
    <w:rsid w:val="00ED47F6"/>
    <w:rsid w:val="00ED52F5"/>
    <w:rsid w:val="00ED716F"/>
    <w:rsid w:val="00EE18AE"/>
    <w:rsid w:val="00EE251D"/>
    <w:rsid w:val="00EE3262"/>
    <w:rsid w:val="00EE32F1"/>
    <w:rsid w:val="00EE38A1"/>
    <w:rsid w:val="00EE40FB"/>
    <w:rsid w:val="00EE481B"/>
    <w:rsid w:val="00EE5DAE"/>
    <w:rsid w:val="00EE7442"/>
    <w:rsid w:val="00EE7B07"/>
    <w:rsid w:val="00EE7E13"/>
    <w:rsid w:val="00EF01E2"/>
    <w:rsid w:val="00EF033E"/>
    <w:rsid w:val="00EF095D"/>
    <w:rsid w:val="00EF0A8A"/>
    <w:rsid w:val="00EF1095"/>
    <w:rsid w:val="00EF1950"/>
    <w:rsid w:val="00EF1D78"/>
    <w:rsid w:val="00EF201C"/>
    <w:rsid w:val="00EF234D"/>
    <w:rsid w:val="00EF34A0"/>
    <w:rsid w:val="00EF3579"/>
    <w:rsid w:val="00EF3597"/>
    <w:rsid w:val="00EF3B19"/>
    <w:rsid w:val="00EF49CF"/>
    <w:rsid w:val="00EF51EB"/>
    <w:rsid w:val="00EF57B8"/>
    <w:rsid w:val="00EF7E5C"/>
    <w:rsid w:val="00EF7F46"/>
    <w:rsid w:val="00F00AD8"/>
    <w:rsid w:val="00F00B4D"/>
    <w:rsid w:val="00F0250D"/>
    <w:rsid w:val="00F032DB"/>
    <w:rsid w:val="00F0331C"/>
    <w:rsid w:val="00F0391B"/>
    <w:rsid w:val="00F0422C"/>
    <w:rsid w:val="00F04B3A"/>
    <w:rsid w:val="00F04CF8"/>
    <w:rsid w:val="00F054DC"/>
    <w:rsid w:val="00F06137"/>
    <w:rsid w:val="00F063A4"/>
    <w:rsid w:val="00F06871"/>
    <w:rsid w:val="00F07F3D"/>
    <w:rsid w:val="00F10252"/>
    <w:rsid w:val="00F1029B"/>
    <w:rsid w:val="00F11445"/>
    <w:rsid w:val="00F12653"/>
    <w:rsid w:val="00F1267B"/>
    <w:rsid w:val="00F13A77"/>
    <w:rsid w:val="00F14C6E"/>
    <w:rsid w:val="00F15019"/>
    <w:rsid w:val="00F1580A"/>
    <w:rsid w:val="00F159BD"/>
    <w:rsid w:val="00F16105"/>
    <w:rsid w:val="00F16275"/>
    <w:rsid w:val="00F162BE"/>
    <w:rsid w:val="00F1792D"/>
    <w:rsid w:val="00F17EB0"/>
    <w:rsid w:val="00F17F33"/>
    <w:rsid w:val="00F20267"/>
    <w:rsid w:val="00F202F9"/>
    <w:rsid w:val="00F2043D"/>
    <w:rsid w:val="00F21D39"/>
    <w:rsid w:val="00F2285F"/>
    <w:rsid w:val="00F23E84"/>
    <w:rsid w:val="00F24471"/>
    <w:rsid w:val="00F26685"/>
    <w:rsid w:val="00F26A9E"/>
    <w:rsid w:val="00F275C3"/>
    <w:rsid w:val="00F27A43"/>
    <w:rsid w:val="00F27C9C"/>
    <w:rsid w:val="00F3004D"/>
    <w:rsid w:val="00F300A9"/>
    <w:rsid w:val="00F3035D"/>
    <w:rsid w:val="00F305ED"/>
    <w:rsid w:val="00F310B9"/>
    <w:rsid w:val="00F31209"/>
    <w:rsid w:val="00F318CF"/>
    <w:rsid w:val="00F31A3C"/>
    <w:rsid w:val="00F31FC8"/>
    <w:rsid w:val="00F327BB"/>
    <w:rsid w:val="00F3295B"/>
    <w:rsid w:val="00F33043"/>
    <w:rsid w:val="00F332B4"/>
    <w:rsid w:val="00F33A70"/>
    <w:rsid w:val="00F34382"/>
    <w:rsid w:val="00F3513E"/>
    <w:rsid w:val="00F3541C"/>
    <w:rsid w:val="00F4033C"/>
    <w:rsid w:val="00F40F45"/>
    <w:rsid w:val="00F418B1"/>
    <w:rsid w:val="00F422E2"/>
    <w:rsid w:val="00F43093"/>
    <w:rsid w:val="00F44276"/>
    <w:rsid w:val="00F445E2"/>
    <w:rsid w:val="00F446D3"/>
    <w:rsid w:val="00F44873"/>
    <w:rsid w:val="00F45072"/>
    <w:rsid w:val="00F45DC8"/>
    <w:rsid w:val="00F460A3"/>
    <w:rsid w:val="00F46178"/>
    <w:rsid w:val="00F4629D"/>
    <w:rsid w:val="00F464A5"/>
    <w:rsid w:val="00F46937"/>
    <w:rsid w:val="00F46B22"/>
    <w:rsid w:val="00F46BDA"/>
    <w:rsid w:val="00F46E48"/>
    <w:rsid w:val="00F502A6"/>
    <w:rsid w:val="00F51780"/>
    <w:rsid w:val="00F51CA9"/>
    <w:rsid w:val="00F52DDA"/>
    <w:rsid w:val="00F52E66"/>
    <w:rsid w:val="00F53A2E"/>
    <w:rsid w:val="00F53A64"/>
    <w:rsid w:val="00F53DB6"/>
    <w:rsid w:val="00F53F3B"/>
    <w:rsid w:val="00F541CA"/>
    <w:rsid w:val="00F54733"/>
    <w:rsid w:val="00F55157"/>
    <w:rsid w:val="00F56575"/>
    <w:rsid w:val="00F56CAC"/>
    <w:rsid w:val="00F605E8"/>
    <w:rsid w:val="00F60C69"/>
    <w:rsid w:val="00F610AC"/>
    <w:rsid w:val="00F61AE0"/>
    <w:rsid w:val="00F62A14"/>
    <w:rsid w:val="00F64885"/>
    <w:rsid w:val="00F64C24"/>
    <w:rsid w:val="00F6594D"/>
    <w:rsid w:val="00F66D4C"/>
    <w:rsid w:val="00F67563"/>
    <w:rsid w:val="00F67D5F"/>
    <w:rsid w:val="00F70138"/>
    <w:rsid w:val="00F7033B"/>
    <w:rsid w:val="00F7035A"/>
    <w:rsid w:val="00F70444"/>
    <w:rsid w:val="00F70887"/>
    <w:rsid w:val="00F72310"/>
    <w:rsid w:val="00F73E9C"/>
    <w:rsid w:val="00F7543D"/>
    <w:rsid w:val="00F75E34"/>
    <w:rsid w:val="00F76704"/>
    <w:rsid w:val="00F80B0F"/>
    <w:rsid w:val="00F80D7D"/>
    <w:rsid w:val="00F80F26"/>
    <w:rsid w:val="00F80F54"/>
    <w:rsid w:val="00F81942"/>
    <w:rsid w:val="00F81A60"/>
    <w:rsid w:val="00F81AFD"/>
    <w:rsid w:val="00F81E9A"/>
    <w:rsid w:val="00F82760"/>
    <w:rsid w:val="00F83959"/>
    <w:rsid w:val="00F8464E"/>
    <w:rsid w:val="00F85333"/>
    <w:rsid w:val="00F856FC"/>
    <w:rsid w:val="00F85703"/>
    <w:rsid w:val="00F868C0"/>
    <w:rsid w:val="00F87948"/>
    <w:rsid w:val="00F9048D"/>
    <w:rsid w:val="00F909D4"/>
    <w:rsid w:val="00F912BD"/>
    <w:rsid w:val="00F91389"/>
    <w:rsid w:val="00F927A5"/>
    <w:rsid w:val="00F93AB8"/>
    <w:rsid w:val="00F9460E"/>
    <w:rsid w:val="00F94BD6"/>
    <w:rsid w:val="00F95535"/>
    <w:rsid w:val="00F96F02"/>
    <w:rsid w:val="00F973FD"/>
    <w:rsid w:val="00F97E5F"/>
    <w:rsid w:val="00FA0021"/>
    <w:rsid w:val="00FA0730"/>
    <w:rsid w:val="00FA1139"/>
    <w:rsid w:val="00FA2285"/>
    <w:rsid w:val="00FA29F9"/>
    <w:rsid w:val="00FA2F83"/>
    <w:rsid w:val="00FA3150"/>
    <w:rsid w:val="00FA3447"/>
    <w:rsid w:val="00FA4750"/>
    <w:rsid w:val="00FA4C15"/>
    <w:rsid w:val="00FA58BC"/>
    <w:rsid w:val="00FA5FB5"/>
    <w:rsid w:val="00FA6D8F"/>
    <w:rsid w:val="00FA755C"/>
    <w:rsid w:val="00FA7AE9"/>
    <w:rsid w:val="00FA7CF1"/>
    <w:rsid w:val="00FA7E0C"/>
    <w:rsid w:val="00FA7EA8"/>
    <w:rsid w:val="00FB1337"/>
    <w:rsid w:val="00FB25F8"/>
    <w:rsid w:val="00FB2BC7"/>
    <w:rsid w:val="00FB3682"/>
    <w:rsid w:val="00FC0493"/>
    <w:rsid w:val="00FC060D"/>
    <w:rsid w:val="00FC08EC"/>
    <w:rsid w:val="00FC09E8"/>
    <w:rsid w:val="00FC2BDA"/>
    <w:rsid w:val="00FC374A"/>
    <w:rsid w:val="00FC3902"/>
    <w:rsid w:val="00FC3CBE"/>
    <w:rsid w:val="00FC41E6"/>
    <w:rsid w:val="00FC48CB"/>
    <w:rsid w:val="00FC4964"/>
    <w:rsid w:val="00FC4D51"/>
    <w:rsid w:val="00FC4DF2"/>
    <w:rsid w:val="00FC5EE8"/>
    <w:rsid w:val="00FC6706"/>
    <w:rsid w:val="00FC679A"/>
    <w:rsid w:val="00FC6EFC"/>
    <w:rsid w:val="00FC74BD"/>
    <w:rsid w:val="00FC78D6"/>
    <w:rsid w:val="00FC7D3B"/>
    <w:rsid w:val="00FC7EDB"/>
    <w:rsid w:val="00FC7FA9"/>
    <w:rsid w:val="00FD0A5B"/>
    <w:rsid w:val="00FD0FB2"/>
    <w:rsid w:val="00FD1964"/>
    <w:rsid w:val="00FD1D42"/>
    <w:rsid w:val="00FD2827"/>
    <w:rsid w:val="00FD2AA5"/>
    <w:rsid w:val="00FD2E28"/>
    <w:rsid w:val="00FD2EFE"/>
    <w:rsid w:val="00FD3072"/>
    <w:rsid w:val="00FD3FAF"/>
    <w:rsid w:val="00FD3FDE"/>
    <w:rsid w:val="00FD4772"/>
    <w:rsid w:val="00FD4877"/>
    <w:rsid w:val="00FD4DBE"/>
    <w:rsid w:val="00FD4E64"/>
    <w:rsid w:val="00FD4E6B"/>
    <w:rsid w:val="00FD647D"/>
    <w:rsid w:val="00FD729E"/>
    <w:rsid w:val="00FD7C5F"/>
    <w:rsid w:val="00FE02A2"/>
    <w:rsid w:val="00FE04A5"/>
    <w:rsid w:val="00FE11C6"/>
    <w:rsid w:val="00FE124F"/>
    <w:rsid w:val="00FE2AE8"/>
    <w:rsid w:val="00FE2D51"/>
    <w:rsid w:val="00FE33F4"/>
    <w:rsid w:val="00FE48F5"/>
    <w:rsid w:val="00FE4A76"/>
    <w:rsid w:val="00FE4E96"/>
    <w:rsid w:val="00FE5252"/>
    <w:rsid w:val="00FE55F3"/>
    <w:rsid w:val="00FE5649"/>
    <w:rsid w:val="00FE574E"/>
    <w:rsid w:val="00FE5941"/>
    <w:rsid w:val="00FE6104"/>
    <w:rsid w:val="00FE7534"/>
    <w:rsid w:val="00FE7B59"/>
    <w:rsid w:val="00FF03CE"/>
    <w:rsid w:val="00FF1134"/>
    <w:rsid w:val="00FF16C4"/>
    <w:rsid w:val="00FF1FB0"/>
    <w:rsid w:val="00FF2310"/>
    <w:rsid w:val="00FF2F07"/>
    <w:rsid w:val="00FF2FC6"/>
    <w:rsid w:val="00FF3550"/>
    <w:rsid w:val="00FF3CA9"/>
    <w:rsid w:val="00FF3D17"/>
    <w:rsid w:val="00FF416B"/>
    <w:rsid w:val="00FF45E3"/>
    <w:rsid w:val="00FF4B62"/>
    <w:rsid w:val="00FF5973"/>
    <w:rsid w:val="00FF6F71"/>
    <w:rsid w:val="00FF7591"/>
    <w:rsid w:val="00FF78C4"/>
    <w:rsid w:val="00FF7E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6DB0C3"/>
  <w15:docId w15:val="{33B24BEF-9667-466B-BCB3-C92DA4F34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6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CB6"/>
    <w:pPr>
      <w:spacing w:after="200" w:line="276" w:lineRule="auto"/>
    </w:pPr>
    <w:rPr>
      <w:sz w:val="22"/>
      <w:szCs w:val="22"/>
      <w:lang w:val="es-CR"/>
    </w:rPr>
  </w:style>
  <w:style w:type="paragraph" w:styleId="Ttulo1">
    <w:name w:val="heading 1"/>
    <w:basedOn w:val="Normal"/>
    <w:next w:val="Normal"/>
    <w:link w:val="Ttulo1Car"/>
    <w:uiPriority w:val="9"/>
    <w:qFormat/>
    <w:rsid w:val="00026CB6"/>
    <w:pPr>
      <w:keepNext/>
      <w:keepLines/>
      <w:spacing w:before="480" w:after="0"/>
      <w:outlineLvl w:val="0"/>
    </w:pPr>
    <w:rPr>
      <w:rFonts w:ascii="Cambria" w:hAnsi="Cambria"/>
      <w:b/>
      <w:bCs/>
      <w:color w:val="21798E"/>
      <w:sz w:val="28"/>
      <w:szCs w:val="28"/>
      <w:lang w:val="x-none" w:eastAsia="x-none"/>
    </w:rPr>
  </w:style>
  <w:style w:type="paragraph" w:styleId="Ttulo2">
    <w:name w:val="heading 2"/>
    <w:basedOn w:val="Normal"/>
    <w:next w:val="Normal"/>
    <w:link w:val="Ttulo2Car"/>
    <w:uiPriority w:val="9"/>
    <w:unhideWhenUsed/>
    <w:qFormat/>
    <w:rsid w:val="00026CB6"/>
    <w:pPr>
      <w:keepNext/>
      <w:keepLines/>
      <w:spacing w:before="200" w:after="0"/>
      <w:outlineLvl w:val="1"/>
    </w:pPr>
    <w:rPr>
      <w:rFonts w:ascii="Cambria" w:hAnsi="Cambria"/>
      <w:b/>
      <w:bCs/>
      <w:color w:val="2DA2BF"/>
      <w:sz w:val="26"/>
      <w:szCs w:val="26"/>
      <w:lang w:eastAsia="x-none"/>
    </w:rPr>
  </w:style>
  <w:style w:type="paragraph" w:styleId="Ttulo3">
    <w:name w:val="heading 3"/>
    <w:basedOn w:val="Normal"/>
    <w:next w:val="Normal"/>
    <w:link w:val="Ttulo3Car"/>
    <w:uiPriority w:val="9"/>
    <w:semiHidden/>
    <w:unhideWhenUsed/>
    <w:qFormat/>
    <w:rsid w:val="00026CB6"/>
    <w:pPr>
      <w:keepNext/>
      <w:keepLines/>
      <w:spacing w:before="200" w:after="0"/>
      <w:outlineLvl w:val="2"/>
    </w:pPr>
    <w:rPr>
      <w:rFonts w:ascii="Cambria" w:hAnsi="Cambria"/>
      <w:b/>
      <w:bCs/>
      <w:color w:val="2DA2BF"/>
      <w:sz w:val="20"/>
      <w:szCs w:val="20"/>
      <w:lang w:val="x-none" w:eastAsia="x-none"/>
    </w:rPr>
  </w:style>
  <w:style w:type="paragraph" w:styleId="Ttulo4">
    <w:name w:val="heading 4"/>
    <w:basedOn w:val="Normal"/>
    <w:next w:val="Normal"/>
    <w:link w:val="Ttulo4Car"/>
    <w:uiPriority w:val="9"/>
    <w:semiHidden/>
    <w:unhideWhenUsed/>
    <w:qFormat/>
    <w:rsid w:val="00026CB6"/>
    <w:pPr>
      <w:keepNext/>
      <w:keepLines/>
      <w:spacing w:before="200" w:after="0"/>
      <w:outlineLvl w:val="3"/>
    </w:pPr>
    <w:rPr>
      <w:rFonts w:ascii="Cambria" w:hAnsi="Cambria"/>
      <w:b/>
      <w:bCs/>
      <w:i/>
      <w:iCs/>
      <w:color w:val="2DA2BF"/>
      <w:sz w:val="20"/>
      <w:szCs w:val="20"/>
      <w:lang w:val="x-none" w:eastAsia="x-none"/>
    </w:rPr>
  </w:style>
  <w:style w:type="paragraph" w:styleId="Ttulo5">
    <w:name w:val="heading 5"/>
    <w:basedOn w:val="Normal"/>
    <w:next w:val="Normal"/>
    <w:link w:val="Ttulo5Car"/>
    <w:uiPriority w:val="9"/>
    <w:unhideWhenUsed/>
    <w:qFormat/>
    <w:rsid w:val="00026CB6"/>
    <w:pPr>
      <w:keepNext/>
      <w:keepLines/>
      <w:spacing w:before="200" w:after="0"/>
      <w:outlineLvl w:val="4"/>
    </w:pPr>
    <w:rPr>
      <w:rFonts w:ascii="Cambria" w:hAnsi="Cambria"/>
      <w:color w:val="16505E"/>
      <w:sz w:val="20"/>
      <w:szCs w:val="20"/>
      <w:lang w:val="x-none" w:eastAsia="x-none"/>
    </w:rPr>
  </w:style>
  <w:style w:type="paragraph" w:styleId="Ttulo6">
    <w:name w:val="heading 6"/>
    <w:basedOn w:val="Normal"/>
    <w:next w:val="Normal"/>
    <w:link w:val="Ttulo6Car"/>
    <w:uiPriority w:val="9"/>
    <w:semiHidden/>
    <w:unhideWhenUsed/>
    <w:qFormat/>
    <w:rsid w:val="00026CB6"/>
    <w:pPr>
      <w:keepNext/>
      <w:keepLines/>
      <w:spacing w:before="200" w:after="0"/>
      <w:outlineLvl w:val="5"/>
    </w:pPr>
    <w:rPr>
      <w:rFonts w:ascii="Cambria" w:hAnsi="Cambria"/>
      <w:i/>
      <w:iCs/>
      <w:color w:val="16505E"/>
      <w:sz w:val="20"/>
      <w:szCs w:val="20"/>
      <w:lang w:val="x-none" w:eastAsia="x-none"/>
    </w:rPr>
  </w:style>
  <w:style w:type="paragraph" w:styleId="Ttulo7">
    <w:name w:val="heading 7"/>
    <w:basedOn w:val="Normal"/>
    <w:next w:val="Normal"/>
    <w:link w:val="Ttulo7Car"/>
    <w:uiPriority w:val="9"/>
    <w:semiHidden/>
    <w:unhideWhenUsed/>
    <w:qFormat/>
    <w:rsid w:val="00026CB6"/>
    <w:pPr>
      <w:keepNext/>
      <w:keepLines/>
      <w:spacing w:before="200" w:after="0"/>
      <w:outlineLvl w:val="6"/>
    </w:pPr>
    <w:rPr>
      <w:rFonts w:ascii="Cambria" w:hAnsi="Cambria"/>
      <w:i/>
      <w:iCs/>
      <w:color w:val="404040"/>
      <w:sz w:val="20"/>
      <w:szCs w:val="20"/>
      <w:lang w:val="x-none" w:eastAsia="x-none"/>
    </w:rPr>
  </w:style>
  <w:style w:type="paragraph" w:styleId="Ttulo8">
    <w:name w:val="heading 8"/>
    <w:basedOn w:val="Normal"/>
    <w:next w:val="Normal"/>
    <w:link w:val="Ttulo8Car"/>
    <w:uiPriority w:val="9"/>
    <w:semiHidden/>
    <w:unhideWhenUsed/>
    <w:qFormat/>
    <w:rsid w:val="00026CB6"/>
    <w:pPr>
      <w:keepNext/>
      <w:keepLines/>
      <w:spacing w:before="200" w:after="0"/>
      <w:outlineLvl w:val="7"/>
    </w:pPr>
    <w:rPr>
      <w:rFonts w:ascii="Cambria" w:hAnsi="Cambria"/>
      <w:color w:val="2DA2BF"/>
      <w:sz w:val="20"/>
      <w:szCs w:val="20"/>
      <w:lang w:val="x-none" w:eastAsia="x-none"/>
    </w:rPr>
  </w:style>
  <w:style w:type="paragraph" w:styleId="Ttulo9">
    <w:name w:val="heading 9"/>
    <w:basedOn w:val="Normal"/>
    <w:next w:val="Normal"/>
    <w:link w:val="Ttulo9Car"/>
    <w:uiPriority w:val="9"/>
    <w:semiHidden/>
    <w:unhideWhenUsed/>
    <w:qFormat/>
    <w:rsid w:val="00026CB6"/>
    <w:pPr>
      <w:keepNext/>
      <w:keepLines/>
      <w:spacing w:before="200" w:after="0"/>
      <w:outlineLvl w:val="8"/>
    </w:pPr>
    <w:rPr>
      <w:rFonts w:ascii="Cambria" w:hAnsi="Cambria"/>
      <w:i/>
      <w:iCs/>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1"/>
    <w:uiPriority w:val="99"/>
    <w:semiHidden/>
    <w:unhideWhenUsed/>
    <w:rsid w:val="00F7586E"/>
    <w:pPr>
      <w:spacing w:after="0" w:line="240" w:lineRule="auto"/>
    </w:pPr>
    <w:rPr>
      <w:rFonts w:ascii="Tahoma" w:hAnsi="Tahoma"/>
      <w:sz w:val="16"/>
      <w:szCs w:val="16"/>
      <w:lang w:eastAsia="es-CR"/>
    </w:rPr>
  </w:style>
  <w:style w:type="character" w:customStyle="1" w:styleId="TextodegloboCar">
    <w:name w:val="Texto de globo Car"/>
    <w:uiPriority w:val="99"/>
    <w:semiHidden/>
    <w:rsid w:val="00A22CCE"/>
    <w:rPr>
      <w:rFonts w:ascii="Lucida Grande" w:hAnsi="Lucida Grande"/>
      <w:sz w:val="18"/>
      <w:szCs w:val="18"/>
    </w:rPr>
  </w:style>
  <w:style w:type="character" w:customStyle="1" w:styleId="TextodegloboCar0">
    <w:name w:val="Texto de globo Car"/>
    <w:uiPriority w:val="99"/>
    <w:semiHidden/>
    <w:rsid w:val="00A22CCE"/>
    <w:rPr>
      <w:rFonts w:ascii="Lucida Grande" w:hAnsi="Lucida Grande"/>
      <w:sz w:val="18"/>
      <w:szCs w:val="18"/>
    </w:rPr>
  </w:style>
  <w:style w:type="paragraph" w:styleId="Encabezado">
    <w:name w:val="header"/>
    <w:basedOn w:val="Normal"/>
    <w:link w:val="EncabezadoCar"/>
    <w:uiPriority w:val="99"/>
    <w:unhideWhenUsed/>
    <w:rsid w:val="007C057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C0577"/>
  </w:style>
  <w:style w:type="paragraph" w:styleId="Piedepgina">
    <w:name w:val="footer"/>
    <w:basedOn w:val="Normal"/>
    <w:link w:val="PiedepginaCar1"/>
    <w:uiPriority w:val="99"/>
    <w:unhideWhenUsed/>
    <w:rsid w:val="007C0577"/>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sid w:val="007C0577"/>
  </w:style>
  <w:style w:type="paragraph" w:customStyle="1" w:styleId="ColorfulList-Accent11">
    <w:name w:val="Colorful List - Accent 11"/>
    <w:aliases w:val="Párrafo de lista1,List Paragraph1,List Paragraph2"/>
    <w:basedOn w:val="Normal"/>
    <w:link w:val="ColorfulList-Accent1Char"/>
    <w:uiPriority w:val="99"/>
    <w:qFormat/>
    <w:rsid w:val="007C0577"/>
    <w:pPr>
      <w:ind w:left="720"/>
      <w:contextualSpacing/>
    </w:pPr>
    <w:rPr>
      <w:sz w:val="20"/>
      <w:szCs w:val="20"/>
      <w:lang w:eastAsia="es-CR"/>
    </w:rPr>
  </w:style>
  <w:style w:type="paragraph" w:styleId="Textonotapie">
    <w:name w:val="footnote text"/>
    <w:aliases w:val="Footnote Text Char Char Char Char Char,Footnote Text Char Char Char Char,Footnote reference,FA Fu,Footnote Text Char Char Char,footnote text,Footnote Text Cha,FA Fußnotentext,FA Fuﬂnotentext,Texto nota pie Car,Footnote Text Char Char,Car"/>
    <w:basedOn w:val="Normal"/>
    <w:link w:val="TextonotapieCar2"/>
    <w:qFormat/>
    <w:rsid w:val="00755F35"/>
    <w:pPr>
      <w:spacing w:after="0" w:line="240" w:lineRule="auto"/>
    </w:pPr>
    <w:rPr>
      <w:rFonts w:ascii="Times New Roman" w:hAnsi="Times New Roman"/>
      <w:sz w:val="20"/>
      <w:szCs w:val="20"/>
      <w:lang w:val="es-MX" w:eastAsia="x-none"/>
    </w:rPr>
  </w:style>
  <w:style w:type="character" w:customStyle="1" w:styleId="TextonotapieCar2">
    <w:name w:val="Texto nota pie Car2"/>
    <w:aliases w:val="Footnote Text Char Char Char Char Char Car2,Footnote Text Char Char Char Char Car2,Footnote reference Car2,FA Fu Car2,Footnote Text Char Char Char Car2,footnote text Car2,Footnote Text Cha Car2,FA Fußnotentext Car2,Car Car1"/>
    <w:link w:val="Textonotapie"/>
    <w:rsid w:val="00755F35"/>
    <w:rPr>
      <w:rFonts w:ascii="Times New Roman" w:eastAsia="Times New Roman" w:hAnsi="Times New Roman" w:cs="Times New Roman"/>
      <w:sz w:val="20"/>
      <w:szCs w:val="20"/>
      <w:lang w:val="es-MX"/>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uiPriority w:val="99"/>
    <w:qFormat/>
    <w:rsid w:val="00755F35"/>
    <w:rPr>
      <w:vertAlign w:val="superscript"/>
    </w:rPr>
  </w:style>
  <w:style w:type="character" w:customStyle="1" w:styleId="ColorfulList-Accent1Char">
    <w:name w:val="Colorful List - Accent 1 Char"/>
    <w:aliases w:val="Párrafo de lista1 Char,List Paragraph1 Char,List Paragraph2 Char"/>
    <w:link w:val="ColorfulList-Accent11"/>
    <w:uiPriority w:val="99"/>
    <w:rsid w:val="00F7586E"/>
    <w:rPr>
      <w:rFonts w:eastAsia="Times New Roman"/>
      <w:lang w:val="es-CR" w:eastAsia="es-CR"/>
    </w:rPr>
  </w:style>
  <w:style w:type="character" w:customStyle="1" w:styleId="TextodegloboCar1">
    <w:name w:val="Texto de globo Car1"/>
    <w:link w:val="Textodeglobo"/>
    <w:uiPriority w:val="99"/>
    <w:semiHidden/>
    <w:rsid w:val="00F7586E"/>
    <w:rPr>
      <w:rFonts w:ascii="Tahoma" w:eastAsia="Times New Roman" w:hAnsi="Tahoma" w:cs="Tahoma"/>
      <w:sz w:val="16"/>
      <w:szCs w:val="16"/>
      <w:lang w:val="es-CR" w:eastAsia="es-CR"/>
    </w:rPr>
  </w:style>
  <w:style w:type="character" w:customStyle="1" w:styleId="Ttulo5Car">
    <w:name w:val="Título 5 Car"/>
    <w:link w:val="Ttulo5"/>
    <w:uiPriority w:val="9"/>
    <w:rsid w:val="00026CB6"/>
    <w:rPr>
      <w:rFonts w:ascii="Cambria" w:eastAsia="Times New Roman" w:hAnsi="Cambria" w:cs="Times New Roman"/>
      <w:color w:val="16505E"/>
    </w:rPr>
  </w:style>
  <w:style w:type="character" w:styleId="Refdecomentario">
    <w:name w:val="annotation reference"/>
    <w:unhideWhenUsed/>
    <w:rsid w:val="00D654EB"/>
    <w:rPr>
      <w:sz w:val="16"/>
      <w:szCs w:val="16"/>
    </w:rPr>
  </w:style>
  <w:style w:type="paragraph" w:styleId="Textocomentario">
    <w:name w:val="annotation text"/>
    <w:basedOn w:val="Normal"/>
    <w:link w:val="TextocomentarioCar1"/>
    <w:unhideWhenUsed/>
    <w:rsid w:val="00D654EB"/>
    <w:pPr>
      <w:spacing w:line="240" w:lineRule="auto"/>
    </w:pPr>
    <w:rPr>
      <w:sz w:val="20"/>
      <w:szCs w:val="20"/>
      <w:lang w:eastAsia="es-CR"/>
    </w:rPr>
  </w:style>
  <w:style w:type="character" w:customStyle="1" w:styleId="TextocomentarioCar1">
    <w:name w:val="Texto comentario Car1"/>
    <w:link w:val="Textocomentario"/>
    <w:rsid w:val="00D654EB"/>
    <w:rPr>
      <w:rFonts w:eastAsia="Times New Roman"/>
      <w:sz w:val="20"/>
      <w:szCs w:val="20"/>
      <w:lang w:val="es-CR" w:eastAsia="es-CR"/>
    </w:rPr>
  </w:style>
  <w:style w:type="paragraph" w:styleId="Asuntodelcomentario">
    <w:name w:val="annotation subject"/>
    <w:basedOn w:val="Textocomentario"/>
    <w:next w:val="Textocomentario"/>
    <w:link w:val="AsuntodelcomentarioCar1"/>
    <w:uiPriority w:val="99"/>
    <w:semiHidden/>
    <w:unhideWhenUsed/>
    <w:rsid w:val="00D654EB"/>
    <w:rPr>
      <w:b/>
      <w:bCs/>
    </w:rPr>
  </w:style>
  <w:style w:type="character" w:customStyle="1" w:styleId="AsuntodelcomentarioCar1">
    <w:name w:val="Asunto del comentario Car1"/>
    <w:link w:val="Asuntodelcomentario"/>
    <w:uiPriority w:val="99"/>
    <w:semiHidden/>
    <w:rsid w:val="00D654EB"/>
    <w:rPr>
      <w:rFonts w:eastAsia="Times New Roman"/>
      <w:b/>
      <w:bCs/>
      <w:sz w:val="20"/>
      <w:szCs w:val="20"/>
      <w:lang w:val="es-CR" w:eastAsia="es-CR"/>
    </w:rPr>
  </w:style>
  <w:style w:type="character" w:customStyle="1" w:styleId="apple-style-span">
    <w:name w:val="apple-style-span"/>
    <w:basedOn w:val="Fuentedeprrafopredeter"/>
    <w:rsid w:val="00B76DF0"/>
  </w:style>
  <w:style w:type="paragraph" w:styleId="Sangradetextonormal">
    <w:name w:val="Body Text Indent"/>
    <w:basedOn w:val="Normal"/>
    <w:link w:val="SangradetextonormalCar"/>
    <w:rsid w:val="00C46A73"/>
    <w:pPr>
      <w:spacing w:after="0" w:line="240" w:lineRule="auto"/>
      <w:ind w:left="720"/>
      <w:jc w:val="both"/>
    </w:pPr>
    <w:rPr>
      <w:rFonts w:ascii="Univers" w:hAnsi="Univers"/>
      <w:sz w:val="20"/>
      <w:szCs w:val="20"/>
      <w:lang w:val="es-CL" w:eastAsia="x-none"/>
    </w:rPr>
  </w:style>
  <w:style w:type="character" w:customStyle="1" w:styleId="SangradetextonormalCar">
    <w:name w:val="Sangría de texto normal Car"/>
    <w:link w:val="Sangradetextonormal"/>
    <w:rsid w:val="00C46A73"/>
    <w:rPr>
      <w:rFonts w:ascii="Univers" w:eastAsia="Times New Roman" w:hAnsi="Univers" w:cs="Times New Roman"/>
      <w:sz w:val="20"/>
      <w:szCs w:val="20"/>
      <w:lang w:val="es-CL"/>
    </w:rPr>
  </w:style>
  <w:style w:type="paragraph" w:customStyle="1" w:styleId="ColorfulShading-Accent11">
    <w:name w:val="Colorful Shading - Accent 11"/>
    <w:hidden/>
    <w:uiPriority w:val="99"/>
    <w:semiHidden/>
    <w:rsid w:val="000A1202"/>
    <w:pPr>
      <w:spacing w:after="200" w:line="276" w:lineRule="auto"/>
    </w:pPr>
    <w:rPr>
      <w:sz w:val="22"/>
      <w:szCs w:val="22"/>
      <w:lang w:val="es-CR" w:eastAsia="es-CR"/>
    </w:rPr>
  </w:style>
  <w:style w:type="character" w:customStyle="1" w:styleId="Ttulodelibro1">
    <w:name w:val="Título de libro1"/>
    <w:uiPriority w:val="33"/>
    <w:rsid w:val="007C1F21"/>
    <w:rPr>
      <w:b/>
      <w:bCs/>
      <w:smallCaps/>
      <w:spacing w:val="5"/>
    </w:rPr>
  </w:style>
  <w:style w:type="character" w:customStyle="1" w:styleId="FootnoteTextChar2">
    <w:name w:val="Footnote Text Char2"/>
    <w:aliases w:val="FA Fu Char1,Footnote Text Char Char Char Char Char Char1,Footnote Text Char Char Char Char Char2,Footnote reference Char1,Footnote Text Char Char Char Char2,Texto nota pie Car Char1,FA Fu Car Char1,FA Fu Car Car Char1,Ca Char,C Char"/>
    <w:uiPriority w:val="99"/>
    <w:locked/>
    <w:rsid w:val="00426061"/>
    <w:rPr>
      <w:rFonts w:ascii="Calibri" w:eastAsia="Calibri" w:hAnsi="Calibri" w:cs="Calibri"/>
      <w:sz w:val="20"/>
      <w:szCs w:val="20"/>
      <w:lang w:val="es-GT"/>
    </w:rPr>
  </w:style>
  <w:style w:type="paragraph" w:customStyle="1" w:styleId="ColorfulList-Accent12">
    <w:name w:val="Colorful List - Accent 12"/>
    <w:basedOn w:val="Normal"/>
    <w:link w:val="ColorfulList-Accent1Char1"/>
    <w:uiPriority w:val="99"/>
    <w:rsid w:val="002D6B4D"/>
    <w:pPr>
      <w:ind w:left="720"/>
      <w:contextualSpacing/>
    </w:pPr>
    <w:rPr>
      <w:lang w:eastAsia="es-CR"/>
    </w:rPr>
  </w:style>
  <w:style w:type="paragraph" w:styleId="Listaconvietas">
    <w:name w:val="List Bullet"/>
    <w:basedOn w:val="Normal"/>
    <w:uiPriority w:val="99"/>
    <w:unhideWhenUsed/>
    <w:rsid w:val="009B799F"/>
    <w:pPr>
      <w:numPr>
        <w:numId w:val="1"/>
      </w:numPr>
      <w:contextualSpacing/>
    </w:pPr>
  </w:style>
  <w:style w:type="character" w:customStyle="1" w:styleId="ColorfulList-Accent1Char1">
    <w:name w:val="Colorful List - Accent 1 Char1"/>
    <w:link w:val="ColorfulList-Accent12"/>
    <w:uiPriority w:val="99"/>
    <w:locked/>
    <w:rsid w:val="00B97DC8"/>
    <w:rPr>
      <w:rFonts w:eastAsia="Times New Roman"/>
      <w:sz w:val="22"/>
      <w:szCs w:val="22"/>
      <w:lang w:val="es-CR" w:eastAsia="es-CR"/>
    </w:rPr>
  </w:style>
  <w:style w:type="paragraph" w:customStyle="1" w:styleId="ColorfulShading-Accent12">
    <w:name w:val="Colorful Shading - Accent 12"/>
    <w:hidden/>
    <w:uiPriority w:val="71"/>
    <w:rsid w:val="001956A2"/>
    <w:pPr>
      <w:spacing w:after="200" w:line="276" w:lineRule="auto"/>
    </w:pPr>
    <w:rPr>
      <w:sz w:val="22"/>
      <w:szCs w:val="22"/>
      <w:lang w:val="es-CR" w:eastAsia="es-CR"/>
    </w:rPr>
  </w:style>
  <w:style w:type="character" w:styleId="Textoennegrita">
    <w:name w:val="Strong"/>
    <w:uiPriority w:val="22"/>
    <w:qFormat/>
    <w:rsid w:val="00026CB6"/>
    <w:rPr>
      <w:b/>
      <w:bCs/>
    </w:rPr>
  </w:style>
  <w:style w:type="character" w:customStyle="1" w:styleId="Ttulo3Car">
    <w:name w:val="Título 3 Car"/>
    <w:link w:val="Ttulo3"/>
    <w:uiPriority w:val="9"/>
    <w:semiHidden/>
    <w:rsid w:val="00026CB6"/>
    <w:rPr>
      <w:rFonts w:ascii="Cambria" w:eastAsia="Times New Roman" w:hAnsi="Cambria" w:cs="Times New Roman"/>
      <w:b/>
      <w:bCs/>
      <w:color w:val="2DA2BF"/>
    </w:rPr>
  </w:style>
  <w:style w:type="paragraph" w:styleId="Prrafodelista">
    <w:name w:val="List Paragraph"/>
    <w:basedOn w:val="Normal"/>
    <w:link w:val="PrrafodelistaCar1"/>
    <w:uiPriority w:val="34"/>
    <w:qFormat/>
    <w:rsid w:val="00026CB6"/>
    <w:pPr>
      <w:ind w:left="720"/>
      <w:contextualSpacing/>
    </w:pPr>
  </w:style>
  <w:style w:type="character" w:customStyle="1" w:styleId="PrrafodelistaCar1">
    <w:name w:val="Párrafo de lista Car1"/>
    <w:link w:val="Prrafodelista"/>
    <w:uiPriority w:val="34"/>
    <w:locked/>
    <w:rsid w:val="009263AD"/>
  </w:style>
  <w:style w:type="character" w:customStyle="1" w:styleId="Ttulo1Car">
    <w:name w:val="Título 1 Car"/>
    <w:link w:val="Ttulo1"/>
    <w:uiPriority w:val="9"/>
    <w:rsid w:val="00026CB6"/>
    <w:rPr>
      <w:rFonts w:ascii="Cambria" w:eastAsia="Times New Roman" w:hAnsi="Cambria" w:cs="Times New Roman"/>
      <w:b/>
      <w:bCs/>
      <w:color w:val="21798E"/>
      <w:sz w:val="28"/>
      <w:szCs w:val="28"/>
    </w:rPr>
  </w:style>
  <w:style w:type="paragraph" w:customStyle="1" w:styleId="Estilo3">
    <w:name w:val="Estilo3"/>
    <w:basedOn w:val="Prrafodelista"/>
    <w:rsid w:val="00F87948"/>
    <w:pPr>
      <w:numPr>
        <w:ilvl w:val="4"/>
        <w:numId w:val="2"/>
      </w:numPr>
      <w:spacing w:after="120" w:line="216" w:lineRule="auto"/>
      <w:ind w:right="17"/>
      <w:contextualSpacing w:val="0"/>
      <w:jc w:val="both"/>
    </w:pPr>
    <w:rPr>
      <w:rFonts w:ascii="Verdana" w:eastAsia="Calibri" w:hAnsi="Verdana"/>
      <w:spacing w:val="-2"/>
      <w:sz w:val="20"/>
      <w:szCs w:val="20"/>
    </w:rPr>
  </w:style>
  <w:style w:type="paragraph" w:customStyle="1" w:styleId="Estilo5">
    <w:name w:val="Estilo5"/>
    <w:basedOn w:val="Prrafodelista"/>
    <w:link w:val="Estilo5Car"/>
    <w:rsid w:val="00F87948"/>
    <w:pPr>
      <w:numPr>
        <w:numId w:val="2"/>
      </w:numPr>
      <w:spacing w:after="120" w:line="216" w:lineRule="auto"/>
      <w:ind w:right="18"/>
      <w:contextualSpacing w:val="0"/>
      <w:jc w:val="both"/>
    </w:pPr>
    <w:rPr>
      <w:rFonts w:ascii="Verdana" w:hAnsi="Verdana"/>
      <w:spacing w:val="-2"/>
      <w:sz w:val="20"/>
      <w:szCs w:val="20"/>
      <w:lang w:val="es-MX" w:eastAsia="x-none"/>
    </w:rPr>
  </w:style>
  <w:style w:type="character" w:customStyle="1" w:styleId="Estilo5Car">
    <w:name w:val="Estilo5 Car"/>
    <w:link w:val="Estilo5"/>
    <w:rsid w:val="00F87948"/>
    <w:rPr>
      <w:rFonts w:ascii="Verdana" w:hAnsi="Verdana"/>
      <w:spacing w:val="-2"/>
      <w:lang w:val="es-MX" w:eastAsia="x-none"/>
    </w:rPr>
  </w:style>
  <w:style w:type="paragraph" w:customStyle="1" w:styleId="Estilo8">
    <w:name w:val="Estilo8"/>
    <w:basedOn w:val="Estilo3"/>
    <w:qFormat/>
    <w:rsid w:val="00F87948"/>
    <w:pPr>
      <w:numPr>
        <w:ilvl w:val="5"/>
      </w:numPr>
      <w:ind w:left="1080" w:hanging="358"/>
    </w:pPr>
  </w:style>
  <w:style w:type="paragraph" w:customStyle="1" w:styleId="citaindirecta">
    <w:name w:val="cita indirecta"/>
    <w:basedOn w:val="Normal"/>
    <w:rsid w:val="008D6FD7"/>
    <w:pPr>
      <w:spacing w:after="0" w:line="240" w:lineRule="auto"/>
      <w:ind w:left="708"/>
      <w:jc w:val="both"/>
    </w:pPr>
    <w:rPr>
      <w:rFonts w:ascii="Verdana" w:hAnsi="Verdana"/>
      <w:sz w:val="20"/>
      <w:szCs w:val="20"/>
      <w:lang w:val="es-ES_tradnl" w:eastAsia="es-MX"/>
    </w:rPr>
  </w:style>
  <w:style w:type="paragraph" w:customStyle="1" w:styleId="Estilo4">
    <w:name w:val="Estilo4"/>
    <w:basedOn w:val="Prrafodelista"/>
    <w:qFormat/>
    <w:rsid w:val="003B5E5F"/>
    <w:pPr>
      <w:numPr>
        <w:ilvl w:val="1"/>
        <w:numId w:val="4"/>
      </w:numPr>
      <w:spacing w:after="120" w:line="240" w:lineRule="auto"/>
      <w:ind w:left="0" w:firstLine="357"/>
      <w:contextualSpacing w:val="0"/>
      <w:jc w:val="both"/>
    </w:pPr>
    <w:rPr>
      <w:rFonts w:ascii="Verdana" w:hAnsi="Verdana"/>
      <w:spacing w:val="-2"/>
      <w:sz w:val="20"/>
      <w:szCs w:val="20"/>
    </w:rPr>
  </w:style>
  <w:style w:type="character" w:styleId="Hipervnculo">
    <w:name w:val="Hyperlink"/>
    <w:uiPriority w:val="99"/>
    <w:unhideWhenUsed/>
    <w:rsid w:val="0062696E"/>
    <w:rPr>
      <w:color w:val="0000FF"/>
      <w:u w:val="single"/>
    </w:rPr>
  </w:style>
  <w:style w:type="table" w:styleId="Tablaconcuadrcula">
    <w:name w:val="Table Grid"/>
    <w:basedOn w:val="Tablanormal"/>
    <w:uiPriority w:val="59"/>
    <w:rsid w:val="00C05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1D76"/>
    <w:pPr>
      <w:autoSpaceDE w:val="0"/>
      <w:autoSpaceDN w:val="0"/>
      <w:adjustRightInd w:val="0"/>
      <w:spacing w:after="200" w:line="276" w:lineRule="auto"/>
    </w:pPr>
    <w:rPr>
      <w:rFonts w:ascii="Verdana" w:hAnsi="Verdana" w:cs="Verdana"/>
      <w:color w:val="000000"/>
      <w:sz w:val="24"/>
      <w:szCs w:val="24"/>
      <w:lang w:val="es-MX" w:eastAsia="es-MX"/>
    </w:rPr>
  </w:style>
  <w:style w:type="character" w:customStyle="1" w:styleId="apple-converted-space">
    <w:name w:val="apple-converted-space"/>
    <w:rsid w:val="00860D09"/>
  </w:style>
  <w:style w:type="paragraph" w:styleId="Subttulo">
    <w:name w:val="Subtitle"/>
    <w:basedOn w:val="Normal"/>
    <w:next w:val="Normal"/>
    <w:link w:val="SubttuloCar"/>
    <w:uiPriority w:val="11"/>
    <w:qFormat/>
    <w:rsid w:val="00026CB6"/>
    <w:pPr>
      <w:numPr>
        <w:ilvl w:val="1"/>
      </w:numPr>
    </w:pPr>
    <w:rPr>
      <w:rFonts w:ascii="Cambria" w:hAnsi="Cambria"/>
      <w:i/>
      <w:iCs/>
      <w:color w:val="2DA2BF"/>
      <w:spacing w:val="15"/>
      <w:sz w:val="24"/>
      <w:szCs w:val="24"/>
      <w:lang w:val="x-none" w:eastAsia="x-none"/>
    </w:rPr>
  </w:style>
  <w:style w:type="character" w:customStyle="1" w:styleId="SubttuloCar">
    <w:name w:val="Subtítulo Car"/>
    <w:link w:val="Subttulo"/>
    <w:uiPriority w:val="11"/>
    <w:rsid w:val="00026CB6"/>
    <w:rPr>
      <w:rFonts w:ascii="Cambria" w:eastAsia="Times New Roman" w:hAnsi="Cambria" w:cs="Times New Roman"/>
      <w:i/>
      <w:iCs/>
      <w:color w:val="2DA2BF"/>
      <w:spacing w:val="15"/>
      <w:sz w:val="24"/>
      <w:szCs w:val="24"/>
    </w:rPr>
  </w:style>
  <w:style w:type="character" w:styleId="nfasis">
    <w:name w:val="Emphasis"/>
    <w:uiPriority w:val="20"/>
    <w:qFormat/>
    <w:rsid w:val="00026CB6"/>
    <w:rPr>
      <w:i/>
      <w:iCs/>
    </w:rPr>
  </w:style>
  <w:style w:type="paragraph" w:styleId="TDC1">
    <w:name w:val="toc 1"/>
    <w:basedOn w:val="Sentencia1"/>
    <w:next w:val="Normal"/>
    <w:autoRedefine/>
    <w:uiPriority w:val="39"/>
    <w:unhideWhenUsed/>
    <w:qFormat/>
    <w:rsid w:val="00177710"/>
    <w:pPr>
      <w:keepNext w:val="0"/>
      <w:keepLines w:val="0"/>
      <w:tabs>
        <w:tab w:val="right" w:leader="dot" w:pos="9782"/>
      </w:tabs>
      <w:spacing w:line="276" w:lineRule="auto"/>
      <w:jc w:val="left"/>
      <w:outlineLvl w:val="9"/>
    </w:pPr>
    <w:rPr>
      <w:iCs/>
      <w:noProof/>
      <w:szCs w:val="24"/>
    </w:rPr>
  </w:style>
  <w:style w:type="paragraph" w:styleId="TDC2">
    <w:name w:val="toc 2"/>
    <w:basedOn w:val="Sentencia2"/>
    <w:next w:val="Normal"/>
    <w:autoRedefine/>
    <w:uiPriority w:val="39"/>
    <w:unhideWhenUsed/>
    <w:qFormat/>
    <w:rsid w:val="00993DDE"/>
    <w:pPr>
      <w:keepNext w:val="0"/>
      <w:keepLines w:val="0"/>
      <w:tabs>
        <w:tab w:val="left" w:pos="660"/>
        <w:tab w:val="right" w:leader="dot" w:pos="9782"/>
      </w:tabs>
      <w:spacing w:line="240" w:lineRule="auto"/>
      <w:outlineLvl w:val="9"/>
    </w:pPr>
    <w:rPr>
      <w:noProof/>
      <w:szCs w:val="22"/>
    </w:rPr>
  </w:style>
  <w:style w:type="paragraph" w:styleId="TDC3">
    <w:name w:val="toc 3"/>
    <w:basedOn w:val="Sentencia3"/>
    <w:next w:val="Normal"/>
    <w:autoRedefine/>
    <w:uiPriority w:val="39"/>
    <w:unhideWhenUsed/>
    <w:qFormat/>
    <w:rsid w:val="00177710"/>
    <w:pPr>
      <w:keepNext w:val="0"/>
      <w:keepLines w:val="0"/>
      <w:tabs>
        <w:tab w:val="right" w:leader="dot" w:pos="9782"/>
      </w:tabs>
      <w:spacing w:line="240" w:lineRule="auto"/>
      <w:ind w:left="0"/>
      <w:jc w:val="both"/>
      <w:outlineLvl w:val="9"/>
    </w:pPr>
    <w:rPr>
      <w:bCs w:val="0"/>
      <w:i w:val="0"/>
      <w:color w:val="auto"/>
    </w:rPr>
  </w:style>
  <w:style w:type="character" w:customStyle="1" w:styleId="Ttulo2Car">
    <w:name w:val="Título 2 Car"/>
    <w:link w:val="Ttulo2"/>
    <w:uiPriority w:val="9"/>
    <w:rsid w:val="00026CB6"/>
    <w:rPr>
      <w:rFonts w:ascii="Cambria" w:hAnsi="Cambria"/>
      <w:b/>
      <w:bCs/>
      <w:color w:val="2DA2BF"/>
      <w:sz w:val="26"/>
      <w:szCs w:val="26"/>
      <w:lang w:val="es-CR"/>
    </w:rPr>
  </w:style>
  <w:style w:type="paragraph" w:styleId="NormalWeb">
    <w:name w:val="Normal (Web)"/>
    <w:aliases w:val="Normal (Web) Char1,Normal (Web) Char Char,Normal (Web) Char1 Char,Normal (Web) Char Char Char"/>
    <w:basedOn w:val="Normal"/>
    <w:uiPriority w:val="99"/>
    <w:unhideWhenUsed/>
    <w:qFormat/>
    <w:rsid w:val="0075560B"/>
    <w:pPr>
      <w:widowControl w:val="0"/>
    </w:pPr>
    <w:rPr>
      <w:rFonts w:ascii="Times New Roman" w:eastAsia="Calibri" w:hAnsi="Times New Roman"/>
      <w:sz w:val="24"/>
      <w:szCs w:val="24"/>
      <w:lang w:val="en-US"/>
    </w:rPr>
  </w:style>
  <w:style w:type="paragraph" w:styleId="Textonotaalfinal">
    <w:name w:val="endnote text"/>
    <w:basedOn w:val="Normal"/>
    <w:link w:val="TextonotaalfinalCar"/>
    <w:uiPriority w:val="99"/>
    <w:semiHidden/>
    <w:unhideWhenUsed/>
    <w:rsid w:val="0075560B"/>
    <w:pPr>
      <w:widowControl w:val="0"/>
      <w:spacing w:after="0" w:line="240" w:lineRule="auto"/>
    </w:pPr>
    <w:rPr>
      <w:sz w:val="20"/>
      <w:szCs w:val="20"/>
      <w:lang w:val="en-US"/>
    </w:rPr>
  </w:style>
  <w:style w:type="character" w:customStyle="1" w:styleId="TextonotaalfinalCar">
    <w:name w:val="Texto nota al final Car"/>
    <w:link w:val="Textonotaalfinal"/>
    <w:uiPriority w:val="99"/>
    <w:semiHidden/>
    <w:rsid w:val="0075560B"/>
    <w:rPr>
      <w:lang w:val="en-US" w:eastAsia="en-US"/>
    </w:rPr>
  </w:style>
  <w:style w:type="paragraph" w:styleId="Revisin">
    <w:name w:val="Revision"/>
    <w:hidden/>
    <w:uiPriority w:val="99"/>
    <w:rsid w:val="005069A0"/>
    <w:pPr>
      <w:spacing w:after="200" w:line="276" w:lineRule="auto"/>
    </w:pPr>
    <w:rPr>
      <w:sz w:val="22"/>
      <w:szCs w:val="22"/>
      <w:lang w:val="es-CR" w:eastAsia="es-CR"/>
    </w:rPr>
  </w:style>
  <w:style w:type="paragraph" w:customStyle="1" w:styleId="PrrafodeSentencia">
    <w:name w:val="*. Párrafo de Sentencia"/>
    <w:basedOn w:val="ColorfulList-Accent12"/>
    <w:link w:val="PrrafodeSentenciaChar"/>
    <w:autoRedefine/>
    <w:qFormat/>
    <w:rsid w:val="00077D21"/>
    <w:pPr>
      <w:numPr>
        <w:numId w:val="3"/>
      </w:numPr>
      <w:spacing w:after="0" w:line="240" w:lineRule="auto"/>
      <w:ind w:left="0" w:firstLine="0"/>
      <w:contextualSpacing w:val="0"/>
      <w:jc w:val="both"/>
    </w:pPr>
    <w:rPr>
      <w:rFonts w:ascii="Verdana" w:eastAsia="Batang" w:hAnsi="Verdana"/>
      <w:sz w:val="20"/>
      <w:szCs w:val="20"/>
      <w:lang w:val="es-ES_tradnl" w:eastAsia="es-MX"/>
    </w:rPr>
  </w:style>
  <w:style w:type="character" w:customStyle="1" w:styleId="PrrafodeSentenciaChar">
    <w:name w:val="*. Párrafo de Sentencia Char"/>
    <w:link w:val="PrrafodeSentencia"/>
    <w:locked/>
    <w:rsid w:val="00077D21"/>
    <w:rPr>
      <w:rFonts w:ascii="Verdana" w:eastAsia="Batang" w:hAnsi="Verdana"/>
      <w:lang w:val="es-ES_tradnl" w:eastAsia="es-MX"/>
    </w:rPr>
  </w:style>
  <w:style w:type="character" w:customStyle="1" w:styleId="FootnotesChar">
    <w:name w:val="**. Footnotes Char"/>
    <w:link w:val="Footnotes"/>
    <w:locked/>
    <w:rsid w:val="00165633"/>
    <w:rPr>
      <w:rFonts w:ascii="Verdana" w:eastAsia="Times New Roman" w:hAnsi="Verdana" w:cs="Palatino-Italic"/>
      <w:iCs/>
      <w:spacing w:val="-4"/>
      <w:sz w:val="16"/>
      <w:szCs w:val="16"/>
      <w:lang w:val="es-ES" w:bidi="en-US"/>
    </w:rPr>
  </w:style>
  <w:style w:type="paragraph" w:customStyle="1" w:styleId="Footnotes">
    <w:name w:val="**. Footnotes"/>
    <w:basedOn w:val="Textonotapie"/>
    <w:link w:val="FootnotesChar"/>
    <w:qFormat/>
    <w:rsid w:val="00165633"/>
    <w:pPr>
      <w:tabs>
        <w:tab w:val="left" w:pos="567"/>
      </w:tabs>
      <w:jc w:val="both"/>
    </w:pPr>
    <w:rPr>
      <w:rFonts w:ascii="Verdana" w:hAnsi="Verdana" w:cs="Palatino-Italic"/>
      <w:iCs/>
      <w:spacing w:val="-4"/>
      <w:sz w:val="16"/>
      <w:szCs w:val="16"/>
      <w:lang w:val="es-ES" w:bidi="en-US"/>
    </w:rPr>
  </w:style>
  <w:style w:type="paragraph" w:customStyle="1" w:styleId="Textonotapie1">
    <w:name w:val="Texto nota pie1"/>
    <w:basedOn w:val="Normal"/>
    <w:semiHidden/>
    <w:rsid w:val="003C5C90"/>
    <w:pPr>
      <w:spacing w:after="0" w:line="240" w:lineRule="auto"/>
    </w:pPr>
    <w:rPr>
      <w:rFonts w:ascii="Times New Roman" w:hAnsi="Times New Roman"/>
      <w:sz w:val="20"/>
      <w:szCs w:val="20"/>
      <w:lang w:val="es-ES_tradnl" w:eastAsia="es-ES"/>
    </w:rPr>
  </w:style>
  <w:style w:type="character" w:customStyle="1" w:styleId="sb8d990e2">
    <w:name w:val="sb8d990e2"/>
    <w:rsid w:val="000C5372"/>
  </w:style>
  <w:style w:type="paragraph" w:customStyle="1" w:styleId="Estilo2">
    <w:name w:val="Estilo2"/>
    <w:basedOn w:val="Normal"/>
    <w:link w:val="Estilo2Car"/>
    <w:qFormat/>
    <w:rsid w:val="00F24471"/>
    <w:pPr>
      <w:tabs>
        <w:tab w:val="left" w:pos="567"/>
        <w:tab w:val="left" w:pos="1134"/>
      </w:tabs>
      <w:spacing w:after="120" w:line="240" w:lineRule="auto"/>
      <w:ind w:firstLine="357"/>
      <w:jc w:val="both"/>
    </w:pPr>
    <w:rPr>
      <w:rFonts w:ascii="Verdana" w:hAnsi="Verdana"/>
      <w:sz w:val="20"/>
      <w:szCs w:val="20"/>
      <w:lang w:val="es-ES_tradnl" w:eastAsia="es-MX"/>
    </w:rPr>
  </w:style>
  <w:style w:type="character" w:customStyle="1" w:styleId="Estilo2Car">
    <w:name w:val="Estilo2 Car"/>
    <w:link w:val="Estilo2"/>
    <w:locked/>
    <w:rsid w:val="00F24471"/>
    <w:rPr>
      <w:rFonts w:ascii="Verdana" w:hAnsi="Verdana"/>
      <w:lang w:val="es-ES_tradnl" w:eastAsia="es-MX"/>
    </w:rPr>
  </w:style>
  <w:style w:type="character" w:styleId="nfasissutil">
    <w:name w:val="Subtle Emphasis"/>
    <w:uiPriority w:val="19"/>
    <w:qFormat/>
    <w:rsid w:val="00026CB6"/>
    <w:rPr>
      <w:i/>
      <w:iCs/>
      <w:color w:val="808080"/>
    </w:rPr>
  </w:style>
  <w:style w:type="character" w:styleId="Hipervnculovisitado">
    <w:name w:val="FollowedHyperlink"/>
    <w:uiPriority w:val="99"/>
    <w:semiHidden/>
    <w:unhideWhenUsed/>
    <w:rsid w:val="005D5603"/>
    <w:rPr>
      <w:color w:val="800080"/>
      <w:u w:val="single"/>
    </w:rPr>
  </w:style>
  <w:style w:type="character" w:customStyle="1" w:styleId="Ttulo4Car">
    <w:name w:val="Título 4 Car"/>
    <w:link w:val="Ttulo4"/>
    <w:uiPriority w:val="9"/>
    <w:semiHidden/>
    <w:rsid w:val="00026CB6"/>
    <w:rPr>
      <w:rFonts w:ascii="Cambria" w:eastAsia="Times New Roman" w:hAnsi="Cambria" w:cs="Times New Roman"/>
      <w:b/>
      <w:bCs/>
      <w:i/>
      <w:iCs/>
      <w:color w:val="2DA2BF"/>
    </w:rPr>
  </w:style>
  <w:style w:type="character" w:customStyle="1" w:styleId="Ttulo6Car">
    <w:name w:val="Título 6 Car"/>
    <w:link w:val="Ttulo6"/>
    <w:uiPriority w:val="9"/>
    <w:semiHidden/>
    <w:rsid w:val="00026CB6"/>
    <w:rPr>
      <w:rFonts w:ascii="Cambria" w:eastAsia="Times New Roman" w:hAnsi="Cambria" w:cs="Times New Roman"/>
      <w:i/>
      <w:iCs/>
      <w:color w:val="16505E"/>
    </w:rPr>
  </w:style>
  <w:style w:type="character" w:customStyle="1" w:styleId="Ttulo7Car">
    <w:name w:val="Título 7 Car"/>
    <w:link w:val="Ttulo7"/>
    <w:uiPriority w:val="9"/>
    <w:semiHidden/>
    <w:rsid w:val="00026CB6"/>
    <w:rPr>
      <w:rFonts w:ascii="Cambria" w:eastAsia="Times New Roman" w:hAnsi="Cambria" w:cs="Times New Roman"/>
      <w:i/>
      <w:iCs/>
      <w:color w:val="404040"/>
    </w:rPr>
  </w:style>
  <w:style w:type="character" w:customStyle="1" w:styleId="Ttulo8Car">
    <w:name w:val="Título 8 Car"/>
    <w:link w:val="Ttulo8"/>
    <w:uiPriority w:val="9"/>
    <w:semiHidden/>
    <w:rsid w:val="00026CB6"/>
    <w:rPr>
      <w:rFonts w:ascii="Cambria" w:eastAsia="Times New Roman" w:hAnsi="Cambria" w:cs="Times New Roman"/>
      <w:color w:val="2DA2BF"/>
      <w:sz w:val="20"/>
      <w:szCs w:val="20"/>
    </w:rPr>
  </w:style>
  <w:style w:type="character" w:customStyle="1" w:styleId="Ttulo9Car">
    <w:name w:val="Título 9 Car"/>
    <w:link w:val="Ttulo9"/>
    <w:uiPriority w:val="9"/>
    <w:semiHidden/>
    <w:rsid w:val="00026CB6"/>
    <w:rPr>
      <w:rFonts w:ascii="Cambria" w:eastAsia="Times New Roman" w:hAnsi="Cambria" w:cs="Times New Roman"/>
      <w:i/>
      <w:iCs/>
      <w:color w:val="404040"/>
      <w:sz w:val="20"/>
      <w:szCs w:val="20"/>
    </w:rPr>
  </w:style>
  <w:style w:type="paragraph" w:styleId="Descripcin">
    <w:name w:val="caption"/>
    <w:basedOn w:val="Normal"/>
    <w:next w:val="Normal"/>
    <w:uiPriority w:val="35"/>
    <w:semiHidden/>
    <w:unhideWhenUsed/>
    <w:qFormat/>
    <w:rsid w:val="00026CB6"/>
    <w:pPr>
      <w:spacing w:line="240" w:lineRule="auto"/>
    </w:pPr>
    <w:rPr>
      <w:b/>
      <w:bCs/>
      <w:color w:val="2DA2BF"/>
      <w:sz w:val="18"/>
      <w:szCs w:val="18"/>
    </w:rPr>
  </w:style>
  <w:style w:type="paragraph" w:styleId="Ttulo">
    <w:name w:val="Title"/>
    <w:basedOn w:val="Normal"/>
    <w:next w:val="Normal"/>
    <w:link w:val="TtuloCar"/>
    <w:uiPriority w:val="10"/>
    <w:qFormat/>
    <w:rsid w:val="00026CB6"/>
    <w:pPr>
      <w:pBdr>
        <w:bottom w:val="single" w:sz="8" w:space="4" w:color="2DA2BF"/>
      </w:pBdr>
      <w:spacing w:after="300" w:line="240" w:lineRule="auto"/>
      <w:contextualSpacing/>
    </w:pPr>
    <w:rPr>
      <w:rFonts w:ascii="Cambria" w:hAnsi="Cambria"/>
      <w:color w:val="343434"/>
      <w:spacing w:val="5"/>
      <w:kern w:val="28"/>
      <w:sz w:val="52"/>
      <w:szCs w:val="52"/>
      <w:lang w:val="x-none" w:eastAsia="x-none"/>
    </w:rPr>
  </w:style>
  <w:style w:type="character" w:customStyle="1" w:styleId="TtuloCar">
    <w:name w:val="Título Car"/>
    <w:link w:val="Ttulo"/>
    <w:uiPriority w:val="10"/>
    <w:rsid w:val="00026CB6"/>
    <w:rPr>
      <w:rFonts w:ascii="Cambria" w:eastAsia="Times New Roman" w:hAnsi="Cambria" w:cs="Times New Roman"/>
      <w:color w:val="343434"/>
      <w:spacing w:val="5"/>
      <w:kern w:val="28"/>
      <w:sz w:val="52"/>
      <w:szCs w:val="52"/>
    </w:rPr>
  </w:style>
  <w:style w:type="paragraph" w:styleId="Sinespaciado">
    <w:name w:val="No Spacing"/>
    <w:link w:val="SinespaciadoCar"/>
    <w:uiPriority w:val="1"/>
    <w:qFormat/>
    <w:rsid w:val="00026CB6"/>
    <w:rPr>
      <w:sz w:val="22"/>
      <w:szCs w:val="22"/>
      <w:lang w:val="es-CR"/>
    </w:rPr>
  </w:style>
  <w:style w:type="paragraph" w:styleId="Cita">
    <w:name w:val="Quote"/>
    <w:basedOn w:val="Normal"/>
    <w:next w:val="Normal"/>
    <w:link w:val="CitaCar"/>
    <w:uiPriority w:val="29"/>
    <w:qFormat/>
    <w:rsid w:val="00026CB6"/>
    <w:rPr>
      <w:i/>
      <w:iCs/>
      <w:color w:val="000000"/>
      <w:sz w:val="20"/>
      <w:szCs w:val="20"/>
      <w:lang w:val="x-none" w:eastAsia="x-none"/>
    </w:rPr>
  </w:style>
  <w:style w:type="character" w:customStyle="1" w:styleId="CitaCar">
    <w:name w:val="Cita Car"/>
    <w:link w:val="Cita"/>
    <w:uiPriority w:val="29"/>
    <w:rsid w:val="00026CB6"/>
    <w:rPr>
      <w:i/>
      <w:iCs/>
      <w:color w:val="000000"/>
    </w:rPr>
  </w:style>
  <w:style w:type="paragraph" w:styleId="Citadestacada">
    <w:name w:val="Intense Quote"/>
    <w:basedOn w:val="Normal"/>
    <w:next w:val="Normal"/>
    <w:link w:val="CitadestacadaCar"/>
    <w:uiPriority w:val="30"/>
    <w:qFormat/>
    <w:rsid w:val="00026CB6"/>
    <w:pPr>
      <w:pBdr>
        <w:bottom w:val="single" w:sz="4" w:space="4" w:color="2DA2BF"/>
      </w:pBdr>
      <w:spacing w:before="200" w:after="280"/>
      <w:ind w:left="936" w:right="936"/>
    </w:pPr>
    <w:rPr>
      <w:b/>
      <w:bCs/>
      <w:i/>
      <w:iCs/>
      <w:color w:val="2DA2BF"/>
      <w:sz w:val="20"/>
      <w:szCs w:val="20"/>
      <w:lang w:val="x-none" w:eastAsia="x-none"/>
    </w:rPr>
  </w:style>
  <w:style w:type="character" w:customStyle="1" w:styleId="CitadestacadaCar">
    <w:name w:val="Cita destacada Car"/>
    <w:link w:val="Citadestacada"/>
    <w:uiPriority w:val="30"/>
    <w:rsid w:val="00026CB6"/>
    <w:rPr>
      <w:b/>
      <w:bCs/>
      <w:i/>
      <w:iCs/>
      <w:color w:val="2DA2BF"/>
    </w:rPr>
  </w:style>
  <w:style w:type="character" w:styleId="nfasisintenso">
    <w:name w:val="Intense Emphasis"/>
    <w:uiPriority w:val="21"/>
    <w:qFormat/>
    <w:rsid w:val="00026CB6"/>
    <w:rPr>
      <w:b/>
      <w:bCs/>
      <w:i/>
      <w:iCs/>
      <w:color w:val="2DA2BF"/>
    </w:rPr>
  </w:style>
  <w:style w:type="character" w:styleId="Referenciasutil">
    <w:name w:val="Subtle Reference"/>
    <w:uiPriority w:val="31"/>
    <w:qFormat/>
    <w:rsid w:val="00026CB6"/>
    <w:rPr>
      <w:smallCaps/>
      <w:color w:val="DA1F28"/>
      <w:u w:val="single"/>
    </w:rPr>
  </w:style>
  <w:style w:type="character" w:styleId="Referenciaintensa">
    <w:name w:val="Intense Reference"/>
    <w:uiPriority w:val="32"/>
    <w:qFormat/>
    <w:rsid w:val="00026CB6"/>
    <w:rPr>
      <w:b/>
      <w:bCs/>
      <w:smallCaps/>
      <w:color w:val="DA1F28"/>
      <w:spacing w:val="5"/>
      <w:u w:val="single"/>
    </w:rPr>
  </w:style>
  <w:style w:type="character" w:styleId="Ttulodellibro">
    <w:name w:val="Book Title"/>
    <w:uiPriority w:val="33"/>
    <w:qFormat/>
    <w:rsid w:val="00026CB6"/>
    <w:rPr>
      <w:b/>
      <w:bCs/>
      <w:smallCaps/>
      <w:spacing w:val="5"/>
    </w:rPr>
  </w:style>
  <w:style w:type="paragraph" w:styleId="TtuloTDC">
    <w:name w:val="TOC Heading"/>
    <w:basedOn w:val="Ttulo1"/>
    <w:next w:val="Normal"/>
    <w:uiPriority w:val="39"/>
    <w:semiHidden/>
    <w:unhideWhenUsed/>
    <w:qFormat/>
    <w:rsid w:val="00026CB6"/>
    <w:pPr>
      <w:outlineLvl w:val="9"/>
    </w:pPr>
  </w:style>
  <w:style w:type="character" w:customStyle="1" w:styleId="SinespaciadoCar">
    <w:name w:val="Sin espaciado Car"/>
    <w:link w:val="Sinespaciado"/>
    <w:uiPriority w:val="1"/>
    <w:rsid w:val="00026CB6"/>
    <w:rPr>
      <w:sz w:val="22"/>
      <w:szCs w:val="22"/>
      <w:lang w:val="es-CR" w:eastAsia="en-US" w:bidi="ar-SA"/>
    </w:rPr>
  </w:style>
  <w:style w:type="paragraph" w:customStyle="1" w:styleId="Sentencia1">
    <w:name w:val="Sentencia 1"/>
    <w:basedOn w:val="Ttulo1"/>
    <w:qFormat/>
    <w:rsid w:val="00026CB6"/>
    <w:pPr>
      <w:spacing w:before="0" w:line="240" w:lineRule="auto"/>
      <w:jc w:val="center"/>
    </w:pPr>
    <w:rPr>
      <w:rFonts w:ascii="Verdana" w:hAnsi="Verdana"/>
      <w:color w:val="auto"/>
      <w:sz w:val="20"/>
      <w:szCs w:val="20"/>
    </w:rPr>
  </w:style>
  <w:style w:type="paragraph" w:customStyle="1" w:styleId="Sentencia2">
    <w:name w:val="Sentencia 2"/>
    <w:basedOn w:val="Ttulo2"/>
    <w:qFormat/>
    <w:rsid w:val="00026CB6"/>
    <w:pPr>
      <w:spacing w:before="0"/>
    </w:pPr>
    <w:rPr>
      <w:rFonts w:ascii="Verdana" w:hAnsi="Verdana"/>
      <w:color w:val="auto"/>
      <w:sz w:val="20"/>
    </w:rPr>
  </w:style>
  <w:style w:type="paragraph" w:customStyle="1" w:styleId="Sentencia3">
    <w:name w:val="Sentencia 3"/>
    <w:basedOn w:val="Ttulo3"/>
    <w:qFormat/>
    <w:rsid w:val="00026CB6"/>
    <w:pPr>
      <w:spacing w:before="0"/>
      <w:ind w:left="720"/>
    </w:pPr>
    <w:rPr>
      <w:rFonts w:ascii="Verdana" w:hAnsi="Verdana"/>
      <w:b w:val="0"/>
      <w:i/>
      <w:color w:val="000000"/>
    </w:rPr>
  </w:style>
  <w:style w:type="paragraph" w:styleId="TDC4">
    <w:name w:val="toc 4"/>
    <w:basedOn w:val="Normal"/>
    <w:next w:val="Normal"/>
    <w:autoRedefine/>
    <w:uiPriority w:val="39"/>
    <w:unhideWhenUsed/>
    <w:rsid w:val="00026CB6"/>
    <w:pPr>
      <w:spacing w:after="0"/>
      <w:ind w:left="660"/>
    </w:pPr>
    <w:rPr>
      <w:sz w:val="20"/>
      <w:szCs w:val="20"/>
    </w:rPr>
  </w:style>
  <w:style w:type="paragraph" w:styleId="TDC5">
    <w:name w:val="toc 5"/>
    <w:basedOn w:val="Normal"/>
    <w:next w:val="Normal"/>
    <w:autoRedefine/>
    <w:uiPriority w:val="39"/>
    <w:unhideWhenUsed/>
    <w:rsid w:val="00026CB6"/>
    <w:pPr>
      <w:spacing w:after="0"/>
      <w:ind w:left="880"/>
    </w:pPr>
    <w:rPr>
      <w:sz w:val="20"/>
      <w:szCs w:val="20"/>
    </w:rPr>
  </w:style>
  <w:style w:type="paragraph" w:styleId="TDC6">
    <w:name w:val="toc 6"/>
    <w:basedOn w:val="Normal"/>
    <w:next w:val="Normal"/>
    <w:autoRedefine/>
    <w:uiPriority w:val="39"/>
    <w:unhideWhenUsed/>
    <w:rsid w:val="00026CB6"/>
    <w:pPr>
      <w:spacing w:after="0"/>
      <w:ind w:left="1100"/>
    </w:pPr>
    <w:rPr>
      <w:sz w:val="20"/>
      <w:szCs w:val="20"/>
    </w:rPr>
  </w:style>
  <w:style w:type="paragraph" w:styleId="TDC7">
    <w:name w:val="toc 7"/>
    <w:basedOn w:val="Normal"/>
    <w:next w:val="Normal"/>
    <w:autoRedefine/>
    <w:uiPriority w:val="39"/>
    <w:unhideWhenUsed/>
    <w:rsid w:val="00026CB6"/>
    <w:pPr>
      <w:spacing w:after="0"/>
      <w:ind w:left="1320"/>
    </w:pPr>
    <w:rPr>
      <w:sz w:val="20"/>
      <w:szCs w:val="20"/>
    </w:rPr>
  </w:style>
  <w:style w:type="paragraph" w:styleId="TDC8">
    <w:name w:val="toc 8"/>
    <w:basedOn w:val="Normal"/>
    <w:next w:val="Normal"/>
    <w:autoRedefine/>
    <w:uiPriority w:val="39"/>
    <w:unhideWhenUsed/>
    <w:rsid w:val="00026CB6"/>
    <w:pPr>
      <w:spacing w:after="0"/>
      <w:ind w:left="1540"/>
    </w:pPr>
    <w:rPr>
      <w:sz w:val="20"/>
      <w:szCs w:val="20"/>
    </w:rPr>
  </w:style>
  <w:style w:type="paragraph" w:styleId="TDC9">
    <w:name w:val="toc 9"/>
    <w:basedOn w:val="Normal"/>
    <w:next w:val="Normal"/>
    <w:autoRedefine/>
    <w:uiPriority w:val="39"/>
    <w:unhideWhenUsed/>
    <w:rsid w:val="00026CB6"/>
    <w:pPr>
      <w:spacing w:after="0"/>
      <w:ind w:left="1760"/>
    </w:pPr>
    <w:rPr>
      <w:sz w:val="20"/>
      <w:szCs w:val="20"/>
    </w:rPr>
  </w:style>
  <w:style w:type="character" w:styleId="Nmerodelnea">
    <w:name w:val="line number"/>
    <w:basedOn w:val="Fuentedeprrafopredeter"/>
    <w:uiPriority w:val="99"/>
    <w:semiHidden/>
    <w:unhideWhenUsed/>
    <w:rsid w:val="00B82276"/>
  </w:style>
  <w:style w:type="paragraph" w:customStyle="1" w:styleId="ColorfulList-Accent120">
    <w:name w:val="Colorful List - Accent 12"/>
    <w:basedOn w:val="Normal"/>
    <w:uiPriority w:val="99"/>
    <w:rsid w:val="00CD09AF"/>
    <w:pPr>
      <w:ind w:left="720"/>
      <w:contextualSpacing/>
    </w:pPr>
    <w:rPr>
      <w:lang w:eastAsia="es-CR"/>
    </w:rPr>
  </w:style>
  <w:style w:type="paragraph" w:customStyle="1" w:styleId="ColorfulShading-Accent120">
    <w:name w:val="Colorful Shading - Accent 12"/>
    <w:hidden/>
    <w:uiPriority w:val="71"/>
    <w:rsid w:val="00CD09AF"/>
    <w:pPr>
      <w:spacing w:after="200" w:line="276" w:lineRule="auto"/>
    </w:pPr>
    <w:rPr>
      <w:sz w:val="22"/>
      <w:szCs w:val="22"/>
      <w:lang w:val="es-CR" w:eastAsia="es-CR"/>
    </w:rPr>
  </w:style>
  <w:style w:type="numbering" w:customStyle="1" w:styleId="NoList1">
    <w:name w:val="No List1"/>
    <w:next w:val="Sinlista"/>
    <w:uiPriority w:val="99"/>
    <w:semiHidden/>
    <w:unhideWhenUsed/>
    <w:rsid w:val="00175ABB"/>
  </w:style>
  <w:style w:type="character" w:customStyle="1" w:styleId="FootnoteTextCharCharCharCharCharCar1">
    <w:name w:val="Footnote Text Char Char Char Char Char Car1"/>
    <w:aliases w:val="Footnote Text Char Char Char Char Car1,Footnote reference Car1,FA Fu Car1,Footnote Text Char Char Char Car1,footnote text Car1,Footnote Text Cha Car1,FA Fußnotentext Car1,Car Car"/>
    <w:rsid w:val="00175ABB"/>
    <w:rPr>
      <w:sz w:val="20"/>
      <w:szCs w:val="20"/>
    </w:rPr>
  </w:style>
  <w:style w:type="paragraph" w:styleId="HTMLconformatoprevio">
    <w:name w:val="HTML Preformatted"/>
    <w:basedOn w:val="Normal"/>
    <w:link w:val="HTMLconformatoprevioCar"/>
    <w:uiPriority w:val="99"/>
    <w:semiHidden/>
    <w:unhideWhenUsed/>
    <w:rsid w:val="00175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PA" w:eastAsia="es-PA"/>
    </w:rPr>
  </w:style>
  <w:style w:type="character" w:customStyle="1" w:styleId="HTMLPreformattedChar">
    <w:name w:val="HTML Preformatted Char"/>
    <w:uiPriority w:val="99"/>
    <w:semiHidden/>
    <w:rsid w:val="00175ABB"/>
    <w:rPr>
      <w:rFonts w:ascii="Courier New" w:hAnsi="Courier New" w:cs="Courier New"/>
      <w:lang w:val="es-CR" w:eastAsia="en-US"/>
    </w:rPr>
  </w:style>
  <w:style w:type="character" w:customStyle="1" w:styleId="HTMLconformatoprevioCar">
    <w:name w:val="HTML con formato previo Car"/>
    <w:link w:val="HTMLconformatoprevio"/>
    <w:uiPriority w:val="99"/>
    <w:semiHidden/>
    <w:rsid w:val="00175ABB"/>
    <w:rPr>
      <w:rFonts w:ascii="Courier New" w:hAnsi="Courier New" w:cs="Courier New"/>
      <w:lang w:val="es-PA" w:eastAsia="es-PA"/>
    </w:rPr>
  </w:style>
  <w:style w:type="character" w:customStyle="1" w:styleId="TextonotapieCar1">
    <w:name w:val="Texto nota pie Car1"/>
    <w:aliases w:val="Footnote Text Char Char Char Char Char Car,Footnote Text Char Char Char Char Car,Footnote reference Car,FA Fu Car,Footnote Text Char Char Char Car,footnote text Car,Footnote Text Cha Car,FA Fußnotentext Car,FA Fuﬂnotentext Car"/>
    <w:rsid w:val="00175ABB"/>
    <w:rPr>
      <w:rFonts w:ascii="Times New Roman" w:eastAsia="Times New Roman" w:hAnsi="Times New Roman" w:cs="Times New Roman"/>
      <w:sz w:val="20"/>
      <w:szCs w:val="20"/>
      <w:lang w:val="es-MX"/>
    </w:rPr>
  </w:style>
  <w:style w:type="character" w:customStyle="1" w:styleId="TextocomentarioCar">
    <w:name w:val="Texto comentario Car"/>
    <w:uiPriority w:val="99"/>
    <w:semiHidden/>
    <w:rsid w:val="00175ABB"/>
    <w:rPr>
      <w:sz w:val="20"/>
      <w:szCs w:val="20"/>
    </w:rPr>
  </w:style>
  <w:style w:type="character" w:customStyle="1" w:styleId="AsuntodelcomentarioCar">
    <w:name w:val="Asunto del comentario Car"/>
    <w:uiPriority w:val="99"/>
    <w:semiHidden/>
    <w:rsid w:val="00175ABB"/>
    <w:rPr>
      <w:b/>
      <w:bCs/>
      <w:sz w:val="20"/>
      <w:szCs w:val="20"/>
    </w:rPr>
  </w:style>
  <w:style w:type="paragraph" w:customStyle="1" w:styleId="n2">
    <w:name w:val="n2"/>
    <w:basedOn w:val="Normal"/>
    <w:rsid w:val="00175ABB"/>
    <w:pPr>
      <w:spacing w:before="100" w:beforeAutospacing="1" w:after="100" w:afterAutospacing="1" w:line="240" w:lineRule="auto"/>
    </w:pPr>
    <w:rPr>
      <w:rFonts w:ascii="Times New Roman" w:hAnsi="Times New Roman"/>
      <w:sz w:val="24"/>
      <w:szCs w:val="24"/>
      <w:lang w:val="es-PA" w:eastAsia="es-PA"/>
    </w:rPr>
  </w:style>
  <w:style w:type="paragraph" w:customStyle="1" w:styleId="j">
    <w:name w:val="j"/>
    <w:basedOn w:val="Normal"/>
    <w:rsid w:val="00175ABB"/>
    <w:pPr>
      <w:spacing w:before="100" w:beforeAutospacing="1" w:after="100" w:afterAutospacing="1" w:line="240" w:lineRule="auto"/>
    </w:pPr>
    <w:rPr>
      <w:rFonts w:ascii="Times New Roman" w:hAnsi="Times New Roman"/>
      <w:sz w:val="24"/>
      <w:szCs w:val="24"/>
      <w:lang w:val="es-PA" w:eastAsia="es-PA"/>
    </w:rPr>
  </w:style>
  <w:style w:type="character" w:customStyle="1" w:styleId="nacep">
    <w:name w:val="n_acep"/>
    <w:rsid w:val="00175ABB"/>
  </w:style>
  <w:style w:type="character" w:customStyle="1" w:styleId="PiedepginaCar">
    <w:name w:val="Pie de página Car"/>
    <w:uiPriority w:val="99"/>
    <w:rsid w:val="00175ABB"/>
  </w:style>
  <w:style w:type="character" w:styleId="Nmerodepgina">
    <w:name w:val="page number"/>
    <w:uiPriority w:val="99"/>
    <w:semiHidden/>
    <w:unhideWhenUsed/>
    <w:rsid w:val="00175ABB"/>
  </w:style>
  <w:style w:type="character" w:customStyle="1" w:styleId="PrrafodelistaCar">
    <w:name w:val="Párrafo de lista Car"/>
    <w:uiPriority w:val="34"/>
    <w:locked/>
    <w:rsid w:val="00175ABB"/>
  </w:style>
  <w:style w:type="table" w:customStyle="1" w:styleId="ColorfulList-Accent13">
    <w:name w:val="Colorful List - Accent 13"/>
    <w:basedOn w:val="Tablanormal"/>
    <w:uiPriority w:val="72"/>
    <w:rsid w:val="00175ABB"/>
    <w:rPr>
      <w:rFonts w:eastAsia="Calibri"/>
      <w:color w:val="000000"/>
      <w:sz w:val="22"/>
      <w:szCs w:val="22"/>
      <w:lang w:val="es-PA"/>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sdfootnote-western">
    <w:name w:val="sdfootnote-western"/>
    <w:basedOn w:val="Normal"/>
    <w:rsid w:val="00E247AA"/>
    <w:pPr>
      <w:spacing w:before="100" w:beforeAutospacing="1" w:after="0" w:line="240" w:lineRule="auto"/>
      <w:ind w:left="284" w:hanging="284"/>
    </w:pPr>
    <w:rPr>
      <w:rFonts w:ascii="Times New Roman" w:hAnsi="Times New Roman"/>
      <w:sz w:val="20"/>
      <w:szCs w:val="20"/>
      <w:lang w:val="pt-BR" w:eastAsia="pt-BR"/>
    </w:rPr>
  </w:style>
  <w:style w:type="character" w:customStyle="1" w:styleId="UnresolvedMention">
    <w:name w:val="Unresolved Mention"/>
    <w:basedOn w:val="Fuentedeprrafopredeter"/>
    <w:uiPriority w:val="99"/>
    <w:semiHidden/>
    <w:unhideWhenUsed/>
    <w:rsid w:val="00E8740D"/>
    <w:rPr>
      <w:color w:val="605E5C"/>
      <w:shd w:val="clear" w:color="auto" w:fill="E1DFDD"/>
    </w:rPr>
  </w:style>
  <w:style w:type="character" w:customStyle="1" w:styleId="highlight">
    <w:name w:val="highlight"/>
    <w:basedOn w:val="Fuentedeprrafopredeter"/>
    <w:rsid w:val="004D0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9883">
      <w:bodyDiv w:val="1"/>
      <w:marLeft w:val="0"/>
      <w:marRight w:val="0"/>
      <w:marTop w:val="0"/>
      <w:marBottom w:val="0"/>
      <w:divBdr>
        <w:top w:val="none" w:sz="0" w:space="0" w:color="auto"/>
        <w:left w:val="none" w:sz="0" w:space="0" w:color="auto"/>
        <w:bottom w:val="none" w:sz="0" w:space="0" w:color="auto"/>
        <w:right w:val="none" w:sz="0" w:space="0" w:color="auto"/>
      </w:divBdr>
    </w:div>
    <w:div w:id="122575907">
      <w:bodyDiv w:val="1"/>
      <w:marLeft w:val="0"/>
      <w:marRight w:val="0"/>
      <w:marTop w:val="0"/>
      <w:marBottom w:val="0"/>
      <w:divBdr>
        <w:top w:val="none" w:sz="0" w:space="0" w:color="auto"/>
        <w:left w:val="none" w:sz="0" w:space="0" w:color="auto"/>
        <w:bottom w:val="none" w:sz="0" w:space="0" w:color="auto"/>
        <w:right w:val="none" w:sz="0" w:space="0" w:color="auto"/>
      </w:divBdr>
    </w:div>
    <w:div w:id="138957286">
      <w:bodyDiv w:val="1"/>
      <w:marLeft w:val="0"/>
      <w:marRight w:val="0"/>
      <w:marTop w:val="0"/>
      <w:marBottom w:val="0"/>
      <w:divBdr>
        <w:top w:val="none" w:sz="0" w:space="0" w:color="auto"/>
        <w:left w:val="none" w:sz="0" w:space="0" w:color="auto"/>
        <w:bottom w:val="none" w:sz="0" w:space="0" w:color="auto"/>
        <w:right w:val="none" w:sz="0" w:space="0" w:color="auto"/>
      </w:divBdr>
    </w:div>
    <w:div w:id="182135703">
      <w:bodyDiv w:val="1"/>
      <w:marLeft w:val="0"/>
      <w:marRight w:val="0"/>
      <w:marTop w:val="0"/>
      <w:marBottom w:val="0"/>
      <w:divBdr>
        <w:top w:val="none" w:sz="0" w:space="0" w:color="auto"/>
        <w:left w:val="none" w:sz="0" w:space="0" w:color="auto"/>
        <w:bottom w:val="none" w:sz="0" w:space="0" w:color="auto"/>
        <w:right w:val="none" w:sz="0" w:space="0" w:color="auto"/>
      </w:divBdr>
    </w:div>
    <w:div w:id="380134105">
      <w:bodyDiv w:val="1"/>
      <w:marLeft w:val="0"/>
      <w:marRight w:val="0"/>
      <w:marTop w:val="0"/>
      <w:marBottom w:val="0"/>
      <w:divBdr>
        <w:top w:val="none" w:sz="0" w:space="0" w:color="auto"/>
        <w:left w:val="none" w:sz="0" w:space="0" w:color="auto"/>
        <w:bottom w:val="none" w:sz="0" w:space="0" w:color="auto"/>
        <w:right w:val="none" w:sz="0" w:space="0" w:color="auto"/>
      </w:divBdr>
    </w:div>
    <w:div w:id="560556894">
      <w:bodyDiv w:val="1"/>
      <w:marLeft w:val="0"/>
      <w:marRight w:val="0"/>
      <w:marTop w:val="0"/>
      <w:marBottom w:val="0"/>
      <w:divBdr>
        <w:top w:val="none" w:sz="0" w:space="0" w:color="auto"/>
        <w:left w:val="none" w:sz="0" w:space="0" w:color="auto"/>
        <w:bottom w:val="none" w:sz="0" w:space="0" w:color="auto"/>
        <w:right w:val="none" w:sz="0" w:space="0" w:color="auto"/>
      </w:divBdr>
    </w:div>
    <w:div w:id="626858087">
      <w:bodyDiv w:val="1"/>
      <w:marLeft w:val="0"/>
      <w:marRight w:val="0"/>
      <w:marTop w:val="0"/>
      <w:marBottom w:val="0"/>
      <w:divBdr>
        <w:top w:val="none" w:sz="0" w:space="0" w:color="auto"/>
        <w:left w:val="none" w:sz="0" w:space="0" w:color="auto"/>
        <w:bottom w:val="none" w:sz="0" w:space="0" w:color="auto"/>
        <w:right w:val="none" w:sz="0" w:space="0" w:color="auto"/>
      </w:divBdr>
    </w:div>
    <w:div w:id="700741316">
      <w:bodyDiv w:val="1"/>
      <w:marLeft w:val="0"/>
      <w:marRight w:val="0"/>
      <w:marTop w:val="0"/>
      <w:marBottom w:val="0"/>
      <w:divBdr>
        <w:top w:val="none" w:sz="0" w:space="0" w:color="auto"/>
        <w:left w:val="none" w:sz="0" w:space="0" w:color="auto"/>
        <w:bottom w:val="none" w:sz="0" w:space="0" w:color="auto"/>
        <w:right w:val="none" w:sz="0" w:space="0" w:color="auto"/>
      </w:divBdr>
    </w:div>
    <w:div w:id="803043386">
      <w:bodyDiv w:val="1"/>
      <w:marLeft w:val="0"/>
      <w:marRight w:val="0"/>
      <w:marTop w:val="0"/>
      <w:marBottom w:val="0"/>
      <w:divBdr>
        <w:top w:val="none" w:sz="0" w:space="0" w:color="auto"/>
        <w:left w:val="none" w:sz="0" w:space="0" w:color="auto"/>
        <w:bottom w:val="none" w:sz="0" w:space="0" w:color="auto"/>
        <w:right w:val="none" w:sz="0" w:space="0" w:color="auto"/>
      </w:divBdr>
    </w:div>
    <w:div w:id="808085184">
      <w:bodyDiv w:val="1"/>
      <w:marLeft w:val="0"/>
      <w:marRight w:val="0"/>
      <w:marTop w:val="0"/>
      <w:marBottom w:val="0"/>
      <w:divBdr>
        <w:top w:val="none" w:sz="0" w:space="0" w:color="auto"/>
        <w:left w:val="none" w:sz="0" w:space="0" w:color="auto"/>
        <w:bottom w:val="none" w:sz="0" w:space="0" w:color="auto"/>
        <w:right w:val="none" w:sz="0" w:space="0" w:color="auto"/>
      </w:divBdr>
    </w:div>
    <w:div w:id="878475545">
      <w:bodyDiv w:val="1"/>
      <w:marLeft w:val="0"/>
      <w:marRight w:val="0"/>
      <w:marTop w:val="0"/>
      <w:marBottom w:val="0"/>
      <w:divBdr>
        <w:top w:val="none" w:sz="0" w:space="0" w:color="auto"/>
        <w:left w:val="none" w:sz="0" w:space="0" w:color="auto"/>
        <w:bottom w:val="none" w:sz="0" w:space="0" w:color="auto"/>
        <w:right w:val="none" w:sz="0" w:space="0" w:color="auto"/>
      </w:divBdr>
    </w:div>
    <w:div w:id="886138716">
      <w:bodyDiv w:val="1"/>
      <w:marLeft w:val="0"/>
      <w:marRight w:val="0"/>
      <w:marTop w:val="0"/>
      <w:marBottom w:val="0"/>
      <w:divBdr>
        <w:top w:val="none" w:sz="0" w:space="0" w:color="auto"/>
        <w:left w:val="none" w:sz="0" w:space="0" w:color="auto"/>
        <w:bottom w:val="none" w:sz="0" w:space="0" w:color="auto"/>
        <w:right w:val="none" w:sz="0" w:space="0" w:color="auto"/>
      </w:divBdr>
    </w:div>
    <w:div w:id="962228023">
      <w:bodyDiv w:val="1"/>
      <w:marLeft w:val="0"/>
      <w:marRight w:val="0"/>
      <w:marTop w:val="0"/>
      <w:marBottom w:val="0"/>
      <w:divBdr>
        <w:top w:val="none" w:sz="0" w:space="0" w:color="auto"/>
        <w:left w:val="none" w:sz="0" w:space="0" w:color="auto"/>
        <w:bottom w:val="none" w:sz="0" w:space="0" w:color="auto"/>
        <w:right w:val="none" w:sz="0" w:space="0" w:color="auto"/>
      </w:divBdr>
    </w:div>
    <w:div w:id="1123160704">
      <w:bodyDiv w:val="1"/>
      <w:marLeft w:val="0"/>
      <w:marRight w:val="0"/>
      <w:marTop w:val="0"/>
      <w:marBottom w:val="0"/>
      <w:divBdr>
        <w:top w:val="none" w:sz="0" w:space="0" w:color="auto"/>
        <w:left w:val="none" w:sz="0" w:space="0" w:color="auto"/>
        <w:bottom w:val="none" w:sz="0" w:space="0" w:color="auto"/>
        <w:right w:val="none" w:sz="0" w:space="0" w:color="auto"/>
      </w:divBdr>
    </w:div>
    <w:div w:id="1177883830">
      <w:bodyDiv w:val="1"/>
      <w:marLeft w:val="0"/>
      <w:marRight w:val="0"/>
      <w:marTop w:val="0"/>
      <w:marBottom w:val="0"/>
      <w:divBdr>
        <w:top w:val="none" w:sz="0" w:space="0" w:color="auto"/>
        <w:left w:val="none" w:sz="0" w:space="0" w:color="auto"/>
        <w:bottom w:val="none" w:sz="0" w:space="0" w:color="auto"/>
        <w:right w:val="none" w:sz="0" w:space="0" w:color="auto"/>
      </w:divBdr>
    </w:div>
    <w:div w:id="1328942738">
      <w:bodyDiv w:val="1"/>
      <w:marLeft w:val="0"/>
      <w:marRight w:val="0"/>
      <w:marTop w:val="0"/>
      <w:marBottom w:val="0"/>
      <w:divBdr>
        <w:top w:val="none" w:sz="0" w:space="0" w:color="auto"/>
        <w:left w:val="none" w:sz="0" w:space="0" w:color="auto"/>
        <w:bottom w:val="none" w:sz="0" w:space="0" w:color="auto"/>
        <w:right w:val="none" w:sz="0" w:space="0" w:color="auto"/>
      </w:divBdr>
    </w:div>
    <w:div w:id="1408380148">
      <w:bodyDiv w:val="1"/>
      <w:marLeft w:val="0"/>
      <w:marRight w:val="0"/>
      <w:marTop w:val="0"/>
      <w:marBottom w:val="0"/>
      <w:divBdr>
        <w:top w:val="none" w:sz="0" w:space="0" w:color="auto"/>
        <w:left w:val="none" w:sz="0" w:space="0" w:color="auto"/>
        <w:bottom w:val="none" w:sz="0" w:space="0" w:color="auto"/>
        <w:right w:val="none" w:sz="0" w:space="0" w:color="auto"/>
      </w:divBdr>
    </w:div>
    <w:div w:id="1449884723">
      <w:bodyDiv w:val="1"/>
      <w:marLeft w:val="0"/>
      <w:marRight w:val="0"/>
      <w:marTop w:val="0"/>
      <w:marBottom w:val="0"/>
      <w:divBdr>
        <w:top w:val="none" w:sz="0" w:space="0" w:color="auto"/>
        <w:left w:val="none" w:sz="0" w:space="0" w:color="auto"/>
        <w:bottom w:val="none" w:sz="0" w:space="0" w:color="auto"/>
        <w:right w:val="none" w:sz="0" w:space="0" w:color="auto"/>
      </w:divBdr>
    </w:div>
    <w:div w:id="1509951351">
      <w:bodyDiv w:val="1"/>
      <w:marLeft w:val="0"/>
      <w:marRight w:val="0"/>
      <w:marTop w:val="0"/>
      <w:marBottom w:val="0"/>
      <w:divBdr>
        <w:top w:val="none" w:sz="0" w:space="0" w:color="auto"/>
        <w:left w:val="none" w:sz="0" w:space="0" w:color="auto"/>
        <w:bottom w:val="none" w:sz="0" w:space="0" w:color="auto"/>
        <w:right w:val="none" w:sz="0" w:space="0" w:color="auto"/>
      </w:divBdr>
    </w:div>
    <w:div w:id="1537693344">
      <w:bodyDiv w:val="1"/>
      <w:marLeft w:val="0"/>
      <w:marRight w:val="0"/>
      <w:marTop w:val="0"/>
      <w:marBottom w:val="0"/>
      <w:divBdr>
        <w:top w:val="none" w:sz="0" w:space="0" w:color="auto"/>
        <w:left w:val="none" w:sz="0" w:space="0" w:color="auto"/>
        <w:bottom w:val="none" w:sz="0" w:space="0" w:color="auto"/>
        <w:right w:val="none" w:sz="0" w:space="0" w:color="auto"/>
      </w:divBdr>
    </w:div>
    <w:div w:id="1546332324">
      <w:bodyDiv w:val="1"/>
      <w:marLeft w:val="0"/>
      <w:marRight w:val="0"/>
      <w:marTop w:val="0"/>
      <w:marBottom w:val="0"/>
      <w:divBdr>
        <w:top w:val="none" w:sz="0" w:space="0" w:color="auto"/>
        <w:left w:val="none" w:sz="0" w:space="0" w:color="auto"/>
        <w:bottom w:val="none" w:sz="0" w:space="0" w:color="auto"/>
        <w:right w:val="none" w:sz="0" w:space="0" w:color="auto"/>
      </w:divBdr>
    </w:div>
    <w:div w:id="1600018620">
      <w:bodyDiv w:val="1"/>
      <w:marLeft w:val="0"/>
      <w:marRight w:val="0"/>
      <w:marTop w:val="0"/>
      <w:marBottom w:val="0"/>
      <w:divBdr>
        <w:top w:val="none" w:sz="0" w:space="0" w:color="auto"/>
        <w:left w:val="none" w:sz="0" w:space="0" w:color="auto"/>
        <w:bottom w:val="none" w:sz="0" w:space="0" w:color="auto"/>
        <w:right w:val="none" w:sz="0" w:space="0" w:color="auto"/>
      </w:divBdr>
    </w:div>
    <w:div w:id="1623685089">
      <w:bodyDiv w:val="1"/>
      <w:marLeft w:val="0"/>
      <w:marRight w:val="0"/>
      <w:marTop w:val="0"/>
      <w:marBottom w:val="0"/>
      <w:divBdr>
        <w:top w:val="none" w:sz="0" w:space="0" w:color="auto"/>
        <w:left w:val="none" w:sz="0" w:space="0" w:color="auto"/>
        <w:bottom w:val="none" w:sz="0" w:space="0" w:color="auto"/>
        <w:right w:val="none" w:sz="0" w:space="0" w:color="auto"/>
      </w:divBdr>
    </w:div>
    <w:div w:id="1751661293">
      <w:bodyDiv w:val="1"/>
      <w:marLeft w:val="0"/>
      <w:marRight w:val="0"/>
      <w:marTop w:val="0"/>
      <w:marBottom w:val="0"/>
      <w:divBdr>
        <w:top w:val="none" w:sz="0" w:space="0" w:color="auto"/>
        <w:left w:val="none" w:sz="0" w:space="0" w:color="auto"/>
        <w:bottom w:val="none" w:sz="0" w:space="0" w:color="auto"/>
        <w:right w:val="none" w:sz="0" w:space="0" w:color="auto"/>
      </w:divBdr>
    </w:div>
    <w:div w:id="1822622096">
      <w:bodyDiv w:val="1"/>
      <w:marLeft w:val="0"/>
      <w:marRight w:val="0"/>
      <w:marTop w:val="0"/>
      <w:marBottom w:val="0"/>
      <w:divBdr>
        <w:top w:val="none" w:sz="0" w:space="0" w:color="auto"/>
        <w:left w:val="none" w:sz="0" w:space="0" w:color="auto"/>
        <w:bottom w:val="none" w:sz="0" w:space="0" w:color="auto"/>
        <w:right w:val="none" w:sz="0" w:space="0" w:color="auto"/>
      </w:divBdr>
    </w:div>
    <w:div w:id="1884243875">
      <w:bodyDiv w:val="1"/>
      <w:marLeft w:val="0"/>
      <w:marRight w:val="0"/>
      <w:marTop w:val="0"/>
      <w:marBottom w:val="0"/>
      <w:divBdr>
        <w:top w:val="none" w:sz="0" w:space="0" w:color="auto"/>
        <w:left w:val="none" w:sz="0" w:space="0" w:color="auto"/>
        <w:bottom w:val="none" w:sz="0" w:space="0" w:color="auto"/>
        <w:right w:val="none" w:sz="0" w:space="0" w:color="auto"/>
      </w:divBdr>
    </w:div>
    <w:div w:id="1885170102">
      <w:bodyDiv w:val="1"/>
      <w:marLeft w:val="0"/>
      <w:marRight w:val="0"/>
      <w:marTop w:val="0"/>
      <w:marBottom w:val="0"/>
      <w:divBdr>
        <w:top w:val="none" w:sz="0" w:space="0" w:color="auto"/>
        <w:left w:val="none" w:sz="0" w:space="0" w:color="auto"/>
        <w:bottom w:val="none" w:sz="0" w:space="0" w:color="auto"/>
        <w:right w:val="none" w:sz="0" w:space="0" w:color="auto"/>
      </w:divBdr>
    </w:div>
    <w:div w:id="1950699473">
      <w:bodyDiv w:val="1"/>
      <w:marLeft w:val="0"/>
      <w:marRight w:val="0"/>
      <w:marTop w:val="0"/>
      <w:marBottom w:val="0"/>
      <w:divBdr>
        <w:top w:val="none" w:sz="0" w:space="0" w:color="auto"/>
        <w:left w:val="none" w:sz="0" w:space="0" w:color="auto"/>
        <w:bottom w:val="none" w:sz="0" w:space="0" w:color="auto"/>
        <w:right w:val="none" w:sz="0" w:space="0" w:color="auto"/>
      </w:divBdr>
    </w:div>
    <w:div w:id="1972783356">
      <w:bodyDiv w:val="1"/>
      <w:marLeft w:val="0"/>
      <w:marRight w:val="0"/>
      <w:marTop w:val="0"/>
      <w:marBottom w:val="0"/>
      <w:divBdr>
        <w:top w:val="none" w:sz="0" w:space="0" w:color="auto"/>
        <w:left w:val="none" w:sz="0" w:space="0" w:color="auto"/>
        <w:bottom w:val="none" w:sz="0" w:space="0" w:color="auto"/>
        <w:right w:val="none" w:sz="0" w:space="0" w:color="auto"/>
      </w:divBdr>
    </w:div>
    <w:div w:id="1976107661">
      <w:bodyDiv w:val="1"/>
      <w:marLeft w:val="0"/>
      <w:marRight w:val="0"/>
      <w:marTop w:val="0"/>
      <w:marBottom w:val="0"/>
      <w:divBdr>
        <w:top w:val="none" w:sz="0" w:space="0" w:color="auto"/>
        <w:left w:val="none" w:sz="0" w:space="0" w:color="auto"/>
        <w:bottom w:val="none" w:sz="0" w:space="0" w:color="auto"/>
        <w:right w:val="none" w:sz="0" w:space="0" w:color="auto"/>
      </w:divBdr>
    </w:div>
    <w:div w:id="1990673668">
      <w:bodyDiv w:val="1"/>
      <w:marLeft w:val="0"/>
      <w:marRight w:val="0"/>
      <w:marTop w:val="0"/>
      <w:marBottom w:val="0"/>
      <w:divBdr>
        <w:top w:val="none" w:sz="0" w:space="0" w:color="auto"/>
        <w:left w:val="none" w:sz="0" w:space="0" w:color="auto"/>
        <w:bottom w:val="none" w:sz="0" w:space="0" w:color="auto"/>
        <w:right w:val="none" w:sz="0" w:space="0" w:color="auto"/>
      </w:divBdr>
    </w:div>
    <w:div w:id="2016766253">
      <w:bodyDiv w:val="1"/>
      <w:marLeft w:val="0"/>
      <w:marRight w:val="0"/>
      <w:marTop w:val="0"/>
      <w:marBottom w:val="0"/>
      <w:divBdr>
        <w:top w:val="none" w:sz="0" w:space="0" w:color="auto"/>
        <w:left w:val="none" w:sz="0" w:space="0" w:color="auto"/>
        <w:bottom w:val="none" w:sz="0" w:space="0" w:color="auto"/>
        <w:right w:val="none" w:sz="0" w:space="0" w:color="auto"/>
      </w:divBdr>
    </w:div>
    <w:div w:id="209270039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0A6D5-617A-42C4-A411-5108082D4BC1}">
  <ds:schemaRefs>
    <ds:schemaRef ds:uri="http://schemas.microsoft.com/sharepoint/v3/contenttype/forms"/>
  </ds:schemaRefs>
</ds:datastoreItem>
</file>

<file path=customXml/itemProps2.xml><?xml version="1.0" encoding="utf-8"?>
<ds:datastoreItem xmlns:ds="http://schemas.openxmlformats.org/officeDocument/2006/customXml" ds:itemID="{8B1935DF-2A97-43F3-95F2-D635B38DD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9A4E8D9-CDF4-40B7-9787-6082D51222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0F67C8-DDD7-476D-819A-574E63E73108}">
  <ds:schemaRefs>
    <ds:schemaRef ds:uri="http://schemas.microsoft.com/office/2006/metadata/longProperties"/>
  </ds:schemaRefs>
</ds:datastoreItem>
</file>

<file path=customXml/itemProps5.xml><?xml version="1.0" encoding="utf-8"?>
<ds:datastoreItem xmlns:ds="http://schemas.openxmlformats.org/officeDocument/2006/customXml" ds:itemID="{5EA41707-BF51-4B5A-AFD5-026DBD325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6437</Words>
  <Characters>35407</Characters>
  <Application>Microsoft Office Word</Application>
  <DocSecurity>0</DocSecurity>
  <Lines>295</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41761</CharactersWithSpaces>
  <SharedDoc>false</SharedDoc>
  <HLinks>
    <vt:vector size="438" baseType="variant">
      <vt:variant>
        <vt:i4>1376310</vt:i4>
      </vt:variant>
      <vt:variant>
        <vt:i4>368</vt:i4>
      </vt:variant>
      <vt:variant>
        <vt:i4>0</vt:i4>
      </vt:variant>
      <vt:variant>
        <vt:i4>5</vt:i4>
      </vt:variant>
      <vt:variant>
        <vt:lpwstr/>
      </vt:variant>
      <vt:variant>
        <vt:lpwstr>_Toc437425706</vt:lpwstr>
      </vt:variant>
      <vt:variant>
        <vt:i4>1376310</vt:i4>
      </vt:variant>
      <vt:variant>
        <vt:i4>362</vt:i4>
      </vt:variant>
      <vt:variant>
        <vt:i4>0</vt:i4>
      </vt:variant>
      <vt:variant>
        <vt:i4>5</vt:i4>
      </vt:variant>
      <vt:variant>
        <vt:lpwstr/>
      </vt:variant>
      <vt:variant>
        <vt:lpwstr>_Toc437425704</vt:lpwstr>
      </vt:variant>
      <vt:variant>
        <vt:i4>1376310</vt:i4>
      </vt:variant>
      <vt:variant>
        <vt:i4>356</vt:i4>
      </vt:variant>
      <vt:variant>
        <vt:i4>0</vt:i4>
      </vt:variant>
      <vt:variant>
        <vt:i4>5</vt:i4>
      </vt:variant>
      <vt:variant>
        <vt:lpwstr/>
      </vt:variant>
      <vt:variant>
        <vt:lpwstr>_Toc437425703</vt:lpwstr>
      </vt:variant>
      <vt:variant>
        <vt:i4>1376310</vt:i4>
      </vt:variant>
      <vt:variant>
        <vt:i4>350</vt:i4>
      </vt:variant>
      <vt:variant>
        <vt:i4>0</vt:i4>
      </vt:variant>
      <vt:variant>
        <vt:i4>5</vt:i4>
      </vt:variant>
      <vt:variant>
        <vt:lpwstr/>
      </vt:variant>
      <vt:variant>
        <vt:lpwstr>_Toc437425702</vt:lpwstr>
      </vt:variant>
      <vt:variant>
        <vt:i4>1376310</vt:i4>
      </vt:variant>
      <vt:variant>
        <vt:i4>344</vt:i4>
      </vt:variant>
      <vt:variant>
        <vt:i4>0</vt:i4>
      </vt:variant>
      <vt:variant>
        <vt:i4>5</vt:i4>
      </vt:variant>
      <vt:variant>
        <vt:lpwstr/>
      </vt:variant>
      <vt:variant>
        <vt:lpwstr>_Toc437425701</vt:lpwstr>
      </vt:variant>
      <vt:variant>
        <vt:i4>1376310</vt:i4>
      </vt:variant>
      <vt:variant>
        <vt:i4>338</vt:i4>
      </vt:variant>
      <vt:variant>
        <vt:i4>0</vt:i4>
      </vt:variant>
      <vt:variant>
        <vt:i4>5</vt:i4>
      </vt:variant>
      <vt:variant>
        <vt:lpwstr/>
      </vt:variant>
      <vt:variant>
        <vt:lpwstr>_Toc437425700</vt:lpwstr>
      </vt:variant>
      <vt:variant>
        <vt:i4>1835063</vt:i4>
      </vt:variant>
      <vt:variant>
        <vt:i4>332</vt:i4>
      </vt:variant>
      <vt:variant>
        <vt:i4>0</vt:i4>
      </vt:variant>
      <vt:variant>
        <vt:i4>5</vt:i4>
      </vt:variant>
      <vt:variant>
        <vt:lpwstr/>
      </vt:variant>
      <vt:variant>
        <vt:lpwstr>_Toc437425699</vt:lpwstr>
      </vt:variant>
      <vt:variant>
        <vt:i4>1835063</vt:i4>
      </vt:variant>
      <vt:variant>
        <vt:i4>326</vt:i4>
      </vt:variant>
      <vt:variant>
        <vt:i4>0</vt:i4>
      </vt:variant>
      <vt:variant>
        <vt:i4>5</vt:i4>
      </vt:variant>
      <vt:variant>
        <vt:lpwstr/>
      </vt:variant>
      <vt:variant>
        <vt:lpwstr>_Toc437425698</vt:lpwstr>
      </vt:variant>
      <vt:variant>
        <vt:i4>1835063</vt:i4>
      </vt:variant>
      <vt:variant>
        <vt:i4>320</vt:i4>
      </vt:variant>
      <vt:variant>
        <vt:i4>0</vt:i4>
      </vt:variant>
      <vt:variant>
        <vt:i4>5</vt:i4>
      </vt:variant>
      <vt:variant>
        <vt:lpwstr/>
      </vt:variant>
      <vt:variant>
        <vt:lpwstr>_Toc437425697</vt:lpwstr>
      </vt:variant>
      <vt:variant>
        <vt:i4>1835063</vt:i4>
      </vt:variant>
      <vt:variant>
        <vt:i4>314</vt:i4>
      </vt:variant>
      <vt:variant>
        <vt:i4>0</vt:i4>
      </vt:variant>
      <vt:variant>
        <vt:i4>5</vt:i4>
      </vt:variant>
      <vt:variant>
        <vt:lpwstr/>
      </vt:variant>
      <vt:variant>
        <vt:lpwstr>_Toc437425696</vt:lpwstr>
      </vt:variant>
      <vt:variant>
        <vt:i4>1835063</vt:i4>
      </vt:variant>
      <vt:variant>
        <vt:i4>308</vt:i4>
      </vt:variant>
      <vt:variant>
        <vt:i4>0</vt:i4>
      </vt:variant>
      <vt:variant>
        <vt:i4>5</vt:i4>
      </vt:variant>
      <vt:variant>
        <vt:lpwstr/>
      </vt:variant>
      <vt:variant>
        <vt:lpwstr>_Toc437425695</vt:lpwstr>
      </vt:variant>
      <vt:variant>
        <vt:i4>1835063</vt:i4>
      </vt:variant>
      <vt:variant>
        <vt:i4>302</vt:i4>
      </vt:variant>
      <vt:variant>
        <vt:i4>0</vt:i4>
      </vt:variant>
      <vt:variant>
        <vt:i4>5</vt:i4>
      </vt:variant>
      <vt:variant>
        <vt:lpwstr/>
      </vt:variant>
      <vt:variant>
        <vt:lpwstr>_Toc437425694</vt:lpwstr>
      </vt:variant>
      <vt:variant>
        <vt:i4>1835063</vt:i4>
      </vt:variant>
      <vt:variant>
        <vt:i4>296</vt:i4>
      </vt:variant>
      <vt:variant>
        <vt:i4>0</vt:i4>
      </vt:variant>
      <vt:variant>
        <vt:i4>5</vt:i4>
      </vt:variant>
      <vt:variant>
        <vt:lpwstr/>
      </vt:variant>
      <vt:variant>
        <vt:lpwstr>_Toc437425693</vt:lpwstr>
      </vt:variant>
      <vt:variant>
        <vt:i4>1835063</vt:i4>
      </vt:variant>
      <vt:variant>
        <vt:i4>290</vt:i4>
      </vt:variant>
      <vt:variant>
        <vt:i4>0</vt:i4>
      </vt:variant>
      <vt:variant>
        <vt:i4>5</vt:i4>
      </vt:variant>
      <vt:variant>
        <vt:lpwstr/>
      </vt:variant>
      <vt:variant>
        <vt:lpwstr>_Toc437425692</vt:lpwstr>
      </vt:variant>
      <vt:variant>
        <vt:i4>1835063</vt:i4>
      </vt:variant>
      <vt:variant>
        <vt:i4>284</vt:i4>
      </vt:variant>
      <vt:variant>
        <vt:i4>0</vt:i4>
      </vt:variant>
      <vt:variant>
        <vt:i4>5</vt:i4>
      </vt:variant>
      <vt:variant>
        <vt:lpwstr/>
      </vt:variant>
      <vt:variant>
        <vt:lpwstr>_Toc437425691</vt:lpwstr>
      </vt:variant>
      <vt:variant>
        <vt:i4>1835063</vt:i4>
      </vt:variant>
      <vt:variant>
        <vt:i4>278</vt:i4>
      </vt:variant>
      <vt:variant>
        <vt:i4>0</vt:i4>
      </vt:variant>
      <vt:variant>
        <vt:i4>5</vt:i4>
      </vt:variant>
      <vt:variant>
        <vt:lpwstr/>
      </vt:variant>
      <vt:variant>
        <vt:lpwstr>_Toc437425690</vt:lpwstr>
      </vt:variant>
      <vt:variant>
        <vt:i4>1900599</vt:i4>
      </vt:variant>
      <vt:variant>
        <vt:i4>272</vt:i4>
      </vt:variant>
      <vt:variant>
        <vt:i4>0</vt:i4>
      </vt:variant>
      <vt:variant>
        <vt:i4>5</vt:i4>
      </vt:variant>
      <vt:variant>
        <vt:lpwstr/>
      </vt:variant>
      <vt:variant>
        <vt:lpwstr>_Toc437425689</vt:lpwstr>
      </vt:variant>
      <vt:variant>
        <vt:i4>1900599</vt:i4>
      </vt:variant>
      <vt:variant>
        <vt:i4>266</vt:i4>
      </vt:variant>
      <vt:variant>
        <vt:i4>0</vt:i4>
      </vt:variant>
      <vt:variant>
        <vt:i4>5</vt:i4>
      </vt:variant>
      <vt:variant>
        <vt:lpwstr/>
      </vt:variant>
      <vt:variant>
        <vt:lpwstr>_Toc437425688</vt:lpwstr>
      </vt:variant>
      <vt:variant>
        <vt:i4>1900599</vt:i4>
      </vt:variant>
      <vt:variant>
        <vt:i4>260</vt:i4>
      </vt:variant>
      <vt:variant>
        <vt:i4>0</vt:i4>
      </vt:variant>
      <vt:variant>
        <vt:i4>5</vt:i4>
      </vt:variant>
      <vt:variant>
        <vt:lpwstr/>
      </vt:variant>
      <vt:variant>
        <vt:lpwstr>_Toc437425687</vt:lpwstr>
      </vt:variant>
      <vt:variant>
        <vt:i4>1900599</vt:i4>
      </vt:variant>
      <vt:variant>
        <vt:i4>254</vt:i4>
      </vt:variant>
      <vt:variant>
        <vt:i4>0</vt:i4>
      </vt:variant>
      <vt:variant>
        <vt:i4>5</vt:i4>
      </vt:variant>
      <vt:variant>
        <vt:lpwstr/>
      </vt:variant>
      <vt:variant>
        <vt:lpwstr>_Toc437425686</vt:lpwstr>
      </vt:variant>
      <vt:variant>
        <vt:i4>1900599</vt:i4>
      </vt:variant>
      <vt:variant>
        <vt:i4>248</vt:i4>
      </vt:variant>
      <vt:variant>
        <vt:i4>0</vt:i4>
      </vt:variant>
      <vt:variant>
        <vt:i4>5</vt:i4>
      </vt:variant>
      <vt:variant>
        <vt:lpwstr/>
      </vt:variant>
      <vt:variant>
        <vt:lpwstr>_Toc437425685</vt:lpwstr>
      </vt:variant>
      <vt:variant>
        <vt:i4>1900599</vt:i4>
      </vt:variant>
      <vt:variant>
        <vt:i4>242</vt:i4>
      </vt:variant>
      <vt:variant>
        <vt:i4>0</vt:i4>
      </vt:variant>
      <vt:variant>
        <vt:i4>5</vt:i4>
      </vt:variant>
      <vt:variant>
        <vt:lpwstr/>
      </vt:variant>
      <vt:variant>
        <vt:lpwstr>_Toc437425684</vt:lpwstr>
      </vt:variant>
      <vt:variant>
        <vt:i4>1900599</vt:i4>
      </vt:variant>
      <vt:variant>
        <vt:i4>236</vt:i4>
      </vt:variant>
      <vt:variant>
        <vt:i4>0</vt:i4>
      </vt:variant>
      <vt:variant>
        <vt:i4>5</vt:i4>
      </vt:variant>
      <vt:variant>
        <vt:lpwstr/>
      </vt:variant>
      <vt:variant>
        <vt:lpwstr>_Toc437425683</vt:lpwstr>
      </vt:variant>
      <vt:variant>
        <vt:i4>1900599</vt:i4>
      </vt:variant>
      <vt:variant>
        <vt:i4>230</vt:i4>
      </vt:variant>
      <vt:variant>
        <vt:i4>0</vt:i4>
      </vt:variant>
      <vt:variant>
        <vt:i4>5</vt:i4>
      </vt:variant>
      <vt:variant>
        <vt:lpwstr/>
      </vt:variant>
      <vt:variant>
        <vt:lpwstr>_Toc437425681</vt:lpwstr>
      </vt:variant>
      <vt:variant>
        <vt:i4>1900599</vt:i4>
      </vt:variant>
      <vt:variant>
        <vt:i4>224</vt:i4>
      </vt:variant>
      <vt:variant>
        <vt:i4>0</vt:i4>
      </vt:variant>
      <vt:variant>
        <vt:i4>5</vt:i4>
      </vt:variant>
      <vt:variant>
        <vt:lpwstr/>
      </vt:variant>
      <vt:variant>
        <vt:lpwstr>_Toc437425680</vt:lpwstr>
      </vt:variant>
      <vt:variant>
        <vt:i4>1179703</vt:i4>
      </vt:variant>
      <vt:variant>
        <vt:i4>218</vt:i4>
      </vt:variant>
      <vt:variant>
        <vt:i4>0</vt:i4>
      </vt:variant>
      <vt:variant>
        <vt:i4>5</vt:i4>
      </vt:variant>
      <vt:variant>
        <vt:lpwstr/>
      </vt:variant>
      <vt:variant>
        <vt:lpwstr>_Toc437425679</vt:lpwstr>
      </vt:variant>
      <vt:variant>
        <vt:i4>1179703</vt:i4>
      </vt:variant>
      <vt:variant>
        <vt:i4>212</vt:i4>
      </vt:variant>
      <vt:variant>
        <vt:i4>0</vt:i4>
      </vt:variant>
      <vt:variant>
        <vt:i4>5</vt:i4>
      </vt:variant>
      <vt:variant>
        <vt:lpwstr/>
      </vt:variant>
      <vt:variant>
        <vt:lpwstr>_Toc437425678</vt:lpwstr>
      </vt:variant>
      <vt:variant>
        <vt:i4>1179703</vt:i4>
      </vt:variant>
      <vt:variant>
        <vt:i4>206</vt:i4>
      </vt:variant>
      <vt:variant>
        <vt:i4>0</vt:i4>
      </vt:variant>
      <vt:variant>
        <vt:i4>5</vt:i4>
      </vt:variant>
      <vt:variant>
        <vt:lpwstr/>
      </vt:variant>
      <vt:variant>
        <vt:lpwstr>_Toc437425677</vt:lpwstr>
      </vt:variant>
      <vt:variant>
        <vt:i4>1179703</vt:i4>
      </vt:variant>
      <vt:variant>
        <vt:i4>200</vt:i4>
      </vt:variant>
      <vt:variant>
        <vt:i4>0</vt:i4>
      </vt:variant>
      <vt:variant>
        <vt:i4>5</vt:i4>
      </vt:variant>
      <vt:variant>
        <vt:lpwstr/>
      </vt:variant>
      <vt:variant>
        <vt:lpwstr>_Toc437425676</vt:lpwstr>
      </vt:variant>
      <vt:variant>
        <vt:i4>1179703</vt:i4>
      </vt:variant>
      <vt:variant>
        <vt:i4>194</vt:i4>
      </vt:variant>
      <vt:variant>
        <vt:i4>0</vt:i4>
      </vt:variant>
      <vt:variant>
        <vt:i4>5</vt:i4>
      </vt:variant>
      <vt:variant>
        <vt:lpwstr/>
      </vt:variant>
      <vt:variant>
        <vt:lpwstr>_Toc437425675</vt:lpwstr>
      </vt:variant>
      <vt:variant>
        <vt:i4>1179703</vt:i4>
      </vt:variant>
      <vt:variant>
        <vt:i4>188</vt:i4>
      </vt:variant>
      <vt:variant>
        <vt:i4>0</vt:i4>
      </vt:variant>
      <vt:variant>
        <vt:i4>5</vt:i4>
      </vt:variant>
      <vt:variant>
        <vt:lpwstr/>
      </vt:variant>
      <vt:variant>
        <vt:lpwstr>_Toc437425674</vt:lpwstr>
      </vt:variant>
      <vt:variant>
        <vt:i4>1179703</vt:i4>
      </vt:variant>
      <vt:variant>
        <vt:i4>182</vt:i4>
      </vt:variant>
      <vt:variant>
        <vt:i4>0</vt:i4>
      </vt:variant>
      <vt:variant>
        <vt:i4>5</vt:i4>
      </vt:variant>
      <vt:variant>
        <vt:lpwstr/>
      </vt:variant>
      <vt:variant>
        <vt:lpwstr>_Toc437425673</vt:lpwstr>
      </vt:variant>
      <vt:variant>
        <vt:i4>1179703</vt:i4>
      </vt:variant>
      <vt:variant>
        <vt:i4>176</vt:i4>
      </vt:variant>
      <vt:variant>
        <vt:i4>0</vt:i4>
      </vt:variant>
      <vt:variant>
        <vt:i4>5</vt:i4>
      </vt:variant>
      <vt:variant>
        <vt:lpwstr/>
      </vt:variant>
      <vt:variant>
        <vt:lpwstr>_Toc437425672</vt:lpwstr>
      </vt:variant>
      <vt:variant>
        <vt:i4>1179703</vt:i4>
      </vt:variant>
      <vt:variant>
        <vt:i4>170</vt:i4>
      </vt:variant>
      <vt:variant>
        <vt:i4>0</vt:i4>
      </vt:variant>
      <vt:variant>
        <vt:i4>5</vt:i4>
      </vt:variant>
      <vt:variant>
        <vt:lpwstr/>
      </vt:variant>
      <vt:variant>
        <vt:lpwstr>_Toc437425671</vt:lpwstr>
      </vt:variant>
      <vt:variant>
        <vt:i4>1179703</vt:i4>
      </vt:variant>
      <vt:variant>
        <vt:i4>164</vt:i4>
      </vt:variant>
      <vt:variant>
        <vt:i4>0</vt:i4>
      </vt:variant>
      <vt:variant>
        <vt:i4>5</vt:i4>
      </vt:variant>
      <vt:variant>
        <vt:lpwstr/>
      </vt:variant>
      <vt:variant>
        <vt:lpwstr>_Toc437425670</vt:lpwstr>
      </vt:variant>
      <vt:variant>
        <vt:i4>1245239</vt:i4>
      </vt:variant>
      <vt:variant>
        <vt:i4>158</vt:i4>
      </vt:variant>
      <vt:variant>
        <vt:i4>0</vt:i4>
      </vt:variant>
      <vt:variant>
        <vt:i4>5</vt:i4>
      </vt:variant>
      <vt:variant>
        <vt:lpwstr/>
      </vt:variant>
      <vt:variant>
        <vt:lpwstr>_Toc437425669</vt:lpwstr>
      </vt:variant>
      <vt:variant>
        <vt:i4>1245239</vt:i4>
      </vt:variant>
      <vt:variant>
        <vt:i4>152</vt:i4>
      </vt:variant>
      <vt:variant>
        <vt:i4>0</vt:i4>
      </vt:variant>
      <vt:variant>
        <vt:i4>5</vt:i4>
      </vt:variant>
      <vt:variant>
        <vt:lpwstr/>
      </vt:variant>
      <vt:variant>
        <vt:lpwstr>_Toc437425668</vt:lpwstr>
      </vt:variant>
      <vt:variant>
        <vt:i4>1245239</vt:i4>
      </vt:variant>
      <vt:variant>
        <vt:i4>146</vt:i4>
      </vt:variant>
      <vt:variant>
        <vt:i4>0</vt:i4>
      </vt:variant>
      <vt:variant>
        <vt:i4>5</vt:i4>
      </vt:variant>
      <vt:variant>
        <vt:lpwstr/>
      </vt:variant>
      <vt:variant>
        <vt:lpwstr>_Toc437425667</vt:lpwstr>
      </vt:variant>
      <vt:variant>
        <vt:i4>1245239</vt:i4>
      </vt:variant>
      <vt:variant>
        <vt:i4>140</vt:i4>
      </vt:variant>
      <vt:variant>
        <vt:i4>0</vt:i4>
      </vt:variant>
      <vt:variant>
        <vt:i4>5</vt:i4>
      </vt:variant>
      <vt:variant>
        <vt:lpwstr/>
      </vt:variant>
      <vt:variant>
        <vt:lpwstr>_Toc437425666</vt:lpwstr>
      </vt:variant>
      <vt:variant>
        <vt:i4>1245239</vt:i4>
      </vt:variant>
      <vt:variant>
        <vt:i4>134</vt:i4>
      </vt:variant>
      <vt:variant>
        <vt:i4>0</vt:i4>
      </vt:variant>
      <vt:variant>
        <vt:i4>5</vt:i4>
      </vt:variant>
      <vt:variant>
        <vt:lpwstr/>
      </vt:variant>
      <vt:variant>
        <vt:lpwstr>_Toc437425665</vt:lpwstr>
      </vt:variant>
      <vt:variant>
        <vt:i4>1245239</vt:i4>
      </vt:variant>
      <vt:variant>
        <vt:i4>128</vt:i4>
      </vt:variant>
      <vt:variant>
        <vt:i4>0</vt:i4>
      </vt:variant>
      <vt:variant>
        <vt:i4>5</vt:i4>
      </vt:variant>
      <vt:variant>
        <vt:lpwstr/>
      </vt:variant>
      <vt:variant>
        <vt:lpwstr>_Toc437425664</vt:lpwstr>
      </vt:variant>
      <vt:variant>
        <vt:i4>1245239</vt:i4>
      </vt:variant>
      <vt:variant>
        <vt:i4>122</vt:i4>
      </vt:variant>
      <vt:variant>
        <vt:i4>0</vt:i4>
      </vt:variant>
      <vt:variant>
        <vt:i4>5</vt:i4>
      </vt:variant>
      <vt:variant>
        <vt:lpwstr/>
      </vt:variant>
      <vt:variant>
        <vt:lpwstr>_Toc437425663</vt:lpwstr>
      </vt:variant>
      <vt:variant>
        <vt:i4>1245239</vt:i4>
      </vt:variant>
      <vt:variant>
        <vt:i4>116</vt:i4>
      </vt:variant>
      <vt:variant>
        <vt:i4>0</vt:i4>
      </vt:variant>
      <vt:variant>
        <vt:i4>5</vt:i4>
      </vt:variant>
      <vt:variant>
        <vt:lpwstr/>
      </vt:variant>
      <vt:variant>
        <vt:lpwstr>_Toc437425662</vt:lpwstr>
      </vt:variant>
      <vt:variant>
        <vt:i4>1245239</vt:i4>
      </vt:variant>
      <vt:variant>
        <vt:i4>110</vt:i4>
      </vt:variant>
      <vt:variant>
        <vt:i4>0</vt:i4>
      </vt:variant>
      <vt:variant>
        <vt:i4>5</vt:i4>
      </vt:variant>
      <vt:variant>
        <vt:lpwstr/>
      </vt:variant>
      <vt:variant>
        <vt:lpwstr>_Toc437425661</vt:lpwstr>
      </vt:variant>
      <vt:variant>
        <vt:i4>1245239</vt:i4>
      </vt:variant>
      <vt:variant>
        <vt:i4>104</vt:i4>
      </vt:variant>
      <vt:variant>
        <vt:i4>0</vt:i4>
      </vt:variant>
      <vt:variant>
        <vt:i4>5</vt:i4>
      </vt:variant>
      <vt:variant>
        <vt:lpwstr/>
      </vt:variant>
      <vt:variant>
        <vt:lpwstr>_Toc437425660</vt:lpwstr>
      </vt:variant>
      <vt:variant>
        <vt:i4>1048631</vt:i4>
      </vt:variant>
      <vt:variant>
        <vt:i4>98</vt:i4>
      </vt:variant>
      <vt:variant>
        <vt:i4>0</vt:i4>
      </vt:variant>
      <vt:variant>
        <vt:i4>5</vt:i4>
      </vt:variant>
      <vt:variant>
        <vt:lpwstr/>
      </vt:variant>
      <vt:variant>
        <vt:lpwstr>_Toc437425659</vt:lpwstr>
      </vt:variant>
      <vt:variant>
        <vt:i4>1048631</vt:i4>
      </vt:variant>
      <vt:variant>
        <vt:i4>92</vt:i4>
      </vt:variant>
      <vt:variant>
        <vt:i4>0</vt:i4>
      </vt:variant>
      <vt:variant>
        <vt:i4>5</vt:i4>
      </vt:variant>
      <vt:variant>
        <vt:lpwstr/>
      </vt:variant>
      <vt:variant>
        <vt:lpwstr>_Toc437425657</vt:lpwstr>
      </vt:variant>
      <vt:variant>
        <vt:i4>1048631</vt:i4>
      </vt:variant>
      <vt:variant>
        <vt:i4>86</vt:i4>
      </vt:variant>
      <vt:variant>
        <vt:i4>0</vt:i4>
      </vt:variant>
      <vt:variant>
        <vt:i4>5</vt:i4>
      </vt:variant>
      <vt:variant>
        <vt:lpwstr/>
      </vt:variant>
      <vt:variant>
        <vt:lpwstr>_Toc437425656</vt:lpwstr>
      </vt:variant>
      <vt:variant>
        <vt:i4>1048631</vt:i4>
      </vt:variant>
      <vt:variant>
        <vt:i4>80</vt:i4>
      </vt:variant>
      <vt:variant>
        <vt:i4>0</vt:i4>
      </vt:variant>
      <vt:variant>
        <vt:i4>5</vt:i4>
      </vt:variant>
      <vt:variant>
        <vt:lpwstr/>
      </vt:variant>
      <vt:variant>
        <vt:lpwstr>_Toc437425655</vt:lpwstr>
      </vt:variant>
      <vt:variant>
        <vt:i4>1048631</vt:i4>
      </vt:variant>
      <vt:variant>
        <vt:i4>74</vt:i4>
      </vt:variant>
      <vt:variant>
        <vt:i4>0</vt:i4>
      </vt:variant>
      <vt:variant>
        <vt:i4>5</vt:i4>
      </vt:variant>
      <vt:variant>
        <vt:lpwstr/>
      </vt:variant>
      <vt:variant>
        <vt:lpwstr>_Toc437425654</vt:lpwstr>
      </vt:variant>
      <vt:variant>
        <vt:i4>1048631</vt:i4>
      </vt:variant>
      <vt:variant>
        <vt:i4>68</vt:i4>
      </vt:variant>
      <vt:variant>
        <vt:i4>0</vt:i4>
      </vt:variant>
      <vt:variant>
        <vt:i4>5</vt:i4>
      </vt:variant>
      <vt:variant>
        <vt:lpwstr/>
      </vt:variant>
      <vt:variant>
        <vt:lpwstr>_Toc437425653</vt:lpwstr>
      </vt:variant>
      <vt:variant>
        <vt:i4>1048631</vt:i4>
      </vt:variant>
      <vt:variant>
        <vt:i4>62</vt:i4>
      </vt:variant>
      <vt:variant>
        <vt:i4>0</vt:i4>
      </vt:variant>
      <vt:variant>
        <vt:i4>5</vt:i4>
      </vt:variant>
      <vt:variant>
        <vt:lpwstr/>
      </vt:variant>
      <vt:variant>
        <vt:lpwstr>_Toc437425652</vt:lpwstr>
      </vt:variant>
      <vt:variant>
        <vt:i4>1048631</vt:i4>
      </vt:variant>
      <vt:variant>
        <vt:i4>56</vt:i4>
      </vt:variant>
      <vt:variant>
        <vt:i4>0</vt:i4>
      </vt:variant>
      <vt:variant>
        <vt:i4>5</vt:i4>
      </vt:variant>
      <vt:variant>
        <vt:lpwstr/>
      </vt:variant>
      <vt:variant>
        <vt:lpwstr>_Toc437425650</vt:lpwstr>
      </vt:variant>
      <vt:variant>
        <vt:i4>1114167</vt:i4>
      </vt:variant>
      <vt:variant>
        <vt:i4>50</vt:i4>
      </vt:variant>
      <vt:variant>
        <vt:i4>0</vt:i4>
      </vt:variant>
      <vt:variant>
        <vt:i4>5</vt:i4>
      </vt:variant>
      <vt:variant>
        <vt:lpwstr/>
      </vt:variant>
      <vt:variant>
        <vt:lpwstr>_Toc437425649</vt:lpwstr>
      </vt:variant>
      <vt:variant>
        <vt:i4>1114167</vt:i4>
      </vt:variant>
      <vt:variant>
        <vt:i4>44</vt:i4>
      </vt:variant>
      <vt:variant>
        <vt:i4>0</vt:i4>
      </vt:variant>
      <vt:variant>
        <vt:i4>5</vt:i4>
      </vt:variant>
      <vt:variant>
        <vt:lpwstr/>
      </vt:variant>
      <vt:variant>
        <vt:lpwstr>_Toc437425648</vt:lpwstr>
      </vt:variant>
      <vt:variant>
        <vt:i4>1114167</vt:i4>
      </vt:variant>
      <vt:variant>
        <vt:i4>38</vt:i4>
      </vt:variant>
      <vt:variant>
        <vt:i4>0</vt:i4>
      </vt:variant>
      <vt:variant>
        <vt:i4>5</vt:i4>
      </vt:variant>
      <vt:variant>
        <vt:lpwstr/>
      </vt:variant>
      <vt:variant>
        <vt:lpwstr>_Toc437425647</vt:lpwstr>
      </vt:variant>
      <vt:variant>
        <vt:i4>1114167</vt:i4>
      </vt:variant>
      <vt:variant>
        <vt:i4>32</vt:i4>
      </vt:variant>
      <vt:variant>
        <vt:i4>0</vt:i4>
      </vt:variant>
      <vt:variant>
        <vt:i4>5</vt:i4>
      </vt:variant>
      <vt:variant>
        <vt:lpwstr/>
      </vt:variant>
      <vt:variant>
        <vt:lpwstr>_Toc437425646</vt:lpwstr>
      </vt:variant>
      <vt:variant>
        <vt:i4>1114167</vt:i4>
      </vt:variant>
      <vt:variant>
        <vt:i4>26</vt:i4>
      </vt:variant>
      <vt:variant>
        <vt:i4>0</vt:i4>
      </vt:variant>
      <vt:variant>
        <vt:i4>5</vt:i4>
      </vt:variant>
      <vt:variant>
        <vt:lpwstr/>
      </vt:variant>
      <vt:variant>
        <vt:lpwstr>_Toc437425645</vt:lpwstr>
      </vt:variant>
      <vt:variant>
        <vt:i4>1114167</vt:i4>
      </vt:variant>
      <vt:variant>
        <vt:i4>20</vt:i4>
      </vt:variant>
      <vt:variant>
        <vt:i4>0</vt:i4>
      </vt:variant>
      <vt:variant>
        <vt:i4>5</vt:i4>
      </vt:variant>
      <vt:variant>
        <vt:lpwstr/>
      </vt:variant>
      <vt:variant>
        <vt:lpwstr>_Toc437425644</vt:lpwstr>
      </vt:variant>
      <vt:variant>
        <vt:i4>1114167</vt:i4>
      </vt:variant>
      <vt:variant>
        <vt:i4>14</vt:i4>
      </vt:variant>
      <vt:variant>
        <vt:i4>0</vt:i4>
      </vt:variant>
      <vt:variant>
        <vt:i4>5</vt:i4>
      </vt:variant>
      <vt:variant>
        <vt:lpwstr/>
      </vt:variant>
      <vt:variant>
        <vt:lpwstr>_Toc437425643</vt:lpwstr>
      </vt:variant>
      <vt:variant>
        <vt:i4>1114167</vt:i4>
      </vt:variant>
      <vt:variant>
        <vt:i4>8</vt:i4>
      </vt:variant>
      <vt:variant>
        <vt:i4>0</vt:i4>
      </vt:variant>
      <vt:variant>
        <vt:i4>5</vt:i4>
      </vt:variant>
      <vt:variant>
        <vt:lpwstr/>
      </vt:variant>
      <vt:variant>
        <vt:lpwstr>_Toc437425642</vt:lpwstr>
      </vt:variant>
      <vt:variant>
        <vt:i4>1114167</vt:i4>
      </vt:variant>
      <vt:variant>
        <vt:i4>2</vt:i4>
      </vt:variant>
      <vt:variant>
        <vt:i4>0</vt:i4>
      </vt:variant>
      <vt:variant>
        <vt:i4>5</vt:i4>
      </vt:variant>
      <vt:variant>
        <vt:lpwstr/>
      </vt:variant>
      <vt:variant>
        <vt:lpwstr>_Toc437425641</vt:lpwstr>
      </vt:variant>
      <vt:variant>
        <vt:i4>458829</vt:i4>
      </vt:variant>
      <vt:variant>
        <vt:i4>33</vt:i4>
      </vt:variant>
      <vt:variant>
        <vt:i4>0</vt:i4>
      </vt:variant>
      <vt:variant>
        <vt:i4>5</vt:i4>
      </vt:variant>
      <vt:variant>
        <vt:lpwstr>http://www.ine.gob.gt/np/snvcm/index</vt:lpwstr>
      </vt:variant>
      <vt:variant>
        <vt:lpwstr/>
      </vt:variant>
      <vt:variant>
        <vt:i4>8060978</vt:i4>
      </vt:variant>
      <vt:variant>
        <vt:i4>30</vt:i4>
      </vt:variant>
      <vt:variant>
        <vt:i4>0</vt:i4>
      </vt:variant>
      <vt:variant>
        <vt:i4>5</vt:i4>
      </vt:variant>
      <vt:variant>
        <vt:lpwstr>http://www.congreso.gob.gt/manager/images/91E9DEF7-5D94-7146-29A0-8AB105E3FC92.PDF</vt:lpwstr>
      </vt:variant>
      <vt:variant>
        <vt:lpwstr/>
      </vt:variant>
      <vt:variant>
        <vt:i4>2687029</vt:i4>
      </vt:variant>
      <vt:variant>
        <vt:i4>27</vt:i4>
      </vt:variant>
      <vt:variant>
        <vt:i4>0</vt:i4>
      </vt:variant>
      <vt:variant>
        <vt:i4>5</vt:i4>
      </vt:variant>
      <vt:variant>
        <vt:lpwstr>http://www.cidh.oas.org/Comunicados/Spanish/2004/20.04.htm</vt:lpwstr>
      </vt:variant>
      <vt:variant>
        <vt:lpwstr/>
      </vt:variant>
      <vt:variant>
        <vt:i4>3670126</vt:i4>
      </vt:variant>
      <vt:variant>
        <vt:i4>24</vt:i4>
      </vt:variant>
      <vt:variant>
        <vt:i4>0</vt:i4>
      </vt:variant>
      <vt:variant>
        <vt:i4>5</vt:i4>
      </vt:variant>
      <vt:variant>
        <vt:lpwstr>http://www.cidh.org/countryrep/guatemala01sp/indice.htm</vt:lpwstr>
      </vt:variant>
      <vt:variant>
        <vt:lpwstr/>
      </vt:variant>
      <vt:variant>
        <vt:i4>2687029</vt:i4>
      </vt:variant>
      <vt:variant>
        <vt:i4>21</vt:i4>
      </vt:variant>
      <vt:variant>
        <vt:i4>0</vt:i4>
      </vt:variant>
      <vt:variant>
        <vt:i4>5</vt:i4>
      </vt:variant>
      <vt:variant>
        <vt:lpwstr>http://www.cidh.oas.org/Comunicados/Spanish/2004/20.04.htm</vt:lpwstr>
      </vt:variant>
      <vt:variant>
        <vt:lpwstr/>
      </vt:variant>
      <vt:variant>
        <vt:i4>6160410</vt:i4>
      </vt:variant>
      <vt:variant>
        <vt:i4>18</vt:i4>
      </vt:variant>
      <vt:variant>
        <vt:i4>0</vt:i4>
      </vt:variant>
      <vt:variant>
        <vt:i4>5</vt:i4>
      </vt:variant>
      <vt:variant>
        <vt:lpwstr>http://www.cidh.org/pdf files/Informe Acceso a la Justicia Espanol 020507.pdf</vt:lpwstr>
      </vt:variant>
      <vt:variant>
        <vt:lpwstr/>
      </vt:variant>
      <vt:variant>
        <vt:i4>6160410</vt:i4>
      </vt:variant>
      <vt:variant>
        <vt:i4>15</vt:i4>
      </vt:variant>
      <vt:variant>
        <vt:i4>0</vt:i4>
      </vt:variant>
      <vt:variant>
        <vt:i4>5</vt:i4>
      </vt:variant>
      <vt:variant>
        <vt:lpwstr>http://www.cidh.org/pdf files/Informe Acceso a la Justicia Espanol 020507.pdf</vt:lpwstr>
      </vt:variant>
      <vt:variant>
        <vt:lpwstr/>
      </vt:variant>
      <vt:variant>
        <vt:i4>7536719</vt:i4>
      </vt:variant>
      <vt:variant>
        <vt:i4>12</vt:i4>
      </vt:variant>
      <vt:variant>
        <vt:i4>0</vt:i4>
      </vt:variant>
      <vt:variant>
        <vt:i4>5</vt:i4>
      </vt:variant>
      <vt:variant>
        <vt:lpwstr>http://www.ohchr.org.gt/cd_instrumentos/documentos/Vimu.pdf</vt:lpwstr>
      </vt:variant>
      <vt:variant>
        <vt:lpwstr/>
      </vt:variant>
      <vt:variant>
        <vt:i4>4915248</vt:i4>
      </vt:variant>
      <vt:variant>
        <vt:i4>6</vt:i4>
      </vt:variant>
      <vt:variant>
        <vt:i4>0</vt:i4>
      </vt:variant>
      <vt:variant>
        <vt:i4>5</vt:i4>
      </vt:variant>
      <vt:variant>
        <vt:lpwstr>http://www.iom.int/seguridad-fronteriza/lit/land/cap2_2.pdf</vt:lpwstr>
      </vt:variant>
      <vt:variant>
        <vt:lpwstr/>
      </vt:variant>
      <vt:variant>
        <vt:i4>8060978</vt:i4>
      </vt:variant>
      <vt:variant>
        <vt:i4>3</vt:i4>
      </vt:variant>
      <vt:variant>
        <vt:i4>0</vt:i4>
      </vt:variant>
      <vt:variant>
        <vt:i4>5</vt:i4>
      </vt:variant>
      <vt:variant>
        <vt:lpwstr>http://www.congreso.gob.gt/manager/images/91E9DEF7-5D94-7146-29A0-8AB105E3FC92.PDF</vt:lpwstr>
      </vt:variant>
      <vt:variant>
        <vt:lpwstr/>
      </vt:variant>
      <vt:variant>
        <vt:i4>6553680</vt:i4>
      </vt:variant>
      <vt:variant>
        <vt:i4>0</vt:i4>
      </vt:variant>
      <vt:variant>
        <vt:i4>0</vt:i4>
      </vt:variant>
      <vt:variant>
        <vt:i4>5</vt:i4>
      </vt:variant>
      <vt:variant>
        <vt:lpwstr>http://www.corteidh.or.cr/docs/asuntos/velasquez_19_03_15.pdf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2</cp:revision>
  <cp:lastPrinted>2020-06-04T21:49:00Z</cp:lastPrinted>
  <dcterms:created xsi:type="dcterms:W3CDTF">2020-07-08T15:14:00Z</dcterms:created>
  <dcterms:modified xsi:type="dcterms:W3CDTF">2020-07-08T15:14:00Z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y fmtid="{D5CDD505-2E9C-101B-9397-08002B2CF9AE}" pid="3" name="ContentType">
    <vt:lpwstr>Document</vt:lpwstr>
  </property>
  <property fmtid="{D5CDD505-2E9C-101B-9397-08002B2CF9AE}" pid="4" name="Subject">
    <vt:lpwstr/>
  </property>
  <property fmtid="{D5CDD505-2E9C-101B-9397-08002B2CF9AE}" pid="5" name="Keywords">
    <vt:lpwstr/>
  </property>
  <property fmtid="{D5CDD505-2E9C-101B-9397-08002B2CF9AE}" pid="6" name="_Author">
    <vt:lpwstr>Niall Coghlan</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ies>
</file>