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2B8C2" w14:textId="77777777" w:rsidR="00907144" w:rsidRPr="00F05967" w:rsidRDefault="00907144" w:rsidP="00F05967">
      <w:pPr>
        <w:spacing w:after="0" w:line="240" w:lineRule="auto"/>
        <w:ind w:left="0" w:right="0"/>
        <w:jc w:val="center"/>
        <w:rPr>
          <w:rFonts w:ascii="Verdana" w:hAnsi="Verdana"/>
          <w:b/>
          <w:bCs/>
          <w:sz w:val="20"/>
          <w:szCs w:val="20"/>
        </w:rPr>
      </w:pPr>
      <w:r w:rsidRPr="00F05967">
        <w:rPr>
          <w:rFonts w:ascii="Verdana" w:hAnsi="Verdana"/>
          <w:b/>
          <w:bCs/>
          <w:sz w:val="20"/>
          <w:szCs w:val="20"/>
        </w:rPr>
        <w:t>VOTO DISIDENTE DEL JUEZ EDUARDO VIO GROSSI,</w:t>
      </w:r>
    </w:p>
    <w:p w14:paraId="4EF7DD42" w14:textId="77777777" w:rsidR="00F05967" w:rsidRDefault="00F05967" w:rsidP="00F05967">
      <w:pPr>
        <w:tabs>
          <w:tab w:val="left" w:pos="720"/>
        </w:tabs>
        <w:spacing w:after="0" w:line="240" w:lineRule="auto"/>
        <w:jc w:val="center"/>
        <w:rPr>
          <w:rFonts w:ascii="Verdana" w:hAnsi="Verdana"/>
          <w:b/>
          <w:sz w:val="20"/>
          <w:szCs w:val="20"/>
          <w:lang w:val="es-ES"/>
        </w:rPr>
      </w:pPr>
      <w:r w:rsidRPr="00F05967">
        <w:rPr>
          <w:rFonts w:ascii="Verdana" w:hAnsi="Verdana"/>
          <w:b/>
          <w:sz w:val="20"/>
          <w:szCs w:val="20"/>
          <w:lang w:val="es-ES"/>
        </w:rPr>
        <w:t>RESOLUCIÓN DE LA CORTE INTERAMERICANA DE DERECHOS HUMANOS</w:t>
      </w:r>
      <w:r>
        <w:rPr>
          <w:rFonts w:ascii="Verdana" w:hAnsi="Verdana"/>
          <w:b/>
          <w:sz w:val="20"/>
          <w:szCs w:val="20"/>
          <w:lang w:val="es-ES"/>
        </w:rPr>
        <w:t xml:space="preserve">, </w:t>
      </w:r>
    </w:p>
    <w:p w14:paraId="50DA90DB" w14:textId="6BF410AD" w:rsidR="00F05967" w:rsidRDefault="00F05967" w:rsidP="00F05967">
      <w:pPr>
        <w:tabs>
          <w:tab w:val="left" w:pos="720"/>
        </w:tabs>
        <w:spacing w:after="0" w:line="240" w:lineRule="auto"/>
        <w:jc w:val="center"/>
        <w:rPr>
          <w:rFonts w:ascii="Verdana" w:hAnsi="Verdana"/>
          <w:b/>
          <w:sz w:val="20"/>
          <w:szCs w:val="20"/>
          <w:lang w:val="es-ES"/>
        </w:rPr>
      </w:pPr>
      <w:r w:rsidRPr="00F05967">
        <w:rPr>
          <w:rFonts w:ascii="Verdana" w:hAnsi="Verdana"/>
          <w:b/>
          <w:sz w:val="20"/>
          <w:szCs w:val="20"/>
          <w:lang w:val="es-ES"/>
        </w:rPr>
        <w:t>DE 29 DE JULIO DE 2020</w:t>
      </w:r>
      <w:r>
        <w:rPr>
          <w:rFonts w:ascii="Verdana" w:hAnsi="Verdana"/>
          <w:b/>
          <w:sz w:val="20"/>
          <w:szCs w:val="20"/>
          <w:lang w:val="es-ES"/>
        </w:rPr>
        <w:t xml:space="preserve">, </w:t>
      </w:r>
    </w:p>
    <w:p w14:paraId="1E36B70F" w14:textId="77777777" w:rsidR="00F05967" w:rsidRDefault="00F05967" w:rsidP="00F05967">
      <w:pPr>
        <w:tabs>
          <w:tab w:val="left" w:pos="720"/>
        </w:tabs>
        <w:spacing w:after="0" w:line="240" w:lineRule="auto"/>
        <w:jc w:val="center"/>
        <w:rPr>
          <w:rFonts w:ascii="Verdana" w:hAnsi="Verdana"/>
          <w:b/>
          <w:sz w:val="20"/>
          <w:szCs w:val="20"/>
          <w:lang w:val="es-ES"/>
        </w:rPr>
      </w:pPr>
      <w:r w:rsidRPr="00F05967">
        <w:rPr>
          <w:rFonts w:ascii="Verdana" w:hAnsi="Verdana"/>
          <w:b/>
          <w:sz w:val="20"/>
          <w:szCs w:val="20"/>
          <w:lang w:val="es-ES"/>
        </w:rPr>
        <w:t>ADOPCIÓN DE MEDIDAS PROVISIONALE</w:t>
      </w:r>
      <w:r>
        <w:rPr>
          <w:rFonts w:ascii="Verdana" w:hAnsi="Verdana"/>
          <w:b/>
          <w:sz w:val="20"/>
          <w:szCs w:val="20"/>
          <w:lang w:val="es-ES"/>
        </w:rPr>
        <w:t xml:space="preserve">S, </w:t>
      </w:r>
    </w:p>
    <w:p w14:paraId="7C0B3B63" w14:textId="0D30A500" w:rsidR="00F05967" w:rsidRPr="00F05967" w:rsidRDefault="00F05967" w:rsidP="00F05967">
      <w:pPr>
        <w:tabs>
          <w:tab w:val="left" w:pos="720"/>
        </w:tabs>
        <w:spacing w:after="0" w:line="240" w:lineRule="auto"/>
        <w:jc w:val="center"/>
        <w:rPr>
          <w:rFonts w:ascii="Verdana" w:hAnsi="Verdana"/>
          <w:b/>
          <w:sz w:val="20"/>
          <w:szCs w:val="20"/>
          <w:lang w:val="es-ES"/>
        </w:rPr>
      </w:pPr>
      <w:r w:rsidRPr="00F05967">
        <w:rPr>
          <w:rFonts w:ascii="Verdana" w:hAnsi="Verdana"/>
          <w:b/>
          <w:i/>
          <w:sz w:val="20"/>
          <w:szCs w:val="20"/>
          <w:lang w:val="es-AR"/>
        </w:rPr>
        <w:t>CASO VÉLEZ LOOR VS. PANAMÁ</w:t>
      </w:r>
    </w:p>
    <w:p w14:paraId="7F5FA578" w14:textId="77777777" w:rsidR="00907144" w:rsidRDefault="00907144" w:rsidP="00907144">
      <w:pPr>
        <w:pStyle w:val="Prrafodelista"/>
        <w:spacing w:after="0" w:line="276" w:lineRule="auto"/>
        <w:ind w:left="0" w:right="0"/>
        <w:rPr>
          <w:rFonts w:ascii="Verdana" w:hAnsi="Verdana"/>
          <w:b/>
          <w:bCs/>
          <w:sz w:val="20"/>
          <w:szCs w:val="20"/>
        </w:rPr>
      </w:pPr>
    </w:p>
    <w:p w14:paraId="135BF02C" w14:textId="77777777" w:rsidR="00907144" w:rsidRDefault="00907144" w:rsidP="00907144">
      <w:pPr>
        <w:pStyle w:val="Prrafodelista"/>
        <w:spacing w:after="0" w:line="276" w:lineRule="auto"/>
        <w:ind w:left="0" w:right="0"/>
        <w:rPr>
          <w:rFonts w:ascii="Verdana" w:hAnsi="Verdana"/>
          <w:b/>
          <w:bCs/>
          <w:sz w:val="20"/>
          <w:szCs w:val="20"/>
        </w:rPr>
      </w:pPr>
    </w:p>
    <w:p w14:paraId="491979F6" w14:textId="77777777" w:rsidR="00907144" w:rsidRDefault="00907144" w:rsidP="00907144">
      <w:pPr>
        <w:pStyle w:val="Prrafodelista"/>
        <w:spacing w:after="0" w:line="276" w:lineRule="auto"/>
        <w:ind w:left="0" w:right="0"/>
        <w:rPr>
          <w:rFonts w:ascii="Verdana" w:hAnsi="Verdana"/>
          <w:b/>
          <w:bCs/>
          <w:sz w:val="20"/>
          <w:szCs w:val="20"/>
        </w:rPr>
      </w:pPr>
    </w:p>
    <w:p w14:paraId="6511ABD9" w14:textId="77777777" w:rsidR="00246014" w:rsidRDefault="00246014" w:rsidP="00246014">
      <w:pPr>
        <w:pStyle w:val="Prrafodelista"/>
        <w:spacing w:after="0" w:line="276" w:lineRule="auto"/>
        <w:ind w:left="153"/>
        <w:jc w:val="both"/>
        <w:rPr>
          <w:rFonts w:ascii="Verdana" w:hAnsi="Verdana"/>
          <w:b/>
          <w:bCs/>
          <w:sz w:val="20"/>
          <w:szCs w:val="20"/>
        </w:rPr>
      </w:pPr>
    </w:p>
    <w:p w14:paraId="7168B21F" w14:textId="4623C38C" w:rsidR="00907144" w:rsidRPr="00A643AA" w:rsidRDefault="00907144" w:rsidP="00901AC4">
      <w:pPr>
        <w:pStyle w:val="Prrafodelista"/>
        <w:numPr>
          <w:ilvl w:val="0"/>
          <w:numId w:val="5"/>
        </w:numPr>
        <w:spacing w:after="0" w:line="276" w:lineRule="auto"/>
        <w:ind w:left="-567" w:firstLine="0"/>
        <w:jc w:val="both"/>
        <w:rPr>
          <w:rFonts w:ascii="Verdana" w:hAnsi="Verdana"/>
          <w:b/>
          <w:bCs/>
          <w:sz w:val="20"/>
          <w:szCs w:val="20"/>
        </w:rPr>
      </w:pPr>
      <w:r w:rsidRPr="00A643AA">
        <w:rPr>
          <w:rFonts w:ascii="Verdana" w:hAnsi="Verdana"/>
          <w:b/>
          <w:bCs/>
          <w:sz w:val="20"/>
          <w:szCs w:val="20"/>
        </w:rPr>
        <w:t>INTRODUCCIÓN.</w:t>
      </w:r>
    </w:p>
    <w:p w14:paraId="588654B5" w14:textId="77777777" w:rsidR="00907144" w:rsidRPr="00A643AA" w:rsidRDefault="00907144" w:rsidP="00F05967">
      <w:pPr>
        <w:spacing w:after="0" w:line="276" w:lineRule="auto"/>
        <w:contextualSpacing/>
        <w:jc w:val="both"/>
        <w:rPr>
          <w:rFonts w:ascii="Verdana" w:hAnsi="Verdana"/>
          <w:b/>
          <w:bCs/>
          <w:sz w:val="20"/>
          <w:szCs w:val="20"/>
        </w:rPr>
      </w:pPr>
    </w:p>
    <w:p w14:paraId="23731C37" w14:textId="1AE99025" w:rsidR="00F05967" w:rsidRDefault="00907144" w:rsidP="00F05967">
      <w:pPr>
        <w:numPr>
          <w:ilvl w:val="0"/>
          <w:numId w:val="1"/>
        </w:numPr>
        <w:spacing w:after="0" w:line="276" w:lineRule="auto"/>
        <w:ind w:left="-207"/>
        <w:contextualSpacing/>
        <w:jc w:val="both"/>
        <w:rPr>
          <w:rFonts w:ascii="Verdana" w:hAnsi="Verdana"/>
          <w:sz w:val="20"/>
          <w:szCs w:val="20"/>
        </w:rPr>
      </w:pPr>
      <w:r w:rsidRPr="00A643AA">
        <w:rPr>
          <w:rFonts w:ascii="Verdana" w:hAnsi="Verdana"/>
          <w:sz w:val="20"/>
          <w:szCs w:val="20"/>
        </w:rPr>
        <w:t>Se expide el presente voto disidente</w:t>
      </w:r>
      <w:r w:rsidRPr="00A643AA">
        <w:rPr>
          <w:rFonts w:ascii="Verdana" w:hAnsi="Verdana"/>
          <w:sz w:val="20"/>
          <w:szCs w:val="20"/>
          <w:vertAlign w:val="superscript"/>
        </w:rPr>
        <w:footnoteReference w:id="1"/>
      </w:r>
      <w:r w:rsidRPr="00A643AA">
        <w:rPr>
          <w:rFonts w:ascii="Verdana" w:hAnsi="Verdana"/>
          <w:sz w:val="20"/>
          <w:szCs w:val="20"/>
        </w:rPr>
        <w:t xml:space="preserve"> respecto de la Resolución del título</w:t>
      </w:r>
      <w:r w:rsidRPr="00A643AA">
        <w:rPr>
          <w:rFonts w:ascii="Verdana" w:hAnsi="Verdana"/>
          <w:sz w:val="20"/>
          <w:szCs w:val="20"/>
          <w:vertAlign w:val="superscript"/>
        </w:rPr>
        <w:footnoteReference w:id="2"/>
      </w:r>
      <w:r w:rsidRPr="00A643AA">
        <w:rPr>
          <w:rFonts w:ascii="Verdana" w:hAnsi="Verdana"/>
          <w:sz w:val="20"/>
          <w:szCs w:val="20"/>
        </w:rPr>
        <w:t>, que ha ratificado</w:t>
      </w:r>
      <w:r>
        <w:rPr>
          <w:rStyle w:val="Refdenotaalpie"/>
          <w:rFonts w:ascii="Verdana" w:hAnsi="Verdana"/>
          <w:sz w:val="20"/>
          <w:szCs w:val="20"/>
        </w:rPr>
        <w:footnoteReference w:id="3"/>
      </w:r>
      <w:r w:rsidRPr="00A643AA">
        <w:rPr>
          <w:rFonts w:ascii="Verdana" w:hAnsi="Verdana"/>
          <w:sz w:val="20"/>
          <w:szCs w:val="20"/>
        </w:rPr>
        <w:t xml:space="preserve"> la Resolución </w:t>
      </w:r>
      <w:r>
        <w:rPr>
          <w:rFonts w:ascii="Verdana" w:hAnsi="Verdana"/>
          <w:sz w:val="20"/>
          <w:szCs w:val="20"/>
        </w:rPr>
        <w:t xml:space="preserve">de Medidas Urgentes </w:t>
      </w:r>
      <w:r w:rsidRPr="00A643AA">
        <w:rPr>
          <w:rFonts w:ascii="Verdana" w:hAnsi="Verdana"/>
          <w:sz w:val="20"/>
          <w:szCs w:val="20"/>
        </w:rPr>
        <w:t>de la Presidenta de la Corte Interamericana de Derechos Humanos</w:t>
      </w:r>
      <w:r w:rsidRPr="00A643AA">
        <w:rPr>
          <w:rFonts w:ascii="Verdana" w:hAnsi="Verdana"/>
          <w:sz w:val="20"/>
          <w:szCs w:val="20"/>
          <w:vertAlign w:val="superscript"/>
        </w:rPr>
        <w:footnoteReference w:id="4"/>
      </w:r>
      <w:r w:rsidRPr="00A643AA">
        <w:rPr>
          <w:rFonts w:ascii="Verdana" w:hAnsi="Verdana"/>
          <w:sz w:val="20"/>
          <w:szCs w:val="20"/>
        </w:rPr>
        <w:t xml:space="preserve">, </w:t>
      </w:r>
      <w:r>
        <w:rPr>
          <w:rFonts w:ascii="Verdana" w:hAnsi="Verdana"/>
          <w:sz w:val="20"/>
          <w:szCs w:val="20"/>
        </w:rPr>
        <w:t>del 2</w:t>
      </w:r>
      <w:r w:rsidR="003F4BF4">
        <w:rPr>
          <w:rFonts w:ascii="Verdana" w:hAnsi="Verdana"/>
          <w:sz w:val="20"/>
          <w:szCs w:val="20"/>
        </w:rPr>
        <w:t>6 de mayo</w:t>
      </w:r>
      <w:r>
        <w:rPr>
          <w:rFonts w:ascii="Verdana" w:hAnsi="Verdana"/>
          <w:sz w:val="20"/>
          <w:szCs w:val="20"/>
        </w:rPr>
        <w:t xml:space="preserve"> del año en curso</w:t>
      </w:r>
      <w:r>
        <w:rPr>
          <w:rStyle w:val="Refdenotaalpie"/>
          <w:rFonts w:ascii="Verdana" w:hAnsi="Verdana"/>
          <w:sz w:val="20"/>
          <w:szCs w:val="20"/>
        </w:rPr>
        <w:footnoteReference w:id="5"/>
      </w:r>
      <w:r w:rsidRPr="00A643AA">
        <w:rPr>
          <w:rFonts w:ascii="Verdana" w:hAnsi="Verdana"/>
          <w:sz w:val="20"/>
          <w:szCs w:val="20"/>
        </w:rPr>
        <w:t>.</w:t>
      </w:r>
    </w:p>
    <w:p w14:paraId="434D7A83" w14:textId="77777777" w:rsidR="00F05967" w:rsidRDefault="00F05967" w:rsidP="00F05967">
      <w:pPr>
        <w:spacing w:after="0" w:line="276" w:lineRule="auto"/>
        <w:ind w:left="-207"/>
        <w:contextualSpacing/>
        <w:jc w:val="both"/>
        <w:rPr>
          <w:rFonts w:ascii="Verdana" w:hAnsi="Verdana"/>
          <w:sz w:val="20"/>
          <w:szCs w:val="20"/>
        </w:rPr>
      </w:pPr>
    </w:p>
    <w:p w14:paraId="671B1902" w14:textId="36A603E2" w:rsidR="00907144" w:rsidRPr="00F05967" w:rsidRDefault="00907144" w:rsidP="00F05967">
      <w:pPr>
        <w:numPr>
          <w:ilvl w:val="0"/>
          <w:numId w:val="1"/>
        </w:numPr>
        <w:spacing w:after="0" w:line="276" w:lineRule="auto"/>
        <w:ind w:left="-207"/>
        <w:contextualSpacing/>
        <w:jc w:val="both"/>
        <w:rPr>
          <w:rFonts w:ascii="Verdana" w:hAnsi="Verdana"/>
          <w:sz w:val="20"/>
          <w:szCs w:val="20"/>
        </w:rPr>
      </w:pPr>
      <w:r w:rsidRPr="00F05967">
        <w:rPr>
          <w:rFonts w:ascii="Verdana" w:hAnsi="Verdana"/>
          <w:sz w:val="20"/>
          <w:szCs w:val="20"/>
        </w:rPr>
        <w:t xml:space="preserve">Con el propósito de facilitar </w:t>
      </w:r>
      <w:r w:rsidR="00F05967">
        <w:rPr>
          <w:rFonts w:ascii="Verdana" w:hAnsi="Verdana"/>
          <w:sz w:val="20"/>
          <w:szCs w:val="20"/>
        </w:rPr>
        <w:t>la exposición</w:t>
      </w:r>
      <w:r w:rsidRPr="00F05967">
        <w:rPr>
          <w:rFonts w:ascii="Verdana" w:hAnsi="Verdana"/>
          <w:sz w:val="20"/>
          <w:szCs w:val="20"/>
        </w:rPr>
        <w:t xml:space="preserve"> de esta divergencia, </w:t>
      </w:r>
      <w:r w:rsidR="00F05967">
        <w:rPr>
          <w:rFonts w:ascii="Verdana" w:hAnsi="Verdana"/>
          <w:sz w:val="20"/>
          <w:szCs w:val="20"/>
        </w:rPr>
        <w:t>l</w:t>
      </w:r>
      <w:r w:rsidRPr="00F05967">
        <w:rPr>
          <w:rFonts w:ascii="Verdana" w:hAnsi="Verdana"/>
          <w:sz w:val="20"/>
          <w:szCs w:val="20"/>
        </w:rPr>
        <w:t>as razones que la sustentan</w:t>
      </w:r>
      <w:r w:rsidR="00F05967">
        <w:rPr>
          <w:rFonts w:ascii="Verdana" w:hAnsi="Verdana"/>
          <w:sz w:val="20"/>
          <w:szCs w:val="20"/>
        </w:rPr>
        <w:t xml:space="preserve"> se ordenan</w:t>
      </w:r>
      <w:r w:rsidRPr="00F05967">
        <w:rPr>
          <w:rFonts w:ascii="Verdana" w:hAnsi="Verdana"/>
          <w:sz w:val="20"/>
          <w:szCs w:val="20"/>
        </w:rPr>
        <w:t xml:space="preserve"> seguidamente</w:t>
      </w:r>
      <w:r w:rsidR="00F05967">
        <w:rPr>
          <w:rFonts w:ascii="Verdana" w:hAnsi="Verdana"/>
          <w:sz w:val="20"/>
          <w:szCs w:val="20"/>
        </w:rPr>
        <w:t xml:space="preserve"> </w:t>
      </w:r>
      <w:r w:rsidRPr="00F05967">
        <w:rPr>
          <w:rFonts w:ascii="Verdana" w:hAnsi="Verdana"/>
          <w:sz w:val="20"/>
          <w:szCs w:val="20"/>
        </w:rPr>
        <w:t>bajo los acápites</w:t>
      </w:r>
      <w:r w:rsidR="004C28CB">
        <w:rPr>
          <w:rFonts w:ascii="Verdana" w:hAnsi="Verdana"/>
          <w:sz w:val="20"/>
          <w:szCs w:val="20"/>
        </w:rPr>
        <w:t>:</w:t>
      </w:r>
      <w:r w:rsidRPr="00F05967">
        <w:rPr>
          <w:rFonts w:ascii="Verdana" w:hAnsi="Verdana"/>
          <w:sz w:val="20"/>
          <w:szCs w:val="20"/>
        </w:rPr>
        <w:t xml:space="preserve"> Hechos</w:t>
      </w:r>
      <w:r w:rsidR="004C28CB">
        <w:rPr>
          <w:rFonts w:ascii="Verdana" w:hAnsi="Verdana"/>
          <w:sz w:val="20"/>
          <w:szCs w:val="20"/>
        </w:rPr>
        <w:t>,</w:t>
      </w:r>
      <w:r w:rsidRPr="00F05967">
        <w:rPr>
          <w:rFonts w:ascii="Verdana" w:hAnsi="Verdana"/>
          <w:sz w:val="20"/>
          <w:szCs w:val="20"/>
        </w:rPr>
        <w:t xml:space="preserve"> (I</w:t>
      </w:r>
      <w:r w:rsidR="003F4BF4">
        <w:rPr>
          <w:rFonts w:ascii="Verdana" w:hAnsi="Verdana"/>
          <w:sz w:val="20"/>
          <w:szCs w:val="20"/>
        </w:rPr>
        <w:t>I</w:t>
      </w:r>
      <w:r w:rsidR="00F05967">
        <w:rPr>
          <w:rFonts w:ascii="Verdana" w:hAnsi="Verdana"/>
          <w:sz w:val="20"/>
          <w:szCs w:val="20"/>
        </w:rPr>
        <w:t xml:space="preserve">) </w:t>
      </w:r>
      <w:r w:rsidRPr="00F05967">
        <w:rPr>
          <w:rFonts w:ascii="Verdana" w:hAnsi="Verdana"/>
          <w:sz w:val="20"/>
          <w:szCs w:val="20"/>
        </w:rPr>
        <w:t>Consideraciones previas</w:t>
      </w:r>
      <w:r w:rsidR="003F4BF4">
        <w:rPr>
          <w:rFonts w:ascii="Verdana" w:hAnsi="Verdana"/>
          <w:sz w:val="20"/>
          <w:szCs w:val="20"/>
        </w:rPr>
        <w:t xml:space="preserve">, </w:t>
      </w:r>
      <w:r w:rsidRPr="00F05967">
        <w:rPr>
          <w:rFonts w:ascii="Verdana" w:hAnsi="Verdana"/>
          <w:sz w:val="20"/>
          <w:szCs w:val="20"/>
        </w:rPr>
        <w:t>(II</w:t>
      </w:r>
      <w:r w:rsidR="003F4BF4">
        <w:rPr>
          <w:rFonts w:ascii="Verdana" w:hAnsi="Verdana"/>
          <w:sz w:val="20"/>
          <w:szCs w:val="20"/>
        </w:rPr>
        <w:t>I</w:t>
      </w:r>
      <w:r w:rsidRPr="00F05967">
        <w:rPr>
          <w:rFonts w:ascii="Verdana" w:hAnsi="Verdana"/>
          <w:sz w:val="20"/>
          <w:szCs w:val="20"/>
        </w:rPr>
        <w:t>) Facultad de la Corte de dictar medidas provisionales</w:t>
      </w:r>
      <w:r w:rsidR="00F05967">
        <w:rPr>
          <w:rFonts w:ascii="Verdana" w:hAnsi="Verdana"/>
          <w:sz w:val="20"/>
          <w:szCs w:val="20"/>
        </w:rPr>
        <w:t>,</w:t>
      </w:r>
      <w:r w:rsidRPr="00F05967">
        <w:rPr>
          <w:rFonts w:ascii="Verdana" w:hAnsi="Verdana"/>
          <w:sz w:val="20"/>
          <w:szCs w:val="20"/>
        </w:rPr>
        <w:t xml:space="preserve"> (I</w:t>
      </w:r>
      <w:r w:rsidR="003F4BF4">
        <w:rPr>
          <w:rFonts w:ascii="Verdana" w:hAnsi="Verdana"/>
          <w:sz w:val="20"/>
          <w:szCs w:val="20"/>
        </w:rPr>
        <w:t>V</w:t>
      </w:r>
      <w:r w:rsidRPr="00F05967">
        <w:rPr>
          <w:rFonts w:ascii="Verdana" w:hAnsi="Verdana"/>
          <w:sz w:val="20"/>
          <w:szCs w:val="20"/>
        </w:rPr>
        <w:t>)</w:t>
      </w:r>
      <w:r w:rsidR="00F05967">
        <w:rPr>
          <w:rFonts w:ascii="Verdana" w:hAnsi="Verdana"/>
          <w:sz w:val="20"/>
          <w:szCs w:val="20"/>
        </w:rPr>
        <w:t xml:space="preserve"> </w:t>
      </w:r>
      <w:r w:rsidRPr="00F05967">
        <w:rPr>
          <w:rFonts w:ascii="Verdana" w:hAnsi="Verdana"/>
          <w:sz w:val="20"/>
          <w:szCs w:val="20"/>
        </w:rPr>
        <w:t>Facultad de la Comisión Interamericana de Derechos Humanos</w:t>
      </w:r>
      <w:r w:rsidRPr="00A643AA">
        <w:rPr>
          <w:rFonts w:ascii="Verdana" w:hAnsi="Verdana"/>
          <w:sz w:val="20"/>
          <w:szCs w:val="20"/>
          <w:vertAlign w:val="superscript"/>
        </w:rPr>
        <w:footnoteReference w:id="6"/>
      </w:r>
      <w:r w:rsidRPr="00F05967">
        <w:rPr>
          <w:rFonts w:ascii="Verdana" w:hAnsi="Verdana"/>
          <w:sz w:val="20"/>
          <w:szCs w:val="20"/>
        </w:rPr>
        <w:t xml:space="preserve"> en la materia</w:t>
      </w:r>
      <w:r w:rsidR="00F05967">
        <w:rPr>
          <w:rFonts w:ascii="Verdana" w:hAnsi="Verdana"/>
          <w:sz w:val="20"/>
          <w:szCs w:val="20"/>
        </w:rPr>
        <w:t>,</w:t>
      </w:r>
      <w:r w:rsidRPr="00F05967">
        <w:rPr>
          <w:rFonts w:ascii="Verdana" w:hAnsi="Verdana"/>
          <w:sz w:val="20"/>
          <w:szCs w:val="20"/>
        </w:rPr>
        <w:t xml:space="preserve"> (V) Vulneración de las normas en autos y Conclusiones (VI), </w:t>
      </w:r>
      <w:r w:rsidR="003F4BF4">
        <w:rPr>
          <w:rFonts w:ascii="Verdana" w:hAnsi="Verdana"/>
          <w:sz w:val="20"/>
          <w:szCs w:val="20"/>
        </w:rPr>
        <w:t xml:space="preserve">fundamentos </w:t>
      </w:r>
      <w:r w:rsidRPr="00F05967">
        <w:rPr>
          <w:rFonts w:ascii="Verdana" w:hAnsi="Verdana"/>
          <w:sz w:val="20"/>
          <w:szCs w:val="20"/>
        </w:rPr>
        <w:t>también desarrolla</w:t>
      </w:r>
      <w:r w:rsidR="003F4BF4">
        <w:rPr>
          <w:rFonts w:ascii="Verdana" w:hAnsi="Verdana"/>
          <w:sz w:val="20"/>
          <w:szCs w:val="20"/>
        </w:rPr>
        <w:t xml:space="preserve">dos </w:t>
      </w:r>
      <w:r w:rsidRPr="00F05967">
        <w:rPr>
          <w:rFonts w:ascii="Verdana" w:hAnsi="Verdana"/>
          <w:sz w:val="20"/>
          <w:szCs w:val="20"/>
        </w:rPr>
        <w:t>en otros votos individuales</w:t>
      </w:r>
      <w:r>
        <w:rPr>
          <w:rStyle w:val="Refdenotaalpie"/>
          <w:rFonts w:ascii="Verdana" w:hAnsi="Verdana"/>
          <w:sz w:val="20"/>
          <w:szCs w:val="20"/>
        </w:rPr>
        <w:footnoteReference w:id="7"/>
      </w:r>
      <w:r w:rsidRPr="00F05967">
        <w:rPr>
          <w:rFonts w:ascii="Verdana" w:hAnsi="Verdana"/>
          <w:sz w:val="20"/>
          <w:szCs w:val="20"/>
        </w:rPr>
        <w:t>.</w:t>
      </w:r>
    </w:p>
    <w:p w14:paraId="66A22F98" w14:textId="77777777" w:rsidR="00907144" w:rsidRPr="0012061C" w:rsidRDefault="00907144" w:rsidP="00907144">
      <w:pPr>
        <w:spacing w:after="0" w:line="276" w:lineRule="auto"/>
        <w:ind w:left="0"/>
        <w:jc w:val="both"/>
        <w:rPr>
          <w:rFonts w:ascii="Verdana" w:hAnsi="Verdana"/>
          <w:sz w:val="20"/>
          <w:szCs w:val="20"/>
        </w:rPr>
      </w:pPr>
    </w:p>
    <w:p w14:paraId="7708D5B3" w14:textId="77777777" w:rsidR="00907144" w:rsidRPr="00A643AA" w:rsidRDefault="00907144" w:rsidP="00901AC4">
      <w:pPr>
        <w:numPr>
          <w:ilvl w:val="0"/>
          <w:numId w:val="5"/>
        </w:numPr>
        <w:spacing w:after="0" w:line="276" w:lineRule="auto"/>
        <w:ind w:left="-567" w:firstLine="0"/>
        <w:contextualSpacing/>
        <w:jc w:val="both"/>
        <w:rPr>
          <w:rFonts w:ascii="Verdana" w:hAnsi="Verdana"/>
          <w:b/>
          <w:bCs/>
          <w:sz w:val="20"/>
          <w:szCs w:val="20"/>
        </w:rPr>
      </w:pPr>
      <w:bookmarkStart w:id="1" w:name="_Hlk40703323"/>
      <w:r w:rsidRPr="00A643AA">
        <w:rPr>
          <w:rFonts w:ascii="Verdana" w:hAnsi="Verdana"/>
          <w:b/>
          <w:bCs/>
          <w:sz w:val="20"/>
          <w:szCs w:val="20"/>
        </w:rPr>
        <w:t>CONSIDERACIONES PREVIAS.</w:t>
      </w:r>
    </w:p>
    <w:p w14:paraId="28FB1B0E" w14:textId="77777777" w:rsidR="00907144" w:rsidRPr="00A643AA" w:rsidRDefault="00907144" w:rsidP="006B7AC4">
      <w:pPr>
        <w:spacing w:after="0" w:line="276" w:lineRule="auto"/>
        <w:contextualSpacing/>
        <w:jc w:val="both"/>
        <w:rPr>
          <w:rFonts w:ascii="Verdana" w:hAnsi="Verdana"/>
          <w:b/>
          <w:bCs/>
          <w:sz w:val="20"/>
          <w:szCs w:val="20"/>
        </w:rPr>
      </w:pPr>
    </w:p>
    <w:p w14:paraId="05F6DC05" w14:textId="015CCF1A" w:rsidR="006B7AC4" w:rsidRDefault="00907144" w:rsidP="006B7AC4">
      <w:pPr>
        <w:numPr>
          <w:ilvl w:val="0"/>
          <w:numId w:val="1"/>
        </w:numPr>
        <w:spacing w:after="0" w:line="276" w:lineRule="auto"/>
        <w:ind w:left="-207"/>
        <w:contextualSpacing/>
        <w:jc w:val="both"/>
        <w:rPr>
          <w:rFonts w:ascii="Verdana" w:hAnsi="Verdana"/>
          <w:sz w:val="20"/>
          <w:szCs w:val="20"/>
        </w:rPr>
      </w:pPr>
      <w:bookmarkStart w:id="2" w:name="_Hlk40525695"/>
      <w:r w:rsidRPr="00A643AA">
        <w:rPr>
          <w:rFonts w:ascii="Verdana" w:hAnsi="Verdana"/>
          <w:sz w:val="20"/>
          <w:szCs w:val="20"/>
        </w:rPr>
        <w:t xml:space="preserve">Ciertamente, el presente escrito se emite con pleno respeto y consideración hacia la Corte y con la convicción que ayudará a mejor comprender el alcance de </w:t>
      </w:r>
      <w:r>
        <w:rPr>
          <w:rFonts w:ascii="Verdana" w:hAnsi="Verdana"/>
          <w:sz w:val="20"/>
          <w:szCs w:val="20"/>
        </w:rPr>
        <w:t xml:space="preserve">la </w:t>
      </w:r>
      <w:r w:rsidR="006B7AC4">
        <w:rPr>
          <w:rFonts w:ascii="Verdana" w:hAnsi="Verdana"/>
          <w:sz w:val="20"/>
          <w:szCs w:val="20"/>
        </w:rPr>
        <w:t>Resolución</w:t>
      </w:r>
      <w:r w:rsidRPr="00A643AA">
        <w:rPr>
          <w:rFonts w:ascii="Verdana" w:hAnsi="Verdana"/>
          <w:sz w:val="20"/>
          <w:szCs w:val="20"/>
        </w:rPr>
        <w:t>.</w:t>
      </w:r>
    </w:p>
    <w:p w14:paraId="032B9C53" w14:textId="77777777" w:rsidR="006B7AC4" w:rsidRDefault="006B7AC4" w:rsidP="006B7AC4">
      <w:pPr>
        <w:spacing w:after="0" w:line="276" w:lineRule="auto"/>
        <w:ind w:left="-207"/>
        <w:contextualSpacing/>
        <w:jc w:val="both"/>
        <w:rPr>
          <w:rFonts w:ascii="Verdana" w:hAnsi="Verdana"/>
          <w:sz w:val="20"/>
          <w:szCs w:val="20"/>
        </w:rPr>
      </w:pPr>
    </w:p>
    <w:p w14:paraId="75ABBF5D" w14:textId="053F4EE3" w:rsidR="006B7AC4" w:rsidRDefault="00907144" w:rsidP="006B7AC4">
      <w:pPr>
        <w:numPr>
          <w:ilvl w:val="0"/>
          <w:numId w:val="1"/>
        </w:numPr>
        <w:spacing w:after="0" w:line="276" w:lineRule="auto"/>
        <w:ind w:left="-207"/>
        <w:contextualSpacing/>
        <w:jc w:val="both"/>
        <w:rPr>
          <w:rFonts w:ascii="Verdana" w:hAnsi="Verdana"/>
          <w:sz w:val="20"/>
          <w:szCs w:val="20"/>
        </w:rPr>
      </w:pPr>
      <w:r w:rsidRPr="006B7AC4">
        <w:rPr>
          <w:rFonts w:ascii="Verdana" w:hAnsi="Verdana"/>
          <w:sz w:val="20"/>
          <w:szCs w:val="20"/>
        </w:rPr>
        <w:t>Asimismo, se fundamenta en el principio de Derecho Público, ámbito al que pertenece el Derecho Internacional Público y, por ende y como integrante de esta último, también el Derecho Internacional de los Derechos Humanos, en virtud del cual</w:t>
      </w:r>
      <w:r w:rsidR="001938D1">
        <w:rPr>
          <w:rFonts w:ascii="Verdana" w:hAnsi="Verdana"/>
          <w:sz w:val="20"/>
          <w:szCs w:val="20"/>
        </w:rPr>
        <w:t xml:space="preserve"> </w:t>
      </w:r>
      <w:r w:rsidRPr="006B7AC4">
        <w:rPr>
          <w:rFonts w:ascii="Verdana" w:hAnsi="Verdana"/>
          <w:sz w:val="20"/>
          <w:szCs w:val="20"/>
        </w:rPr>
        <w:t>solo se puede hacer lo que la norma permite, por lo que lo no regulado se inserta en la jurisdicción interna, doméstica o exclusiva de los Estados</w:t>
      </w:r>
      <w:r w:rsidRPr="00960411">
        <w:rPr>
          <w:rFonts w:ascii="Verdana" w:hAnsi="Verdana"/>
          <w:sz w:val="20"/>
          <w:szCs w:val="20"/>
          <w:vertAlign w:val="superscript"/>
        </w:rPr>
        <w:footnoteReference w:id="8"/>
      </w:r>
      <w:r w:rsidRPr="006B7AC4">
        <w:rPr>
          <w:rFonts w:ascii="Verdana" w:hAnsi="Verdana"/>
          <w:sz w:val="20"/>
          <w:szCs w:val="20"/>
        </w:rPr>
        <w:t>. Dich</w:t>
      </w:r>
      <w:r w:rsidR="006B7AC4">
        <w:rPr>
          <w:rFonts w:ascii="Verdana" w:hAnsi="Verdana"/>
          <w:sz w:val="20"/>
          <w:szCs w:val="20"/>
        </w:rPr>
        <w:t>o</w:t>
      </w:r>
      <w:r w:rsidRPr="006B7AC4">
        <w:rPr>
          <w:rFonts w:ascii="Verdana" w:hAnsi="Verdana"/>
          <w:sz w:val="20"/>
          <w:szCs w:val="20"/>
        </w:rPr>
        <w:t xml:space="preserve"> principio difiere, entonces, del imperante en Derecho Privado, a saber, que se puede hacer todo lo que la norma no prohíbe.</w:t>
      </w:r>
    </w:p>
    <w:p w14:paraId="44342469" w14:textId="77777777" w:rsidR="006B7AC4" w:rsidRDefault="006B7AC4" w:rsidP="006B7AC4">
      <w:pPr>
        <w:pStyle w:val="Prrafodelista"/>
        <w:rPr>
          <w:rFonts w:ascii="Verdana" w:hAnsi="Verdana"/>
          <w:sz w:val="20"/>
          <w:szCs w:val="20"/>
        </w:rPr>
      </w:pPr>
    </w:p>
    <w:p w14:paraId="586C0CCE" w14:textId="760EE28F" w:rsidR="006B7AC4" w:rsidRDefault="006B7AC4" w:rsidP="006B7AC4">
      <w:pPr>
        <w:numPr>
          <w:ilvl w:val="0"/>
          <w:numId w:val="1"/>
        </w:numPr>
        <w:spacing w:after="0" w:line="276" w:lineRule="auto"/>
        <w:ind w:left="-207"/>
        <w:contextualSpacing/>
        <w:jc w:val="both"/>
        <w:rPr>
          <w:rFonts w:ascii="Verdana" w:hAnsi="Verdana"/>
          <w:sz w:val="20"/>
          <w:szCs w:val="20"/>
        </w:rPr>
      </w:pPr>
      <w:r>
        <w:rPr>
          <w:rFonts w:ascii="Verdana" w:hAnsi="Verdana"/>
          <w:sz w:val="20"/>
          <w:szCs w:val="20"/>
        </w:rPr>
        <w:t>Por cierto, desconocer ese principio de Derecho Público, conlleva</w:t>
      </w:r>
      <w:r w:rsidR="001938D1">
        <w:rPr>
          <w:rFonts w:ascii="Verdana" w:hAnsi="Verdana"/>
          <w:sz w:val="20"/>
          <w:szCs w:val="20"/>
        </w:rPr>
        <w:t xml:space="preserve"> prescindir también de </w:t>
      </w:r>
      <w:r>
        <w:rPr>
          <w:rFonts w:ascii="Verdana" w:hAnsi="Verdana"/>
          <w:sz w:val="20"/>
          <w:szCs w:val="20"/>
        </w:rPr>
        <w:t xml:space="preserve">la realidad internacional, cual es, que, no </w:t>
      </w:r>
      <w:r w:rsidR="00324D2C">
        <w:rPr>
          <w:rFonts w:ascii="Verdana" w:hAnsi="Verdana"/>
          <w:sz w:val="20"/>
          <w:szCs w:val="20"/>
        </w:rPr>
        <w:t>obstante,</w:t>
      </w:r>
      <w:r>
        <w:rPr>
          <w:rFonts w:ascii="Verdana" w:hAnsi="Verdana"/>
          <w:sz w:val="20"/>
          <w:szCs w:val="20"/>
        </w:rPr>
        <w:t xml:space="preserve"> los importantes cambios acaecidos a partir de la segunda mitad del siglo pasado, la sociedad internacional continúa siendo,</w:t>
      </w:r>
      <w:r w:rsidR="001938D1">
        <w:rPr>
          <w:rFonts w:ascii="Verdana" w:hAnsi="Verdana"/>
          <w:sz w:val="20"/>
          <w:szCs w:val="20"/>
        </w:rPr>
        <w:t xml:space="preserve"> más allá de lo que se desee, una sociedad fundamentalmente de Estados soberanos</w:t>
      </w:r>
      <w:r w:rsidR="00246014">
        <w:rPr>
          <w:rFonts w:ascii="Verdana" w:hAnsi="Verdana"/>
          <w:sz w:val="20"/>
          <w:szCs w:val="20"/>
        </w:rPr>
        <w:t xml:space="preserve">. La </w:t>
      </w:r>
      <w:r w:rsidR="005D7C1F">
        <w:rPr>
          <w:rFonts w:ascii="Verdana" w:hAnsi="Verdana"/>
          <w:sz w:val="20"/>
          <w:szCs w:val="20"/>
        </w:rPr>
        <w:t>prescindencia de tal dato en la compre</w:t>
      </w:r>
      <w:r w:rsidR="004C28CB">
        <w:rPr>
          <w:rFonts w:ascii="Verdana" w:hAnsi="Verdana"/>
          <w:sz w:val="20"/>
          <w:szCs w:val="20"/>
        </w:rPr>
        <w:t>n</w:t>
      </w:r>
      <w:r w:rsidR="005D7C1F">
        <w:rPr>
          <w:rFonts w:ascii="Verdana" w:hAnsi="Verdana"/>
          <w:sz w:val="20"/>
          <w:szCs w:val="20"/>
        </w:rPr>
        <w:t>sión de la Convención Americana sobre Derechos Humanos</w:t>
      </w:r>
      <w:r w:rsidR="005D7C1F">
        <w:rPr>
          <w:rStyle w:val="Refdenotaalpie"/>
          <w:rFonts w:ascii="Verdana" w:hAnsi="Verdana"/>
          <w:sz w:val="20"/>
          <w:szCs w:val="20"/>
        </w:rPr>
        <w:footnoteReference w:id="9"/>
      </w:r>
      <w:r w:rsidR="005D7C1F">
        <w:rPr>
          <w:rFonts w:ascii="Verdana" w:hAnsi="Verdana"/>
          <w:sz w:val="20"/>
          <w:szCs w:val="20"/>
        </w:rPr>
        <w:t>, puede tener indeseables consecuencias en su efectiva y oportuna aplicación, afectando, por ende, la vigencia de los derechos humanos, toda vez que en varias disposiciones de aquella la indicada realidad</w:t>
      </w:r>
      <w:r w:rsidR="004C28CB">
        <w:rPr>
          <w:rFonts w:ascii="Verdana" w:hAnsi="Verdana"/>
          <w:sz w:val="20"/>
          <w:szCs w:val="20"/>
        </w:rPr>
        <w:t xml:space="preserve"> </w:t>
      </w:r>
      <w:r w:rsidR="005D7C1F">
        <w:rPr>
          <w:rFonts w:ascii="Verdana" w:hAnsi="Verdana"/>
          <w:sz w:val="20"/>
          <w:szCs w:val="20"/>
        </w:rPr>
        <w:t xml:space="preserve">se hace presente, </w:t>
      </w:r>
      <w:r w:rsidR="00107355">
        <w:rPr>
          <w:rFonts w:ascii="Verdana" w:hAnsi="Verdana"/>
          <w:sz w:val="20"/>
          <w:szCs w:val="20"/>
        </w:rPr>
        <w:t xml:space="preserve">como </w:t>
      </w:r>
      <w:r w:rsidR="00E620B6">
        <w:rPr>
          <w:rFonts w:ascii="Verdana" w:hAnsi="Verdana"/>
          <w:sz w:val="20"/>
          <w:szCs w:val="20"/>
        </w:rPr>
        <w:t>acont</w:t>
      </w:r>
      <w:r w:rsidR="00CC0EAB">
        <w:rPr>
          <w:rFonts w:ascii="Verdana" w:hAnsi="Verdana"/>
          <w:sz w:val="20"/>
          <w:szCs w:val="20"/>
        </w:rPr>
        <w:t>e</w:t>
      </w:r>
      <w:r w:rsidR="00E620B6">
        <w:rPr>
          <w:rFonts w:ascii="Verdana" w:hAnsi="Verdana"/>
          <w:sz w:val="20"/>
          <w:szCs w:val="20"/>
        </w:rPr>
        <w:t>ce</w:t>
      </w:r>
      <w:r w:rsidR="00246014">
        <w:rPr>
          <w:rFonts w:ascii="Verdana" w:hAnsi="Verdana"/>
          <w:sz w:val="20"/>
          <w:szCs w:val="20"/>
        </w:rPr>
        <w:t xml:space="preserve">, por ejemplo, </w:t>
      </w:r>
      <w:r w:rsidR="00E620B6">
        <w:rPr>
          <w:rFonts w:ascii="Verdana" w:hAnsi="Verdana"/>
          <w:sz w:val="20"/>
          <w:szCs w:val="20"/>
        </w:rPr>
        <w:t xml:space="preserve">en </w:t>
      </w:r>
      <w:r w:rsidR="00107355">
        <w:rPr>
          <w:rFonts w:ascii="Verdana" w:hAnsi="Verdana"/>
          <w:sz w:val="20"/>
          <w:szCs w:val="20"/>
        </w:rPr>
        <w:t>el segundo párrafo de su preámbulo</w:t>
      </w:r>
      <w:r w:rsidR="00107355">
        <w:rPr>
          <w:rStyle w:val="Refdenotaalpie"/>
          <w:rFonts w:ascii="Verdana" w:hAnsi="Verdana"/>
          <w:sz w:val="20"/>
          <w:szCs w:val="20"/>
        </w:rPr>
        <w:footnoteReference w:id="10"/>
      </w:r>
      <w:r w:rsidR="00246014">
        <w:rPr>
          <w:rFonts w:ascii="Verdana" w:hAnsi="Verdana"/>
          <w:sz w:val="20"/>
          <w:szCs w:val="20"/>
        </w:rPr>
        <w:t xml:space="preserve"> </w:t>
      </w:r>
      <w:r w:rsidR="00107355">
        <w:rPr>
          <w:rFonts w:ascii="Verdana" w:hAnsi="Verdana"/>
          <w:sz w:val="20"/>
          <w:szCs w:val="20"/>
        </w:rPr>
        <w:t>y</w:t>
      </w:r>
      <w:r w:rsidR="00246014">
        <w:rPr>
          <w:rFonts w:ascii="Verdana" w:hAnsi="Verdana"/>
          <w:sz w:val="20"/>
          <w:szCs w:val="20"/>
        </w:rPr>
        <w:t xml:space="preserve"> </w:t>
      </w:r>
      <w:r w:rsidR="00E620B6">
        <w:rPr>
          <w:rFonts w:ascii="Verdana" w:hAnsi="Verdana"/>
          <w:sz w:val="20"/>
          <w:szCs w:val="20"/>
        </w:rPr>
        <w:t xml:space="preserve">en </w:t>
      </w:r>
      <w:r w:rsidR="00107355">
        <w:rPr>
          <w:rFonts w:ascii="Verdana" w:hAnsi="Verdana"/>
          <w:sz w:val="20"/>
          <w:szCs w:val="20"/>
        </w:rPr>
        <w:t>sus artículos</w:t>
      </w:r>
      <w:r w:rsidR="00C26673">
        <w:rPr>
          <w:rFonts w:ascii="Verdana" w:hAnsi="Verdana"/>
          <w:sz w:val="20"/>
          <w:szCs w:val="20"/>
        </w:rPr>
        <w:t xml:space="preserve"> 74.1</w:t>
      </w:r>
      <w:r w:rsidR="00C26673">
        <w:rPr>
          <w:rStyle w:val="Refdenotaalpie"/>
          <w:rFonts w:ascii="Verdana" w:hAnsi="Verdana"/>
          <w:sz w:val="20"/>
          <w:szCs w:val="20"/>
        </w:rPr>
        <w:footnoteReference w:id="11"/>
      </w:r>
      <w:r w:rsidR="00246014">
        <w:rPr>
          <w:rFonts w:ascii="Verdana" w:hAnsi="Verdana"/>
          <w:sz w:val="20"/>
          <w:szCs w:val="20"/>
        </w:rPr>
        <w:t>,</w:t>
      </w:r>
      <w:r w:rsidR="00107355">
        <w:rPr>
          <w:rFonts w:ascii="Verdana" w:hAnsi="Verdana"/>
          <w:sz w:val="20"/>
          <w:szCs w:val="20"/>
        </w:rPr>
        <w:t>1.1</w:t>
      </w:r>
      <w:r w:rsidR="00107355">
        <w:rPr>
          <w:rStyle w:val="Refdenotaalpie"/>
          <w:rFonts w:ascii="Verdana" w:hAnsi="Verdana"/>
          <w:sz w:val="20"/>
          <w:szCs w:val="20"/>
        </w:rPr>
        <w:footnoteReference w:id="12"/>
      </w:r>
      <w:r w:rsidR="00107355">
        <w:rPr>
          <w:rFonts w:ascii="Verdana" w:hAnsi="Verdana"/>
          <w:sz w:val="20"/>
          <w:szCs w:val="20"/>
        </w:rPr>
        <w:t>, 2</w:t>
      </w:r>
      <w:r w:rsidR="00107355">
        <w:rPr>
          <w:rStyle w:val="Refdenotaalpie"/>
          <w:rFonts w:ascii="Verdana" w:hAnsi="Verdana"/>
          <w:sz w:val="20"/>
          <w:szCs w:val="20"/>
        </w:rPr>
        <w:footnoteReference w:id="13"/>
      </w:r>
      <w:r w:rsidR="00C26673">
        <w:rPr>
          <w:rFonts w:ascii="Verdana" w:hAnsi="Verdana"/>
          <w:sz w:val="20"/>
          <w:szCs w:val="20"/>
        </w:rPr>
        <w:t>, 35</w:t>
      </w:r>
      <w:r w:rsidR="00C26673">
        <w:rPr>
          <w:rStyle w:val="Refdenotaalpie"/>
          <w:rFonts w:ascii="Verdana" w:hAnsi="Verdana"/>
          <w:sz w:val="20"/>
          <w:szCs w:val="20"/>
        </w:rPr>
        <w:footnoteReference w:id="14"/>
      </w:r>
      <w:r w:rsidR="00246014">
        <w:rPr>
          <w:rFonts w:ascii="Verdana" w:hAnsi="Verdana"/>
          <w:sz w:val="20"/>
          <w:szCs w:val="20"/>
        </w:rPr>
        <w:t xml:space="preserve">, </w:t>
      </w:r>
      <w:r w:rsidR="00C26673">
        <w:rPr>
          <w:rFonts w:ascii="Verdana" w:hAnsi="Verdana"/>
          <w:sz w:val="20"/>
          <w:szCs w:val="20"/>
        </w:rPr>
        <w:t>46.1.a)</w:t>
      </w:r>
      <w:r w:rsidR="00C26673">
        <w:rPr>
          <w:rStyle w:val="Refdenotaalpie"/>
          <w:rFonts w:ascii="Verdana" w:hAnsi="Verdana"/>
          <w:sz w:val="20"/>
          <w:szCs w:val="20"/>
        </w:rPr>
        <w:footnoteReference w:id="15"/>
      </w:r>
      <w:r w:rsidR="00C26673">
        <w:rPr>
          <w:rFonts w:ascii="Verdana" w:hAnsi="Verdana"/>
          <w:sz w:val="20"/>
          <w:szCs w:val="20"/>
        </w:rPr>
        <w:t>,</w:t>
      </w:r>
      <w:r w:rsidR="00246014">
        <w:rPr>
          <w:rFonts w:ascii="Verdana" w:hAnsi="Verdana"/>
          <w:sz w:val="20"/>
          <w:szCs w:val="20"/>
        </w:rPr>
        <w:t xml:space="preserve"> </w:t>
      </w:r>
      <w:r w:rsidR="00C26673">
        <w:rPr>
          <w:rFonts w:ascii="Verdana" w:hAnsi="Verdana"/>
          <w:sz w:val="20"/>
          <w:szCs w:val="20"/>
        </w:rPr>
        <w:t>62.3</w:t>
      </w:r>
      <w:r w:rsidR="00C26673">
        <w:rPr>
          <w:rStyle w:val="Refdenotaalpie"/>
          <w:rFonts w:ascii="Verdana" w:hAnsi="Verdana"/>
          <w:sz w:val="20"/>
          <w:szCs w:val="20"/>
        </w:rPr>
        <w:footnoteReference w:id="16"/>
      </w:r>
      <w:r w:rsidR="00C26673">
        <w:rPr>
          <w:rFonts w:ascii="Verdana" w:hAnsi="Verdana"/>
          <w:sz w:val="20"/>
          <w:szCs w:val="20"/>
        </w:rPr>
        <w:t>, 68</w:t>
      </w:r>
      <w:r w:rsidR="00C26673">
        <w:rPr>
          <w:rStyle w:val="Refdenotaalpie"/>
          <w:rFonts w:ascii="Verdana" w:hAnsi="Verdana"/>
          <w:sz w:val="20"/>
          <w:szCs w:val="20"/>
        </w:rPr>
        <w:footnoteReference w:id="17"/>
      </w:r>
      <w:r w:rsidR="00C26673">
        <w:rPr>
          <w:rFonts w:ascii="Verdana" w:hAnsi="Verdana"/>
          <w:sz w:val="20"/>
          <w:szCs w:val="20"/>
        </w:rPr>
        <w:t>, 31</w:t>
      </w:r>
      <w:r w:rsidR="00C26673">
        <w:rPr>
          <w:rStyle w:val="Refdenotaalpie"/>
          <w:rFonts w:ascii="Verdana" w:hAnsi="Verdana"/>
          <w:sz w:val="20"/>
          <w:szCs w:val="20"/>
        </w:rPr>
        <w:footnoteReference w:id="18"/>
      </w:r>
      <w:r w:rsidR="00246014">
        <w:rPr>
          <w:rFonts w:ascii="Verdana" w:hAnsi="Verdana"/>
          <w:sz w:val="20"/>
          <w:szCs w:val="20"/>
        </w:rPr>
        <w:t xml:space="preserve">, </w:t>
      </w:r>
      <w:r w:rsidR="00C26673">
        <w:rPr>
          <w:rFonts w:ascii="Verdana" w:hAnsi="Verdana"/>
          <w:sz w:val="20"/>
          <w:szCs w:val="20"/>
        </w:rPr>
        <w:t>76</w:t>
      </w:r>
      <w:r w:rsidR="005C6EAC">
        <w:rPr>
          <w:rStyle w:val="Refdenotaalpie"/>
          <w:rFonts w:ascii="Verdana" w:hAnsi="Verdana"/>
          <w:sz w:val="20"/>
          <w:szCs w:val="20"/>
        </w:rPr>
        <w:footnoteReference w:id="19"/>
      </w:r>
      <w:r w:rsidR="00246014">
        <w:rPr>
          <w:rFonts w:ascii="Verdana" w:hAnsi="Verdana"/>
          <w:sz w:val="20"/>
          <w:szCs w:val="20"/>
        </w:rPr>
        <w:t xml:space="preserve"> y </w:t>
      </w:r>
      <w:r w:rsidR="00C26673">
        <w:rPr>
          <w:rFonts w:ascii="Verdana" w:hAnsi="Verdana"/>
          <w:sz w:val="20"/>
          <w:szCs w:val="20"/>
        </w:rPr>
        <w:t>77</w:t>
      </w:r>
      <w:r w:rsidR="005C6EAC">
        <w:rPr>
          <w:rStyle w:val="Refdenotaalpie"/>
          <w:rFonts w:ascii="Verdana" w:hAnsi="Verdana"/>
          <w:sz w:val="20"/>
          <w:szCs w:val="20"/>
        </w:rPr>
        <w:footnoteReference w:id="20"/>
      </w:r>
      <w:r w:rsidR="00246014">
        <w:rPr>
          <w:rFonts w:ascii="Verdana" w:hAnsi="Verdana"/>
          <w:sz w:val="20"/>
          <w:szCs w:val="20"/>
        </w:rPr>
        <w:t>.</w:t>
      </w:r>
    </w:p>
    <w:p w14:paraId="58D93E62" w14:textId="77777777" w:rsidR="006B7AC4" w:rsidRDefault="006B7AC4" w:rsidP="006B7AC4">
      <w:pPr>
        <w:pStyle w:val="Prrafodelista"/>
        <w:rPr>
          <w:rFonts w:ascii="Verdana" w:hAnsi="Verdana"/>
          <w:sz w:val="20"/>
          <w:szCs w:val="20"/>
        </w:rPr>
      </w:pPr>
    </w:p>
    <w:p w14:paraId="04886A82" w14:textId="121C77D8" w:rsidR="006B7AC4" w:rsidRDefault="00907144" w:rsidP="006B7AC4">
      <w:pPr>
        <w:numPr>
          <w:ilvl w:val="0"/>
          <w:numId w:val="1"/>
        </w:numPr>
        <w:spacing w:after="0" w:line="276" w:lineRule="auto"/>
        <w:ind w:left="-207"/>
        <w:contextualSpacing/>
        <w:jc w:val="both"/>
        <w:rPr>
          <w:rFonts w:ascii="Verdana" w:hAnsi="Verdana"/>
          <w:sz w:val="20"/>
          <w:szCs w:val="20"/>
        </w:rPr>
      </w:pPr>
      <w:r w:rsidRPr="006B7AC4">
        <w:rPr>
          <w:rFonts w:ascii="Verdana" w:hAnsi="Verdana"/>
          <w:sz w:val="20"/>
          <w:szCs w:val="20"/>
        </w:rPr>
        <w:t xml:space="preserve">También este texto se basa en el valor del Derecho, incluyendo en él a sus normas procesales, que, especialmente en el área de los derechos humanos, son tan esenciales como las sustantivas, puesto que su respeto permite que estas últimas realmente puedan ser efectivas. </w:t>
      </w:r>
      <w:r w:rsidRPr="002D76AD">
        <w:rPr>
          <w:rFonts w:ascii="Verdana" w:hAnsi="Verdana" w:cs="Arial"/>
          <w:sz w:val="20"/>
          <w:szCs w:val="20"/>
          <w:shd w:val="clear" w:color="auto" w:fill="FFFFFF"/>
        </w:rPr>
        <w:t>Así, la forma es</w:t>
      </w:r>
      <w:r w:rsidR="004C28CB">
        <w:rPr>
          <w:rFonts w:ascii="Verdana" w:hAnsi="Verdana" w:cs="Arial"/>
          <w:sz w:val="20"/>
          <w:szCs w:val="20"/>
          <w:shd w:val="clear" w:color="auto" w:fill="FFFFFF"/>
        </w:rPr>
        <w:t>tá</w:t>
      </w:r>
      <w:r w:rsidRPr="002D76AD">
        <w:rPr>
          <w:rFonts w:ascii="Verdana" w:hAnsi="Verdana" w:cs="Arial"/>
          <w:sz w:val="20"/>
          <w:szCs w:val="20"/>
          <w:shd w:val="clear" w:color="auto" w:fill="FFFFFF"/>
        </w:rPr>
        <w:t xml:space="preserve"> indisolublemente ligada al fondo</w:t>
      </w:r>
      <w:r w:rsidRPr="006B7AC4">
        <w:rPr>
          <w:rFonts w:ascii="Verdana" w:hAnsi="Verdana" w:cs="Arial"/>
          <w:color w:val="3A3D42"/>
          <w:sz w:val="20"/>
          <w:szCs w:val="20"/>
          <w:shd w:val="clear" w:color="auto" w:fill="FFFFFF"/>
        </w:rPr>
        <w:t xml:space="preserve">. </w:t>
      </w:r>
      <w:r w:rsidRPr="006B7AC4">
        <w:rPr>
          <w:rFonts w:ascii="Verdana" w:hAnsi="Verdana"/>
          <w:sz w:val="20"/>
          <w:szCs w:val="20"/>
        </w:rPr>
        <w:t>Y es que, en gran medida, las normas procesales, estimadas a veces como meras formalidades y, por ende, susceptibles de no considerarse a fin de privilegiar a las sustantivas, condicionan la aplicabilidad de éstas. Por ende, en el evento de subestimarse, por parte de una instancia judicial internacional, a las normas procesales</w:t>
      </w:r>
      <w:bookmarkStart w:id="3" w:name="_Hlk40690821"/>
      <w:r w:rsidRPr="006B7AC4">
        <w:rPr>
          <w:rFonts w:ascii="Verdana" w:hAnsi="Verdana"/>
          <w:sz w:val="20"/>
          <w:szCs w:val="20"/>
        </w:rPr>
        <w:t xml:space="preserve">, </w:t>
      </w:r>
      <w:bookmarkEnd w:id="3"/>
      <w:r w:rsidRPr="006B7AC4">
        <w:rPr>
          <w:rFonts w:ascii="Verdana" w:hAnsi="Verdana"/>
          <w:sz w:val="20"/>
          <w:szCs w:val="20"/>
        </w:rPr>
        <w:t xml:space="preserve">se podría estar alentando al conjunto de la sociedad internacional y aún, a las sociedades nacionales, a actuar del mismo modo, lo que </w:t>
      </w:r>
      <w:r w:rsidR="00CC0EAB">
        <w:rPr>
          <w:rFonts w:ascii="Verdana" w:hAnsi="Verdana"/>
          <w:sz w:val="20"/>
          <w:szCs w:val="20"/>
        </w:rPr>
        <w:t xml:space="preserve">también </w:t>
      </w:r>
      <w:r w:rsidRPr="006B7AC4">
        <w:rPr>
          <w:rFonts w:ascii="Verdana" w:hAnsi="Verdana"/>
          <w:sz w:val="20"/>
          <w:szCs w:val="20"/>
        </w:rPr>
        <w:t xml:space="preserve">podría provocar un efecto devastador en lo que respecta a la efectiva vigencia del Derecho Internacional de los Derechos Humanos. </w:t>
      </w:r>
    </w:p>
    <w:p w14:paraId="006AAE62" w14:textId="77777777" w:rsidR="006B7AC4" w:rsidRDefault="006B7AC4" w:rsidP="006B7AC4">
      <w:pPr>
        <w:pStyle w:val="Prrafodelista"/>
        <w:rPr>
          <w:rFonts w:ascii="Verdana" w:hAnsi="Verdana"/>
          <w:sz w:val="20"/>
          <w:szCs w:val="20"/>
        </w:rPr>
      </w:pPr>
    </w:p>
    <w:p w14:paraId="6B1C152B" w14:textId="51173FEF" w:rsidR="00CC0EAB" w:rsidRDefault="00907144" w:rsidP="00CC0EAB">
      <w:pPr>
        <w:numPr>
          <w:ilvl w:val="0"/>
          <w:numId w:val="1"/>
        </w:numPr>
        <w:spacing w:after="0" w:line="276" w:lineRule="auto"/>
        <w:ind w:left="-207"/>
        <w:contextualSpacing/>
        <w:jc w:val="both"/>
        <w:rPr>
          <w:rFonts w:ascii="Verdana" w:hAnsi="Verdana"/>
          <w:sz w:val="20"/>
          <w:szCs w:val="20"/>
        </w:rPr>
      </w:pPr>
      <w:r w:rsidRPr="006B7AC4">
        <w:rPr>
          <w:rFonts w:ascii="Verdana" w:hAnsi="Verdana"/>
          <w:sz w:val="20"/>
          <w:szCs w:val="20"/>
        </w:rPr>
        <w:t xml:space="preserve">En tal orden de ideas, se considera que indudablemente las normas jurídicas son el resultado de acuerdos entre sus autores, los legisladores en la escena nacional y los Estados en la internacional, los que arriban a </w:t>
      </w:r>
      <w:r w:rsidR="00A63291">
        <w:rPr>
          <w:rFonts w:ascii="Verdana" w:hAnsi="Verdana"/>
          <w:sz w:val="20"/>
          <w:szCs w:val="20"/>
        </w:rPr>
        <w:t xml:space="preserve">consensos </w:t>
      </w:r>
      <w:r w:rsidRPr="006B7AC4">
        <w:rPr>
          <w:rFonts w:ascii="Verdana" w:hAnsi="Verdana"/>
          <w:sz w:val="20"/>
          <w:szCs w:val="20"/>
        </w:rPr>
        <w:t xml:space="preserve">conciliando posiciones adoptadas </w:t>
      </w:r>
      <w:r w:rsidR="00CC0EAB">
        <w:rPr>
          <w:rFonts w:ascii="Verdana" w:hAnsi="Verdana"/>
          <w:sz w:val="20"/>
          <w:szCs w:val="20"/>
        </w:rPr>
        <w:t xml:space="preserve">por aquellos </w:t>
      </w:r>
      <w:r w:rsidRPr="006B7AC4">
        <w:rPr>
          <w:rFonts w:ascii="Verdana" w:hAnsi="Verdana"/>
          <w:sz w:val="20"/>
          <w:szCs w:val="20"/>
        </w:rPr>
        <w:t xml:space="preserve">en vista de llevar a la práctica </w:t>
      </w:r>
      <w:r w:rsidR="00CC0EAB">
        <w:rPr>
          <w:rFonts w:ascii="Verdana" w:hAnsi="Verdana"/>
          <w:sz w:val="20"/>
          <w:szCs w:val="20"/>
        </w:rPr>
        <w:t xml:space="preserve">sus </w:t>
      </w:r>
      <w:r w:rsidRPr="006B7AC4">
        <w:rPr>
          <w:rFonts w:ascii="Verdana" w:hAnsi="Verdana"/>
          <w:sz w:val="20"/>
          <w:szCs w:val="20"/>
        </w:rPr>
        <w:t>principios, doctrinas e ideologías</w:t>
      </w:r>
      <w:r w:rsidR="00CC0EAB">
        <w:rPr>
          <w:rFonts w:ascii="Verdana" w:hAnsi="Verdana"/>
          <w:sz w:val="20"/>
          <w:szCs w:val="20"/>
        </w:rPr>
        <w:t xml:space="preserve"> o de </w:t>
      </w:r>
      <w:r w:rsidRPr="006B7AC4">
        <w:rPr>
          <w:rFonts w:ascii="Verdana" w:hAnsi="Verdana"/>
          <w:sz w:val="20"/>
          <w:szCs w:val="20"/>
        </w:rPr>
        <w:t xml:space="preserve">resguardar intereses propios </w:t>
      </w:r>
      <w:r w:rsidR="00CC0EAB">
        <w:rPr>
          <w:rFonts w:ascii="Verdana" w:hAnsi="Verdana"/>
          <w:sz w:val="20"/>
          <w:szCs w:val="20"/>
        </w:rPr>
        <w:t xml:space="preserve">o de </w:t>
      </w:r>
      <w:r w:rsidRPr="006B7AC4">
        <w:rPr>
          <w:rFonts w:ascii="Verdana" w:hAnsi="Verdana"/>
          <w:sz w:val="20"/>
          <w:szCs w:val="20"/>
        </w:rPr>
        <w:t>consolidar o acrecentar posiciones de poder</w:t>
      </w:r>
      <w:r w:rsidR="00CC0EAB">
        <w:rPr>
          <w:rFonts w:ascii="Verdana" w:hAnsi="Verdana"/>
          <w:sz w:val="20"/>
          <w:szCs w:val="20"/>
        </w:rPr>
        <w:t xml:space="preserve"> u </w:t>
      </w:r>
      <w:r w:rsidRPr="006B7AC4">
        <w:rPr>
          <w:rFonts w:ascii="Verdana" w:hAnsi="Verdana"/>
          <w:sz w:val="20"/>
          <w:szCs w:val="20"/>
        </w:rPr>
        <w:t xml:space="preserve">obtener beneficios económicos, etc. Pero, igualmente se tiene en cuenta que, por lo general, el referido consenso no lo es tanto sobre los fundamentos de la </w:t>
      </w:r>
      <w:r w:rsidR="00CC0EAB">
        <w:rPr>
          <w:rFonts w:ascii="Verdana" w:hAnsi="Verdana"/>
          <w:sz w:val="20"/>
          <w:szCs w:val="20"/>
        </w:rPr>
        <w:t xml:space="preserve">correspondiente </w:t>
      </w:r>
      <w:r w:rsidRPr="006B7AC4">
        <w:rPr>
          <w:rFonts w:ascii="Verdana" w:hAnsi="Verdana"/>
          <w:sz w:val="20"/>
          <w:szCs w:val="20"/>
        </w:rPr>
        <w:t>norma como en lo que ella expresa. En lo que respecta a la materia en cuestión, tal consenso constituye más bien, siguiendo lo que se expresó a propósito de la Declaración Universal de los Derechos Humanos, un acuerdo práctico de lo que se convenía</w:t>
      </w:r>
      <w:r w:rsidR="00CC0EAB">
        <w:rPr>
          <w:rFonts w:ascii="Verdana" w:hAnsi="Verdana"/>
          <w:sz w:val="20"/>
          <w:szCs w:val="20"/>
        </w:rPr>
        <w:t>, m</w:t>
      </w:r>
      <w:r w:rsidR="00A63291">
        <w:rPr>
          <w:rFonts w:ascii="Verdana" w:hAnsi="Verdana"/>
          <w:sz w:val="20"/>
          <w:szCs w:val="20"/>
        </w:rPr>
        <w:t>a</w:t>
      </w:r>
      <w:r w:rsidR="00CC0EAB">
        <w:rPr>
          <w:rFonts w:ascii="Verdana" w:hAnsi="Verdana"/>
          <w:sz w:val="20"/>
          <w:szCs w:val="20"/>
        </w:rPr>
        <w:t>s</w:t>
      </w:r>
      <w:r w:rsidRPr="006B7AC4">
        <w:rPr>
          <w:rFonts w:ascii="Verdana" w:hAnsi="Verdana"/>
          <w:sz w:val="20"/>
          <w:szCs w:val="20"/>
        </w:rPr>
        <w:t xml:space="preserve"> no sobre los fundamentos de ello. Dada las estructuras societarias, pero especialmente la internacional, este método ha sido quizás el único que ha permitido avances en materia de derechos humanos, aunque, sin duda, dispares según el continente y países de que se trate</w:t>
      </w:r>
      <w:r w:rsidR="00CC0EAB">
        <w:rPr>
          <w:rFonts w:ascii="Verdana" w:hAnsi="Verdana"/>
          <w:sz w:val="20"/>
          <w:szCs w:val="20"/>
        </w:rPr>
        <w:t>, patrimonio que no se debería arriesgar</w:t>
      </w:r>
      <w:r w:rsidRPr="006B7AC4">
        <w:rPr>
          <w:rFonts w:ascii="Verdana" w:hAnsi="Verdana"/>
          <w:sz w:val="20"/>
          <w:szCs w:val="20"/>
        </w:rPr>
        <w:t xml:space="preserve">. </w:t>
      </w:r>
    </w:p>
    <w:p w14:paraId="52EF01A4" w14:textId="77777777" w:rsidR="00CC0EAB" w:rsidRDefault="00CC0EAB" w:rsidP="00CC0EAB">
      <w:pPr>
        <w:spacing w:after="0" w:line="276" w:lineRule="auto"/>
        <w:ind w:left="-207"/>
        <w:contextualSpacing/>
        <w:jc w:val="both"/>
        <w:rPr>
          <w:rFonts w:ascii="Verdana" w:hAnsi="Verdana"/>
          <w:sz w:val="20"/>
          <w:szCs w:val="20"/>
        </w:rPr>
      </w:pPr>
    </w:p>
    <w:p w14:paraId="24AE4052" w14:textId="1AA75720" w:rsidR="00CC0EAB" w:rsidRDefault="00907144" w:rsidP="00CC0EAB">
      <w:pPr>
        <w:numPr>
          <w:ilvl w:val="0"/>
          <w:numId w:val="1"/>
        </w:numPr>
        <w:spacing w:after="0" w:line="276" w:lineRule="auto"/>
        <w:ind w:left="-207"/>
        <w:contextualSpacing/>
        <w:jc w:val="both"/>
        <w:rPr>
          <w:rFonts w:ascii="Verdana" w:hAnsi="Verdana"/>
          <w:sz w:val="20"/>
          <w:szCs w:val="20"/>
        </w:rPr>
      </w:pPr>
      <w:r w:rsidRPr="00CC0EAB">
        <w:rPr>
          <w:rFonts w:ascii="Verdana" w:hAnsi="Verdana"/>
          <w:sz w:val="20"/>
          <w:szCs w:val="20"/>
        </w:rPr>
        <w:t xml:space="preserve">Por otra parte, asimismo se tiene presente en este escrito que el Derecho es el único instrumento del que puede disponer la persona humana ante el inmenso y avasallador poder que detenta el Estado, particularmente en la escena internacional. La relación entre ambos es abismantemente desequilibrada. En la situación que nos ocupa, sin el apoyo del Derecho Interamericano de los Derechos Humanos y de las instituciones que contempla, </w:t>
      </w:r>
      <w:r w:rsidR="00CC0EAB">
        <w:rPr>
          <w:rFonts w:ascii="Verdana" w:hAnsi="Verdana"/>
          <w:sz w:val="20"/>
          <w:szCs w:val="20"/>
        </w:rPr>
        <w:t xml:space="preserve">es decir, la Corte y la Comisión, </w:t>
      </w:r>
      <w:r w:rsidRPr="00CC0EAB">
        <w:rPr>
          <w:rFonts w:ascii="Verdana" w:hAnsi="Verdana"/>
          <w:sz w:val="20"/>
          <w:szCs w:val="20"/>
        </w:rPr>
        <w:t>el ser humano estaría, en el ámbito internacional, prácticamente en la indefensión o, al menos, en una situación francamente de desigualdad o de precariedad.</w:t>
      </w:r>
      <w:r w:rsidR="00595C6B">
        <w:rPr>
          <w:rFonts w:ascii="Verdana" w:hAnsi="Verdana"/>
          <w:sz w:val="20"/>
          <w:szCs w:val="20"/>
        </w:rPr>
        <w:t xml:space="preserve"> Desde esta óptica, el Derecho Internacional de los Derechos Humanos se sustenta en similar premisa que la del Derecho del Trabajo</w:t>
      </w:r>
      <w:r w:rsidR="003619D7">
        <w:rPr>
          <w:rFonts w:ascii="Verdana" w:hAnsi="Verdana"/>
          <w:sz w:val="20"/>
          <w:szCs w:val="20"/>
        </w:rPr>
        <w:t>,</w:t>
      </w:r>
      <w:r w:rsidR="00595C6B">
        <w:rPr>
          <w:rFonts w:ascii="Verdana" w:hAnsi="Verdana"/>
          <w:sz w:val="20"/>
          <w:szCs w:val="20"/>
        </w:rPr>
        <w:t xml:space="preserve"> la del Derecho de la Infancia o la del Derecho de las Personas Mayores, cual es, proteger a los trabajadores, niños y niñas y personas de edad avanzada, respectivamente.</w:t>
      </w:r>
    </w:p>
    <w:p w14:paraId="4BE65398" w14:textId="77777777" w:rsidR="00CC0EAB" w:rsidRDefault="00CC0EAB" w:rsidP="00CC0EAB">
      <w:pPr>
        <w:pStyle w:val="Prrafodelista"/>
        <w:rPr>
          <w:rFonts w:ascii="Verdana" w:hAnsi="Verdana"/>
          <w:sz w:val="20"/>
          <w:szCs w:val="20"/>
        </w:rPr>
      </w:pPr>
    </w:p>
    <w:p w14:paraId="74D0AF6E" w14:textId="41C6A75F" w:rsidR="00907144" w:rsidRPr="00CC0EAB" w:rsidRDefault="00907144" w:rsidP="00CC0EAB">
      <w:pPr>
        <w:numPr>
          <w:ilvl w:val="0"/>
          <w:numId w:val="1"/>
        </w:numPr>
        <w:spacing w:after="0" w:line="276" w:lineRule="auto"/>
        <w:ind w:left="-207"/>
        <w:contextualSpacing/>
        <w:jc w:val="both"/>
        <w:rPr>
          <w:rFonts w:ascii="Verdana" w:hAnsi="Verdana"/>
          <w:sz w:val="20"/>
          <w:szCs w:val="20"/>
        </w:rPr>
      </w:pPr>
      <w:r w:rsidRPr="00CC0EAB">
        <w:rPr>
          <w:rFonts w:ascii="Verdana" w:hAnsi="Verdana"/>
          <w:sz w:val="20"/>
          <w:szCs w:val="20"/>
        </w:rPr>
        <w:t>Igualmente, cabe añadir que este voto se apoya en la función que le cabe a la Corte en tanto entidad judicial, cual es, aplicar e interpretar la Convención</w:t>
      </w:r>
      <w:r w:rsidRPr="00960411">
        <w:rPr>
          <w:rFonts w:ascii="Verdana" w:hAnsi="Verdana"/>
          <w:sz w:val="20"/>
          <w:szCs w:val="20"/>
          <w:vertAlign w:val="superscript"/>
        </w:rPr>
        <w:footnoteReference w:id="21"/>
      </w:r>
      <w:r w:rsidRPr="00CC0EAB">
        <w:rPr>
          <w:rFonts w:ascii="Verdana" w:hAnsi="Verdana"/>
          <w:sz w:val="20"/>
          <w:szCs w:val="20"/>
        </w:rPr>
        <w:t>, acorde a las reglas de interpretación previstas en la Convención de Viena sobre el Derecho de los Tratados</w:t>
      </w:r>
      <w:r w:rsidRPr="00A643AA">
        <w:rPr>
          <w:rFonts w:ascii="Verdana" w:hAnsi="Verdana"/>
          <w:sz w:val="20"/>
          <w:szCs w:val="20"/>
          <w:vertAlign w:val="superscript"/>
        </w:rPr>
        <w:footnoteReference w:id="22"/>
      </w:r>
      <w:r w:rsidRPr="00CC0EAB">
        <w:rPr>
          <w:rFonts w:ascii="Verdana" w:hAnsi="Verdana"/>
          <w:sz w:val="20"/>
          <w:szCs w:val="20"/>
        </w:rPr>
        <w:t>, que están dirigidas a desentrañar la voluntad de los Estados Partes de aquella, es decir, a precisar el sentido y alcance de lo que la Convención dispone y no en buscar en ella lo que el intérprete quiera que exprese</w:t>
      </w:r>
      <w:r>
        <w:rPr>
          <w:rStyle w:val="Refdenotaalpie"/>
          <w:rFonts w:ascii="Verdana" w:hAnsi="Verdana"/>
          <w:sz w:val="20"/>
          <w:szCs w:val="20"/>
        </w:rPr>
        <w:footnoteReference w:id="23"/>
      </w:r>
      <w:r w:rsidRPr="00CC0EAB">
        <w:rPr>
          <w:rFonts w:ascii="Verdana" w:hAnsi="Verdana"/>
          <w:sz w:val="20"/>
          <w:szCs w:val="20"/>
        </w:rPr>
        <w:t>.</w:t>
      </w:r>
    </w:p>
    <w:p w14:paraId="04E6FE15" w14:textId="77777777" w:rsidR="00907144" w:rsidRDefault="00907144" w:rsidP="00907144">
      <w:pPr>
        <w:spacing w:after="100" w:afterAutospacing="1" w:line="276" w:lineRule="auto"/>
        <w:contextualSpacing/>
        <w:jc w:val="both"/>
        <w:rPr>
          <w:rFonts w:ascii="Verdana" w:hAnsi="Verdana"/>
          <w:sz w:val="20"/>
          <w:szCs w:val="20"/>
        </w:rPr>
      </w:pPr>
    </w:p>
    <w:p w14:paraId="3D0A49E0" w14:textId="77777777" w:rsidR="00901AC4" w:rsidRDefault="00907144" w:rsidP="00901AC4">
      <w:pPr>
        <w:numPr>
          <w:ilvl w:val="0"/>
          <w:numId w:val="1"/>
        </w:numPr>
        <w:spacing w:after="0" w:line="276" w:lineRule="auto"/>
        <w:ind w:left="-207"/>
        <w:contextualSpacing/>
        <w:jc w:val="both"/>
        <w:rPr>
          <w:rFonts w:ascii="Verdana" w:hAnsi="Verdana"/>
          <w:sz w:val="20"/>
          <w:szCs w:val="20"/>
        </w:rPr>
      </w:pPr>
      <w:r>
        <w:rPr>
          <w:rFonts w:ascii="Verdana" w:hAnsi="Verdana"/>
          <w:sz w:val="20"/>
          <w:szCs w:val="20"/>
        </w:rPr>
        <w:t xml:space="preserve">La aplicación e interpretación de la Convención importa, consecuentemente, que lo que compete a la Corte es impartir Justicia en materia de Derechos Humanos a través del Derecho y más específicamente aún, según lo que </w:t>
      </w:r>
      <w:r w:rsidRPr="00BB78A0">
        <w:rPr>
          <w:rFonts w:ascii="Verdana" w:hAnsi="Verdana"/>
          <w:sz w:val="20"/>
          <w:szCs w:val="20"/>
        </w:rPr>
        <w:t>aquella dispone, función diferente a la asignada a la Comisión, consistente en</w:t>
      </w:r>
      <w:r w:rsidRPr="00D91FFC">
        <w:rPr>
          <w:rFonts w:ascii="Verdana" w:hAnsi="Verdana" w:cs="Tahoma"/>
          <w:color w:val="000000"/>
          <w:sz w:val="20"/>
          <w:szCs w:val="20"/>
        </w:rPr>
        <w:t xml:space="preserve"> promover la observancia y la defensa de los derechos humanos, incluso ante ella</w:t>
      </w:r>
      <w:r w:rsidRPr="00D91FFC">
        <w:rPr>
          <w:rStyle w:val="Refdenotaalpie"/>
          <w:rFonts w:ascii="Verdana" w:hAnsi="Verdana" w:cs="Tahoma"/>
          <w:color w:val="000000"/>
          <w:sz w:val="20"/>
          <w:szCs w:val="20"/>
        </w:rPr>
        <w:footnoteReference w:id="24"/>
      </w:r>
      <w:r w:rsidRPr="00D91FFC">
        <w:rPr>
          <w:rFonts w:ascii="Verdana" w:hAnsi="Verdana" w:cs="Tahoma"/>
          <w:color w:val="000000"/>
          <w:sz w:val="20"/>
          <w:szCs w:val="20"/>
        </w:rPr>
        <w:t>.</w:t>
      </w:r>
      <w:r w:rsidRPr="00BB78A0">
        <w:rPr>
          <w:rFonts w:ascii="Verdana" w:hAnsi="Verdana"/>
          <w:sz w:val="20"/>
          <w:szCs w:val="20"/>
        </w:rPr>
        <w:t xml:space="preserve"> </w:t>
      </w:r>
      <w:r w:rsidR="00933ABA" w:rsidRPr="00BB78A0">
        <w:rPr>
          <w:rFonts w:ascii="Verdana" w:hAnsi="Verdana"/>
          <w:sz w:val="20"/>
          <w:szCs w:val="20"/>
        </w:rPr>
        <w:t>El cumplimiento de la misión que le ha sido asignada, le impone a la Corte, consecuentemente, proced</w:t>
      </w:r>
      <w:r w:rsidR="00933ABA" w:rsidRPr="00A41FE6">
        <w:rPr>
          <w:rFonts w:ascii="Verdana" w:hAnsi="Verdana"/>
          <w:sz w:val="20"/>
          <w:szCs w:val="20"/>
        </w:rPr>
        <w:t>er exclusivamente en el ámbito del Derecho, procurando no incursionar en áreas que son más propias de los órganos que ejercen las funciones ejecutivas y normativas</w:t>
      </w:r>
      <w:r w:rsidR="006A789C" w:rsidRPr="00BB78A0">
        <w:rPr>
          <w:rStyle w:val="Refdenotaalpie"/>
          <w:rFonts w:ascii="Verdana" w:hAnsi="Verdana"/>
          <w:sz w:val="20"/>
          <w:szCs w:val="20"/>
        </w:rPr>
        <w:footnoteReference w:id="25"/>
      </w:r>
      <w:r w:rsidR="00933ABA" w:rsidRPr="00BB78A0">
        <w:rPr>
          <w:rFonts w:ascii="Verdana" w:hAnsi="Verdana"/>
          <w:sz w:val="20"/>
          <w:szCs w:val="20"/>
        </w:rPr>
        <w:t xml:space="preserve"> y ello aunque, al proceder así, afecte su influencia</w:t>
      </w:r>
      <w:r w:rsidR="00933ABA">
        <w:rPr>
          <w:rFonts w:ascii="Verdana" w:hAnsi="Verdana"/>
          <w:sz w:val="20"/>
          <w:szCs w:val="20"/>
        </w:rPr>
        <w:t xml:space="preserve"> o incidencia social o política</w:t>
      </w:r>
      <w:r w:rsidR="006A789C">
        <w:rPr>
          <w:rFonts w:ascii="Verdana" w:hAnsi="Verdana"/>
          <w:sz w:val="20"/>
          <w:szCs w:val="20"/>
        </w:rPr>
        <w:t>. No es éste su propósito sino, como indica la doctrina, el de transformar los mandatos abstractos y generales de la Convención en mandatos concretos y particulares.</w:t>
      </w:r>
      <w:r w:rsidR="00933ABA">
        <w:rPr>
          <w:rFonts w:ascii="Verdana" w:hAnsi="Verdana"/>
          <w:sz w:val="20"/>
          <w:szCs w:val="20"/>
        </w:rPr>
        <w:t xml:space="preserve"> </w:t>
      </w:r>
    </w:p>
    <w:p w14:paraId="4EC0E353" w14:textId="77777777" w:rsidR="00901AC4" w:rsidRDefault="00901AC4" w:rsidP="00901AC4">
      <w:pPr>
        <w:pStyle w:val="Prrafodelista"/>
        <w:rPr>
          <w:rFonts w:ascii="Verdana" w:hAnsi="Verdana"/>
          <w:sz w:val="20"/>
          <w:szCs w:val="20"/>
        </w:rPr>
      </w:pPr>
    </w:p>
    <w:p w14:paraId="68765314" w14:textId="0CDAB2CE" w:rsidR="00907144" w:rsidRPr="00901AC4" w:rsidRDefault="00907144" w:rsidP="00901AC4">
      <w:pPr>
        <w:numPr>
          <w:ilvl w:val="0"/>
          <w:numId w:val="1"/>
        </w:numPr>
        <w:spacing w:after="0" w:line="276" w:lineRule="auto"/>
        <w:ind w:left="-207"/>
        <w:contextualSpacing/>
        <w:jc w:val="both"/>
        <w:rPr>
          <w:rFonts w:ascii="Verdana" w:hAnsi="Verdana"/>
          <w:sz w:val="20"/>
          <w:szCs w:val="20"/>
        </w:rPr>
      </w:pPr>
      <w:r w:rsidRPr="00901AC4">
        <w:rPr>
          <w:rFonts w:ascii="Verdana" w:hAnsi="Verdana"/>
          <w:sz w:val="20"/>
          <w:szCs w:val="20"/>
        </w:rPr>
        <w:t xml:space="preserve">La función jurisdiccional de la Corte le impone, por lo tanto, proceder acorde a la dignidad que emana de la circunstancia de ser un tribunal y, adicionalmente, autónomo, sin que, en el ejercicio de sus prerrogativas, pueda ser fiscalizado o controlado por entidad alguna, pero, al mismo tiempo, sin ninguna capacidad de hacer cumplir sus fallos por el empleo de medidas coercitivas. La majestad propia de la magistratura que le ha sido confiada a la Corte, conlleva, consecuentemente, proceder con pleno apego a los límites que se le han establecido a sus facultades privativas, de suerte que sus decisiones sean acatadas principalmente por considerarse justas en razón, entre otras, de su autoridad moral y su estricto apego a lo efectivamente pactado por los Estados en la Convención. </w:t>
      </w:r>
    </w:p>
    <w:bookmarkEnd w:id="2"/>
    <w:p w14:paraId="1E5E1610" w14:textId="77777777" w:rsidR="00907144" w:rsidRPr="00A643AA" w:rsidRDefault="00907144" w:rsidP="00907144">
      <w:pPr>
        <w:spacing w:after="0" w:line="276" w:lineRule="auto"/>
        <w:jc w:val="both"/>
        <w:rPr>
          <w:rFonts w:ascii="Verdana" w:hAnsi="Verdana"/>
          <w:sz w:val="20"/>
          <w:szCs w:val="20"/>
        </w:rPr>
      </w:pPr>
    </w:p>
    <w:p w14:paraId="1A811797" w14:textId="77777777" w:rsidR="00907144" w:rsidRDefault="00907144" w:rsidP="00901AC4">
      <w:pPr>
        <w:numPr>
          <w:ilvl w:val="0"/>
          <w:numId w:val="5"/>
        </w:numPr>
        <w:autoSpaceDE w:val="0"/>
        <w:autoSpaceDN w:val="0"/>
        <w:adjustRightInd w:val="0"/>
        <w:spacing w:after="0" w:line="276" w:lineRule="auto"/>
        <w:ind w:left="-567" w:firstLine="0"/>
        <w:jc w:val="both"/>
        <w:rPr>
          <w:rFonts w:ascii="Verdana" w:eastAsia="Times New Roman" w:hAnsi="Verdana" w:cs="Verdana"/>
          <w:b/>
          <w:bCs/>
          <w:color w:val="000000"/>
          <w:sz w:val="20"/>
          <w:szCs w:val="20"/>
          <w:lang w:val="es-CR" w:eastAsia="es-CR"/>
        </w:rPr>
      </w:pPr>
      <w:r w:rsidRPr="00A643AA">
        <w:rPr>
          <w:rFonts w:ascii="Verdana" w:eastAsia="Times New Roman" w:hAnsi="Verdana" w:cs="Verdana"/>
          <w:b/>
          <w:bCs/>
          <w:color w:val="000000"/>
          <w:sz w:val="20"/>
          <w:szCs w:val="20"/>
          <w:lang w:val="es-CR" w:eastAsia="es-CR"/>
        </w:rPr>
        <w:t>FACULTAD DE LA CORTE DE DICTAR MEDIDAS PROVISIONALES.</w:t>
      </w:r>
    </w:p>
    <w:p w14:paraId="6572C309" w14:textId="77777777" w:rsidR="00907144" w:rsidRPr="00A643AA" w:rsidRDefault="00907144" w:rsidP="00907144">
      <w:pPr>
        <w:autoSpaceDE w:val="0"/>
        <w:autoSpaceDN w:val="0"/>
        <w:adjustRightInd w:val="0"/>
        <w:spacing w:after="0" w:line="276" w:lineRule="auto"/>
        <w:jc w:val="both"/>
        <w:rPr>
          <w:rFonts w:ascii="Verdana" w:eastAsia="Times New Roman" w:hAnsi="Verdana" w:cs="Verdana"/>
          <w:b/>
          <w:bCs/>
          <w:color w:val="000000"/>
          <w:sz w:val="20"/>
          <w:szCs w:val="20"/>
          <w:lang w:val="es-CR" w:eastAsia="es-CR"/>
        </w:rPr>
      </w:pPr>
    </w:p>
    <w:p w14:paraId="7EB11F89" w14:textId="41935569" w:rsidR="00907144" w:rsidRPr="00A643AA" w:rsidRDefault="00907144" w:rsidP="00797D3B">
      <w:pPr>
        <w:numPr>
          <w:ilvl w:val="0"/>
          <w:numId w:val="1"/>
        </w:numPr>
        <w:autoSpaceDE w:val="0"/>
        <w:autoSpaceDN w:val="0"/>
        <w:adjustRightInd w:val="0"/>
        <w:spacing w:after="0" w:line="276" w:lineRule="auto"/>
        <w:ind w:left="-207"/>
        <w:jc w:val="both"/>
        <w:rPr>
          <w:rFonts w:ascii="Verdana" w:eastAsia="Times New Roman" w:hAnsi="Verdana" w:cs="Verdana"/>
          <w:color w:val="000000"/>
          <w:sz w:val="20"/>
          <w:szCs w:val="20"/>
          <w:lang w:val="es-CR" w:eastAsia="es-CR"/>
        </w:rPr>
      </w:pPr>
      <w:bookmarkStart w:id="4" w:name="_Hlk37778899"/>
      <w:r w:rsidRPr="00A643AA">
        <w:rPr>
          <w:rFonts w:ascii="Verdana" w:eastAsia="Times New Roman" w:hAnsi="Verdana" w:cs="Times New Roman"/>
          <w:color w:val="000000"/>
          <w:sz w:val="20"/>
          <w:szCs w:val="20"/>
          <w:lang w:val="es-CR" w:eastAsia="es-CR"/>
        </w:rPr>
        <w:t>Tal como se ha manifestado en otros votos individuale</w:t>
      </w:r>
      <w:bookmarkEnd w:id="4"/>
      <w:r w:rsidRPr="00A643AA">
        <w:rPr>
          <w:rFonts w:ascii="Verdana" w:eastAsia="Times New Roman" w:hAnsi="Verdana" w:cs="Times New Roman"/>
          <w:color w:val="000000"/>
          <w:sz w:val="20"/>
          <w:szCs w:val="20"/>
          <w:lang w:val="es-CR" w:eastAsia="es-CR"/>
        </w:rPr>
        <w:t>s</w:t>
      </w:r>
      <w:r w:rsidRPr="00A643AA">
        <w:rPr>
          <w:rFonts w:ascii="Verdana" w:eastAsia="Times New Roman" w:hAnsi="Verdana" w:cs="Times New Roman"/>
          <w:color w:val="000000"/>
          <w:sz w:val="20"/>
          <w:szCs w:val="20"/>
          <w:vertAlign w:val="superscript"/>
          <w:lang w:val="es-CR" w:eastAsia="es-CR"/>
        </w:rPr>
        <w:footnoteReference w:id="26"/>
      </w:r>
      <w:r w:rsidRPr="00A643AA">
        <w:rPr>
          <w:rFonts w:ascii="Verdana" w:eastAsia="Times New Roman" w:hAnsi="Verdana" w:cs="Times New Roman"/>
          <w:color w:val="000000"/>
          <w:sz w:val="20"/>
          <w:szCs w:val="20"/>
          <w:lang w:val="es-CR" w:eastAsia="es-CR"/>
        </w:rPr>
        <w:t>, la razón por la que se</w:t>
      </w:r>
      <w:r>
        <w:rPr>
          <w:rFonts w:ascii="Verdana" w:eastAsia="Times New Roman" w:hAnsi="Verdana" w:cs="Times New Roman"/>
          <w:color w:val="000000"/>
          <w:sz w:val="20"/>
          <w:szCs w:val="20"/>
          <w:lang w:val="es-CR" w:eastAsia="es-CR"/>
        </w:rPr>
        <w:t xml:space="preserve"> disiente de la Resolución, es que</w:t>
      </w:r>
      <w:r w:rsidRPr="00A643AA">
        <w:rPr>
          <w:rFonts w:ascii="Verdana" w:eastAsia="Times New Roman" w:hAnsi="Verdana" w:cs="Times New Roman"/>
          <w:color w:val="000000"/>
          <w:sz w:val="20"/>
          <w:szCs w:val="20"/>
          <w:lang w:val="es-CR" w:eastAsia="es-CR"/>
        </w:rPr>
        <w:t xml:space="preserve"> estima que no </w:t>
      </w:r>
      <w:r>
        <w:rPr>
          <w:rFonts w:ascii="Verdana" w:eastAsia="Times New Roman" w:hAnsi="Verdana" w:cs="Times New Roman"/>
          <w:color w:val="000000"/>
          <w:sz w:val="20"/>
          <w:szCs w:val="20"/>
          <w:lang w:val="es-CR" w:eastAsia="es-CR"/>
        </w:rPr>
        <w:t xml:space="preserve">procede ordenar </w:t>
      </w:r>
      <w:r w:rsidRPr="00A643AA">
        <w:rPr>
          <w:rFonts w:ascii="Verdana" w:eastAsia="Times New Roman" w:hAnsi="Verdana" w:cs="Times New Roman"/>
          <w:color w:val="000000"/>
          <w:sz w:val="20"/>
          <w:szCs w:val="20"/>
          <w:lang w:val="es-CR" w:eastAsia="es-CR"/>
        </w:rPr>
        <w:t xml:space="preserve">medidas provisionales </w:t>
      </w:r>
      <w:r>
        <w:rPr>
          <w:rFonts w:ascii="Verdana" w:eastAsia="Times New Roman" w:hAnsi="Verdana" w:cs="Times New Roman"/>
          <w:color w:val="000000"/>
          <w:sz w:val="20"/>
          <w:szCs w:val="20"/>
          <w:lang w:val="es-CR" w:eastAsia="es-CR"/>
        </w:rPr>
        <w:t xml:space="preserve">una vez que se ha dictado sentencia en el caso de que se trate, ya que, en esa eventualidad, </w:t>
      </w:r>
      <w:r w:rsidRPr="00A643AA">
        <w:rPr>
          <w:rFonts w:ascii="Verdana" w:eastAsia="Times New Roman" w:hAnsi="Verdana" w:cs="Times New Roman"/>
          <w:color w:val="000000"/>
          <w:sz w:val="20"/>
          <w:szCs w:val="20"/>
          <w:lang w:val="es-CR" w:eastAsia="es-CR"/>
        </w:rPr>
        <w:t>l</w:t>
      </w:r>
      <w:r>
        <w:rPr>
          <w:rFonts w:ascii="Verdana" w:eastAsia="Times New Roman" w:hAnsi="Verdana" w:cs="Times New Roman"/>
          <w:color w:val="000000"/>
          <w:sz w:val="20"/>
          <w:szCs w:val="20"/>
          <w:lang w:val="es-CR" w:eastAsia="es-CR"/>
        </w:rPr>
        <w:t xml:space="preserve">a facultad de la Corte al respecto ha precluido, por haber </w:t>
      </w:r>
      <w:r w:rsidRPr="00A643AA">
        <w:rPr>
          <w:rFonts w:ascii="Verdana" w:eastAsia="Times New Roman" w:hAnsi="Verdana" w:cs="Times New Roman"/>
          <w:color w:val="000000"/>
          <w:sz w:val="20"/>
          <w:szCs w:val="20"/>
          <w:lang w:val="es-CR" w:eastAsia="es-CR"/>
        </w:rPr>
        <w:t xml:space="preserve">ya juzgado </w:t>
      </w:r>
      <w:r>
        <w:rPr>
          <w:rFonts w:ascii="Verdana" w:eastAsia="Times New Roman" w:hAnsi="Verdana" w:cs="Times New Roman"/>
          <w:color w:val="000000"/>
          <w:sz w:val="20"/>
          <w:szCs w:val="20"/>
          <w:lang w:val="es-CR" w:eastAsia="es-CR"/>
        </w:rPr>
        <w:t xml:space="preserve">el caso </w:t>
      </w:r>
      <w:r w:rsidRPr="00A643AA">
        <w:rPr>
          <w:rFonts w:ascii="Verdana" w:eastAsia="Times New Roman" w:hAnsi="Verdana" w:cs="Times New Roman"/>
          <w:color w:val="000000"/>
          <w:sz w:val="20"/>
          <w:szCs w:val="20"/>
          <w:lang w:val="es-CR" w:eastAsia="es-CR"/>
        </w:rPr>
        <w:t>y</w:t>
      </w:r>
      <w:r>
        <w:rPr>
          <w:rFonts w:ascii="Verdana" w:eastAsia="Times New Roman" w:hAnsi="Verdana" w:cs="Times New Roman"/>
          <w:color w:val="000000"/>
          <w:sz w:val="20"/>
          <w:szCs w:val="20"/>
          <w:lang w:val="es-CR" w:eastAsia="es-CR"/>
        </w:rPr>
        <w:t xml:space="preserve">, </w:t>
      </w:r>
      <w:r w:rsidRPr="00A643AA">
        <w:rPr>
          <w:rFonts w:ascii="Verdana" w:eastAsia="Times New Roman" w:hAnsi="Verdana" w:cs="Times New Roman"/>
          <w:color w:val="000000"/>
          <w:sz w:val="20"/>
          <w:szCs w:val="20"/>
          <w:lang w:val="es-CR" w:eastAsia="es-CR"/>
        </w:rPr>
        <w:t>por ende, no lo estaría conociendo</w:t>
      </w:r>
      <w:r>
        <w:rPr>
          <w:rFonts w:ascii="Verdana" w:eastAsia="Times New Roman" w:hAnsi="Verdana" w:cs="Times New Roman"/>
          <w:color w:val="000000"/>
          <w:sz w:val="20"/>
          <w:szCs w:val="20"/>
          <w:lang w:val="es-CR" w:eastAsia="es-CR"/>
        </w:rPr>
        <w:t>, vale decir, ya no estaría aplicando e interpretando la Convención a su respecto</w:t>
      </w:r>
      <w:r w:rsidR="006A789C">
        <w:rPr>
          <w:rStyle w:val="Refdenotaalpie"/>
          <w:rFonts w:ascii="Verdana" w:eastAsia="Times New Roman" w:hAnsi="Verdana" w:cs="Times New Roman"/>
          <w:color w:val="000000"/>
          <w:sz w:val="20"/>
          <w:szCs w:val="20"/>
          <w:lang w:val="es-CR" w:eastAsia="es-CR"/>
        </w:rPr>
        <w:footnoteReference w:id="27"/>
      </w:r>
      <w:r>
        <w:rPr>
          <w:rFonts w:ascii="Verdana" w:eastAsia="Times New Roman" w:hAnsi="Verdana" w:cs="Times New Roman"/>
          <w:color w:val="000000"/>
          <w:sz w:val="20"/>
          <w:szCs w:val="20"/>
          <w:lang w:val="es-CR" w:eastAsia="es-CR"/>
        </w:rPr>
        <w:t xml:space="preserve"> y ya habría ordenado, si procediere, el restablecimiento del goce del derecho humano violado y dispuesto las reparaciones y la justa indemnización correspondientes</w:t>
      </w:r>
      <w:r w:rsidR="00797D3B">
        <w:rPr>
          <w:rStyle w:val="Refdenotaalpie"/>
          <w:rFonts w:ascii="Verdana" w:eastAsia="Times New Roman" w:hAnsi="Verdana" w:cs="Times New Roman"/>
          <w:color w:val="000000"/>
          <w:sz w:val="20"/>
          <w:szCs w:val="20"/>
          <w:lang w:val="es-CR" w:eastAsia="es-CR"/>
        </w:rPr>
        <w:footnoteReference w:id="28"/>
      </w:r>
      <w:r>
        <w:rPr>
          <w:rFonts w:ascii="Verdana" w:eastAsia="Times New Roman" w:hAnsi="Verdana" w:cs="Times New Roman"/>
          <w:color w:val="000000"/>
          <w:sz w:val="20"/>
          <w:szCs w:val="20"/>
          <w:lang w:val="es-CR" w:eastAsia="es-CR"/>
        </w:rPr>
        <w:t>.</w:t>
      </w:r>
    </w:p>
    <w:p w14:paraId="6C13C0DB" w14:textId="77777777" w:rsidR="00907144" w:rsidRPr="00A643AA" w:rsidRDefault="00907144" w:rsidP="00907144">
      <w:pPr>
        <w:autoSpaceDE w:val="0"/>
        <w:autoSpaceDN w:val="0"/>
        <w:adjustRightInd w:val="0"/>
        <w:spacing w:after="0" w:line="276" w:lineRule="auto"/>
        <w:jc w:val="both"/>
        <w:rPr>
          <w:rFonts w:ascii="Verdana" w:eastAsia="Times New Roman" w:hAnsi="Verdana" w:cs="Verdana"/>
          <w:color w:val="000000"/>
          <w:sz w:val="20"/>
          <w:szCs w:val="20"/>
          <w:lang w:val="es-CR" w:eastAsia="es-CR"/>
        </w:rPr>
      </w:pPr>
    </w:p>
    <w:p w14:paraId="4CDA7596" w14:textId="77777777" w:rsidR="00907144" w:rsidRPr="00AE4802" w:rsidRDefault="00907144" w:rsidP="00797D3B">
      <w:pPr>
        <w:numPr>
          <w:ilvl w:val="0"/>
          <w:numId w:val="1"/>
        </w:numPr>
        <w:autoSpaceDE w:val="0"/>
        <w:autoSpaceDN w:val="0"/>
        <w:adjustRightInd w:val="0"/>
        <w:spacing w:after="0" w:line="276" w:lineRule="auto"/>
        <w:ind w:left="-207"/>
        <w:jc w:val="both"/>
        <w:rPr>
          <w:rFonts w:ascii="Verdana" w:eastAsia="Times New Roman" w:hAnsi="Verdana" w:cs="Verdana"/>
          <w:color w:val="000000"/>
          <w:sz w:val="20"/>
          <w:szCs w:val="20"/>
          <w:lang w:val="es-CR" w:eastAsia="es-CR"/>
        </w:rPr>
      </w:pPr>
      <w:r w:rsidRPr="00A643AA">
        <w:rPr>
          <w:rFonts w:ascii="Verdana" w:eastAsiaTheme="minorEastAsia" w:hAnsi="Verdana" w:cs="Times New Roman"/>
          <w:color w:val="000000"/>
          <w:sz w:val="20"/>
          <w:szCs w:val="20"/>
          <w:lang w:val="es-ES" w:eastAsia="es-CR"/>
        </w:rPr>
        <w:t xml:space="preserve">Y </w:t>
      </w:r>
      <w:r>
        <w:rPr>
          <w:rFonts w:ascii="Verdana" w:eastAsiaTheme="minorEastAsia" w:hAnsi="Verdana" w:cs="Times New Roman"/>
          <w:color w:val="000000"/>
          <w:sz w:val="20"/>
          <w:szCs w:val="20"/>
          <w:lang w:val="es-ES" w:eastAsia="es-CR"/>
        </w:rPr>
        <w:t xml:space="preserve">se sostiene lo anterior </w:t>
      </w:r>
      <w:r w:rsidRPr="00A643AA">
        <w:rPr>
          <w:rFonts w:ascii="Verdana" w:eastAsiaTheme="minorEastAsia" w:hAnsi="Verdana" w:cs="Times New Roman"/>
          <w:color w:val="000000"/>
          <w:sz w:val="20"/>
          <w:szCs w:val="20"/>
          <w:lang w:val="es-ES" w:eastAsia="es-CR"/>
        </w:rPr>
        <w:t>en base a lo que establecen las normas correspondientes</w:t>
      </w:r>
      <w:r>
        <w:rPr>
          <w:rFonts w:ascii="Verdana" w:eastAsiaTheme="minorEastAsia" w:hAnsi="Verdana" w:cs="Times New Roman"/>
          <w:color w:val="000000"/>
          <w:sz w:val="20"/>
          <w:szCs w:val="20"/>
          <w:lang w:val="es-ES" w:eastAsia="es-CR"/>
        </w:rPr>
        <w:t xml:space="preserve"> y </w:t>
      </w:r>
      <w:r w:rsidRPr="00A643AA">
        <w:rPr>
          <w:rFonts w:ascii="Verdana" w:eastAsiaTheme="minorEastAsia" w:hAnsi="Verdana" w:cs="Times New Roman"/>
          <w:color w:val="000000"/>
          <w:sz w:val="20"/>
          <w:szCs w:val="20"/>
          <w:lang w:val="es-ES" w:eastAsia="es-CR"/>
        </w:rPr>
        <w:t>a la consecuencia que se deriva si no se les respetan.</w:t>
      </w:r>
    </w:p>
    <w:p w14:paraId="73DDE836" w14:textId="77777777" w:rsidR="00907144" w:rsidRPr="00A643AA" w:rsidRDefault="00907144" w:rsidP="00907144">
      <w:pPr>
        <w:autoSpaceDE w:val="0"/>
        <w:autoSpaceDN w:val="0"/>
        <w:adjustRightInd w:val="0"/>
        <w:spacing w:after="0" w:line="276" w:lineRule="auto"/>
        <w:ind w:left="0" w:right="0"/>
        <w:jc w:val="both"/>
        <w:rPr>
          <w:rFonts w:ascii="Verdana" w:eastAsia="Times New Roman" w:hAnsi="Verdana" w:cs="Verdana"/>
          <w:color w:val="000000"/>
          <w:sz w:val="20"/>
          <w:szCs w:val="20"/>
          <w:lang w:val="es-CR" w:eastAsia="es-CR"/>
        </w:rPr>
      </w:pPr>
    </w:p>
    <w:p w14:paraId="23224EF6" w14:textId="77777777" w:rsidR="00907144" w:rsidRPr="00A643AA" w:rsidRDefault="00907144" w:rsidP="00901AC4">
      <w:pPr>
        <w:numPr>
          <w:ilvl w:val="0"/>
          <w:numId w:val="3"/>
        </w:numPr>
        <w:spacing w:after="0" w:line="276" w:lineRule="auto"/>
        <w:ind w:left="-567" w:right="0" w:firstLine="0"/>
        <w:contextualSpacing/>
        <w:jc w:val="both"/>
        <w:rPr>
          <w:rFonts w:ascii="Verdana" w:eastAsiaTheme="minorEastAsia" w:hAnsi="Verdana"/>
          <w:b/>
          <w:sz w:val="20"/>
          <w:szCs w:val="20"/>
          <w:lang w:val="es-ES"/>
        </w:rPr>
      </w:pPr>
      <w:r w:rsidRPr="00A643AA">
        <w:rPr>
          <w:rFonts w:ascii="Verdana" w:eastAsiaTheme="minorEastAsia" w:hAnsi="Verdana"/>
          <w:b/>
          <w:sz w:val="20"/>
          <w:szCs w:val="20"/>
          <w:lang w:val="es-ES"/>
        </w:rPr>
        <w:t>Las normas.</w:t>
      </w:r>
    </w:p>
    <w:p w14:paraId="763C0A35" w14:textId="77777777" w:rsidR="00907144" w:rsidRPr="00A643AA" w:rsidRDefault="00907144" w:rsidP="00907144">
      <w:pPr>
        <w:spacing w:after="0" w:line="276" w:lineRule="auto"/>
        <w:ind w:left="0" w:right="0"/>
        <w:contextualSpacing/>
        <w:jc w:val="both"/>
        <w:rPr>
          <w:rFonts w:ascii="Verdana" w:eastAsiaTheme="minorEastAsia" w:hAnsi="Verdana"/>
          <w:b/>
          <w:sz w:val="20"/>
          <w:szCs w:val="20"/>
          <w:lang w:val="es-ES"/>
        </w:rPr>
      </w:pPr>
    </w:p>
    <w:p w14:paraId="78608118" w14:textId="77777777" w:rsidR="00907144" w:rsidRDefault="00907144" w:rsidP="00907144">
      <w:pPr>
        <w:numPr>
          <w:ilvl w:val="0"/>
          <w:numId w:val="1"/>
        </w:numPr>
        <w:spacing w:after="0" w:line="276" w:lineRule="auto"/>
        <w:ind w:left="-207"/>
        <w:contextualSpacing/>
        <w:jc w:val="both"/>
        <w:rPr>
          <w:rFonts w:ascii="Verdana" w:eastAsiaTheme="minorEastAsia" w:hAnsi="Verdana"/>
          <w:sz w:val="20"/>
          <w:szCs w:val="20"/>
          <w:lang w:val="es-ES"/>
        </w:rPr>
      </w:pPr>
      <w:r w:rsidRPr="00A643AA">
        <w:rPr>
          <w:rFonts w:ascii="Verdana" w:eastAsiaTheme="minorEastAsia" w:hAnsi="Verdana"/>
          <w:sz w:val="20"/>
          <w:szCs w:val="20"/>
          <w:lang w:val="es-ES"/>
        </w:rPr>
        <w:t>La facultad de la Corte de dictar medidas provisionales está prevista en el artículo 63.2 de la Convención, el que dispone:</w:t>
      </w:r>
    </w:p>
    <w:p w14:paraId="29458103" w14:textId="77777777" w:rsidR="00907144" w:rsidRPr="00732202" w:rsidRDefault="00907144" w:rsidP="00907144">
      <w:pPr>
        <w:spacing w:after="0" w:line="276" w:lineRule="auto"/>
        <w:ind w:left="-207"/>
        <w:contextualSpacing/>
        <w:jc w:val="both"/>
        <w:rPr>
          <w:rFonts w:ascii="Verdana" w:eastAsiaTheme="minorEastAsia" w:hAnsi="Verdana"/>
          <w:sz w:val="20"/>
          <w:szCs w:val="20"/>
          <w:lang w:val="es-ES"/>
        </w:rPr>
      </w:pPr>
    </w:p>
    <w:p w14:paraId="6A731D57" w14:textId="77777777" w:rsidR="00907144" w:rsidRPr="00A643AA" w:rsidRDefault="00907144" w:rsidP="00901AC4">
      <w:pPr>
        <w:spacing w:after="100" w:afterAutospacing="1" w:line="276" w:lineRule="auto"/>
        <w:ind w:left="567"/>
        <w:jc w:val="both"/>
        <w:rPr>
          <w:rFonts w:ascii="Verdana" w:eastAsiaTheme="minorEastAsia" w:hAnsi="Verdana"/>
          <w:sz w:val="18"/>
          <w:szCs w:val="18"/>
          <w:lang w:val="es-ES"/>
        </w:rPr>
      </w:pPr>
      <w:r w:rsidRPr="00A643AA">
        <w:rPr>
          <w:rFonts w:ascii="Verdana" w:hAnsi="Verdana"/>
          <w:i/>
          <w:sz w:val="18"/>
          <w:szCs w:val="18"/>
        </w:rPr>
        <w:t>“</w:t>
      </w:r>
      <w:r w:rsidRPr="00A643AA">
        <w:rPr>
          <w:rFonts w:ascii="Verdana" w:hAnsi="Verdana"/>
          <w:i/>
          <w:sz w:val="18"/>
          <w:szCs w:val="18"/>
          <w:lang w:val="es-ES"/>
        </w:rPr>
        <w:t>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w:t>
      </w:r>
    </w:p>
    <w:p w14:paraId="5D3976DC" w14:textId="77777777" w:rsidR="00907144" w:rsidRPr="000D1B2E" w:rsidRDefault="00907144" w:rsidP="00797D3B">
      <w:pPr>
        <w:numPr>
          <w:ilvl w:val="0"/>
          <w:numId w:val="1"/>
        </w:numPr>
        <w:spacing w:after="0" w:line="276" w:lineRule="auto"/>
        <w:ind w:left="-207"/>
        <w:contextualSpacing/>
        <w:jc w:val="both"/>
        <w:rPr>
          <w:rFonts w:ascii="Verdana" w:eastAsiaTheme="minorEastAsia" w:hAnsi="Verdana"/>
          <w:sz w:val="20"/>
          <w:szCs w:val="20"/>
          <w:vertAlign w:val="superscript"/>
          <w:lang w:val="es-ES"/>
        </w:rPr>
      </w:pPr>
      <w:r w:rsidRPr="00A643AA">
        <w:rPr>
          <w:rFonts w:ascii="Verdana" w:eastAsiaTheme="minorEastAsia" w:hAnsi="Verdana"/>
          <w:sz w:val="20"/>
          <w:szCs w:val="20"/>
          <w:lang w:val="es-ES"/>
        </w:rPr>
        <w:t>Tal artículo convencional distingue, entonces, entre las medidas provisionales que la Corte puede decretar “</w:t>
      </w:r>
      <w:r w:rsidRPr="00A643AA">
        <w:rPr>
          <w:rFonts w:ascii="Verdana" w:eastAsiaTheme="minorEastAsia" w:hAnsi="Verdana"/>
          <w:i/>
          <w:sz w:val="20"/>
          <w:szCs w:val="20"/>
          <w:lang w:val="es-ES"/>
        </w:rPr>
        <w:t>en los asuntos que esté conociendo</w:t>
      </w:r>
      <w:r w:rsidRPr="00A643AA">
        <w:rPr>
          <w:rFonts w:ascii="Verdana" w:eastAsiaTheme="minorEastAsia" w:hAnsi="Verdana"/>
          <w:sz w:val="20"/>
          <w:szCs w:val="20"/>
          <w:lang w:val="es-ES"/>
        </w:rPr>
        <w:t>” y las que puede ordenar en los “</w:t>
      </w:r>
      <w:r w:rsidRPr="00A643AA">
        <w:rPr>
          <w:rFonts w:ascii="Verdana" w:eastAsiaTheme="minorEastAsia" w:hAnsi="Verdana"/>
          <w:i/>
          <w:sz w:val="20"/>
          <w:szCs w:val="20"/>
          <w:lang w:val="es-ES"/>
        </w:rPr>
        <w:t>asuntos que aún no estén sometidos a su conocimiento</w:t>
      </w:r>
      <w:r w:rsidRPr="00A643AA">
        <w:rPr>
          <w:rFonts w:ascii="Verdana" w:eastAsiaTheme="minorEastAsia" w:hAnsi="Verdana"/>
          <w:sz w:val="20"/>
          <w:szCs w:val="20"/>
          <w:lang w:val="es-ES"/>
        </w:rPr>
        <w:t>”.</w:t>
      </w:r>
      <w:r>
        <w:rPr>
          <w:rFonts w:ascii="Verdana" w:eastAsiaTheme="minorEastAsia" w:hAnsi="Verdana"/>
          <w:sz w:val="20"/>
          <w:szCs w:val="20"/>
          <w:lang w:val="es-ES"/>
        </w:rPr>
        <w:t xml:space="preserve"> </w:t>
      </w:r>
    </w:p>
    <w:p w14:paraId="5B69490D" w14:textId="2AAF3DCB" w:rsidR="00DC7C52" w:rsidRPr="000D1B2E" w:rsidRDefault="00DC7C52" w:rsidP="00907144">
      <w:pPr>
        <w:spacing w:after="0" w:line="276" w:lineRule="auto"/>
        <w:ind w:left="0" w:right="0"/>
        <w:contextualSpacing/>
        <w:jc w:val="both"/>
        <w:rPr>
          <w:rFonts w:ascii="Verdana" w:eastAsiaTheme="minorEastAsia" w:hAnsi="Verdana"/>
          <w:sz w:val="20"/>
          <w:szCs w:val="20"/>
          <w:vertAlign w:val="superscript"/>
          <w:lang w:val="es-ES"/>
        </w:rPr>
      </w:pPr>
    </w:p>
    <w:p w14:paraId="70445B2E" w14:textId="493A77D4" w:rsidR="00907144" w:rsidRPr="00DC7C52" w:rsidRDefault="00907144" w:rsidP="00DC7C52">
      <w:pPr>
        <w:numPr>
          <w:ilvl w:val="0"/>
          <w:numId w:val="1"/>
        </w:numPr>
        <w:spacing w:after="0" w:line="276" w:lineRule="auto"/>
        <w:ind w:left="-207"/>
        <w:contextualSpacing/>
        <w:jc w:val="both"/>
        <w:rPr>
          <w:rFonts w:ascii="Verdana" w:eastAsiaTheme="minorEastAsia" w:hAnsi="Verdana"/>
          <w:sz w:val="20"/>
          <w:szCs w:val="20"/>
          <w:vertAlign w:val="superscript"/>
          <w:lang w:val="es-ES"/>
        </w:rPr>
      </w:pPr>
      <w:r>
        <w:rPr>
          <w:rFonts w:ascii="Verdana" w:eastAsiaTheme="minorEastAsia" w:hAnsi="Verdana"/>
          <w:sz w:val="20"/>
          <w:szCs w:val="20"/>
          <w:lang w:val="es-ES"/>
        </w:rPr>
        <w:t>De allí, entonces, es que es menester precisar, antes que nada, lo que se entiende por el verbo “</w:t>
      </w:r>
      <w:r w:rsidRPr="00797D3B">
        <w:rPr>
          <w:rFonts w:ascii="Verdana" w:eastAsiaTheme="minorEastAsia" w:hAnsi="Verdana"/>
          <w:i/>
          <w:iCs/>
          <w:sz w:val="20"/>
          <w:szCs w:val="20"/>
          <w:lang w:val="es-ES"/>
        </w:rPr>
        <w:t>conocer</w:t>
      </w:r>
      <w:r>
        <w:rPr>
          <w:rFonts w:ascii="Verdana" w:eastAsiaTheme="minorEastAsia" w:hAnsi="Verdana"/>
          <w:sz w:val="20"/>
          <w:szCs w:val="20"/>
          <w:lang w:val="es-ES"/>
        </w:rPr>
        <w:t xml:space="preserve">” que emplea la disposición en comento. No habiéndole dado la Convención un sentido especial a dicho término, es preciso recurrir a su </w:t>
      </w:r>
      <w:r w:rsidRPr="00AE4802">
        <w:rPr>
          <w:rFonts w:ascii="Verdana" w:eastAsiaTheme="minorEastAsia" w:hAnsi="Verdana"/>
          <w:sz w:val="20"/>
          <w:szCs w:val="20"/>
          <w:lang w:val="es-ES"/>
        </w:rPr>
        <w:t>sentido corriente</w:t>
      </w:r>
      <w:r w:rsidR="00797D3B">
        <w:rPr>
          <w:rStyle w:val="Refdenotaalpie"/>
          <w:rFonts w:ascii="Verdana" w:eastAsiaTheme="minorEastAsia" w:hAnsi="Verdana"/>
          <w:sz w:val="20"/>
          <w:szCs w:val="20"/>
          <w:lang w:val="es-ES"/>
        </w:rPr>
        <w:footnoteReference w:id="29"/>
      </w:r>
      <w:r>
        <w:rPr>
          <w:rFonts w:ascii="Verdana" w:eastAsiaTheme="minorEastAsia" w:hAnsi="Verdana"/>
          <w:sz w:val="20"/>
          <w:szCs w:val="20"/>
          <w:lang w:val="es-ES"/>
        </w:rPr>
        <w:t xml:space="preserve">, cual es, </w:t>
      </w:r>
      <w:r w:rsidRPr="00AE4802">
        <w:rPr>
          <w:rFonts w:ascii="Verdana" w:hAnsi="Verdana"/>
          <w:i/>
          <w:sz w:val="20"/>
          <w:szCs w:val="20"/>
        </w:rPr>
        <w:t>“</w:t>
      </w:r>
      <w:r>
        <w:rPr>
          <w:rFonts w:ascii="Verdana" w:hAnsi="Verdana"/>
          <w:i/>
          <w:sz w:val="20"/>
          <w:szCs w:val="20"/>
        </w:rPr>
        <w:t>(a)</w:t>
      </w:r>
      <w:r w:rsidRPr="00AE4802">
        <w:rPr>
          <w:rFonts w:ascii="Verdana" w:hAnsi="Verdana"/>
          <w:i/>
          <w:sz w:val="20"/>
          <w:szCs w:val="20"/>
        </w:rPr>
        <w:t>ctuar</w:t>
      </w:r>
      <w:r w:rsidRPr="00AE4802">
        <w:rPr>
          <w:rFonts w:ascii="Verdana" w:eastAsia="Arial Unicode MS" w:hAnsi="Verdana" w:cs="Arial Unicode MS"/>
          <w:i/>
          <w:color w:val="000000"/>
          <w:spacing w:val="4"/>
          <w:sz w:val="20"/>
          <w:szCs w:val="20"/>
          <w:shd w:val="clear" w:color="auto" w:fill="FFFFFF"/>
        </w:rPr>
        <w:t xml:space="preserve"> </w:t>
      </w:r>
      <w:r w:rsidRPr="00AE4802">
        <w:rPr>
          <w:rFonts w:ascii="Verdana" w:hAnsi="Verdana"/>
          <w:i/>
          <w:sz w:val="20"/>
          <w:szCs w:val="20"/>
        </w:rPr>
        <w:t>en</w:t>
      </w:r>
      <w:r w:rsidRPr="00AE4802">
        <w:rPr>
          <w:rFonts w:ascii="Verdana" w:eastAsia="Arial Unicode MS" w:hAnsi="Verdana" w:cs="Arial Unicode MS"/>
          <w:i/>
          <w:color w:val="000000"/>
          <w:spacing w:val="4"/>
          <w:sz w:val="20"/>
          <w:szCs w:val="20"/>
          <w:shd w:val="clear" w:color="auto" w:fill="FFFFFF"/>
        </w:rPr>
        <w:t xml:space="preserve"> </w:t>
      </w:r>
      <w:r w:rsidRPr="00AE4802">
        <w:rPr>
          <w:rFonts w:ascii="Verdana" w:hAnsi="Verdana"/>
          <w:i/>
          <w:sz w:val="20"/>
          <w:szCs w:val="20"/>
        </w:rPr>
        <w:t>un</w:t>
      </w:r>
      <w:r w:rsidRPr="00AE4802">
        <w:rPr>
          <w:rFonts w:ascii="Verdana" w:eastAsia="Arial Unicode MS" w:hAnsi="Verdana" w:cs="Arial Unicode MS"/>
          <w:i/>
          <w:color w:val="000000"/>
          <w:spacing w:val="4"/>
          <w:sz w:val="20"/>
          <w:szCs w:val="20"/>
          <w:shd w:val="clear" w:color="auto" w:fill="FFFFFF"/>
        </w:rPr>
        <w:t xml:space="preserve"> </w:t>
      </w:r>
      <w:r w:rsidRPr="00AE4802">
        <w:rPr>
          <w:rFonts w:ascii="Verdana" w:hAnsi="Verdana"/>
          <w:i/>
          <w:sz w:val="20"/>
          <w:szCs w:val="20"/>
        </w:rPr>
        <w:t>asunto</w:t>
      </w:r>
      <w:r w:rsidRPr="00AE4802">
        <w:rPr>
          <w:rFonts w:ascii="Verdana" w:eastAsia="Arial Unicode MS" w:hAnsi="Verdana" w:cs="Arial Unicode MS"/>
          <w:i/>
          <w:color w:val="000000"/>
          <w:spacing w:val="4"/>
          <w:sz w:val="20"/>
          <w:szCs w:val="20"/>
          <w:shd w:val="clear" w:color="auto" w:fill="FFFFFF"/>
        </w:rPr>
        <w:t xml:space="preserve"> </w:t>
      </w:r>
      <w:r w:rsidRPr="00AE4802">
        <w:rPr>
          <w:rFonts w:ascii="Verdana" w:hAnsi="Verdana"/>
          <w:i/>
          <w:sz w:val="20"/>
          <w:szCs w:val="20"/>
        </w:rPr>
        <w:t>con</w:t>
      </w:r>
      <w:r w:rsidRPr="00AE4802">
        <w:rPr>
          <w:rFonts w:ascii="Verdana" w:eastAsia="Arial Unicode MS" w:hAnsi="Verdana" w:cs="Arial Unicode MS"/>
          <w:i/>
          <w:color w:val="000000"/>
          <w:spacing w:val="4"/>
          <w:sz w:val="20"/>
          <w:szCs w:val="20"/>
          <w:shd w:val="clear" w:color="auto" w:fill="FFFFFF"/>
        </w:rPr>
        <w:t xml:space="preserve"> </w:t>
      </w:r>
      <w:r w:rsidRPr="00AE4802">
        <w:rPr>
          <w:rFonts w:ascii="Verdana" w:hAnsi="Verdana"/>
          <w:i/>
          <w:sz w:val="20"/>
          <w:szCs w:val="20"/>
        </w:rPr>
        <w:t>facultad</w:t>
      </w:r>
      <w:r w:rsidRPr="00AE4802">
        <w:rPr>
          <w:rFonts w:ascii="Verdana" w:eastAsia="Arial Unicode MS" w:hAnsi="Verdana" w:cs="Arial Unicode MS"/>
          <w:i/>
          <w:color w:val="000000"/>
          <w:spacing w:val="4"/>
          <w:sz w:val="20"/>
          <w:szCs w:val="20"/>
          <w:shd w:val="clear" w:color="auto" w:fill="FFFFFF"/>
        </w:rPr>
        <w:t xml:space="preserve"> </w:t>
      </w:r>
      <w:r w:rsidRPr="00AE4802">
        <w:rPr>
          <w:rFonts w:ascii="Verdana" w:hAnsi="Verdana"/>
          <w:i/>
          <w:sz w:val="20"/>
          <w:szCs w:val="20"/>
        </w:rPr>
        <w:t>legítima</w:t>
      </w:r>
      <w:r w:rsidRPr="00AE4802">
        <w:rPr>
          <w:rFonts w:ascii="Verdana" w:eastAsia="Arial Unicode MS" w:hAnsi="Verdana" w:cs="Arial Unicode MS"/>
          <w:i/>
          <w:color w:val="000000"/>
          <w:spacing w:val="4"/>
          <w:sz w:val="20"/>
          <w:szCs w:val="20"/>
          <w:shd w:val="clear" w:color="auto" w:fill="FFFFFF"/>
        </w:rPr>
        <w:t xml:space="preserve"> </w:t>
      </w:r>
      <w:r w:rsidRPr="00AE4802">
        <w:rPr>
          <w:rFonts w:ascii="Verdana" w:hAnsi="Verdana"/>
          <w:i/>
          <w:sz w:val="20"/>
          <w:szCs w:val="20"/>
        </w:rPr>
        <w:t>para</w:t>
      </w:r>
      <w:r w:rsidRPr="00AE4802">
        <w:rPr>
          <w:rFonts w:ascii="Verdana" w:eastAsia="Arial Unicode MS" w:hAnsi="Verdana" w:cs="Arial Unicode MS"/>
          <w:i/>
          <w:color w:val="000000"/>
          <w:spacing w:val="4"/>
          <w:sz w:val="20"/>
          <w:szCs w:val="20"/>
          <w:shd w:val="clear" w:color="auto" w:fill="FFFFFF"/>
        </w:rPr>
        <w:t xml:space="preserve"> </w:t>
      </w:r>
      <w:r w:rsidRPr="00AE4802">
        <w:rPr>
          <w:rFonts w:ascii="Verdana" w:hAnsi="Verdana"/>
          <w:i/>
          <w:sz w:val="20"/>
          <w:szCs w:val="20"/>
        </w:rPr>
        <w:t>ello</w:t>
      </w:r>
      <w:r w:rsidRPr="00AE4802">
        <w:rPr>
          <w:rFonts w:ascii="Verdana" w:hAnsi="Verdana"/>
          <w:sz w:val="20"/>
          <w:szCs w:val="20"/>
        </w:rPr>
        <w:t>”</w:t>
      </w:r>
      <w:r>
        <w:rPr>
          <w:rStyle w:val="Refdenotaalpie"/>
          <w:rFonts w:ascii="Verdana" w:hAnsi="Verdana"/>
          <w:sz w:val="20"/>
          <w:szCs w:val="20"/>
        </w:rPr>
        <w:footnoteReference w:id="30"/>
      </w:r>
      <w:r>
        <w:rPr>
          <w:rFonts w:ascii="Verdana" w:hAnsi="Verdana"/>
          <w:sz w:val="20"/>
          <w:szCs w:val="20"/>
        </w:rPr>
        <w:t>. Pues bien, la facultad de la Corte</w:t>
      </w:r>
      <w:r w:rsidR="00DC7C52">
        <w:rPr>
          <w:rStyle w:val="Refdenotaalpie"/>
          <w:rFonts w:ascii="Verdana" w:hAnsi="Verdana"/>
          <w:sz w:val="20"/>
          <w:szCs w:val="20"/>
        </w:rPr>
        <w:footnoteReference w:id="31"/>
      </w:r>
      <w:r>
        <w:rPr>
          <w:rFonts w:ascii="Verdana" w:hAnsi="Verdana"/>
          <w:sz w:val="20"/>
          <w:szCs w:val="20"/>
        </w:rPr>
        <w:t xml:space="preserve"> </w:t>
      </w:r>
      <w:r w:rsidR="00DC7C52">
        <w:rPr>
          <w:rFonts w:ascii="Verdana" w:hAnsi="Verdana"/>
          <w:sz w:val="20"/>
          <w:szCs w:val="20"/>
        </w:rPr>
        <w:t xml:space="preserve">es </w:t>
      </w:r>
      <w:r w:rsidRPr="00DC7C52">
        <w:rPr>
          <w:rFonts w:ascii="Verdana" w:hAnsi="Verdana"/>
          <w:sz w:val="20"/>
          <w:szCs w:val="20"/>
        </w:rPr>
        <w:t>lo que en doctrina se conoce como competencia contenciosa, pues con ella se resuelve una controversia, una contienda entre partes</w:t>
      </w:r>
      <w:r w:rsidR="00585298">
        <w:rPr>
          <w:rFonts w:ascii="Verdana" w:hAnsi="Verdana"/>
          <w:sz w:val="20"/>
          <w:szCs w:val="20"/>
        </w:rPr>
        <w:t>, controversia que puede consistir igualmente acerca de la petición de medidas provisionales por parte de la Comisión</w:t>
      </w:r>
      <w:r w:rsidRPr="00DC7C52">
        <w:rPr>
          <w:rFonts w:ascii="Verdana" w:hAnsi="Verdana"/>
          <w:sz w:val="20"/>
          <w:szCs w:val="20"/>
        </w:rPr>
        <w:t>.</w:t>
      </w:r>
    </w:p>
    <w:p w14:paraId="096AF604" w14:textId="77777777" w:rsidR="00907144" w:rsidRPr="00A643AA" w:rsidRDefault="00907144" w:rsidP="00907144">
      <w:pPr>
        <w:spacing w:after="0" w:line="276" w:lineRule="auto"/>
        <w:ind w:right="0"/>
        <w:contextualSpacing/>
        <w:jc w:val="both"/>
        <w:rPr>
          <w:rFonts w:ascii="Verdana" w:eastAsiaTheme="minorEastAsia" w:hAnsi="Verdana" w:cs="Tahoma"/>
          <w:sz w:val="20"/>
          <w:szCs w:val="20"/>
          <w:lang w:val="es-CR"/>
        </w:rPr>
      </w:pPr>
    </w:p>
    <w:p w14:paraId="3671CC06" w14:textId="1AD9EE4C" w:rsidR="00DC7C52" w:rsidRDefault="00907144" w:rsidP="00DC7C52">
      <w:pPr>
        <w:numPr>
          <w:ilvl w:val="0"/>
          <w:numId w:val="1"/>
        </w:numPr>
        <w:spacing w:after="0" w:line="276" w:lineRule="auto"/>
        <w:ind w:left="-207"/>
        <w:contextualSpacing/>
        <w:jc w:val="both"/>
        <w:rPr>
          <w:rFonts w:ascii="Verdana" w:eastAsiaTheme="minorEastAsia" w:hAnsi="Verdana" w:cs="Arial"/>
          <w:sz w:val="20"/>
          <w:szCs w:val="20"/>
          <w:lang w:val="es-ES"/>
        </w:rPr>
      </w:pPr>
      <w:r>
        <w:rPr>
          <w:rFonts w:ascii="Verdana" w:eastAsiaTheme="minorEastAsia" w:hAnsi="Verdana" w:cs="Tahoma"/>
          <w:sz w:val="20"/>
          <w:szCs w:val="20"/>
          <w:lang w:val="es-CR"/>
        </w:rPr>
        <w:t>En consecuencia, no cabe duda de que, respecto de los casos ejerce su competencia contenciosa y mientras lo hace, la Corte dispone de la facultad de ordenar medidas provisionales, de oficio o a petición de parte</w:t>
      </w:r>
      <w:r>
        <w:rPr>
          <w:rStyle w:val="Refdenotaalpie"/>
          <w:rFonts w:ascii="Verdana" w:eastAsiaTheme="minorEastAsia" w:hAnsi="Verdana" w:cs="Tahoma"/>
          <w:sz w:val="20"/>
          <w:szCs w:val="20"/>
          <w:lang w:val="es-CR"/>
        </w:rPr>
        <w:footnoteReference w:id="32"/>
      </w:r>
      <w:r>
        <w:rPr>
          <w:rFonts w:ascii="Verdana" w:eastAsiaTheme="minorEastAsia" w:hAnsi="Verdana" w:cs="Tahoma"/>
          <w:sz w:val="20"/>
          <w:szCs w:val="20"/>
          <w:lang w:val="es-CR"/>
        </w:rPr>
        <w:t>.</w:t>
      </w:r>
      <w:r w:rsidRPr="003626D0">
        <w:rPr>
          <w:rFonts w:ascii="Verdana" w:eastAsiaTheme="minorEastAsia" w:hAnsi="Verdana"/>
          <w:sz w:val="20"/>
          <w:szCs w:val="20"/>
          <w:lang w:val="es-ES"/>
        </w:rPr>
        <w:t xml:space="preserve"> </w:t>
      </w:r>
      <w:r w:rsidRPr="00A643AA">
        <w:rPr>
          <w:rFonts w:ascii="Verdana" w:eastAsiaTheme="minorEastAsia" w:hAnsi="Verdana"/>
          <w:sz w:val="20"/>
          <w:szCs w:val="20"/>
          <w:lang w:val="es-ES"/>
        </w:rPr>
        <w:t>Lo indicado implica, igualmente, que</w:t>
      </w:r>
      <w:r>
        <w:rPr>
          <w:rFonts w:ascii="Verdana" w:eastAsiaTheme="minorEastAsia" w:hAnsi="Verdana"/>
          <w:sz w:val="20"/>
          <w:szCs w:val="20"/>
          <w:lang w:val="es-ES"/>
        </w:rPr>
        <w:t>,</w:t>
      </w:r>
      <w:r w:rsidRPr="00A643AA">
        <w:rPr>
          <w:rFonts w:ascii="Verdana" w:eastAsiaTheme="minorEastAsia" w:hAnsi="Verdana"/>
          <w:sz w:val="20"/>
          <w:szCs w:val="20"/>
          <w:lang w:val="es-ES"/>
        </w:rPr>
        <w:t xml:space="preserve"> como es en ejercicio de su competencia contenciosa que la Corte puede decretar</w:t>
      </w:r>
      <w:r>
        <w:rPr>
          <w:rFonts w:ascii="Verdana" w:eastAsiaTheme="minorEastAsia" w:hAnsi="Verdana"/>
          <w:sz w:val="20"/>
          <w:szCs w:val="20"/>
          <w:lang w:val="es-ES"/>
        </w:rPr>
        <w:t>las,</w:t>
      </w:r>
      <w:r w:rsidRPr="00A643AA">
        <w:rPr>
          <w:rFonts w:ascii="Verdana" w:eastAsiaTheme="minorEastAsia" w:hAnsi="Verdana"/>
          <w:sz w:val="20"/>
          <w:szCs w:val="20"/>
          <w:lang w:val="es-ES"/>
        </w:rPr>
        <w:t xml:space="preserve"> lógicamente </w:t>
      </w:r>
      <w:r>
        <w:rPr>
          <w:rFonts w:ascii="Verdana" w:eastAsiaTheme="minorEastAsia" w:hAnsi="Verdana"/>
          <w:sz w:val="20"/>
          <w:szCs w:val="20"/>
          <w:lang w:val="es-ES"/>
        </w:rPr>
        <w:t xml:space="preserve">ellas </w:t>
      </w:r>
      <w:r w:rsidRPr="00A643AA">
        <w:rPr>
          <w:rFonts w:ascii="Verdana" w:eastAsiaTheme="minorEastAsia" w:hAnsi="Verdana"/>
          <w:sz w:val="20"/>
          <w:szCs w:val="20"/>
          <w:lang w:val="es-ES"/>
        </w:rPr>
        <w:t>son concebidas, no solo como excepcionales, sino también como esencialmente transitorias, hasta que aquella resuelva el correspondiente caso.</w:t>
      </w:r>
    </w:p>
    <w:p w14:paraId="156AAFDF" w14:textId="77777777" w:rsidR="00DC7C52" w:rsidRDefault="00DC7C52" w:rsidP="00DC7C52">
      <w:pPr>
        <w:pStyle w:val="Prrafodelista"/>
        <w:rPr>
          <w:rFonts w:ascii="Verdana" w:eastAsiaTheme="minorEastAsia" w:hAnsi="Verdana" w:cs="Arial"/>
          <w:sz w:val="20"/>
          <w:szCs w:val="20"/>
          <w:lang w:val="es-ES"/>
        </w:rPr>
      </w:pPr>
    </w:p>
    <w:p w14:paraId="55BFB134" w14:textId="0BD17EBF" w:rsidR="00DC7C52" w:rsidRDefault="00585298" w:rsidP="00DC7C52">
      <w:pPr>
        <w:numPr>
          <w:ilvl w:val="0"/>
          <w:numId w:val="1"/>
        </w:numPr>
        <w:spacing w:after="0" w:line="276" w:lineRule="auto"/>
        <w:ind w:left="-207"/>
        <w:contextualSpacing/>
        <w:jc w:val="both"/>
        <w:rPr>
          <w:rFonts w:ascii="Verdana" w:eastAsiaTheme="minorEastAsia" w:hAnsi="Verdana" w:cs="Arial"/>
          <w:sz w:val="20"/>
          <w:szCs w:val="20"/>
          <w:lang w:val="es-ES"/>
        </w:rPr>
      </w:pPr>
      <w:r>
        <w:rPr>
          <w:rFonts w:ascii="Verdana" w:eastAsiaTheme="minorEastAsia" w:hAnsi="Verdana"/>
          <w:sz w:val="20"/>
          <w:szCs w:val="20"/>
          <w:lang w:val="es-ES"/>
        </w:rPr>
        <w:t>Ahora bien, e</w:t>
      </w:r>
      <w:r w:rsidR="00907144" w:rsidRPr="00DC7C52">
        <w:rPr>
          <w:rFonts w:ascii="Verdana" w:eastAsiaTheme="minorEastAsia" w:hAnsi="Verdana"/>
          <w:sz w:val="20"/>
          <w:szCs w:val="20"/>
          <w:lang w:val="es-ES"/>
        </w:rPr>
        <w:t xml:space="preserve">l asunto es diferente en cuanto a la dictación de </w:t>
      </w:r>
      <w:r w:rsidR="00907144" w:rsidRPr="00DC7C52">
        <w:rPr>
          <w:rFonts w:ascii="Verdana" w:eastAsiaTheme="minorEastAsia" w:hAnsi="Verdana" w:cs="Arial"/>
          <w:sz w:val="20"/>
          <w:szCs w:val="20"/>
          <w:lang w:val="es-ES"/>
        </w:rPr>
        <w:t xml:space="preserve">medidas provisionales en aquellos asuntos que </w:t>
      </w:r>
      <w:r w:rsidR="00907144" w:rsidRPr="00DC7C52">
        <w:rPr>
          <w:rFonts w:ascii="Verdana" w:eastAsiaTheme="minorEastAsia" w:hAnsi="Verdana" w:cs="Arial"/>
          <w:sz w:val="20"/>
          <w:szCs w:val="20"/>
          <w:lang w:val="es-CR"/>
        </w:rPr>
        <w:t>aún no estén sometidos a conocimiento</w:t>
      </w:r>
      <w:r w:rsidR="00907144" w:rsidRPr="00DC7C52">
        <w:rPr>
          <w:rFonts w:ascii="Verdana" w:eastAsiaTheme="minorEastAsia" w:hAnsi="Verdana" w:cs="Arial"/>
          <w:sz w:val="20"/>
          <w:szCs w:val="20"/>
          <w:lang w:val="es-ES"/>
        </w:rPr>
        <w:t xml:space="preserve"> de la Corte</w:t>
      </w:r>
      <w:r>
        <w:rPr>
          <w:rFonts w:ascii="Verdana" w:eastAsiaTheme="minorEastAsia" w:hAnsi="Verdana" w:cs="Arial"/>
          <w:sz w:val="20"/>
          <w:szCs w:val="20"/>
          <w:lang w:val="es-ES"/>
        </w:rPr>
        <w:t xml:space="preserve">, por lo que la controversia versa únicamente acerca de la petición de aquellas. </w:t>
      </w:r>
      <w:r w:rsidR="00907144" w:rsidRPr="00DC7C52">
        <w:rPr>
          <w:rFonts w:ascii="Verdana" w:eastAsiaTheme="minorEastAsia" w:hAnsi="Verdana" w:cs="Arial"/>
          <w:sz w:val="20"/>
          <w:szCs w:val="20"/>
          <w:lang w:val="es-ES"/>
        </w:rPr>
        <w:t>En tal eventualidad, la Corte solo puede actuar, según lo prescribe la última frase del</w:t>
      </w:r>
      <w:r w:rsidR="00907144" w:rsidRPr="00DC7C52">
        <w:rPr>
          <w:rFonts w:ascii="Verdana" w:eastAsiaTheme="minorEastAsia" w:hAnsi="Verdana" w:cs="Arial"/>
          <w:sz w:val="20"/>
          <w:szCs w:val="20"/>
          <w:lang w:val="es-CR"/>
        </w:rPr>
        <w:t xml:space="preserve"> </w:t>
      </w:r>
      <w:r w:rsidR="00907144" w:rsidRPr="00DC7C52">
        <w:rPr>
          <w:rFonts w:ascii="Verdana" w:eastAsiaTheme="minorEastAsia" w:hAnsi="Verdana" w:cs="Arial"/>
          <w:sz w:val="20"/>
          <w:szCs w:val="20"/>
          <w:lang w:val="es-ES"/>
        </w:rPr>
        <w:t>mencionado art.</w:t>
      </w:r>
      <w:r w:rsidR="00D91FFC">
        <w:rPr>
          <w:rFonts w:ascii="Verdana" w:eastAsiaTheme="minorEastAsia" w:hAnsi="Verdana" w:cs="Arial"/>
          <w:sz w:val="20"/>
          <w:szCs w:val="20"/>
          <w:lang w:val="es-ES"/>
        </w:rPr>
        <w:t xml:space="preserve"> </w:t>
      </w:r>
      <w:r w:rsidR="00907144" w:rsidRPr="00DC7C52">
        <w:rPr>
          <w:rFonts w:ascii="Verdana" w:eastAsiaTheme="minorEastAsia" w:hAnsi="Verdana" w:cs="Arial"/>
          <w:sz w:val="20"/>
          <w:szCs w:val="20"/>
          <w:lang w:val="es-ES"/>
        </w:rPr>
        <w:t xml:space="preserve">63.2, a </w:t>
      </w:r>
      <w:r w:rsidR="00907144" w:rsidRPr="00DC7C52">
        <w:rPr>
          <w:rFonts w:ascii="Verdana" w:eastAsiaTheme="minorEastAsia" w:hAnsi="Verdana" w:cs="Arial"/>
          <w:sz w:val="20"/>
          <w:szCs w:val="20"/>
          <w:lang w:val="es-CR"/>
        </w:rPr>
        <w:t>solicitud de la Comisión.</w:t>
      </w:r>
    </w:p>
    <w:p w14:paraId="35FE0882" w14:textId="77777777" w:rsidR="00DC7C52" w:rsidRDefault="00DC7C52" w:rsidP="00DC7C52">
      <w:pPr>
        <w:pStyle w:val="Prrafodelista"/>
        <w:rPr>
          <w:rFonts w:ascii="Verdana" w:eastAsia="Times New Roman" w:hAnsi="Verdana"/>
          <w:sz w:val="20"/>
          <w:szCs w:val="20"/>
          <w:lang w:val="es-ES" w:eastAsia="es-CL"/>
        </w:rPr>
      </w:pPr>
    </w:p>
    <w:p w14:paraId="4B458742" w14:textId="71CA6750" w:rsidR="00907144" w:rsidRPr="00DC7C52" w:rsidRDefault="00907144" w:rsidP="00DC7C52">
      <w:pPr>
        <w:numPr>
          <w:ilvl w:val="0"/>
          <w:numId w:val="1"/>
        </w:numPr>
        <w:spacing w:after="0" w:line="276" w:lineRule="auto"/>
        <w:ind w:left="-207"/>
        <w:contextualSpacing/>
        <w:jc w:val="both"/>
        <w:rPr>
          <w:rFonts w:ascii="Verdana" w:eastAsiaTheme="minorEastAsia" w:hAnsi="Verdana" w:cs="Arial"/>
          <w:sz w:val="20"/>
          <w:szCs w:val="20"/>
          <w:lang w:val="es-ES"/>
        </w:rPr>
      </w:pPr>
      <w:r w:rsidRPr="00DC7C52">
        <w:rPr>
          <w:rFonts w:ascii="Verdana" w:eastAsia="Times New Roman" w:hAnsi="Verdana"/>
          <w:sz w:val="20"/>
          <w:szCs w:val="20"/>
          <w:lang w:val="es-ES" w:eastAsia="es-CL"/>
        </w:rPr>
        <w:t xml:space="preserve">Todo lo indicado precedentemente obviamente también se expresa </w:t>
      </w:r>
      <w:r w:rsidRPr="00DC7C52">
        <w:rPr>
          <w:rFonts w:ascii="Verdana" w:eastAsiaTheme="minorEastAsia" w:hAnsi="Verdana"/>
          <w:sz w:val="20"/>
          <w:szCs w:val="20"/>
          <w:lang w:val="es-ES"/>
        </w:rPr>
        <w:t>en el Reglamento de la Corte</w:t>
      </w:r>
      <w:r w:rsidRPr="00A643AA">
        <w:rPr>
          <w:rFonts w:ascii="Verdana" w:eastAsiaTheme="minorEastAsia" w:hAnsi="Verdana"/>
          <w:sz w:val="20"/>
          <w:szCs w:val="20"/>
          <w:vertAlign w:val="superscript"/>
          <w:lang w:val="es-ES"/>
        </w:rPr>
        <w:footnoteReference w:id="33"/>
      </w:r>
      <w:r w:rsidRPr="00DC7C52">
        <w:rPr>
          <w:rFonts w:ascii="Verdana" w:eastAsiaTheme="minorEastAsia" w:hAnsi="Verdana"/>
          <w:sz w:val="20"/>
          <w:szCs w:val="20"/>
          <w:lang w:val="es-ES"/>
        </w:rPr>
        <w:t>, cuando reproduce, en términos similares a los utilizados por la Convención, la distinción entre asuntos sometidos a conocimiento de la Corte y asuntos aún no sometidos a su conocimiento. Es por ese motivo que la referencia que el numeral 1 del artículo 27 del Reglamento de la Corte hace a “</w:t>
      </w:r>
      <w:r w:rsidRPr="00DC7C52">
        <w:rPr>
          <w:rFonts w:ascii="Verdana" w:eastAsiaTheme="minorEastAsia" w:hAnsi="Verdana"/>
          <w:i/>
          <w:sz w:val="20"/>
          <w:szCs w:val="20"/>
          <w:lang w:val="es-ES"/>
        </w:rPr>
        <w:t>cualquier estado del procedimiento</w:t>
      </w:r>
      <w:r w:rsidRPr="00DC7C52">
        <w:rPr>
          <w:rFonts w:ascii="Verdana" w:eastAsiaTheme="minorEastAsia" w:hAnsi="Verdana"/>
          <w:sz w:val="20"/>
          <w:szCs w:val="20"/>
          <w:lang w:val="es-ES"/>
        </w:rPr>
        <w:t>”, únicamente puede entenderse en el sentido de que este último se lleva a cabo respecto de asuntos</w:t>
      </w:r>
      <w:r w:rsidRPr="00DC7C52">
        <w:rPr>
          <w:rFonts w:ascii="Verdana" w:eastAsiaTheme="minorEastAsia" w:hAnsi="Verdana" w:cs="Tahoma"/>
          <w:sz w:val="20"/>
          <w:szCs w:val="20"/>
          <w:lang w:val="es-CR"/>
        </w:rPr>
        <w:t xml:space="preserve"> </w:t>
      </w:r>
      <w:r w:rsidR="00585298">
        <w:rPr>
          <w:rFonts w:ascii="Verdana" w:eastAsiaTheme="minorEastAsia" w:hAnsi="Verdana" w:cs="Tahoma"/>
          <w:sz w:val="20"/>
          <w:szCs w:val="20"/>
          <w:lang w:val="es-CR"/>
        </w:rPr>
        <w:t xml:space="preserve">sometidos a conocimiento de </w:t>
      </w:r>
      <w:r w:rsidRPr="00DC7C52">
        <w:rPr>
          <w:rFonts w:ascii="Verdana" w:eastAsiaTheme="minorEastAsia" w:hAnsi="Verdana" w:cs="Tahoma"/>
          <w:sz w:val="20"/>
          <w:szCs w:val="20"/>
          <w:lang w:val="es-ES"/>
        </w:rPr>
        <w:t>la Corte</w:t>
      </w:r>
      <w:r w:rsidR="00585298">
        <w:rPr>
          <w:rFonts w:ascii="Verdana" w:eastAsiaTheme="minorEastAsia" w:hAnsi="Verdana" w:cs="Tahoma"/>
          <w:sz w:val="20"/>
          <w:szCs w:val="20"/>
          <w:lang w:val="es-ES"/>
        </w:rPr>
        <w:t xml:space="preserve">, </w:t>
      </w:r>
      <w:r w:rsidRPr="00DC7C52">
        <w:rPr>
          <w:rFonts w:ascii="Verdana" w:eastAsiaTheme="minorEastAsia" w:hAnsi="Verdana" w:cs="Tahoma"/>
          <w:sz w:val="20"/>
          <w:szCs w:val="20"/>
          <w:lang w:val="es-ES"/>
        </w:rPr>
        <w:t>pues en cuanto a los asuntos no sometidos a su decisión, no hay aún procedimiento alguno, el que recién podría iniciarse con la pertinente solicitud de la Comisión.</w:t>
      </w:r>
    </w:p>
    <w:p w14:paraId="4562D9E6" w14:textId="77777777" w:rsidR="00907144" w:rsidRPr="00A643AA" w:rsidRDefault="00907144" w:rsidP="00907144">
      <w:pPr>
        <w:spacing w:after="0" w:line="276" w:lineRule="auto"/>
        <w:contextualSpacing/>
        <w:jc w:val="both"/>
        <w:rPr>
          <w:rFonts w:ascii="Verdana" w:eastAsiaTheme="minorEastAsia" w:hAnsi="Verdana"/>
          <w:sz w:val="20"/>
          <w:szCs w:val="20"/>
          <w:lang w:val="es-ES"/>
        </w:rPr>
      </w:pPr>
    </w:p>
    <w:p w14:paraId="7C4E2E1C" w14:textId="77777777" w:rsidR="00907144" w:rsidRPr="00A643AA" w:rsidRDefault="00907144" w:rsidP="00AE791B">
      <w:pPr>
        <w:numPr>
          <w:ilvl w:val="0"/>
          <w:numId w:val="3"/>
        </w:numPr>
        <w:spacing w:after="0" w:line="276" w:lineRule="auto"/>
        <w:ind w:left="-567" w:firstLine="0"/>
        <w:contextualSpacing/>
        <w:jc w:val="both"/>
        <w:rPr>
          <w:rFonts w:ascii="Verdana" w:eastAsiaTheme="minorEastAsia" w:hAnsi="Verdana"/>
          <w:b/>
          <w:bCs/>
          <w:sz w:val="20"/>
          <w:szCs w:val="20"/>
          <w:vertAlign w:val="superscript"/>
          <w:lang w:val="es-ES"/>
        </w:rPr>
      </w:pPr>
      <w:r w:rsidRPr="00A643AA">
        <w:rPr>
          <w:rFonts w:ascii="Verdana" w:eastAsiaTheme="minorEastAsia" w:hAnsi="Verdana"/>
          <w:b/>
          <w:bCs/>
          <w:sz w:val="20"/>
          <w:szCs w:val="20"/>
          <w:lang w:val="es-ES"/>
        </w:rPr>
        <w:t>Consecuencia.</w:t>
      </w:r>
    </w:p>
    <w:p w14:paraId="5E4BD50B" w14:textId="77777777" w:rsidR="00907144" w:rsidRPr="00A643AA" w:rsidRDefault="00907144" w:rsidP="00907144">
      <w:pPr>
        <w:spacing w:after="0" w:line="276" w:lineRule="auto"/>
        <w:contextualSpacing/>
        <w:jc w:val="both"/>
        <w:rPr>
          <w:rFonts w:ascii="Verdana" w:eastAsiaTheme="minorEastAsia" w:hAnsi="Verdana"/>
          <w:b/>
          <w:bCs/>
          <w:sz w:val="20"/>
          <w:szCs w:val="20"/>
          <w:vertAlign w:val="superscript"/>
          <w:lang w:val="es-ES"/>
        </w:rPr>
      </w:pPr>
    </w:p>
    <w:p w14:paraId="1E38DDFD" w14:textId="77777777" w:rsidR="00907144" w:rsidRPr="000B3B93" w:rsidRDefault="00907144" w:rsidP="00AE791B">
      <w:pPr>
        <w:numPr>
          <w:ilvl w:val="0"/>
          <w:numId w:val="1"/>
        </w:numPr>
        <w:spacing w:after="0" w:line="276" w:lineRule="auto"/>
        <w:ind w:left="-207"/>
        <w:contextualSpacing/>
        <w:jc w:val="both"/>
        <w:rPr>
          <w:rFonts w:ascii="Verdana" w:eastAsiaTheme="minorEastAsia" w:hAnsi="Verdana"/>
          <w:b/>
          <w:bCs/>
          <w:sz w:val="20"/>
          <w:szCs w:val="20"/>
          <w:vertAlign w:val="superscript"/>
          <w:lang w:val="es-ES"/>
        </w:rPr>
      </w:pPr>
      <w:r w:rsidRPr="00A643AA">
        <w:rPr>
          <w:rFonts w:ascii="Verdana" w:eastAsiaTheme="minorEastAsia" w:hAnsi="Verdana"/>
          <w:sz w:val="20"/>
          <w:szCs w:val="20"/>
          <w:lang w:val="es-ES"/>
        </w:rPr>
        <w:t xml:space="preserve">Determinado, entonces, que </w:t>
      </w:r>
      <w:r w:rsidRPr="00A643AA">
        <w:rPr>
          <w:rFonts w:ascii="Verdana" w:eastAsiaTheme="minorEastAsia" w:hAnsi="Verdana"/>
          <w:sz w:val="20"/>
          <w:szCs w:val="20"/>
          <w:lang w:val="es-CR"/>
        </w:rPr>
        <w:t>la Corte puede decretar</w:t>
      </w:r>
      <w:r>
        <w:rPr>
          <w:rFonts w:ascii="Verdana" w:eastAsiaTheme="minorEastAsia" w:hAnsi="Verdana"/>
          <w:sz w:val="20"/>
          <w:szCs w:val="20"/>
          <w:lang w:val="es-CR"/>
        </w:rPr>
        <w:t xml:space="preserve"> </w:t>
      </w:r>
      <w:r w:rsidRPr="00A643AA">
        <w:rPr>
          <w:rFonts w:ascii="Verdana" w:eastAsiaTheme="minorEastAsia" w:hAnsi="Verdana"/>
          <w:sz w:val="20"/>
          <w:szCs w:val="20"/>
          <w:lang w:val="es-CR"/>
        </w:rPr>
        <w:t>medidas provisionales mientras esté ejerciendo su competencia contenciosa en relación al respectivo caso que le ha sido sometido, procede recordar que éste finaliza</w:t>
      </w:r>
      <w:r w:rsidRPr="000B3B93">
        <w:rPr>
          <w:rFonts w:ascii="Verdana" w:eastAsiaTheme="minorEastAsia" w:hAnsi="Verdana"/>
          <w:sz w:val="20"/>
          <w:szCs w:val="20"/>
          <w:lang w:val="es-CR"/>
        </w:rPr>
        <w:t xml:space="preserve"> </w:t>
      </w:r>
      <w:r w:rsidRPr="00A643AA">
        <w:rPr>
          <w:rFonts w:ascii="Verdana" w:eastAsiaTheme="minorEastAsia" w:hAnsi="Verdana"/>
          <w:sz w:val="20"/>
          <w:szCs w:val="20"/>
          <w:lang w:val="es-CR"/>
        </w:rPr>
        <w:t>con la sentencia correspondiente</w:t>
      </w:r>
      <w:r w:rsidRPr="00A643AA">
        <w:rPr>
          <w:rFonts w:ascii="Verdana" w:eastAsiaTheme="minorEastAsia" w:hAnsi="Verdana"/>
          <w:sz w:val="20"/>
          <w:szCs w:val="20"/>
          <w:vertAlign w:val="superscript"/>
          <w:lang w:val="es-CR"/>
        </w:rPr>
        <w:footnoteReference w:id="34"/>
      </w:r>
      <w:r w:rsidRPr="00A643AA">
        <w:rPr>
          <w:rFonts w:ascii="Verdana" w:eastAsiaTheme="minorEastAsia" w:hAnsi="Verdana"/>
          <w:sz w:val="20"/>
          <w:szCs w:val="20"/>
          <w:lang w:val="es-CR"/>
        </w:rPr>
        <w:t xml:space="preserve">, la que, por lo tanto, genera el efecto de cosa juzgada, no pudiendo </w:t>
      </w:r>
      <w:r w:rsidRPr="00A643AA">
        <w:rPr>
          <w:rFonts w:ascii="Verdana" w:eastAsiaTheme="minorEastAsia" w:hAnsi="Verdana"/>
          <w:sz w:val="20"/>
          <w:szCs w:val="20"/>
          <w:lang w:val="es-ES"/>
        </w:rPr>
        <w:t xml:space="preserve">ser modificada ni aún por la propia Corte. </w:t>
      </w:r>
    </w:p>
    <w:p w14:paraId="06A90855" w14:textId="77777777" w:rsidR="00907144" w:rsidRPr="000B3B93" w:rsidRDefault="00907144" w:rsidP="00B45C45">
      <w:pPr>
        <w:spacing w:after="100" w:afterAutospacing="1" w:line="276" w:lineRule="auto"/>
        <w:contextualSpacing/>
        <w:jc w:val="both"/>
        <w:rPr>
          <w:rFonts w:ascii="Verdana" w:eastAsiaTheme="minorEastAsia" w:hAnsi="Verdana"/>
          <w:b/>
          <w:bCs/>
          <w:sz w:val="20"/>
          <w:szCs w:val="20"/>
          <w:vertAlign w:val="superscript"/>
          <w:lang w:val="es-ES"/>
        </w:rPr>
      </w:pPr>
    </w:p>
    <w:p w14:paraId="1DB15B0E" w14:textId="77777777" w:rsidR="00907144" w:rsidRPr="00A643AA" w:rsidRDefault="00907144" w:rsidP="00AE791B">
      <w:pPr>
        <w:numPr>
          <w:ilvl w:val="0"/>
          <w:numId w:val="1"/>
        </w:numPr>
        <w:spacing w:after="0" w:line="276" w:lineRule="auto"/>
        <w:ind w:left="-207"/>
        <w:contextualSpacing/>
        <w:jc w:val="both"/>
        <w:rPr>
          <w:rFonts w:ascii="Verdana" w:eastAsiaTheme="minorEastAsia" w:hAnsi="Verdana"/>
          <w:b/>
          <w:bCs/>
          <w:sz w:val="20"/>
          <w:szCs w:val="20"/>
          <w:vertAlign w:val="superscript"/>
          <w:lang w:val="es-ES"/>
        </w:rPr>
      </w:pPr>
      <w:r w:rsidRPr="00A643AA">
        <w:rPr>
          <w:rFonts w:ascii="Verdana" w:eastAsiaTheme="minorEastAsia" w:hAnsi="Verdana"/>
          <w:sz w:val="20"/>
          <w:szCs w:val="20"/>
          <w:lang w:val="es-ES"/>
        </w:rPr>
        <w:t xml:space="preserve">La mencionada frase del referido artículo </w:t>
      </w:r>
      <w:r>
        <w:rPr>
          <w:rFonts w:ascii="Verdana" w:eastAsiaTheme="minorEastAsia" w:hAnsi="Verdana"/>
          <w:sz w:val="20"/>
          <w:szCs w:val="20"/>
          <w:lang w:val="es-ES"/>
        </w:rPr>
        <w:t>es clara, precisa y categórica</w:t>
      </w:r>
      <w:r w:rsidRPr="00A643AA">
        <w:rPr>
          <w:rFonts w:ascii="Verdana" w:eastAsiaTheme="minorEastAsia" w:hAnsi="Verdana"/>
          <w:sz w:val="20"/>
          <w:szCs w:val="20"/>
          <w:lang w:val="es-ES"/>
        </w:rPr>
        <w:t>:</w:t>
      </w:r>
    </w:p>
    <w:p w14:paraId="37FEE813" w14:textId="77777777" w:rsidR="00907144" w:rsidRDefault="00907144" w:rsidP="00D91FFC">
      <w:pPr>
        <w:spacing w:after="0" w:line="276" w:lineRule="auto"/>
        <w:ind w:left="0"/>
        <w:jc w:val="both"/>
        <w:rPr>
          <w:rFonts w:ascii="Verdana" w:hAnsi="Verdana"/>
          <w:i/>
          <w:iCs/>
          <w:sz w:val="20"/>
          <w:szCs w:val="20"/>
          <w:lang w:val="es-ES"/>
        </w:rPr>
      </w:pPr>
    </w:p>
    <w:p w14:paraId="4919FF63" w14:textId="77777777" w:rsidR="00907144" w:rsidRPr="009E6C61" w:rsidRDefault="00907144" w:rsidP="00AE791B">
      <w:pPr>
        <w:spacing w:after="0" w:line="276" w:lineRule="auto"/>
        <w:ind w:left="567"/>
        <w:jc w:val="both"/>
        <w:rPr>
          <w:rFonts w:ascii="Verdana" w:eastAsiaTheme="minorEastAsia" w:hAnsi="Verdana"/>
          <w:i/>
          <w:iCs/>
          <w:sz w:val="18"/>
          <w:szCs w:val="18"/>
          <w:lang w:val="es-ES"/>
        </w:rPr>
      </w:pPr>
      <w:r w:rsidRPr="009E6C61">
        <w:rPr>
          <w:rFonts w:ascii="Verdana" w:hAnsi="Verdana"/>
          <w:i/>
          <w:iCs/>
          <w:sz w:val="18"/>
          <w:szCs w:val="18"/>
          <w:lang w:val="es-ES"/>
        </w:rPr>
        <w:t>“El fallo de la Corte será definitivo e inapelable.”</w:t>
      </w:r>
    </w:p>
    <w:p w14:paraId="056754AE" w14:textId="77777777" w:rsidR="00907144" w:rsidRPr="00A643AA" w:rsidRDefault="00907144" w:rsidP="00907144">
      <w:pPr>
        <w:spacing w:after="0" w:line="276" w:lineRule="auto"/>
        <w:jc w:val="both"/>
        <w:rPr>
          <w:rFonts w:ascii="Verdana" w:eastAsiaTheme="minorEastAsia" w:hAnsi="Verdana"/>
          <w:i/>
          <w:iCs/>
          <w:sz w:val="20"/>
          <w:szCs w:val="20"/>
          <w:lang w:val="es-ES"/>
        </w:rPr>
      </w:pPr>
    </w:p>
    <w:p w14:paraId="68285746" w14:textId="11E7A9F9" w:rsidR="00907144" w:rsidRPr="00A643AA" w:rsidRDefault="00907144" w:rsidP="00AE791B">
      <w:pPr>
        <w:numPr>
          <w:ilvl w:val="0"/>
          <w:numId w:val="1"/>
        </w:numPr>
        <w:spacing w:after="0" w:line="276" w:lineRule="auto"/>
        <w:ind w:left="-207"/>
        <w:contextualSpacing/>
        <w:jc w:val="both"/>
        <w:rPr>
          <w:rFonts w:ascii="Verdana" w:eastAsiaTheme="minorEastAsia" w:hAnsi="Verdana"/>
          <w:i/>
          <w:iCs/>
          <w:sz w:val="20"/>
          <w:szCs w:val="20"/>
          <w:lang w:val="es-ES"/>
        </w:rPr>
      </w:pPr>
      <w:r w:rsidRPr="00A643AA">
        <w:rPr>
          <w:rFonts w:ascii="Verdana" w:eastAsiaTheme="minorEastAsia" w:hAnsi="Verdana"/>
          <w:sz w:val="20"/>
          <w:szCs w:val="20"/>
          <w:lang w:val="es-ES"/>
        </w:rPr>
        <w:t xml:space="preserve">Efectivamente, en mérito de la necesidad de certeza o de seguridad jurídica y en consideración al </w:t>
      </w:r>
      <w:r>
        <w:rPr>
          <w:rFonts w:ascii="Verdana" w:eastAsiaTheme="minorEastAsia" w:hAnsi="Verdana"/>
          <w:sz w:val="20"/>
          <w:szCs w:val="20"/>
          <w:lang w:val="es-ES"/>
        </w:rPr>
        <w:t xml:space="preserve">ya citado </w:t>
      </w:r>
      <w:r w:rsidRPr="00A643AA">
        <w:rPr>
          <w:rFonts w:ascii="Verdana" w:eastAsiaTheme="minorEastAsia" w:hAnsi="Verdana"/>
          <w:sz w:val="20"/>
          <w:szCs w:val="20"/>
          <w:lang w:val="es-ES"/>
        </w:rPr>
        <w:t xml:space="preserve">principio de </w:t>
      </w:r>
      <w:r>
        <w:rPr>
          <w:rFonts w:ascii="Verdana" w:eastAsiaTheme="minorEastAsia" w:hAnsi="Verdana"/>
          <w:sz w:val="20"/>
          <w:szCs w:val="20"/>
          <w:lang w:val="es-ES"/>
        </w:rPr>
        <w:t>D</w:t>
      </w:r>
      <w:r w:rsidRPr="00A643AA">
        <w:rPr>
          <w:rFonts w:ascii="Verdana" w:eastAsiaTheme="minorEastAsia" w:hAnsi="Verdana"/>
          <w:sz w:val="20"/>
          <w:szCs w:val="20"/>
          <w:lang w:val="es-ES"/>
        </w:rPr>
        <w:t xml:space="preserve">erecho </w:t>
      </w:r>
      <w:r>
        <w:rPr>
          <w:rFonts w:ascii="Verdana" w:eastAsiaTheme="minorEastAsia" w:hAnsi="Verdana"/>
          <w:sz w:val="20"/>
          <w:szCs w:val="20"/>
          <w:lang w:val="es-ES"/>
        </w:rPr>
        <w:t>P</w:t>
      </w:r>
      <w:r w:rsidRPr="00A643AA">
        <w:rPr>
          <w:rFonts w:ascii="Verdana" w:eastAsiaTheme="minorEastAsia" w:hAnsi="Verdana"/>
          <w:sz w:val="20"/>
          <w:szCs w:val="20"/>
          <w:lang w:val="es-ES"/>
        </w:rPr>
        <w:t>úblico de que únicamente se puede hacer lo que la norma dispone, la Corte solo puede decretar, respecto de su sentencia, alguna de las resoluciones que inequívocamente se desprenden de las facultades que taxativamente le han sido conferidas</w:t>
      </w:r>
      <w:r>
        <w:rPr>
          <w:rFonts w:ascii="Verdana" w:eastAsiaTheme="minorEastAsia" w:hAnsi="Verdana"/>
          <w:sz w:val="20"/>
          <w:szCs w:val="20"/>
          <w:lang w:val="es-ES"/>
        </w:rPr>
        <w:t>, sea por la Convención</w:t>
      </w:r>
      <w:r w:rsidR="00836763">
        <w:rPr>
          <w:rFonts w:ascii="Verdana" w:eastAsiaTheme="minorEastAsia" w:hAnsi="Verdana"/>
          <w:sz w:val="20"/>
          <w:szCs w:val="20"/>
          <w:lang w:val="es-ES"/>
        </w:rPr>
        <w:t>,</w:t>
      </w:r>
      <w:r>
        <w:rPr>
          <w:rFonts w:ascii="Verdana" w:eastAsiaTheme="minorEastAsia" w:hAnsi="Verdana"/>
          <w:sz w:val="20"/>
          <w:szCs w:val="20"/>
          <w:lang w:val="es-ES"/>
        </w:rPr>
        <w:t xml:space="preserve"> sea por su Reglamento.</w:t>
      </w:r>
    </w:p>
    <w:p w14:paraId="6EA8FDE1" w14:textId="77777777" w:rsidR="00907144" w:rsidRPr="00A643AA" w:rsidRDefault="00907144" w:rsidP="00907144">
      <w:pPr>
        <w:spacing w:after="0" w:line="276" w:lineRule="auto"/>
        <w:contextualSpacing/>
        <w:jc w:val="both"/>
        <w:rPr>
          <w:rFonts w:ascii="Verdana" w:eastAsiaTheme="minorEastAsia" w:hAnsi="Verdana"/>
          <w:i/>
          <w:iCs/>
          <w:sz w:val="20"/>
          <w:szCs w:val="20"/>
          <w:lang w:val="es-ES"/>
        </w:rPr>
      </w:pPr>
    </w:p>
    <w:p w14:paraId="64209EB1" w14:textId="77777777" w:rsidR="00907144" w:rsidRPr="00635D45" w:rsidRDefault="00907144" w:rsidP="00AE791B">
      <w:pPr>
        <w:numPr>
          <w:ilvl w:val="0"/>
          <w:numId w:val="1"/>
        </w:numPr>
        <w:spacing w:after="0" w:line="276" w:lineRule="auto"/>
        <w:ind w:left="-207"/>
        <w:contextualSpacing/>
        <w:jc w:val="both"/>
        <w:rPr>
          <w:rFonts w:ascii="Verdana" w:eastAsiaTheme="minorEastAsia" w:hAnsi="Verdana"/>
          <w:i/>
          <w:iCs/>
          <w:sz w:val="20"/>
          <w:szCs w:val="20"/>
          <w:lang w:val="es-ES"/>
        </w:rPr>
      </w:pPr>
      <w:r w:rsidRPr="00A643AA">
        <w:rPr>
          <w:rFonts w:ascii="Verdana" w:eastAsiaTheme="minorEastAsia" w:hAnsi="Verdana"/>
          <w:sz w:val="20"/>
          <w:szCs w:val="20"/>
          <w:lang w:val="es-ES"/>
        </w:rPr>
        <w:t>Y así, dictada la sentencia de fondo en un caso, la Corte solo puede</w:t>
      </w:r>
      <w:r>
        <w:rPr>
          <w:rFonts w:ascii="Verdana" w:eastAsiaTheme="minorEastAsia" w:hAnsi="Verdana"/>
          <w:sz w:val="20"/>
          <w:szCs w:val="20"/>
          <w:lang w:val="es-ES"/>
        </w:rPr>
        <w:t>, de conformidad a lo indicado en la Convención:</w:t>
      </w:r>
    </w:p>
    <w:p w14:paraId="5274D32D" w14:textId="77777777" w:rsidR="00907144" w:rsidRPr="00D91FFC" w:rsidRDefault="00907144" w:rsidP="00D91FFC">
      <w:pPr>
        <w:spacing w:after="0"/>
        <w:ind w:left="0"/>
        <w:rPr>
          <w:rFonts w:ascii="Verdana" w:eastAsiaTheme="minorEastAsia" w:hAnsi="Verdana"/>
          <w:sz w:val="20"/>
          <w:szCs w:val="20"/>
          <w:lang w:val="es-ES"/>
        </w:rPr>
      </w:pPr>
    </w:p>
    <w:p w14:paraId="66D64E3F" w14:textId="15B783A4" w:rsidR="00907144" w:rsidRPr="00A32088" w:rsidRDefault="00907144" w:rsidP="00AE791B">
      <w:pPr>
        <w:pStyle w:val="Prrafodelista"/>
        <w:numPr>
          <w:ilvl w:val="0"/>
          <w:numId w:val="6"/>
        </w:numPr>
        <w:spacing w:after="0" w:line="276" w:lineRule="auto"/>
        <w:jc w:val="both"/>
        <w:rPr>
          <w:rFonts w:ascii="Verdana" w:eastAsiaTheme="minorEastAsia" w:hAnsi="Verdana"/>
          <w:sz w:val="20"/>
          <w:szCs w:val="20"/>
          <w:lang w:val="es-ES"/>
        </w:rPr>
      </w:pPr>
      <w:r w:rsidRPr="00635D45">
        <w:rPr>
          <w:rFonts w:ascii="Verdana" w:eastAsiaTheme="minorEastAsia" w:hAnsi="Verdana"/>
          <w:sz w:val="20"/>
          <w:szCs w:val="20"/>
          <w:lang w:val="es-ES"/>
        </w:rPr>
        <w:t>interpretarla</w:t>
      </w:r>
      <w:r>
        <w:rPr>
          <w:rStyle w:val="Refdenotaalpie"/>
          <w:rFonts w:ascii="Verdana" w:eastAsiaTheme="minorEastAsia" w:hAnsi="Verdana"/>
          <w:sz w:val="20"/>
          <w:szCs w:val="20"/>
          <w:lang w:val="es-ES"/>
        </w:rPr>
        <w:footnoteReference w:id="35"/>
      </w:r>
      <w:r w:rsidR="00836763">
        <w:rPr>
          <w:rFonts w:ascii="Verdana" w:eastAsiaTheme="minorEastAsia" w:hAnsi="Verdana"/>
          <w:sz w:val="20"/>
          <w:szCs w:val="20"/>
          <w:lang w:val="es-ES"/>
        </w:rPr>
        <w:t>,</w:t>
      </w:r>
      <w:r w:rsidRPr="00635D45">
        <w:rPr>
          <w:rFonts w:ascii="Verdana" w:eastAsiaTheme="minorEastAsia" w:hAnsi="Verdana"/>
          <w:sz w:val="20"/>
          <w:szCs w:val="20"/>
          <w:lang w:val="es-ES"/>
        </w:rPr>
        <w:t xml:space="preserve"> </w:t>
      </w:r>
      <w:r w:rsidR="00836763">
        <w:rPr>
          <w:rFonts w:ascii="Verdana" w:eastAsiaTheme="minorEastAsia" w:hAnsi="Verdana"/>
          <w:sz w:val="20"/>
          <w:szCs w:val="20"/>
          <w:lang w:val="es-ES"/>
        </w:rPr>
        <w:t>e</w:t>
      </w:r>
      <w:r w:rsidRPr="00635D45">
        <w:rPr>
          <w:rFonts w:ascii="Verdana" w:eastAsiaTheme="minorEastAsia" w:hAnsi="Verdana"/>
          <w:sz w:val="20"/>
          <w:szCs w:val="20"/>
          <w:lang w:val="es-ES"/>
        </w:rPr>
        <w:t xml:space="preserve"> </w:t>
      </w:r>
    </w:p>
    <w:p w14:paraId="4684AC1D" w14:textId="77777777" w:rsidR="00907144" w:rsidRPr="00635D45" w:rsidRDefault="00907144" w:rsidP="00AE791B">
      <w:pPr>
        <w:pStyle w:val="Prrafodelista"/>
        <w:numPr>
          <w:ilvl w:val="0"/>
          <w:numId w:val="6"/>
        </w:numPr>
        <w:spacing w:after="0" w:line="276" w:lineRule="auto"/>
        <w:jc w:val="both"/>
        <w:rPr>
          <w:rFonts w:ascii="Verdana" w:eastAsiaTheme="minorEastAsia" w:hAnsi="Verdana"/>
          <w:sz w:val="20"/>
          <w:szCs w:val="20"/>
          <w:lang w:val="es-ES"/>
        </w:rPr>
      </w:pPr>
      <w:r w:rsidRPr="00A643AA">
        <w:rPr>
          <w:rFonts w:ascii="Verdana" w:eastAsiaTheme="minorEastAsia" w:hAnsi="Verdana" w:cs="Arial"/>
          <w:sz w:val="20"/>
          <w:szCs w:val="20"/>
          <w:lang w:val="es-CR"/>
        </w:rPr>
        <w:t>incluir en el Informe Anual que debe remitir a la Asamblea General de los Estados Americanos, el caso correspondiente si la sentencia dictada a su respecto no ha sido cumplida</w:t>
      </w:r>
      <w:r w:rsidRPr="00A643AA">
        <w:rPr>
          <w:rFonts w:ascii="Verdana" w:eastAsiaTheme="minorEastAsia" w:hAnsi="Verdana" w:cs="Arial"/>
          <w:sz w:val="20"/>
          <w:szCs w:val="20"/>
          <w:vertAlign w:val="superscript"/>
          <w:lang w:val="es-CR"/>
        </w:rPr>
        <w:footnoteReference w:id="36"/>
      </w:r>
      <w:r w:rsidRPr="00A643AA">
        <w:rPr>
          <w:rFonts w:ascii="Verdana" w:eastAsiaTheme="minorEastAsia" w:hAnsi="Verdana" w:cs="Arial"/>
          <w:sz w:val="20"/>
          <w:szCs w:val="20"/>
          <w:lang w:val="es-CR"/>
        </w:rPr>
        <w:t>.</w:t>
      </w:r>
    </w:p>
    <w:p w14:paraId="6ACBBD95" w14:textId="77777777" w:rsidR="00907144" w:rsidRDefault="00907144" w:rsidP="0080358F">
      <w:pPr>
        <w:spacing w:after="0" w:line="276" w:lineRule="auto"/>
        <w:jc w:val="both"/>
        <w:rPr>
          <w:rFonts w:ascii="Verdana" w:eastAsiaTheme="minorEastAsia" w:hAnsi="Verdana"/>
          <w:sz w:val="20"/>
          <w:szCs w:val="20"/>
          <w:lang w:val="es-ES"/>
        </w:rPr>
      </w:pPr>
    </w:p>
    <w:p w14:paraId="2534F04C" w14:textId="77777777" w:rsidR="00907144" w:rsidRPr="00635D45" w:rsidRDefault="00907144" w:rsidP="00AE791B">
      <w:pPr>
        <w:pStyle w:val="Prrafodelista"/>
        <w:numPr>
          <w:ilvl w:val="0"/>
          <w:numId w:val="1"/>
        </w:numPr>
        <w:spacing w:after="0" w:line="276" w:lineRule="auto"/>
        <w:ind w:left="-207"/>
        <w:jc w:val="both"/>
        <w:rPr>
          <w:rFonts w:ascii="Verdana" w:eastAsiaTheme="minorEastAsia" w:hAnsi="Verdana"/>
          <w:i/>
          <w:iCs/>
          <w:sz w:val="20"/>
          <w:szCs w:val="20"/>
          <w:lang w:val="es-ES"/>
        </w:rPr>
      </w:pPr>
      <w:r w:rsidRPr="00635D45">
        <w:rPr>
          <w:rFonts w:ascii="Verdana" w:eastAsiaTheme="minorEastAsia" w:hAnsi="Verdana"/>
          <w:sz w:val="20"/>
          <w:szCs w:val="20"/>
          <w:lang w:val="es-ES"/>
        </w:rPr>
        <w:t>Además, de acuerdo a las normas reglamentarias, la Corte puede:</w:t>
      </w:r>
    </w:p>
    <w:p w14:paraId="7AF34E20" w14:textId="77777777" w:rsidR="00907144" w:rsidRPr="00A643AA" w:rsidRDefault="00907144" w:rsidP="00D91FFC">
      <w:pPr>
        <w:spacing w:after="0" w:line="276" w:lineRule="auto"/>
        <w:ind w:left="0"/>
        <w:jc w:val="both"/>
        <w:rPr>
          <w:rFonts w:ascii="Verdana" w:eastAsiaTheme="minorEastAsia" w:hAnsi="Verdana"/>
          <w:i/>
          <w:iCs/>
          <w:sz w:val="20"/>
          <w:szCs w:val="20"/>
          <w:lang w:val="es-ES"/>
        </w:rPr>
      </w:pPr>
    </w:p>
    <w:p w14:paraId="63091C81" w14:textId="77777777" w:rsidR="00907144" w:rsidRPr="00A32088" w:rsidRDefault="00907144" w:rsidP="00AE791B">
      <w:pPr>
        <w:numPr>
          <w:ilvl w:val="0"/>
          <w:numId w:val="2"/>
        </w:numPr>
        <w:spacing w:after="0" w:line="276" w:lineRule="auto"/>
        <w:ind w:left="-207"/>
        <w:contextualSpacing/>
        <w:jc w:val="both"/>
        <w:rPr>
          <w:rFonts w:ascii="Verdana" w:eastAsiaTheme="minorEastAsia" w:hAnsi="Verdana"/>
          <w:i/>
          <w:iCs/>
          <w:sz w:val="20"/>
          <w:szCs w:val="20"/>
          <w:lang w:val="es-ES"/>
        </w:rPr>
      </w:pPr>
      <w:r w:rsidRPr="00A643AA">
        <w:rPr>
          <w:rFonts w:ascii="Verdana" w:eastAsiaTheme="minorEastAsia" w:hAnsi="Verdana"/>
          <w:sz w:val="20"/>
          <w:szCs w:val="20"/>
          <w:lang w:val="es-ES"/>
        </w:rPr>
        <w:t>emitir, si no lo ha hecho, la sentencia de reparaciones y costas</w:t>
      </w:r>
      <w:r w:rsidRPr="00A643AA">
        <w:rPr>
          <w:rFonts w:ascii="Verdana" w:eastAsiaTheme="minorEastAsia" w:hAnsi="Verdana"/>
          <w:sz w:val="20"/>
          <w:szCs w:val="20"/>
          <w:vertAlign w:val="superscript"/>
          <w:lang w:val="es-ES"/>
        </w:rPr>
        <w:footnoteReference w:id="37"/>
      </w:r>
      <w:r w:rsidRPr="00A643AA">
        <w:rPr>
          <w:rFonts w:ascii="Verdana" w:eastAsiaTheme="minorEastAsia" w:hAnsi="Verdana"/>
          <w:sz w:val="20"/>
          <w:szCs w:val="20"/>
          <w:lang w:val="es-ES"/>
        </w:rPr>
        <w:t>;</w:t>
      </w:r>
      <w:r w:rsidRPr="00A643AA">
        <w:rPr>
          <w:rFonts w:ascii="Verdana" w:eastAsiaTheme="minorEastAsia" w:hAnsi="Verdana" w:cs="Arial"/>
          <w:sz w:val="20"/>
          <w:szCs w:val="20"/>
          <w:lang w:val="es-CR"/>
        </w:rPr>
        <w:t xml:space="preserve"> </w:t>
      </w:r>
    </w:p>
    <w:p w14:paraId="6F977CDE" w14:textId="1CE92432" w:rsidR="00907144" w:rsidRPr="00A32088" w:rsidRDefault="00907144" w:rsidP="00AE791B">
      <w:pPr>
        <w:numPr>
          <w:ilvl w:val="0"/>
          <w:numId w:val="2"/>
        </w:numPr>
        <w:spacing w:after="0" w:line="276" w:lineRule="auto"/>
        <w:ind w:left="-207"/>
        <w:contextualSpacing/>
        <w:jc w:val="both"/>
        <w:rPr>
          <w:rFonts w:ascii="Verdana" w:eastAsiaTheme="minorEastAsia" w:hAnsi="Verdana"/>
          <w:i/>
          <w:iCs/>
          <w:sz w:val="20"/>
          <w:szCs w:val="20"/>
          <w:lang w:val="es-ES"/>
        </w:rPr>
      </w:pPr>
      <w:r w:rsidRPr="00A643AA">
        <w:rPr>
          <w:rFonts w:ascii="Verdana" w:eastAsiaTheme="minorEastAsia" w:hAnsi="Verdana" w:cs="Arial"/>
          <w:sz w:val="20"/>
          <w:szCs w:val="20"/>
          <w:lang w:val="es-CR"/>
        </w:rPr>
        <w:t xml:space="preserve">enmendarla por </w:t>
      </w:r>
      <w:r w:rsidRPr="00A643AA">
        <w:rPr>
          <w:rFonts w:ascii="Verdana" w:eastAsiaTheme="minorEastAsia" w:hAnsi="Verdana" w:cs="Arial"/>
          <w:sz w:val="20"/>
          <w:szCs w:val="20"/>
          <w:lang w:val="es-ES"/>
        </w:rPr>
        <w:t xml:space="preserve">errores </w:t>
      </w:r>
      <w:r w:rsidRPr="00A643AA">
        <w:rPr>
          <w:rFonts w:ascii="Verdana" w:eastAsiaTheme="minorEastAsia" w:hAnsi="Verdana" w:cs="Arial"/>
          <w:sz w:val="20"/>
          <w:szCs w:val="20"/>
          <w:lang w:val="es-CR"/>
        </w:rPr>
        <w:t>notorios de edición o de cálculo</w:t>
      </w:r>
      <w:r w:rsidRPr="00A643AA">
        <w:rPr>
          <w:rFonts w:ascii="Verdana" w:eastAsiaTheme="minorEastAsia" w:hAnsi="Verdana" w:cs="Arial"/>
          <w:sz w:val="20"/>
          <w:szCs w:val="20"/>
          <w:vertAlign w:val="superscript"/>
          <w:lang w:val="es-CR"/>
        </w:rPr>
        <w:footnoteReference w:id="38"/>
      </w:r>
      <w:r w:rsidRPr="00A643AA">
        <w:rPr>
          <w:rFonts w:ascii="Verdana" w:eastAsiaTheme="minorEastAsia" w:hAnsi="Verdana" w:cs="Arial"/>
          <w:sz w:val="20"/>
          <w:szCs w:val="20"/>
          <w:lang w:val="es-CR"/>
        </w:rPr>
        <w:t xml:space="preserve">; </w:t>
      </w:r>
      <w:r>
        <w:rPr>
          <w:rFonts w:ascii="Verdana" w:eastAsiaTheme="minorEastAsia" w:hAnsi="Verdana" w:cs="Arial"/>
          <w:sz w:val="20"/>
          <w:szCs w:val="20"/>
          <w:lang w:val="es-CR"/>
        </w:rPr>
        <w:t>y</w:t>
      </w:r>
    </w:p>
    <w:p w14:paraId="219E4218" w14:textId="77777777" w:rsidR="00907144" w:rsidRPr="00635D45" w:rsidRDefault="00907144" w:rsidP="00AE791B">
      <w:pPr>
        <w:numPr>
          <w:ilvl w:val="0"/>
          <w:numId w:val="2"/>
        </w:numPr>
        <w:spacing w:after="0" w:line="276" w:lineRule="auto"/>
        <w:ind w:left="-207"/>
        <w:contextualSpacing/>
        <w:jc w:val="both"/>
        <w:rPr>
          <w:rFonts w:ascii="Verdana" w:eastAsiaTheme="minorEastAsia" w:hAnsi="Verdana"/>
          <w:i/>
          <w:iCs/>
          <w:sz w:val="20"/>
          <w:szCs w:val="20"/>
          <w:lang w:val="es-ES"/>
        </w:rPr>
      </w:pPr>
      <w:r w:rsidRPr="00A643AA">
        <w:rPr>
          <w:rFonts w:ascii="Verdana" w:eastAsiaTheme="minorEastAsia" w:hAnsi="Verdana"/>
          <w:sz w:val="20"/>
          <w:szCs w:val="20"/>
          <w:lang w:val="es-ES"/>
        </w:rPr>
        <w:t>supervisar su cumplimiento</w:t>
      </w:r>
      <w:r w:rsidRPr="00A643AA">
        <w:rPr>
          <w:rFonts w:ascii="Verdana" w:eastAsiaTheme="minorEastAsia" w:hAnsi="Verdana"/>
          <w:sz w:val="20"/>
          <w:szCs w:val="20"/>
          <w:vertAlign w:val="superscript"/>
          <w:lang w:val="es-ES"/>
        </w:rPr>
        <w:footnoteReference w:id="39"/>
      </w:r>
      <w:r>
        <w:rPr>
          <w:rFonts w:ascii="Verdana" w:eastAsiaTheme="minorEastAsia" w:hAnsi="Verdana"/>
          <w:sz w:val="20"/>
          <w:szCs w:val="20"/>
          <w:lang w:val="es-ES"/>
        </w:rPr>
        <w:t>.</w:t>
      </w:r>
    </w:p>
    <w:p w14:paraId="4F5A467E" w14:textId="77777777" w:rsidR="00907144" w:rsidRPr="00A643AA" w:rsidRDefault="00907144" w:rsidP="00AE791B">
      <w:pPr>
        <w:spacing w:after="0" w:line="276" w:lineRule="auto"/>
        <w:jc w:val="both"/>
        <w:rPr>
          <w:rFonts w:ascii="Verdana" w:eastAsiaTheme="minorEastAsia" w:hAnsi="Verdana"/>
          <w:sz w:val="20"/>
          <w:szCs w:val="20"/>
          <w:lang w:val="es-ES"/>
        </w:rPr>
      </w:pPr>
    </w:p>
    <w:p w14:paraId="0D8EC9C9" w14:textId="77777777" w:rsidR="00B45C45" w:rsidRDefault="00907144" w:rsidP="00AE791B">
      <w:pPr>
        <w:numPr>
          <w:ilvl w:val="0"/>
          <w:numId w:val="1"/>
        </w:numPr>
        <w:spacing w:after="0" w:line="276" w:lineRule="auto"/>
        <w:ind w:left="-207"/>
        <w:contextualSpacing/>
        <w:jc w:val="both"/>
        <w:rPr>
          <w:rFonts w:ascii="Verdana" w:eastAsiaTheme="minorEastAsia" w:hAnsi="Verdana" w:cs="Arial"/>
          <w:sz w:val="20"/>
          <w:szCs w:val="20"/>
          <w:lang w:val="es-ES"/>
        </w:rPr>
      </w:pPr>
      <w:r w:rsidRPr="00A643AA">
        <w:rPr>
          <w:rFonts w:ascii="Verdana" w:eastAsiaTheme="minorEastAsia" w:hAnsi="Verdana" w:cs="Arial"/>
          <w:sz w:val="20"/>
          <w:szCs w:val="20"/>
          <w:lang w:val="es-ES"/>
        </w:rPr>
        <w:t xml:space="preserve">Se reitera, entonces, que, como </w:t>
      </w:r>
      <w:r>
        <w:rPr>
          <w:rFonts w:ascii="Verdana" w:eastAsiaTheme="minorEastAsia" w:hAnsi="Verdana" w:cs="Arial"/>
          <w:sz w:val="20"/>
          <w:szCs w:val="20"/>
          <w:lang w:val="es-ES"/>
        </w:rPr>
        <w:t xml:space="preserve">se </w:t>
      </w:r>
      <w:r w:rsidRPr="00A643AA">
        <w:rPr>
          <w:rFonts w:ascii="Verdana" w:eastAsiaTheme="minorEastAsia" w:hAnsi="Verdana" w:cs="Arial"/>
          <w:sz w:val="20"/>
          <w:szCs w:val="20"/>
          <w:lang w:val="es-ES"/>
        </w:rPr>
        <w:t>desprende de lo expuesto, las providencias que la Corte puede llevar a cabo o disponer con posterioridad al pronunciamiento de su respectiva sentencia definitiva e inapelable, son expresamente previstas en la normativa aplicable, la que, como es fácil de constatar, no comprende la posibilidad de decretar medidas provisionales en tal eventualidad. En otras palabras, visto que la posibilidad de dictar éstas últimas con relación a un caso en donde ya se ha dictado sentencia definitiva e inapelable no se encuentra contemplada en norma alguna, se debe concluir en que la Corte carece de facultad para proceder en tal sentido.</w:t>
      </w:r>
    </w:p>
    <w:p w14:paraId="594A0C9A" w14:textId="77777777" w:rsidR="00B45C45" w:rsidRDefault="00B45C45" w:rsidP="00B45C45">
      <w:pPr>
        <w:spacing w:after="0" w:line="276" w:lineRule="auto"/>
        <w:ind w:left="-207"/>
        <w:contextualSpacing/>
        <w:jc w:val="both"/>
        <w:rPr>
          <w:rFonts w:ascii="Verdana" w:eastAsiaTheme="minorEastAsia" w:hAnsi="Verdana" w:cs="Arial"/>
          <w:sz w:val="20"/>
          <w:szCs w:val="20"/>
          <w:lang w:val="es-ES"/>
        </w:rPr>
      </w:pPr>
    </w:p>
    <w:p w14:paraId="45BD9508" w14:textId="3C441434" w:rsidR="00C20C3C" w:rsidRPr="00C20C3C" w:rsidRDefault="00907144" w:rsidP="00C20C3C">
      <w:pPr>
        <w:numPr>
          <w:ilvl w:val="0"/>
          <w:numId w:val="1"/>
        </w:numPr>
        <w:spacing w:after="0" w:line="276" w:lineRule="auto"/>
        <w:ind w:left="-207"/>
        <w:contextualSpacing/>
        <w:jc w:val="both"/>
        <w:rPr>
          <w:rFonts w:ascii="Verdana" w:eastAsiaTheme="minorEastAsia" w:hAnsi="Verdana" w:cs="Arial"/>
          <w:sz w:val="20"/>
          <w:szCs w:val="20"/>
          <w:lang w:val="es-ES"/>
        </w:rPr>
      </w:pPr>
      <w:r w:rsidRPr="00B45C45">
        <w:rPr>
          <w:rFonts w:ascii="Verdana" w:eastAsiaTheme="minorEastAsia" w:hAnsi="Verdana"/>
          <w:sz w:val="20"/>
          <w:szCs w:val="20"/>
          <w:lang w:val="es-ES"/>
        </w:rPr>
        <w:t xml:space="preserve">En tal perspectiva, la circunstancia de que en las sentencias de la Corte se incluya un punto resolutivo señalando que </w:t>
      </w:r>
      <w:r w:rsidRPr="00B45C45">
        <w:rPr>
          <w:rFonts w:ascii="Verdana" w:eastAsiaTheme="minorEastAsia" w:hAnsi="Verdana"/>
          <w:i/>
          <w:iCs/>
          <w:sz w:val="20"/>
          <w:szCs w:val="20"/>
          <w:lang w:val="es-ES"/>
        </w:rPr>
        <w:t>“</w:t>
      </w:r>
      <w:r w:rsidRPr="00B45C45">
        <w:rPr>
          <w:rFonts w:ascii="Verdana" w:hAnsi="Verdana"/>
          <w:bCs/>
          <w:i/>
          <w:iCs/>
          <w:sz w:val="20"/>
          <w:szCs w:val="20"/>
          <w:lang w:val="es-CR"/>
        </w:rPr>
        <w:t xml:space="preserve">(l)a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 </w:t>
      </w:r>
      <w:r w:rsidRPr="00B45C45">
        <w:rPr>
          <w:rFonts w:ascii="Verdana" w:hAnsi="Verdana"/>
          <w:bCs/>
          <w:sz w:val="20"/>
          <w:szCs w:val="20"/>
          <w:lang w:val="es-CR"/>
        </w:rPr>
        <w:t xml:space="preserve">no puede ser entendido  como que la Corte sigue conociendo del caso de que se trate, esto es, aplicando e interpretando la Convención a su respecto o, en otros términos, resolviéndolo y dictando otras sentencias al efecto. Lo que dicha frase significa es, en cambio, sencillamente que la Corte </w:t>
      </w:r>
      <w:r w:rsidR="0080358F">
        <w:rPr>
          <w:rFonts w:ascii="Verdana" w:hAnsi="Verdana"/>
          <w:bCs/>
          <w:sz w:val="20"/>
          <w:szCs w:val="20"/>
          <w:lang w:val="es-CR"/>
        </w:rPr>
        <w:t>inspeccionará</w:t>
      </w:r>
      <w:r w:rsidRPr="00A643AA">
        <w:rPr>
          <w:rFonts w:ascii="Verdana" w:hAnsi="Verdana"/>
          <w:bCs/>
          <w:sz w:val="20"/>
          <w:szCs w:val="20"/>
          <w:vertAlign w:val="superscript"/>
          <w:lang w:val="es-CR"/>
        </w:rPr>
        <w:footnoteReference w:id="40"/>
      </w:r>
      <w:r w:rsidRPr="00B45C45">
        <w:rPr>
          <w:rFonts w:ascii="Verdana" w:hAnsi="Verdana"/>
          <w:bCs/>
          <w:sz w:val="20"/>
          <w:szCs w:val="20"/>
          <w:lang w:val="es-CR"/>
        </w:rPr>
        <w:t xml:space="preserve"> el cumplimiento total del respectivo fallo y que, una vez que él se haya ejecutado plenamente, cesará dicha observación. Nada más.</w:t>
      </w:r>
    </w:p>
    <w:p w14:paraId="3876B46A" w14:textId="77777777" w:rsidR="0080358F" w:rsidRDefault="0080358F" w:rsidP="0080358F">
      <w:pPr>
        <w:pStyle w:val="Prrafodelista"/>
        <w:rPr>
          <w:rFonts w:ascii="Verdana" w:eastAsiaTheme="minorEastAsia" w:hAnsi="Verdana" w:cs="Arial"/>
          <w:sz w:val="20"/>
          <w:szCs w:val="20"/>
          <w:lang w:val="es-CR"/>
        </w:rPr>
      </w:pPr>
    </w:p>
    <w:p w14:paraId="3965DB2C" w14:textId="77777777" w:rsidR="0080358F" w:rsidRDefault="00907144" w:rsidP="0080358F">
      <w:pPr>
        <w:numPr>
          <w:ilvl w:val="0"/>
          <w:numId w:val="1"/>
        </w:numPr>
        <w:spacing w:after="0" w:line="276" w:lineRule="auto"/>
        <w:ind w:left="-207"/>
        <w:contextualSpacing/>
        <w:jc w:val="both"/>
        <w:rPr>
          <w:rFonts w:ascii="Verdana" w:eastAsiaTheme="minorEastAsia" w:hAnsi="Verdana" w:cs="Arial"/>
          <w:sz w:val="20"/>
          <w:szCs w:val="20"/>
          <w:lang w:val="es-ES"/>
        </w:rPr>
      </w:pPr>
      <w:r w:rsidRPr="0080358F">
        <w:rPr>
          <w:rFonts w:ascii="Verdana" w:eastAsiaTheme="minorEastAsia" w:hAnsi="Verdana" w:cs="Arial"/>
          <w:sz w:val="20"/>
          <w:szCs w:val="20"/>
          <w:lang w:val="es-CR"/>
        </w:rPr>
        <w:t xml:space="preserve">A mayor abundamiento y en términos generales, se podría sostener que, de aceptarse que la Corte tendría la facultad de disponer medidas provisionales una vez ya dictada la sentencia definitiva e inapelable, ellas no serían tales, es decir, no estarían limitadas en el tiempo, no serían transitorias, pasajeras, temporales o circunstanciales, que es lo que, en su esencia, las caracteriza. Efectivamente, en tal hipótesis, no habría parámetro que permita determinar la </w:t>
      </w:r>
      <w:r w:rsidR="0080358F">
        <w:rPr>
          <w:rFonts w:ascii="Verdana" w:eastAsiaTheme="minorEastAsia" w:hAnsi="Verdana" w:cs="Arial"/>
          <w:sz w:val="20"/>
          <w:szCs w:val="20"/>
          <w:lang w:val="es-CR"/>
        </w:rPr>
        <w:t>temporalidad</w:t>
      </w:r>
      <w:r w:rsidRPr="0080358F">
        <w:rPr>
          <w:rFonts w:ascii="Verdana" w:eastAsiaTheme="minorEastAsia" w:hAnsi="Verdana" w:cs="Arial"/>
          <w:sz w:val="20"/>
          <w:szCs w:val="20"/>
          <w:lang w:val="es-CR"/>
        </w:rPr>
        <w:t xml:space="preserve"> de aquellas, lo que podría conllevar el riesgo de que se transformen, en realidad, en permanentes.</w:t>
      </w:r>
    </w:p>
    <w:p w14:paraId="1395FD28" w14:textId="77777777" w:rsidR="0080358F" w:rsidRDefault="0080358F" w:rsidP="0080358F">
      <w:pPr>
        <w:pStyle w:val="Prrafodelista"/>
        <w:rPr>
          <w:rFonts w:ascii="Verdana" w:eastAsiaTheme="minorEastAsia" w:hAnsi="Verdana" w:cs="Arial"/>
          <w:sz w:val="20"/>
          <w:szCs w:val="20"/>
          <w:lang w:val="es-CR"/>
        </w:rPr>
      </w:pPr>
    </w:p>
    <w:p w14:paraId="2D23D1A4" w14:textId="562FE0D1" w:rsidR="00B8510E" w:rsidRDefault="00907144" w:rsidP="00B8510E">
      <w:pPr>
        <w:numPr>
          <w:ilvl w:val="0"/>
          <w:numId w:val="1"/>
        </w:numPr>
        <w:spacing w:after="0" w:line="276" w:lineRule="auto"/>
        <w:ind w:left="-207"/>
        <w:contextualSpacing/>
        <w:jc w:val="both"/>
        <w:rPr>
          <w:rFonts w:ascii="Verdana" w:eastAsiaTheme="minorEastAsia" w:hAnsi="Verdana" w:cs="Arial"/>
          <w:sz w:val="20"/>
          <w:szCs w:val="20"/>
          <w:lang w:val="es-ES"/>
        </w:rPr>
      </w:pPr>
      <w:r w:rsidRPr="0080358F">
        <w:rPr>
          <w:rFonts w:ascii="Verdana" w:eastAsiaTheme="minorEastAsia" w:hAnsi="Verdana" w:cs="Arial"/>
          <w:sz w:val="20"/>
          <w:szCs w:val="20"/>
          <w:lang w:val="es-CR"/>
        </w:rPr>
        <w:t xml:space="preserve">Por otra parte, habiendo el juicio ya finalizado por sentencia definitiva e inapelable, de aceptarse que, pese a ello, se pudieren decretar medidas provisionales, significaría que, en la práctica, </w:t>
      </w:r>
      <w:r w:rsidR="00043D93">
        <w:rPr>
          <w:rFonts w:ascii="Verdana" w:eastAsiaTheme="minorEastAsia" w:hAnsi="Verdana" w:cs="Arial"/>
          <w:sz w:val="20"/>
          <w:szCs w:val="20"/>
          <w:lang w:val="es-CR"/>
        </w:rPr>
        <w:t xml:space="preserve">aquél </w:t>
      </w:r>
      <w:r w:rsidRPr="0080358F">
        <w:rPr>
          <w:rFonts w:ascii="Verdana" w:eastAsiaTheme="minorEastAsia" w:hAnsi="Verdana" w:cs="Arial"/>
          <w:sz w:val="20"/>
          <w:szCs w:val="20"/>
          <w:lang w:val="es-CR"/>
        </w:rPr>
        <w:t xml:space="preserve">se prolongaría, despojando a aquella de su principal efecto, cual es, precisamente el de finalizar el correspondiente caso, otorgándole </w:t>
      </w:r>
      <w:r w:rsidR="0080358F">
        <w:rPr>
          <w:rFonts w:ascii="Verdana" w:eastAsiaTheme="minorEastAsia" w:hAnsi="Verdana" w:cs="Arial"/>
          <w:sz w:val="20"/>
          <w:szCs w:val="20"/>
          <w:lang w:val="es-CR"/>
        </w:rPr>
        <w:t xml:space="preserve">a la respectiva sentencia </w:t>
      </w:r>
      <w:r w:rsidRPr="0080358F">
        <w:rPr>
          <w:rFonts w:ascii="Verdana" w:eastAsiaTheme="minorEastAsia" w:hAnsi="Verdana" w:cs="Arial"/>
          <w:sz w:val="20"/>
          <w:szCs w:val="20"/>
          <w:lang w:val="es-CR"/>
        </w:rPr>
        <w:t>el efecto de cosa juzgada.</w:t>
      </w:r>
      <w:r w:rsidRPr="0080358F">
        <w:rPr>
          <w:rFonts w:ascii="Verdana" w:eastAsiaTheme="minorEastAsia" w:hAnsi="Verdana" w:cs="Tahoma"/>
          <w:sz w:val="20"/>
          <w:szCs w:val="20"/>
          <w:lang w:val="es-CR"/>
        </w:rPr>
        <w:t xml:space="preserve"> Es decir, la adopción de medidas provisionales con posterioridad a la emisión de la sentencia definitiva e inapelable, sería una demostración indiscutible de que esta última sería insuficiente para lograr que </w:t>
      </w:r>
      <w:r w:rsidRPr="0080358F">
        <w:rPr>
          <w:rFonts w:ascii="Verdana" w:eastAsiaTheme="minorEastAsia" w:hAnsi="Verdana" w:cs="Arial"/>
          <w:sz w:val="20"/>
          <w:szCs w:val="20"/>
          <w:lang w:val="es-CR"/>
        </w:rPr>
        <w:t>“</w:t>
      </w:r>
      <w:r w:rsidRPr="0080358F">
        <w:rPr>
          <w:rFonts w:ascii="Verdana" w:eastAsiaTheme="minorEastAsia" w:hAnsi="Verdana" w:cs="Tahoma"/>
          <w:i/>
          <w:sz w:val="20"/>
          <w:szCs w:val="20"/>
          <w:lang w:val="es-CR"/>
        </w:rPr>
        <w:t>se garantice al lesionado en el goce de su derecho o libertad conculcado</w:t>
      </w:r>
      <w:r w:rsidRPr="0080358F">
        <w:rPr>
          <w:rFonts w:ascii="Verdana" w:eastAsiaTheme="minorEastAsia" w:hAnsi="Verdana" w:cs="Tahoma"/>
          <w:sz w:val="20"/>
          <w:szCs w:val="20"/>
          <w:lang w:val="es-CR"/>
        </w:rPr>
        <w:t>(s)”</w:t>
      </w:r>
      <w:r w:rsidRPr="00A643AA">
        <w:rPr>
          <w:rFonts w:ascii="Verdana" w:eastAsiaTheme="minorEastAsia" w:hAnsi="Verdana" w:cs="Tahoma"/>
          <w:sz w:val="20"/>
          <w:szCs w:val="20"/>
          <w:vertAlign w:val="superscript"/>
          <w:lang w:val="es-CR"/>
        </w:rPr>
        <w:footnoteReference w:id="41"/>
      </w:r>
      <w:r w:rsidRPr="0080358F">
        <w:rPr>
          <w:rFonts w:ascii="Verdana" w:eastAsiaTheme="minorEastAsia" w:hAnsi="Verdana" w:cs="Tahoma"/>
          <w:sz w:val="20"/>
          <w:szCs w:val="20"/>
          <w:lang w:val="es-CR"/>
        </w:rPr>
        <w:t>, finalidad de toda sentencia condenatoria pronunciada por la Corte en contra del Estado concernido en el juicio seguido en su contra, lo que iría contra toda lógica.</w:t>
      </w:r>
    </w:p>
    <w:p w14:paraId="522E53BF" w14:textId="77777777" w:rsidR="00B8510E" w:rsidRDefault="00B8510E" w:rsidP="00B8510E">
      <w:pPr>
        <w:pStyle w:val="Prrafodelista"/>
        <w:rPr>
          <w:rFonts w:ascii="Verdana" w:eastAsiaTheme="minorEastAsia" w:hAnsi="Verdana" w:cs="Arial"/>
          <w:sz w:val="20"/>
          <w:szCs w:val="20"/>
          <w:lang w:val="es-ES"/>
        </w:rPr>
      </w:pPr>
    </w:p>
    <w:p w14:paraId="62DEEC9C" w14:textId="77777777" w:rsidR="00B8510E" w:rsidRDefault="00907144" w:rsidP="00B8510E">
      <w:pPr>
        <w:numPr>
          <w:ilvl w:val="0"/>
          <w:numId w:val="1"/>
        </w:numPr>
        <w:spacing w:after="0" w:line="276" w:lineRule="auto"/>
        <w:ind w:left="-207"/>
        <w:contextualSpacing/>
        <w:jc w:val="both"/>
        <w:rPr>
          <w:rFonts w:ascii="Verdana" w:eastAsiaTheme="minorEastAsia" w:hAnsi="Verdana" w:cs="Arial"/>
          <w:sz w:val="20"/>
          <w:szCs w:val="20"/>
          <w:lang w:val="es-ES"/>
        </w:rPr>
      </w:pPr>
      <w:r w:rsidRPr="00B8510E">
        <w:rPr>
          <w:rFonts w:ascii="Verdana" w:eastAsiaTheme="minorEastAsia" w:hAnsi="Verdana" w:cs="Arial"/>
          <w:sz w:val="20"/>
          <w:szCs w:val="20"/>
          <w:lang w:val="es-ES"/>
        </w:rPr>
        <w:t>Obviamente, una situación diferente es la que se origina cuando, en la respectiva sentencia, se dispone que el Estado concernido debe adoptar medidas de protección respecto de las personas que señale. En tal eventualidad, el cumplimiento de esas medidas se debe verificar mediante el procedimiento de supervisión de cumplimiento de sentencia y, por ende, no a través del relativo a las medidas provisionales.</w:t>
      </w:r>
    </w:p>
    <w:p w14:paraId="1D28002E" w14:textId="77777777" w:rsidR="00B8510E" w:rsidRDefault="00B8510E" w:rsidP="00B8510E">
      <w:pPr>
        <w:pStyle w:val="Prrafodelista"/>
        <w:rPr>
          <w:rFonts w:ascii="Verdana" w:eastAsiaTheme="minorEastAsia" w:hAnsi="Verdana" w:cs="Arial"/>
          <w:sz w:val="20"/>
          <w:szCs w:val="20"/>
          <w:lang w:val="es-ES"/>
        </w:rPr>
      </w:pPr>
    </w:p>
    <w:p w14:paraId="486995A1" w14:textId="2A577CCA" w:rsidR="00B8510E" w:rsidRDefault="00907144" w:rsidP="00B8510E">
      <w:pPr>
        <w:numPr>
          <w:ilvl w:val="0"/>
          <w:numId w:val="1"/>
        </w:numPr>
        <w:spacing w:after="0" w:line="276" w:lineRule="auto"/>
        <w:ind w:left="-207"/>
        <w:contextualSpacing/>
        <w:jc w:val="both"/>
        <w:rPr>
          <w:rFonts w:ascii="Verdana" w:eastAsiaTheme="minorEastAsia" w:hAnsi="Verdana" w:cs="Arial"/>
          <w:sz w:val="20"/>
          <w:szCs w:val="20"/>
          <w:lang w:val="es-ES"/>
        </w:rPr>
      </w:pPr>
      <w:r w:rsidRPr="00B8510E">
        <w:rPr>
          <w:rFonts w:ascii="Verdana" w:eastAsiaTheme="minorEastAsia" w:hAnsi="Verdana" w:cs="Arial"/>
          <w:sz w:val="20"/>
          <w:szCs w:val="20"/>
          <w:lang w:val="es-ES"/>
        </w:rPr>
        <w:t xml:space="preserve">Con relación a lo anterior, es oportuno subrayar que, del total </w:t>
      </w:r>
      <w:r w:rsidR="0054708B">
        <w:rPr>
          <w:rFonts w:ascii="Verdana" w:eastAsiaTheme="minorEastAsia" w:hAnsi="Verdana" w:cs="Arial"/>
          <w:sz w:val="20"/>
          <w:szCs w:val="20"/>
          <w:lang w:val="es-ES"/>
        </w:rPr>
        <w:t xml:space="preserve">de </w:t>
      </w:r>
      <w:r w:rsidRPr="00B8510E">
        <w:rPr>
          <w:rFonts w:ascii="Verdana" w:eastAsiaTheme="minorEastAsia" w:hAnsi="Verdana" w:cs="Arial"/>
          <w:sz w:val="20"/>
          <w:szCs w:val="20"/>
          <w:lang w:val="es-ES"/>
        </w:rPr>
        <w:t>290 de sentencias que</w:t>
      </w:r>
      <w:r w:rsidR="00B8510E">
        <w:rPr>
          <w:rFonts w:ascii="Verdana" w:eastAsiaTheme="minorEastAsia" w:hAnsi="Verdana" w:cs="Arial"/>
          <w:sz w:val="20"/>
          <w:szCs w:val="20"/>
          <w:lang w:val="es-ES"/>
        </w:rPr>
        <w:t>, al año 2019</w:t>
      </w:r>
      <w:r w:rsidRPr="00B8510E">
        <w:rPr>
          <w:rFonts w:ascii="Verdana" w:eastAsiaTheme="minorEastAsia" w:hAnsi="Verdana" w:cs="Arial"/>
          <w:sz w:val="20"/>
          <w:szCs w:val="20"/>
          <w:lang w:val="es-ES"/>
        </w:rPr>
        <w:t xml:space="preserve"> ha dictado la Corte</w:t>
      </w:r>
      <w:r w:rsidR="00B8510E">
        <w:rPr>
          <w:rStyle w:val="Refdenotaalpie"/>
          <w:rFonts w:ascii="Verdana" w:eastAsiaTheme="minorEastAsia" w:hAnsi="Verdana" w:cs="Arial"/>
          <w:sz w:val="20"/>
          <w:szCs w:val="20"/>
          <w:lang w:val="es-ES"/>
        </w:rPr>
        <w:footnoteReference w:id="42"/>
      </w:r>
      <w:r w:rsidRPr="00B8510E">
        <w:rPr>
          <w:rFonts w:ascii="Verdana" w:eastAsiaTheme="minorEastAsia" w:hAnsi="Verdana" w:cs="Arial"/>
          <w:sz w:val="20"/>
          <w:szCs w:val="20"/>
          <w:lang w:val="es-ES"/>
        </w:rPr>
        <w:t>, 223 se encuentran actualmente bajo el mecanismo de supervisión de cumplimiento de sentencia</w:t>
      </w:r>
      <w:r w:rsidR="00B8510E">
        <w:rPr>
          <w:rFonts w:ascii="Verdana" w:eastAsiaTheme="minorEastAsia" w:hAnsi="Verdana" w:cs="Arial"/>
          <w:sz w:val="20"/>
          <w:szCs w:val="20"/>
          <w:lang w:val="es-ES"/>
        </w:rPr>
        <w:t xml:space="preserve">, por lo que, de acuerdo al criterio expuesto en la Sentencia, del que se discrepa, en todos los casos que ellas se refieren podrían dictarse medidas provisionales, lo que podría conducir a que la principal función de la Corte se transforme en seguir preocupada de casos en que ya ha fallado. </w:t>
      </w:r>
    </w:p>
    <w:p w14:paraId="159E303C" w14:textId="77777777" w:rsidR="00B8510E" w:rsidRDefault="00B8510E" w:rsidP="00B8510E">
      <w:pPr>
        <w:pStyle w:val="Prrafodelista"/>
        <w:rPr>
          <w:rFonts w:ascii="Verdana" w:hAnsi="Verdana"/>
          <w:sz w:val="20"/>
          <w:szCs w:val="20"/>
        </w:rPr>
      </w:pPr>
    </w:p>
    <w:p w14:paraId="1BEF7268" w14:textId="4A50758E" w:rsidR="00907144" w:rsidRPr="00B8510E" w:rsidRDefault="00907144" w:rsidP="00B8510E">
      <w:pPr>
        <w:numPr>
          <w:ilvl w:val="0"/>
          <w:numId w:val="1"/>
        </w:numPr>
        <w:spacing w:after="0" w:line="276" w:lineRule="auto"/>
        <w:ind w:left="-207"/>
        <w:contextualSpacing/>
        <w:jc w:val="both"/>
        <w:rPr>
          <w:rFonts w:ascii="Verdana" w:eastAsiaTheme="minorEastAsia" w:hAnsi="Verdana" w:cs="Arial"/>
          <w:sz w:val="20"/>
          <w:szCs w:val="20"/>
          <w:lang w:val="es-ES"/>
        </w:rPr>
      </w:pPr>
      <w:r w:rsidRPr="00B8510E">
        <w:rPr>
          <w:rFonts w:ascii="Verdana" w:hAnsi="Verdana"/>
          <w:sz w:val="20"/>
          <w:szCs w:val="20"/>
        </w:rPr>
        <w:t xml:space="preserve">Sobre este particular, es necesario </w:t>
      </w:r>
      <w:r w:rsidR="00B8510E">
        <w:rPr>
          <w:rFonts w:ascii="Verdana" w:hAnsi="Verdana"/>
          <w:sz w:val="20"/>
          <w:szCs w:val="20"/>
        </w:rPr>
        <w:t xml:space="preserve">igualmente </w:t>
      </w:r>
      <w:r w:rsidRPr="00B8510E">
        <w:rPr>
          <w:rFonts w:ascii="Verdana" w:hAnsi="Verdana"/>
          <w:sz w:val="20"/>
          <w:szCs w:val="20"/>
        </w:rPr>
        <w:t>tener en cuenta que ambas instituciones</w:t>
      </w:r>
      <w:r w:rsidR="00B8510E">
        <w:rPr>
          <w:rFonts w:ascii="Verdana" w:hAnsi="Verdana"/>
          <w:sz w:val="20"/>
          <w:szCs w:val="20"/>
        </w:rPr>
        <w:t>, la de medidas provisionales y la de supervisión</w:t>
      </w:r>
      <w:r w:rsidR="00D66F6E">
        <w:rPr>
          <w:rFonts w:ascii="Verdana" w:hAnsi="Verdana"/>
          <w:sz w:val="20"/>
          <w:szCs w:val="20"/>
        </w:rPr>
        <w:t xml:space="preserve"> de cumplimiento de sentencia,</w:t>
      </w:r>
      <w:r w:rsidRPr="00B8510E">
        <w:rPr>
          <w:rFonts w:ascii="Verdana" w:hAnsi="Verdana"/>
          <w:sz w:val="20"/>
          <w:szCs w:val="20"/>
        </w:rPr>
        <w:t xml:space="preserve"> tienen distintos objetivos, el de </w:t>
      </w:r>
      <w:r w:rsidRPr="00B8510E">
        <w:rPr>
          <w:rFonts w:ascii="Verdana" w:hAnsi="Verdana" w:cs="Tahoma"/>
          <w:color w:val="000000"/>
          <w:sz w:val="20"/>
          <w:szCs w:val="20"/>
        </w:rPr>
        <w:t>evitar daños irreparables a las personas</w:t>
      </w:r>
      <w:r w:rsidR="00D66F6E">
        <w:rPr>
          <w:rFonts w:ascii="Verdana" w:hAnsi="Verdana"/>
          <w:sz w:val="20"/>
          <w:szCs w:val="20"/>
        </w:rPr>
        <w:t xml:space="preserve">, la primera, </w:t>
      </w:r>
      <w:r w:rsidRPr="00B8510E">
        <w:rPr>
          <w:rFonts w:ascii="Verdana" w:hAnsi="Verdana" w:cs="Tahoma"/>
          <w:color w:val="000000"/>
          <w:sz w:val="20"/>
          <w:szCs w:val="20"/>
        </w:rPr>
        <w:t xml:space="preserve">y </w:t>
      </w:r>
      <w:r w:rsidR="00D66F6E">
        <w:rPr>
          <w:rFonts w:ascii="Verdana" w:hAnsi="Verdana" w:cs="Tahoma"/>
          <w:color w:val="000000"/>
          <w:sz w:val="20"/>
          <w:szCs w:val="20"/>
        </w:rPr>
        <w:t>la</w:t>
      </w:r>
      <w:r w:rsidRPr="00B8510E">
        <w:rPr>
          <w:rFonts w:ascii="Verdana" w:hAnsi="Verdana" w:cs="Tahoma"/>
          <w:color w:val="000000"/>
          <w:sz w:val="20"/>
          <w:szCs w:val="20"/>
        </w:rPr>
        <w:t xml:space="preserve"> de verificar el cumplimiento de la sentencia</w:t>
      </w:r>
      <w:r w:rsidR="00D66F6E">
        <w:rPr>
          <w:rFonts w:ascii="Verdana" w:hAnsi="Verdana" w:cs="Tahoma"/>
          <w:color w:val="000000"/>
          <w:sz w:val="20"/>
          <w:szCs w:val="20"/>
        </w:rPr>
        <w:t>, la segunda.</w:t>
      </w:r>
      <w:r w:rsidRPr="00B8510E">
        <w:rPr>
          <w:rFonts w:ascii="Verdana" w:hAnsi="Verdana"/>
          <w:sz w:val="20"/>
          <w:szCs w:val="20"/>
          <w:lang w:val="es-CR"/>
        </w:rPr>
        <w:t xml:space="preserve"> Del mismo modo, se debe considerar que dichas figuras jurídicas tampoco tienen el mismo procedimiento, consistente, tratándose de medidas provisionales, en solicitar, si se estima posible e indispensable, informe</w:t>
      </w:r>
      <w:r w:rsidRPr="00B8510E">
        <w:rPr>
          <w:rFonts w:ascii="Verdana" w:hAnsi="Verdana"/>
          <w:sz w:val="20"/>
          <w:szCs w:val="20"/>
        </w:rPr>
        <w:t>s al Estado demandado, a los beneficiarios y a la Comisión</w:t>
      </w:r>
      <w:r w:rsidRPr="00B8510E">
        <w:rPr>
          <w:rFonts w:ascii="Verdana" w:hAnsi="Verdana"/>
          <w:sz w:val="20"/>
          <w:szCs w:val="20"/>
          <w:lang w:val="es-CR"/>
        </w:rPr>
        <w:t xml:space="preserve"> y, en el evento de la supervisión de cumplimiento de sentencia, en siempre requerir informe</w:t>
      </w:r>
      <w:r w:rsidRPr="00B8510E">
        <w:rPr>
          <w:rFonts w:ascii="Verdana" w:hAnsi="Verdana"/>
          <w:sz w:val="20"/>
          <w:szCs w:val="20"/>
        </w:rPr>
        <w:t>s al Estado condenado, a las víctimas y a la Comisión. Por último, tampoco se debe omitir que las decisiones que pueden adoptar tales instituciones son asimismo diferentes, ordenar las medidas provisionales, en una y determinar el estado de cumplimiento de la sentencia, en la otra.</w:t>
      </w:r>
    </w:p>
    <w:p w14:paraId="4C04BFFF" w14:textId="77777777" w:rsidR="00907144" w:rsidRDefault="00907144" w:rsidP="00907144">
      <w:pPr>
        <w:pStyle w:val="Prrafodelista"/>
        <w:spacing w:after="0"/>
        <w:ind w:left="-567"/>
        <w:rPr>
          <w:rFonts w:ascii="Verdana" w:hAnsi="Verdana"/>
          <w:sz w:val="20"/>
          <w:szCs w:val="20"/>
        </w:rPr>
      </w:pPr>
    </w:p>
    <w:p w14:paraId="6D4666A9" w14:textId="6C8A0A34" w:rsidR="00907144" w:rsidRPr="007A278F" w:rsidRDefault="00907144" w:rsidP="00D66F6E">
      <w:pPr>
        <w:numPr>
          <w:ilvl w:val="0"/>
          <w:numId w:val="1"/>
        </w:numPr>
        <w:spacing w:after="0" w:line="276" w:lineRule="auto"/>
        <w:ind w:left="-207"/>
        <w:contextualSpacing/>
        <w:jc w:val="both"/>
        <w:rPr>
          <w:rFonts w:ascii="Verdana" w:hAnsi="Verdana"/>
          <w:sz w:val="20"/>
          <w:szCs w:val="20"/>
          <w:lang w:val="es-CR"/>
        </w:rPr>
      </w:pPr>
      <w:r>
        <w:rPr>
          <w:rFonts w:ascii="Verdana" w:hAnsi="Verdana"/>
          <w:sz w:val="20"/>
          <w:szCs w:val="20"/>
        </w:rPr>
        <w:t xml:space="preserve"> </w:t>
      </w:r>
      <w:r w:rsidR="009E6C61">
        <w:rPr>
          <w:rFonts w:ascii="Verdana" w:hAnsi="Verdana"/>
          <w:sz w:val="20"/>
          <w:szCs w:val="20"/>
        </w:rPr>
        <w:t xml:space="preserve">Teniendo en </w:t>
      </w:r>
      <w:r>
        <w:rPr>
          <w:rFonts w:ascii="Verdana" w:hAnsi="Verdana"/>
          <w:sz w:val="20"/>
          <w:szCs w:val="20"/>
        </w:rPr>
        <w:t>cuenta, entonces, lo recién reseñado, se puede concluir que, no obstante que tanto el cumplimiento de las medias provisionales como la supervisión de cumplimiento de sentencia</w:t>
      </w:r>
      <w:r w:rsidR="00D66F6E">
        <w:rPr>
          <w:rFonts w:ascii="Verdana" w:hAnsi="Verdana"/>
          <w:sz w:val="20"/>
          <w:szCs w:val="20"/>
        </w:rPr>
        <w:t xml:space="preserve"> </w:t>
      </w:r>
      <w:r>
        <w:rPr>
          <w:rFonts w:ascii="Verdana" w:hAnsi="Verdana"/>
          <w:sz w:val="20"/>
          <w:szCs w:val="20"/>
        </w:rPr>
        <w:t xml:space="preserve">puedan ser abordadas en una misma audiencia y aún en una misma resolución, no cabe confundirlas.  </w:t>
      </w:r>
      <w:r>
        <w:rPr>
          <w:rFonts w:ascii="Verdana" w:hAnsi="Verdana"/>
          <w:sz w:val="20"/>
          <w:szCs w:val="20"/>
          <w:lang w:val="es-CR"/>
        </w:rPr>
        <w:t xml:space="preserve">  </w:t>
      </w:r>
    </w:p>
    <w:p w14:paraId="40DD571B" w14:textId="77777777" w:rsidR="00907144" w:rsidRPr="00A643AA" w:rsidRDefault="00907144" w:rsidP="00907144">
      <w:pPr>
        <w:spacing w:after="0" w:line="276" w:lineRule="auto"/>
        <w:ind w:left="0" w:right="0"/>
        <w:contextualSpacing/>
        <w:jc w:val="both"/>
        <w:rPr>
          <w:rFonts w:ascii="Verdana" w:eastAsiaTheme="minorEastAsia" w:hAnsi="Verdana" w:cs="Tahoma"/>
          <w:sz w:val="20"/>
          <w:szCs w:val="20"/>
          <w:lang w:val="es-CR"/>
        </w:rPr>
      </w:pPr>
    </w:p>
    <w:p w14:paraId="06638E70" w14:textId="77777777" w:rsidR="00907144" w:rsidRPr="00A643AA" w:rsidRDefault="00907144" w:rsidP="00AE791B">
      <w:pPr>
        <w:numPr>
          <w:ilvl w:val="0"/>
          <w:numId w:val="5"/>
        </w:numPr>
        <w:spacing w:after="0" w:line="276" w:lineRule="auto"/>
        <w:ind w:left="-567" w:firstLine="0"/>
        <w:contextualSpacing/>
        <w:jc w:val="both"/>
        <w:rPr>
          <w:rFonts w:ascii="Verdana" w:eastAsiaTheme="minorEastAsia" w:hAnsi="Verdana" w:cs="Arial"/>
          <w:b/>
          <w:bCs/>
          <w:sz w:val="20"/>
          <w:szCs w:val="20"/>
          <w:lang w:val="es-ES"/>
        </w:rPr>
      </w:pPr>
      <w:bookmarkStart w:id="5" w:name="_Hlk40703517"/>
      <w:r w:rsidRPr="00A643AA">
        <w:rPr>
          <w:rFonts w:ascii="Verdana" w:eastAsiaTheme="minorEastAsia" w:hAnsi="Verdana" w:cs="Arial"/>
          <w:b/>
          <w:bCs/>
          <w:sz w:val="20"/>
          <w:szCs w:val="20"/>
          <w:lang w:val="es-ES"/>
        </w:rPr>
        <w:t>FACULTAD DE LA COMISIÓN EN LA MATERIA.</w:t>
      </w:r>
    </w:p>
    <w:p w14:paraId="345C1A2E" w14:textId="77777777" w:rsidR="00907144" w:rsidRPr="00A643AA" w:rsidRDefault="00907144" w:rsidP="00907144">
      <w:pPr>
        <w:spacing w:after="100" w:afterAutospacing="1" w:line="276" w:lineRule="auto"/>
        <w:ind w:left="0" w:right="0"/>
        <w:contextualSpacing/>
        <w:jc w:val="both"/>
        <w:rPr>
          <w:rFonts w:ascii="Verdana" w:eastAsiaTheme="minorEastAsia" w:hAnsi="Verdana" w:cs="Arial"/>
          <w:b/>
          <w:bCs/>
          <w:sz w:val="20"/>
          <w:szCs w:val="20"/>
          <w:lang w:val="es-ES"/>
        </w:rPr>
      </w:pPr>
    </w:p>
    <w:p w14:paraId="4C653917" w14:textId="28561C54" w:rsidR="00907144" w:rsidRPr="00A643AA" w:rsidRDefault="00907144" w:rsidP="00D66F6E">
      <w:pPr>
        <w:numPr>
          <w:ilvl w:val="0"/>
          <w:numId w:val="1"/>
        </w:numPr>
        <w:spacing w:after="0" w:line="276" w:lineRule="auto"/>
        <w:ind w:left="-207"/>
        <w:contextualSpacing/>
        <w:jc w:val="both"/>
        <w:rPr>
          <w:rFonts w:ascii="Verdana" w:eastAsiaTheme="minorEastAsia" w:hAnsi="Verdana" w:cs="Arial"/>
          <w:sz w:val="20"/>
          <w:szCs w:val="20"/>
          <w:lang w:val="es-ES"/>
        </w:rPr>
      </w:pPr>
      <w:r>
        <w:rPr>
          <w:rFonts w:ascii="Verdana" w:eastAsiaTheme="minorEastAsia" w:hAnsi="Verdana" w:cs="Arial"/>
          <w:sz w:val="20"/>
          <w:szCs w:val="20"/>
          <w:lang w:val="es-ES"/>
        </w:rPr>
        <w:t>Habiendo ya manifestado</w:t>
      </w:r>
      <w:r w:rsidRPr="00A643AA">
        <w:rPr>
          <w:rFonts w:ascii="Verdana" w:eastAsiaTheme="minorEastAsia" w:hAnsi="Verdana" w:cs="Arial"/>
          <w:sz w:val="20"/>
          <w:szCs w:val="20"/>
          <w:lang w:val="es-ES"/>
        </w:rPr>
        <w:t xml:space="preserve"> la relevancia de respetar, por parte de la Corte, las normas procesales en materia de derechos humanos y del riesgo si ello no acontece</w:t>
      </w:r>
      <w:r w:rsidRPr="00A643AA">
        <w:rPr>
          <w:rFonts w:ascii="Verdana" w:eastAsiaTheme="minorEastAsia" w:hAnsi="Verdana" w:cs="Arial"/>
          <w:sz w:val="20"/>
          <w:szCs w:val="20"/>
          <w:vertAlign w:val="superscript"/>
          <w:lang w:val="es-ES"/>
        </w:rPr>
        <w:footnoteReference w:id="43"/>
      </w:r>
      <w:r w:rsidRPr="00A643AA">
        <w:rPr>
          <w:rFonts w:ascii="Verdana" w:eastAsiaTheme="minorEastAsia" w:hAnsi="Verdana" w:cs="Arial"/>
          <w:sz w:val="20"/>
          <w:szCs w:val="20"/>
          <w:lang w:val="es-ES"/>
        </w:rPr>
        <w:t xml:space="preserve">, </w:t>
      </w:r>
      <w:r>
        <w:rPr>
          <w:rFonts w:ascii="Verdana" w:eastAsiaTheme="minorEastAsia" w:hAnsi="Verdana" w:cs="Arial"/>
          <w:sz w:val="20"/>
          <w:szCs w:val="20"/>
          <w:lang w:val="es-ES"/>
        </w:rPr>
        <w:t>procede subrayar que el</w:t>
      </w:r>
      <w:r w:rsidRPr="00A643AA">
        <w:rPr>
          <w:rFonts w:ascii="Verdana" w:eastAsiaTheme="minorEastAsia" w:hAnsi="Verdana" w:cs="Arial"/>
          <w:sz w:val="20"/>
          <w:szCs w:val="20"/>
          <w:lang w:val="es-ES"/>
        </w:rPr>
        <w:t xml:space="preserve">lo es especialmente atingente respecto de lo dispuesto en el artículo 63.2 de la Convención. No acatar lo expresa y directamente señalado por dicha norma, dejaría sin sentido su última frase, a saber, </w:t>
      </w:r>
      <w:r w:rsidRPr="00A643AA">
        <w:rPr>
          <w:rFonts w:ascii="Verdana" w:eastAsiaTheme="minorEastAsia" w:hAnsi="Verdana" w:cs="Arial"/>
          <w:i/>
          <w:iCs/>
          <w:sz w:val="20"/>
          <w:szCs w:val="20"/>
          <w:lang w:val="es-ES"/>
        </w:rPr>
        <w:t>“(s)</w:t>
      </w:r>
      <w:r w:rsidRPr="00A643AA">
        <w:rPr>
          <w:rFonts w:ascii="Verdana" w:hAnsi="Verdana"/>
          <w:i/>
          <w:iCs/>
          <w:sz w:val="20"/>
          <w:szCs w:val="20"/>
          <w:lang w:val="es-ES"/>
        </w:rPr>
        <w:t>i</w:t>
      </w:r>
      <w:r w:rsidRPr="00A643AA">
        <w:rPr>
          <w:rFonts w:ascii="Verdana" w:hAnsi="Verdana"/>
          <w:i/>
          <w:sz w:val="20"/>
          <w:szCs w:val="20"/>
          <w:lang w:val="es-ES"/>
        </w:rPr>
        <w:t xml:space="preserve"> se tratare de asuntos que aún no estén sometidos a su conocimiento, </w:t>
      </w:r>
      <w:r w:rsidRPr="00A643AA">
        <w:rPr>
          <w:rFonts w:ascii="Verdana" w:hAnsi="Verdana"/>
          <w:iCs/>
          <w:sz w:val="20"/>
          <w:szCs w:val="20"/>
          <w:lang w:val="es-ES"/>
        </w:rPr>
        <w:t>(la Corte)</w:t>
      </w:r>
      <w:r w:rsidRPr="00A643AA">
        <w:rPr>
          <w:rFonts w:ascii="Verdana" w:hAnsi="Verdana"/>
          <w:i/>
          <w:sz w:val="20"/>
          <w:szCs w:val="20"/>
          <w:lang w:val="es-ES"/>
        </w:rPr>
        <w:t xml:space="preserve"> podrá actuar a solicitud de la Comisión”</w:t>
      </w:r>
      <w:r w:rsidRPr="00A643AA">
        <w:rPr>
          <w:rFonts w:ascii="Verdana" w:eastAsiaTheme="minorEastAsia" w:hAnsi="Verdana" w:cs="Arial"/>
          <w:sz w:val="20"/>
          <w:szCs w:val="20"/>
          <w:lang w:val="es-ES"/>
        </w:rPr>
        <w:t>, puesto que implicaría que en todos los casos en que se haya dictado sentencia, se podría recurrir directamente a aquella, sin intervención de esta última. En tal eventualidad, bastaría con señalar alguna vinculación</w:t>
      </w:r>
      <w:r>
        <w:rPr>
          <w:rFonts w:ascii="Verdana" w:eastAsiaTheme="minorEastAsia" w:hAnsi="Verdana" w:cs="Arial"/>
          <w:sz w:val="20"/>
          <w:szCs w:val="20"/>
          <w:lang w:val="es-ES"/>
        </w:rPr>
        <w:t xml:space="preserve"> más o menos directa</w:t>
      </w:r>
      <w:r w:rsidRPr="00A643AA">
        <w:rPr>
          <w:rFonts w:ascii="Verdana" w:eastAsiaTheme="minorEastAsia" w:hAnsi="Verdana" w:cs="Arial"/>
          <w:sz w:val="20"/>
          <w:szCs w:val="20"/>
          <w:lang w:val="es-ES"/>
        </w:rPr>
        <w:t xml:space="preserve"> con el caso de que se invoque, aunque se haya dictado sentencia a su respecto, para eludir la intervención de la Comisión.</w:t>
      </w:r>
    </w:p>
    <w:p w14:paraId="624C1426" w14:textId="77777777" w:rsidR="00907144" w:rsidRPr="00A643AA" w:rsidRDefault="00907144" w:rsidP="00907144">
      <w:pPr>
        <w:spacing w:after="0" w:line="276" w:lineRule="auto"/>
        <w:contextualSpacing/>
        <w:jc w:val="both"/>
        <w:rPr>
          <w:rFonts w:ascii="Verdana" w:eastAsiaTheme="minorEastAsia" w:hAnsi="Verdana" w:cs="Arial"/>
          <w:sz w:val="20"/>
          <w:szCs w:val="20"/>
          <w:lang w:val="es-ES"/>
        </w:rPr>
      </w:pPr>
      <w:r w:rsidRPr="00A643AA">
        <w:rPr>
          <w:rFonts w:ascii="Verdana" w:eastAsiaTheme="minorEastAsia" w:hAnsi="Verdana" w:cs="Arial"/>
          <w:sz w:val="20"/>
          <w:szCs w:val="20"/>
          <w:lang w:val="es-ES"/>
        </w:rPr>
        <w:t xml:space="preserve"> </w:t>
      </w:r>
    </w:p>
    <w:p w14:paraId="1BADEC1E" w14:textId="77777777" w:rsidR="00907144" w:rsidRDefault="00907144" w:rsidP="00D66F6E">
      <w:pPr>
        <w:numPr>
          <w:ilvl w:val="0"/>
          <w:numId w:val="1"/>
        </w:numPr>
        <w:spacing w:after="0" w:line="276" w:lineRule="auto"/>
        <w:ind w:left="-207"/>
        <w:contextualSpacing/>
        <w:jc w:val="both"/>
        <w:rPr>
          <w:rFonts w:ascii="Verdana" w:eastAsiaTheme="minorEastAsia" w:hAnsi="Verdana" w:cs="Arial"/>
          <w:sz w:val="20"/>
          <w:szCs w:val="20"/>
          <w:lang w:val="es-ES"/>
        </w:rPr>
      </w:pPr>
      <w:r w:rsidRPr="00A643AA">
        <w:rPr>
          <w:rFonts w:ascii="Verdana" w:eastAsiaTheme="minorEastAsia" w:hAnsi="Verdana" w:cs="Arial"/>
          <w:sz w:val="20"/>
          <w:szCs w:val="20"/>
          <w:lang w:val="es-ES"/>
        </w:rPr>
        <w:t>Y resulta que la participación de esta última se inserta como parte del Sistema Interamericano de Derechos Humanos</w:t>
      </w:r>
      <w:r w:rsidRPr="00A643AA">
        <w:rPr>
          <w:rFonts w:ascii="Verdana" w:eastAsiaTheme="minorEastAsia" w:hAnsi="Verdana" w:cs="Arial"/>
          <w:sz w:val="20"/>
          <w:szCs w:val="20"/>
          <w:vertAlign w:val="superscript"/>
          <w:lang w:val="es-ES"/>
        </w:rPr>
        <w:footnoteReference w:id="44"/>
      </w:r>
      <w:r w:rsidRPr="00A643AA">
        <w:rPr>
          <w:rFonts w:ascii="Verdana" w:eastAsiaTheme="minorEastAsia" w:hAnsi="Verdana" w:cs="Arial"/>
          <w:sz w:val="20"/>
          <w:szCs w:val="20"/>
          <w:lang w:val="es-ES"/>
        </w:rPr>
        <w:t>, el que fue concebido para que actuara como un todo.</w:t>
      </w:r>
      <w:r w:rsidRPr="00A643AA">
        <w:rPr>
          <w:rFonts w:ascii="Verdana" w:hAnsi="Verdana"/>
          <w:sz w:val="20"/>
          <w:szCs w:val="20"/>
          <w:lang w:val="es-ES"/>
        </w:rPr>
        <w:t xml:space="preserve"> No de otra manera se explica que la Comisión y la Corte fueran señaladas como los órganos encargados de velar por el cumplimiento de los compromisos asumidos por los Estados Partes de la Convención</w:t>
      </w:r>
      <w:r w:rsidRPr="00A643AA">
        <w:rPr>
          <w:rFonts w:ascii="Verdana" w:hAnsi="Verdana"/>
          <w:sz w:val="20"/>
          <w:szCs w:val="20"/>
          <w:vertAlign w:val="superscript"/>
          <w:lang w:val="es-ES"/>
        </w:rPr>
        <w:footnoteReference w:id="45"/>
      </w:r>
      <w:r w:rsidRPr="00A643AA">
        <w:rPr>
          <w:rFonts w:ascii="Verdana" w:hAnsi="Verdana"/>
          <w:sz w:val="20"/>
          <w:szCs w:val="20"/>
          <w:lang w:val="es-ES"/>
        </w:rPr>
        <w:t>; que la Comisión reciba las peticiones o denuncias por violaciones de la Convención</w:t>
      </w:r>
      <w:r w:rsidRPr="00A643AA">
        <w:rPr>
          <w:rFonts w:ascii="Verdana" w:hAnsi="Verdana"/>
          <w:sz w:val="20"/>
          <w:szCs w:val="20"/>
          <w:vertAlign w:val="superscript"/>
          <w:lang w:val="es-ES"/>
        </w:rPr>
        <w:footnoteReference w:id="46"/>
      </w:r>
      <w:r w:rsidRPr="00A643AA">
        <w:rPr>
          <w:rFonts w:ascii="Verdana" w:hAnsi="Verdana"/>
          <w:sz w:val="20"/>
          <w:szCs w:val="20"/>
          <w:lang w:val="es-ES"/>
        </w:rPr>
        <w:t>, las que pueden devenir en casos si los presenta ante la Corte</w:t>
      </w:r>
      <w:r w:rsidRPr="00A643AA">
        <w:rPr>
          <w:rFonts w:ascii="Verdana" w:hAnsi="Verdana"/>
          <w:sz w:val="20"/>
          <w:szCs w:val="20"/>
          <w:vertAlign w:val="superscript"/>
          <w:lang w:val="es-ES"/>
        </w:rPr>
        <w:footnoteReference w:id="47"/>
      </w:r>
      <w:r>
        <w:rPr>
          <w:rFonts w:ascii="Verdana" w:hAnsi="Verdana"/>
          <w:sz w:val="20"/>
          <w:szCs w:val="20"/>
          <w:lang w:val="es-ES"/>
        </w:rPr>
        <w:t xml:space="preserve">; </w:t>
      </w:r>
      <w:r w:rsidRPr="00A643AA">
        <w:rPr>
          <w:rFonts w:ascii="Verdana" w:hAnsi="Verdana"/>
          <w:sz w:val="20"/>
          <w:szCs w:val="20"/>
          <w:lang w:val="es-ES"/>
        </w:rPr>
        <w:t>que deba, si ello acontece, comparecer ante esta última</w:t>
      </w:r>
      <w:r w:rsidRPr="00A643AA">
        <w:rPr>
          <w:rFonts w:ascii="Verdana" w:hAnsi="Verdana"/>
          <w:sz w:val="20"/>
          <w:szCs w:val="20"/>
          <w:vertAlign w:val="superscript"/>
          <w:lang w:val="es-ES"/>
        </w:rPr>
        <w:footnoteReference w:id="48"/>
      </w:r>
      <w:r w:rsidRPr="00A643AA">
        <w:rPr>
          <w:rFonts w:ascii="Verdana" w:hAnsi="Verdana"/>
          <w:sz w:val="20"/>
          <w:szCs w:val="20"/>
          <w:lang w:val="es-ES"/>
        </w:rPr>
        <w:t>; y que la Asamblea General de la Organización de los Estados Americanos sea el órgano encargado de hacer ejecutar la sentencias de la Corte,</w:t>
      </w:r>
      <w:r w:rsidRPr="00A643AA">
        <w:rPr>
          <w:rFonts w:ascii="Verdana" w:hAnsi="Verdana"/>
          <w:sz w:val="20"/>
          <w:szCs w:val="20"/>
          <w:vertAlign w:val="superscript"/>
          <w:lang w:val="es-ES"/>
        </w:rPr>
        <w:footnoteReference w:id="49"/>
      </w:r>
      <w:r w:rsidRPr="00A643AA">
        <w:rPr>
          <w:rFonts w:ascii="Verdana" w:hAnsi="Verdana"/>
          <w:sz w:val="20"/>
          <w:szCs w:val="20"/>
          <w:lang w:val="es-ES"/>
        </w:rPr>
        <w:t xml:space="preserve"> si no lo han hecho los propios Estados partes de las causas en que ellas han sido dictadas</w:t>
      </w:r>
      <w:r w:rsidRPr="00A643AA">
        <w:rPr>
          <w:rFonts w:ascii="Verdana" w:hAnsi="Verdana"/>
          <w:sz w:val="20"/>
          <w:szCs w:val="20"/>
          <w:vertAlign w:val="superscript"/>
          <w:lang w:val="es-ES"/>
        </w:rPr>
        <w:footnoteReference w:id="50"/>
      </w:r>
      <w:r w:rsidRPr="00A643AA">
        <w:rPr>
          <w:rFonts w:ascii="Verdana" w:hAnsi="Verdana"/>
          <w:sz w:val="20"/>
          <w:szCs w:val="20"/>
          <w:lang w:val="es-ES"/>
        </w:rPr>
        <w:t xml:space="preserve">. </w:t>
      </w:r>
    </w:p>
    <w:p w14:paraId="7A480D77" w14:textId="77777777" w:rsidR="00907144" w:rsidRDefault="00907144" w:rsidP="00907144">
      <w:pPr>
        <w:pStyle w:val="Prrafodelista"/>
        <w:spacing w:after="0"/>
        <w:ind w:left="-567"/>
        <w:rPr>
          <w:rFonts w:ascii="Verdana" w:eastAsiaTheme="minorEastAsia" w:hAnsi="Verdana" w:cs="Arial"/>
          <w:sz w:val="20"/>
          <w:szCs w:val="20"/>
          <w:lang w:val="es-ES"/>
        </w:rPr>
      </w:pPr>
    </w:p>
    <w:p w14:paraId="393994E1" w14:textId="77777777" w:rsidR="00907144" w:rsidRDefault="00907144" w:rsidP="00585298">
      <w:pPr>
        <w:numPr>
          <w:ilvl w:val="0"/>
          <w:numId w:val="1"/>
        </w:numPr>
        <w:spacing w:after="0" w:line="276" w:lineRule="auto"/>
        <w:ind w:left="-207"/>
        <w:contextualSpacing/>
        <w:jc w:val="both"/>
        <w:rPr>
          <w:rFonts w:ascii="Verdana" w:eastAsiaTheme="minorEastAsia" w:hAnsi="Verdana" w:cs="Arial"/>
          <w:sz w:val="20"/>
          <w:szCs w:val="20"/>
          <w:lang w:val="es-ES"/>
        </w:rPr>
      </w:pPr>
      <w:r w:rsidRPr="001A78E7">
        <w:rPr>
          <w:rFonts w:ascii="Verdana" w:eastAsiaTheme="minorEastAsia" w:hAnsi="Verdana" w:cs="Arial"/>
          <w:sz w:val="20"/>
          <w:szCs w:val="20"/>
          <w:lang w:val="es-ES"/>
        </w:rPr>
        <w:t>En esa dirección, se puede sostener que el citado artículo 63.2 de la Convención prevé la intervención de la Comisión por el rol que convencionalmente se le asignó. Efectivamente, en cumplimiento de su función</w:t>
      </w:r>
      <w:r>
        <w:rPr>
          <w:rFonts w:ascii="Verdana" w:eastAsiaTheme="minorEastAsia" w:hAnsi="Verdana" w:cs="Arial"/>
          <w:sz w:val="20"/>
          <w:szCs w:val="20"/>
          <w:lang w:val="es-ES"/>
        </w:rPr>
        <w:t xml:space="preserve"> principal</w:t>
      </w:r>
      <w:r w:rsidRPr="001A78E7">
        <w:rPr>
          <w:rFonts w:ascii="Verdana" w:eastAsiaTheme="minorEastAsia" w:hAnsi="Verdana" w:cs="Arial"/>
          <w:sz w:val="20"/>
          <w:szCs w:val="20"/>
          <w:lang w:val="es-ES"/>
        </w:rPr>
        <w:t xml:space="preserve"> de promover y defender los derechos humanos, la Comisión puede, entre otras acciones, formular recomendaciones, preparar estudios e informes, solicitar informes y atender consultas, es decir, dispone de un amplio margen de acción para investigar un asunto presumiblemente violatorio de los derechos humanos y para procurar su pronta cesación y, por tanto, facultades de las que, por su propia naturaleza, carece la Corte</w:t>
      </w:r>
      <w:r w:rsidRPr="00A643AA">
        <w:rPr>
          <w:rFonts w:ascii="Verdana" w:eastAsiaTheme="minorEastAsia" w:hAnsi="Verdana" w:cs="Arial"/>
          <w:sz w:val="20"/>
          <w:szCs w:val="20"/>
          <w:vertAlign w:val="superscript"/>
          <w:lang w:val="es-ES"/>
        </w:rPr>
        <w:footnoteReference w:id="51"/>
      </w:r>
      <w:r w:rsidRPr="001A78E7">
        <w:rPr>
          <w:rFonts w:ascii="Verdana" w:eastAsiaTheme="minorEastAsia" w:hAnsi="Verdana" w:cs="Arial"/>
          <w:sz w:val="20"/>
          <w:szCs w:val="20"/>
          <w:lang w:val="es-ES"/>
        </w:rPr>
        <w:t>.</w:t>
      </w:r>
    </w:p>
    <w:p w14:paraId="71113EF2" w14:textId="77777777" w:rsidR="00907144" w:rsidRDefault="00907144" w:rsidP="00907144">
      <w:pPr>
        <w:pStyle w:val="Prrafodelista"/>
        <w:spacing w:after="0"/>
        <w:ind w:left="-567"/>
        <w:rPr>
          <w:rFonts w:ascii="Verdana" w:eastAsiaTheme="minorEastAsia" w:hAnsi="Verdana" w:cs="Arial"/>
          <w:sz w:val="20"/>
          <w:szCs w:val="20"/>
          <w:lang w:val="es-ES"/>
        </w:rPr>
      </w:pPr>
    </w:p>
    <w:p w14:paraId="3DA8C77F" w14:textId="77777777" w:rsidR="00907144" w:rsidRDefault="00907144" w:rsidP="00585298">
      <w:pPr>
        <w:numPr>
          <w:ilvl w:val="0"/>
          <w:numId w:val="1"/>
        </w:numPr>
        <w:spacing w:after="0" w:line="276" w:lineRule="auto"/>
        <w:ind w:left="-207"/>
        <w:contextualSpacing/>
        <w:jc w:val="both"/>
        <w:rPr>
          <w:rFonts w:ascii="Verdana" w:eastAsiaTheme="minorEastAsia" w:hAnsi="Verdana" w:cs="Arial"/>
          <w:sz w:val="20"/>
          <w:szCs w:val="20"/>
          <w:lang w:val="es-ES"/>
        </w:rPr>
      </w:pPr>
      <w:r w:rsidRPr="001A78E7">
        <w:rPr>
          <w:rFonts w:ascii="Verdana" w:eastAsiaTheme="minorEastAsia" w:hAnsi="Verdana" w:cs="Arial"/>
          <w:sz w:val="20"/>
          <w:szCs w:val="20"/>
          <w:lang w:val="es-ES"/>
        </w:rPr>
        <w:t xml:space="preserve">Pero, </w:t>
      </w:r>
      <w:r>
        <w:rPr>
          <w:rFonts w:ascii="Verdana" w:eastAsiaTheme="minorEastAsia" w:hAnsi="Verdana" w:cs="Arial"/>
          <w:sz w:val="20"/>
          <w:szCs w:val="20"/>
          <w:lang w:val="es-ES"/>
        </w:rPr>
        <w:t xml:space="preserve">la Comisión </w:t>
      </w:r>
      <w:r w:rsidRPr="001A78E7">
        <w:rPr>
          <w:rFonts w:ascii="Verdana" w:eastAsiaTheme="minorEastAsia" w:hAnsi="Verdana" w:cs="Arial"/>
          <w:sz w:val="20"/>
          <w:szCs w:val="20"/>
          <w:lang w:val="es-ES"/>
        </w:rPr>
        <w:t>también dicta medidas cautelares, institución que obedece a similares condiciones y que tiene semejante objetivo</w:t>
      </w:r>
      <w:r w:rsidRPr="00A643AA">
        <w:rPr>
          <w:rFonts w:ascii="Verdana" w:eastAsiaTheme="minorEastAsia" w:hAnsi="Verdana" w:cs="Arial"/>
          <w:sz w:val="20"/>
          <w:szCs w:val="20"/>
          <w:vertAlign w:val="superscript"/>
          <w:lang w:val="es-ES"/>
        </w:rPr>
        <w:footnoteReference w:id="52"/>
      </w:r>
      <w:r w:rsidRPr="001A78E7">
        <w:rPr>
          <w:rFonts w:ascii="Verdana" w:eastAsiaTheme="minorEastAsia" w:hAnsi="Verdana" w:cs="Arial"/>
          <w:sz w:val="20"/>
          <w:szCs w:val="20"/>
          <w:lang w:val="es-ES"/>
        </w:rPr>
        <w:t xml:space="preserve"> que las medidas provisionales que puede decretar la Corte, </w:t>
      </w:r>
      <w:r>
        <w:rPr>
          <w:rFonts w:ascii="Verdana" w:eastAsiaTheme="minorEastAsia" w:hAnsi="Verdana" w:cs="Arial"/>
          <w:sz w:val="20"/>
          <w:szCs w:val="20"/>
          <w:lang w:val="es-ES"/>
        </w:rPr>
        <w:t xml:space="preserve">respecto de </w:t>
      </w:r>
      <w:r w:rsidRPr="001A78E7">
        <w:rPr>
          <w:rFonts w:ascii="Verdana" w:eastAsiaTheme="minorEastAsia" w:hAnsi="Verdana" w:cs="Arial"/>
          <w:sz w:val="20"/>
          <w:szCs w:val="20"/>
          <w:lang w:val="es-ES"/>
        </w:rPr>
        <w:t xml:space="preserve">las que, </w:t>
      </w:r>
      <w:r>
        <w:rPr>
          <w:rFonts w:ascii="Verdana" w:eastAsiaTheme="minorEastAsia" w:hAnsi="Verdana" w:cs="Arial"/>
          <w:sz w:val="20"/>
          <w:szCs w:val="20"/>
          <w:lang w:val="es-ES"/>
        </w:rPr>
        <w:t xml:space="preserve">a diferencia de aquellas, no hay discusión, </w:t>
      </w:r>
      <w:r w:rsidRPr="001A78E7">
        <w:rPr>
          <w:rFonts w:ascii="Verdana" w:eastAsiaTheme="minorEastAsia" w:hAnsi="Verdana" w:cs="Arial"/>
          <w:sz w:val="20"/>
          <w:szCs w:val="20"/>
          <w:lang w:val="es-ES"/>
        </w:rPr>
        <w:t xml:space="preserve">por estar previstas en la propia Convención, </w:t>
      </w:r>
      <w:r>
        <w:rPr>
          <w:rFonts w:ascii="Verdana" w:eastAsiaTheme="minorEastAsia" w:hAnsi="Verdana" w:cs="Arial"/>
          <w:sz w:val="20"/>
          <w:szCs w:val="20"/>
          <w:lang w:val="es-ES"/>
        </w:rPr>
        <w:t xml:space="preserve">en cuanto a su </w:t>
      </w:r>
      <w:r w:rsidRPr="001A78E7">
        <w:rPr>
          <w:rFonts w:ascii="Verdana" w:eastAsiaTheme="minorEastAsia" w:hAnsi="Verdana" w:cs="Arial"/>
          <w:sz w:val="20"/>
          <w:szCs w:val="20"/>
          <w:lang w:val="es-ES"/>
        </w:rPr>
        <w:t>obligatorio cumplimiento p</w:t>
      </w:r>
      <w:r>
        <w:rPr>
          <w:rFonts w:ascii="Verdana" w:eastAsiaTheme="minorEastAsia" w:hAnsi="Verdana" w:cs="Arial"/>
          <w:sz w:val="20"/>
          <w:szCs w:val="20"/>
          <w:lang w:val="es-ES"/>
        </w:rPr>
        <w:t>or parte de</w:t>
      </w:r>
      <w:r w:rsidRPr="001A78E7">
        <w:rPr>
          <w:rFonts w:ascii="Verdana" w:eastAsiaTheme="minorEastAsia" w:hAnsi="Verdana" w:cs="Arial"/>
          <w:sz w:val="20"/>
          <w:szCs w:val="20"/>
          <w:lang w:val="es-ES"/>
        </w:rPr>
        <w:t xml:space="preserve"> los Estados americanos que hayan aceptado </w:t>
      </w:r>
      <w:r>
        <w:rPr>
          <w:rFonts w:ascii="Verdana" w:eastAsiaTheme="minorEastAsia" w:hAnsi="Verdana" w:cs="Arial"/>
          <w:sz w:val="20"/>
          <w:szCs w:val="20"/>
          <w:lang w:val="es-ES"/>
        </w:rPr>
        <w:t>su</w:t>
      </w:r>
      <w:r w:rsidRPr="001A78E7">
        <w:rPr>
          <w:rFonts w:ascii="Verdana" w:eastAsiaTheme="minorEastAsia" w:hAnsi="Verdana" w:cs="Arial"/>
          <w:sz w:val="20"/>
          <w:szCs w:val="20"/>
          <w:lang w:val="es-ES"/>
        </w:rPr>
        <w:t xml:space="preserve"> competencia</w:t>
      </w:r>
      <w:r w:rsidRPr="00A643AA">
        <w:rPr>
          <w:rFonts w:ascii="Verdana" w:eastAsiaTheme="minorEastAsia" w:hAnsi="Verdana" w:cs="Arial"/>
          <w:sz w:val="20"/>
          <w:szCs w:val="20"/>
          <w:vertAlign w:val="superscript"/>
          <w:lang w:val="es-ES"/>
        </w:rPr>
        <w:footnoteReference w:id="53"/>
      </w:r>
      <w:r w:rsidRPr="001A78E7">
        <w:rPr>
          <w:rFonts w:ascii="Verdana" w:eastAsiaTheme="minorEastAsia" w:hAnsi="Verdana" w:cs="Arial"/>
          <w:sz w:val="20"/>
          <w:szCs w:val="20"/>
          <w:lang w:val="es-ES"/>
        </w:rPr>
        <w:t xml:space="preserve">. </w:t>
      </w:r>
    </w:p>
    <w:p w14:paraId="0EFA171A" w14:textId="77777777" w:rsidR="00907144" w:rsidRDefault="00907144" w:rsidP="00907144">
      <w:pPr>
        <w:pStyle w:val="Prrafodelista"/>
        <w:spacing w:after="0"/>
        <w:ind w:left="-567"/>
        <w:rPr>
          <w:rFonts w:ascii="Verdana" w:eastAsiaTheme="minorEastAsia" w:hAnsi="Verdana" w:cs="Arial"/>
          <w:sz w:val="20"/>
          <w:szCs w:val="20"/>
          <w:lang w:val="es-ES"/>
        </w:rPr>
      </w:pPr>
    </w:p>
    <w:p w14:paraId="2B54EA42" w14:textId="5D9CC1B4" w:rsidR="00907144" w:rsidRPr="00D00940" w:rsidRDefault="00907144" w:rsidP="00B515BE">
      <w:pPr>
        <w:numPr>
          <w:ilvl w:val="0"/>
          <w:numId w:val="1"/>
        </w:numPr>
        <w:spacing w:after="0" w:line="276" w:lineRule="auto"/>
        <w:ind w:left="-207"/>
        <w:contextualSpacing/>
        <w:jc w:val="both"/>
        <w:rPr>
          <w:rFonts w:ascii="Verdana" w:eastAsiaTheme="minorEastAsia" w:hAnsi="Verdana" w:cs="Arial"/>
          <w:sz w:val="20"/>
          <w:szCs w:val="20"/>
          <w:lang w:val="es-ES"/>
        </w:rPr>
      </w:pPr>
      <w:r w:rsidRPr="006C6203">
        <w:rPr>
          <w:rFonts w:ascii="Verdana" w:eastAsiaTheme="minorEastAsia" w:hAnsi="Verdana" w:cs="Arial"/>
          <w:sz w:val="20"/>
          <w:szCs w:val="20"/>
          <w:lang w:val="es-ES"/>
        </w:rPr>
        <w:t>M</w:t>
      </w:r>
      <w:r w:rsidR="00BB7A19">
        <w:rPr>
          <w:rFonts w:ascii="Verdana" w:eastAsiaTheme="minorEastAsia" w:hAnsi="Verdana" w:cs="Arial"/>
          <w:sz w:val="20"/>
          <w:szCs w:val="20"/>
          <w:lang w:val="es-ES"/>
        </w:rPr>
        <w:t>a</w:t>
      </w:r>
      <w:r w:rsidRPr="006C6203">
        <w:rPr>
          <w:rFonts w:ascii="Verdana" w:eastAsiaTheme="minorEastAsia" w:hAnsi="Verdana" w:cs="Arial"/>
          <w:sz w:val="20"/>
          <w:szCs w:val="20"/>
          <w:lang w:val="es-ES"/>
        </w:rPr>
        <w:t xml:space="preserve">s y tal como ya se expresó, la Comisión puede requerir a la Corte la adopción de medidas </w:t>
      </w:r>
      <w:r w:rsidRPr="00D00940">
        <w:rPr>
          <w:rFonts w:ascii="Verdana" w:eastAsiaTheme="minorEastAsia" w:hAnsi="Verdana" w:cs="Arial"/>
          <w:sz w:val="20"/>
          <w:szCs w:val="20"/>
          <w:lang w:val="es-ES"/>
        </w:rPr>
        <w:t>provisionales. Efectivamente, el artículo 76 del Reglamento de la Comisión, evidentemente, en atención a la última frase del artículo 63.2 de la Convención, establece:</w:t>
      </w:r>
    </w:p>
    <w:p w14:paraId="73ABA716" w14:textId="77777777" w:rsidR="00907144" w:rsidRPr="00D91FFC" w:rsidRDefault="00907144" w:rsidP="00907144">
      <w:pPr>
        <w:spacing w:after="0" w:line="276" w:lineRule="auto"/>
        <w:contextualSpacing/>
        <w:jc w:val="both"/>
        <w:rPr>
          <w:rFonts w:ascii="Verdana" w:eastAsia="Times New Roman" w:hAnsi="Verdana" w:cs="Tahoma"/>
          <w:sz w:val="18"/>
          <w:szCs w:val="20"/>
          <w:lang w:val="es-CR" w:eastAsia="es-CR"/>
        </w:rPr>
      </w:pPr>
    </w:p>
    <w:p w14:paraId="1B35F147" w14:textId="77777777" w:rsidR="00907144" w:rsidRPr="00D91FFC" w:rsidRDefault="00907144" w:rsidP="009E6C61">
      <w:pPr>
        <w:spacing w:after="0" w:line="276" w:lineRule="auto"/>
        <w:ind w:left="567"/>
        <w:contextualSpacing/>
        <w:jc w:val="both"/>
        <w:rPr>
          <w:rFonts w:ascii="Verdana" w:eastAsia="Times New Roman" w:hAnsi="Verdana" w:cs="Tahoma"/>
          <w:i/>
          <w:iCs/>
          <w:sz w:val="16"/>
          <w:szCs w:val="18"/>
          <w:lang w:val="es-CR" w:eastAsia="es-CR"/>
        </w:rPr>
      </w:pPr>
      <w:r w:rsidRPr="00D91FFC">
        <w:rPr>
          <w:rFonts w:ascii="Verdana" w:eastAsia="Times New Roman" w:hAnsi="Verdana" w:cs="Tahoma"/>
          <w:sz w:val="16"/>
          <w:szCs w:val="18"/>
          <w:lang w:val="es-CR" w:eastAsia="es-CR"/>
        </w:rPr>
        <w:t>“</w:t>
      </w:r>
      <w:r w:rsidRPr="00D91FFC">
        <w:rPr>
          <w:rFonts w:ascii="Verdana" w:eastAsia="Times New Roman" w:hAnsi="Verdana" w:cs="Tahoma"/>
          <w:i/>
          <w:iCs/>
          <w:sz w:val="16"/>
          <w:szCs w:val="18"/>
          <w:lang w:val="es-CR" w:eastAsia="es-CR"/>
        </w:rPr>
        <w:t>1. La Comisión podrá solicitar medidas provisionales a la Corte en situaciones de extrema gravedad y urgencia cuando se haga necesario para evitar daños irreparables a las personas. Al tomar esta decisión, la Comisión considerara la posición de los beneficiarios o sus representantes.</w:t>
      </w:r>
    </w:p>
    <w:p w14:paraId="7F75F50D" w14:textId="77777777" w:rsidR="00907144" w:rsidRPr="00D91FFC" w:rsidRDefault="00907144" w:rsidP="009E6C61">
      <w:pPr>
        <w:spacing w:after="0" w:line="276" w:lineRule="auto"/>
        <w:ind w:left="567"/>
        <w:contextualSpacing/>
        <w:jc w:val="both"/>
        <w:rPr>
          <w:rFonts w:ascii="Verdana" w:eastAsia="Times New Roman" w:hAnsi="Verdana" w:cs="Tahoma"/>
          <w:i/>
          <w:iCs/>
          <w:sz w:val="16"/>
          <w:szCs w:val="18"/>
          <w:lang w:val="es-CR" w:eastAsia="es-CR"/>
        </w:rPr>
      </w:pPr>
      <w:r w:rsidRPr="00D91FFC">
        <w:rPr>
          <w:rFonts w:ascii="Verdana" w:eastAsia="Times New Roman" w:hAnsi="Verdana" w:cs="Tahoma"/>
          <w:i/>
          <w:iCs/>
          <w:sz w:val="16"/>
          <w:szCs w:val="18"/>
          <w:lang w:val="es-CR" w:eastAsia="es-CR"/>
        </w:rPr>
        <w:t>2. La Comisión considerará los siguientes criterios para presentar la solicitud de medidas provisionales:</w:t>
      </w:r>
    </w:p>
    <w:p w14:paraId="6B46DFC4" w14:textId="77777777" w:rsidR="00907144" w:rsidRPr="00D91FFC" w:rsidRDefault="00907144" w:rsidP="009E6C61">
      <w:pPr>
        <w:spacing w:after="0" w:line="276" w:lineRule="auto"/>
        <w:ind w:left="567"/>
        <w:contextualSpacing/>
        <w:jc w:val="both"/>
        <w:rPr>
          <w:rFonts w:ascii="Verdana" w:eastAsia="Times New Roman" w:hAnsi="Verdana" w:cs="Tahoma"/>
          <w:i/>
          <w:iCs/>
          <w:sz w:val="16"/>
          <w:szCs w:val="18"/>
          <w:lang w:val="es-CR" w:eastAsia="es-CR"/>
        </w:rPr>
      </w:pPr>
      <w:r w:rsidRPr="00D91FFC">
        <w:rPr>
          <w:rFonts w:ascii="Verdana" w:eastAsia="Times New Roman" w:hAnsi="Verdana" w:cs="Tahoma"/>
          <w:i/>
          <w:iCs/>
          <w:sz w:val="16"/>
          <w:szCs w:val="18"/>
          <w:lang w:val="es-CR" w:eastAsia="es-CR"/>
        </w:rPr>
        <w:t>a. cuando el Estado concernido no haya implementado las medidas cautelares otorgadas por la Comisión;</w:t>
      </w:r>
    </w:p>
    <w:p w14:paraId="19035FB6" w14:textId="77777777" w:rsidR="00907144" w:rsidRPr="00D91FFC" w:rsidRDefault="00907144" w:rsidP="009E6C61">
      <w:pPr>
        <w:spacing w:after="0" w:line="276" w:lineRule="auto"/>
        <w:ind w:left="567"/>
        <w:contextualSpacing/>
        <w:jc w:val="both"/>
        <w:rPr>
          <w:rFonts w:ascii="Verdana" w:eastAsia="Times New Roman" w:hAnsi="Verdana" w:cs="Tahoma"/>
          <w:i/>
          <w:iCs/>
          <w:sz w:val="16"/>
          <w:szCs w:val="18"/>
          <w:lang w:val="es-CR" w:eastAsia="es-CR"/>
        </w:rPr>
      </w:pPr>
      <w:r w:rsidRPr="00D91FFC">
        <w:rPr>
          <w:rFonts w:ascii="Verdana" w:eastAsia="Times New Roman" w:hAnsi="Verdana" w:cs="Tahoma"/>
          <w:i/>
          <w:iCs/>
          <w:sz w:val="16"/>
          <w:szCs w:val="18"/>
          <w:lang w:val="es-CR" w:eastAsia="es-CR"/>
        </w:rPr>
        <w:t>b. cuando las medidas cautelares no hayan sido eficaces;</w:t>
      </w:r>
    </w:p>
    <w:p w14:paraId="317B862F" w14:textId="77777777" w:rsidR="00907144" w:rsidRPr="00D91FFC" w:rsidRDefault="00907144" w:rsidP="009E6C61">
      <w:pPr>
        <w:spacing w:after="0" w:line="276" w:lineRule="auto"/>
        <w:ind w:left="567"/>
        <w:contextualSpacing/>
        <w:jc w:val="both"/>
        <w:rPr>
          <w:rFonts w:ascii="Verdana" w:eastAsia="Times New Roman" w:hAnsi="Verdana" w:cs="Tahoma"/>
          <w:i/>
          <w:iCs/>
          <w:sz w:val="16"/>
          <w:szCs w:val="18"/>
          <w:lang w:val="es-CR" w:eastAsia="es-CR"/>
        </w:rPr>
      </w:pPr>
      <w:r w:rsidRPr="00D91FFC">
        <w:rPr>
          <w:rFonts w:ascii="Verdana" w:eastAsia="Times New Roman" w:hAnsi="Verdana" w:cs="Tahoma"/>
          <w:i/>
          <w:iCs/>
          <w:sz w:val="16"/>
          <w:szCs w:val="18"/>
          <w:lang w:val="es-CR" w:eastAsia="es-CR"/>
        </w:rPr>
        <w:t xml:space="preserve">c. </w:t>
      </w:r>
      <w:bookmarkStart w:id="7" w:name="_Hlk37408205"/>
      <w:r w:rsidRPr="00D91FFC">
        <w:rPr>
          <w:rFonts w:ascii="Verdana" w:eastAsia="Times New Roman" w:hAnsi="Verdana" w:cs="Tahoma"/>
          <w:i/>
          <w:iCs/>
          <w:sz w:val="16"/>
          <w:szCs w:val="18"/>
          <w:lang w:val="es-CR" w:eastAsia="es-CR"/>
        </w:rPr>
        <w:t>cuando exista una medida cautelar conectada a un caso sometido a la jurisdicción de la Corte</w:t>
      </w:r>
      <w:bookmarkEnd w:id="7"/>
      <w:r w:rsidRPr="00D91FFC">
        <w:rPr>
          <w:rFonts w:ascii="Verdana" w:eastAsia="Times New Roman" w:hAnsi="Verdana" w:cs="Tahoma"/>
          <w:i/>
          <w:iCs/>
          <w:sz w:val="16"/>
          <w:szCs w:val="18"/>
          <w:lang w:val="es-CR" w:eastAsia="es-CR"/>
        </w:rPr>
        <w:t>;</w:t>
      </w:r>
    </w:p>
    <w:p w14:paraId="6AD79456" w14:textId="77777777" w:rsidR="00907144" w:rsidRPr="00D91FFC" w:rsidRDefault="00907144" w:rsidP="009E6C61">
      <w:pPr>
        <w:spacing w:after="0" w:line="276" w:lineRule="auto"/>
        <w:ind w:left="567"/>
        <w:contextualSpacing/>
        <w:jc w:val="both"/>
        <w:rPr>
          <w:rFonts w:ascii="Verdana" w:eastAsia="Times New Roman" w:hAnsi="Verdana" w:cs="Tahoma"/>
          <w:i/>
          <w:iCs/>
          <w:sz w:val="16"/>
          <w:szCs w:val="18"/>
          <w:lang w:val="es-CR" w:eastAsia="es-CR"/>
        </w:rPr>
      </w:pPr>
      <w:r w:rsidRPr="00D91FFC">
        <w:rPr>
          <w:rFonts w:ascii="Verdana" w:eastAsia="Times New Roman" w:hAnsi="Verdana" w:cs="Tahoma"/>
          <w:i/>
          <w:iCs/>
          <w:sz w:val="16"/>
          <w:szCs w:val="18"/>
          <w:lang w:val="es-CR" w:eastAsia="es-CR"/>
        </w:rPr>
        <w:t>d. cuando la Comisión lo estime pertinente al mejor efecto de las medidas solicitadas, para lo cual fundamentará sus motivos.”</w:t>
      </w:r>
    </w:p>
    <w:p w14:paraId="6B628A38" w14:textId="77777777" w:rsidR="00907144" w:rsidRPr="00D91FFC" w:rsidRDefault="00907144" w:rsidP="00907144">
      <w:pPr>
        <w:spacing w:after="0" w:line="276" w:lineRule="auto"/>
        <w:contextualSpacing/>
        <w:jc w:val="both"/>
        <w:rPr>
          <w:rFonts w:ascii="Verdana" w:eastAsia="Times New Roman" w:hAnsi="Verdana" w:cs="Tahoma"/>
          <w:i/>
          <w:iCs/>
          <w:color w:val="333333"/>
          <w:sz w:val="18"/>
          <w:szCs w:val="18"/>
          <w:lang w:val="es-CR" w:eastAsia="es-CR"/>
        </w:rPr>
      </w:pPr>
    </w:p>
    <w:p w14:paraId="292F04CD" w14:textId="77777777" w:rsidR="00B515BE" w:rsidRDefault="00907144" w:rsidP="00B515BE">
      <w:pPr>
        <w:numPr>
          <w:ilvl w:val="0"/>
          <w:numId w:val="1"/>
        </w:numPr>
        <w:spacing w:after="0" w:line="276" w:lineRule="auto"/>
        <w:ind w:left="-207"/>
        <w:contextualSpacing/>
        <w:jc w:val="both"/>
        <w:rPr>
          <w:rFonts w:ascii="Verdana" w:hAnsi="Verdana"/>
          <w:sz w:val="20"/>
          <w:szCs w:val="20"/>
        </w:rPr>
      </w:pPr>
      <w:r w:rsidRPr="00D00940">
        <w:rPr>
          <w:rFonts w:ascii="Verdana" w:eastAsiaTheme="minorEastAsia" w:hAnsi="Verdana" w:cs="Arial"/>
          <w:sz w:val="20"/>
          <w:szCs w:val="20"/>
          <w:lang w:val="es-ES"/>
        </w:rPr>
        <w:t xml:space="preserve">Como se puede colegir del numeral 2 del recién transcrito texto, el requerimiento por parte de la Comisión </w:t>
      </w:r>
      <w:r w:rsidRPr="00A41FE6">
        <w:rPr>
          <w:rFonts w:ascii="Verdana" w:eastAsiaTheme="minorEastAsia" w:hAnsi="Verdana" w:cs="Arial"/>
          <w:sz w:val="20"/>
          <w:szCs w:val="20"/>
          <w:lang w:val="es-ES"/>
        </w:rPr>
        <w:t>de medidas provisionales procede, en especial, aunque no exclusivamente, cuando las medidas cautelares no hayan sido acatadas o no fuesen eficaces o tengan relación con un caso en conocimiento</w:t>
      </w:r>
      <w:r w:rsidRPr="00A643AA">
        <w:rPr>
          <w:rFonts w:ascii="Verdana" w:eastAsiaTheme="minorEastAsia" w:hAnsi="Verdana" w:cs="Arial"/>
          <w:sz w:val="20"/>
          <w:szCs w:val="20"/>
          <w:lang w:val="es-ES"/>
        </w:rPr>
        <w:t xml:space="preserve"> de la Corte. Así, pues, las medidas provisionales, serían, en tales eventualidades, una clara expresión </w:t>
      </w:r>
      <w:r w:rsidRPr="00A643AA">
        <w:rPr>
          <w:rFonts w:ascii="Verdana" w:hAnsi="Verdana"/>
          <w:sz w:val="20"/>
          <w:szCs w:val="20"/>
          <w:lang w:val="es-ES"/>
        </w:rPr>
        <w:t>de la naturaleza convencional coadyuvante o complementaria que tiene la protección internacional de los derechos humanos respecto de la que ofrece el derecho interno de los Estados americanos</w:t>
      </w:r>
      <w:r w:rsidRPr="00A643AA">
        <w:rPr>
          <w:vertAlign w:val="superscript"/>
          <w:lang w:val="es-ES"/>
        </w:rPr>
        <w:footnoteReference w:id="54"/>
      </w:r>
      <w:r w:rsidRPr="00A643AA">
        <w:rPr>
          <w:rFonts w:ascii="Verdana" w:hAnsi="Verdana"/>
          <w:i/>
          <w:iCs/>
          <w:sz w:val="20"/>
          <w:szCs w:val="20"/>
          <w:lang w:val="es-ES"/>
        </w:rPr>
        <w:t>.</w:t>
      </w:r>
    </w:p>
    <w:p w14:paraId="756C2B4A" w14:textId="77777777" w:rsidR="00B515BE" w:rsidRPr="00B515BE" w:rsidRDefault="00B515BE" w:rsidP="00B515BE">
      <w:pPr>
        <w:spacing w:after="0" w:line="276" w:lineRule="auto"/>
        <w:ind w:left="-207"/>
        <w:contextualSpacing/>
        <w:jc w:val="both"/>
        <w:rPr>
          <w:rFonts w:ascii="Verdana" w:hAnsi="Verdana"/>
          <w:sz w:val="20"/>
          <w:szCs w:val="20"/>
        </w:rPr>
      </w:pPr>
    </w:p>
    <w:p w14:paraId="19C61EBF" w14:textId="77777777" w:rsidR="00B515BE" w:rsidRDefault="00907144" w:rsidP="00B515BE">
      <w:pPr>
        <w:numPr>
          <w:ilvl w:val="0"/>
          <w:numId w:val="1"/>
        </w:numPr>
        <w:spacing w:after="0" w:line="276" w:lineRule="auto"/>
        <w:ind w:left="-207"/>
        <w:contextualSpacing/>
        <w:jc w:val="both"/>
        <w:rPr>
          <w:rFonts w:ascii="Verdana" w:hAnsi="Verdana"/>
          <w:sz w:val="20"/>
          <w:szCs w:val="20"/>
        </w:rPr>
      </w:pPr>
      <w:r w:rsidRPr="00B515BE">
        <w:rPr>
          <w:rFonts w:ascii="Verdana" w:hAnsi="Verdana"/>
          <w:sz w:val="20"/>
          <w:szCs w:val="20"/>
          <w:lang w:val="es-ES"/>
        </w:rPr>
        <w:t>Efectivamente,</w:t>
      </w:r>
      <w:r w:rsidRPr="00B515BE">
        <w:rPr>
          <w:rFonts w:ascii="Verdana" w:hAnsi="Verdana"/>
          <w:i/>
          <w:iCs/>
          <w:sz w:val="20"/>
          <w:szCs w:val="20"/>
          <w:lang w:val="es-ES"/>
        </w:rPr>
        <w:t xml:space="preserve"> </w:t>
      </w:r>
      <w:r w:rsidRPr="00B515BE">
        <w:rPr>
          <w:rFonts w:ascii="Verdana" w:hAnsi="Verdana"/>
          <w:sz w:val="20"/>
          <w:szCs w:val="20"/>
        </w:rPr>
        <w:t xml:space="preserve">la Comisión, al solicitarlas en razón de las señaladas eventualidades, demanda, en definitiva, la protección internacional de la Corte en razón de la carencia demostrada por el derecho interno del respectivo Estado en cuanto a la aplicación y eficacia de las dispuestas medidas cautelares. Y ello es más evidente aún en lo </w:t>
      </w:r>
      <w:r w:rsidRPr="00BB7A19">
        <w:rPr>
          <w:rFonts w:ascii="Verdana" w:hAnsi="Verdana"/>
          <w:sz w:val="20"/>
          <w:szCs w:val="20"/>
        </w:rPr>
        <w:t>concerniente al criterio</w:t>
      </w:r>
      <w:r w:rsidRPr="00BB7A19">
        <w:rPr>
          <w:rFonts w:ascii="Verdana" w:eastAsia="Times New Roman" w:hAnsi="Verdana" w:cs="Tahoma"/>
          <w:sz w:val="20"/>
          <w:szCs w:val="20"/>
          <w:lang w:val="es-CR" w:eastAsia="es-CR"/>
        </w:rPr>
        <w:t xml:space="preserve"> indicado en </w:t>
      </w:r>
      <w:r w:rsidRPr="00B515BE">
        <w:rPr>
          <w:rFonts w:ascii="Verdana" w:eastAsia="Times New Roman" w:hAnsi="Verdana" w:cs="Tahoma"/>
          <w:color w:val="333333"/>
          <w:sz w:val="20"/>
          <w:szCs w:val="20"/>
          <w:lang w:val="es-CR" w:eastAsia="es-CR"/>
        </w:rPr>
        <w:t xml:space="preserve">la </w:t>
      </w:r>
      <w:r w:rsidRPr="00BB7A19">
        <w:rPr>
          <w:rFonts w:ascii="Verdana" w:eastAsia="Times New Roman" w:hAnsi="Verdana" w:cs="Tahoma"/>
          <w:sz w:val="20"/>
          <w:szCs w:val="20"/>
          <w:lang w:val="es-CR" w:eastAsia="es-CR"/>
        </w:rPr>
        <w:t>transcrita norma reglamentaria, referido a la existencia de una medida cautelar conectada a un caso sometido a la jurisdicción de la Corte, pues allí se estaría aceptando que ya está actuando la jurisdicción internacional con alcance obligatorio.</w:t>
      </w:r>
    </w:p>
    <w:p w14:paraId="6096545C" w14:textId="77777777" w:rsidR="00B515BE" w:rsidRDefault="00B515BE" w:rsidP="00B515BE">
      <w:pPr>
        <w:pStyle w:val="Prrafodelista"/>
        <w:rPr>
          <w:rFonts w:ascii="Verdana" w:hAnsi="Verdana"/>
          <w:sz w:val="20"/>
          <w:szCs w:val="20"/>
        </w:rPr>
      </w:pPr>
    </w:p>
    <w:p w14:paraId="5463B57F" w14:textId="04A17B6D" w:rsidR="00B515BE" w:rsidRDefault="00907144" w:rsidP="00B515BE">
      <w:pPr>
        <w:numPr>
          <w:ilvl w:val="0"/>
          <w:numId w:val="1"/>
        </w:numPr>
        <w:spacing w:after="0" w:line="276" w:lineRule="auto"/>
        <w:ind w:left="-207"/>
        <w:contextualSpacing/>
        <w:jc w:val="both"/>
        <w:rPr>
          <w:rFonts w:ascii="Verdana" w:hAnsi="Verdana"/>
          <w:sz w:val="20"/>
          <w:szCs w:val="20"/>
        </w:rPr>
      </w:pPr>
      <w:r w:rsidRPr="00B515BE">
        <w:rPr>
          <w:rFonts w:ascii="Verdana" w:hAnsi="Verdana"/>
          <w:sz w:val="20"/>
          <w:szCs w:val="20"/>
        </w:rPr>
        <w:t>A lo señalado, habría que adicionar que la respuesta que pueda dar la Comisión a la consulta que le formule la Corte respecto de una petición de medidas provisionales directamente efectuada por una persona, no representa ni sustituye al ejercicio de la facultad privativa de la primera</w:t>
      </w:r>
      <w:r w:rsidR="00D00940">
        <w:rPr>
          <w:rFonts w:ascii="Verdana" w:hAnsi="Verdana"/>
          <w:sz w:val="20"/>
          <w:szCs w:val="20"/>
        </w:rPr>
        <w:t>,</w:t>
      </w:r>
      <w:r w:rsidRPr="00B515BE">
        <w:rPr>
          <w:rFonts w:ascii="Verdana" w:hAnsi="Verdana"/>
          <w:sz w:val="20"/>
          <w:szCs w:val="20"/>
        </w:rPr>
        <w:t xml:space="preserve"> contemplada en la última frase del artículo 63.1 de la Convención, es decir, de solicitar, cuando lo estime necesario, dichas medidas en los asuntos </w:t>
      </w:r>
      <w:r w:rsidRPr="00B515BE">
        <w:rPr>
          <w:rFonts w:ascii="Verdana" w:hAnsi="Verdana" w:cs="Tahoma"/>
          <w:color w:val="000000"/>
          <w:sz w:val="20"/>
          <w:szCs w:val="20"/>
        </w:rPr>
        <w:t>que aún no estén sometidos a conocimiento</w:t>
      </w:r>
      <w:r w:rsidRPr="00B515BE">
        <w:rPr>
          <w:rFonts w:ascii="Verdana" w:hAnsi="Verdana"/>
          <w:sz w:val="20"/>
          <w:szCs w:val="20"/>
        </w:rPr>
        <w:t xml:space="preserve"> de la Corte.</w:t>
      </w:r>
    </w:p>
    <w:p w14:paraId="1036BAD7" w14:textId="77777777" w:rsidR="00B515BE" w:rsidRDefault="00B515BE" w:rsidP="00B515BE">
      <w:pPr>
        <w:pStyle w:val="Prrafodelista"/>
        <w:rPr>
          <w:rFonts w:ascii="Verdana" w:hAnsi="Verdana"/>
          <w:sz w:val="20"/>
          <w:szCs w:val="20"/>
        </w:rPr>
      </w:pPr>
    </w:p>
    <w:p w14:paraId="53F20BB7" w14:textId="16EC2C55" w:rsidR="00B515BE" w:rsidRDefault="00907144" w:rsidP="00B515BE">
      <w:pPr>
        <w:numPr>
          <w:ilvl w:val="0"/>
          <w:numId w:val="1"/>
        </w:numPr>
        <w:spacing w:after="0" w:line="276" w:lineRule="auto"/>
        <w:ind w:left="-207"/>
        <w:contextualSpacing/>
        <w:jc w:val="both"/>
        <w:rPr>
          <w:rFonts w:ascii="Verdana" w:hAnsi="Verdana"/>
          <w:sz w:val="20"/>
          <w:szCs w:val="20"/>
        </w:rPr>
      </w:pPr>
      <w:r w:rsidRPr="00B515BE">
        <w:rPr>
          <w:rFonts w:ascii="Verdana" w:hAnsi="Verdana"/>
          <w:sz w:val="20"/>
          <w:szCs w:val="20"/>
        </w:rPr>
        <w:t xml:space="preserve">En este orden de ideas, procede llamar la atención acerca de que la petición de medidas previsionales ante la Corte en el marco de un asunto aún no sometido a su conocimiento, no le impide a la Comisión </w:t>
      </w:r>
      <w:r w:rsidRPr="00B515BE">
        <w:rPr>
          <w:rFonts w:ascii="Verdana" w:hAnsi="Verdana"/>
          <w:sz w:val="20"/>
          <w:szCs w:val="20"/>
          <w:lang w:val="es-ES"/>
        </w:rPr>
        <w:t>someter posteriormente a conocimiento de aquella, el caso correspondiente. Tampoco está obligada a hacerlo e, incluso, puede solicitarle a la Corte el término de dichas medidas. Todo lo cual demuestra que la solicitud de medidas provisionales en los asuntos que no estén en conocimiento de la Corte, es una facultad exclusiva de la Comisión y, por ende, no susceptible de ser ejercida por nadie más.</w:t>
      </w:r>
    </w:p>
    <w:p w14:paraId="6C35B5F5" w14:textId="77777777" w:rsidR="00B515BE" w:rsidRDefault="00B515BE" w:rsidP="00B515BE">
      <w:pPr>
        <w:pStyle w:val="Prrafodelista"/>
        <w:rPr>
          <w:rFonts w:ascii="Verdana" w:hAnsi="Verdana"/>
          <w:sz w:val="20"/>
          <w:szCs w:val="20"/>
        </w:rPr>
      </w:pPr>
    </w:p>
    <w:p w14:paraId="71E93BF7" w14:textId="77777777" w:rsidR="00B44FD2" w:rsidRDefault="00907144" w:rsidP="00B44FD2">
      <w:pPr>
        <w:numPr>
          <w:ilvl w:val="0"/>
          <w:numId w:val="1"/>
        </w:numPr>
        <w:spacing w:after="0" w:line="276" w:lineRule="auto"/>
        <w:ind w:left="-207"/>
        <w:contextualSpacing/>
        <w:jc w:val="both"/>
        <w:rPr>
          <w:rFonts w:ascii="Verdana" w:hAnsi="Verdana"/>
          <w:sz w:val="20"/>
          <w:szCs w:val="20"/>
        </w:rPr>
      </w:pPr>
      <w:r w:rsidRPr="00B515BE">
        <w:rPr>
          <w:rFonts w:ascii="Verdana" w:hAnsi="Verdana"/>
          <w:sz w:val="20"/>
          <w:szCs w:val="20"/>
          <w:lang w:val="es-ES"/>
        </w:rPr>
        <w:t xml:space="preserve">Asimismo, habría que considerar que, de aceptarse que la Corte </w:t>
      </w:r>
      <w:r w:rsidR="00B515BE">
        <w:rPr>
          <w:rFonts w:ascii="Verdana" w:hAnsi="Verdana"/>
          <w:sz w:val="20"/>
          <w:szCs w:val="20"/>
          <w:lang w:val="es-ES"/>
        </w:rPr>
        <w:t xml:space="preserve">puede </w:t>
      </w:r>
      <w:r w:rsidRPr="00B515BE">
        <w:rPr>
          <w:rFonts w:ascii="Verdana" w:hAnsi="Verdana"/>
          <w:sz w:val="20"/>
          <w:szCs w:val="20"/>
          <w:lang w:val="es-ES"/>
        </w:rPr>
        <w:t>disp</w:t>
      </w:r>
      <w:r w:rsidR="00B515BE">
        <w:rPr>
          <w:rFonts w:ascii="Verdana" w:hAnsi="Verdana"/>
          <w:sz w:val="20"/>
          <w:szCs w:val="20"/>
          <w:lang w:val="es-ES"/>
        </w:rPr>
        <w:t xml:space="preserve">oner </w:t>
      </w:r>
      <w:r w:rsidRPr="00B515BE">
        <w:rPr>
          <w:rFonts w:ascii="Verdana" w:hAnsi="Verdana"/>
          <w:sz w:val="20"/>
          <w:szCs w:val="20"/>
          <w:lang w:val="es-ES"/>
        </w:rPr>
        <w:t xml:space="preserve">medidas provisionales en un asunto no sometido a su conocimiento y que no hayan sido solicitadas por la Comisión, importaría que aquella procedería, por lo general, sobre la base de menos o más débiles antecedentes que los que consideraría para disponerlas en un caso que se encuentre bajo su conocimiento, puesto que no </w:t>
      </w:r>
      <w:r w:rsidR="00B515BE">
        <w:rPr>
          <w:rFonts w:ascii="Verdana" w:hAnsi="Verdana"/>
          <w:sz w:val="20"/>
          <w:szCs w:val="20"/>
          <w:lang w:val="es-ES"/>
        </w:rPr>
        <w:t>dispondría de la comprobación directa</w:t>
      </w:r>
      <w:r w:rsidRPr="00B515BE">
        <w:rPr>
          <w:rFonts w:ascii="Verdana" w:hAnsi="Verdana"/>
          <w:sz w:val="20"/>
          <w:szCs w:val="20"/>
          <w:lang w:val="es-ES"/>
        </w:rPr>
        <w:t xml:space="preserve"> de los hechos</w:t>
      </w:r>
      <w:r w:rsidR="00B44FD2">
        <w:rPr>
          <w:rFonts w:ascii="Verdana" w:hAnsi="Verdana"/>
          <w:sz w:val="20"/>
          <w:szCs w:val="20"/>
          <w:lang w:val="es-ES"/>
        </w:rPr>
        <w:t>, sea por ella misma o por la Comisión,</w:t>
      </w:r>
      <w:r w:rsidRPr="00B515BE">
        <w:rPr>
          <w:rFonts w:ascii="Verdana" w:hAnsi="Verdana"/>
          <w:sz w:val="20"/>
          <w:szCs w:val="20"/>
          <w:lang w:val="es-ES"/>
        </w:rPr>
        <w:t xml:space="preserve"> en que se funda</w:t>
      </w:r>
      <w:r w:rsidR="00B44FD2">
        <w:rPr>
          <w:rFonts w:ascii="Verdana" w:hAnsi="Verdana"/>
          <w:sz w:val="20"/>
          <w:szCs w:val="20"/>
          <w:lang w:val="es-ES"/>
        </w:rPr>
        <w:t xml:space="preserve"> la respectiva petición</w:t>
      </w:r>
      <w:r w:rsidRPr="00B515BE">
        <w:rPr>
          <w:rFonts w:ascii="Verdana" w:hAnsi="Verdana"/>
          <w:sz w:val="20"/>
          <w:szCs w:val="20"/>
          <w:lang w:val="es-ES"/>
        </w:rPr>
        <w:t xml:space="preserve">.   </w:t>
      </w:r>
    </w:p>
    <w:p w14:paraId="1BAE60E1" w14:textId="77777777" w:rsidR="00B44FD2" w:rsidRDefault="00B44FD2" w:rsidP="00B44FD2">
      <w:pPr>
        <w:pStyle w:val="Prrafodelista"/>
        <w:rPr>
          <w:rFonts w:ascii="Verdana" w:hAnsi="Verdana"/>
          <w:sz w:val="20"/>
          <w:szCs w:val="20"/>
        </w:rPr>
      </w:pPr>
    </w:p>
    <w:p w14:paraId="45C18A77" w14:textId="1F3231A4" w:rsidR="00907144" w:rsidRPr="00B44FD2" w:rsidRDefault="00907144" w:rsidP="00B44FD2">
      <w:pPr>
        <w:numPr>
          <w:ilvl w:val="0"/>
          <w:numId w:val="1"/>
        </w:numPr>
        <w:spacing w:after="0" w:line="276" w:lineRule="auto"/>
        <w:ind w:left="-207"/>
        <w:contextualSpacing/>
        <w:jc w:val="both"/>
        <w:rPr>
          <w:rFonts w:ascii="Verdana" w:hAnsi="Verdana"/>
          <w:sz w:val="20"/>
          <w:szCs w:val="20"/>
        </w:rPr>
      </w:pPr>
      <w:r w:rsidRPr="00B44FD2">
        <w:rPr>
          <w:rFonts w:ascii="Verdana" w:hAnsi="Verdana"/>
          <w:sz w:val="20"/>
          <w:szCs w:val="20"/>
        </w:rPr>
        <w:t>De manera, en consecuencia, que la intervención de la Comisión en lo referente a las medidas provisionales forma parte del engranaje o mecanismo previsto por la Convención como integrante del SIDH, el que, por tanto, requiere</w:t>
      </w:r>
      <w:r w:rsidR="00B44FD2">
        <w:rPr>
          <w:rFonts w:ascii="Verdana" w:hAnsi="Verdana"/>
          <w:sz w:val="20"/>
          <w:szCs w:val="20"/>
        </w:rPr>
        <w:t>, para su correcto y eficiente funcionamiento,</w:t>
      </w:r>
      <w:r w:rsidRPr="00B44FD2">
        <w:rPr>
          <w:rFonts w:ascii="Verdana" w:hAnsi="Verdana"/>
          <w:sz w:val="20"/>
          <w:szCs w:val="20"/>
        </w:rPr>
        <w:t xml:space="preserve"> que haya adecuada articulación o coordinación entre sus partes</w:t>
      </w:r>
      <w:r w:rsidR="00B44FD2">
        <w:rPr>
          <w:rFonts w:ascii="Verdana" w:hAnsi="Verdana"/>
          <w:sz w:val="20"/>
          <w:szCs w:val="20"/>
        </w:rPr>
        <w:t>, vale decir, entre la Corte y la Comisión, procediendo cada cual conforme a sus atribuciones y deberes y no una competición ni desconocimiento entre ellas.</w:t>
      </w:r>
      <w:r w:rsidRPr="00B44FD2">
        <w:rPr>
          <w:rFonts w:ascii="Verdana" w:hAnsi="Verdana"/>
          <w:sz w:val="20"/>
          <w:szCs w:val="20"/>
        </w:rPr>
        <w:t xml:space="preserve"> Por lo mismo, decretar medidas provisionales que, en último término, avalen que soslaye la convencionalmente prevista intervención de la Comisión, se afecta negativamente al SIDH en su conjunto</w:t>
      </w:r>
      <w:r w:rsidR="00B44FD2">
        <w:rPr>
          <w:rFonts w:ascii="Verdana" w:hAnsi="Verdana"/>
          <w:sz w:val="20"/>
          <w:szCs w:val="20"/>
        </w:rPr>
        <w:t xml:space="preserve"> y, por lo tanto, a los derechos humanos que se deben proteger</w:t>
      </w:r>
      <w:r w:rsidRPr="00B44FD2">
        <w:rPr>
          <w:rFonts w:ascii="Verdana" w:hAnsi="Verdana"/>
          <w:sz w:val="20"/>
          <w:szCs w:val="20"/>
        </w:rPr>
        <w:t>. Y eso ocurre cuando precisamente se le resta relevancia a la última frase del artículo 63.2 de la Convención y se soslaya su aplicación.</w:t>
      </w:r>
      <w:bookmarkEnd w:id="5"/>
      <w:r w:rsidRPr="00B44FD2">
        <w:rPr>
          <w:rFonts w:ascii="Verdana" w:eastAsiaTheme="minorEastAsia" w:hAnsi="Verdana" w:cs="Tahoma"/>
          <w:sz w:val="20"/>
          <w:szCs w:val="20"/>
          <w:lang w:val="es-CR"/>
        </w:rPr>
        <w:t xml:space="preserve"> </w:t>
      </w:r>
    </w:p>
    <w:bookmarkEnd w:id="1"/>
    <w:p w14:paraId="2CE9D09F" w14:textId="77777777" w:rsidR="00907144" w:rsidRPr="00A643AA" w:rsidRDefault="00907144" w:rsidP="00907144">
      <w:pPr>
        <w:spacing w:after="0" w:line="276" w:lineRule="auto"/>
        <w:ind w:left="0" w:right="0"/>
        <w:contextualSpacing/>
        <w:jc w:val="both"/>
        <w:rPr>
          <w:rFonts w:ascii="Verdana" w:eastAsiaTheme="minorEastAsia" w:hAnsi="Verdana" w:cs="Arial"/>
          <w:sz w:val="20"/>
          <w:szCs w:val="20"/>
          <w:lang w:val="es-ES"/>
        </w:rPr>
      </w:pPr>
    </w:p>
    <w:p w14:paraId="20F531FD" w14:textId="77777777" w:rsidR="00907144" w:rsidRPr="00A643AA" w:rsidRDefault="00907144" w:rsidP="00B44FD2">
      <w:pPr>
        <w:numPr>
          <w:ilvl w:val="0"/>
          <w:numId w:val="5"/>
        </w:numPr>
        <w:spacing w:after="100" w:afterAutospacing="1" w:line="276" w:lineRule="auto"/>
        <w:ind w:left="153" w:right="0"/>
        <w:contextualSpacing/>
        <w:jc w:val="both"/>
        <w:rPr>
          <w:rFonts w:ascii="Verdana" w:eastAsiaTheme="minorEastAsia" w:hAnsi="Verdana" w:cs="Arial"/>
          <w:b/>
          <w:bCs/>
          <w:sz w:val="20"/>
          <w:szCs w:val="20"/>
          <w:lang w:val="es-ES"/>
        </w:rPr>
      </w:pPr>
      <w:r w:rsidRPr="00A643AA">
        <w:rPr>
          <w:rFonts w:ascii="Verdana" w:eastAsiaTheme="minorEastAsia" w:hAnsi="Verdana" w:cs="Arial"/>
          <w:b/>
          <w:bCs/>
          <w:sz w:val="20"/>
          <w:szCs w:val="20"/>
          <w:lang w:val="es-ES"/>
        </w:rPr>
        <w:t>VULNERACIÓN DE LAS NORMAS EN AUTOS.</w:t>
      </w:r>
    </w:p>
    <w:p w14:paraId="798B82A9" w14:textId="77777777" w:rsidR="00907144" w:rsidRPr="00A643AA" w:rsidRDefault="00907144" w:rsidP="00907144">
      <w:pPr>
        <w:spacing w:after="100" w:afterAutospacing="1" w:line="276" w:lineRule="auto"/>
        <w:ind w:left="0" w:right="0"/>
        <w:contextualSpacing/>
        <w:jc w:val="both"/>
        <w:rPr>
          <w:rFonts w:ascii="Verdana" w:eastAsiaTheme="minorEastAsia" w:hAnsi="Verdana" w:cs="Arial"/>
          <w:b/>
          <w:bCs/>
          <w:sz w:val="20"/>
          <w:szCs w:val="20"/>
          <w:lang w:val="es-ES"/>
        </w:rPr>
      </w:pPr>
    </w:p>
    <w:p w14:paraId="78207FBB" w14:textId="77777777" w:rsidR="00907144" w:rsidRPr="00A643AA" w:rsidRDefault="00907144" w:rsidP="00B44FD2">
      <w:pPr>
        <w:numPr>
          <w:ilvl w:val="0"/>
          <w:numId w:val="1"/>
        </w:numPr>
        <w:spacing w:after="0" w:line="276" w:lineRule="auto"/>
        <w:ind w:left="-207"/>
        <w:contextualSpacing/>
        <w:jc w:val="both"/>
        <w:rPr>
          <w:rFonts w:ascii="Verdana" w:eastAsiaTheme="minorEastAsia" w:hAnsi="Verdana" w:cs="Arial"/>
          <w:sz w:val="20"/>
          <w:szCs w:val="20"/>
          <w:lang w:val="es-ES"/>
        </w:rPr>
      </w:pPr>
      <w:r w:rsidRPr="00A643AA">
        <w:rPr>
          <w:rFonts w:ascii="Verdana" w:eastAsiaTheme="minorEastAsia" w:hAnsi="Verdana" w:cs="Arial"/>
          <w:sz w:val="20"/>
          <w:szCs w:val="20"/>
          <w:lang w:val="es-ES"/>
        </w:rPr>
        <w:t xml:space="preserve">Como se demuestra a continuación, en el caso de la Resolución no se aplicaron, en rigor, las normas antes mencionadas. </w:t>
      </w:r>
    </w:p>
    <w:p w14:paraId="11D13055" w14:textId="77777777" w:rsidR="00907144" w:rsidRPr="00A643AA" w:rsidRDefault="00907144" w:rsidP="00907144">
      <w:pPr>
        <w:spacing w:after="0" w:line="276" w:lineRule="auto"/>
        <w:contextualSpacing/>
        <w:jc w:val="both"/>
        <w:rPr>
          <w:rFonts w:ascii="Verdana" w:eastAsiaTheme="minorEastAsia" w:hAnsi="Verdana" w:cs="Arial"/>
          <w:sz w:val="20"/>
          <w:szCs w:val="20"/>
          <w:lang w:val="es-ES"/>
        </w:rPr>
      </w:pPr>
    </w:p>
    <w:p w14:paraId="475D0B1F" w14:textId="31A79643" w:rsidR="00546950" w:rsidRDefault="00907144" w:rsidP="00546950">
      <w:pPr>
        <w:numPr>
          <w:ilvl w:val="0"/>
          <w:numId w:val="1"/>
        </w:numPr>
        <w:spacing w:after="0" w:line="276" w:lineRule="auto"/>
        <w:ind w:left="-207"/>
        <w:contextualSpacing/>
        <w:jc w:val="both"/>
        <w:rPr>
          <w:rFonts w:ascii="Verdana" w:eastAsiaTheme="minorEastAsia" w:hAnsi="Verdana" w:cs="Arial"/>
          <w:sz w:val="20"/>
          <w:szCs w:val="20"/>
          <w:lang w:val="es-ES"/>
        </w:rPr>
      </w:pPr>
      <w:r w:rsidRPr="00A643AA">
        <w:rPr>
          <w:rFonts w:ascii="Verdana" w:eastAsiaTheme="minorEastAsia" w:hAnsi="Verdana" w:cs="Arial"/>
          <w:sz w:val="20"/>
          <w:szCs w:val="20"/>
          <w:lang w:val="es-ES"/>
        </w:rPr>
        <w:t xml:space="preserve">Por de pronto, ya que </w:t>
      </w:r>
      <w:r w:rsidRPr="00A643AA">
        <w:rPr>
          <w:rFonts w:ascii="Verdana" w:hAnsi="Verdana"/>
          <w:sz w:val="20"/>
          <w:szCs w:val="20"/>
        </w:rPr>
        <w:t>la sentencia definitiva e inapelable del caso a que se vincula</w:t>
      </w:r>
      <w:r>
        <w:rPr>
          <w:rFonts w:ascii="Verdana" w:hAnsi="Verdana"/>
          <w:sz w:val="20"/>
          <w:szCs w:val="20"/>
        </w:rPr>
        <w:t xml:space="preserve"> la Resolución</w:t>
      </w:r>
      <w:r w:rsidRPr="00A643AA">
        <w:rPr>
          <w:rFonts w:ascii="Verdana" w:hAnsi="Verdana"/>
          <w:sz w:val="20"/>
          <w:szCs w:val="20"/>
        </w:rPr>
        <w:t>, fue dictada</w:t>
      </w:r>
      <w:bookmarkStart w:id="8" w:name="_Hlk37572217"/>
      <w:r w:rsidRPr="00A643AA">
        <w:rPr>
          <w:rFonts w:ascii="Verdana" w:hAnsi="Verdana"/>
          <w:sz w:val="20"/>
          <w:szCs w:val="20"/>
        </w:rPr>
        <w:t xml:space="preserve"> el </w:t>
      </w:r>
      <w:r w:rsidR="00B44FD2" w:rsidRPr="00F85FDE">
        <w:rPr>
          <w:rFonts w:ascii="Verdana" w:hAnsi="Verdana"/>
          <w:sz w:val="20"/>
          <w:szCs w:val="20"/>
          <w:lang w:val="es-CR"/>
        </w:rPr>
        <w:t>23 de noviembre de 2010</w:t>
      </w:r>
      <w:bookmarkEnd w:id="8"/>
      <w:r w:rsidRPr="00A643AA">
        <w:rPr>
          <w:rFonts w:ascii="Verdana" w:hAnsi="Verdana"/>
          <w:sz w:val="20"/>
          <w:szCs w:val="20"/>
        </w:rPr>
        <w:t xml:space="preserve">, esto es, a esa fecha, </w:t>
      </w:r>
      <w:r>
        <w:rPr>
          <w:rFonts w:ascii="Verdana" w:hAnsi="Verdana"/>
          <w:sz w:val="20"/>
          <w:szCs w:val="20"/>
        </w:rPr>
        <w:t xml:space="preserve">puso término o dio por finalizado a </w:t>
      </w:r>
      <w:r w:rsidRPr="00A643AA">
        <w:rPr>
          <w:rFonts w:ascii="Verdana" w:hAnsi="Verdana"/>
          <w:sz w:val="20"/>
          <w:szCs w:val="20"/>
        </w:rPr>
        <w:t>aqué</w:t>
      </w:r>
      <w:r>
        <w:rPr>
          <w:rFonts w:ascii="Verdana" w:hAnsi="Verdana"/>
          <w:sz w:val="20"/>
          <w:szCs w:val="20"/>
        </w:rPr>
        <w:t>l, con valor de cosa juzgada</w:t>
      </w:r>
      <w:r w:rsidRPr="00A643AA">
        <w:rPr>
          <w:rFonts w:ascii="Verdana" w:hAnsi="Verdana"/>
          <w:sz w:val="20"/>
          <w:szCs w:val="20"/>
        </w:rPr>
        <w:t xml:space="preserve">, </w:t>
      </w:r>
      <w:r>
        <w:rPr>
          <w:rFonts w:ascii="Verdana" w:hAnsi="Verdana"/>
          <w:sz w:val="20"/>
          <w:szCs w:val="20"/>
        </w:rPr>
        <w:t xml:space="preserve">incluso para la propia Corte, </w:t>
      </w:r>
      <w:r w:rsidRPr="00A643AA">
        <w:rPr>
          <w:rFonts w:ascii="Verdana" w:hAnsi="Verdana"/>
          <w:sz w:val="20"/>
          <w:szCs w:val="20"/>
        </w:rPr>
        <w:t xml:space="preserve">por lo que, consecuentemente, </w:t>
      </w:r>
      <w:r>
        <w:rPr>
          <w:rFonts w:ascii="Verdana" w:hAnsi="Verdana"/>
          <w:sz w:val="20"/>
          <w:szCs w:val="20"/>
        </w:rPr>
        <w:t xml:space="preserve">a la fecha en que se ordenaron las medidas urgentes por parte de la Presidenta de la Corte, es decir, el </w:t>
      </w:r>
      <w:r w:rsidR="00546950" w:rsidRPr="00F85FDE">
        <w:rPr>
          <w:rFonts w:ascii="Verdana" w:eastAsia="Times" w:hAnsi="Verdana"/>
          <w:sz w:val="20"/>
          <w:lang w:val="es-AR"/>
        </w:rPr>
        <w:t xml:space="preserve">26 de mayo de </w:t>
      </w:r>
      <w:r w:rsidR="00546950" w:rsidRPr="00F85FDE">
        <w:rPr>
          <w:rFonts w:ascii="Verdana" w:eastAsia="Times" w:hAnsi="Verdana"/>
          <w:sz w:val="20"/>
          <w:szCs w:val="20"/>
          <w:lang w:val="es-AR"/>
        </w:rPr>
        <w:t>2020</w:t>
      </w:r>
      <w:r w:rsidR="00546950">
        <w:rPr>
          <w:rFonts w:ascii="Verdana" w:hAnsi="Verdana"/>
          <w:sz w:val="20"/>
          <w:szCs w:val="20"/>
        </w:rPr>
        <w:t xml:space="preserve"> </w:t>
      </w:r>
      <w:r>
        <w:rPr>
          <w:rFonts w:ascii="Verdana" w:hAnsi="Verdana"/>
          <w:sz w:val="20"/>
          <w:szCs w:val="20"/>
        </w:rPr>
        <w:t>del año en curso, y con mayor razón todavía a esta fecha, esto es, la de la Resolución que ratifica a aquella</w:t>
      </w:r>
      <w:r>
        <w:rPr>
          <w:rStyle w:val="Refdenotaalpie"/>
          <w:rFonts w:ascii="Verdana" w:hAnsi="Verdana"/>
          <w:sz w:val="20"/>
          <w:szCs w:val="20"/>
        </w:rPr>
        <w:footnoteReference w:id="55"/>
      </w:r>
      <w:r>
        <w:rPr>
          <w:rFonts w:ascii="Verdana" w:hAnsi="Verdana"/>
          <w:sz w:val="20"/>
          <w:szCs w:val="20"/>
        </w:rPr>
        <w:t xml:space="preserve">, </w:t>
      </w:r>
      <w:r w:rsidRPr="00A643AA">
        <w:rPr>
          <w:rFonts w:ascii="Verdana" w:hAnsi="Verdana"/>
          <w:sz w:val="20"/>
          <w:szCs w:val="20"/>
        </w:rPr>
        <w:t xml:space="preserve">la facultad </w:t>
      </w:r>
      <w:r>
        <w:rPr>
          <w:rFonts w:ascii="Verdana" w:hAnsi="Verdana"/>
          <w:sz w:val="20"/>
          <w:szCs w:val="20"/>
        </w:rPr>
        <w:t xml:space="preserve">de </w:t>
      </w:r>
      <w:r w:rsidRPr="00A643AA">
        <w:rPr>
          <w:rFonts w:ascii="Verdana" w:hAnsi="Verdana"/>
          <w:sz w:val="20"/>
          <w:szCs w:val="20"/>
        </w:rPr>
        <w:t>dictar medidas provisionales al respecto</w:t>
      </w:r>
      <w:r w:rsidR="00B964D3">
        <w:rPr>
          <w:rFonts w:ascii="Verdana" w:hAnsi="Verdana"/>
          <w:sz w:val="20"/>
          <w:szCs w:val="20"/>
        </w:rPr>
        <w:t xml:space="preserve"> había preclui</w:t>
      </w:r>
      <w:r>
        <w:rPr>
          <w:rFonts w:ascii="Verdana" w:hAnsi="Verdana"/>
          <w:sz w:val="20"/>
          <w:szCs w:val="20"/>
        </w:rPr>
        <w:t>do</w:t>
      </w:r>
      <w:r w:rsidRPr="00A643AA">
        <w:rPr>
          <w:rFonts w:ascii="Verdana" w:hAnsi="Verdana"/>
          <w:sz w:val="20"/>
          <w:szCs w:val="20"/>
        </w:rPr>
        <w:t>.</w:t>
      </w:r>
      <w:r>
        <w:rPr>
          <w:rFonts w:ascii="Verdana" w:hAnsi="Verdana"/>
          <w:sz w:val="20"/>
          <w:szCs w:val="20"/>
        </w:rPr>
        <w:t xml:space="preserve"> </w:t>
      </w:r>
    </w:p>
    <w:p w14:paraId="5780866B" w14:textId="77777777" w:rsidR="00546950" w:rsidRDefault="00546950" w:rsidP="00546950">
      <w:pPr>
        <w:pStyle w:val="Prrafodelista"/>
        <w:rPr>
          <w:rFonts w:ascii="Verdana" w:eastAsiaTheme="minorEastAsia" w:hAnsi="Verdana" w:cs="Arial"/>
          <w:sz w:val="20"/>
          <w:szCs w:val="20"/>
          <w:lang w:val="es-ES"/>
        </w:rPr>
      </w:pPr>
    </w:p>
    <w:p w14:paraId="4E23DEA4" w14:textId="5F702B8B" w:rsidR="00907144" w:rsidRPr="00546950" w:rsidRDefault="00907144" w:rsidP="00546950">
      <w:pPr>
        <w:numPr>
          <w:ilvl w:val="0"/>
          <w:numId w:val="1"/>
        </w:numPr>
        <w:spacing w:after="0" w:line="276" w:lineRule="auto"/>
        <w:ind w:left="-207"/>
        <w:contextualSpacing/>
        <w:jc w:val="both"/>
        <w:rPr>
          <w:rFonts w:ascii="Verdana" w:eastAsiaTheme="minorEastAsia" w:hAnsi="Verdana" w:cs="Arial"/>
          <w:sz w:val="20"/>
          <w:szCs w:val="20"/>
          <w:lang w:val="es-ES"/>
        </w:rPr>
      </w:pPr>
      <w:r w:rsidRPr="00546950">
        <w:rPr>
          <w:rFonts w:ascii="Verdana" w:eastAsiaTheme="minorEastAsia" w:hAnsi="Verdana" w:cs="Arial"/>
          <w:sz w:val="20"/>
          <w:szCs w:val="20"/>
          <w:lang w:val="es-ES"/>
        </w:rPr>
        <w:t>Por lo mismo, no es procedente el fundamento invocado en la Resolución</w:t>
      </w:r>
      <w:r w:rsidR="00546950">
        <w:rPr>
          <w:rFonts w:ascii="Verdana" w:eastAsiaTheme="minorEastAsia" w:hAnsi="Verdana" w:cs="Arial"/>
          <w:sz w:val="20"/>
          <w:szCs w:val="20"/>
          <w:lang w:val="es-ES"/>
        </w:rPr>
        <w:t xml:space="preserve">, </w:t>
      </w:r>
      <w:r w:rsidRPr="00546950">
        <w:rPr>
          <w:rFonts w:ascii="Verdana" w:eastAsiaTheme="minorEastAsia" w:hAnsi="Verdana" w:cs="Arial"/>
          <w:sz w:val="20"/>
          <w:szCs w:val="20"/>
          <w:lang w:val="es-ES"/>
        </w:rPr>
        <w:t xml:space="preserve">en el sentido de que la petición </w:t>
      </w:r>
      <w:r w:rsidR="00546950">
        <w:rPr>
          <w:rFonts w:ascii="Verdana" w:eastAsiaTheme="minorEastAsia" w:hAnsi="Verdana" w:cs="Arial"/>
          <w:sz w:val="20"/>
          <w:szCs w:val="20"/>
          <w:lang w:val="es-ES"/>
        </w:rPr>
        <w:t>tiene relación con el objeto del caso</w:t>
      </w:r>
      <w:r w:rsidR="00546950">
        <w:rPr>
          <w:rStyle w:val="Refdenotaalpie"/>
          <w:rFonts w:ascii="Verdana" w:eastAsiaTheme="minorEastAsia" w:hAnsi="Verdana" w:cs="Arial"/>
          <w:sz w:val="20"/>
          <w:szCs w:val="20"/>
          <w:lang w:val="es-ES"/>
        </w:rPr>
        <w:footnoteReference w:id="56"/>
      </w:r>
      <w:r w:rsidR="00546950">
        <w:rPr>
          <w:rFonts w:ascii="Verdana" w:eastAsiaTheme="minorEastAsia" w:hAnsi="Verdana" w:cs="Arial"/>
          <w:sz w:val="20"/>
          <w:szCs w:val="20"/>
          <w:lang w:val="es-ES"/>
        </w:rPr>
        <w:t xml:space="preserve">, puesto que </w:t>
      </w:r>
      <w:r w:rsidRPr="00546950">
        <w:rPr>
          <w:rFonts w:ascii="Verdana" w:hAnsi="Verdana"/>
          <w:sz w:val="20"/>
          <w:szCs w:val="20"/>
        </w:rPr>
        <w:t>en circunstancias de que, por haberse di</w:t>
      </w:r>
      <w:r w:rsidR="00546950">
        <w:rPr>
          <w:rFonts w:ascii="Verdana" w:hAnsi="Verdana"/>
          <w:sz w:val="20"/>
          <w:szCs w:val="20"/>
        </w:rPr>
        <w:t xml:space="preserve">ctado </w:t>
      </w:r>
      <w:r w:rsidRPr="00546950">
        <w:rPr>
          <w:rFonts w:ascii="Verdana" w:hAnsi="Verdana"/>
          <w:sz w:val="20"/>
          <w:szCs w:val="20"/>
        </w:rPr>
        <w:t xml:space="preserve">Sentencia definitiva e inapelable, la Corte no estaba ya conociendo </w:t>
      </w:r>
      <w:r w:rsidR="00546950">
        <w:rPr>
          <w:rFonts w:ascii="Verdana" w:hAnsi="Verdana"/>
          <w:sz w:val="20"/>
          <w:szCs w:val="20"/>
        </w:rPr>
        <w:t>de aqué</w:t>
      </w:r>
      <w:r w:rsidR="005C1EA6">
        <w:rPr>
          <w:rFonts w:ascii="Verdana" w:hAnsi="Verdana"/>
          <w:sz w:val="20"/>
          <w:szCs w:val="20"/>
        </w:rPr>
        <w:t>l</w:t>
      </w:r>
      <w:r w:rsidRPr="00546950">
        <w:rPr>
          <w:rFonts w:ascii="Verdana" w:hAnsi="Verdana"/>
          <w:sz w:val="20"/>
          <w:szCs w:val="20"/>
        </w:rPr>
        <w:t xml:space="preserve">, esto es, </w:t>
      </w:r>
      <w:r w:rsidR="005C1EA6">
        <w:rPr>
          <w:rFonts w:ascii="Verdana" w:hAnsi="Verdana"/>
          <w:sz w:val="20"/>
          <w:szCs w:val="20"/>
        </w:rPr>
        <w:t>él ya no existía</w:t>
      </w:r>
      <w:r w:rsidRPr="00546950">
        <w:rPr>
          <w:rFonts w:ascii="Verdana" w:hAnsi="Verdana"/>
          <w:sz w:val="20"/>
          <w:szCs w:val="20"/>
        </w:rPr>
        <w:t>.</w:t>
      </w:r>
    </w:p>
    <w:p w14:paraId="51210CF9" w14:textId="77777777" w:rsidR="00907144" w:rsidRPr="00A643AA" w:rsidRDefault="00907144" w:rsidP="00907144">
      <w:pPr>
        <w:spacing w:after="0" w:line="276" w:lineRule="auto"/>
        <w:contextualSpacing/>
        <w:jc w:val="both"/>
        <w:rPr>
          <w:rFonts w:ascii="Verdana" w:eastAsiaTheme="minorEastAsia" w:hAnsi="Verdana" w:cs="Arial"/>
          <w:sz w:val="20"/>
          <w:szCs w:val="20"/>
          <w:lang w:val="es-ES"/>
        </w:rPr>
      </w:pPr>
    </w:p>
    <w:p w14:paraId="45331496" w14:textId="3D756439" w:rsidR="00316BE6" w:rsidRDefault="00907144" w:rsidP="00316BE6">
      <w:pPr>
        <w:numPr>
          <w:ilvl w:val="0"/>
          <w:numId w:val="1"/>
        </w:numPr>
        <w:spacing w:after="0" w:line="276" w:lineRule="auto"/>
        <w:ind w:left="-207"/>
        <w:contextualSpacing/>
        <w:jc w:val="both"/>
        <w:rPr>
          <w:rFonts w:ascii="Verdana" w:eastAsiaTheme="minorEastAsia" w:hAnsi="Verdana" w:cs="Arial"/>
          <w:sz w:val="20"/>
          <w:szCs w:val="20"/>
          <w:lang w:val="es-ES"/>
        </w:rPr>
      </w:pPr>
      <w:r>
        <w:rPr>
          <w:rFonts w:ascii="Verdana" w:eastAsiaTheme="minorEastAsia" w:hAnsi="Verdana" w:cs="Arial"/>
          <w:sz w:val="20"/>
          <w:szCs w:val="20"/>
          <w:lang w:val="es-ES"/>
        </w:rPr>
        <w:t>Es por ello, que en este asunto tampoco precede, a contrario de lo que señala la Resolución</w:t>
      </w:r>
      <w:r>
        <w:rPr>
          <w:rStyle w:val="Refdenotaalpie"/>
          <w:rFonts w:ascii="Verdana" w:eastAsiaTheme="minorEastAsia" w:hAnsi="Verdana" w:cs="Arial"/>
          <w:sz w:val="20"/>
          <w:szCs w:val="20"/>
          <w:lang w:val="es-ES"/>
        </w:rPr>
        <w:footnoteReference w:id="57"/>
      </w:r>
      <w:r>
        <w:rPr>
          <w:rFonts w:ascii="Verdana" w:eastAsiaTheme="minorEastAsia" w:hAnsi="Verdana" w:cs="Arial"/>
          <w:sz w:val="20"/>
          <w:szCs w:val="20"/>
          <w:lang w:val="es-ES"/>
        </w:rPr>
        <w:t>, la aplicación de los previsto en el Reglamento en orden a la capacidad de</w:t>
      </w:r>
      <w:r w:rsidRPr="00B77346">
        <w:rPr>
          <w:rFonts w:ascii="Verdana" w:hAnsi="Verdana"/>
          <w:sz w:val="20"/>
          <w:szCs w:val="20"/>
          <w:lang w:val="es-CR"/>
        </w:rPr>
        <w:t xml:space="preserve"> las víctimas o las presuntas víctimas o sus representantes,</w:t>
      </w:r>
      <w:r>
        <w:rPr>
          <w:rFonts w:ascii="Verdana" w:hAnsi="Verdana"/>
          <w:sz w:val="20"/>
          <w:szCs w:val="20"/>
          <w:lang w:val="es-CR"/>
        </w:rPr>
        <w:t xml:space="preserve"> de solicitar a la Corte la adopción de medidas provisionales</w:t>
      </w:r>
      <w:r>
        <w:rPr>
          <w:rFonts w:ascii="Verdana" w:eastAsiaTheme="minorEastAsia" w:hAnsi="Verdana" w:cs="Arial"/>
          <w:sz w:val="20"/>
          <w:szCs w:val="20"/>
          <w:lang w:val="es-ES"/>
        </w:rPr>
        <w:t>,</w:t>
      </w:r>
      <w:r>
        <w:rPr>
          <w:rFonts w:ascii="Verdana" w:hAnsi="Verdana"/>
          <w:sz w:val="20"/>
          <w:szCs w:val="20"/>
          <w:lang w:val="es-CR"/>
        </w:rPr>
        <w:t xml:space="preserve"> ya que, a la fecha, ya no existe el caso contencioso a</w:t>
      </w:r>
      <w:r w:rsidR="00C62B79">
        <w:rPr>
          <w:rFonts w:ascii="Verdana" w:hAnsi="Verdana"/>
          <w:sz w:val="20"/>
          <w:szCs w:val="20"/>
          <w:lang w:val="es-CR"/>
        </w:rPr>
        <w:t>l</w:t>
      </w:r>
      <w:r>
        <w:rPr>
          <w:rFonts w:ascii="Verdana" w:hAnsi="Verdana"/>
          <w:sz w:val="20"/>
          <w:szCs w:val="20"/>
          <w:lang w:val="es-CR"/>
        </w:rPr>
        <w:t xml:space="preserve"> que se relaciona</w:t>
      </w:r>
      <w:r w:rsidR="00C62B79">
        <w:rPr>
          <w:rFonts w:ascii="Verdana" w:hAnsi="Verdana"/>
          <w:sz w:val="20"/>
          <w:szCs w:val="20"/>
          <w:lang w:val="es-CR"/>
        </w:rPr>
        <w:t>.</w:t>
      </w:r>
    </w:p>
    <w:p w14:paraId="53A9999B" w14:textId="77777777" w:rsidR="00316BE6" w:rsidRDefault="00316BE6" w:rsidP="00316BE6">
      <w:pPr>
        <w:pStyle w:val="Prrafodelista"/>
        <w:rPr>
          <w:rFonts w:ascii="Verdana" w:hAnsi="Verdana"/>
          <w:sz w:val="20"/>
          <w:szCs w:val="20"/>
        </w:rPr>
      </w:pPr>
    </w:p>
    <w:p w14:paraId="1D21A2B0" w14:textId="77777777" w:rsidR="00316BE6" w:rsidRDefault="00907144" w:rsidP="00316BE6">
      <w:pPr>
        <w:numPr>
          <w:ilvl w:val="0"/>
          <w:numId w:val="1"/>
        </w:numPr>
        <w:spacing w:after="0" w:line="276" w:lineRule="auto"/>
        <w:ind w:left="-207"/>
        <w:contextualSpacing/>
        <w:jc w:val="both"/>
        <w:rPr>
          <w:rFonts w:ascii="Verdana" w:eastAsiaTheme="minorEastAsia" w:hAnsi="Verdana" w:cs="Arial"/>
          <w:sz w:val="20"/>
          <w:szCs w:val="20"/>
          <w:lang w:val="es-ES"/>
        </w:rPr>
      </w:pPr>
      <w:r w:rsidRPr="00316BE6">
        <w:rPr>
          <w:rFonts w:ascii="Verdana" w:hAnsi="Verdana"/>
          <w:sz w:val="20"/>
          <w:szCs w:val="20"/>
        </w:rPr>
        <w:t xml:space="preserve">Finalmente, es del todo indispensable llamar profundamente la atención acerca de que la Resolución no haya realizado razonamiento alguno acerca de la posibilidad de que, en la situación de autos, podría haber tenido aplicación lo dispuesto en la frase final del artículo 63.2 de la Convención, es decir, no </w:t>
      </w:r>
      <w:r w:rsidR="00316BE6">
        <w:rPr>
          <w:rFonts w:ascii="Verdana" w:hAnsi="Verdana"/>
          <w:sz w:val="20"/>
          <w:szCs w:val="20"/>
        </w:rPr>
        <w:t>se analizó</w:t>
      </w:r>
      <w:r w:rsidRPr="00316BE6">
        <w:rPr>
          <w:rFonts w:ascii="Verdana" w:hAnsi="Verdana"/>
          <w:sz w:val="20"/>
          <w:szCs w:val="20"/>
        </w:rPr>
        <w:t xml:space="preserve">, ni </w:t>
      </w:r>
      <w:r w:rsidR="00316BE6">
        <w:rPr>
          <w:rFonts w:ascii="Verdana" w:hAnsi="Verdana"/>
          <w:sz w:val="20"/>
          <w:szCs w:val="20"/>
        </w:rPr>
        <w:t xml:space="preserve">aún </w:t>
      </w:r>
      <w:r w:rsidRPr="00316BE6">
        <w:rPr>
          <w:rFonts w:ascii="Verdana" w:hAnsi="Verdana"/>
          <w:sz w:val="20"/>
          <w:szCs w:val="20"/>
        </w:rPr>
        <w:t xml:space="preserve">para descartarla, la alternativa de que la Corte podría haber procedido únicamente a solicitud de la Comisión. </w:t>
      </w:r>
    </w:p>
    <w:p w14:paraId="2E6B0744" w14:textId="77777777" w:rsidR="00316BE6" w:rsidRDefault="00316BE6" w:rsidP="00316BE6">
      <w:pPr>
        <w:pStyle w:val="Prrafodelista"/>
        <w:rPr>
          <w:rFonts w:ascii="Verdana" w:hAnsi="Verdana"/>
          <w:sz w:val="20"/>
          <w:szCs w:val="20"/>
          <w:lang w:val="es-CR"/>
        </w:rPr>
      </w:pPr>
    </w:p>
    <w:p w14:paraId="7865FC16" w14:textId="22DF00ED" w:rsidR="00316BE6" w:rsidRPr="00316BE6" w:rsidRDefault="00907144" w:rsidP="00316BE6">
      <w:pPr>
        <w:numPr>
          <w:ilvl w:val="0"/>
          <w:numId w:val="1"/>
        </w:numPr>
        <w:spacing w:after="0" w:line="276" w:lineRule="auto"/>
        <w:ind w:left="-207"/>
        <w:contextualSpacing/>
        <w:jc w:val="both"/>
        <w:rPr>
          <w:rFonts w:ascii="Verdana" w:eastAsiaTheme="minorEastAsia" w:hAnsi="Verdana" w:cs="Arial"/>
          <w:sz w:val="20"/>
          <w:szCs w:val="20"/>
          <w:lang w:val="es-ES"/>
        </w:rPr>
      </w:pPr>
      <w:r w:rsidRPr="00316BE6">
        <w:rPr>
          <w:rFonts w:ascii="Verdana" w:hAnsi="Verdana"/>
          <w:sz w:val="20"/>
          <w:szCs w:val="20"/>
          <w:lang w:val="es-CR"/>
        </w:rPr>
        <w:t xml:space="preserve">Y también resulta inquietante que en parte alguna de la Resolución se aborde la </w:t>
      </w:r>
      <w:r w:rsidRPr="00316BE6">
        <w:rPr>
          <w:rFonts w:ascii="Verdana" w:hAnsi="Verdana" w:cs="Tahoma"/>
          <w:color w:val="000000"/>
          <w:sz w:val="20"/>
          <w:szCs w:val="20"/>
        </w:rPr>
        <w:t xml:space="preserve">naturaleza convencional coadyuvante o complementaria </w:t>
      </w:r>
      <w:r w:rsidRPr="00316BE6">
        <w:rPr>
          <w:rFonts w:ascii="Verdana" w:hAnsi="Verdana"/>
          <w:sz w:val="20"/>
          <w:szCs w:val="20"/>
          <w:lang w:val="es-CR"/>
        </w:rPr>
        <w:t>de la protección internacional de la que ofrece el derecho interno de los Estados americanos</w:t>
      </w:r>
      <w:r>
        <w:rPr>
          <w:rStyle w:val="Refdenotaalpie"/>
          <w:rFonts w:ascii="Verdana" w:hAnsi="Verdana"/>
          <w:sz w:val="20"/>
          <w:szCs w:val="20"/>
          <w:lang w:val="es-CR"/>
        </w:rPr>
        <w:footnoteReference w:id="58"/>
      </w:r>
      <w:r w:rsidRPr="00316BE6">
        <w:rPr>
          <w:rFonts w:ascii="Verdana" w:hAnsi="Verdana"/>
          <w:sz w:val="20"/>
          <w:szCs w:val="20"/>
          <w:lang w:val="es-CR"/>
        </w:rPr>
        <w:t xml:space="preserve">. Es decir, en la resolución no se da razón por la que los peticionarios de las medidas provisionales no concurrieron ante las autoridades nacionales competentes requiriendo las medidas de protección </w:t>
      </w:r>
      <w:r w:rsidR="00324D2C" w:rsidRPr="00316BE6">
        <w:rPr>
          <w:rFonts w:ascii="Verdana" w:hAnsi="Verdana"/>
          <w:sz w:val="20"/>
          <w:szCs w:val="20"/>
          <w:lang w:val="es-CR"/>
        </w:rPr>
        <w:t>correspondientes.</w:t>
      </w:r>
    </w:p>
    <w:p w14:paraId="7B84C289" w14:textId="77777777" w:rsidR="00316BE6" w:rsidRDefault="00316BE6" w:rsidP="00316BE6">
      <w:pPr>
        <w:pStyle w:val="Prrafodelista"/>
        <w:rPr>
          <w:rFonts w:ascii="Verdana" w:hAnsi="Verdana"/>
          <w:sz w:val="20"/>
          <w:szCs w:val="20"/>
          <w:lang w:val="es-CR"/>
        </w:rPr>
      </w:pPr>
    </w:p>
    <w:p w14:paraId="55310426" w14:textId="45BF8076" w:rsidR="00907144" w:rsidRPr="00316BE6" w:rsidRDefault="00907144" w:rsidP="00316BE6">
      <w:pPr>
        <w:numPr>
          <w:ilvl w:val="0"/>
          <w:numId w:val="1"/>
        </w:numPr>
        <w:spacing w:after="0" w:line="276" w:lineRule="auto"/>
        <w:ind w:left="-207"/>
        <w:contextualSpacing/>
        <w:jc w:val="both"/>
        <w:rPr>
          <w:rFonts w:ascii="Verdana" w:eastAsiaTheme="minorEastAsia" w:hAnsi="Verdana" w:cs="Arial"/>
          <w:sz w:val="20"/>
          <w:szCs w:val="20"/>
          <w:lang w:val="es-ES"/>
        </w:rPr>
      </w:pPr>
      <w:r w:rsidRPr="00316BE6">
        <w:rPr>
          <w:rFonts w:ascii="Verdana" w:hAnsi="Verdana"/>
          <w:sz w:val="20"/>
          <w:szCs w:val="20"/>
          <w:lang w:val="es-CR"/>
        </w:rPr>
        <w:t>Así</w:t>
      </w:r>
      <w:r w:rsidR="00316BE6">
        <w:rPr>
          <w:rFonts w:ascii="Verdana" w:hAnsi="Verdana"/>
          <w:sz w:val="20"/>
          <w:szCs w:val="20"/>
          <w:lang w:val="es-CR"/>
        </w:rPr>
        <w:t xml:space="preserve"> las cosas</w:t>
      </w:r>
      <w:r w:rsidRPr="00316BE6">
        <w:rPr>
          <w:rFonts w:ascii="Verdana" w:hAnsi="Verdana"/>
          <w:sz w:val="20"/>
          <w:szCs w:val="20"/>
          <w:lang w:val="es-CR"/>
        </w:rPr>
        <w:t xml:space="preserve">, entonces, la Resolución hace caso omiso de lo dispuesto en el artículo 63.2 de la Convención, despojando sin más a su frase final de toda posibilidad, aunque fuese mínima, de aplicación, sin considerar, por otra parte, que la facultad de intervención de la Comisión prevista en ella, debía ser interpretada como parte del SIDH. </w:t>
      </w:r>
    </w:p>
    <w:p w14:paraId="547901BE" w14:textId="77777777" w:rsidR="00907144" w:rsidRPr="00A643AA" w:rsidRDefault="00907144" w:rsidP="00907144">
      <w:pPr>
        <w:spacing w:after="0" w:line="276" w:lineRule="auto"/>
        <w:ind w:left="0" w:right="0"/>
        <w:contextualSpacing/>
        <w:jc w:val="both"/>
        <w:rPr>
          <w:rFonts w:ascii="Verdana" w:hAnsi="Verdana"/>
          <w:sz w:val="20"/>
          <w:szCs w:val="20"/>
        </w:rPr>
      </w:pPr>
    </w:p>
    <w:p w14:paraId="4144AAFE" w14:textId="77777777" w:rsidR="00907144" w:rsidRPr="00A643AA" w:rsidRDefault="00907144" w:rsidP="009E6C61">
      <w:pPr>
        <w:numPr>
          <w:ilvl w:val="0"/>
          <w:numId w:val="5"/>
        </w:numPr>
        <w:spacing w:after="100" w:afterAutospacing="1" w:line="276" w:lineRule="auto"/>
        <w:ind w:left="-567" w:right="0" w:firstLine="0"/>
        <w:contextualSpacing/>
        <w:jc w:val="both"/>
        <w:rPr>
          <w:rFonts w:ascii="Verdana" w:hAnsi="Verdana"/>
          <w:sz w:val="20"/>
          <w:szCs w:val="20"/>
        </w:rPr>
      </w:pPr>
      <w:r w:rsidRPr="00A643AA">
        <w:rPr>
          <w:rFonts w:ascii="Verdana" w:hAnsi="Verdana"/>
          <w:b/>
          <w:bCs/>
          <w:sz w:val="20"/>
          <w:szCs w:val="20"/>
        </w:rPr>
        <w:t>CONCLUSIONES.</w:t>
      </w:r>
    </w:p>
    <w:p w14:paraId="0260AB5E" w14:textId="77777777" w:rsidR="00907144" w:rsidRPr="00A643AA" w:rsidRDefault="00907144" w:rsidP="00907144">
      <w:pPr>
        <w:spacing w:after="100" w:afterAutospacing="1" w:line="276" w:lineRule="auto"/>
        <w:ind w:left="0" w:right="0"/>
        <w:contextualSpacing/>
        <w:jc w:val="both"/>
        <w:rPr>
          <w:rFonts w:ascii="Verdana" w:hAnsi="Verdana"/>
          <w:sz w:val="20"/>
          <w:szCs w:val="20"/>
        </w:rPr>
      </w:pPr>
    </w:p>
    <w:p w14:paraId="519AE780" w14:textId="0CBEA23C" w:rsidR="00907144" w:rsidRDefault="00907144" w:rsidP="009E6C61">
      <w:pPr>
        <w:numPr>
          <w:ilvl w:val="0"/>
          <w:numId w:val="1"/>
        </w:numPr>
        <w:spacing w:after="0" w:line="276" w:lineRule="auto"/>
        <w:ind w:left="-207"/>
        <w:contextualSpacing/>
        <w:jc w:val="both"/>
        <w:rPr>
          <w:rFonts w:ascii="Verdana" w:hAnsi="Verdana"/>
          <w:sz w:val="20"/>
          <w:szCs w:val="20"/>
        </w:rPr>
      </w:pPr>
      <w:r w:rsidRPr="00A643AA">
        <w:rPr>
          <w:rFonts w:ascii="Verdana" w:hAnsi="Verdana"/>
          <w:sz w:val="20"/>
          <w:szCs w:val="20"/>
        </w:rPr>
        <w:t xml:space="preserve">De todo </w:t>
      </w:r>
      <w:r w:rsidR="00A41FE6">
        <w:rPr>
          <w:rFonts w:ascii="Verdana" w:hAnsi="Verdana"/>
          <w:sz w:val="20"/>
          <w:szCs w:val="20"/>
        </w:rPr>
        <w:t>l</w:t>
      </w:r>
      <w:r w:rsidRPr="00A643AA">
        <w:rPr>
          <w:rFonts w:ascii="Verdana" w:hAnsi="Verdana"/>
          <w:sz w:val="20"/>
          <w:szCs w:val="20"/>
        </w:rPr>
        <w:t xml:space="preserve">o expuesto precedentemente, se concluye en que la Corte, carece de competencia para decretar o ratificar la ampliación de medidas provisionales en relación o vinculación a un caso que ya ha sido fallado, como es el de autos. En tal eventualidad, su facultad al respecto ha precluido, en razón de que el caso ya no se encuentra bajo su conocimiento y, consecuentemente, resolución. </w:t>
      </w:r>
      <w:r w:rsidR="00316BE6">
        <w:rPr>
          <w:rFonts w:ascii="Verdana" w:hAnsi="Verdana"/>
          <w:sz w:val="20"/>
          <w:szCs w:val="20"/>
        </w:rPr>
        <w:t>La Corte, por ende, se excedió en su competencia</w:t>
      </w:r>
      <w:r w:rsidR="00A41FE6">
        <w:rPr>
          <w:rFonts w:ascii="Verdana" w:hAnsi="Verdana"/>
          <w:sz w:val="20"/>
          <w:szCs w:val="20"/>
        </w:rPr>
        <w:t>.</w:t>
      </w:r>
    </w:p>
    <w:p w14:paraId="3EAFF5BD" w14:textId="77777777" w:rsidR="00907144" w:rsidRPr="00FC4A82" w:rsidRDefault="00907144" w:rsidP="00316BE6">
      <w:pPr>
        <w:spacing w:after="0" w:line="276" w:lineRule="auto"/>
        <w:contextualSpacing/>
        <w:jc w:val="both"/>
        <w:rPr>
          <w:rFonts w:ascii="Verdana" w:hAnsi="Verdana"/>
          <w:sz w:val="20"/>
          <w:szCs w:val="20"/>
        </w:rPr>
      </w:pPr>
    </w:p>
    <w:p w14:paraId="7F733523" w14:textId="77777777" w:rsidR="00907144" w:rsidRDefault="00907144" w:rsidP="009E6C61">
      <w:pPr>
        <w:numPr>
          <w:ilvl w:val="0"/>
          <w:numId w:val="1"/>
        </w:numPr>
        <w:spacing w:after="0" w:line="276" w:lineRule="auto"/>
        <w:ind w:left="-207"/>
        <w:contextualSpacing/>
        <w:jc w:val="both"/>
        <w:rPr>
          <w:rFonts w:ascii="Verdana" w:hAnsi="Verdana"/>
          <w:sz w:val="20"/>
          <w:szCs w:val="20"/>
        </w:rPr>
      </w:pPr>
      <w:r w:rsidRPr="00A643AA">
        <w:rPr>
          <w:rFonts w:ascii="Verdana" w:hAnsi="Verdana"/>
          <w:sz w:val="20"/>
          <w:szCs w:val="20"/>
        </w:rPr>
        <w:t>A</w:t>
      </w:r>
      <w:r>
        <w:rPr>
          <w:rFonts w:ascii="Verdana" w:hAnsi="Verdana"/>
          <w:sz w:val="20"/>
          <w:szCs w:val="20"/>
        </w:rPr>
        <w:t xml:space="preserve">simismo, se colige </w:t>
      </w:r>
      <w:r w:rsidRPr="00A643AA">
        <w:rPr>
          <w:rFonts w:ascii="Verdana" w:hAnsi="Verdana"/>
          <w:sz w:val="20"/>
          <w:szCs w:val="20"/>
        </w:rPr>
        <w:t>que los fundamentos esgrimidos en la Resolución para ordenar las medidas provisionales, dicen relación más con la institución reglamentaria de supervisión de cumplimiento de sentencias que con la de aquellas.</w:t>
      </w:r>
    </w:p>
    <w:p w14:paraId="01CA8BFC" w14:textId="77777777" w:rsidR="00907144" w:rsidRPr="00FC4A82" w:rsidRDefault="00907144" w:rsidP="00907144">
      <w:pPr>
        <w:spacing w:after="0" w:line="276" w:lineRule="auto"/>
        <w:ind w:left="0"/>
        <w:contextualSpacing/>
        <w:jc w:val="both"/>
        <w:rPr>
          <w:rFonts w:ascii="Verdana" w:hAnsi="Verdana"/>
          <w:sz w:val="20"/>
          <w:szCs w:val="20"/>
        </w:rPr>
      </w:pPr>
    </w:p>
    <w:p w14:paraId="5268F738" w14:textId="105F0A04" w:rsidR="00907144" w:rsidRPr="00D83BAA" w:rsidRDefault="00907144" w:rsidP="009E6C61">
      <w:pPr>
        <w:numPr>
          <w:ilvl w:val="0"/>
          <w:numId w:val="1"/>
        </w:numPr>
        <w:spacing w:after="0" w:line="276" w:lineRule="auto"/>
        <w:ind w:left="-207"/>
        <w:contextualSpacing/>
        <w:jc w:val="both"/>
        <w:rPr>
          <w:rFonts w:ascii="Verdana" w:hAnsi="Verdana"/>
          <w:sz w:val="20"/>
          <w:szCs w:val="20"/>
        </w:rPr>
      </w:pPr>
      <w:r>
        <w:rPr>
          <w:rFonts w:ascii="Verdana" w:hAnsi="Verdana"/>
          <w:sz w:val="20"/>
          <w:szCs w:val="20"/>
        </w:rPr>
        <w:t>De ello se puede</w:t>
      </w:r>
      <w:r w:rsidRPr="00A643AA">
        <w:rPr>
          <w:rFonts w:ascii="Verdana" w:hAnsi="Verdana"/>
          <w:sz w:val="20"/>
          <w:szCs w:val="20"/>
        </w:rPr>
        <w:t xml:space="preserve"> </w:t>
      </w:r>
      <w:r>
        <w:rPr>
          <w:rFonts w:ascii="Verdana" w:hAnsi="Verdana"/>
          <w:sz w:val="20"/>
          <w:szCs w:val="20"/>
        </w:rPr>
        <w:t xml:space="preserve">igualmente </w:t>
      </w:r>
      <w:r w:rsidRPr="00A643AA">
        <w:rPr>
          <w:rFonts w:ascii="Verdana" w:hAnsi="Verdana"/>
          <w:sz w:val="20"/>
          <w:szCs w:val="20"/>
        </w:rPr>
        <w:t>presumir, quizás porque las resoluciones que se adoptan al amparo de la institución de supervisión de cumplimiento de sentencia no son tan eficaces como las que se decretan en el ámbito de la figura de las medidas provisionales, que los peticionar</w:t>
      </w:r>
      <w:r w:rsidR="00BB7A19">
        <w:rPr>
          <w:rFonts w:ascii="Verdana" w:hAnsi="Verdana"/>
          <w:sz w:val="20"/>
          <w:szCs w:val="20"/>
        </w:rPr>
        <w:t>io</w:t>
      </w:r>
      <w:r w:rsidRPr="00A643AA">
        <w:rPr>
          <w:rFonts w:ascii="Verdana" w:hAnsi="Verdana"/>
          <w:sz w:val="20"/>
          <w:szCs w:val="20"/>
        </w:rPr>
        <w:t xml:space="preserve">s optaron por requerir estas últimas </w:t>
      </w:r>
      <w:r w:rsidR="009B15E9">
        <w:rPr>
          <w:rFonts w:ascii="Verdana" w:hAnsi="Verdana"/>
          <w:sz w:val="20"/>
          <w:szCs w:val="20"/>
        </w:rPr>
        <w:t xml:space="preserve">para </w:t>
      </w:r>
      <w:r w:rsidRPr="00A643AA">
        <w:rPr>
          <w:rFonts w:ascii="Verdana" w:hAnsi="Verdana"/>
          <w:sz w:val="20"/>
          <w:szCs w:val="20"/>
        </w:rPr>
        <w:t xml:space="preserve">así obtener una decisión cuya obligatoriedad está consagrada en la Convención. </w:t>
      </w:r>
    </w:p>
    <w:p w14:paraId="1FE113C9" w14:textId="77777777" w:rsidR="00907144" w:rsidRPr="00A643AA" w:rsidRDefault="00907144" w:rsidP="00907144">
      <w:pPr>
        <w:spacing w:after="0" w:line="276" w:lineRule="auto"/>
        <w:jc w:val="both"/>
        <w:rPr>
          <w:rFonts w:ascii="Verdana" w:hAnsi="Verdana"/>
          <w:sz w:val="20"/>
          <w:szCs w:val="20"/>
        </w:rPr>
      </w:pPr>
    </w:p>
    <w:p w14:paraId="18C0DAD7" w14:textId="77777777" w:rsidR="00907144" w:rsidRPr="00C46027" w:rsidRDefault="00907144" w:rsidP="009E6C61">
      <w:pPr>
        <w:numPr>
          <w:ilvl w:val="0"/>
          <w:numId w:val="1"/>
        </w:numPr>
        <w:spacing w:after="0" w:line="276" w:lineRule="auto"/>
        <w:ind w:left="-207"/>
        <w:contextualSpacing/>
        <w:jc w:val="both"/>
        <w:rPr>
          <w:rFonts w:ascii="Verdana" w:hAnsi="Verdana"/>
          <w:sz w:val="20"/>
          <w:szCs w:val="20"/>
        </w:rPr>
      </w:pPr>
      <w:r>
        <w:rPr>
          <w:rFonts w:ascii="Verdana" w:hAnsi="Verdana"/>
          <w:sz w:val="20"/>
          <w:szCs w:val="20"/>
        </w:rPr>
        <w:t>Empero, d</w:t>
      </w:r>
      <w:r w:rsidRPr="00A643AA">
        <w:rPr>
          <w:rFonts w:ascii="Verdana" w:hAnsi="Verdana"/>
          <w:sz w:val="20"/>
          <w:szCs w:val="20"/>
        </w:rPr>
        <w:t>e lo sostenido aquí se puede afirmar que</w:t>
      </w:r>
      <w:r>
        <w:rPr>
          <w:rFonts w:ascii="Verdana" w:hAnsi="Verdana"/>
          <w:sz w:val="20"/>
          <w:szCs w:val="20"/>
        </w:rPr>
        <w:t xml:space="preserve"> </w:t>
      </w:r>
      <w:r w:rsidRPr="00A643AA">
        <w:rPr>
          <w:rFonts w:ascii="Verdana" w:hAnsi="Verdana"/>
          <w:sz w:val="20"/>
          <w:szCs w:val="20"/>
        </w:rPr>
        <w:t>el proceder de la Corte</w:t>
      </w:r>
      <w:r>
        <w:rPr>
          <w:rFonts w:ascii="Verdana" w:hAnsi="Verdana"/>
          <w:sz w:val="20"/>
          <w:szCs w:val="20"/>
        </w:rPr>
        <w:t xml:space="preserve"> en autos </w:t>
      </w:r>
      <w:r w:rsidRPr="00A643AA">
        <w:rPr>
          <w:rFonts w:ascii="Verdana" w:hAnsi="Verdana"/>
          <w:sz w:val="20"/>
          <w:szCs w:val="20"/>
        </w:rPr>
        <w:t>dej</w:t>
      </w:r>
      <w:r>
        <w:rPr>
          <w:rFonts w:ascii="Verdana" w:hAnsi="Verdana"/>
          <w:sz w:val="20"/>
          <w:szCs w:val="20"/>
        </w:rPr>
        <w:t>ó</w:t>
      </w:r>
      <w:r w:rsidRPr="00A643AA">
        <w:rPr>
          <w:rFonts w:ascii="Verdana" w:hAnsi="Verdana"/>
          <w:sz w:val="20"/>
          <w:szCs w:val="20"/>
        </w:rPr>
        <w:t xml:space="preserve"> sin sentido y utilidad lo previsto en la última frase del artículo 63.2</w:t>
      </w:r>
      <w:r>
        <w:rPr>
          <w:rFonts w:ascii="Verdana" w:hAnsi="Verdana"/>
          <w:sz w:val="20"/>
          <w:szCs w:val="20"/>
        </w:rPr>
        <w:t xml:space="preserve"> </w:t>
      </w:r>
      <w:r w:rsidRPr="00A643AA">
        <w:rPr>
          <w:rFonts w:ascii="Verdana" w:hAnsi="Verdana"/>
          <w:iCs/>
          <w:sz w:val="20"/>
          <w:szCs w:val="20"/>
          <w:lang w:val="es-ES"/>
        </w:rPr>
        <w:t>y, por tanto, se le priv</w:t>
      </w:r>
      <w:r>
        <w:rPr>
          <w:rFonts w:ascii="Verdana" w:hAnsi="Verdana"/>
          <w:iCs/>
          <w:sz w:val="20"/>
          <w:szCs w:val="20"/>
          <w:lang w:val="es-ES"/>
        </w:rPr>
        <w:t>ó</w:t>
      </w:r>
      <w:r w:rsidRPr="00A643AA">
        <w:rPr>
          <w:rFonts w:ascii="Verdana" w:hAnsi="Verdana"/>
          <w:iCs/>
          <w:sz w:val="20"/>
          <w:szCs w:val="20"/>
          <w:lang w:val="es-ES"/>
        </w:rPr>
        <w:t xml:space="preserve"> a</w:t>
      </w:r>
      <w:r>
        <w:rPr>
          <w:rFonts w:ascii="Verdana" w:hAnsi="Verdana"/>
          <w:iCs/>
          <w:sz w:val="20"/>
          <w:szCs w:val="20"/>
          <w:lang w:val="es-ES"/>
        </w:rPr>
        <w:t xml:space="preserve"> la Comisión</w:t>
      </w:r>
      <w:r w:rsidRPr="00A643AA">
        <w:rPr>
          <w:rFonts w:ascii="Verdana" w:hAnsi="Verdana"/>
          <w:iCs/>
          <w:sz w:val="20"/>
          <w:szCs w:val="20"/>
          <w:lang w:val="es-ES"/>
        </w:rPr>
        <w:t xml:space="preserve"> de la posibilidad de </w:t>
      </w:r>
      <w:r>
        <w:rPr>
          <w:rFonts w:ascii="Verdana" w:hAnsi="Verdana"/>
          <w:iCs/>
          <w:sz w:val="20"/>
          <w:szCs w:val="20"/>
          <w:lang w:val="es-ES"/>
        </w:rPr>
        <w:t xml:space="preserve">oportuna y también urgentemente ejercer sus atribuciones </w:t>
      </w:r>
      <w:r w:rsidRPr="00A643AA">
        <w:rPr>
          <w:rFonts w:ascii="Verdana" w:hAnsi="Verdana"/>
          <w:iCs/>
          <w:sz w:val="20"/>
          <w:szCs w:val="20"/>
          <w:lang w:val="es-ES"/>
        </w:rPr>
        <w:t xml:space="preserve">en este asunto, afectándose así al funcionamiento del </w:t>
      </w:r>
      <w:r w:rsidRPr="00A643AA">
        <w:rPr>
          <w:rFonts w:ascii="Verdana" w:hAnsi="Verdana"/>
          <w:sz w:val="20"/>
          <w:szCs w:val="20"/>
        </w:rPr>
        <w:t xml:space="preserve">conjunto del SIDH. </w:t>
      </w:r>
    </w:p>
    <w:p w14:paraId="39983542" w14:textId="77777777" w:rsidR="00907144" w:rsidRPr="00C46027" w:rsidRDefault="00907144" w:rsidP="00907144">
      <w:pPr>
        <w:spacing w:after="0" w:line="276" w:lineRule="auto"/>
        <w:contextualSpacing/>
        <w:jc w:val="both"/>
        <w:rPr>
          <w:rFonts w:ascii="Verdana" w:hAnsi="Verdana"/>
          <w:sz w:val="20"/>
          <w:szCs w:val="20"/>
        </w:rPr>
      </w:pPr>
    </w:p>
    <w:p w14:paraId="1F4005F0" w14:textId="01AFC8B2" w:rsidR="00907144" w:rsidRDefault="00907144" w:rsidP="009E6C61">
      <w:pPr>
        <w:numPr>
          <w:ilvl w:val="0"/>
          <w:numId w:val="1"/>
        </w:numPr>
        <w:spacing w:after="0" w:line="276" w:lineRule="auto"/>
        <w:ind w:left="-207"/>
        <w:contextualSpacing/>
        <w:jc w:val="both"/>
        <w:rPr>
          <w:rFonts w:ascii="Verdana" w:hAnsi="Verdana"/>
          <w:sz w:val="20"/>
          <w:szCs w:val="20"/>
        </w:rPr>
      </w:pPr>
      <w:r w:rsidRPr="00C46027">
        <w:rPr>
          <w:rFonts w:ascii="Verdana" w:hAnsi="Verdana"/>
          <w:sz w:val="20"/>
          <w:szCs w:val="20"/>
        </w:rPr>
        <w:t xml:space="preserve">En esta perspectiva, es de advertir que, al sostener en este escrito que la petición de medidas provisionales debería haberse dirigido a la Comisión, requiriéndolas como medidas cautelares y que, consecuentemente, la Corte debería haberse abstenido de pronunciarse, por ahora, sobre ellas, no se procede en contra del oportuno respeto y restablecimiento </w:t>
      </w:r>
      <w:r w:rsidR="00BB7A19">
        <w:rPr>
          <w:rFonts w:ascii="Verdana" w:hAnsi="Verdana"/>
          <w:sz w:val="20"/>
          <w:szCs w:val="20"/>
        </w:rPr>
        <w:t xml:space="preserve">de </w:t>
      </w:r>
      <w:r w:rsidRPr="00C46027">
        <w:rPr>
          <w:rFonts w:ascii="Verdana" w:hAnsi="Verdana"/>
          <w:sz w:val="20"/>
          <w:szCs w:val="20"/>
        </w:rPr>
        <w:t xml:space="preserve">la vigencia de los derechos humanos. </w:t>
      </w:r>
      <w:r>
        <w:rPr>
          <w:rFonts w:ascii="Verdana" w:hAnsi="Verdana"/>
          <w:sz w:val="20"/>
          <w:szCs w:val="20"/>
        </w:rPr>
        <w:t>Muy p</w:t>
      </w:r>
      <w:r w:rsidRPr="00C46027">
        <w:rPr>
          <w:rFonts w:ascii="Verdana" w:hAnsi="Verdana"/>
          <w:sz w:val="20"/>
          <w:szCs w:val="20"/>
        </w:rPr>
        <w:t>or el contrario y aunque a más de alguien le pueda parecer paradójico, esta postura pretende salvaguardar el mecanismo establecido precisamente para ello</w:t>
      </w:r>
      <w:r>
        <w:rPr>
          <w:rFonts w:ascii="Verdana" w:hAnsi="Verdana"/>
          <w:sz w:val="20"/>
          <w:szCs w:val="20"/>
        </w:rPr>
        <w:t xml:space="preserve">. </w:t>
      </w:r>
    </w:p>
    <w:p w14:paraId="76307D4F" w14:textId="77777777" w:rsidR="00907144" w:rsidRPr="00292167" w:rsidRDefault="00907144" w:rsidP="00907144">
      <w:pPr>
        <w:spacing w:after="0" w:line="276" w:lineRule="auto"/>
        <w:ind w:left="0"/>
        <w:contextualSpacing/>
        <w:jc w:val="both"/>
        <w:rPr>
          <w:rFonts w:ascii="Verdana" w:hAnsi="Verdana"/>
          <w:sz w:val="20"/>
          <w:szCs w:val="20"/>
        </w:rPr>
      </w:pPr>
    </w:p>
    <w:p w14:paraId="3D443796" w14:textId="7F0336F2" w:rsidR="00907144" w:rsidRDefault="00907144" w:rsidP="009E6C61">
      <w:pPr>
        <w:numPr>
          <w:ilvl w:val="0"/>
          <w:numId w:val="1"/>
        </w:numPr>
        <w:spacing w:after="0" w:line="276" w:lineRule="auto"/>
        <w:ind w:left="-207"/>
        <w:contextualSpacing/>
        <w:jc w:val="both"/>
        <w:rPr>
          <w:rFonts w:ascii="Verdana" w:hAnsi="Verdana"/>
          <w:sz w:val="20"/>
          <w:szCs w:val="20"/>
        </w:rPr>
      </w:pPr>
      <w:r>
        <w:rPr>
          <w:rFonts w:ascii="Verdana" w:hAnsi="Verdana"/>
          <w:sz w:val="20"/>
          <w:szCs w:val="20"/>
        </w:rPr>
        <w:t xml:space="preserve">Efectivamente, ya que, en tal sentido, se tiene en cuenta, por una parte, la realidad estructural de la sociedad internacional, cual es, que sigue siendo, pese a algunos cambios, básicamente una sociedad entre Estados, los cuales, además, crean el Derecho que la regula, y, por otra parte, que, en </w:t>
      </w:r>
      <w:r w:rsidR="009E6C61">
        <w:rPr>
          <w:rFonts w:ascii="Verdana" w:hAnsi="Verdana"/>
          <w:sz w:val="20"/>
          <w:szCs w:val="20"/>
        </w:rPr>
        <w:t xml:space="preserve">el ámbito </w:t>
      </w:r>
      <w:r>
        <w:rPr>
          <w:rFonts w:ascii="Verdana" w:hAnsi="Verdana"/>
          <w:sz w:val="20"/>
          <w:szCs w:val="20"/>
        </w:rPr>
        <w:t xml:space="preserve">de </w:t>
      </w:r>
      <w:r w:rsidR="009E6C61">
        <w:rPr>
          <w:rFonts w:ascii="Verdana" w:hAnsi="Verdana"/>
          <w:sz w:val="20"/>
          <w:szCs w:val="20"/>
        </w:rPr>
        <w:t xml:space="preserve">los </w:t>
      </w:r>
      <w:r>
        <w:rPr>
          <w:rFonts w:ascii="Verdana" w:hAnsi="Verdana"/>
          <w:sz w:val="20"/>
          <w:szCs w:val="20"/>
        </w:rPr>
        <w:t xml:space="preserve">derechos humanos, esos Estados han aceptado voluntariamente limitar su soberanía. De manera, entonces, que, al impartir Justicia en materia de derechos humanos, ciertamente se debe tener conciencia, por una parte, de que no siempre el Derecho refleja lo que podría considerarse justo, en especial por el transcurso del tiempo, y por la otra parte, que, pese a ello, no es conveniente arriesgar lo avanzado. </w:t>
      </w:r>
    </w:p>
    <w:p w14:paraId="7D1540F1" w14:textId="77777777" w:rsidR="00907144" w:rsidRDefault="00907144" w:rsidP="00907144">
      <w:pPr>
        <w:pStyle w:val="Prrafodelista"/>
        <w:rPr>
          <w:rFonts w:ascii="Verdana" w:hAnsi="Verdana"/>
          <w:sz w:val="20"/>
          <w:szCs w:val="20"/>
        </w:rPr>
      </w:pPr>
    </w:p>
    <w:p w14:paraId="33695A62" w14:textId="77777777" w:rsidR="00907144" w:rsidRPr="00C46027" w:rsidRDefault="00907144" w:rsidP="009E6C61">
      <w:pPr>
        <w:numPr>
          <w:ilvl w:val="0"/>
          <w:numId w:val="1"/>
        </w:numPr>
        <w:spacing w:after="0" w:line="276" w:lineRule="auto"/>
        <w:ind w:left="-207"/>
        <w:contextualSpacing/>
        <w:jc w:val="both"/>
        <w:rPr>
          <w:rFonts w:ascii="Verdana" w:hAnsi="Verdana"/>
          <w:sz w:val="20"/>
          <w:szCs w:val="20"/>
        </w:rPr>
      </w:pPr>
      <w:r>
        <w:rPr>
          <w:rFonts w:ascii="Verdana" w:hAnsi="Verdana"/>
          <w:sz w:val="20"/>
          <w:szCs w:val="20"/>
        </w:rPr>
        <w:t xml:space="preserve">Es en tal perspectiva, pues, que se tiene </w:t>
      </w:r>
      <w:r w:rsidRPr="00C46027">
        <w:rPr>
          <w:rFonts w:ascii="Verdana" w:hAnsi="Verdana"/>
          <w:sz w:val="20"/>
          <w:szCs w:val="20"/>
        </w:rPr>
        <w:t>el convencimiento de que no utilizar</w:t>
      </w:r>
      <w:r>
        <w:rPr>
          <w:rFonts w:ascii="Verdana" w:hAnsi="Verdana"/>
          <w:sz w:val="20"/>
          <w:szCs w:val="20"/>
        </w:rPr>
        <w:t xml:space="preserve"> </w:t>
      </w:r>
      <w:r w:rsidRPr="00C46027">
        <w:rPr>
          <w:rFonts w:ascii="Verdana" w:hAnsi="Verdana"/>
          <w:sz w:val="20"/>
          <w:szCs w:val="20"/>
        </w:rPr>
        <w:t>ni respetar</w:t>
      </w:r>
      <w:r>
        <w:rPr>
          <w:rFonts w:ascii="Verdana" w:hAnsi="Verdana"/>
          <w:sz w:val="20"/>
          <w:szCs w:val="20"/>
        </w:rPr>
        <w:t xml:space="preserve"> el Derecho Internacional de los Derechos Humanos tal como fue consentido libremente por los Estados, puede </w:t>
      </w:r>
      <w:r w:rsidRPr="00C46027">
        <w:rPr>
          <w:rFonts w:ascii="Verdana" w:hAnsi="Verdana"/>
          <w:sz w:val="20"/>
          <w:szCs w:val="20"/>
        </w:rPr>
        <w:t>conduc</w:t>
      </w:r>
      <w:r>
        <w:rPr>
          <w:rFonts w:ascii="Verdana" w:hAnsi="Verdana"/>
          <w:sz w:val="20"/>
          <w:szCs w:val="20"/>
        </w:rPr>
        <w:t>ir</w:t>
      </w:r>
      <w:r w:rsidRPr="00C46027">
        <w:rPr>
          <w:rFonts w:ascii="Verdana" w:hAnsi="Verdana"/>
          <w:sz w:val="20"/>
          <w:szCs w:val="20"/>
        </w:rPr>
        <w:t>, a l</w:t>
      </w:r>
      <w:r>
        <w:rPr>
          <w:rFonts w:ascii="Verdana" w:hAnsi="Verdana"/>
          <w:sz w:val="20"/>
          <w:szCs w:val="20"/>
        </w:rPr>
        <w:t xml:space="preserve">a larga, a la </w:t>
      </w:r>
      <w:r w:rsidRPr="00C46027">
        <w:rPr>
          <w:rFonts w:ascii="Verdana" w:hAnsi="Verdana"/>
          <w:sz w:val="20"/>
          <w:szCs w:val="20"/>
        </w:rPr>
        <w:t>priva</w:t>
      </w:r>
      <w:r>
        <w:rPr>
          <w:rFonts w:ascii="Verdana" w:hAnsi="Verdana"/>
          <w:sz w:val="20"/>
          <w:szCs w:val="20"/>
        </w:rPr>
        <w:t xml:space="preserve">ción </w:t>
      </w:r>
      <w:r w:rsidRPr="00C46027">
        <w:rPr>
          <w:rFonts w:ascii="Verdana" w:hAnsi="Verdana"/>
          <w:sz w:val="20"/>
          <w:szCs w:val="20"/>
        </w:rPr>
        <w:t>del valor intrínseco que esencialmente lo caracteriza, además de afectar la naturaleza de la propia Corte</w:t>
      </w:r>
      <w:r>
        <w:rPr>
          <w:rFonts w:ascii="Verdana" w:hAnsi="Verdana"/>
          <w:sz w:val="20"/>
          <w:szCs w:val="20"/>
        </w:rPr>
        <w:t>, al hacerla incursionar en el ámbito más político y propio de quienes ejercen la función normativa</w:t>
      </w:r>
      <w:r>
        <w:rPr>
          <w:rStyle w:val="Refdenotaalpie"/>
          <w:rFonts w:ascii="Verdana" w:hAnsi="Verdana"/>
          <w:sz w:val="20"/>
          <w:szCs w:val="20"/>
        </w:rPr>
        <w:footnoteReference w:id="59"/>
      </w:r>
      <w:r>
        <w:rPr>
          <w:rFonts w:ascii="Verdana" w:hAnsi="Verdana"/>
          <w:sz w:val="20"/>
          <w:szCs w:val="20"/>
        </w:rPr>
        <w:t xml:space="preserve"> y también de la ejecutiva, afectando así el ejercicio de la democracia</w:t>
      </w:r>
      <w:r w:rsidRPr="00C46027">
        <w:rPr>
          <w:rFonts w:ascii="Verdana" w:hAnsi="Verdana"/>
          <w:sz w:val="20"/>
          <w:szCs w:val="20"/>
        </w:rPr>
        <w:t>.</w:t>
      </w:r>
      <w:r>
        <w:rPr>
          <w:rFonts w:ascii="Verdana" w:hAnsi="Verdana"/>
          <w:sz w:val="20"/>
          <w:szCs w:val="20"/>
        </w:rPr>
        <w:t xml:space="preserve"> </w:t>
      </w:r>
    </w:p>
    <w:p w14:paraId="6BBD2CC1" w14:textId="77777777" w:rsidR="00907144" w:rsidRPr="00A643AA" w:rsidRDefault="00907144" w:rsidP="00907144">
      <w:pPr>
        <w:spacing w:after="0" w:line="276" w:lineRule="auto"/>
        <w:ind w:left="0"/>
        <w:contextualSpacing/>
        <w:jc w:val="both"/>
        <w:rPr>
          <w:rFonts w:ascii="Verdana" w:hAnsi="Verdana"/>
          <w:sz w:val="20"/>
          <w:szCs w:val="20"/>
        </w:rPr>
      </w:pPr>
    </w:p>
    <w:p w14:paraId="536AC912" w14:textId="1C227525" w:rsidR="00907144" w:rsidRPr="00A643AA" w:rsidRDefault="00907144" w:rsidP="009E6C61">
      <w:pPr>
        <w:numPr>
          <w:ilvl w:val="0"/>
          <w:numId w:val="1"/>
        </w:numPr>
        <w:spacing w:after="0" w:line="276" w:lineRule="auto"/>
        <w:ind w:left="-207"/>
        <w:contextualSpacing/>
        <w:jc w:val="both"/>
        <w:rPr>
          <w:rFonts w:ascii="Verdana" w:hAnsi="Verdana"/>
          <w:sz w:val="20"/>
          <w:szCs w:val="20"/>
        </w:rPr>
      </w:pPr>
      <w:r w:rsidRPr="00A643AA">
        <w:rPr>
          <w:rFonts w:ascii="Verdana" w:hAnsi="Verdana"/>
          <w:sz w:val="20"/>
          <w:szCs w:val="20"/>
        </w:rPr>
        <w:t>Al emitir el presente voto, no se puede dejar de expresar que se lamenta</w:t>
      </w:r>
      <w:r w:rsidR="009E6C61">
        <w:rPr>
          <w:rFonts w:ascii="Verdana" w:hAnsi="Verdana"/>
          <w:sz w:val="20"/>
          <w:szCs w:val="20"/>
        </w:rPr>
        <w:t xml:space="preserve"> muy sinceramente </w:t>
      </w:r>
      <w:r w:rsidRPr="00A643AA">
        <w:rPr>
          <w:rFonts w:ascii="Verdana" w:hAnsi="Verdana"/>
          <w:sz w:val="20"/>
          <w:szCs w:val="20"/>
        </w:rPr>
        <w:t>discrepar de lo resuelto en una situación que</w:t>
      </w:r>
      <w:r>
        <w:rPr>
          <w:rFonts w:ascii="Verdana" w:hAnsi="Verdana"/>
          <w:sz w:val="20"/>
          <w:szCs w:val="20"/>
        </w:rPr>
        <w:t>,</w:t>
      </w:r>
      <w:r w:rsidRPr="00A643AA">
        <w:rPr>
          <w:rFonts w:ascii="Verdana" w:hAnsi="Verdana"/>
          <w:sz w:val="20"/>
          <w:szCs w:val="20"/>
        </w:rPr>
        <w:t xml:space="preserve"> </w:t>
      </w:r>
      <w:r>
        <w:rPr>
          <w:rFonts w:ascii="Verdana" w:hAnsi="Verdana"/>
          <w:sz w:val="20"/>
          <w:szCs w:val="20"/>
        </w:rPr>
        <w:t xml:space="preserve">probablemente, </w:t>
      </w:r>
      <w:r w:rsidRPr="00A643AA">
        <w:rPr>
          <w:rFonts w:ascii="Verdana" w:hAnsi="Verdana"/>
          <w:sz w:val="20"/>
          <w:szCs w:val="20"/>
        </w:rPr>
        <w:t xml:space="preserve">podría </w:t>
      </w:r>
      <w:r>
        <w:rPr>
          <w:rFonts w:ascii="Verdana" w:hAnsi="Verdana"/>
          <w:sz w:val="20"/>
          <w:szCs w:val="20"/>
        </w:rPr>
        <w:t xml:space="preserve">haber </w:t>
      </w:r>
      <w:r w:rsidRPr="00A643AA">
        <w:rPr>
          <w:rFonts w:ascii="Verdana" w:hAnsi="Verdana"/>
          <w:sz w:val="20"/>
          <w:szCs w:val="20"/>
        </w:rPr>
        <w:t>reuni</w:t>
      </w:r>
      <w:r>
        <w:rPr>
          <w:rFonts w:ascii="Verdana" w:hAnsi="Verdana"/>
          <w:sz w:val="20"/>
          <w:szCs w:val="20"/>
        </w:rPr>
        <w:t>do</w:t>
      </w:r>
      <w:r w:rsidRPr="00A643AA">
        <w:rPr>
          <w:rFonts w:ascii="Verdana" w:hAnsi="Verdana"/>
          <w:sz w:val="20"/>
          <w:szCs w:val="20"/>
        </w:rPr>
        <w:t xml:space="preserve"> las condiciones de extrema gravedad, urgencia y daño irreparable, necesarias para poder dictar medidas provisionales. Sin embargo, como </w:t>
      </w:r>
      <w:r>
        <w:rPr>
          <w:rFonts w:ascii="Verdana" w:hAnsi="Verdana"/>
          <w:sz w:val="20"/>
          <w:szCs w:val="20"/>
        </w:rPr>
        <w:t>Tribunal</w:t>
      </w:r>
      <w:r w:rsidRPr="00A643AA">
        <w:rPr>
          <w:rFonts w:ascii="Verdana" w:hAnsi="Verdana"/>
          <w:sz w:val="20"/>
          <w:szCs w:val="20"/>
        </w:rPr>
        <w:t>, se debe procurar administrar y otorgar Justicia a través del Derecho, única forma de poder dar suficientes garantías a las personas y a los Estados de que, pese a las evidentes limitaciones e imperfecciones que conlleva el ser humano, se intenta actuar con independencia, imparcialidad, objetividad e integridad</w:t>
      </w:r>
      <w:r w:rsidR="009E6C61">
        <w:rPr>
          <w:rFonts w:ascii="Verdana" w:hAnsi="Verdana"/>
          <w:sz w:val="20"/>
          <w:szCs w:val="20"/>
        </w:rPr>
        <w:t xml:space="preserve">, </w:t>
      </w:r>
      <w:r>
        <w:rPr>
          <w:rFonts w:ascii="Verdana" w:hAnsi="Verdana"/>
          <w:sz w:val="20"/>
          <w:szCs w:val="20"/>
        </w:rPr>
        <w:t>propias de una instancia judicial</w:t>
      </w:r>
      <w:r w:rsidRPr="00A643AA">
        <w:rPr>
          <w:rFonts w:ascii="Verdana" w:hAnsi="Verdana"/>
          <w:sz w:val="20"/>
          <w:szCs w:val="20"/>
        </w:rPr>
        <w:t>.</w:t>
      </w:r>
    </w:p>
    <w:p w14:paraId="42B0932D" w14:textId="77777777" w:rsidR="00907144" w:rsidRPr="00A643AA" w:rsidRDefault="00907144" w:rsidP="00907144">
      <w:pPr>
        <w:spacing w:after="0" w:line="276" w:lineRule="auto"/>
        <w:contextualSpacing/>
        <w:jc w:val="both"/>
        <w:rPr>
          <w:rFonts w:ascii="Verdana" w:hAnsi="Verdana"/>
          <w:sz w:val="20"/>
          <w:szCs w:val="20"/>
        </w:rPr>
      </w:pPr>
    </w:p>
    <w:p w14:paraId="0B0B04CF" w14:textId="77777777" w:rsidR="00907144" w:rsidRDefault="00907144" w:rsidP="00907144">
      <w:pPr>
        <w:spacing w:after="0"/>
      </w:pPr>
    </w:p>
    <w:p w14:paraId="40C43C69" w14:textId="77777777" w:rsidR="00907144" w:rsidRDefault="00907144" w:rsidP="00907144">
      <w:pPr>
        <w:spacing w:after="0"/>
      </w:pPr>
    </w:p>
    <w:p w14:paraId="434E5F5C" w14:textId="77777777" w:rsidR="00907144" w:rsidRDefault="00907144" w:rsidP="009B15E9">
      <w:pPr>
        <w:spacing w:after="0" w:line="240" w:lineRule="auto"/>
        <w:jc w:val="right"/>
      </w:pPr>
      <w:r>
        <w:t>Eduardo Vio Grossi</w:t>
      </w:r>
    </w:p>
    <w:p w14:paraId="41C19179" w14:textId="2FD5BD02" w:rsidR="00D72556" w:rsidRDefault="00907144" w:rsidP="009E6C61">
      <w:pPr>
        <w:spacing w:after="0" w:line="240" w:lineRule="auto"/>
        <w:jc w:val="right"/>
      </w:pPr>
      <w:r>
        <w:t>Juez</w:t>
      </w:r>
    </w:p>
    <w:sectPr w:rsidR="00D72556">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8341C1" w14:textId="77777777" w:rsidR="009B0004" w:rsidRDefault="009B0004" w:rsidP="00907144">
      <w:pPr>
        <w:spacing w:after="0" w:line="240" w:lineRule="auto"/>
      </w:pPr>
      <w:r>
        <w:separator/>
      </w:r>
    </w:p>
  </w:endnote>
  <w:endnote w:type="continuationSeparator" w:id="0">
    <w:p w14:paraId="7FC1322A" w14:textId="77777777" w:rsidR="009B0004" w:rsidRDefault="009B0004" w:rsidP="00907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auto"/>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225417"/>
      <w:docPartObj>
        <w:docPartGallery w:val="Page Numbers (Bottom of Page)"/>
        <w:docPartUnique/>
      </w:docPartObj>
    </w:sdtPr>
    <w:sdtEndPr/>
    <w:sdtContent>
      <w:p w14:paraId="3882619B" w14:textId="24F9855C" w:rsidR="006A789C" w:rsidRDefault="006A789C">
        <w:pPr>
          <w:pStyle w:val="Piedepgina"/>
          <w:jc w:val="right"/>
        </w:pPr>
        <w:r>
          <w:fldChar w:fldCharType="begin"/>
        </w:r>
        <w:r>
          <w:instrText>PAGE   \* MERGEFORMAT</w:instrText>
        </w:r>
        <w:r>
          <w:fldChar w:fldCharType="separate"/>
        </w:r>
        <w:r w:rsidR="008410FB" w:rsidRPr="008410FB">
          <w:rPr>
            <w:noProof/>
            <w:lang w:val="es-ES"/>
          </w:rPr>
          <w:t>4</w:t>
        </w:r>
        <w:r>
          <w:fldChar w:fldCharType="end"/>
        </w:r>
      </w:p>
    </w:sdtContent>
  </w:sdt>
  <w:p w14:paraId="7CE75783" w14:textId="77777777" w:rsidR="006A789C" w:rsidRDefault="006A789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C6F184" w14:textId="77777777" w:rsidR="009B0004" w:rsidRDefault="009B0004" w:rsidP="00907144">
      <w:pPr>
        <w:spacing w:after="0" w:line="240" w:lineRule="auto"/>
      </w:pPr>
      <w:r>
        <w:separator/>
      </w:r>
    </w:p>
  </w:footnote>
  <w:footnote w:type="continuationSeparator" w:id="0">
    <w:p w14:paraId="33BB2DE2" w14:textId="77777777" w:rsidR="009B0004" w:rsidRDefault="009B0004" w:rsidP="00907144">
      <w:pPr>
        <w:spacing w:after="0" w:line="240" w:lineRule="auto"/>
      </w:pPr>
      <w:r>
        <w:continuationSeparator/>
      </w:r>
    </w:p>
  </w:footnote>
  <w:footnote w:id="1">
    <w:p w14:paraId="02870E6E" w14:textId="58295284" w:rsidR="006A789C" w:rsidRPr="00B964D3" w:rsidRDefault="006A789C" w:rsidP="003F4BF4">
      <w:pPr>
        <w:pStyle w:val="NormalWeb"/>
        <w:spacing w:before="0" w:beforeAutospacing="0" w:after="0" w:afterAutospacing="0"/>
        <w:ind w:left="-567" w:right="-567"/>
        <w:jc w:val="both"/>
        <w:rPr>
          <w:rFonts w:ascii="Verdana" w:hAnsi="Verdana" w:cs="Tahoma"/>
          <w:i/>
          <w:iCs/>
          <w:sz w:val="16"/>
          <w:szCs w:val="16"/>
        </w:rPr>
      </w:pPr>
      <w:r w:rsidRPr="00B964D3">
        <w:rPr>
          <w:rStyle w:val="Refdenotaalpie"/>
          <w:rFonts w:ascii="Verdana" w:hAnsi="Verdana"/>
          <w:sz w:val="16"/>
          <w:szCs w:val="16"/>
        </w:rPr>
        <w:footnoteRef/>
      </w:r>
      <w:r w:rsidR="00623931" w:rsidRPr="00B964D3">
        <w:rPr>
          <w:rFonts w:ascii="Verdana" w:hAnsi="Verdana" w:cs="Calibri"/>
          <w:sz w:val="16"/>
          <w:szCs w:val="16"/>
        </w:rPr>
        <w:t xml:space="preserve"> </w:t>
      </w:r>
      <w:r w:rsidRPr="00B964D3">
        <w:rPr>
          <w:rFonts w:ascii="Verdana" w:hAnsi="Verdana" w:cs="Calibri"/>
          <w:sz w:val="16"/>
          <w:szCs w:val="16"/>
        </w:rPr>
        <w:t>Art. 24.3 del Estatuto de la Corte: “</w:t>
      </w:r>
      <w:r w:rsidRPr="00B964D3">
        <w:rPr>
          <w:rFonts w:ascii="Verdana" w:hAnsi="Verdana" w:cs="Calibri"/>
          <w:i/>
          <w:sz w:val="16"/>
          <w:szCs w:val="16"/>
        </w:rPr>
        <w:t>Las decisiones, juicios y opiniones de la Corte se comunicarán en sesiones públicas y se notificarán por escrito a las partes. Además, se publicarán conjuntamente con los votos y opiniones separados de los jueces y con cualesquiera otros datos o antecedentes que la Corte considere conveniente</w:t>
      </w:r>
      <w:r w:rsidRPr="00B964D3">
        <w:rPr>
          <w:rFonts w:ascii="Verdana" w:hAnsi="Verdana" w:cs="Calibri"/>
          <w:sz w:val="16"/>
          <w:szCs w:val="16"/>
        </w:rPr>
        <w:t>”.</w:t>
      </w:r>
    </w:p>
    <w:p w14:paraId="12413F86" w14:textId="77777777" w:rsidR="006A789C" w:rsidRPr="00B964D3" w:rsidRDefault="006A789C" w:rsidP="003F4BF4">
      <w:pPr>
        <w:pStyle w:val="Textonotapie"/>
        <w:ind w:left="-567" w:right="-567"/>
        <w:rPr>
          <w:rFonts w:ascii="Verdana" w:hAnsi="Verdana" w:cs="Calibri"/>
          <w:i/>
          <w:iCs/>
          <w:sz w:val="16"/>
          <w:szCs w:val="16"/>
        </w:rPr>
      </w:pPr>
      <w:r w:rsidRPr="00B964D3">
        <w:rPr>
          <w:rFonts w:ascii="Verdana" w:hAnsi="Verdana" w:cs="Calibri"/>
          <w:sz w:val="16"/>
          <w:szCs w:val="16"/>
        </w:rPr>
        <w:t>Art.32.1.a del Reglamento de la Corte</w:t>
      </w:r>
      <w:r w:rsidRPr="00B964D3">
        <w:rPr>
          <w:rFonts w:ascii="Verdana" w:hAnsi="Verdana" w:cs="Calibri"/>
          <w:i/>
          <w:iCs/>
          <w:sz w:val="16"/>
          <w:szCs w:val="16"/>
        </w:rPr>
        <w:t>: “La Corte hará público: sus sentencias, resoluciones, opiniones y otras decisiones, incluyendo los votos concurrentes o disidentes, cuando cumplan los requisitos señalados en el artículo 65.2 del presente Reglamento; …”</w:t>
      </w:r>
    </w:p>
    <w:p w14:paraId="731B6354" w14:textId="13588E66" w:rsidR="00291457" w:rsidRPr="00B964D3" w:rsidRDefault="006A789C" w:rsidP="00291457">
      <w:pPr>
        <w:pStyle w:val="Textonotapie"/>
        <w:ind w:left="-567" w:right="-567"/>
        <w:rPr>
          <w:rFonts w:ascii="Verdana" w:hAnsi="Verdana" w:cs="Calibri"/>
          <w:sz w:val="16"/>
          <w:szCs w:val="16"/>
        </w:rPr>
      </w:pPr>
      <w:r w:rsidRPr="00B964D3">
        <w:rPr>
          <w:rFonts w:ascii="Verdana" w:hAnsi="Verdana" w:cs="Calibri"/>
          <w:sz w:val="16"/>
          <w:szCs w:val="16"/>
        </w:rPr>
        <w:t xml:space="preserve">En lo sucesivo, cada vez que se emplee “párr.” o “párrs.”, se entenderá que se refiere al párrafo </w:t>
      </w:r>
      <w:r w:rsidR="00121680" w:rsidRPr="00B964D3">
        <w:rPr>
          <w:rFonts w:ascii="Verdana" w:hAnsi="Verdana" w:cs="Calibri"/>
          <w:sz w:val="16"/>
          <w:szCs w:val="16"/>
        </w:rPr>
        <w:t xml:space="preserve">o </w:t>
      </w:r>
      <w:r w:rsidRPr="00B964D3">
        <w:rPr>
          <w:rFonts w:ascii="Verdana" w:hAnsi="Verdana" w:cs="Calibri"/>
          <w:sz w:val="16"/>
          <w:szCs w:val="16"/>
        </w:rPr>
        <w:t>a los párrafos de la Resolución de</w:t>
      </w:r>
      <w:r w:rsidR="00121680" w:rsidRPr="00B964D3">
        <w:rPr>
          <w:rFonts w:ascii="Verdana" w:hAnsi="Verdana" w:cs="Calibri"/>
          <w:sz w:val="16"/>
          <w:szCs w:val="16"/>
        </w:rPr>
        <w:t xml:space="preserve"> </w:t>
      </w:r>
      <w:r w:rsidRPr="00B964D3">
        <w:rPr>
          <w:rFonts w:ascii="Verdana" w:hAnsi="Verdana" w:cs="Calibri"/>
          <w:sz w:val="16"/>
          <w:szCs w:val="16"/>
        </w:rPr>
        <w:t>la que se discrepa.</w:t>
      </w:r>
    </w:p>
    <w:p w14:paraId="47B50B85" w14:textId="77777777" w:rsidR="00291457" w:rsidRPr="00B964D3" w:rsidRDefault="00291457" w:rsidP="00291457">
      <w:pPr>
        <w:pStyle w:val="Textonotapie"/>
        <w:ind w:left="-567" w:right="-567"/>
        <w:rPr>
          <w:rFonts w:ascii="Verdana" w:hAnsi="Verdana"/>
          <w:sz w:val="16"/>
          <w:szCs w:val="16"/>
          <w:lang w:val="uz-Cyrl-UZ"/>
        </w:rPr>
      </w:pPr>
    </w:p>
  </w:footnote>
  <w:footnote w:id="2">
    <w:p w14:paraId="4A0AD844" w14:textId="1F03A002" w:rsidR="006A789C" w:rsidRPr="00B964D3" w:rsidRDefault="006A789C" w:rsidP="00F05967">
      <w:pPr>
        <w:pStyle w:val="Textonotapie"/>
        <w:ind w:left="-567" w:right="-567"/>
        <w:rPr>
          <w:rFonts w:ascii="Verdana" w:hAnsi="Verdana"/>
          <w:sz w:val="16"/>
          <w:szCs w:val="16"/>
        </w:rPr>
      </w:pPr>
      <w:r w:rsidRPr="00B964D3">
        <w:rPr>
          <w:rStyle w:val="Refdenotaalpie"/>
          <w:rFonts w:ascii="Verdana" w:hAnsi="Verdana"/>
          <w:sz w:val="16"/>
          <w:szCs w:val="16"/>
        </w:rPr>
        <w:footnoteRef/>
      </w:r>
      <w:r w:rsidRPr="00B964D3">
        <w:rPr>
          <w:rFonts w:ascii="Verdana" w:hAnsi="Verdana"/>
          <w:sz w:val="16"/>
          <w:szCs w:val="16"/>
        </w:rPr>
        <w:t xml:space="preserve"> En adelante</w:t>
      </w:r>
      <w:r w:rsidR="008B0DB7">
        <w:rPr>
          <w:rFonts w:ascii="Verdana" w:hAnsi="Verdana"/>
          <w:sz w:val="16"/>
          <w:szCs w:val="16"/>
        </w:rPr>
        <w:t>,</w:t>
      </w:r>
      <w:r w:rsidRPr="00B964D3">
        <w:rPr>
          <w:rFonts w:ascii="Verdana" w:hAnsi="Verdana"/>
          <w:sz w:val="16"/>
          <w:szCs w:val="16"/>
        </w:rPr>
        <w:t xml:space="preserve"> la Resolución.</w:t>
      </w:r>
    </w:p>
    <w:p w14:paraId="1D1776A2" w14:textId="77777777" w:rsidR="006A789C" w:rsidRPr="00B964D3" w:rsidRDefault="006A789C" w:rsidP="00F05967">
      <w:pPr>
        <w:pStyle w:val="Textonotapie"/>
        <w:ind w:left="-567" w:right="-567"/>
        <w:rPr>
          <w:rFonts w:ascii="Verdana" w:hAnsi="Verdana"/>
          <w:sz w:val="16"/>
          <w:szCs w:val="16"/>
        </w:rPr>
      </w:pPr>
    </w:p>
  </w:footnote>
  <w:footnote w:id="3">
    <w:p w14:paraId="351C4BAD" w14:textId="5BE7CE09" w:rsidR="006A789C" w:rsidRPr="00B964D3" w:rsidRDefault="006A789C" w:rsidP="00F05967">
      <w:pPr>
        <w:pStyle w:val="Prrafodelista"/>
        <w:spacing w:after="0" w:line="240" w:lineRule="auto"/>
        <w:ind w:left="-567"/>
        <w:jc w:val="both"/>
        <w:rPr>
          <w:rFonts w:ascii="Verdana" w:hAnsi="Verdana"/>
          <w:sz w:val="16"/>
          <w:szCs w:val="16"/>
          <w:lang w:val="es-CR"/>
        </w:rPr>
      </w:pPr>
      <w:r w:rsidRPr="00B964D3">
        <w:rPr>
          <w:rStyle w:val="Refdenotaalpie"/>
          <w:rFonts w:ascii="Verdana" w:hAnsi="Verdana"/>
          <w:sz w:val="16"/>
          <w:szCs w:val="16"/>
        </w:rPr>
        <w:footnoteRef/>
      </w:r>
      <w:r w:rsidRPr="00B964D3">
        <w:rPr>
          <w:rFonts w:ascii="Verdana" w:hAnsi="Verdana"/>
          <w:sz w:val="16"/>
          <w:szCs w:val="16"/>
        </w:rPr>
        <w:t xml:space="preserve"> Resolutivo N°1: “</w:t>
      </w:r>
      <w:r w:rsidRPr="00B964D3">
        <w:rPr>
          <w:rFonts w:ascii="Verdana" w:hAnsi="Verdana"/>
          <w:i/>
          <w:iCs/>
          <w:sz w:val="16"/>
          <w:szCs w:val="16"/>
          <w:lang w:val="es-CR"/>
        </w:rPr>
        <w:t>Ratificar la Resolución de la Presidenta de medidas urgentes de 26 de mayo de 2020</w:t>
      </w:r>
      <w:r w:rsidR="003619D7" w:rsidRPr="00B964D3">
        <w:rPr>
          <w:rFonts w:ascii="Verdana" w:hAnsi="Verdana"/>
          <w:i/>
          <w:iCs/>
          <w:sz w:val="16"/>
          <w:szCs w:val="16"/>
          <w:lang w:val="es-CR"/>
        </w:rPr>
        <w:t>”</w:t>
      </w:r>
      <w:r w:rsidRPr="00B964D3">
        <w:rPr>
          <w:rFonts w:ascii="Verdana" w:hAnsi="Verdana"/>
          <w:sz w:val="16"/>
          <w:szCs w:val="16"/>
          <w:lang w:val="es-CR"/>
        </w:rPr>
        <w:t>.</w:t>
      </w:r>
    </w:p>
    <w:p w14:paraId="27A3E666" w14:textId="77777777" w:rsidR="006A789C" w:rsidRPr="00B964D3" w:rsidRDefault="006A789C" w:rsidP="00A63291">
      <w:pPr>
        <w:pStyle w:val="Prrafodelista"/>
        <w:spacing w:after="0" w:line="240" w:lineRule="auto"/>
        <w:ind w:left="-567"/>
        <w:jc w:val="both"/>
        <w:rPr>
          <w:rFonts w:ascii="Verdana" w:hAnsi="Verdana"/>
          <w:i/>
          <w:iCs/>
          <w:sz w:val="16"/>
          <w:szCs w:val="16"/>
          <w:lang w:val="es-CO"/>
        </w:rPr>
      </w:pPr>
    </w:p>
  </w:footnote>
  <w:footnote w:id="4">
    <w:p w14:paraId="1DF45591" w14:textId="570AE4BC" w:rsidR="006A789C" w:rsidRPr="00B964D3" w:rsidRDefault="006A789C" w:rsidP="006B7AC4">
      <w:pPr>
        <w:pStyle w:val="Textonotapie"/>
        <w:ind w:left="-567" w:right="-567"/>
        <w:rPr>
          <w:rFonts w:ascii="Verdana" w:hAnsi="Verdana"/>
          <w:sz w:val="16"/>
          <w:szCs w:val="16"/>
        </w:rPr>
      </w:pPr>
      <w:r w:rsidRPr="00B964D3">
        <w:rPr>
          <w:rStyle w:val="Refdenotaalpie"/>
          <w:rFonts w:ascii="Verdana" w:hAnsi="Verdana"/>
          <w:sz w:val="16"/>
          <w:szCs w:val="16"/>
        </w:rPr>
        <w:footnoteRef/>
      </w:r>
      <w:r w:rsidRPr="00B964D3">
        <w:rPr>
          <w:rFonts w:ascii="Verdana" w:hAnsi="Verdana"/>
          <w:sz w:val="16"/>
          <w:szCs w:val="16"/>
        </w:rPr>
        <w:t xml:space="preserve"> </w:t>
      </w:r>
      <w:bookmarkStart w:id="0" w:name="_Hlk47013784"/>
      <w:r w:rsidRPr="00B964D3">
        <w:rPr>
          <w:rFonts w:ascii="Verdana" w:hAnsi="Verdana"/>
          <w:sz w:val="16"/>
          <w:szCs w:val="16"/>
        </w:rPr>
        <w:t xml:space="preserve">En adelante, la </w:t>
      </w:r>
      <w:bookmarkEnd w:id="0"/>
      <w:r w:rsidRPr="00B964D3">
        <w:rPr>
          <w:rFonts w:ascii="Verdana" w:hAnsi="Verdana"/>
          <w:sz w:val="16"/>
          <w:szCs w:val="16"/>
        </w:rPr>
        <w:t>Corte.</w:t>
      </w:r>
    </w:p>
    <w:p w14:paraId="41835F43" w14:textId="77777777" w:rsidR="006A789C" w:rsidRPr="00B964D3" w:rsidRDefault="006A789C" w:rsidP="006B7AC4">
      <w:pPr>
        <w:pStyle w:val="Textonotapie"/>
        <w:ind w:left="-567" w:right="-567"/>
        <w:rPr>
          <w:rFonts w:ascii="Verdana" w:hAnsi="Verdana"/>
          <w:sz w:val="16"/>
          <w:szCs w:val="16"/>
          <w:lang w:val="uz-Cyrl-UZ"/>
        </w:rPr>
      </w:pPr>
    </w:p>
  </w:footnote>
  <w:footnote w:id="5">
    <w:p w14:paraId="67EA6108" w14:textId="3437B2C6" w:rsidR="006A789C" w:rsidRPr="00B964D3" w:rsidRDefault="006A789C" w:rsidP="006B7AC4">
      <w:pPr>
        <w:spacing w:after="0" w:line="240" w:lineRule="auto"/>
        <w:jc w:val="both"/>
        <w:rPr>
          <w:rFonts w:ascii="Verdana" w:hAnsi="Verdana"/>
          <w:sz w:val="16"/>
          <w:szCs w:val="16"/>
          <w:lang w:val="es-CO"/>
        </w:rPr>
      </w:pPr>
      <w:r w:rsidRPr="00B964D3">
        <w:rPr>
          <w:rStyle w:val="Refdenotaalpie"/>
          <w:rFonts w:ascii="Verdana" w:hAnsi="Verdana"/>
          <w:sz w:val="16"/>
          <w:szCs w:val="16"/>
        </w:rPr>
        <w:footnoteRef/>
      </w:r>
      <w:r w:rsidRPr="00B964D3">
        <w:rPr>
          <w:rFonts w:ascii="Verdana" w:hAnsi="Verdana"/>
          <w:sz w:val="16"/>
          <w:szCs w:val="16"/>
        </w:rPr>
        <w:t xml:space="preserve"> En adelante, la Resolución de la Presidenta</w:t>
      </w:r>
      <w:r w:rsidR="004C28CB" w:rsidRPr="00B964D3">
        <w:rPr>
          <w:rFonts w:ascii="Verdana" w:hAnsi="Verdana"/>
          <w:sz w:val="16"/>
          <w:szCs w:val="16"/>
        </w:rPr>
        <w:t>.</w:t>
      </w:r>
    </w:p>
    <w:p w14:paraId="25996BFD" w14:textId="77777777" w:rsidR="006A789C" w:rsidRPr="00B964D3" w:rsidRDefault="006A789C" w:rsidP="006B7AC4">
      <w:pPr>
        <w:spacing w:after="0" w:line="240" w:lineRule="auto"/>
        <w:jc w:val="both"/>
        <w:rPr>
          <w:rFonts w:ascii="Verdana" w:hAnsi="Verdana"/>
          <w:sz w:val="16"/>
          <w:szCs w:val="16"/>
          <w:lang w:val="es-CO"/>
        </w:rPr>
      </w:pPr>
    </w:p>
  </w:footnote>
  <w:footnote w:id="6">
    <w:p w14:paraId="09D09AF6" w14:textId="0CF672BE" w:rsidR="006A789C" w:rsidRPr="00B964D3" w:rsidRDefault="006A789C" w:rsidP="006B7AC4">
      <w:pPr>
        <w:pStyle w:val="Textonotapie"/>
        <w:ind w:left="-567" w:right="-567"/>
        <w:rPr>
          <w:rFonts w:ascii="Verdana" w:hAnsi="Verdana"/>
          <w:sz w:val="16"/>
          <w:szCs w:val="16"/>
          <w:lang w:val="uz-Cyrl-UZ"/>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sz w:val="16"/>
          <w:szCs w:val="16"/>
          <w:lang w:val="uz-Cyrl-UZ"/>
        </w:rPr>
        <w:t>En adelante, la Comisión.</w:t>
      </w:r>
    </w:p>
    <w:p w14:paraId="22D57EE0" w14:textId="77777777" w:rsidR="006A789C" w:rsidRPr="00B964D3" w:rsidRDefault="006A789C" w:rsidP="00907144">
      <w:pPr>
        <w:pStyle w:val="Textonotapie"/>
        <w:ind w:left="-567" w:right="-567"/>
        <w:rPr>
          <w:rFonts w:ascii="Verdana" w:hAnsi="Verdana"/>
          <w:sz w:val="16"/>
          <w:szCs w:val="16"/>
          <w:lang w:val="uz-Cyrl-UZ"/>
        </w:rPr>
      </w:pPr>
    </w:p>
  </w:footnote>
  <w:footnote w:id="7">
    <w:p w14:paraId="60C6A1BB" w14:textId="24B807AA" w:rsidR="008410FB" w:rsidRPr="00B964D3" w:rsidRDefault="006A789C" w:rsidP="008410FB">
      <w:pPr>
        <w:spacing w:after="0" w:line="240" w:lineRule="auto"/>
        <w:jc w:val="both"/>
        <w:rPr>
          <w:rFonts w:ascii="Verdana" w:hAnsi="Verdana"/>
          <w:sz w:val="16"/>
          <w:szCs w:val="16"/>
          <w:lang w:val="es-ES"/>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sz w:val="16"/>
          <w:szCs w:val="16"/>
          <w:lang w:val="es-CR"/>
        </w:rPr>
        <w:t xml:space="preserve">Votos individuales del Juez Eduardo Vio Grossi respecto de Resoluciones sobre medidas provisionales: </w:t>
      </w:r>
      <w:r w:rsidR="00623931" w:rsidRPr="00B964D3">
        <w:rPr>
          <w:rFonts w:ascii="Verdana" w:hAnsi="Verdana"/>
          <w:sz w:val="16"/>
          <w:szCs w:val="16"/>
          <w:lang w:val="es-CR"/>
        </w:rPr>
        <w:t>Disidente, Caso Mack Chang y otros Vs. Guatemala, 24 de junio de 2020;</w:t>
      </w:r>
      <w:r w:rsidR="002A3295" w:rsidRPr="00B964D3">
        <w:rPr>
          <w:rFonts w:ascii="Verdana" w:hAnsi="Verdana"/>
          <w:sz w:val="16"/>
          <w:szCs w:val="16"/>
          <w:lang w:val="es-CR"/>
        </w:rPr>
        <w:t xml:space="preserve"> </w:t>
      </w:r>
      <w:r w:rsidR="002A3295" w:rsidRPr="00B964D3">
        <w:rPr>
          <w:rFonts w:ascii="Verdana" w:hAnsi="Verdana"/>
          <w:sz w:val="16"/>
          <w:szCs w:val="16"/>
        </w:rPr>
        <w:t>Concurrente, Caso Fernández Ortega y otros Vs. México, de 10 de junio de 2020; Disidente, Caso 19 Comerciantes Vs. Colombia, de 1 de junio de 2020;</w:t>
      </w:r>
      <w:r w:rsidR="00623931" w:rsidRPr="00B964D3">
        <w:rPr>
          <w:rFonts w:ascii="Verdana" w:hAnsi="Verdana"/>
          <w:sz w:val="16"/>
          <w:szCs w:val="16"/>
          <w:lang w:val="es-CR"/>
        </w:rPr>
        <w:t xml:space="preserve"> </w:t>
      </w:r>
      <w:r w:rsidRPr="00B964D3">
        <w:rPr>
          <w:rFonts w:ascii="Verdana" w:hAnsi="Verdana"/>
          <w:sz w:val="16"/>
          <w:szCs w:val="16"/>
          <w:lang w:val="es-CR"/>
        </w:rPr>
        <w:t xml:space="preserve">Disidente, </w:t>
      </w:r>
      <w:r w:rsidRPr="00B964D3">
        <w:rPr>
          <w:rFonts w:ascii="Verdana" w:hAnsi="Verdana"/>
          <w:iCs/>
          <w:sz w:val="16"/>
          <w:szCs w:val="16"/>
          <w:lang w:val="es-CR"/>
        </w:rPr>
        <w:t>Caso Masacres de El Mozote y Lugares Aledaños Vs. El Salvador</w:t>
      </w:r>
      <w:r w:rsidRPr="00B964D3">
        <w:rPr>
          <w:rFonts w:ascii="Verdana" w:hAnsi="Verdana"/>
          <w:sz w:val="16"/>
          <w:szCs w:val="16"/>
          <w:lang w:val="es-CR"/>
        </w:rPr>
        <w:t>, 3 de septiembre de 2019; Disidente, Caso Mack Chang y Otros Vs. Guatemala, 5 de marzo de 2019;</w:t>
      </w:r>
      <w:r w:rsidRPr="00B964D3">
        <w:rPr>
          <w:rFonts w:ascii="Verdana" w:hAnsi="Verdana"/>
          <w:sz w:val="16"/>
          <w:szCs w:val="16"/>
          <w:lang w:val="es-ES"/>
        </w:rPr>
        <w:t xml:space="preserve"> </w:t>
      </w:r>
      <w:r w:rsidRPr="00B964D3">
        <w:rPr>
          <w:rFonts w:ascii="Verdana" w:hAnsi="Verdana"/>
          <w:sz w:val="16"/>
          <w:szCs w:val="16"/>
          <w:lang w:val="es-CR"/>
        </w:rPr>
        <w:t>Parcialmente Disidente, Caso de los Miembros de la Aldea Chichupac y Comunidades del Municipio de Rabinal, Caso Molina Thiesen y Otros 12 Casos contra Guatemala, 12 de marzo, de 2019; Concurrente, Caso Bácama Velásquez Vs. Guatemala, 22 de noviembre de 2018; Disidente, Caso Durand y Ugarte Vs. Perú, 8 de febrero de 2018; Disidente, Caso Torres Millacura y Otros Vs. Argentina, 14 de noviembre de 2017; Concurrente, Asunto Mery Naranjo y Otros respecto de Colombia, 22 de agosto de 2017; Concurrente, Caso Fernández Ortega y Otros, 7 de febrero de 2017; Concurrente, Caso Bácama Velázquez Vs</w:t>
      </w:r>
      <w:r w:rsidR="002A3295" w:rsidRPr="00B964D3">
        <w:rPr>
          <w:rFonts w:ascii="Verdana" w:hAnsi="Verdana"/>
          <w:sz w:val="16"/>
          <w:szCs w:val="16"/>
          <w:lang w:val="es-CR"/>
        </w:rPr>
        <w:t>.</w:t>
      </w:r>
      <w:r w:rsidRPr="00B964D3">
        <w:rPr>
          <w:rFonts w:ascii="Verdana" w:hAnsi="Verdana"/>
          <w:sz w:val="16"/>
          <w:szCs w:val="16"/>
          <w:lang w:val="es-CR"/>
        </w:rPr>
        <w:t xml:space="preserve"> Guatemala, 31 de agosto de 2016; Concurrente, Caso García Prieto y Otros Vs. El Salvador, 20 de noviembre de 2015; Disidente, Caso Torres Millacura y Otros Vs. Argentina, 23 de junio de 2015; Disidente, Caso Kawas Fernández Vs. Honduras</w:t>
      </w:r>
      <w:r w:rsidR="00B113D3">
        <w:rPr>
          <w:rFonts w:ascii="Verdana" w:hAnsi="Verdana"/>
          <w:sz w:val="16"/>
          <w:szCs w:val="16"/>
          <w:lang w:val="es-CR"/>
        </w:rPr>
        <w:t>, 23 de junio de 2015</w:t>
      </w:r>
      <w:r w:rsidRPr="00B964D3">
        <w:rPr>
          <w:rFonts w:ascii="Verdana" w:hAnsi="Verdana"/>
          <w:sz w:val="16"/>
          <w:szCs w:val="16"/>
          <w:lang w:val="es-CR"/>
        </w:rPr>
        <w:t xml:space="preserve">; Disidente, Caso Rosendo Cantú y Otra Vs. México, 23 de junio de 2015; Disidente, Caso García Prieto y Otros Vs. El Salvador, 26 de enero de 2015; Disidente, Caso Mack Chang y Otros Vs. Guatemala, 26 de enero de 2015; Concurrente, Caso Artavia Murillo y Otros (”Fecundación in Vitro”) Vs. Costa Rica, 31 de marzo de 2014; Concurrente, Caso Familia Barrios Vs. Venezuela, 30 de mayo de 2013; Concurrente, Asunto Millacura Llaipén y Otros respecto de Argentina, 13 de febrero de 2013; </w:t>
      </w:r>
      <w:r w:rsidRPr="00B964D3">
        <w:rPr>
          <w:rFonts w:ascii="Verdana" w:hAnsi="Verdana"/>
          <w:sz w:val="16"/>
          <w:szCs w:val="16"/>
          <w:lang w:val="es-ES"/>
        </w:rPr>
        <w:t>Concurrente, Caso Familia Barrios Vs. Venezuela, 13 de febrero de 2013;Concurrente, Caso Pacheco Teruel y Otro Vs, Honduras, 13 de febrero de 2013; Concurrente, Caso 19 Comerciantes Vs. Colombia, 26 de junio de 2012; Concurrente, Caso Fernández Ortega y Otros Vs. México, 20 de febrero de 2012; Disidente, Asunto Millacura Llaipén respecto de Argentina, 25 de noviembre de 2011; Disidente, Caso Kawas Fernández Vs. Honduras, 5 de julio de 2011; Disidente, Caso Rosendo Cantú y Otra Vs. México, 1 de julio de 2011; Disidente, Caso Gutiérrez Soler Vs. Colombia, 30 de junio de 2011; y Concurrente, Asunto Wong Ho Wing respecto de Perú, 28 de mayo de 2010</w:t>
      </w:r>
      <w:r w:rsidR="008410FB">
        <w:rPr>
          <w:rFonts w:ascii="Verdana" w:hAnsi="Verdana"/>
          <w:sz w:val="16"/>
          <w:szCs w:val="16"/>
          <w:lang w:val="es-ES"/>
        </w:rPr>
        <w:t>; y</w:t>
      </w:r>
      <w:r w:rsidR="008410FB" w:rsidRPr="00B54003">
        <w:rPr>
          <w:rFonts w:ascii="Verdana" w:eastAsiaTheme="minorEastAsia" w:hAnsi="Verdana"/>
          <w:iCs/>
          <w:sz w:val="16"/>
          <w:szCs w:val="16"/>
          <w:lang w:val="es-MX"/>
        </w:rPr>
        <w:t xml:space="preserve"> Constancia de Queja</w:t>
      </w:r>
      <w:r w:rsidR="008410FB" w:rsidRPr="00B54003">
        <w:rPr>
          <w:rFonts w:ascii="Verdana" w:eastAsiaTheme="minorEastAsia" w:hAnsi="Verdana"/>
          <w:sz w:val="16"/>
          <w:szCs w:val="16"/>
          <w:lang w:val="es-MX"/>
        </w:rPr>
        <w:t xml:space="preserve"> presentada ante la Corte el 17 de agosto de 2011.</w:t>
      </w:r>
      <w:r w:rsidR="008410FB" w:rsidRPr="00B964D3">
        <w:rPr>
          <w:rFonts w:ascii="Verdana" w:hAnsi="Verdana"/>
          <w:sz w:val="16"/>
          <w:szCs w:val="16"/>
          <w:lang w:val="es-ES"/>
        </w:rPr>
        <w:t xml:space="preserve"> </w:t>
      </w:r>
    </w:p>
    <w:p w14:paraId="737110FE" w14:textId="0D524A2B" w:rsidR="006A789C" w:rsidRPr="00B964D3" w:rsidRDefault="006A789C" w:rsidP="00907144">
      <w:pPr>
        <w:spacing w:after="0" w:line="240" w:lineRule="auto"/>
        <w:jc w:val="both"/>
        <w:rPr>
          <w:rFonts w:ascii="Verdana" w:hAnsi="Verdana"/>
          <w:sz w:val="16"/>
          <w:szCs w:val="16"/>
          <w:lang w:val="es-ES"/>
        </w:rPr>
      </w:pPr>
    </w:p>
    <w:p w14:paraId="53A5D443" w14:textId="77777777" w:rsidR="006A789C" w:rsidRPr="00B964D3" w:rsidRDefault="006A789C" w:rsidP="00907144">
      <w:pPr>
        <w:pStyle w:val="Textonotapie"/>
        <w:rPr>
          <w:rFonts w:ascii="Verdana" w:hAnsi="Verdana"/>
          <w:sz w:val="16"/>
          <w:szCs w:val="16"/>
          <w:lang w:val="uz-Cyrl-UZ"/>
        </w:rPr>
      </w:pPr>
    </w:p>
  </w:footnote>
  <w:footnote w:id="8">
    <w:p w14:paraId="1295C434" w14:textId="77777777" w:rsidR="006A789C" w:rsidRPr="00B964D3" w:rsidRDefault="006A789C" w:rsidP="00246014">
      <w:pPr>
        <w:pStyle w:val="Textonotapie"/>
        <w:ind w:left="-567" w:right="-567"/>
        <w:rPr>
          <w:rFonts w:ascii="Verdana" w:hAnsi="Verdana"/>
          <w:sz w:val="16"/>
          <w:szCs w:val="16"/>
          <w:lang w:val="es-ES"/>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sz w:val="16"/>
          <w:szCs w:val="16"/>
          <w:lang w:val="es-ES"/>
        </w:rPr>
        <w:t>“</w:t>
      </w:r>
      <w:r w:rsidRPr="00B964D3">
        <w:rPr>
          <w:rFonts w:ascii="Verdana" w:hAnsi="Verdana"/>
          <w:i/>
          <w:sz w:val="16"/>
          <w:szCs w:val="16"/>
          <w:lang w:val="es-ES"/>
        </w:rPr>
        <w:t>La cuestión de si un asunto determinado corresponde o no a la jurisdicción exclusiva del Estado, es una cuestión esencialmente relativa, la que depende del desarrollo de las relaciones internacionales. En el estado actual del desarrollo del derecho internacional, la Corte es de opinión que los asuntos relativos a la nacionalidad pertenecen, en principio, a ese dominio reservado</w:t>
      </w:r>
      <w:r w:rsidRPr="00B964D3">
        <w:rPr>
          <w:rFonts w:ascii="Verdana" w:hAnsi="Verdana"/>
          <w:sz w:val="16"/>
          <w:szCs w:val="16"/>
          <w:lang w:val="es-ES"/>
        </w:rPr>
        <w:t>”. Corte Permanente de Justicia Internacional, Opinión Consultiva sobre ciertos decretos de nacionalidad dictados en la zona francesa de Túnez y Marruecos, Serie B Nº 4, pág. 24.</w:t>
      </w:r>
    </w:p>
    <w:p w14:paraId="1694BAFC" w14:textId="222822F7" w:rsidR="006A789C" w:rsidRPr="00B964D3" w:rsidRDefault="006A789C" w:rsidP="00246014">
      <w:pPr>
        <w:pStyle w:val="Textonotapie"/>
        <w:ind w:left="-567" w:right="-567"/>
        <w:rPr>
          <w:rFonts w:ascii="Verdana" w:hAnsi="Verdana"/>
          <w:i/>
          <w:sz w:val="16"/>
          <w:szCs w:val="16"/>
          <w:lang w:val="fr-FR"/>
        </w:rPr>
      </w:pPr>
      <w:r w:rsidRPr="00B964D3">
        <w:rPr>
          <w:rFonts w:ascii="Verdana" w:hAnsi="Verdana"/>
          <w:sz w:val="16"/>
          <w:szCs w:val="16"/>
          <w:lang w:val="fr-FR"/>
        </w:rPr>
        <w:t>Protocole n° 15 portant amendement à la Convention (Européenne) de Sauvegarde des Droits de l’Homme et des Libertés fondamentales, art.1: “</w:t>
      </w:r>
      <w:r w:rsidRPr="00B964D3">
        <w:rPr>
          <w:rFonts w:ascii="Verdana" w:hAnsi="Verdana"/>
          <w:i/>
          <w:sz w:val="16"/>
          <w:szCs w:val="16"/>
          <w:lang w:val="fr-FR"/>
        </w:rPr>
        <w:t>A la fin du préambule de la Convention, un nouveau considérant est ajouté et se lit comme suit</w:t>
      </w:r>
      <w:r w:rsidRPr="00B964D3">
        <w:rPr>
          <w:rFonts w:ascii="Verdana" w:hAnsi="Verdana"/>
          <w:sz w:val="16"/>
          <w:szCs w:val="16"/>
          <w:lang w:val="fr-FR"/>
        </w:rPr>
        <w:t xml:space="preserve">: </w:t>
      </w:r>
      <w:r w:rsidRPr="00B964D3">
        <w:rPr>
          <w:rFonts w:ascii="Verdana" w:hAnsi="Verdana"/>
          <w:i/>
          <w:sz w:val="16"/>
          <w:szCs w:val="16"/>
          <w:lang w:val="fr-FR"/>
        </w:rPr>
        <w:t>Affirmant qu’il incombe au premier chef aux Hautes Parties contractantes, conformément au principe de subsidiarité, de garantir le respect des droits et libertés définis dans la présente Convention et ses protocoles, et que, ce faisant, elles jouissent d’une marge d’appréciation, sous le contrôle de la Cour européenne des Droits de l’Homme instituée par la présente Convention.”</w:t>
      </w:r>
    </w:p>
    <w:p w14:paraId="62D622F2" w14:textId="77777777" w:rsidR="006A789C" w:rsidRPr="00B964D3" w:rsidRDefault="006A789C" w:rsidP="00246014">
      <w:pPr>
        <w:pStyle w:val="Textonotapie"/>
        <w:ind w:left="-567" w:right="-567"/>
        <w:rPr>
          <w:rFonts w:ascii="Verdana" w:hAnsi="Verdana"/>
          <w:sz w:val="16"/>
          <w:szCs w:val="16"/>
          <w:lang w:val="uz-Cyrl-UZ"/>
        </w:rPr>
      </w:pPr>
    </w:p>
  </w:footnote>
  <w:footnote w:id="9">
    <w:p w14:paraId="22C9575C" w14:textId="5E1B9174" w:rsidR="006A789C" w:rsidRPr="00B964D3" w:rsidRDefault="006A789C" w:rsidP="005D7C1F">
      <w:pPr>
        <w:pStyle w:val="Textonotapie"/>
        <w:ind w:left="-567" w:right="-567"/>
        <w:rPr>
          <w:rFonts w:ascii="Verdana" w:hAnsi="Verdana"/>
          <w:sz w:val="16"/>
          <w:szCs w:val="16"/>
          <w:lang w:val="uz-Cyrl-UZ"/>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sz w:val="16"/>
          <w:szCs w:val="16"/>
          <w:lang w:val="uz-Cyrl-UZ"/>
        </w:rPr>
        <w:t>En adelante, la Convención.</w:t>
      </w:r>
    </w:p>
    <w:p w14:paraId="62A80A79" w14:textId="77777777" w:rsidR="00291457" w:rsidRPr="00B964D3" w:rsidRDefault="00291457" w:rsidP="005D7C1F">
      <w:pPr>
        <w:pStyle w:val="Textonotapie"/>
        <w:ind w:left="-567" w:right="-567"/>
        <w:rPr>
          <w:rFonts w:ascii="Verdana" w:hAnsi="Verdana"/>
          <w:sz w:val="16"/>
          <w:szCs w:val="16"/>
          <w:lang w:val="uz-Cyrl-UZ"/>
        </w:rPr>
      </w:pPr>
    </w:p>
  </w:footnote>
  <w:footnote w:id="10">
    <w:p w14:paraId="64843EA0" w14:textId="65362A64" w:rsidR="006A789C" w:rsidRPr="00B964D3" w:rsidRDefault="006A789C" w:rsidP="005C6EAC">
      <w:pPr>
        <w:pStyle w:val="NormalWeb"/>
        <w:spacing w:before="0" w:beforeAutospacing="0" w:after="0" w:afterAutospacing="0"/>
        <w:ind w:left="-567" w:right="-567"/>
        <w:jc w:val="both"/>
        <w:rPr>
          <w:rFonts w:ascii="Verdana" w:hAnsi="Verdana" w:cs="Tahoma"/>
          <w:i/>
          <w:iCs/>
          <w:sz w:val="16"/>
          <w:szCs w:val="16"/>
        </w:rPr>
      </w:pPr>
      <w:r w:rsidRPr="00B964D3">
        <w:rPr>
          <w:rStyle w:val="Refdenotaalpie"/>
          <w:rFonts w:ascii="Verdana" w:hAnsi="Verdana"/>
          <w:i/>
          <w:iCs/>
          <w:sz w:val="16"/>
          <w:szCs w:val="16"/>
        </w:rPr>
        <w:footnoteRef/>
      </w:r>
      <w:r w:rsidRPr="00B964D3">
        <w:rPr>
          <w:rFonts w:ascii="Verdana" w:hAnsi="Verdana"/>
          <w:i/>
          <w:iCs/>
          <w:sz w:val="16"/>
          <w:szCs w:val="16"/>
        </w:rPr>
        <w:t xml:space="preserve"> </w:t>
      </w:r>
      <w:r w:rsidR="00A63291" w:rsidRPr="00B964D3">
        <w:rPr>
          <w:rFonts w:ascii="Verdana" w:hAnsi="Verdana"/>
          <w:i/>
          <w:iCs/>
          <w:sz w:val="16"/>
          <w:szCs w:val="16"/>
        </w:rPr>
        <w:t>“</w:t>
      </w:r>
      <w:r w:rsidRPr="00B964D3">
        <w:rPr>
          <w:rFonts w:ascii="Verdana" w:hAnsi="Verdana" w:cs="Tahoma"/>
          <w:i/>
          <w:iCs/>
          <w:sz w:val="16"/>
          <w:szCs w:val="16"/>
        </w:rPr>
        <w:t>Reconociendo que los derechos esenciales del hombre no nacen del hecho de ser nacional de determinado Estado, sino que tienen como fundamento los atributos de la persona humana, razón por la cual justifican una protección internacional, de naturaleza convencional coadyuvante o complementaria de la que ofrece el derecho interno de los Estados americanos</w:t>
      </w:r>
      <w:r w:rsidR="00A63291" w:rsidRPr="00B964D3">
        <w:rPr>
          <w:rFonts w:ascii="Verdana" w:hAnsi="Verdana" w:cs="Tahoma"/>
          <w:i/>
          <w:iCs/>
          <w:sz w:val="16"/>
          <w:szCs w:val="16"/>
        </w:rPr>
        <w:t>.”</w:t>
      </w:r>
    </w:p>
    <w:p w14:paraId="35A484CD" w14:textId="40636B7F" w:rsidR="006A789C" w:rsidRPr="00B964D3" w:rsidRDefault="006A789C" w:rsidP="005C6EAC">
      <w:pPr>
        <w:pStyle w:val="Textonotapie"/>
        <w:ind w:left="-567" w:right="-567"/>
        <w:rPr>
          <w:rFonts w:ascii="Verdana" w:hAnsi="Verdana"/>
          <w:i/>
          <w:iCs/>
          <w:sz w:val="16"/>
          <w:szCs w:val="16"/>
          <w:lang w:val="uz-Cyrl-UZ"/>
        </w:rPr>
      </w:pPr>
    </w:p>
  </w:footnote>
  <w:footnote w:id="11">
    <w:p w14:paraId="030841B4" w14:textId="3BECB836" w:rsidR="006A789C" w:rsidRPr="00B964D3" w:rsidRDefault="006A789C" w:rsidP="005C6EAC">
      <w:pPr>
        <w:pStyle w:val="NormalWeb"/>
        <w:spacing w:before="0" w:beforeAutospacing="0" w:after="0" w:afterAutospacing="0"/>
        <w:ind w:left="-567" w:right="-567"/>
        <w:jc w:val="both"/>
        <w:rPr>
          <w:rFonts w:ascii="Verdana" w:hAnsi="Verdana" w:cs="Tahoma"/>
          <w:i/>
          <w:iCs/>
          <w:sz w:val="16"/>
          <w:szCs w:val="16"/>
        </w:rPr>
      </w:pPr>
      <w:r w:rsidRPr="00B964D3">
        <w:rPr>
          <w:rStyle w:val="Refdenotaalpie"/>
          <w:rFonts w:ascii="Verdana" w:hAnsi="Verdana"/>
          <w:i/>
          <w:iCs/>
          <w:sz w:val="16"/>
          <w:szCs w:val="16"/>
        </w:rPr>
        <w:footnoteRef/>
      </w:r>
      <w:r w:rsidRPr="00B964D3">
        <w:rPr>
          <w:rFonts w:ascii="Verdana" w:hAnsi="Verdana"/>
          <w:i/>
          <w:iCs/>
          <w:sz w:val="16"/>
          <w:szCs w:val="16"/>
        </w:rPr>
        <w:t xml:space="preserve"> </w:t>
      </w:r>
      <w:r w:rsidRPr="00B964D3">
        <w:rPr>
          <w:rFonts w:ascii="Verdana" w:hAnsi="Verdana" w:cs="Tahoma"/>
          <w:i/>
          <w:iCs/>
          <w:sz w:val="16"/>
          <w:szCs w:val="16"/>
        </w:rPr>
        <w:t>”Esta Convención queda abierta a la firma y a la ratificación o adhesión de todo Estado miembro de la Organización de los Estados Americanos.”</w:t>
      </w:r>
    </w:p>
    <w:p w14:paraId="6970DFE1" w14:textId="6ECD4033" w:rsidR="006A789C" w:rsidRPr="00B964D3" w:rsidRDefault="006A789C" w:rsidP="00291457">
      <w:pPr>
        <w:pStyle w:val="Textonotapie"/>
        <w:ind w:left="-567" w:right="-567"/>
        <w:rPr>
          <w:rFonts w:ascii="Verdana" w:hAnsi="Verdana"/>
          <w:i/>
          <w:iCs/>
          <w:sz w:val="16"/>
          <w:szCs w:val="16"/>
          <w:lang w:val="uz-Cyrl-UZ"/>
        </w:rPr>
      </w:pPr>
    </w:p>
  </w:footnote>
  <w:footnote w:id="12">
    <w:p w14:paraId="15C50105" w14:textId="077C9CE3" w:rsidR="006A789C" w:rsidRPr="00B964D3" w:rsidRDefault="006A789C" w:rsidP="005C6EAC">
      <w:pPr>
        <w:pStyle w:val="NormalWeb"/>
        <w:spacing w:before="0" w:beforeAutospacing="0" w:after="0" w:afterAutospacing="0"/>
        <w:ind w:left="-567" w:right="-567"/>
        <w:jc w:val="both"/>
        <w:rPr>
          <w:rFonts w:ascii="Verdana" w:hAnsi="Verdana" w:cs="Tahoma"/>
          <w:i/>
          <w:iCs/>
          <w:sz w:val="16"/>
          <w:szCs w:val="16"/>
        </w:rPr>
      </w:pPr>
      <w:r w:rsidRPr="00B964D3">
        <w:rPr>
          <w:rStyle w:val="Refdenotaalpie"/>
          <w:rFonts w:ascii="Verdana" w:hAnsi="Verdana"/>
          <w:i/>
          <w:iCs/>
          <w:sz w:val="16"/>
          <w:szCs w:val="16"/>
        </w:rPr>
        <w:footnoteRef/>
      </w:r>
      <w:r w:rsidRPr="00B964D3">
        <w:rPr>
          <w:rFonts w:ascii="Verdana" w:hAnsi="Verdana"/>
          <w:i/>
          <w:iCs/>
          <w:sz w:val="16"/>
          <w:szCs w:val="16"/>
        </w:rPr>
        <w:t xml:space="preserve"> “</w:t>
      </w:r>
      <w:r w:rsidRPr="00B964D3">
        <w:rPr>
          <w:rFonts w:ascii="Verdana" w:hAnsi="Verdana" w:cs="Tahoma"/>
          <w:i/>
          <w:iCs/>
          <w:sz w:val="16"/>
          <w:szCs w:val="16"/>
        </w:rPr>
        <w:t>Obligación de Respetar los Derechos. 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p w14:paraId="66E9805A" w14:textId="41C4D0AB" w:rsidR="006A789C" w:rsidRPr="00B964D3" w:rsidRDefault="006A789C" w:rsidP="00291457">
      <w:pPr>
        <w:pStyle w:val="NormalWeb"/>
        <w:spacing w:before="0" w:beforeAutospacing="0" w:after="0" w:afterAutospacing="0"/>
        <w:ind w:left="-567" w:right="-567"/>
        <w:jc w:val="both"/>
        <w:rPr>
          <w:rFonts w:ascii="Verdana" w:hAnsi="Verdana"/>
          <w:i/>
          <w:iCs/>
          <w:sz w:val="16"/>
          <w:szCs w:val="16"/>
          <w:lang w:val="uz-Cyrl-UZ"/>
        </w:rPr>
      </w:pPr>
    </w:p>
  </w:footnote>
  <w:footnote w:id="13">
    <w:p w14:paraId="7A37E42D" w14:textId="3A1F38A3" w:rsidR="006A789C" w:rsidRPr="00B964D3" w:rsidRDefault="006A789C" w:rsidP="005C6EAC">
      <w:pPr>
        <w:pStyle w:val="NormalWeb"/>
        <w:spacing w:before="0" w:beforeAutospacing="0" w:after="0" w:afterAutospacing="0"/>
        <w:ind w:left="-567" w:right="-567"/>
        <w:jc w:val="both"/>
        <w:rPr>
          <w:rFonts w:ascii="Verdana" w:hAnsi="Verdana" w:cs="Tahoma"/>
          <w:i/>
          <w:iCs/>
          <w:sz w:val="16"/>
          <w:szCs w:val="16"/>
        </w:rPr>
      </w:pPr>
      <w:r w:rsidRPr="00B964D3">
        <w:rPr>
          <w:rStyle w:val="Refdenotaalpie"/>
          <w:rFonts w:ascii="Verdana" w:hAnsi="Verdana"/>
          <w:i/>
          <w:iCs/>
          <w:sz w:val="16"/>
          <w:szCs w:val="16"/>
        </w:rPr>
        <w:footnoteRef/>
      </w:r>
      <w:r w:rsidRPr="00B964D3">
        <w:rPr>
          <w:rFonts w:ascii="Verdana" w:hAnsi="Verdana"/>
          <w:i/>
          <w:iCs/>
          <w:sz w:val="16"/>
          <w:szCs w:val="16"/>
        </w:rPr>
        <w:t xml:space="preserve"> “</w:t>
      </w:r>
      <w:r w:rsidRPr="00B964D3">
        <w:rPr>
          <w:rFonts w:ascii="Verdana" w:hAnsi="Verdana" w:cs="Tahoma"/>
          <w:i/>
          <w:iCs/>
          <w:sz w:val="16"/>
          <w:szCs w:val="16"/>
        </w:rPr>
        <w:t>Deber de Adoptar Disposiciones de Derecho Interno. 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p>
    <w:p w14:paraId="61F190E6" w14:textId="77777777" w:rsidR="006A789C" w:rsidRPr="00B964D3" w:rsidRDefault="006A789C" w:rsidP="005C6EAC">
      <w:pPr>
        <w:pStyle w:val="NormalWeb"/>
        <w:spacing w:before="0" w:beforeAutospacing="0" w:after="0" w:afterAutospacing="0"/>
        <w:ind w:left="-567" w:right="-567"/>
        <w:jc w:val="both"/>
        <w:rPr>
          <w:rFonts w:ascii="Verdana" w:hAnsi="Verdana" w:cs="Tahoma"/>
          <w:i/>
          <w:iCs/>
          <w:sz w:val="16"/>
          <w:szCs w:val="16"/>
        </w:rPr>
      </w:pPr>
    </w:p>
  </w:footnote>
  <w:footnote w:id="14">
    <w:p w14:paraId="7AE93083" w14:textId="0C178481" w:rsidR="006A789C" w:rsidRPr="00B964D3" w:rsidRDefault="006A789C" w:rsidP="005C6EAC">
      <w:pPr>
        <w:pStyle w:val="NormalWeb"/>
        <w:spacing w:before="0" w:beforeAutospacing="0" w:after="0" w:afterAutospacing="0"/>
        <w:ind w:left="-567" w:right="-567"/>
        <w:jc w:val="both"/>
        <w:rPr>
          <w:rFonts w:ascii="Verdana" w:hAnsi="Verdana" w:cs="Tahoma"/>
          <w:i/>
          <w:iCs/>
          <w:sz w:val="16"/>
          <w:szCs w:val="16"/>
        </w:rPr>
      </w:pPr>
      <w:r w:rsidRPr="00B964D3">
        <w:rPr>
          <w:rStyle w:val="Refdenotaalpie"/>
          <w:rFonts w:ascii="Verdana" w:hAnsi="Verdana"/>
          <w:i/>
          <w:iCs/>
          <w:sz w:val="16"/>
          <w:szCs w:val="16"/>
        </w:rPr>
        <w:footnoteRef/>
      </w:r>
      <w:r w:rsidRPr="00B964D3">
        <w:rPr>
          <w:rFonts w:ascii="Verdana" w:hAnsi="Verdana"/>
          <w:i/>
          <w:iCs/>
          <w:sz w:val="16"/>
          <w:szCs w:val="16"/>
        </w:rPr>
        <w:t xml:space="preserve"> </w:t>
      </w:r>
      <w:r w:rsidRPr="00B964D3">
        <w:rPr>
          <w:rFonts w:ascii="Verdana" w:hAnsi="Verdana" w:cs="Tahoma"/>
          <w:i/>
          <w:iCs/>
          <w:sz w:val="16"/>
          <w:szCs w:val="16"/>
        </w:rPr>
        <w:t>“La Comisión representa a todos los miembros que integran la Organización de los Estados Americanos.”</w:t>
      </w:r>
    </w:p>
    <w:p w14:paraId="2038222E" w14:textId="5EF718D5" w:rsidR="006A789C" w:rsidRPr="00B964D3" w:rsidRDefault="006A789C" w:rsidP="00D91FFC">
      <w:pPr>
        <w:pStyle w:val="NormalWeb"/>
        <w:spacing w:before="0" w:beforeAutospacing="0" w:after="0" w:afterAutospacing="0"/>
        <w:ind w:left="-567" w:right="-567"/>
        <w:jc w:val="both"/>
        <w:rPr>
          <w:rFonts w:ascii="Verdana" w:hAnsi="Verdana"/>
          <w:i/>
          <w:iCs/>
          <w:sz w:val="16"/>
          <w:szCs w:val="16"/>
          <w:lang w:val="uz-Cyrl-UZ"/>
        </w:rPr>
      </w:pPr>
    </w:p>
  </w:footnote>
  <w:footnote w:id="15">
    <w:p w14:paraId="3BDEC129" w14:textId="3B7C17A9" w:rsidR="006A789C" w:rsidRPr="00B964D3" w:rsidRDefault="006A789C" w:rsidP="005C6EAC">
      <w:pPr>
        <w:pStyle w:val="NormalWeb"/>
        <w:spacing w:before="0" w:beforeAutospacing="0" w:after="0" w:afterAutospacing="0"/>
        <w:ind w:left="-567" w:right="-567"/>
        <w:jc w:val="both"/>
        <w:rPr>
          <w:rFonts w:ascii="Verdana" w:hAnsi="Verdana" w:cs="Tahoma"/>
          <w:i/>
          <w:iCs/>
          <w:sz w:val="16"/>
          <w:szCs w:val="16"/>
        </w:rPr>
      </w:pPr>
      <w:r w:rsidRPr="00B964D3">
        <w:rPr>
          <w:rStyle w:val="Refdenotaalpie"/>
          <w:rFonts w:ascii="Verdana" w:hAnsi="Verdana"/>
          <w:i/>
          <w:iCs/>
          <w:sz w:val="16"/>
          <w:szCs w:val="16"/>
        </w:rPr>
        <w:footnoteRef/>
      </w:r>
      <w:r w:rsidRPr="00B964D3">
        <w:rPr>
          <w:rFonts w:ascii="Verdana" w:hAnsi="Verdana"/>
          <w:i/>
          <w:iCs/>
          <w:sz w:val="16"/>
          <w:szCs w:val="16"/>
        </w:rPr>
        <w:t xml:space="preserve"> “</w:t>
      </w:r>
      <w:r w:rsidRPr="00B964D3">
        <w:rPr>
          <w:rFonts w:ascii="Verdana" w:hAnsi="Verdana" w:cs="Tahoma"/>
          <w:i/>
          <w:iCs/>
          <w:sz w:val="16"/>
          <w:szCs w:val="16"/>
        </w:rPr>
        <w:t>Para que una petición o comunicación presentada conforme a los artículos 44 ó 45 sea admitida por la Comisión, se requerirá:  a) que se hayan interpuesto y agotado los recursos de jurisdicción interna, conforme a los principios del Derecho Internacional generalmente reconocidos</w:t>
      </w:r>
      <w:r w:rsidR="00A63291" w:rsidRPr="00B964D3">
        <w:rPr>
          <w:rFonts w:ascii="Verdana" w:hAnsi="Verdana" w:cs="Tahoma"/>
          <w:i/>
          <w:iCs/>
          <w:sz w:val="16"/>
          <w:szCs w:val="16"/>
        </w:rPr>
        <w:t>.</w:t>
      </w:r>
      <w:r w:rsidRPr="00B964D3">
        <w:rPr>
          <w:rFonts w:ascii="Verdana" w:hAnsi="Verdana" w:cs="Tahoma"/>
          <w:i/>
          <w:iCs/>
          <w:sz w:val="16"/>
          <w:szCs w:val="16"/>
        </w:rPr>
        <w:t>”</w:t>
      </w:r>
    </w:p>
    <w:p w14:paraId="3DCF61F7" w14:textId="6BA50866" w:rsidR="006A789C" w:rsidRPr="00B964D3" w:rsidRDefault="006A789C" w:rsidP="00D91FFC">
      <w:pPr>
        <w:pStyle w:val="NormalWeb"/>
        <w:spacing w:before="0" w:beforeAutospacing="0" w:after="0" w:afterAutospacing="0"/>
        <w:ind w:left="-567" w:right="-567"/>
        <w:jc w:val="both"/>
        <w:rPr>
          <w:rFonts w:ascii="Verdana" w:hAnsi="Verdana"/>
          <w:i/>
          <w:iCs/>
          <w:sz w:val="16"/>
          <w:szCs w:val="16"/>
          <w:lang w:val="uz-Cyrl-UZ"/>
        </w:rPr>
      </w:pPr>
    </w:p>
  </w:footnote>
  <w:footnote w:id="16">
    <w:p w14:paraId="5F27DB8C" w14:textId="3B6E20B0" w:rsidR="006301D0" w:rsidRPr="00B964D3" w:rsidRDefault="006A789C" w:rsidP="005C6EAC">
      <w:pPr>
        <w:pStyle w:val="Textonotapie"/>
        <w:ind w:left="-567" w:right="-567"/>
        <w:rPr>
          <w:rFonts w:ascii="Verdana" w:hAnsi="Verdana" w:cs="Tahoma"/>
          <w:i/>
          <w:iCs/>
          <w:sz w:val="16"/>
          <w:szCs w:val="16"/>
        </w:rPr>
      </w:pPr>
      <w:r w:rsidRPr="00B964D3">
        <w:rPr>
          <w:rStyle w:val="Refdenotaalpie"/>
          <w:rFonts w:ascii="Verdana" w:hAnsi="Verdana"/>
          <w:i/>
          <w:iCs/>
          <w:sz w:val="16"/>
          <w:szCs w:val="16"/>
        </w:rPr>
        <w:footnoteRef/>
      </w:r>
      <w:r w:rsidRPr="00B964D3">
        <w:rPr>
          <w:rFonts w:ascii="Verdana" w:hAnsi="Verdana"/>
          <w:i/>
          <w:iCs/>
          <w:sz w:val="16"/>
          <w:szCs w:val="16"/>
        </w:rPr>
        <w:t xml:space="preserve"> “</w:t>
      </w:r>
      <w:r w:rsidRPr="00B964D3">
        <w:rPr>
          <w:rFonts w:ascii="Verdana" w:hAnsi="Verdana" w:cs="Tahoma"/>
          <w:i/>
          <w:iCs/>
          <w:sz w:val="16"/>
          <w:szCs w:val="16"/>
        </w:rPr>
        <w:t>La Corte tiene competencia para conocer de cualquier caso relativo a la interpretación y aplicación de las disposiciones de esta Convención que le sea sometido, siempre que los Estados Partes en el caso hayan reconocido o reconozcan dicha competencia, ora por declaración especial, como se indica en los incisos anteriores, ora por convención especial</w:t>
      </w:r>
      <w:r w:rsidR="00A63291" w:rsidRPr="00B964D3">
        <w:rPr>
          <w:rFonts w:ascii="Verdana" w:hAnsi="Verdana" w:cs="Tahoma"/>
          <w:i/>
          <w:iCs/>
          <w:sz w:val="16"/>
          <w:szCs w:val="16"/>
        </w:rPr>
        <w:t>.</w:t>
      </w:r>
      <w:r w:rsidRPr="00B964D3">
        <w:rPr>
          <w:rFonts w:ascii="Verdana" w:hAnsi="Verdana" w:cs="Tahoma"/>
          <w:i/>
          <w:iCs/>
          <w:sz w:val="16"/>
          <w:szCs w:val="16"/>
        </w:rPr>
        <w:t>”</w:t>
      </w:r>
    </w:p>
    <w:p w14:paraId="0AE8C70C" w14:textId="77777777" w:rsidR="00D91FFC" w:rsidRPr="00B964D3" w:rsidRDefault="00D91FFC" w:rsidP="005C6EAC">
      <w:pPr>
        <w:pStyle w:val="Textonotapie"/>
        <w:ind w:left="-567" w:right="-567"/>
        <w:rPr>
          <w:rFonts w:ascii="Verdana" w:hAnsi="Verdana"/>
          <w:i/>
          <w:iCs/>
          <w:sz w:val="16"/>
          <w:szCs w:val="16"/>
          <w:lang w:val="uz-Cyrl-UZ"/>
        </w:rPr>
      </w:pPr>
    </w:p>
  </w:footnote>
  <w:footnote w:id="17">
    <w:p w14:paraId="0A7CE041" w14:textId="1C295BB0" w:rsidR="006A789C" w:rsidRPr="00B964D3" w:rsidRDefault="006A789C" w:rsidP="005C6EAC">
      <w:pPr>
        <w:pStyle w:val="NormalWeb"/>
        <w:spacing w:before="0" w:beforeAutospacing="0" w:after="0" w:afterAutospacing="0"/>
        <w:ind w:left="-567" w:right="-567"/>
        <w:jc w:val="both"/>
        <w:rPr>
          <w:rFonts w:ascii="Verdana" w:hAnsi="Verdana" w:cs="Tahoma"/>
          <w:i/>
          <w:iCs/>
          <w:sz w:val="16"/>
          <w:szCs w:val="16"/>
        </w:rPr>
      </w:pPr>
      <w:r w:rsidRPr="00B964D3">
        <w:rPr>
          <w:rStyle w:val="Refdenotaalpie"/>
          <w:rFonts w:ascii="Verdana" w:hAnsi="Verdana"/>
          <w:i/>
          <w:iCs/>
          <w:sz w:val="16"/>
          <w:szCs w:val="16"/>
        </w:rPr>
        <w:footnoteRef/>
      </w:r>
      <w:r w:rsidRPr="00B964D3">
        <w:rPr>
          <w:rFonts w:ascii="Verdana" w:hAnsi="Verdana" w:cs="Tahoma"/>
          <w:i/>
          <w:iCs/>
          <w:sz w:val="16"/>
          <w:szCs w:val="16"/>
        </w:rPr>
        <w:t> “Los Estados Partes en la Convención se comprometen a cumplir la decisión de la Corte en todo caso en que sean partes.”</w:t>
      </w:r>
    </w:p>
    <w:p w14:paraId="7691DA3E" w14:textId="73B3CEB0" w:rsidR="006A789C" w:rsidRPr="00B964D3" w:rsidRDefault="006A789C" w:rsidP="00D91FFC">
      <w:pPr>
        <w:pStyle w:val="NormalWeb"/>
        <w:spacing w:before="0" w:beforeAutospacing="0" w:after="0" w:afterAutospacing="0"/>
        <w:ind w:left="-567" w:right="-567"/>
        <w:jc w:val="both"/>
        <w:rPr>
          <w:rFonts w:ascii="Verdana" w:hAnsi="Verdana"/>
          <w:i/>
          <w:iCs/>
          <w:sz w:val="16"/>
          <w:szCs w:val="16"/>
          <w:lang w:val="uz-Cyrl-UZ"/>
        </w:rPr>
      </w:pPr>
    </w:p>
  </w:footnote>
  <w:footnote w:id="18">
    <w:p w14:paraId="4F0A8134" w14:textId="1398F894" w:rsidR="006A789C" w:rsidRPr="00B964D3" w:rsidRDefault="006A789C" w:rsidP="005C6EAC">
      <w:pPr>
        <w:pStyle w:val="NormalWeb"/>
        <w:spacing w:before="0" w:beforeAutospacing="0" w:after="0" w:afterAutospacing="0"/>
        <w:ind w:left="-567" w:right="-567"/>
        <w:jc w:val="both"/>
        <w:rPr>
          <w:rFonts w:ascii="Verdana" w:hAnsi="Verdana" w:cs="Tahoma"/>
          <w:i/>
          <w:iCs/>
          <w:sz w:val="16"/>
          <w:szCs w:val="16"/>
        </w:rPr>
      </w:pPr>
      <w:r w:rsidRPr="00B964D3">
        <w:rPr>
          <w:rStyle w:val="Refdenotaalpie"/>
          <w:rFonts w:ascii="Verdana" w:hAnsi="Verdana"/>
          <w:i/>
          <w:iCs/>
          <w:sz w:val="16"/>
          <w:szCs w:val="16"/>
        </w:rPr>
        <w:footnoteRef/>
      </w:r>
      <w:r w:rsidRPr="00B964D3">
        <w:rPr>
          <w:rFonts w:ascii="Verdana" w:hAnsi="Verdana"/>
          <w:i/>
          <w:iCs/>
          <w:sz w:val="16"/>
          <w:szCs w:val="16"/>
        </w:rPr>
        <w:t xml:space="preserve"> “</w:t>
      </w:r>
      <w:r w:rsidRPr="00B964D3">
        <w:rPr>
          <w:rFonts w:ascii="Verdana" w:hAnsi="Verdana" w:cs="Tahoma"/>
          <w:i/>
          <w:iCs/>
          <w:sz w:val="16"/>
          <w:szCs w:val="16"/>
        </w:rPr>
        <w:t>Reconocimiento de Otros Derechos. Podrán ser incluidos en el régimen de protección de esta Convención otros derechos y libertades que sean reconocidos de acuerdo con los procedimientos establecidos en los artículos 76 y 77.”</w:t>
      </w:r>
    </w:p>
    <w:p w14:paraId="019AE63B" w14:textId="610B82ED" w:rsidR="006A789C" w:rsidRPr="00B964D3" w:rsidRDefault="006A789C" w:rsidP="00D91FFC">
      <w:pPr>
        <w:pStyle w:val="NormalWeb"/>
        <w:spacing w:before="0" w:beforeAutospacing="0" w:after="0" w:afterAutospacing="0"/>
        <w:ind w:left="-567" w:right="-567"/>
        <w:jc w:val="both"/>
        <w:rPr>
          <w:rFonts w:ascii="Verdana" w:hAnsi="Verdana"/>
          <w:i/>
          <w:iCs/>
          <w:sz w:val="16"/>
          <w:szCs w:val="16"/>
          <w:lang w:val="uz-Cyrl-UZ"/>
        </w:rPr>
      </w:pPr>
    </w:p>
  </w:footnote>
  <w:footnote w:id="19">
    <w:p w14:paraId="7C3AAE83" w14:textId="63994B08" w:rsidR="006A789C" w:rsidRPr="00B964D3" w:rsidRDefault="006A789C" w:rsidP="005C6EAC">
      <w:pPr>
        <w:pStyle w:val="NormalWeb"/>
        <w:spacing w:before="0" w:beforeAutospacing="0" w:after="0" w:afterAutospacing="0"/>
        <w:ind w:left="-567" w:right="-567"/>
        <w:jc w:val="both"/>
        <w:rPr>
          <w:rFonts w:ascii="Verdana" w:hAnsi="Verdana" w:cs="Tahoma"/>
          <w:i/>
          <w:iCs/>
          <w:sz w:val="16"/>
          <w:szCs w:val="16"/>
        </w:rPr>
      </w:pPr>
      <w:r w:rsidRPr="00B964D3">
        <w:rPr>
          <w:rStyle w:val="Refdenotaalpie"/>
          <w:rFonts w:ascii="Verdana" w:hAnsi="Verdana"/>
          <w:i/>
          <w:iCs/>
          <w:sz w:val="16"/>
          <w:szCs w:val="16"/>
        </w:rPr>
        <w:footnoteRef/>
      </w:r>
      <w:r w:rsidRPr="00B964D3">
        <w:rPr>
          <w:rFonts w:ascii="Verdana" w:hAnsi="Verdana"/>
          <w:i/>
          <w:iCs/>
          <w:sz w:val="16"/>
          <w:szCs w:val="16"/>
        </w:rPr>
        <w:t xml:space="preserve"> </w:t>
      </w:r>
      <w:r w:rsidRPr="00B964D3">
        <w:rPr>
          <w:rFonts w:ascii="Verdana" w:hAnsi="Verdana" w:cs="Tahoma"/>
          <w:i/>
          <w:iCs/>
          <w:sz w:val="16"/>
          <w:szCs w:val="16"/>
        </w:rPr>
        <w:t>“1. Cualquier Estado parte directamente y la Comisión o la Corte por conducto del Secretario General, pueden someter a la Asamblea General, para lo que estime conveniente, una propuesta de enmienda a esta Convención.</w:t>
      </w:r>
    </w:p>
    <w:p w14:paraId="7245CB0D" w14:textId="038D1271" w:rsidR="006A789C" w:rsidRPr="00B964D3" w:rsidRDefault="006A789C" w:rsidP="005C6EAC">
      <w:pPr>
        <w:pStyle w:val="NormalWeb"/>
        <w:spacing w:before="0" w:beforeAutospacing="0" w:after="0" w:afterAutospacing="0"/>
        <w:ind w:left="-567" w:right="-567"/>
        <w:jc w:val="both"/>
        <w:rPr>
          <w:rFonts w:ascii="Verdana" w:hAnsi="Verdana" w:cs="Tahoma"/>
          <w:i/>
          <w:iCs/>
          <w:sz w:val="16"/>
          <w:szCs w:val="16"/>
        </w:rPr>
      </w:pPr>
      <w:r w:rsidRPr="00B964D3">
        <w:rPr>
          <w:rFonts w:ascii="Verdana" w:hAnsi="Verdana" w:cs="Tahoma"/>
          <w:i/>
          <w:iCs/>
          <w:sz w:val="16"/>
          <w:szCs w:val="16"/>
        </w:rPr>
        <w:t> 2. Las enmiendas entrarán en vigor para los Estados ratificantes de las mismas en la fecha en que se haya depositado el respectivo instrumento de ratificación que corresponda al número de los dos tercios de los Estados Partes en esta Convención.  En cuanto al resto de los Estados Partes, entrarán en vigor en la fecha en que depositen sus respectivos instrumentos de ratificación.”</w:t>
      </w:r>
    </w:p>
    <w:p w14:paraId="0F96C1DC" w14:textId="7A8BAE7A" w:rsidR="006A789C" w:rsidRPr="00B964D3" w:rsidRDefault="006A789C" w:rsidP="00D91FFC">
      <w:pPr>
        <w:pStyle w:val="NormalWeb"/>
        <w:spacing w:before="0" w:beforeAutospacing="0" w:after="0" w:afterAutospacing="0"/>
        <w:ind w:left="-567" w:right="-567"/>
        <w:jc w:val="both"/>
        <w:rPr>
          <w:rFonts w:ascii="Verdana" w:hAnsi="Verdana"/>
          <w:i/>
          <w:iCs/>
          <w:sz w:val="16"/>
          <w:szCs w:val="16"/>
          <w:lang w:val="uz-Cyrl-UZ"/>
        </w:rPr>
      </w:pPr>
    </w:p>
  </w:footnote>
  <w:footnote w:id="20">
    <w:p w14:paraId="595A147D" w14:textId="2D41F055" w:rsidR="006A789C" w:rsidRPr="00B964D3" w:rsidRDefault="006A789C" w:rsidP="005C6EAC">
      <w:pPr>
        <w:pStyle w:val="NormalWeb"/>
        <w:spacing w:before="0" w:beforeAutospacing="0" w:after="0" w:afterAutospacing="0"/>
        <w:ind w:left="-567" w:right="-567"/>
        <w:jc w:val="both"/>
        <w:rPr>
          <w:rFonts w:ascii="Verdana" w:hAnsi="Verdana" w:cs="Tahoma"/>
          <w:i/>
          <w:iCs/>
          <w:sz w:val="16"/>
          <w:szCs w:val="16"/>
        </w:rPr>
      </w:pPr>
      <w:r w:rsidRPr="00B964D3">
        <w:rPr>
          <w:rStyle w:val="Refdenotaalpie"/>
          <w:rFonts w:ascii="Verdana" w:hAnsi="Verdana"/>
          <w:i/>
          <w:iCs/>
          <w:sz w:val="16"/>
          <w:szCs w:val="16"/>
        </w:rPr>
        <w:footnoteRef/>
      </w:r>
      <w:r w:rsidRPr="00B964D3">
        <w:rPr>
          <w:rFonts w:ascii="Verdana" w:hAnsi="Verdana"/>
          <w:i/>
          <w:iCs/>
          <w:sz w:val="16"/>
          <w:szCs w:val="16"/>
        </w:rPr>
        <w:t xml:space="preserve"> </w:t>
      </w:r>
      <w:r w:rsidRPr="00B964D3">
        <w:rPr>
          <w:rFonts w:ascii="Verdana" w:hAnsi="Verdana" w:cs="Tahoma"/>
          <w:i/>
          <w:iCs/>
          <w:sz w:val="16"/>
          <w:szCs w:val="16"/>
        </w:rPr>
        <w:t>“1. De acuerdo con la facultad establecida en el artículo 31, cualquier Estado parte y la Comisión podrán someter a la consideración de los Estados Partes reunidos con ocasión de la Asamblea General, proyectos de protocolos adicionales a esta Convención, con la finalidad de incluir progresivamente en el régimen de protección de la misma otros derechos y libertades.</w:t>
      </w:r>
    </w:p>
    <w:p w14:paraId="6FD0D8A6" w14:textId="65F4D1C6" w:rsidR="006A789C" w:rsidRPr="00B964D3" w:rsidRDefault="006A789C" w:rsidP="005C6EAC">
      <w:pPr>
        <w:pStyle w:val="NormalWeb"/>
        <w:spacing w:before="0" w:beforeAutospacing="0" w:after="0" w:afterAutospacing="0"/>
        <w:ind w:left="-567" w:right="-567"/>
        <w:jc w:val="both"/>
        <w:rPr>
          <w:rFonts w:ascii="Verdana" w:hAnsi="Verdana" w:cs="Tahoma"/>
          <w:i/>
          <w:iCs/>
          <w:sz w:val="16"/>
          <w:szCs w:val="16"/>
        </w:rPr>
      </w:pPr>
      <w:r w:rsidRPr="00B964D3">
        <w:rPr>
          <w:rFonts w:ascii="Verdana" w:hAnsi="Verdana" w:cs="Tahoma"/>
          <w:i/>
          <w:iCs/>
          <w:sz w:val="16"/>
          <w:szCs w:val="16"/>
        </w:rPr>
        <w:t> 2. Cada protocolo debe fijar las modalidades de su entrada en vigor, y se aplicará sólo entre los Estados Partes en el mismo.”</w:t>
      </w:r>
    </w:p>
    <w:p w14:paraId="4758C7A7" w14:textId="3A143EF5" w:rsidR="006A789C" w:rsidRPr="00B964D3" w:rsidRDefault="006A789C">
      <w:pPr>
        <w:pStyle w:val="Textonotapie"/>
        <w:rPr>
          <w:rFonts w:ascii="Verdana" w:hAnsi="Verdana"/>
          <w:sz w:val="16"/>
          <w:szCs w:val="16"/>
          <w:lang w:val="uz-Cyrl-UZ"/>
        </w:rPr>
      </w:pPr>
    </w:p>
  </w:footnote>
  <w:footnote w:id="21">
    <w:p w14:paraId="4C07901B" w14:textId="38329D3D" w:rsidR="006A789C" w:rsidRPr="00B964D3" w:rsidRDefault="006A789C" w:rsidP="00907144">
      <w:pPr>
        <w:pStyle w:val="Textonotapie"/>
        <w:ind w:left="-567" w:right="-567"/>
        <w:rPr>
          <w:rFonts w:ascii="Verdana" w:hAnsi="Verdana"/>
          <w:sz w:val="16"/>
          <w:szCs w:val="16"/>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i/>
          <w:iCs/>
          <w:sz w:val="16"/>
          <w:szCs w:val="16"/>
        </w:rPr>
        <w:t>Supra</w:t>
      </w:r>
      <w:r w:rsidRPr="00B964D3">
        <w:rPr>
          <w:rFonts w:ascii="Verdana" w:hAnsi="Verdana"/>
          <w:sz w:val="16"/>
          <w:szCs w:val="16"/>
        </w:rPr>
        <w:t>, Nota N</w:t>
      </w:r>
      <w:r w:rsidR="00324D2C" w:rsidRPr="00B964D3">
        <w:rPr>
          <w:rFonts w:ascii="Verdana" w:hAnsi="Verdana"/>
          <w:sz w:val="16"/>
          <w:szCs w:val="16"/>
        </w:rPr>
        <w:t>°</w:t>
      </w:r>
      <w:r w:rsidRPr="00B964D3">
        <w:rPr>
          <w:rFonts w:ascii="Verdana" w:hAnsi="Verdana"/>
          <w:sz w:val="16"/>
          <w:szCs w:val="16"/>
        </w:rPr>
        <w:t xml:space="preserve"> 16.</w:t>
      </w:r>
    </w:p>
    <w:p w14:paraId="59302EC1" w14:textId="77777777" w:rsidR="006A789C" w:rsidRPr="00B964D3" w:rsidRDefault="006A789C" w:rsidP="00907144">
      <w:pPr>
        <w:pStyle w:val="Textonotapie"/>
        <w:ind w:left="-567" w:right="-567"/>
        <w:rPr>
          <w:rFonts w:ascii="Verdana" w:hAnsi="Verdana"/>
          <w:sz w:val="16"/>
          <w:szCs w:val="16"/>
          <w:lang w:val="uz-Cyrl-UZ"/>
        </w:rPr>
      </w:pPr>
      <w:r w:rsidRPr="00B964D3">
        <w:rPr>
          <w:rFonts w:ascii="Verdana" w:hAnsi="Verdana"/>
          <w:sz w:val="16"/>
          <w:szCs w:val="16"/>
        </w:rPr>
        <w:t xml:space="preserve"> </w:t>
      </w:r>
    </w:p>
  </w:footnote>
  <w:footnote w:id="22">
    <w:p w14:paraId="287E7EE0" w14:textId="1643EC42" w:rsidR="006A789C" w:rsidRPr="00B964D3" w:rsidRDefault="006A789C" w:rsidP="006A789C">
      <w:pPr>
        <w:pStyle w:val="Textonotapie"/>
        <w:ind w:left="-567" w:right="-567"/>
        <w:rPr>
          <w:rFonts w:ascii="Verdana" w:hAnsi="Verdana"/>
          <w:sz w:val="16"/>
          <w:szCs w:val="16"/>
        </w:rPr>
      </w:pPr>
      <w:r w:rsidRPr="00B964D3">
        <w:rPr>
          <w:rStyle w:val="Refdenotaalpie"/>
          <w:rFonts w:ascii="Verdana" w:hAnsi="Verdana"/>
          <w:sz w:val="16"/>
          <w:szCs w:val="16"/>
        </w:rPr>
        <w:footnoteRef/>
      </w:r>
      <w:r w:rsidRPr="00B964D3">
        <w:rPr>
          <w:rFonts w:ascii="Verdana" w:hAnsi="Verdana"/>
          <w:sz w:val="16"/>
          <w:szCs w:val="16"/>
        </w:rPr>
        <w:t xml:space="preserve"> En adelante, Convención de Viena.</w:t>
      </w:r>
    </w:p>
    <w:p w14:paraId="17D62C46" w14:textId="77777777" w:rsidR="006A789C" w:rsidRPr="00B964D3" w:rsidRDefault="006A789C" w:rsidP="006A789C">
      <w:pPr>
        <w:pStyle w:val="Textonotapie"/>
        <w:ind w:left="-567" w:right="-567"/>
        <w:rPr>
          <w:rFonts w:ascii="Verdana" w:hAnsi="Verdana"/>
          <w:sz w:val="16"/>
          <w:szCs w:val="16"/>
          <w:lang w:val="uz-Cyrl-UZ"/>
        </w:rPr>
      </w:pPr>
    </w:p>
  </w:footnote>
  <w:footnote w:id="23">
    <w:p w14:paraId="0E6D2531" w14:textId="4DBE22E9" w:rsidR="006A789C" w:rsidRPr="00B964D3" w:rsidRDefault="006A789C" w:rsidP="006A789C">
      <w:pPr>
        <w:pStyle w:val="Textonotapie"/>
        <w:ind w:left="-567" w:right="-567"/>
        <w:rPr>
          <w:rFonts w:ascii="Verdana" w:hAnsi="Verdana"/>
          <w:i/>
          <w:iCs/>
          <w:sz w:val="16"/>
          <w:szCs w:val="16"/>
        </w:rPr>
      </w:pPr>
      <w:r w:rsidRPr="00B964D3">
        <w:rPr>
          <w:rStyle w:val="Refdenotaalpie"/>
          <w:rFonts w:ascii="Verdana" w:hAnsi="Verdana"/>
          <w:sz w:val="16"/>
          <w:szCs w:val="16"/>
        </w:rPr>
        <w:footnoteRef/>
      </w:r>
      <w:r w:rsidRPr="00B964D3">
        <w:rPr>
          <w:rFonts w:ascii="Verdana" w:hAnsi="Verdana"/>
          <w:sz w:val="16"/>
          <w:szCs w:val="16"/>
        </w:rPr>
        <w:t xml:space="preserve"> Art</w:t>
      </w:r>
      <w:r w:rsidR="00BB78A0" w:rsidRPr="00B964D3">
        <w:rPr>
          <w:rFonts w:ascii="Verdana" w:hAnsi="Verdana"/>
          <w:sz w:val="16"/>
          <w:szCs w:val="16"/>
        </w:rPr>
        <w:t>.</w:t>
      </w:r>
      <w:r w:rsidRPr="00B964D3">
        <w:rPr>
          <w:rFonts w:ascii="Verdana" w:hAnsi="Verdana"/>
          <w:sz w:val="16"/>
          <w:szCs w:val="16"/>
        </w:rPr>
        <w:t xml:space="preserve"> 31 de la Convención de Viena: “</w:t>
      </w:r>
      <w:r w:rsidRPr="00B964D3">
        <w:rPr>
          <w:rFonts w:ascii="Verdana" w:hAnsi="Verdana"/>
          <w:i/>
          <w:iCs/>
          <w:sz w:val="16"/>
          <w:szCs w:val="16"/>
        </w:rPr>
        <w:t xml:space="preserve">Regla general de interpretación. I. Un tratado deberá interpretarse de buena fe conforme al sentido corriente que haya de </w:t>
      </w:r>
      <w:r w:rsidRPr="00B964D3">
        <w:rPr>
          <w:rFonts w:ascii="Verdana" w:hAnsi="Verdana"/>
          <w:sz w:val="16"/>
          <w:szCs w:val="16"/>
        </w:rPr>
        <w:t xml:space="preserve">atribuirse a los términos del tratado en el contexto de estos y teniendo en cuenta su objeto y fin. </w:t>
      </w:r>
      <w:r w:rsidRPr="00B964D3">
        <w:rPr>
          <w:rFonts w:ascii="Verdana" w:hAnsi="Verdana"/>
          <w:i/>
          <w:iCs/>
          <w:sz w:val="16"/>
          <w:szCs w:val="16"/>
        </w:rPr>
        <w:t xml:space="preserve">  </w:t>
      </w:r>
    </w:p>
    <w:p w14:paraId="0C387F47" w14:textId="77777777" w:rsidR="006A789C" w:rsidRPr="00B964D3" w:rsidRDefault="006A789C" w:rsidP="006A789C">
      <w:pPr>
        <w:pStyle w:val="Textonotapie"/>
        <w:ind w:left="-567" w:right="-567"/>
        <w:rPr>
          <w:rFonts w:ascii="Verdana" w:hAnsi="Verdana"/>
          <w:i/>
          <w:iCs/>
          <w:sz w:val="16"/>
          <w:szCs w:val="16"/>
        </w:rPr>
      </w:pPr>
      <w:r w:rsidRPr="00B964D3">
        <w:rPr>
          <w:rFonts w:ascii="Verdana" w:hAnsi="Verdana"/>
          <w:i/>
          <w:iCs/>
          <w:sz w:val="16"/>
          <w:szCs w:val="16"/>
        </w:rPr>
        <w:t xml:space="preserve">2. Para los efectos de la interpretación de un tratado. el contexto comprenderá, además del texto, incluidos su preámbulo y anexos:  </w:t>
      </w:r>
    </w:p>
    <w:p w14:paraId="6E777C4A" w14:textId="77777777" w:rsidR="006A789C" w:rsidRPr="00B964D3" w:rsidRDefault="006A789C" w:rsidP="006A789C">
      <w:pPr>
        <w:pStyle w:val="Textonotapie"/>
        <w:ind w:left="-567" w:right="-567"/>
        <w:rPr>
          <w:rFonts w:ascii="Verdana" w:hAnsi="Verdana"/>
          <w:i/>
          <w:iCs/>
          <w:sz w:val="16"/>
          <w:szCs w:val="16"/>
        </w:rPr>
      </w:pPr>
      <w:r w:rsidRPr="00B964D3">
        <w:rPr>
          <w:rFonts w:ascii="Verdana" w:hAnsi="Verdana"/>
          <w:i/>
          <w:iCs/>
          <w:sz w:val="16"/>
          <w:szCs w:val="16"/>
        </w:rPr>
        <w:t xml:space="preserve">a) todo acuerdo que se refiera al tratado y haya sido concertado entre todas las partes con motivo de la celebración del tratado:  </w:t>
      </w:r>
    </w:p>
    <w:p w14:paraId="78E8173E" w14:textId="77777777" w:rsidR="006A789C" w:rsidRPr="00B964D3" w:rsidRDefault="006A789C" w:rsidP="006A789C">
      <w:pPr>
        <w:pStyle w:val="Textonotapie"/>
        <w:ind w:left="-567" w:right="-567"/>
        <w:rPr>
          <w:rFonts w:ascii="Verdana" w:hAnsi="Verdana"/>
          <w:i/>
          <w:iCs/>
          <w:sz w:val="16"/>
          <w:szCs w:val="16"/>
        </w:rPr>
      </w:pPr>
      <w:r w:rsidRPr="00B964D3">
        <w:rPr>
          <w:rFonts w:ascii="Verdana" w:hAnsi="Verdana"/>
          <w:i/>
          <w:iCs/>
          <w:sz w:val="16"/>
          <w:szCs w:val="16"/>
        </w:rPr>
        <w:t xml:space="preserve">b) todo instrumento formulado por una o más partes con motivo de la celebración del tratado y aceptado por las demás como instrumento referente al tratado;  </w:t>
      </w:r>
    </w:p>
    <w:p w14:paraId="7AD0A92B" w14:textId="77777777" w:rsidR="006A789C" w:rsidRPr="00B964D3" w:rsidRDefault="006A789C" w:rsidP="006A789C">
      <w:pPr>
        <w:pStyle w:val="Textonotapie"/>
        <w:ind w:left="-567" w:right="-567"/>
        <w:rPr>
          <w:rFonts w:ascii="Verdana" w:hAnsi="Verdana"/>
          <w:i/>
          <w:iCs/>
          <w:sz w:val="16"/>
          <w:szCs w:val="16"/>
        </w:rPr>
      </w:pPr>
      <w:r w:rsidRPr="00B964D3">
        <w:rPr>
          <w:rFonts w:ascii="Verdana" w:hAnsi="Verdana"/>
          <w:i/>
          <w:iCs/>
          <w:sz w:val="16"/>
          <w:szCs w:val="16"/>
        </w:rPr>
        <w:t xml:space="preserve">3. Juntamente con el contexto, habrá de tenerse en cuenta:  </w:t>
      </w:r>
    </w:p>
    <w:p w14:paraId="31F6DC5F" w14:textId="77777777" w:rsidR="006A789C" w:rsidRPr="00B964D3" w:rsidRDefault="006A789C" w:rsidP="006A789C">
      <w:pPr>
        <w:pStyle w:val="Textonotapie"/>
        <w:ind w:left="-567" w:right="-567"/>
        <w:rPr>
          <w:rFonts w:ascii="Verdana" w:hAnsi="Verdana"/>
          <w:i/>
          <w:iCs/>
          <w:sz w:val="16"/>
          <w:szCs w:val="16"/>
        </w:rPr>
      </w:pPr>
      <w:r w:rsidRPr="00B964D3">
        <w:rPr>
          <w:rFonts w:ascii="Verdana" w:hAnsi="Verdana"/>
          <w:i/>
          <w:iCs/>
          <w:sz w:val="16"/>
          <w:szCs w:val="16"/>
        </w:rPr>
        <w:t xml:space="preserve">a) todo acuerdo ulterior entre las partes acerca de la interpretación del tratado o de la aplicación de sus disposiciones:  </w:t>
      </w:r>
    </w:p>
    <w:p w14:paraId="6670E4D4" w14:textId="77777777" w:rsidR="006A789C" w:rsidRPr="00B964D3" w:rsidRDefault="006A789C" w:rsidP="006A789C">
      <w:pPr>
        <w:pStyle w:val="Textonotapie"/>
        <w:ind w:left="-567" w:right="-567"/>
        <w:rPr>
          <w:rFonts w:ascii="Verdana" w:hAnsi="Verdana"/>
          <w:i/>
          <w:iCs/>
          <w:sz w:val="16"/>
          <w:szCs w:val="16"/>
        </w:rPr>
      </w:pPr>
      <w:r w:rsidRPr="00B964D3">
        <w:rPr>
          <w:rFonts w:ascii="Verdana" w:hAnsi="Verdana"/>
          <w:i/>
          <w:iCs/>
          <w:sz w:val="16"/>
          <w:szCs w:val="16"/>
        </w:rPr>
        <w:t xml:space="preserve">b) toda práctica ulteriormente seguida en la aplicación del tratado por la cual conste el acuerdo de las partes acerca de la interpretación del tratado:  </w:t>
      </w:r>
    </w:p>
    <w:p w14:paraId="14077B53" w14:textId="77777777" w:rsidR="006A789C" w:rsidRPr="00B964D3" w:rsidRDefault="006A789C" w:rsidP="006A789C">
      <w:pPr>
        <w:pStyle w:val="Textonotapie"/>
        <w:ind w:left="-567" w:right="-567"/>
        <w:rPr>
          <w:rFonts w:ascii="Verdana" w:hAnsi="Verdana"/>
          <w:i/>
          <w:iCs/>
          <w:sz w:val="16"/>
          <w:szCs w:val="16"/>
        </w:rPr>
      </w:pPr>
      <w:r w:rsidRPr="00B964D3">
        <w:rPr>
          <w:rFonts w:ascii="Verdana" w:hAnsi="Verdana"/>
          <w:i/>
          <w:iCs/>
          <w:sz w:val="16"/>
          <w:szCs w:val="16"/>
        </w:rPr>
        <w:t xml:space="preserve">c) toda forma pertinente de derecho internacional aplicable en las relaciones entre las partes.  </w:t>
      </w:r>
    </w:p>
    <w:p w14:paraId="7E12DE9D" w14:textId="195B045D" w:rsidR="006A789C" w:rsidRPr="00B964D3" w:rsidRDefault="006A789C" w:rsidP="006A789C">
      <w:pPr>
        <w:pStyle w:val="Textonotapie"/>
        <w:ind w:left="-567" w:right="-567"/>
        <w:rPr>
          <w:rFonts w:ascii="Verdana" w:hAnsi="Verdana"/>
          <w:sz w:val="16"/>
          <w:szCs w:val="16"/>
        </w:rPr>
      </w:pPr>
      <w:r w:rsidRPr="00B964D3">
        <w:rPr>
          <w:rFonts w:ascii="Verdana" w:hAnsi="Verdana"/>
          <w:i/>
          <w:iCs/>
          <w:sz w:val="16"/>
          <w:szCs w:val="16"/>
        </w:rPr>
        <w:t>4. Se dará a un término un sentido especial si consta que tal fue la intención de las partes</w:t>
      </w:r>
      <w:r w:rsidRPr="00B964D3">
        <w:rPr>
          <w:rFonts w:ascii="Verdana" w:hAnsi="Verdana"/>
          <w:sz w:val="16"/>
          <w:szCs w:val="16"/>
        </w:rPr>
        <w:t>.</w:t>
      </w:r>
      <w:r w:rsidR="00BB78A0" w:rsidRPr="00B964D3">
        <w:rPr>
          <w:rFonts w:ascii="Verdana" w:hAnsi="Verdana"/>
          <w:sz w:val="16"/>
          <w:szCs w:val="16"/>
        </w:rPr>
        <w:t>”</w:t>
      </w:r>
      <w:r w:rsidR="00D91FFC" w:rsidRPr="00B964D3">
        <w:rPr>
          <w:rFonts w:ascii="Verdana" w:hAnsi="Verdana"/>
          <w:sz w:val="16"/>
          <w:szCs w:val="16"/>
        </w:rPr>
        <w:t xml:space="preserve"> </w:t>
      </w:r>
      <w:r w:rsidRPr="00B964D3">
        <w:rPr>
          <w:rFonts w:ascii="Verdana" w:hAnsi="Verdana"/>
          <w:sz w:val="16"/>
          <w:szCs w:val="16"/>
        </w:rPr>
        <w:t xml:space="preserve"> </w:t>
      </w:r>
    </w:p>
    <w:p w14:paraId="34F32778" w14:textId="77777777" w:rsidR="006A789C" w:rsidRPr="00B964D3" w:rsidRDefault="006A789C" w:rsidP="006A789C">
      <w:pPr>
        <w:pStyle w:val="Textonotapie"/>
        <w:ind w:left="-567" w:right="-567"/>
        <w:rPr>
          <w:rFonts w:ascii="Verdana" w:hAnsi="Verdana"/>
          <w:sz w:val="16"/>
          <w:szCs w:val="16"/>
        </w:rPr>
      </w:pPr>
      <w:r w:rsidRPr="00B964D3">
        <w:rPr>
          <w:rFonts w:ascii="Verdana" w:hAnsi="Verdana"/>
          <w:sz w:val="16"/>
          <w:szCs w:val="16"/>
        </w:rPr>
        <w:t>Art.32 de la Convención de Viena: “</w:t>
      </w:r>
      <w:r w:rsidRPr="00B964D3">
        <w:rPr>
          <w:rFonts w:ascii="Verdana" w:hAnsi="Verdana"/>
          <w:i/>
          <w:iCs/>
          <w:sz w:val="16"/>
          <w:szCs w:val="16"/>
        </w:rPr>
        <w:t>Medios de interpretación complementarios. Se podrán acudir a medios de interpretación complementarios, en particular a los trabajos preparatorios del tratado y a las circunstancias de su celebración, para confirmar el sentido resultante de la aplicación del artículo 31, o para determinar el sentido cuando la interpretación dada de conformidad con el artículo 31</w:t>
      </w:r>
      <w:r w:rsidRPr="00B964D3">
        <w:rPr>
          <w:rFonts w:ascii="Verdana" w:hAnsi="Verdana"/>
          <w:sz w:val="16"/>
          <w:szCs w:val="16"/>
        </w:rPr>
        <w:t xml:space="preserve">:  </w:t>
      </w:r>
    </w:p>
    <w:p w14:paraId="6F3DF8F0" w14:textId="77777777" w:rsidR="006A789C" w:rsidRPr="00B964D3" w:rsidRDefault="006A789C" w:rsidP="006A789C">
      <w:pPr>
        <w:pStyle w:val="Textonotapie"/>
        <w:ind w:left="-567" w:right="-567"/>
        <w:rPr>
          <w:rFonts w:ascii="Verdana" w:hAnsi="Verdana"/>
          <w:sz w:val="16"/>
          <w:szCs w:val="16"/>
        </w:rPr>
      </w:pPr>
      <w:r w:rsidRPr="00B964D3">
        <w:rPr>
          <w:rFonts w:ascii="Verdana" w:hAnsi="Verdana"/>
          <w:sz w:val="16"/>
          <w:szCs w:val="16"/>
        </w:rPr>
        <w:t xml:space="preserve">a) deje ambiguo u oscuro el sentido; o  </w:t>
      </w:r>
    </w:p>
    <w:p w14:paraId="378400EE" w14:textId="70E72A84" w:rsidR="006A789C" w:rsidRPr="00B964D3" w:rsidRDefault="006A789C" w:rsidP="006A789C">
      <w:pPr>
        <w:pStyle w:val="Textonotapie"/>
        <w:ind w:left="-567" w:right="-567"/>
        <w:rPr>
          <w:rFonts w:ascii="Verdana" w:hAnsi="Verdana"/>
          <w:sz w:val="16"/>
          <w:szCs w:val="16"/>
        </w:rPr>
      </w:pPr>
      <w:r w:rsidRPr="00B964D3">
        <w:rPr>
          <w:rFonts w:ascii="Verdana" w:hAnsi="Verdana"/>
          <w:sz w:val="16"/>
          <w:szCs w:val="16"/>
        </w:rPr>
        <w:t>b) conduzca a un resultado manifiestamente absurdo o irrazonable.”</w:t>
      </w:r>
    </w:p>
    <w:p w14:paraId="5E247A1C" w14:textId="77777777" w:rsidR="006A789C" w:rsidRPr="00B964D3" w:rsidRDefault="006A789C" w:rsidP="00D91FFC">
      <w:pPr>
        <w:pStyle w:val="Textonotapie"/>
        <w:ind w:left="-850" w:right="-567"/>
        <w:rPr>
          <w:rFonts w:ascii="Verdana" w:hAnsi="Verdana"/>
          <w:sz w:val="16"/>
          <w:szCs w:val="16"/>
          <w:lang w:val="uz-Cyrl-UZ"/>
        </w:rPr>
      </w:pPr>
    </w:p>
  </w:footnote>
  <w:footnote w:id="24">
    <w:p w14:paraId="386D613C" w14:textId="77777777" w:rsidR="006A789C" w:rsidRPr="00B964D3" w:rsidRDefault="006A789C" w:rsidP="006A789C">
      <w:pPr>
        <w:pStyle w:val="NormalWeb"/>
        <w:spacing w:before="0" w:beforeAutospacing="0" w:after="0" w:afterAutospacing="0"/>
        <w:ind w:left="-567" w:right="-567"/>
        <w:rPr>
          <w:rFonts w:ascii="Verdana" w:hAnsi="Verdana" w:cs="Tahoma"/>
          <w:i/>
          <w:iCs/>
          <w:sz w:val="16"/>
          <w:szCs w:val="16"/>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cs="Tahoma"/>
          <w:sz w:val="16"/>
          <w:szCs w:val="16"/>
        </w:rPr>
        <w:t>Art. 41:</w:t>
      </w:r>
      <w:r w:rsidRPr="00B964D3">
        <w:rPr>
          <w:rFonts w:ascii="Verdana" w:hAnsi="Verdana" w:cs="Tahoma"/>
          <w:b/>
          <w:bCs/>
          <w:sz w:val="16"/>
          <w:szCs w:val="16"/>
        </w:rPr>
        <w:t xml:space="preserve"> </w:t>
      </w:r>
      <w:r w:rsidRPr="00B964D3">
        <w:rPr>
          <w:rFonts w:ascii="Verdana" w:hAnsi="Verdana" w:cs="Tahoma"/>
          <w:sz w:val="16"/>
          <w:szCs w:val="16"/>
        </w:rPr>
        <w:t>“</w:t>
      </w:r>
      <w:r w:rsidRPr="00B964D3">
        <w:rPr>
          <w:rFonts w:ascii="Verdana" w:hAnsi="Verdana" w:cs="Tahoma"/>
          <w:i/>
          <w:iCs/>
          <w:sz w:val="16"/>
          <w:szCs w:val="16"/>
        </w:rPr>
        <w:t>La Comisión tiene la función principal de promover la observancia y la defensa de los derechos humanos, y en el ejercicio de su mandato tiene las siguientes funciones y atribuciones:</w:t>
      </w:r>
    </w:p>
    <w:p w14:paraId="57380533" w14:textId="77777777" w:rsidR="006A789C" w:rsidRPr="00B964D3" w:rsidRDefault="006A789C" w:rsidP="00797D3B">
      <w:pPr>
        <w:pStyle w:val="NormalWeb"/>
        <w:numPr>
          <w:ilvl w:val="0"/>
          <w:numId w:val="7"/>
        </w:numPr>
        <w:spacing w:before="0" w:beforeAutospacing="0" w:after="0" w:afterAutospacing="0"/>
        <w:ind w:right="-567"/>
        <w:jc w:val="both"/>
        <w:rPr>
          <w:rFonts w:ascii="Verdana" w:hAnsi="Verdana" w:cs="Tahoma"/>
          <w:i/>
          <w:iCs/>
          <w:sz w:val="16"/>
          <w:szCs w:val="16"/>
        </w:rPr>
      </w:pPr>
      <w:r w:rsidRPr="00B964D3">
        <w:rPr>
          <w:rFonts w:ascii="Verdana" w:hAnsi="Verdana" w:cs="Tahoma"/>
          <w:i/>
          <w:iCs/>
          <w:sz w:val="16"/>
          <w:szCs w:val="16"/>
        </w:rPr>
        <w:t>estimular la conciencia de los derechos humanos en los pueblos de América;</w:t>
      </w:r>
    </w:p>
    <w:p w14:paraId="1B2C5D88" w14:textId="77777777" w:rsidR="006A789C" w:rsidRPr="00B964D3" w:rsidRDefault="006A789C" w:rsidP="00797D3B">
      <w:pPr>
        <w:pStyle w:val="NormalWeb"/>
        <w:numPr>
          <w:ilvl w:val="0"/>
          <w:numId w:val="7"/>
        </w:numPr>
        <w:spacing w:before="0" w:beforeAutospacing="0" w:after="0" w:afterAutospacing="0"/>
        <w:ind w:right="-567"/>
        <w:jc w:val="both"/>
        <w:rPr>
          <w:rFonts w:ascii="Verdana" w:hAnsi="Verdana" w:cs="Tahoma"/>
          <w:i/>
          <w:iCs/>
          <w:sz w:val="16"/>
          <w:szCs w:val="16"/>
        </w:rPr>
      </w:pPr>
      <w:r w:rsidRPr="00B964D3">
        <w:rPr>
          <w:rFonts w:ascii="Verdana" w:hAnsi="Verdana" w:cs="Tahoma"/>
          <w:i/>
          <w:iCs/>
          <w:sz w:val="16"/>
          <w:szCs w:val="16"/>
        </w:rPr>
        <w:t>formular recomendaciones, cuando lo estime conveniente, a los gobiernos de los Estados miembros para que adopten medidas progresivas en favor de los derechos humanos dentro del marco de sus leyes internas y sus preceptos constitucionales, al igual que disposiciones apropiadas para fomentar el debido respeto a esos derechos;</w:t>
      </w:r>
    </w:p>
    <w:p w14:paraId="100CE262" w14:textId="77777777" w:rsidR="006A789C" w:rsidRPr="00B964D3" w:rsidRDefault="006A789C" w:rsidP="00797D3B">
      <w:pPr>
        <w:pStyle w:val="NormalWeb"/>
        <w:numPr>
          <w:ilvl w:val="0"/>
          <w:numId w:val="7"/>
        </w:numPr>
        <w:spacing w:before="0" w:beforeAutospacing="0" w:after="0" w:afterAutospacing="0"/>
        <w:ind w:right="-567"/>
        <w:jc w:val="both"/>
        <w:rPr>
          <w:rFonts w:ascii="Verdana" w:hAnsi="Verdana" w:cs="Tahoma"/>
          <w:i/>
          <w:iCs/>
          <w:sz w:val="16"/>
          <w:szCs w:val="16"/>
        </w:rPr>
      </w:pPr>
      <w:r w:rsidRPr="00B964D3">
        <w:rPr>
          <w:rFonts w:ascii="Verdana" w:hAnsi="Verdana" w:cs="Tahoma"/>
          <w:i/>
          <w:iCs/>
          <w:sz w:val="16"/>
          <w:szCs w:val="16"/>
        </w:rPr>
        <w:t>preparar los estudios e informes que considere convenientes para el desempeño de sus funciones;</w:t>
      </w:r>
    </w:p>
    <w:p w14:paraId="59557103" w14:textId="77777777" w:rsidR="006A789C" w:rsidRPr="00B964D3" w:rsidRDefault="006A789C" w:rsidP="00797D3B">
      <w:pPr>
        <w:pStyle w:val="NormalWeb"/>
        <w:numPr>
          <w:ilvl w:val="0"/>
          <w:numId w:val="7"/>
        </w:numPr>
        <w:spacing w:before="0" w:beforeAutospacing="0" w:after="0" w:afterAutospacing="0"/>
        <w:ind w:right="-567"/>
        <w:jc w:val="both"/>
        <w:rPr>
          <w:rFonts w:ascii="Verdana" w:hAnsi="Verdana" w:cs="Tahoma"/>
          <w:i/>
          <w:iCs/>
          <w:sz w:val="16"/>
          <w:szCs w:val="16"/>
        </w:rPr>
      </w:pPr>
      <w:r w:rsidRPr="00B964D3">
        <w:rPr>
          <w:rFonts w:ascii="Verdana" w:hAnsi="Verdana" w:cs="Tahoma"/>
          <w:i/>
          <w:iCs/>
          <w:sz w:val="16"/>
          <w:szCs w:val="16"/>
        </w:rPr>
        <w:t>solicitar de los gobiernos de los Estados miembros que le proporcionen informes sobre las medidas que adopten en materia de derechos humanos;</w:t>
      </w:r>
    </w:p>
    <w:p w14:paraId="3DDD6EC2" w14:textId="77777777" w:rsidR="006A789C" w:rsidRPr="00B964D3" w:rsidRDefault="006A789C" w:rsidP="00797D3B">
      <w:pPr>
        <w:pStyle w:val="NormalWeb"/>
        <w:numPr>
          <w:ilvl w:val="0"/>
          <w:numId w:val="7"/>
        </w:numPr>
        <w:spacing w:before="0" w:beforeAutospacing="0" w:after="0" w:afterAutospacing="0"/>
        <w:ind w:right="-567"/>
        <w:jc w:val="both"/>
        <w:rPr>
          <w:rFonts w:ascii="Verdana" w:hAnsi="Verdana" w:cs="Tahoma"/>
          <w:i/>
          <w:iCs/>
          <w:sz w:val="16"/>
          <w:szCs w:val="16"/>
        </w:rPr>
      </w:pPr>
      <w:r w:rsidRPr="00B964D3">
        <w:rPr>
          <w:rFonts w:ascii="Verdana" w:hAnsi="Verdana" w:cs="Tahoma"/>
          <w:i/>
          <w:iCs/>
          <w:sz w:val="16"/>
          <w:szCs w:val="16"/>
        </w:rPr>
        <w:t>atender las consultas que, por medio de la Secretaría General de la Organización de los Estados Americanos, le formulen los Estados miembros en cuestiones relacionadas con los derechos humanos y, dentro de sus posibilidades, les prestará el asesoramiento que éstos le soliciten;</w:t>
      </w:r>
    </w:p>
    <w:p w14:paraId="72EEED2D" w14:textId="77777777" w:rsidR="006A789C" w:rsidRPr="00B964D3" w:rsidRDefault="006A789C" w:rsidP="00797D3B">
      <w:pPr>
        <w:pStyle w:val="NormalWeb"/>
        <w:numPr>
          <w:ilvl w:val="0"/>
          <w:numId w:val="7"/>
        </w:numPr>
        <w:spacing w:before="0" w:beforeAutospacing="0" w:after="0" w:afterAutospacing="0"/>
        <w:ind w:right="-567"/>
        <w:jc w:val="both"/>
        <w:rPr>
          <w:rFonts w:ascii="Verdana" w:hAnsi="Verdana" w:cs="Tahoma"/>
          <w:i/>
          <w:iCs/>
          <w:sz w:val="16"/>
          <w:szCs w:val="16"/>
        </w:rPr>
      </w:pPr>
      <w:r w:rsidRPr="00B964D3">
        <w:rPr>
          <w:rFonts w:ascii="Verdana" w:hAnsi="Verdana" w:cs="Tahoma"/>
          <w:i/>
          <w:iCs/>
          <w:sz w:val="16"/>
          <w:szCs w:val="16"/>
        </w:rPr>
        <w:t>actuar respecto de las peticiones y otras comunicaciones en ejercicio de su autoridad de conformidad con lo dispuesto en los artículos 44 al 51 de esta Convención, y</w:t>
      </w:r>
    </w:p>
    <w:p w14:paraId="530DDC58" w14:textId="5C81F1A8" w:rsidR="006A789C" w:rsidRPr="00B964D3" w:rsidRDefault="006A789C" w:rsidP="00797D3B">
      <w:pPr>
        <w:pStyle w:val="NormalWeb"/>
        <w:numPr>
          <w:ilvl w:val="0"/>
          <w:numId w:val="7"/>
        </w:numPr>
        <w:spacing w:before="0" w:beforeAutospacing="0" w:after="0" w:afterAutospacing="0"/>
        <w:ind w:right="-567"/>
        <w:jc w:val="both"/>
        <w:rPr>
          <w:rFonts w:ascii="Verdana" w:hAnsi="Verdana" w:cs="Tahoma"/>
          <w:i/>
          <w:iCs/>
          <w:sz w:val="16"/>
          <w:szCs w:val="16"/>
        </w:rPr>
      </w:pPr>
      <w:r w:rsidRPr="00B964D3">
        <w:rPr>
          <w:rFonts w:ascii="Verdana" w:hAnsi="Verdana" w:cs="Tahoma"/>
          <w:i/>
          <w:iCs/>
          <w:sz w:val="16"/>
          <w:szCs w:val="16"/>
        </w:rPr>
        <w:t>rendir un informe anual a la Asamblea General de la Organización de los Estados Americanos.”</w:t>
      </w:r>
    </w:p>
    <w:p w14:paraId="597B5B6F" w14:textId="5C2C5BC1" w:rsidR="00A63291" w:rsidRPr="00B964D3" w:rsidRDefault="00A63291" w:rsidP="006A789C">
      <w:pPr>
        <w:pStyle w:val="Textonotapie"/>
        <w:ind w:left="-567" w:right="-567"/>
        <w:rPr>
          <w:rFonts w:ascii="Verdana" w:hAnsi="Verdana"/>
          <w:sz w:val="16"/>
          <w:szCs w:val="16"/>
          <w:lang w:val="uz-Cyrl-UZ"/>
        </w:rPr>
      </w:pPr>
    </w:p>
  </w:footnote>
  <w:footnote w:id="25">
    <w:p w14:paraId="573C04B9" w14:textId="077CDB1C" w:rsidR="006A789C" w:rsidRPr="00B964D3" w:rsidRDefault="006A789C" w:rsidP="006A789C">
      <w:pPr>
        <w:pStyle w:val="Textonotapie"/>
        <w:ind w:left="-567" w:right="-567"/>
        <w:rPr>
          <w:rFonts w:ascii="Verdana" w:hAnsi="Verdana"/>
          <w:sz w:val="16"/>
          <w:szCs w:val="16"/>
          <w:lang w:val="uz-Cyrl-UZ"/>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i/>
          <w:sz w:val="16"/>
          <w:szCs w:val="16"/>
          <w:lang w:val="uz-Cyrl-UZ"/>
        </w:rPr>
        <w:t>Supra</w:t>
      </w:r>
      <w:r w:rsidRPr="00B964D3">
        <w:rPr>
          <w:rFonts w:ascii="Verdana" w:hAnsi="Verdana"/>
          <w:sz w:val="16"/>
          <w:szCs w:val="16"/>
          <w:lang w:val="uz-Cyrl-UZ"/>
        </w:rPr>
        <w:t xml:space="preserve">, Notas N°s 18, 19 y 20. </w:t>
      </w:r>
    </w:p>
    <w:p w14:paraId="5BEE83A2" w14:textId="77777777" w:rsidR="006A789C" w:rsidRPr="00B964D3" w:rsidRDefault="006A789C" w:rsidP="006A789C">
      <w:pPr>
        <w:pStyle w:val="Textonotapie"/>
        <w:ind w:left="-567" w:right="-567"/>
        <w:rPr>
          <w:rFonts w:ascii="Verdana" w:hAnsi="Verdana"/>
          <w:sz w:val="16"/>
          <w:szCs w:val="16"/>
          <w:lang w:val="uz-Cyrl-UZ"/>
        </w:rPr>
      </w:pPr>
    </w:p>
  </w:footnote>
  <w:footnote w:id="26">
    <w:p w14:paraId="68A63C74" w14:textId="6533682E" w:rsidR="006A789C" w:rsidRPr="00B964D3" w:rsidRDefault="006A789C" w:rsidP="00DC7C52">
      <w:pPr>
        <w:spacing w:after="0" w:line="240" w:lineRule="auto"/>
        <w:jc w:val="both"/>
        <w:rPr>
          <w:rFonts w:ascii="Verdana" w:hAnsi="Verdana"/>
          <w:sz w:val="16"/>
          <w:szCs w:val="16"/>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i/>
          <w:iCs/>
          <w:sz w:val="16"/>
          <w:szCs w:val="16"/>
        </w:rPr>
        <w:t>Supra</w:t>
      </w:r>
      <w:r w:rsidRPr="00B964D3">
        <w:rPr>
          <w:rFonts w:ascii="Verdana" w:hAnsi="Verdana"/>
          <w:sz w:val="16"/>
          <w:szCs w:val="16"/>
        </w:rPr>
        <w:t>, Nota N° 7.</w:t>
      </w:r>
    </w:p>
    <w:p w14:paraId="4C6A1039" w14:textId="77777777" w:rsidR="006A789C" w:rsidRPr="00B964D3" w:rsidRDefault="006A789C" w:rsidP="00DC7C52">
      <w:pPr>
        <w:spacing w:after="0" w:line="240" w:lineRule="auto"/>
        <w:jc w:val="both"/>
        <w:rPr>
          <w:rFonts w:ascii="Verdana" w:hAnsi="Verdana"/>
          <w:sz w:val="16"/>
          <w:szCs w:val="16"/>
          <w:lang w:val="es-ES"/>
        </w:rPr>
      </w:pPr>
    </w:p>
  </w:footnote>
  <w:footnote w:id="27">
    <w:p w14:paraId="27280305" w14:textId="39A193F7" w:rsidR="006A789C" w:rsidRPr="00B964D3" w:rsidRDefault="006A789C" w:rsidP="00DC7C52">
      <w:pPr>
        <w:pStyle w:val="Textonotapie"/>
        <w:ind w:left="-567" w:right="-567"/>
        <w:rPr>
          <w:rFonts w:ascii="Verdana" w:hAnsi="Verdana"/>
          <w:sz w:val="16"/>
          <w:szCs w:val="16"/>
          <w:lang w:val="uz-Cyrl-UZ"/>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i/>
          <w:sz w:val="16"/>
          <w:szCs w:val="16"/>
          <w:lang w:val="uz-Cyrl-UZ"/>
        </w:rPr>
        <w:t>Supra</w:t>
      </w:r>
      <w:r w:rsidRPr="00B964D3">
        <w:rPr>
          <w:rFonts w:ascii="Verdana" w:hAnsi="Verdana"/>
          <w:sz w:val="16"/>
          <w:szCs w:val="16"/>
          <w:lang w:val="uz-Cyrl-UZ"/>
        </w:rPr>
        <w:t>, Nota N</w:t>
      </w:r>
      <w:r w:rsidR="00797D3B" w:rsidRPr="00B964D3">
        <w:rPr>
          <w:rFonts w:ascii="Verdana" w:hAnsi="Verdana"/>
          <w:sz w:val="16"/>
          <w:szCs w:val="16"/>
          <w:lang w:val="uz-Cyrl-UZ"/>
        </w:rPr>
        <w:t>° 16.</w:t>
      </w:r>
    </w:p>
    <w:p w14:paraId="4DAF326B" w14:textId="77777777" w:rsidR="00797D3B" w:rsidRPr="00B964D3" w:rsidRDefault="00797D3B" w:rsidP="00DC7C52">
      <w:pPr>
        <w:pStyle w:val="Textonotapie"/>
        <w:ind w:left="-567" w:right="-567"/>
        <w:rPr>
          <w:rFonts w:ascii="Verdana" w:hAnsi="Verdana"/>
          <w:sz w:val="16"/>
          <w:szCs w:val="16"/>
          <w:lang w:val="uz-Cyrl-UZ"/>
        </w:rPr>
      </w:pPr>
    </w:p>
  </w:footnote>
  <w:footnote w:id="28">
    <w:p w14:paraId="30AD1542" w14:textId="3939716E" w:rsidR="00797D3B" w:rsidRPr="00B964D3" w:rsidRDefault="00797D3B" w:rsidP="00DC7C52">
      <w:pPr>
        <w:pStyle w:val="NormalWeb"/>
        <w:spacing w:before="0" w:beforeAutospacing="0" w:after="0" w:afterAutospacing="0"/>
        <w:ind w:left="-567" w:right="-567"/>
        <w:jc w:val="both"/>
        <w:rPr>
          <w:rFonts w:ascii="Verdana" w:hAnsi="Verdana" w:cs="Tahoma"/>
          <w:sz w:val="16"/>
          <w:szCs w:val="16"/>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cs="Tahoma"/>
          <w:sz w:val="16"/>
          <w:szCs w:val="16"/>
        </w:rPr>
        <w:t>Art. 63.1: “</w:t>
      </w:r>
      <w:r w:rsidRPr="00B964D3">
        <w:rPr>
          <w:rFonts w:ascii="Verdana" w:hAnsi="Verdana" w:cs="Tahoma"/>
          <w:i/>
          <w:iCs/>
          <w:sz w:val="16"/>
          <w:szCs w:val="16"/>
        </w:rPr>
        <w:t>Cuando decida que hubo violación de un derecho o libertad protegidos en esta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p w14:paraId="4C40672C" w14:textId="7B155453" w:rsidR="00797D3B" w:rsidRPr="00B964D3" w:rsidRDefault="00797D3B" w:rsidP="00D91FFC">
      <w:pPr>
        <w:pStyle w:val="NormalWeb"/>
        <w:spacing w:before="0" w:beforeAutospacing="0" w:after="0" w:afterAutospacing="0"/>
        <w:ind w:left="-567" w:right="-567"/>
        <w:jc w:val="both"/>
        <w:rPr>
          <w:rFonts w:ascii="Verdana" w:hAnsi="Verdana"/>
          <w:sz w:val="16"/>
          <w:szCs w:val="16"/>
          <w:lang w:val="uz-Cyrl-UZ"/>
        </w:rPr>
      </w:pPr>
    </w:p>
  </w:footnote>
  <w:footnote w:id="29">
    <w:p w14:paraId="18D1673D" w14:textId="354D1279" w:rsidR="00797D3B" w:rsidRPr="00B964D3" w:rsidRDefault="00797D3B" w:rsidP="00DC7C52">
      <w:pPr>
        <w:pStyle w:val="Textonotapie"/>
        <w:ind w:left="-567" w:right="-567"/>
        <w:rPr>
          <w:rFonts w:ascii="Verdana" w:hAnsi="Verdana"/>
          <w:sz w:val="16"/>
          <w:szCs w:val="16"/>
          <w:lang w:val="uz-Cyrl-UZ"/>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i/>
          <w:iCs/>
          <w:sz w:val="16"/>
          <w:szCs w:val="16"/>
          <w:lang w:val="uz-Cyrl-UZ"/>
        </w:rPr>
        <w:t>Supra</w:t>
      </w:r>
      <w:r w:rsidRPr="00B964D3">
        <w:rPr>
          <w:rFonts w:ascii="Verdana" w:hAnsi="Verdana"/>
          <w:sz w:val="16"/>
          <w:szCs w:val="16"/>
          <w:lang w:val="uz-Cyrl-UZ"/>
        </w:rPr>
        <w:t>, Nota N° 23</w:t>
      </w:r>
      <w:r w:rsidR="00901AC4" w:rsidRPr="00B964D3">
        <w:rPr>
          <w:rFonts w:ascii="Verdana" w:hAnsi="Verdana"/>
          <w:sz w:val="16"/>
          <w:szCs w:val="16"/>
          <w:lang w:val="uz-Cyrl-UZ"/>
        </w:rPr>
        <w:t>,</w:t>
      </w:r>
      <w:r w:rsidRPr="00B964D3">
        <w:rPr>
          <w:rFonts w:ascii="Verdana" w:hAnsi="Verdana"/>
          <w:sz w:val="16"/>
          <w:szCs w:val="16"/>
          <w:lang w:val="uz-Cyrl-UZ"/>
        </w:rPr>
        <w:t xml:space="preserve"> art.31.4 de la Convención de Viena.</w:t>
      </w:r>
    </w:p>
    <w:p w14:paraId="19B2E12E" w14:textId="77777777" w:rsidR="00797D3B" w:rsidRPr="00B964D3" w:rsidRDefault="00797D3B" w:rsidP="00DC7C52">
      <w:pPr>
        <w:pStyle w:val="Textonotapie"/>
        <w:ind w:left="-567" w:right="-567"/>
        <w:rPr>
          <w:rFonts w:ascii="Verdana" w:hAnsi="Verdana"/>
          <w:sz w:val="16"/>
          <w:szCs w:val="16"/>
          <w:lang w:val="uz-Cyrl-UZ"/>
        </w:rPr>
      </w:pPr>
    </w:p>
  </w:footnote>
  <w:footnote w:id="30">
    <w:p w14:paraId="1BFD2BA2" w14:textId="15DF0B9A" w:rsidR="006A789C" w:rsidRPr="00B964D3" w:rsidRDefault="006A789C" w:rsidP="00DC7C52">
      <w:pPr>
        <w:pStyle w:val="Textonotapie"/>
        <w:ind w:left="-567" w:right="-567"/>
        <w:rPr>
          <w:rFonts w:ascii="Verdana" w:eastAsia="Arial Unicode MS" w:hAnsi="Verdana" w:cs="Arial Unicode MS"/>
          <w:spacing w:val="4"/>
          <w:sz w:val="16"/>
          <w:szCs w:val="16"/>
          <w:shd w:val="clear" w:color="auto" w:fill="FFFFFF"/>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eastAsia="Arial Unicode MS" w:hAnsi="Verdana" w:cs="Arial Unicode MS"/>
          <w:spacing w:val="4"/>
          <w:sz w:val="16"/>
          <w:szCs w:val="16"/>
          <w:shd w:val="clear" w:color="auto" w:fill="FFFFFF"/>
        </w:rPr>
        <w:t>Diccionario de la Lengua Española, Real Academia Española, 2019.</w:t>
      </w:r>
    </w:p>
    <w:p w14:paraId="65FD4D82" w14:textId="77777777" w:rsidR="00797D3B" w:rsidRPr="00B964D3" w:rsidRDefault="00797D3B" w:rsidP="00DC7C52">
      <w:pPr>
        <w:pStyle w:val="Textonotapie"/>
        <w:ind w:left="-567" w:right="-567"/>
        <w:rPr>
          <w:rFonts w:ascii="Verdana" w:eastAsia="Arial Unicode MS" w:hAnsi="Verdana" w:cs="Arial Unicode MS"/>
          <w:spacing w:val="4"/>
          <w:sz w:val="16"/>
          <w:szCs w:val="16"/>
          <w:shd w:val="clear" w:color="auto" w:fill="FFFFFF"/>
        </w:rPr>
      </w:pPr>
    </w:p>
  </w:footnote>
  <w:footnote w:id="31">
    <w:p w14:paraId="788AF117" w14:textId="34E92288" w:rsidR="00DC7C52" w:rsidRPr="00B964D3" w:rsidRDefault="00DC7C52" w:rsidP="00DC7C52">
      <w:pPr>
        <w:pStyle w:val="Textonotapie"/>
        <w:ind w:left="-567" w:right="-567"/>
        <w:rPr>
          <w:rFonts w:ascii="Verdana" w:hAnsi="Verdana"/>
          <w:sz w:val="16"/>
          <w:szCs w:val="16"/>
          <w:lang w:val="uz-Cyrl-UZ"/>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i/>
          <w:iCs/>
          <w:sz w:val="16"/>
          <w:szCs w:val="16"/>
          <w:lang w:val="uz-Cyrl-UZ"/>
        </w:rPr>
        <w:t>Supra</w:t>
      </w:r>
      <w:r w:rsidRPr="00B964D3">
        <w:rPr>
          <w:rFonts w:ascii="Verdana" w:hAnsi="Verdana"/>
          <w:sz w:val="16"/>
          <w:szCs w:val="16"/>
          <w:lang w:val="uz-Cyrl-UZ"/>
        </w:rPr>
        <w:t>, Notas N°</w:t>
      </w:r>
      <w:r w:rsidR="00901AC4" w:rsidRPr="00B964D3">
        <w:rPr>
          <w:rFonts w:ascii="Verdana" w:hAnsi="Verdana"/>
          <w:sz w:val="16"/>
          <w:szCs w:val="16"/>
          <w:lang w:val="uz-Cyrl-UZ"/>
        </w:rPr>
        <w:t>s</w:t>
      </w:r>
      <w:r w:rsidRPr="00B964D3">
        <w:rPr>
          <w:rFonts w:ascii="Verdana" w:hAnsi="Verdana"/>
          <w:sz w:val="16"/>
          <w:szCs w:val="16"/>
          <w:lang w:val="uz-Cyrl-UZ"/>
        </w:rPr>
        <w:t xml:space="preserve"> 16 y 28.</w:t>
      </w:r>
    </w:p>
    <w:p w14:paraId="6EDE95D8" w14:textId="77777777" w:rsidR="00D91FFC" w:rsidRPr="00B964D3" w:rsidRDefault="00D91FFC" w:rsidP="00DC7C52">
      <w:pPr>
        <w:pStyle w:val="Textonotapie"/>
        <w:ind w:left="-567" w:right="-567"/>
        <w:rPr>
          <w:rFonts w:ascii="Verdana" w:hAnsi="Verdana"/>
          <w:sz w:val="16"/>
          <w:szCs w:val="16"/>
          <w:lang w:val="uz-Cyrl-UZ"/>
        </w:rPr>
      </w:pPr>
    </w:p>
  </w:footnote>
  <w:footnote w:id="32">
    <w:p w14:paraId="54FE309E" w14:textId="05809644" w:rsidR="006A789C" w:rsidRPr="00B964D3" w:rsidRDefault="006A789C" w:rsidP="00B45C45">
      <w:pPr>
        <w:pStyle w:val="Textonotapie"/>
        <w:ind w:left="-567" w:right="-567"/>
        <w:rPr>
          <w:rFonts w:ascii="Verdana" w:hAnsi="Verdana"/>
          <w:sz w:val="16"/>
          <w:szCs w:val="16"/>
          <w:lang w:val="uz-Cyrl-UZ"/>
        </w:rPr>
      </w:pPr>
      <w:r w:rsidRPr="00B964D3">
        <w:rPr>
          <w:rStyle w:val="Refdenotaalpie"/>
          <w:rFonts w:ascii="Verdana" w:hAnsi="Verdana"/>
          <w:sz w:val="16"/>
          <w:szCs w:val="16"/>
        </w:rPr>
        <w:footnoteRef/>
      </w:r>
      <w:r w:rsidRPr="00B964D3">
        <w:rPr>
          <w:rFonts w:ascii="Verdana" w:hAnsi="Verdana"/>
          <w:sz w:val="16"/>
          <w:szCs w:val="16"/>
        </w:rPr>
        <w:t xml:space="preserve"> </w:t>
      </w:r>
      <w:r w:rsidR="00DC7C52" w:rsidRPr="00B964D3">
        <w:rPr>
          <w:rFonts w:ascii="Verdana" w:hAnsi="Verdana"/>
          <w:i/>
          <w:iCs/>
          <w:sz w:val="16"/>
          <w:szCs w:val="16"/>
        </w:rPr>
        <w:t>Infra</w:t>
      </w:r>
      <w:r w:rsidR="00DC7C52" w:rsidRPr="00B964D3">
        <w:rPr>
          <w:rFonts w:ascii="Verdana" w:hAnsi="Verdana"/>
          <w:sz w:val="16"/>
          <w:szCs w:val="16"/>
        </w:rPr>
        <w:t xml:space="preserve">, Nota N° 33, </w:t>
      </w:r>
      <w:r w:rsidRPr="00B964D3">
        <w:rPr>
          <w:rFonts w:ascii="Verdana" w:hAnsi="Verdana"/>
          <w:sz w:val="16"/>
          <w:szCs w:val="16"/>
          <w:lang w:val="uz-Cyrl-UZ"/>
        </w:rPr>
        <w:t>Art.27.3 del Reglamento</w:t>
      </w:r>
      <w:r w:rsidR="00836763" w:rsidRPr="00B964D3">
        <w:rPr>
          <w:rFonts w:ascii="Verdana" w:hAnsi="Verdana"/>
          <w:sz w:val="16"/>
          <w:szCs w:val="16"/>
          <w:lang w:val="uz-Cyrl-UZ"/>
        </w:rPr>
        <w:t xml:space="preserve"> de la Corte</w:t>
      </w:r>
      <w:r w:rsidR="00B45C45" w:rsidRPr="00B964D3">
        <w:rPr>
          <w:rFonts w:ascii="Verdana" w:hAnsi="Verdana"/>
          <w:sz w:val="16"/>
          <w:szCs w:val="16"/>
          <w:lang w:val="uz-Cyrl-UZ"/>
        </w:rPr>
        <w:t>.</w:t>
      </w:r>
      <w:r w:rsidR="00836763" w:rsidRPr="00B964D3">
        <w:rPr>
          <w:rFonts w:ascii="Verdana" w:hAnsi="Verdana"/>
          <w:sz w:val="16"/>
          <w:szCs w:val="16"/>
          <w:lang w:val="uz-Cyrl-UZ"/>
        </w:rPr>
        <w:t xml:space="preserve"> En adelante, este se denominará “el Reglamento”. </w:t>
      </w:r>
    </w:p>
    <w:p w14:paraId="369C016E" w14:textId="77777777" w:rsidR="006A789C" w:rsidRPr="00B964D3" w:rsidRDefault="006A789C" w:rsidP="00B45C45">
      <w:pPr>
        <w:pStyle w:val="Textonotapie"/>
        <w:ind w:left="-567" w:right="-567"/>
        <w:rPr>
          <w:rFonts w:ascii="Verdana" w:hAnsi="Verdana"/>
          <w:sz w:val="16"/>
          <w:szCs w:val="16"/>
          <w:lang w:val="uz-Cyrl-UZ"/>
        </w:rPr>
      </w:pPr>
    </w:p>
  </w:footnote>
  <w:footnote w:id="33">
    <w:p w14:paraId="18BCF5E7" w14:textId="028EB78C" w:rsidR="006A789C" w:rsidRPr="00B964D3" w:rsidRDefault="006A789C" w:rsidP="00B45C45">
      <w:pPr>
        <w:pStyle w:val="Textonotapie"/>
        <w:ind w:left="-567" w:right="-567"/>
        <w:rPr>
          <w:rFonts w:ascii="Verdana" w:hAnsi="Verdana"/>
          <w:i/>
          <w:iCs/>
          <w:sz w:val="16"/>
          <w:szCs w:val="16"/>
        </w:rPr>
      </w:pPr>
      <w:r w:rsidRPr="00B964D3">
        <w:rPr>
          <w:rStyle w:val="Refdenotaalpie"/>
          <w:rFonts w:ascii="Verdana" w:hAnsi="Verdana"/>
          <w:sz w:val="16"/>
          <w:szCs w:val="16"/>
        </w:rPr>
        <w:footnoteRef/>
      </w:r>
      <w:r w:rsidRPr="00B964D3">
        <w:rPr>
          <w:rFonts w:ascii="Verdana" w:hAnsi="Verdana"/>
          <w:sz w:val="16"/>
          <w:szCs w:val="16"/>
        </w:rPr>
        <w:t xml:space="preserve"> Art.27 del Reglamento: </w:t>
      </w:r>
      <w:r w:rsidRPr="00B964D3">
        <w:rPr>
          <w:rFonts w:ascii="Verdana" w:hAnsi="Verdana"/>
          <w:i/>
          <w:iCs/>
          <w:sz w:val="16"/>
          <w:szCs w:val="16"/>
        </w:rPr>
        <w:t xml:space="preserve">“1. En cualquier estado del procedimiento, siempre que se trate de casos de extrema gravedad y urgencia y cuando sea necesario para evitar daños irreparables a las personas, la Corte, de oficio, podrá ordenar las medidas provisionales que considere pertinentes, en los términos del artículo 63.2 de la Convención. </w:t>
      </w:r>
    </w:p>
    <w:p w14:paraId="2432535F" w14:textId="77777777" w:rsidR="006A789C" w:rsidRPr="00B964D3" w:rsidRDefault="006A789C" w:rsidP="00B45C45">
      <w:pPr>
        <w:pStyle w:val="Textonotapie"/>
        <w:ind w:left="-567" w:right="-567"/>
        <w:rPr>
          <w:rFonts w:ascii="Verdana" w:hAnsi="Verdana"/>
          <w:i/>
          <w:iCs/>
          <w:sz w:val="16"/>
          <w:szCs w:val="16"/>
        </w:rPr>
      </w:pPr>
      <w:r w:rsidRPr="00B964D3">
        <w:rPr>
          <w:rFonts w:ascii="Verdana" w:hAnsi="Verdana"/>
          <w:i/>
          <w:iCs/>
          <w:sz w:val="16"/>
          <w:szCs w:val="16"/>
        </w:rPr>
        <w:t xml:space="preserve">2. Si se tratare de asuntos aún no sometidos a su conocimiento, la Corte podrá actuar a solicitud de la Comisión.  </w:t>
      </w:r>
    </w:p>
    <w:p w14:paraId="39B51CAF" w14:textId="77777777" w:rsidR="006A789C" w:rsidRPr="00B964D3" w:rsidRDefault="006A789C" w:rsidP="00B45C45">
      <w:pPr>
        <w:pStyle w:val="Textonotapie"/>
        <w:ind w:left="-567" w:right="-567"/>
        <w:rPr>
          <w:rFonts w:ascii="Verdana" w:hAnsi="Verdana"/>
          <w:i/>
          <w:iCs/>
          <w:sz w:val="16"/>
          <w:szCs w:val="16"/>
        </w:rPr>
      </w:pPr>
      <w:r w:rsidRPr="00B964D3">
        <w:rPr>
          <w:rFonts w:ascii="Verdana" w:hAnsi="Verdana"/>
          <w:i/>
          <w:iCs/>
          <w:sz w:val="16"/>
          <w:szCs w:val="16"/>
        </w:rPr>
        <w:t xml:space="preserve">3. En los casos contenciosos que se encuentren en conocimiento de la Corte, las víctimas o las presuntas víctimas, o sus representantes, podrán presentar directamente a ésta una solicitud de medidas provisionales, las que deberán tener relación con el objeto del caso.  </w:t>
      </w:r>
    </w:p>
    <w:p w14:paraId="741A2FC0" w14:textId="77777777" w:rsidR="006A789C" w:rsidRPr="00B964D3" w:rsidRDefault="006A789C" w:rsidP="00B45C45">
      <w:pPr>
        <w:pStyle w:val="Textonotapie"/>
        <w:ind w:left="-567" w:right="-567"/>
        <w:rPr>
          <w:rFonts w:ascii="Verdana" w:hAnsi="Verdana"/>
          <w:i/>
          <w:iCs/>
          <w:sz w:val="16"/>
          <w:szCs w:val="16"/>
        </w:rPr>
      </w:pPr>
      <w:r w:rsidRPr="00B964D3">
        <w:rPr>
          <w:rFonts w:ascii="Verdana" w:hAnsi="Verdana"/>
          <w:i/>
          <w:iCs/>
          <w:sz w:val="16"/>
          <w:szCs w:val="16"/>
        </w:rPr>
        <w:t>4. La solicitud puede ser presentada a la Presidencia, a cualquiera de los Jueces o a la Secretaría, por cualquier medio de comunicación. En todo caso, quien reciba la solicitud la pondrá de inmediato en conocimiento de la Presidencia.</w:t>
      </w:r>
    </w:p>
    <w:p w14:paraId="2BA6D236" w14:textId="77777777" w:rsidR="006A789C" w:rsidRPr="00B964D3" w:rsidRDefault="006A789C" w:rsidP="00B45C45">
      <w:pPr>
        <w:pStyle w:val="Textonotapie"/>
        <w:ind w:left="-567" w:right="-567"/>
        <w:rPr>
          <w:rFonts w:ascii="Verdana" w:hAnsi="Verdana"/>
          <w:i/>
          <w:iCs/>
          <w:sz w:val="16"/>
          <w:szCs w:val="16"/>
        </w:rPr>
      </w:pPr>
      <w:r w:rsidRPr="00B964D3">
        <w:rPr>
          <w:rFonts w:ascii="Verdana" w:hAnsi="Verdana"/>
          <w:i/>
          <w:iCs/>
          <w:sz w:val="16"/>
          <w:szCs w:val="16"/>
        </w:rPr>
        <w:t xml:space="preserve">5. La Corte o, si ésta no estuviere reunida, la Presidencia, podrá requerir al Estado, a la Comisión o a los representantes de los beneficiarios, cuando lo considere posible e indispensable, la presentación de información sobre una solicitud de medidas provisionales, antes de resolver sobre la medida solicitada.  </w:t>
      </w:r>
    </w:p>
    <w:p w14:paraId="39DB2607" w14:textId="77777777" w:rsidR="006A789C" w:rsidRPr="00B964D3" w:rsidRDefault="006A789C" w:rsidP="00B45C45">
      <w:pPr>
        <w:pStyle w:val="Textonotapie"/>
        <w:ind w:left="-567" w:right="-567"/>
        <w:rPr>
          <w:rFonts w:ascii="Verdana" w:hAnsi="Verdana"/>
          <w:i/>
          <w:iCs/>
          <w:sz w:val="16"/>
          <w:szCs w:val="16"/>
        </w:rPr>
      </w:pPr>
      <w:r w:rsidRPr="00B964D3">
        <w:rPr>
          <w:rFonts w:ascii="Verdana" w:hAnsi="Verdana"/>
          <w:i/>
          <w:iCs/>
          <w:sz w:val="16"/>
          <w:szCs w:val="16"/>
        </w:rPr>
        <w:t xml:space="preserve">6. Si la Corte no estuviere reunida, la Presidencia, en consulta con la Comisión Permanente y, de ser posible, con los demás Jueces, requerirá del Estado respectivo que dicte las providencias urgentes necesarias a fin de asegurar la eficacia de las medidas provisionales que después pueda tomar la Corte en su próximo período de sesiones.  </w:t>
      </w:r>
    </w:p>
    <w:p w14:paraId="274EAE2A" w14:textId="77777777" w:rsidR="006A789C" w:rsidRPr="00B964D3" w:rsidRDefault="006A789C" w:rsidP="00B45C45">
      <w:pPr>
        <w:pStyle w:val="Textonotapie"/>
        <w:ind w:left="-567" w:right="-567"/>
        <w:rPr>
          <w:rFonts w:ascii="Verdana" w:hAnsi="Verdana"/>
          <w:i/>
          <w:iCs/>
          <w:sz w:val="16"/>
          <w:szCs w:val="16"/>
        </w:rPr>
      </w:pPr>
      <w:r w:rsidRPr="00B964D3">
        <w:rPr>
          <w:rFonts w:ascii="Verdana" w:hAnsi="Verdana"/>
          <w:i/>
          <w:iCs/>
          <w:sz w:val="16"/>
          <w:szCs w:val="16"/>
        </w:rPr>
        <w:t xml:space="preserve">7. La supervisión de las medidas urgentes o provisionales ordenadas se realizará mediante la presentación de informes estatales y de las correspondientes observaciones a dichos informes por parte de los beneficiarios de dichas medidas o sus representantes. La Comisión deberá presentar observaciones al informe del Estado y a las observaciones de los beneficiarios de las medidas o sus representantes.  </w:t>
      </w:r>
    </w:p>
    <w:p w14:paraId="107C5003" w14:textId="77777777" w:rsidR="006A789C" w:rsidRPr="00B964D3" w:rsidRDefault="006A789C" w:rsidP="00B45C45">
      <w:pPr>
        <w:pStyle w:val="Textonotapie"/>
        <w:ind w:left="-567" w:right="-567"/>
        <w:rPr>
          <w:rFonts w:ascii="Verdana" w:hAnsi="Verdana"/>
          <w:i/>
          <w:iCs/>
          <w:sz w:val="16"/>
          <w:szCs w:val="16"/>
        </w:rPr>
      </w:pPr>
      <w:r w:rsidRPr="00B964D3">
        <w:rPr>
          <w:rFonts w:ascii="Verdana" w:hAnsi="Verdana"/>
          <w:i/>
          <w:iCs/>
          <w:sz w:val="16"/>
          <w:szCs w:val="16"/>
        </w:rPr>
        <w:t xml:space="preserve">8. En las circunstancias que estime pertinente, la Corte podrá requerir de otras fuentes de información datos relevantes sobre el asunto, que permitan apreciar la gravedad y urgencia de la situación y la eficacia de las medidas. Para los mismos efectos, podrá también requerir los peritajes e informes que considere oportunos. </w:t>
      </w:r>
    </w:p>
    <w:p w14:paraId="0C1632E6" w14:textId="77777777" w:rsidR="006A789C" w:rsidRPr="00B964D3" w:rsidRDefault="006A789C" w:rsidP="00B45C45">
      <w:pPr>
        <w:pStyle w:val="Textonotapie"/>
        <w:ind w:left="-567" w:right="-567"/>
        <w:rPr>
          <w:rFonts w:ascii="Verdana" w:hAnsi="Verdana"/>
          <w:i/>
          <w:iCs/>
          <w:sz w:val="16"/>
          <w:szCs w:val="16"/>
        </w:rPr>
      </w:pPr>
      <w:r w:rsidRPr="00B964D3">
        <w:rPr>
          <w:rFonts w:ascii="Verdana" w:hAnsi="Verdana"/>
          <w:i/>
          <w:iCs/>
          <w:sz w:val="16"/>
          <w:szCs w:val="16"/>
        </w:rPr>
        <w:t xml:space="preserve">9. La Corte, o su Presidencia si ésta no estuviere reunida, podrá convocar a la Comisión, a los beneficiarios de las medidas, o sus representantes, y al Estado a una audiencia pública o privada sobre las medidas provisionales. </w:t>
      </w:r>
    </w:p>
    <w:p w14:paraId="4AAB50AF" w14:textId="77777777" w:rsidR="006A789C" w:rsidRPr="00B964D3" w:rsidRDefault="006A789C" w:rsidP="00B45C45">
      <w:pPr>
        <w:pStyle w:val="Textonotapie"/>
        <w:ind w:left="-567" w:right="-567"/>
        <w:rPr>
          <w:rFonts w:ascii="Verdana" w:hAnsi="Verdana"/>
          <w:i/>
          <w:iCs/>
          <w:sz w:val="16"/>
          <w:szCs w:val="16"/>
        </w:rPr>
      </w:pPr>
      <w:r w:rsidRPr="00B964D3">
        <w:rPr>
          <w:rFonts w:ascii="Verdana" w:hAnsi="Verdana"/>
          <w:i/>
          <w:iCs/>
          <w:sz w:val="16"/>
          <w:szCs w:val="16"/>
        </w:rPr>
        <w:t>10. La Corte incluirá en su informe anual a la Asamblea General una relación de las medidas provisionales que haya ordenado en el período del informe y, cuando dichas medidas no hayan sido debidamente ejecutadas, formulará las recomendaciones que estime pertinentes.”</w:t>
      </w:r>
    </w:p>
    <w:p w14:paraId="29432D15" w14:textId="77777777" w:rsidR="006A789C" w:rsidRPr="00B964D3" w:rsidRDefault="006A789C" w:rsidP="00B45C45">
      <w:pPr>
        <w:pStyle w:val="Textonotapie"/>
        <w:ind w:left="-567" w:right="-567"/>
        <w:rPr>
          <w:rFonts w:ascii="Verdana" w:hAnsi="Verdana"/>
          <w:sz w:val="16"/>
          <w:szCs w:val="16"/>
          <w:lang w:val="uz-Cyrl-UZ"/>
        </w:rPr>
      </w:pPr>
    </w:p>
  </w:footnote>
  <w:footnote w:id="34">
    <w:p w14:paraId="11253A80" w14:textId="7A8A7C4B" w:rsidR="006A789C" w:rsidRPr="00B964D3" w:rsidRDefault="006A789C" w:rsidP="0080358F">
      <w:pPr>
        <w:spacing w:after="0" w:line="240" w:lineRule="auto"/>
        <w:jc w:val="both"/>
        <w:rPr>
          <w:rFonts w:ascii="Verdana" w:hAnsi="Verdana"/>
          <w:sz w:val="16"/>
          <w:szCs w:val="16"/>
          <w:lang w:val="es-ES"/>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iCs/>
          <w:sz w:val="16"/>
          <w:szCs w:val="16"/>
        </w:rPr>
        <w:t>Segunda frase del art.67:”</w:t>
      </w:r>
      <w:r w:rsidRPr="00B964D3">
        <w:rPr>
          <w:rFonts w:ascii="Verdana" w:hAnsi="Verdana"/>
          <w:i/>
          <w:sz w:val="16"/>
          <w:szCs w:val="16"/>
          <w:lang w:val="es-ES"/>
        </w:rPr>
        <w:t xml:space="preserve"> En caso de desacuerdo sobre el sentido o alcance del fallo, la Corte lo interpretará a solicitud de cualquiera de las partes, siempre que dicha solicitud se presente dentro de los noventa días a partir de la fecha de la notificación del fallo.”</w:t>
      </w:r>
    </w:p>
    <w:p w14:paraId="5C41F8FF" w14:textId="77777777" w:rsidR="006A789C" w:rsidRPr="00B964D3" w:rsidRDefault="006A789C" w:rsidP="00D91FFC">
      <w:pPr>
        <w:spacing w:after="0" w:line="240" w:lineRule="auto"/>
        <w:jc w:val="both"/>
        <w:rPr>
          <w:rFonts w:ascii="Verdana" w:hAnsi="Verdana"/>
          <w:sz w:val="16"/>
          <w:szCs w:val="16"/>
        </w:rPr>
      </w:pPr>
    </w:p>
  </w:footnote>
  <w:footnote w:id="35">
    <w:p w14:paraId="69FA26D3" w14:textId="42065E7B" w:rsidR="006A789C" w:rsidRPr="00B964D3" w:rsidRDefault="006A789C" w:rsidP="0080358F">
      <w:pPr>
        <w:pStyle w:val="Textonotapie"/>
        <w:ind w:left="-567" w:right="-567"/>
        <w:rPr>
          <w:rFonts w:ascii="Verdana" w:hAnsi="Verdana"/>
          <w:sz w:val="16"/>
          <w:szCs w:val="16"/>
          <w:lang w:val="uz-Cyrl-UZ"/>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sz w:val="16"/>
          <w:szCs w:val="16"/>
          <w:lang w:val="uz-Cyrl-UZ"/>
        </w:rPr>
        <w:t xml:space="preserve">Art.67, </w:t>
      </w:r>
      <w:r w:rsidRPr="00B964D3">
        <w:rPr>
          <w:rFonts w:ascii="Verdana" w:hAnsi="Verdana"/>
          <w:i/>
          <w:iCs/>
          <w:sz w:val="16"/>
          <w:szCs w:val="16"/>
          <w:lang w:val="uz-Cyrl-UZ"/>
        </w:rPr>
        <w:t>Supra</w:t>
      </w:r>
      <w:r w:rsidRPr="00B964D3">
        <w:rPr>
          <w:rFonts w:ascii="Verdana" w:hAnsi="Verdana"/>
          <w:sz w:val="16"/>
          <w:szCs w:val="16"/>
          <w:lang w:val="uz-Cyrl-UZ"/>
        </w:rPr>
        <w:t>, Nota N° 18.</w:t>
      </w:r>
    </w:p>
    <w:p w14:paraId="3CB064D6" w14:textId="77777777" w:rsidR="006A789C" w:rsidRPr="00B964D3" w:rsidRDefault="006A789C" w:rsidP="0080358F">
      <w:pPr>
        <w:pStyle w:val="Textonotapie"/>
        <w:ind w:left="-567" w:right="-567"/>
        <w:rPr>
          <w:rFonts w:ascii="Verdana" w:hAnsi="Verdana"/>
          <w:sz w:val="16"/>
          <w:szCs w:val="16"/>
          <w:lang w:val="uz-Cyrl-UZ"/>
        </w:rPr>
      </w:pPr>
    </w:p>
  </w:footnote>
  <w:footnote w:id="36">
    <w:p w14:paraId="56194D11" w14:textId="0988096E" w:rsidR="006A789C" w:rsidRPr="00B964D3" w:rsidRDefault="006A789C" w:rsidP="0080358F">
      <w:pPr>
        <w:spacing w:after="0" w:line="240" w:lineRule="auto"/>
        <w:jc w:val="both"/>
        <w:rPr>
          <w:rFonts w:ascii="Verdana" w:hAnsi="Verdana"/>
          <w:sz w:val="16"/>
          <w:szCs w:val="16"/>
          <w:lang w:val="es-ES"/>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sz w:val="16"/>
          <w:szCs w:val="16"/>
          <w:lang w:val="es-ES"/>
        </w:rPr>
        <w:t xml:space="preserve">Art. 65: </w:t>
      </w:r>
      <w:r w:rsidRPr="00B964D3">
        <w:rPr>
          <w:rFonts w:ascii="Verdana" w:hAnsi="Verdana"/>
          <w:i/>
          <w:sz w:val="16"/>
          <w:szCs w:val="16"/>
          <w:lang w:val="es-ES"/>
        </w:rPr>
        <w:t>“La Corte someterá a la consideración de la Asamblea General de la Organización en cada período ordinario de sesiones un informe sobre su labor en el año anterior. De manera especial y con las recomendaciones pertinentes, señalará los casos en que un Estado no haya dado cumplimiento a sus fallos.”</w:t>
      </w:r>
    </w:p>
    <w:p w14:paraId="23AE7186" w14:textId="77777777" w:rsidR="006A789C" w:rsidRPr="00B964D3" w:rsidRDefault="006A789C" w:rsidP="00D91FFC">
      <w:pPr>
        <w:pStyle w:val="Textonotapie"/>
        <w:ind w:left="-567" w:right="-567"/>
        <w:rPr>
          <w:rFonts w:ascii="Verdana" w:hAnsi="Verdana"/>
          <w:sz w:val="16"/>
          <w:szCs w:val="16"/>
        </w:rPr>
      </w:pPr>
    </w:p>
  </w:footnote>
  <w:footnote w:id="37">
    <w:p w14:paraId="7645EE2E" w14:textId="02C285BE" w:rsidR="006A789C" w:rsidRPr="00B964D3" w:rsidRDefault="006A789C" w:rsidP="0080358F">
      <w:pPr>
        <w:pStyle w:val="Textonotapie"/>
        <w:ind w:left="-567" w:right="-567"/>
        <w:rPr>
          <w:rFonts w:ascii="Verdana" w:hAnsi="Verdana"/>
          <w:i/>
          <w:iCs/>
          <w:sz w:val="16"/>
          <w:szCs w:val="16"/>
        </w:rPr>
      </w:pPr>
      <w:r w:rsidRPr="00B964D3">
        <w:rPr>
          <w:rStyle w:val="Refdenotaalpie"/>
          <w:rFonts w:ascii="Verdana" w:hAnsi="Verdana"/>
          <w:sz w:val="16"/>
          <w:szCs w:val="16"/>
        </w:rPr>
        <w:footnoteRef/>
      </w:r>
      <w:r w:rsidRPr="00B964D3">
        <w:rPr>
          <w:rFonts w:ascii="Verdana" w:hAnsi="Verdana"/>
          <w:sz w:val="16"/>
          <w:szCs w:val="16"/>
        </w:rPr>
        <w:t xml:space="preserve"> Art. 66.1 del Reglamento: “</w:t>
      </w:r>
      <w:r w:rsidRPr="00B964D3">
        <w:rPr>
          <w:rFonts w:ascii="Verdana" w:hAnsi="Verdana"/>
          <w:i/>
          <w:iCs/>
          <w:sz w:val="16"/>
          <w:szCs w:val="16"/>
        </w:rPr>
        <w:t xml:space="preserve">Cuando en la sentencia de fondo no se hubiere decidido específicamente sobre reparaciones y costas, la Corte fijará la oportunidad para su posterior decisión y determinará el procedimiento.” </w:t>
      </w:r>
    </w:p>
    <w:p w14:paraId="73CF4601" w14:textId="6884062B" w:rsidR="006A789C" w:rsidRPr="00B964D3" w:rsidRDefault="006A789C" w:rsidP="0080358F">
      <w:pPr>
        <w:pStyle w:val="Textonotapie"/>
        <w:ind w:left="-567" w:right="-567"/>
        <w:rPr>
          <w:rFonts w:ascii="Verdana" w:hAnsi="Verdana"/>
          <w:sz w:val="16"/>
          <w:szCs w:val="16"/>
        </w:rPr>
      </w:pPr>
      <w:r w:rsidRPr="00B964D3">
        <w:rPr>
          <w:rFonts w:ascii="Verdana" w:hAnsi="Verdana"/>
          <w:sz w:val="16"/>
          <w:szCs w:val="16"/>
        </w:rPr>
        <w:t>En adelante, éste se denominará el Reglamento.</w:t>
      </w:r>
    </w:p>
    <w:p w14:paraId="71BD98C2" w14:textId="77777777" w:rsidR="006A789C" w:rsidRPr="00B964D3" w:rsidRDefault="006A789C" w:rsidP="0080358F">
      <w:pPr>
        <w:pStyle w:val="Textonotapie"/>
        <w:ind w:left="-567" w:right="-567"/>
        <w:rPr>
          <w:rFonts w:ascii="Verdana" w:hAnsi="Verdana"/>
          <w:sz w:val="16"/>
          <w:szCs w:val="16"/>
        </w:rPr>
      </w:pPr>
    </w:p>
  </w:footnote>
  <w:footnote w:id="38">
    <w:p w14:paraId="119A492F" w14:textId="146E0A44" w:rsidR="006A789C" w:rsidRPr="00B964D3" w:rsidRDefault="006A789C" w:rsidP="0080358F">
      <w:pPr>
        <w:pStyle w:val="Textonotapie"/>
        <w:ind w:left="-567" w:right="-567"/>
        <w:rPr>
          <w:rFonts w:ascii="Verdana" w:hAnsi="Verdana"/>
          <w:sz w:val="16"/>
          <w:szCs w:val="16"/>
        </w:rPr>
      </w:pPr>
      <w:r w:rsidRPr="00B964D3">
        <w:rPr>
          <w:rStyle w:val="Refdenotaalpie"/>
          <w:rFonts w:ascii="Verdana" w:hAnsi="Verdana"/>
          <w:sz w:val="16"/>
          <w:szCs w:val="16"/>
        </w:rPr>
        <w:footnoteRef/>
      </w:r>
      <w:r w:rsidRPr="00B964D3">
        <w:rPr>
          <w:rFonts w:ascii="Verdana" w:hAnsi="Verdana"/>
          <w:sz w:val="16"/>
          <w:szCs w:val="16"/>
        </w:rPr>
        <w:t xml:space="preserve"> Art. 76 del Reglamento: “</w:t>
      </w:r>
      <w:r w:rsidRPr="00B964D3">
        <w:rPr>
          <w:rFonts w:ascii="Verdana" w:hAnsi="Verdana"/>
          <w:i/>
          <w:iCs/>
          <w:sz w:val="16"/>
          <w:szCs w:val="16"/>
        </w:rPr>
        <w:t>La Corte podrá, a iniciativa propia o a solicitud de parte, presentada dentro del mes siguiente a la notificación de la sentencia o resolución de que se trate, rectificar errores notorios, de edición o de cálculo. De efectuarse alguna rectificación la Corte la notificará a la Comisión, a las víctimas o sus representantes, al Estado demandado y, en su caso, al Estado demandante.”</w:t>
      </w:r>
    </w:p>
    <w:p w14:paraId="66F6498B" w14:textId="77777777" w:rsidR="006A789C" w:rsidRPr="00B964D3" w:rsidRDefault="006A789C" w:rsidP="0080358F">
      <w:pPr>
        <w:pStyle w:val="Textonotapie"/>
        <w:ind w:left="-567" w:right="-567"/>
        <w:rPr>
          <w:rFonts w:ascii="Verdana" w:hAnsi="Verdana"/>
          <w:sz w:val="16"/>
          <w:szCs w:val="16"/>
        </w:rPr>
      </w:pPr>
    </w:p>
  </w:footnote>
  <w:footnote w:id="39">
    <w:p w14:paraId="11703F8D" w14:textId="77777777" w:rsidR="006A789C" w:rsidRPr="00B964D3" w:rsidRDefault="006A789C" w:rsidP="0080358F">
      <w:pPr>
        <w:pStyle w:val="Textonotapie"/>
        <w:ind w:left="-567" w:right="-567"/>
        <w:rPr>
          <w:rFonts w:ascii="Verdana" w:hAnsi="Verdana"/>
          <w:i/>
          <w:iCs/>
          <w:sz w:val="16"/>
          <w:szCs w:val="16"/>
        </w:rPr>
      </w:pPr>
      <w:r w:rsidRPr="00B964D3">
        <w:rPr>
          <w:rStyle w:val="Refdenotaalpie"/>
          <w:rFonts w:ascii="Verdana" w:hAnsi="Verdana"/>
          <w:sz w:val="16"/>
          <w:szCs w:val="16"/>
        </w:rPr>
        <w:footnoteRef/>
      </w:r>
      <w:r w:rsidRPr="00B964D3">
        <w:rPr>
          <w:rFonts w:ascii="Verdana" w:hAnsi="Verdana"/>
          <w:sz w:val="16"/>
          <w:szCs w:val="16"/>
        </w:rPr>
        <w:t xml:space="preserve"> Art. 69 del Reglamento: </w:t>
      </w:r>
      <w:r w:rsidRPr="00B964D3">
        <w:rPr>
          <w:rFonts w:ascii="Verdana" w:hAnsi="Verdana"/>
          <w:i/>
          <w:iCs/>
          <w:sz w:val="16"/>
          <w:szCs w:val="16"/>
        </w:rPr>
        <w:t xml:space="preserve">“La supervisión de las sentencias y demás decisiones de la Corte se realizará mediante la presentación de informes estatales y de las correspondientes observaciones a dichos informes por parte de las víctimas o sus representantes. La Comisión deberá presentar observaciones al informe del Estado y a las observaciones de las víctimas o sus representantes.  </w:t>
      </w:r>
    </w:p>
    <w:p w14:paraId="1A42C6D6" w14:textId="77777777" w:rsidR="006A789C" w:rsidRPr="00B964D3" w:rsidRDefault="006A789C" w:rsidP="0080358F">
      <w:pPr>
        <w:pStyle w:val="Textonotapie"/>
        <w:ind w:left="-567" w:right="-567"/>
        <w:rPr>
          <w:rFonts w:ascii="Verdana" w:hAnsi="Verdana"/>
          <w:i/>
          <w:iCs/>
          <w:sz w:val="16"/>
          <w:szCs w:val="16"/>
        </w:rPr>
      </w:pPr>
      <w:r w:rsidRPr="00B964D3">
        <w:rPr>
          <w:rFonts w:ascii="Verdana" w:hAnsi="Verdana"/>
          <w:i/>
          <w:iCs/>
          <w:sz w:val="16"/>
          <w:szCs w:val="16"/>
        </w:rPr>
        <w:t xml:space="preserve">2. La Corte podrá requerir a otras fuentes de información datos relevantes sobre el caso, que permitan apreciar el cumplimiento. Para los mismos efectos podrá también requerir los peritajes e informes que considere oportunos. </w:t>
      </w:r>
    </w:p>
    <w:p w14:paraId="0ED2C594" w14:textId="77777777" w:rsidR="006A789C" w:rsidRPr="00B964D3" w:rsidRDefault="006A789C" w:rsidP="00B8510E">
      <w:pPr>
        <w:pStyle w:val="Textonotapie"/>
        <w:ind w:left="-567" w:right="-567"/>
        <w:rPr>
          <w:rFonts w:ascii="Verdana" w:hAnsi="Verdana"/>
          <w:i/>
          <w:iCs/>
          <w:sz w:val="16"/>
          <w:szCs w:val="16"/>
        </w:rPr>
      </w:pPr>
      <w:r w:rsidRPr="00B964D3">
        <w:rPr>
          <w:rFonts w:ascii="Verdana" w:hAnsi="Verdana"/>
          <w:i/>
          <w:iCs/>
          <w:sz w:val="16"/>
          <w:szCs w:val="16"/>
        </w:rPr>
        <w:t xml:space="preserve">3. Cuando lo considere pertinente, el Tribunal podrá convocar al Estado y a los representantes de las víctimas a una audiencia para supervisar el cumplimiento de sus decisiones, y en ésta escuchará el parecer de la Comisión. </w:t>
      </w:r>
    </w:p>
    <w:p w14:paraId="46F27D55" w14:textId="77777777" w:rsidR="006A789C" w:rsidRPr="00B964D3" w:rsidRDefault="006A789C" w:rsidP="00B8510E">
      <w:pPr>
        <w:pStyle w:val="Textonotapie"/>
        <w:ind w:left="-567" w:right="-567"/>
        <w:rPr>
          <w:rFonts w:ascii="Verdana" w:hAnsi="Verdana"/>
          <w:i/>
          <w:iCs/>
          <w:sz w:val="16"/>
          <w:szCs w:val="16"/>
        </w:rPr>
      </w:pPr>
      <w:r w:rsidRPr="00B964D3">
        <w:rPr>
          <w:rFonts w:ascii="Verdana" w:hAnsi="Verdana"/>
          <w:i/>
          <w:iCs/>
          <w:sz w:val="16"/>
          <w:szCs w:val="16"/>
        </w:rPr>
        <w:t xml:space="preserve">4. Una vez que el Tribunal cuente con la información pertinente, determinará el estado del cumplimiento de lo resuelto y emitirá las resoluciones que estime pertinentes.  </w:t>
      </w:r>
    </w:p>
    <w:p w14:paraId="5FBEF30E" w14:textId="3EA69BC2" w:rsidR="006A789C" w:rsidRPr="00B964D3" w:rsidRDefault="006A789C" w:rsidP="00B8510E">
      <w:pPr>
        <w:pStyle w:val="Textonotapie"/>
        <w:ind w:left="-567" w:right="-567"/>
        <w:rPr>
          <w:rFonts w:ascii="Verdana" w:hAnsi="Verdana"/>
          <w:i/>
          <w:iCs/>
          <w:sz w:val="16"/>
          <w:szCs w:val="16"/>
        </w:rPr>
      </w:pPr>
      <w:r w:rsidRPr="00B964D3">
        <w:rPr>
          <w:rFonts w:ascii="Verdana" w:hAnsi="Verdana"/>
          <w:i/>
          <w:iCs/>
          <w:sz w:val="16"/>
          <w:szCs w:val="16"/>
        </w:rPr>
        <w:t>5. Estas disposiciones se aplican también para casos no sometidos por la Comisión.”</w:t>
      </w:r>
    </w:p>
    <w:p w14:paraId="3B7F3D5F" w14:textId="77777777" w:rsidR="006A789C" w:rsidRPr="00B964D3" w:rsidRDefault="006A789C" w:rsidP="00B8510E">
      <w:pPr>
        <w:pStyle w:val="Textonotapie"/>
        <w:ind w:left="-567" w:right="-567"/>
        <w:rPr>
          <w:rFonts w:ascii="Verdana" w:hAnsi="Verdana"/>
          <w:sz w:val="16"/>
          <w:szCs w:val="16"/>
        </w:rPr>
      </w:pPr>
    </w:p>
  </w:footnote>
  <w:footnote w:id="40">
    <w:p w14:paraId="1B6244D3" w14:textId="5D6A92F6" w:rsidR="006A789C" w:rsidRPr="00B964D3" w:rsidRDefault="006A789C" w:rsidP="00B8510E">
      <w:pPr>
        <w:pStyle w:val="Textonotapie"/>
        <w:ind w:left="-567" w:right="-567"/>
        <w:rPr>
          <w:rFonts w:ascii="Verdana" w:hAnsi="Verdana"/>
          <w:sz w:val="16"/>
          <w:szCs w:val="16"/>
          <w:lang w:val="uz-Cyrl-UZ"/>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sz w:val="16"/>
          <w:szCs w:val="16"/>
          <w:lang w:val="uz-Cyrl-UZ"/>
        </w:rPr>
        <w:t>Diccionario de la Lengua Española, Diccionario de la Real Academia Española, 2019.</w:t>
      </w:r>
    </w:p>
    <w:p w14:paraId="23F707EE" w14:textId="77777777" w:rsidR="006A789C" w:rsidRPr="00B964D3" w:rsidRDefault="006A789C" w:rsidP="00B8510E">
      <w:pPr>
        <w:pStyle w:val="Textonotapie"/>
        <w:ind w:left="-567" w:right="-567"/>
        <w:rPr>
          <w:rFonts w:ascii="Verdana" w:hAnsi="Verdana"/>
          <w:sz w:val="16"/>
          <w:szCs w:val="16"/>
          <w:lang w:val="uz-Cyrl-UZ"/>
        </w:rPr>
      </w:pPr>
    </w:p>
  </w:footnote>
  <w:footnote w:id="41">
    <w:p w14:paraId="56F7EE8E" w14:textId="52DF2B63" w:rsidR="006A789C" w:rsidRPr="00B964D3" w:rsidRDefault="006A789C" w:rsidP="00B8510E">
      <w:pPr>
        <w:spacing w:after="0" w:line="240" w:lineRule="auto"/>
        <w:jc w:val="both"/>
        <w:rPr>
          <w:rFonts w:ascii="Verdana" w:eastAsiaTheme="minorEastAsia" w:hAnsi="Verdana"/>
          <w:sz w:val="16"/>
          <w:szCs w:val="16"/>
          <w:lang w:val="es-PR"/>
        </w:rPr>
      </w:pPr>
      <w:r w:rsidRPr="00B964D3">
        <w:rPr>
          <w:rStyle w:val="Refdenotaalpie"/>
          <w:rFonts w:ascii="Verdana" w:hAnsi="Verdana"/>
          <w:sz w:val="16"/>
          <w:szCs w:val="16"/>
        </w:rPr>
        <w:footnoteRef/>
      </w:r>
      <w:r w:rsidRPr="00B964D3">
        <w:rPr>
          <w:rFonts w:ascii="Verdana" w:hAnsi="Verdana"/>
          <w:sz w:val="16"/>
          <w:szCs w:val="16"/>
        </w:rPr>
        <w:t xml:space="preserve"> </w:t>
      </w:r>
      <w:r w:rsidR="0080358F" w:rsidRPr="00B964D3">
        <w:rPr>
          <w:rFonts w:ascii="Verdana" w:hAnsi="Verdana"/>
          <w:i/>
          <w:iCs/>
          <w:sz w:val="16"/>
          <w:szCs w:val="16"/>
        </w:rPr>
        <w:t>Supra,</w:t>
      </w:r>
      <w:r w:rsidR="00AE791B" w:rsidRPr="00B964D3">
        <w:rPr>
          <w:rFonts w:ascii="Verdana" w:hAnsi="Verdana"/>
          <w:i/>
          <w:iCs/>
          <w:sz w:val="16"/>
          <w:szCs w:val="16"/>
        </w:rPr>
        <w:t xml:space="preserve"> </w:t>
      </w:r>
      <w:r w:rsidRPr="00B964D3">
        <w:rPr>
          <w:rFonts w:ascii="Verdana" w:eastAsiaTheme="minorEastAsia" w:hAnsi="Verdana"/>
          <w:sz w:val="16"/>
          <w:szCs w:val="16"/>
          <w:lang w:val="es-PR"/>
        </w:rPr>
        <w:t xml:space="preserve">Nota N° </w:t>
      </w:r>
      <w:r w:rsidR="00B8510E" w:rsidRPr="00B964D3">
        <w:rPr>
          <w:rFonts w:ascii="Verdana" w:eastAsiaTheme="minorEastAsia" w:hAnsi="Verdana"/>
          <w:sz w:val="16"/>
          <w:szCs w:val="16"/>
          <w:lang w:val="es-PR"/>
        </w:rPr>
        <w:t>28</w:t>
      </w:r>
      <w:r w:rsidRPr="00B964D3">
        <w:rPr>
          <w:rFonts w:ascii="Verdana" w:eastAsiaTheme="minorEastAsia" w:hAnsi="Verdana"/>
          <w:sz w:val="16"/>
          <w:szCs w:val="16"/>
          <w:lang w:val="es-PR"/>
        </w:rPr>
        <w:t>.</w:t>
      </w:r>
    </w:p>
    <w:p w14:paraId="0087A72A" w14:textId="77777777" w:rsidR="006A789C" w:rsidRPr="00B964D3" w:rsidRDefault="006A789C" w:rsidP="00907144">
      <w:pPr>
        <w:spacing w:after="0" w:line="240" w:lineRule="auto"/>
        <w:ind w:left="-850" w:right="-624"/>
        <w:jc w:val="both"/>
        <w:rPr>
          <w:rFonts w:ascii="Verdana" w:eastAsiaTheme="minorEastAsia" w:hAnsi="Verdana"/>
          <w:sz w:val="16"/>
          <w:szCs w:val="16"/>
          <w:lang w:val="es-PR"/>
        </w:rPr>
      </w:pPr>
    </w:p>
  </w:footnote>
  <w:footnote w:id="42">
    <w:p w14:paraId="44C4C8BE" w14:textId="05E70092" w:rsidR="00B8510E" w:rsidRPr="00B964D3" w:rsidRDefault="00B8510E" w:rsidP="00B8510E">
      <w:pPr>
        <w:pStyle w:val="Textonotapie"/>
        <w:ind w:left="-567"/>
        <w:rPr>
          <w:rFonts w:ascii="Verdana" w:hAnsi="Verdana"/>
          <w:sz w:val="16"/>
          <w:szCs w:val="16"/>
          <w:lang w:val="uz-Cyrl-UZ"/>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sz w:val="16"/>
          <w:szCs w:val="16"/>
          <w:lang w:val="uz-Cyrl-UZ"/>
        </w:rPr>
        <w:t>Anuario de la Corte, 2019.</w:t>
      </w:r>
    </w:p>
    <w:p w14:paraId="26B8F54A" w14:textId="77777777" w:rsidR="00B8510E" w:rsidRPr="00B964D3" w:rsidRDefault="00B8510E" w:rsidP="00D91FFC">
      <w:pPr>
        <w:pStyle w:val="Textonotapie"/>
        <w:rPr>
          <w:rFonts w:ascii="Verdana" w:hAnsi="Verdana"/>
          <w:sz w:val="16"/>
          <w:szCs w:val="16"/>
          <w:lang w:val="uz-Cyrl-UZ"/>
        </w:rPr>
      </w:pPr>
    </w:p>
  </w:footnote>
  <w:footnote w:id="43">
    <w:p w14:paraId="6AC20134" w14:textId="639B2C9D" w:rsidR="006A789C" w:rsidRPr="00B964D3" w:rsidRDefault="006A789C" w:rsidP="00D66F6E">
      <w:pPr>
        <w:pStyle w:val="Textonotapie"/>
        <w:ind w:left="-567"/>
        <w:rPr>
          <w:rFonts w:ascii="Verdana" w:hAnsi="Verdana"/>
          <w:sz w:val="16"/>
          <w:szCs w:val="16"/>
          <w:lang w:val="uz-Cyrl-UZ"/>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i/>
          <w:iCs/>
          <w:sz w:val="16"/>
          <w:szCs w:val="16"/>
          <w:lang w:val="uz-Cyrl-UZ"/>
        </w:rPr>
        <w:t xml:space="preserve">Supra </w:t>
      </w:r>
      <w:r w:rsidRPr="00B964D3">
        <w:rPr>
          <w:rFonts w:ascii="Verdana" w:hAnsi="Verdana"/>
          <w:sz w:val="16"/>
          <w:szCs w:val="16"/>
          <w:lang w:val="uz-Cyrl-UZ"/>
        </w:rPr>
        <w:t>II.6.</w:t>
      </w:r>
    </w:p>
    <w:p w14:paraId="2FB51031" w14:textId="77777777" w:rsidR="006A789C" w:rsidRPr="00B964D3" w:rsidRDefault="006A789C" w:rsidP="00907144">
      <w:pPr>
        <w:pStyle w:val="Textonotapie"/>
        <w:ind w:left="-850"/>
        <w:rPr>
          <w:rFonts w:ascii="Verdana" w:hAnsi="Verdana"/>
          <w:sz w:val="16"/>
          <w:szCs w:val="16"/>
          <w:lang w:val="uz-Cyrl-UZ"/>
        </w:rPr>
      </w:pPr>
    </w:p>
  </w:footnote>
  <w:footnote w:id="44">
    <w:p w14:paraId="503AFBA5" w14:textId="6B4AB272" w:rsidR="006A789C" w:rsidRPr="00B964D3" w:rsidRDefault="006A789C" w:rsidP="00F94DC8">
      <w:pPr>
        <w:pStyle w:val="Textonotapie"/>
        <w:ind w:left="-567" w:right="-567"/>
        <w:rPr>
          <w:rFonts w:ascii="Verdana" w:hAnsi="Verdana"/>
          <w:sz w:val="16"/>
          <w:szCs w:val="16"/>
        </w:rPr>
      </w:pPr>
      <w:r w:rsidRPr="00B964D3">
        <w:rPr>
          <w:rStyle w:val="Refdenotaalpie"/>
          <w:rFonts w:ascii="Verdana" w:hAnsi="Verdana"/>
          <w:sz w:val="16"/>
          <w:szCs w:val="16"/>
        </w:rPr>
        <w:footnoteRef/>
      </w:r>
      <w:r w:rsidRPr="00B964D3">
        <w:rPr>
          <w:rFonts w:ascii="Verdana" w:hAnsi="Verdana"/>
          <w:sz w:val="16"/>
          <w:szCs w:val="16"/>
        </w:rPr>
        <w:t xml:space="preserve"> En adelante, SIDH.</w:t>
      </w:r>
    </w:p>
    <w:p w14:paraId="01D4CC9A" w14:textId="77777777" w:rsidR="006A789C" w:rsidRPr="00B964D3" w:rsidRDefault="006A789C" w:rsidP="00A41FE6">
      <w:pPr>
        <w:pStyle w:val="Textonotapie"/>
        <w:ind w:left="-567" w:right="-567"/>
        <w:rPr>
          <w:rFonts w:ascii="Verdana" w:hAnsi="Verdana"/>
          <w:sz w:val="16"/>
          <w:szCs w:val="16"/>
          <w:lang w:val="uz-Cyrl-UZ"/>
        </w:rPr>
      </w:pPr>
    </w:p>
  </w:footnote>
  <w:footnote w:id="45">
    <w:p w14:paraId="5BB9D363" w14:textId="77777777" w:rsidR="006A789C" w:rsidRPr="00B964D3" w:rsidRDefault="006A789C">
      <w:pPr>
        <w:spacing w:after="0" w:line="240" w:lineRule="auto"/>
        <w:jc w:val="both"/>
        <w:rPr>
          <w:rFonts w:ascii="Verdana" w:hAnsi="Verdana"/>
          <w:i/>
          <w:iCs/>
          <w:sz w:val="16"/>
          <w:szCs w:val="16"/>
          <w:lang w:val="es-ES"/>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sz w:val="16"/>
          <w:szCs w:val="16"/>
          <w:lang w:val="es-ES"/>
        </w:rPr>
        <w:t xml:space="preserve">Art. 33: </w:t>
      </w:r>
      <w:r w:rsidRPr="00B964D3">
        <w:rPr>
          <w:rFonts w:ascii="Verdana" w:hAnsi="Verdana"/>
          <w:i/>
          <w:iCs/>
          <w:sz w:val="16"/>
          <w:szCs w:val="16"/>
          <w:lang w:val="es-ES"/>
        </w:rPr>
        <w:t>“Son competentes para conocer de los asuntos relacionados con el cumplimiento de los compromisos contraídos por los Estados Partes en esta Convención:</w:t>
      </w:r>
    </w:p>
    <w:p w14:paraId="02EF5397" w14:textId="77777777" w:rsidR="006A789C" w:rsidRPr="00B964D3" w:rsidRDefault="006A789C">
      <w:pPr>
        <w:spacing w:after="0" w:line="240" w:lineRule="auto"/>
        <w:jc w:val="both"/>
        <w:rPr>
          <w:rFonts w:ascii="Verdana" w:hAnsi="Verdana"/>
          <w:i/>
          <w:iCs/>
          <w:sz w:val="16"/>
          <w:szCs w:val="16"/>
          <w:lang w:val="es-ES"/>
        </w:rPr>
      </w:pPr>
      <w:r w:rsidRPr="00B964D3">
        <w:rPr>
          <w:rFonts w:ascii="Verdana" w:hAnsi="Verdana"/>
          <w:i/>
          <w:iCs/>
          <w:sz w:val="16"/>
          <w:szCs w:val="16"/>
          <w:lang w:val="es-ES"/>
        </w:rPr>
        <w:t xml:space="preserve"> a) la Comisión Interamericana de Derechos Humanos, llamada en adelante la Comisión, y</w:t>
      </w:r>
    </w:p>
    <w:p w14:paraId="32666B13" w14:textId="4DC7C75C" w:rsidR="006A789C" w:rsidRPr="00B964D3" w:rsidRDefault="006A789C">
      <w:pPr>
        <w:spacing w:after="0" w:line="240" w:lineRule="auto"/>
        <w:jc w:val="both"/>
        <w:rPr>
          <w:rFonts w:ascii="Verdana" w:hAnsi="Verdana"/>
          <w:sz w:val="16"/>
          <w:szCs w:val="16"/>
          <w:lang w:val="es-ES"/>
        </w:rPr>
      </w:pPr>
      <w:r w:rsidRPr="00B964D3">
        <w:rPr>
          <w:rFonts w:ascii="Verdana" w:hAnsi="Verdana"/>
          <w:i/>
          <w:iCs/>
          <w:sz w:val="16"/>
          <w:szCs w:val="16"/>
          <w:lang w:val="es-ES"/>
        </w:rPr>
        <w:t xml:space="preserve"> b) la Corte Interamericana de Derechos Humanos, llamada en adelante la</w:t>
      </w:r>
      <w:r w:rsidRPr="00B964D3">
        <w:rPr>
          <w:rFonts w:ascii="Verdana" w:hAnsi="Verdana"/>
          <w:sz w:val="16"/>
          <w:szCs w:val="16"/>
          <w:lang w:val="es-ES"/>
        </w:rPr>
        <w:t xml:space="preserve"> Corte.”</w:t>
      </w:r>
    </w:p>
    <w:p w14:paraId="1E26799F" w14:textId="77777777" w:rsidR="006A789C" w:rsidRPr="00B964D3" w:rsidRDefault="006A789C" w:rsidP="00D91FFC">
      <w:pPr>
        <w:spacing w:after="0" w:line="240" w:lineRule="auto"/>
        <w:jc w:val="both"/>
        <w:rPr>
          <w:rFonts w:ascii="Verdana" w:hAnsi="Verdana"/>
          <w:sz w:val="16"/>
          <w:szCs w:val="16"/>
          <w:lang w:val="uz-Cyrl-UZ"/>
        </w:rPr>
      </w:pPr>
    </w:p>
  </w:footnote>
  <w:footnote w:id="46">
    <w:p w14:paraId="45147857" w14:textId="0E285017" w:rsidR="006A789C" w:rsidRPr="00B964D3" w:rsidRDefault="006A789C">
      <w:pPr>
        <w:spacing w:after="0" w:line="240" w:lineRule="auto"/>
        <w:jc w:val="both"/>
        <w:rPr>
          <w:rFonts w:ascii="Verdana" w:hAnsi="Verdana"/>
          <w:i/>
          <w:iCs/>
          <w:sz w:val="16"/>
          <w:szCs w:val="16"/>
          <w:lang w:val="es-ES"/>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sz w:val="16"/>
          <w:szCs w:val="16"/>
          <w:lang w:val="es-ES"/>
        </w:rPr>
        <w:t>Art.44:</w:t>
      </w:r>
      <w:r w:rsidRPr="00B964D3">
        <w:rPr>
          <w:rFonts w:ascii="Verdana" w:hAnsi="Verdana"/>
          <w:i/>
          <w:iCs/>
          <w:sz w:val="16"/>
          <w:szCs w:val="16"/>
          <w:lang w:val="es-ES"/>
        </w:rPr>
        <w:t xml:space="preserve"> “Cualquier persona o grupo de personas, o entidad no gubernamental legalmente reconocida en uno o más Estados miembros de la Organización, puede presentar a la Comisión peticiones que contengan denuncias o quejas de violación de esta Convención por un Estado parte.”</w:t>
      </w:r>
    </w:p>
    <w:p w14:paraId="0551C361" w14:textId="77777777" w:rsidR="00585298" w:rsidRPr="00B964D3" w:rsidRDefault="00585298">
      <w:pPr>
        <w:spacing w:after="0" w:line="240" w:lineRule="auto"/>
        <w:jc w:val="both"/>
        <w:rPr>
          <w:rFonts w:ascii="Verdana" w:hAnsi="Verdana"/>
          <w:i/>
          <w:iCs/>
          <w:sz w:val="16"/>
          <w:szCs w:val="16"/>
          <w:lang w:val="es-ES"/>
        </w:rPr>
      </w:pPr>
    </w:p>
  </w:footnote>
  <w:footnote w:id="47">
    <w:p w14:paraId="3D59888F" w14:textId="7FAB91F6" w:rsidR="006A789C" w:rsidRPr="00B964D3" w:rsidRDefault="006A789C">
      <w:pPr>
        <w:spacing w:after="0" w:line="240" w:lineRule="auto"/>
        <w:jc w:val="both"/>
        <w:rPr>
          <w:rFonts w:ascii="Verdana" w:hAnsi="Verdana"/>
          <w:i/>
          <w:iCs/>
          <w:sz w:val="16"/>
          <w:szCs w:val="16"/>
          <w:lang w:val="es-ES"/>
        </w:rPr>
      </w:pPr>
      <w:r w:rsidRPr="00B964D3">
        <w:rPr>
          <w:rStyle w:val="Refdenotaalpie"/>
          <w:rFonts w:ascii="Verdana" w:hAnsi="Verdana"/>
          <w:sz w:val="16"/>
          <w:szCs w:val="16"/>
        </w:rPr>
        <w:footnoteRef/>
      </w:r>
      <w:r w:rsidRPr="00B964D3">
        <w:rPr>
          <w:rFonts w:ascii="Verdana" w:hAnsi="Verdana"/>
          <w:sz w:val="16"/>
          <w:szCs w:val="16"/>
        </w:rPr>
        <w:t xml:space="preserve"> Ar</w:t>
      </w:r>
      <w:r w:rsidR="00F94DC8" w:rsidRPr="00B964D3">
        <w:rPr>
          <w:rFonts w:ascii="Verdana" w:hAnsi="Verdana"/>
          <w:sz w:val="16"/>
          <w:szCs w:val="16"/>
        </w:rPr>
        <w:t>t</w:t>
      </w:r>
      <w:r w:rsidRPr="00B964D3">
        <w:rPr>
          <w:rFonts w:ascii="Verdana" w:hAnsi="Verdana"/>
          <w:sz w:val="16"/>
          <w:szCs w:val="16"/>
        </w:rPr>
        <w:t xml:space="preserve">.61.1: </w:t>
      </w:r>
      <w:r w:rsidRPr="00B964D3">
        <w:rPr>
          <w:rFonts w:ascii="Verdana" w:hAnsi="Verdana"/>
          <w:i/>
          <w:iCs/>
          <w:sz w:val="16"/>
          <w:szCs w:val="16"/>
        </w:rPr>
        <w:t>“</w:t>
      </w:r>
      <w:r w:rsidRPr="00B964D3">
        <w:rPr>
          <w:rFonts w:ascii="Verdana" w:hAnsi="Verdana"/>
          <w:i/>
          <w:iCs/>
          <w:sz w:val="16"/>
          <w:szCs w:val="16"/>
          <w:lang w:val="es-ES"/>
        </w:rPr>
        <w:t>Sólo los Estados Partes y la Comisión tienen derecho a someter un caso a la decisión de la Corte.”</w:t>
      </w:r>
    </w:p>
    <w:p w14:paraId="16506DC6" w14:textId="77777777" w:rsidR="00B515BE" w:rsidRPr="00B964D3" w:rsidRDefault="00B515BE">
      <w:pPr>
        <w:spacing w:after="0" w:line="240" w:lineRule="auto"/>
        <w:jc w:val="both"/>
        <w:rPr>
          <w:rFonts w:ascii="Verdana" w:hAnsi="Verdana"/>
          <w:i/>
          <w:iCs/>
          <w:sz w:val="16"/>
          <w:szCs w:val="16"/>
          <w:lang w:val="es-ES"/>
        </w:rPr>
      </w:pPr>
    </w:p>
  </w:footnote>
  <w:footnote w:id="48">
    <w:p w14:paraId="2ED89F75" w14:textId="2A5069FA" w:rsidR="006A789C" w:rsidRPr="00B964D3" w:rsidRDefault="006A789C" w:rsidP="00D91FFC">
      <w:pPr>
        <w:pStyle w:val="NormalWeb"/>
        <w:spacing w:before="0" w:beforeAutospacing="0" w:after="0" w:afterAutospacing="0"/>
        <w:ind w:left="-567" w:right="-567"/>
        <w:jc w:val="both"/>
        <w:rPr>
          <w:rFonts w:ascii="Verdana" w:hAnsi="Verdana" w:cs="Tahoma"/>
          <w:sz w:val="16"/>
          <w:szCs w:val="16"/>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sz w:val="16"/>
          <w:szCs w:val="16"/>
          <w:lang w:val="es-ES"/>
        </w:rPr>
        <w:t>Art</w:t>
      </w:r>
      <w:r w:rsidR="00F94DC8" w:rsidRPr="00B964D3">
        <w:rPr>
          <w:rFonts w:ascii="Verdana" w:hAnsi="Verdana"/>
          <w:sz w:val="16"/>
          <w:szCs w:val="16"/>
          <w:lang w:val="es-ES"/>
        </w:rPr>
        <w:t>.</w:t>
      </w:r>
      <w:r w:rsidRPr="00B964D3">
        <w:rPr>
          <w:rFonts w:ascii="Verdana" w:hAnsi="Verdana"/>
          <w:sz w:val="16"/>
          <w:szCs w:val="16"/>
          <w:lang w:val="es-ES"/>
        </w:rPr>
        <w:t xml:space="preserve"> 57: “</w:t>
      </w:r>
      <w:r w:rsidRPr="00B964D3">
        <w:rPr>
          <w:rFonts w:ascii="Verdana" w:hAnsi="Verdana"/>
          <w:i/>
          <w:iCs/>
          <w:sz w:val="16"/>
          <w:szCs w:val="16"/>
          <w:lang w:val="es-ES"/>
        </w:rPr>
        <w:t>La Comisión comparecerá en todos los casos ante la Corte</w:t>
      </w:r>
      <w:r w:rsidR="00D91FFC" w:rsidRPr="00B964D3">
        <w:rPr>
          <w:rFonts w:ascii="Verdana" w:hAnsi="Verdana"/>
          <w:i/>
          <w:iCs/>
          <w:sz w:val="16"/>
          <w:szCs w:val="16"/>
          <w:lang w:val="es-ES"/>
        </w:rPr>
        <w:t>.”</w:t>
      </w:r>
    </w:p>
    <w:p w14:paraId="476A063F" w14:textId="77777777" w:rsidR="006A789C" w:rsidRPr="00B964D3" w:rsidRDefault="006A789C" w:rsidP="00D91FFC">
      <w:pPr>
        <w:pStyle w:val="NormalWeb"/>
        <w:spacing w:before="0" w:beforeAutospacing="0" w:after="0" w:afterAutospacing="0"/>
        <w:ind w:left="-567" w:right="-567"/>
        <w:jc w:val="both"/>
        <w:rPr>
          <w:rFonts w:ascii="Verdana" w:hAnsi="Verdana"/>
          <w:sz w:val="16"/>
          <w:szCs w:val="16"/>
          <w:lang w:val="uz-Cyrl-UZ"/>
        </w:rPr>
      </w:pPr>
    </w:p>
  </w:footnote>
  <w:footnote w:id="49">
    <w:p w14:paraId="497E8850" w14:textId="6EEAFDE1" w:rsidR="006A789C" w:rsidRPr="00B964D3" w:rsidRDefault="006A789C" w:rsidP="00F94DC8">
      <w:pPr>
        <w:spacing w:after="0" w:line="240" w:lineRule="auto"/>
        <w:jc w:val="both"/>
        <w:rPr>
          <w:rFonts w:ascii="Verdana" w:hAnsi="Verdana"/>
          <w:sz w:val="16"/>
          <w:szCs w:val="16"/>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i/>
          <w:iCs/>
          <w:sz w:val="16"/>
          <w:szCs w:val="16"/>
        </w:rPr>
        <w:t xml:space="preserve">Supra </w:t>
      </w:r>
      <w:r w:rsidRPr="00B964D3">
        <w:rPr>
          <w:rFonts w:ascii="Verdana" w:hAnsi="Verdana"/>
          <w:sz w:val="16"/>
          <w:szCs w:val="16"/>
        </w:rPr>
        <w:t xml:space="preserve">Nota N° </w:t>
      </w:r>
      <w:r w:rsidR="00B515BE" w:rsidRPr="00B964D3">
        <w:rPr>
          <w:rFonts w:ascii="Verdana" w:hAnsi="Verdana"/>
          <w:sz w:val="16"/>
          <w:szCs w:val="16"/>
        </w:rPr>
        <w:t>36</w:t>
      </w:r>
      <w:r w:rsidRPr="00B964D3">
        <w:rPr>
          <w:rFonts w:ascii="Verdana" w:hAnsi="Verdana"/>
          <w:sz w:val="16"/>
          <w:szCs w:val="16"/>
        </w:rPr>
        <w:t>.</w:t>
      </w:r>
    </w:p>
    <w:p w14:paraId="050A3192" w14:textId="77777777" w:rsidR="00585298" w:rsidRPr="00B964D3" w:rsidRDefault="00585298" w:rsidP="00A41FE6">
      <w:pPr>
        <w:spacing w:after="0" w:line="240" w:lineRule="auto"/>
        <w:jc w:val="both"/>
        <w:rPr>
          <w:rFonts w:ascii="Verdana" w:hAnsi="Verdana"/>
          <w:i/>
          <w:iCs/>
          <w:sz w:val="16"/>
          <w:szCs w:val="16"/>
          <w:lang w:val="es-ES"/>
        </w:rPr>
      </w:pPr>
    </w:p>
  </w:footnote>
  <w:footnote w:id="50">
    <w:p w14:paraId="16402E58" w14:textId="77777777" w:rsidR="006A789C" w:rsidRPr="00B964D3" w:rsidRDefault="006A789C">
      <w:pPr>
        <w:spacing w:after="0"/>
        <w:jc w:val="both"/>
        <w:rPr>
          <w:rFonts w:ascii="Verdana" w:hAnsi="Verdana"/>
          <w:i/>
          <w:iCs/>
          <w:sz w:val="16"/>
          <w:szCs w:val="16"/>
          <w:lang w:val="es-ES"/>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sz w:val="16"/>
          <w:szCs w:val="16"/>
          <w:lang w:val="uz-Cyrl-UZ"/>
        </w:rPr>
        <w:t>Art.68:</w:t>
      </w:r>
      <w:r w:rsidRPr="00B964D3">
        <w:rPr>
          <w:rFonts w:ascii="Verdana" w:hAnsi="Verdana"/>
          <w:i/>
          <w:iCs/>
          <w:sz w:val="16"/>
          <w:szCs w:val="16"/>
          <w:lang w:val="uz-Cyrl-UZ"/>
        </w:rPr>
        <w:t xml:space="preserve"> “</w:t>
      </w:r>
      <w:r w:rsidRPr="00B964D3">
        <w:rPr>
          <w:rFonts w:ascii="Verdana" w:hAnsi="Verdana"/>
          <w:i/>
          <w:iCs/>
          <w:sz w:val="16"/>
          <w:szCs w:val="16"/>
          <w:lang w:val="es-ES"/>
        </w:rPr>
        <w:t>Los Estados Partes en la Convención se comprometen a cumplir la decisión de la Corte en todo caso en que sean partes.</w:t>
      </w:r>
    </w:p>
    <w:p w14:paraId="373EB22C" w14:textId="7234E4C4" w:rsidR="006A789C" w:rsidRPr="00B964D3" w:rsidRDefault="006A789C">
      <w:pPr>
        <w:spacing w:after="0"/>
        <w:jc w:val="both"/>
        <w:rPr>
          <w:rFonts w:ascii="Verdana" w:hAnsi="Verdana"/>
          <w:i/>
          <w:iCs/>
          <w:sz w:val="16"/>
          <w:szCs w:val="16"/>
          <w:lang w:val="es-ES"/>
        </w:rPr>
      </w:pPr>
      <w:r w:rsidRPr="00B964D3">
        <w:rPr>
          <w:rFonts w:ascii="Verdana" w:hAnsi="Verdana"/>
          <w:i/>
          <w:iCs/>
          <w:sz w:val="16"/>
          <w:szCs w:val="16"/>
          <w:lang w:val="es-ES"/>
        </w:rPr>
        <w:t xml:space="preserve"> 2. La parte del fallo que disponga indemnización compensatoria se podrá ejecutar en el respectivo país por el procedimiento interno vigente para la ejecución de sentencias contra el Estado.</w:t>
      </w:r>
    </w:p>
    <w:p w14:paraId="7B461168" w14:textId="77777777" w:rsidR="006A789C" w:rsidRPr="00B964D3" w:rsidRDefault="006A789C" w:rsidP="00D91FFC">
      <w:pPr>
        <w:pStyle w:val="Textonotapie"/>
        <w:ind w:left="-567" w:right="-567"/>
        <w:rPr>
          <w:rFonts w:ascii="Verdana" w:hAnsi="Verdana"/>
          <w:i/>
          <w:iCs/>
          <w:sz w:val="16"/>
          <w:szCs w:val="16"/>
          <w:lang w:val="uz-Cyrl-UZ"/>
        </w:rPr>
      </w:pPr>
    </w:p>
  </w:footnote>
  <w:footnote w:id="51">
    <w:p w14:paraId="4A16B14D" w14:textId="7380F946" w:rsidR="006A789C" w:rsidRPr="00B964D3" w:rsidRDefault="006A789C">
      <w:pPr>
        <w:spacing w:after="0" w:line="240" w:lineRule="auto"/>
        <w:jc w:val="both"/>
        <w:rPr>
          <w:rFonts w:ascii="Verdana" w:hAnsi="Verdana"/>
          <w:sz w:val="16"/>
          <w:szCs w:val="16"/>
          <w:lang w:val="es-ES"/>
        </w:rPr>
      </w:pPr>
      <w:r w:rsidRPr="00B964D3">
        <w:rPr>
          <w:rStyle w:val="Refdenotaalpie"/>
          <w:rFonts w:ascii="Verdana" w:hAnsi="Verdana"/>
          <w:sz w:val="16"/>
          <w:szCs w:val="16"/>
        </w:rPr>
        <w:footnoteRef/>
      </w:r>
      <w:r w:rsidRPr="00B964D3">
        <w:rPr>
          <w:rFonts w:ascii="Verdana" w:hAnsi="Verdana"/>
          <w:sz w:val="16"/>
          <w:szCs w:val="16"/>
        </w:rPr>
        <w:t xml:space="preserve"> </w:t>
      </w:r>
      <w:bookmarkStart w:id="6" w:name="_Hlk37680741"/>
      <w:r w:rsidRPr="00B964D3">
        <w:rPr>
          <w:rFonts w:ascii="Verdana" w:hAnsi="Verdana"/>
          <w:i/>
          <w:iCs/>
          <w:sz w:val="16"/>
          <w:szCs w:val="16"/>
          <w:lang w:val="es-ES"/>
        </w:rPr>
        <w:t>Supra</w:t>
      </w:r>
      <w:r w:rsidRPr="00B964D3">
        <w:rPr>
          <w:rFonts w:ascii="Verdana" w:hAnsi="Verdana"/>
          <w:sz w:val="16"/>
          <w:szCs w:val="16"/>
          <w:lang w:val="es-ES"/>
        </w:rPr>
        <w:t>, Nota N</w:t>
      </w:r>
      <w:r w:rsidR="00F94DC8" w:rsidRPr="00B964D3">
        <w:rPr>
          <w:rFonts w:ascii="Verdana" w:hAnsi="Verdana"/>
          <w:sz w:val="16"/>
          <w:szCs w:val="16"/>
        </w:rPr>
        <w:t>°</w:t>
      </w:r>
      <w:r w:rsidRPr="00B964D3">
        <w:rPr>
          <w:rFonts w:ascii="Verdana" w:hAnsi="Verdana"/>
          <w:sz w:val="16"/>
          <w:szCs w:val="16"/>
          <w:lang w:val="es-ES"/>
        </w:rPr>
        <w:t xml:space="preserve"> 1</w:t>
      </w:r>
      <w:r w:rsidR="00B515BE" w:rsidRPr="00B964D3">
        <w:rPr>
          <w:rFonts w:ascii="Verdana" w:hAnsi="Verdana"/>
          <w:sz w:val="16"/>
          <w:szCs w:val="16"/>
          <w:lang w:val="es-ES"/>
        </w:rPr>
        <w:t>6</w:t>
      </w:r>
      <w:r w:rsidRPr="00B964D3">
        <w:rPr>
          <w:rFonts w:ascii="Verdana" w:hAnsi="Verdana"/>
          <w:sz w:val="16"/>
          <w:szCs w:val="16"/>
          <w:lang w:val="es-ES"/>
        </w:rPr>
        <w:t>.</w:t>
      </w:r>
      <w:bookmarkEnd w:id="6"/>
    </w:p>
    <w:p w14:paraId="419DFCEE" w14:textId="77777777" w:rsidR="00B515BE" w:rsidRPr="00B964D3" w:rsidRDefault="00B515BE">
      <w:pPr>
        <w:spacing w:after="0" w:line="240" w:lineRule="auto"/>
        <w:jc w:val="both"/>
        <w:rPr>
          <w:rFonts w:ascii="Verdana" w:hAnsi="Verdana"/>
          <w:i/>
          <w:iCs/>
          <w:sz w:val="16"/>
          <w:szCs w:val="16"/>
          <w:lang w:val="es-ES"/>
        </w:rPr>
      </w:pPr>
    </w:p>
  </w:footnote>
  <w:footnote w:id="52">
    <w:p w14:paraId="639CADD0" w14:textId="4B8B58F4" w:rsidR="006A789C" w:rsidRPr="00B964D3" w:rsidRDefault="006A789C">
      <w:pPr>
        <w:shd w:val="clear" w:color="auto" w:fill="FFFFFF"/>
        <w:spacing w:after="0" w:line="240" w:lineRule="auto"/>
        <w:jc w:val="both"/>
        <w:rPr>
          <w:rFonts w:ascii="Verdana" w:hAnsi="Verdana" w:cs="Tahoma"/>
          <w:sz w:val="16"/>
          <w:szCs w:val="16"/>
          <w:shd w:val="clear" w:color="auto" w:fill="FFFFFF"/>
        </w:rPr>
      </w:pPr>
      <w:r w:rsidRPr="00B964D3">
        <w:rPr>
          <w:rStyle w:val="Refdenotaalpie"/>
          <w:rFonts w:ascii="Verdana" w:hAnsi="Verdana"/>
          <w:i/>
          <w:iCs/>
          <w:sz w:val="16"/>
          <w:szCs w:val="16"/>
        </w:rPr>
        <w:footnoteRef/>
      </w:r>
      <w:r w:rsidRPr="00B964D3">
        <w:rPr>
          <w:rFonts w:ascii="Verdana" w:hAnsi="Verdana"/>
          <w:i/>
          <w:iCs/>
          <w:sz w:val="16"/>
          <w:szCs w:val="16"/>
        </w:rPr>
        <w:t xml:space="preserve"> </w:t>
      </w:r>
      <w:r w:rsidRPr="00B964D3">
        <w:rPr>
          <w:rFonts w:ascii="Verdana" w:eastAsia="Times New Roman" w:hAnsi="Verdana" w:cs="Tahoma"/>
          <w:sz w:val="16"/>
          <w:szCs w:val="16"/>
          <w:lang w:val="es-CR" w:eastAsia="es-CR"/>
        </w:rPr>
        <w:t>Art. 25.1 del Reglamento de la Comisión:</w:t>
      </w:r>
      <w:r w:rsidRPr="00B964D3">
        <w:rPr>
          <w:rFonts w:ascii="Verdana" w:eastAsia="Times New Roman" w:hAnsi="Verdana" w:cs="Tahoma"/>
          <w:i/>
          <w:iCs/>
          <w:sz w:val="16"/>
          <w:szCs w:val="16"/>
          <w:lang w:val="es-CR" w:eastAsia="es-CR"/>
        </w:rPr>
        <w:t xml:space="preserve"> “Con fundamento en los artículos 106 de la Carta de la Organización de los Estados Americanos, 41.b de la Convención Americana sobre Derechos Humanos, 18.b del Estatuto de la Comisión y XIII de la Convención Interamericana sobre Desaparición Forzada de Personas, la Comisión podrá, a iniciativa propia o a solicitud de parte, solicitar que un Estado adopte medidas cautelares. Tales medidas, ya sea que guarden o no conexidad con una petición o caso, se relacionarán con situaciones de gravedad y urgencia que presenten un riesgo de daño irreparable a las personas o al objeto de</w:t>
      </w:r>
      <w:r w:rsidRPr="00B964D3">
        <w:rPr>
          <w:rFonts w:ascii="Verdana" w:hAnsi="Verdana" w:cs="Tahoma"/>
          <w:sz w:val="16"/>
          <w:szCs w:val="16"/>
          <w:shd w:val="clear" w:color="auto" w:fill="FFFFFF"/>
        </w:rPr>
        <w:t xml:space="preserve"> </w:t>
      </w:r>
      <w:r w:rsidRPr="00B964D3">
        <w:rPr>
          <w:rFonts w:ascii="Verdana" w:hAnsi="Verdana" w:cs="Tahoma"/>
          <w:i/>
          <w:iCs/>
          <w:sz w:val="16"/>
          <w:szCs w:val="16"/>
          <w:shd w:val="clear" w:color="auto" w:fill="FFFFFF"/>
        </w:rPr>
        <w:t>una petición o caso pendiente ante los órganos del Sistema Interamericano</w:t>
      </w:r>
      <w:r w:rsidRPr="00B964D3">
        <w:rPr>
          <w:rFonts w:ascii="Verdana" w:hAnsi="Verdana" w:cs="Tahoma"/>
          <w:sz w:val="16"/>
          <w:szCs w:val="16"/>
          <w:shd w:val="clear" w:color="auto" w:fill="FFFFFF"/>
        </w:rPr>
        <w:t>.”</w:t>
      </w:r>
    </w:p>
    <w:p w14:paraId="3BE053F2" w14:textId="77777777" w:rsidR="00B515BE" w:rsidRPr="00B964D3" w:rsidRDefault="00B515BE" w:rsidP="00B515BE">
      <w:pPr>
        <w:shd w:val="clear" w:color="auto" w:fill="FFFFFF"/>
        <w:spacing w:after="0" w:line="240" w:lineRule="auto"/>
        <w:jc w:val="both"/>
        <w:rPr>
          <w:rFonts w:ascii="Verdana" w:eastAsia="Times New Roman" w:hAnsi="Verdana" w:cs="Tahoma"/>
          <w:i/>
          <w:iCs/>
          <w:sz w:val="16"/>
          <w:szCs w:val="16"/>
          <w:lang w:val="es-CR" w:eastAsia="es-CR"/>
        </w:rPr>
      </w:pPr>
    </w:p>
  </w:footnote>
  <w:footnote w:id="53">
    <w:p w14:paraId="0CC4F269" w14:textId="149D5701" w:rsidR="006A789C" w:rsidRPr="00B964D3" w:rsidRDefault="006A789C" w:rsidP="00D91FFC">
      <w:pPr>
        <w:spacing w:line="240" w:lineRule="auto"/>
        <w:jc w:val="both"/>
        <w:rPr>
          <w:rFonts w:ascii="Verdana" w:hAnsi="Verdana"/>
          <w:sz w:val="16"/>
          <w:szCs w:val="16"/>
          <w:lang w:val="es-ES"/>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i/>
          <w:iCs/>
          <w:sz w:val="16"/>
          <w:szCs w:val="16"/>
        </w:rPr>
        <w:t>Supra</w:t>
      </w:r>
      <w:r w:rsidRPr="00B964D3">
        <w:rPr>
          <w:rFonts w:ascii="Verdana" w:hAnsi="Verdana"/>
          <w:sz w:val="16"/>
          <w:szCs w:val="16"/>
        </w:rPr>
        <w:t xml:space="preserve"> Nota N° 16.</w:t>
      </w:r>
    </w:p>
  </w:footnote>
  <w:footnote w:id="54">
    <w:p w14:paraId="7A94648E" w14:textId="77777777" w:rsidR="006A789C" w:rsidRPr="00B964D3" w:rsidRDefault="006A789C" w:rsidP="00BB7A19">
      <w:pPr>
        <w:pStyle w:val="Textonotapie"/>
        <w:ind w:left="-567" w:right="-567"/>
        <w:rPr>
          <w:rFonts w:ascii="Verdana" w:hAnsi="Verdana"/>
          <w:sz w:val="16"/>
          <w:szCs w:val="16"/>
          <w:lang w:val="uz-Cyrl-UZ"/>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sz w:val="16"/>
          <w:szCs w:val="16"/>
          <w:lang w:val="uz-Cyrl-UZ"/>
        </w:rPr>
        <w:t>Párr. 2° del Preámbulo de la Convención.</w:t>
      </w:r>
    </w:p>
  </w:footnote>
  <w:footnote w:id="55">
    <w:p w14:paraId="29E2A78E" w14:textId="622997F1" w:rsidR="006A789C" w:rsidRPr="00B964D3" w:rsidRDefault="006A789C" w:rsidP="00546950">
      <w:pPr>
        <w:pStyle w:val="Textonotapie"/>
        <w:ind w:left="-567" w:right="-567"/>
        <w:rPr>
          <w:rFonts w:ascii="Verdana" w:hAnsi="Verdana"/>
          <w:sz w:val="16"/>
          <w:szCs w:val="16"/>
          <w:lang w:val="uz-Cyrl-UZ"/>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sz w:val="16"/>
          <w:szCs w:val="16"/>
          <w:lang w:val="uz-Cyrl-UZ"/>
        </w:rPr>
        <w:t>Resolutivo N° 1</w:t>
      </w:r>
      <w:r w:rsidR="008B0DB7">
        <w:rPr>
          <w:rFonts w:ascii="Verdana" w:hAnsi="Verdana"/>
          <w:sz w:val="16"/>
          <w:szCs w:val="16"/>
          <w:lang w:val="es-MX"/>
        </w:rPr>
        <w:t xml:space="preserve"> de la Resolución</w:t>
      </w:r>
      <w:r w:rsidRPr="00B964D3">
        <w:rPr>
          <w:rFonts w:ascii="Verdana" w:hAnsi="Verdana"/>
          <w:sz w:val="16"/>
          <w:szCs w:val="16"/>
          <w:lang w:val="uz-Cyrl-UZ"/>
        </w:rPr>
        <w:t>.</w:t>
      </w:r>
    </w:p>
    <w:p w14:paraId="7742B1BF" w14:textId="77777777" w:rsidR="006A789C" w:rsidRPr="00B964D3" w:rsidRDefault="006A789C" w:rsidP="00D91FFC">
      <w:pPr>
        <w:pStyle w:val="Textonotapie"/>
        <w:ind w:left="-850" w:right="-567"/>
        <w:rPr>
          <w:rFonts w:ascii="Verdana" w:hAnsi="Verdana"/>
          <w:sz w:val="16"/>
          <w:szCs w:val="16"/>
          <w:lang w:val="uz-Cyrl-UZ"/>
        </w:rPr>
      </w:pPr>
    </w:p>
  </w:footnote>
  <w:footnote w:id="56">
    <w:p w14:paraId="04E02579" w14:textId="7B135ABE" w:rsidR="00546950" w:rsidRPr="00B964D3" w:rsidRDefault="00546950" w:rsidP="00316BE6">
      <w:pPr>
        <w:pStyle w:val="Textonotapie"/>
        <w:ind w:left="-567" w:right="-567"/>
        <w:rPr>
          <w:rFonts w:ascii="Verdana" w:hAnsi="Verdana"/>
          <w:sz w:val="16"/>
          <w:szCs w:val="16"/>
          <w:lang w:val="uz-Cyrl-UZ"/>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sz w:val="16"/>
          <w:szCs w:val="16"/>
          <w:lang w:val="uz-Cyrl-UZ"/>
        </w:rPr>
        <w:t>Párr.</w:t>
      </w:r>
      <w:r w:rsidR="00CA434B" w:rsidRPr="00B964D3">
        <w:rPr>
          <w:rFonts w:ascii="Verdana" w:hAnsi="Verdana"/>
          <w:sz w:val="16"/>
          <w:szCs w:val="16"/>
          <w:lang w:val="uz-Cyrl-UZ"/>
        </w:rPr>
        <w:t xml:space="preserve"> </w:t>
      </w:r>
      <w:r w:rsidR="00C62B79" w:rsidRPr="00B964D3">
        <w:rPr>
          <w:rFonts w:ascii="Verdana" w:hAnsi="Verdana"/>
          <w:sz w:val="16"/>
          <w:szCs w:val="16"/>
          <w:lang w:val="uz-Cyrl-UZ"/>
        </w:rPr>
        <w:t>2 de los Considerandos</w:t>
      </w:r>
      <w:r w:rsidR="008B0DB7">
        <w:rPr>
          <w:rFonts w:ascii="Verdana" w:hAnsi="Verdana"/>
          <w:sz w:val="16"/>
          <w:szCs w:val="16"/>
          <w:lang w:val="es-MX"/>
        </w:rPr>
        <w:t xml:space="preserve"> de la Resolución</w:t>
      </w:r>
      <w:r w:rsidR="00C62B79" w:rsidRPr="00B964D3">
        <w:rPr>
          <w:rFonts w:ascii="Verdana" w:hAnsi="Verdana"/>
          <w:sz w:val="16"/>
          <w:szCs w:val="16"/>
          <w:lang w:val="uz-Cyrl-UZ"/>
        </w:rPr>
        <w:t>.</w:t>
      </w:r>
    </w:p>
    <w:p w14:paraId="7BEA9B53" w14:textId="77777777" w:rsidR="00C62B79" w:rsidRPr="00B964D3" w:rsidRDefault="00C62B79" w:rsidP="00316BE6">
      <w:pPr>
        <w:pStyle w:val="Textonotapie"/>
        <w:ind w:left="-567" w:right="-567"/>
        <w:rPr>
          <w:rFonts w:ascii="Verdana" w:hAnsi="Verdana"/>
          <w:sz w:val="16"/>
          <w:szCs w:val="16"/>
          <w:lang w:val="uz-Cyrl-UZ"/>
        </w:rPr>
      </w:pPr>
    </w:p>
  </w:footnote>
  <w:footnote w:id="57">
    <w:p w14:paraId="7F1E631A" w14:textId="79D1D883" w:rsidR="006A789C" w:rsidRPr="00B964D3" w:rsidRDefault="006A789C" w:rsidP="00316BE6">
      <w:pPr>
        <w:pStyle w:val="Textonotapie"/>
        <w:ind w:left="-567" w:right="-567"/>
        <w:rPr>
          <w:rFonts w:ascii="Verdana" w:hAnsi="Verdana"/>
          <w:sz w:val="16"/>
          <w:szCs w:val="16"/>
          <w:lang w:val="uz-Cyrl-UZ"/>
        </w:rPr>
      </w:pPr>
      <w:r w:rsidRPr="00B964D3">
        <w:rPr>
          <w:rStyle w:val="Refdenotaalpie"/>
          <w:rFonts w:ascii="Verdana" w:hAnsi="Verdana"/>
          <w:sz w:val="16"/>
          <w:szCs w:val="16"/>
        </w:rPr>
        <w:footnoteRef/>
      </w:r>
      <w:r w:rsidRPr="00B964D3">
        <w:rPr>
          <w:rFonts w:ascii="Verdana" w:hAnsi="Verdana"/>
          <w:sz w:val="16"/>
          <w:szCs w:val="16"/>
        </w:rPr>
        <w:t xml:space="preserve"> </w:t>
      </w:r>
      <w:r w:rsidRPr="00B964D3">
        <w:rPr>
          <w:rFonts w:ascii="Verdana" w:hAnsi="Verdana"/>
          <w:sz w:val="16"/>
          <w:szCs w:val="16"/>
          <w:lang w:val="uz-Cyrl-UZ"/>
        </w:rPr>
        <w:t>Párr. N°</w:t>
      </w:r>
      <w:r w:rsidR="00C62B79" w:rsidRPr="00B964D3">
        <w:rPr>
          <w:rFonts w:ascii="Verdana" w:hAnsi="Verdana"/>
          <w:sz w:val="16"/>
          <w:szCs w:val="16"/>
          <w:lang w:val="uz-Cyrl-UZ"/>
        </w:rPr>
        <w:t xml:space="preserve"> 3 de los Considerandos</w:t>
      </w:r>
      <w:r w:rsidR="008B0DB7">
        <w:rPr>
          <w:rFonts w:ascii="Verdana" w:hAnsi="Verdana"/>
          <w:sz w:val="16"/>
          <w:szCs w:val="16"/>
          <w:lang w:val="es-MX"/>
        </w:rPr>
        <w:t xml:space="preserve"> de la Resolución</w:t>
      </w:r>
      <w:r w:rsidR="00A41FE6" w:rsidRPr="00B964D3">
        <w:rPr>
          <w:rFonts w:ascii="Verdana" w:hAnsi="Verdana"/>
          <w:sz w:val="16"/>
          <w:szCs w:val="16"/>
          <w:lang w:val="uz-Cyrl-UZ"/>
        </w:rPr>
        <w:t>.</w:t>
      </w:r>
    </w:p>
    <w:p w14:paraId="4BCCD7A1" w14:textId="77777777" w:rsidR="006A789C" w:rsidRPr="00B964D3" w:rsidRDefault="006A789C" w:rsidP="00316BE6">
      <w:pPr>
        <w:pStyle w:val="Textonotapie"/>
        <w:ind w:left="-567" w:right="-567"/>
        <w:rPr>
          <w:rFonts w:ascii="Verdana" w:hAnsi="Verdana"/>
          <w:sz w:val="16"/>
          <w:szCs w:val="16"/>
          <w:lang w:val="uz-Cyrl-UZ"/>
        </w:rPr>
      </w:pPr>
    </w:p>
  </w:footnote>
  <w:footnote w:id="58">
    <w:p w14:paraId="17E03CB3" w14:textId="77777777" w:rsidR="006A789C" w:rsidRPr="00B964D3" w:rsidRDefault="006A789C" w:rsidP="00316BE6">
      <w:pPr>
        <w:pStyle w:val="Textonotapie"/>
        <w:ind w:left="-567" w:right="-567"/>
        <w:rPr>
          <w:rFonts w:ascii="Verdana" w:hAnsi="Verdana"/>
          <w:sz w:val="16"/>
          <w:szCs w:val="16"/>
          <w:lang w:val="uz-Cyrl-UZ"/>
        </w:rPr>
      </w:pPr>
      <w:r w:rsidRPr="00B964D3">
        <w:rPr>
          <w:rStyle w:val="Refdenotaalpie"/>
          <w:rFonts w:ascii="Verdana" w:hAnsi="Verdana"/>
          <w:sz w:val="16"/>
          <w:szCs w:val="16"/>
        </w:rPr>
        <w:footnoteRef/>
      </w:r>
      <w:r w:rsidRPr="00B964D3">
        <w:rPr>
          <w:rFonts w:ascii="Verdana" w:hAnsi="Verdana"/>
          <w:sz w:val="16"/>
          <w:szCs w:val="16"/>
        </w:rPr>
        <w:t xml:space="preserve"> Segundo </w:t>
      </w:r>
      <w:r w:rsidRPr="00B964D3">
        <w:rPr>
          <w:rFonts w:ascii="Verdana" w:hAnsi="Verdana"/>
          <w:sz w:val="16"/>
          <w:szCs w:val="16"/>
          <w:lang w:val="uz-Cyrl-UZ"/>
        </w:rPr>
        <w:t>Párr. del Preámbulo de la Convención.</w:t>
      </w:r>
    </w:p>
  </w:footnote>
  <w:footnote w:id="59">
    <w:p w14:paraId="3C7A443C" w14:textId="13BA22F5" w:rsidR="006A789C" w:rsidRPr="00B964D3" w:rsidRDefault="006A789C" w:rsidP="009B15E9">
      <w:pPr>
        <w:pStyle w:val="NormalWeb"/>
        <w:spacing w:before="0" w:beforeAutospacing="0" w:after="0" w:afterAutospacing="0"/>
        <w:ind w:left="-567" w:right="-567"/>
        <w:jc w:val="both"/>
        <w:rPr>
          <w:rFonts w:ascii="Verdana" w:hAnsi="Verdana" w:cs="Tahoma"/>
          <w:i/>
          <w:iCs/>
          <w:sz w:val="16"/>
          <w:szCs w:val="16"/>
        </w:rPr>
      </w:pPr>
      <w:r w:rsidRPr="00B964D3">
        <w:rPr>
          <w:rStyle w:val="Refdenotaalpie"/>
          <w:rFonts w:ascii="Verdana" w:hAnsi="Verdana"/>
          <w:i/>
          <w:iCs/>
          <w:sz w:val="16"/>
          <w:szCs w:val="16"/>
        </w:rPr>
        <w:footnoteRef/>
      </w:r>
      <w:r w:rsidRPr="00B964D3">
        <w:rPr>
          <w:rFonts w:ascii="Verdana" w:hAnsi="Verdana"/>
          <w:i/>
          <w:iCs/>
          <w:sz w:val="16"/>
          <w:szCs w:val="16"/>
        </w:rPr>
        <w:t xml:space="preserve"> </w:t>
      </w:r>
      <w:r w:rsidR="009B15E9" w:rsidRPr="00B964D3">
        <w:rPr>
          <w:rFonts w:ascii="Verdana" w:hAnsi="Verdana"/>
          <w:i/>
          <w:iCs/>
          <w:sz w:val="16"/>
          <w:szCs w:val="16"/>
        </w:rPr>
        <w:t xml:space="preserve">Supra, </w:t>
      </w:r>
      <w:r w:rsidR="009B15E9" w:rsidRPr="00B964D3">
        <w:rPr>
          <w:rFonts w:ascii="Verdana" w:hAnsi="Verdana"/>
          <w:sz w:val="16"/>
          <w:szCs w:val="16"/>
        </w:rPr>
        <w:t>Notas N°s 18,19 y 20.</w:t>
      </w:r>
    </w:p>
    <w:p w14:paraId="39988F3C" w14:textId="77777777" w:rsidR="006A789C" w:rsidRPr="00B964D3" w:rsidRDefault="006A789C" w:rsidP="00907144">
      <w:pPr>
        <w:pStyle w:val="NormalWeb"/>
        <w:spacing w:before="90" w:beforeAutospacing="0" w:after="45" w:afterAutospacing="0" w:line="270" w:lineRule="atLeast"/>
        <w:ind w:left="75" w:right="75"/>
        <w:rPr>
          <w:rFonts w:ascii="Verdana" w:hAnsi="Verdana" w:cs="Tahoma"/>
          <w:sz w:val="16"/>
          <w:szCs w:val="16"/>
        </w:rPr>
      </w:pPr>
    </w:p>
    <w:p w14:paraId="2CBBB7AE" w14:textId="77777777" w:rsidR="006A789C" w:rsidRPr="00B964D3" w:rsidRDefault="006A789C" w:rsidP="00907144">
      <w:pPr>
        <w:pStyle w:val="Textonotapie"/>
        <w:rPr>
          <w:rFonts w:ascii="Verdana" w:hAnsi="Verdana"/>
          <w:sz w:val="16"/>
          <w:szCs w:val="16"/>
          <w:lang w:val="uz-Cyrl-U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6F3031"/>
    <w:multiLevelType w:val="hybridMultilevel"/>
    <w:tmpl w:val="C7FA3598"/>
    <w:lvl w:ilvl="0" w:tplc="F8801340">
      <w:start w:val="1"/>
      <w:numFmt w:val="lowerLetter"/>
      <w:lvlText w:val="%1)"/>
      <w:lvlJc w:val="left"/>
      <w:pPr>
        <w:ind w:left="-207" w:hanging="360"/>
      </w:pPr>
      <w:rPr>
        <w:rFonts w:hint="default"/>
      </w:rPr>
    </w:lvl>
    <w:lvl w:ilvl="1" w:tplc="340A0019" w:tentative="1">
      <w:start w:val="1"/>
      <w:numFmt w:val="lowerLetter"/>
      <w:lvlText w:val="%2."/>
      <w:lvlJc w:val="left"/>
      <w:pPr>
        <w:ind w:left="513" w:hanging="360"/>
      </w:pPr>
    </w:lvl>
    <w:lvl w:ilvl="2" w:tplc="340A001B" w:tentative="1">
      <w:start w:val="1"/>
      <w:numFmt w:val="lowerRoman"/>
      <w:lvlText w:val="%3."/>
      <w:lvlJc w:val="right"/>
      <w:pPr>
        <w:ind w:left="1233" w:hanging="180"/>
      </w:pPr>
    </w:lvl>
    <w:lvl w:ilvl="3" w:tplc="340A000F" w:tentative="1">
      <w:start w:val="1"/>
      <w:numFmt w:val="decimal"/>
      <w:lvlText w:val="%4."/>
      <w:lvlJc w:val="left"/>
      <w:pPr>
        <w:ind w:left="1953" w:hanging="360"/>
      </w:pPr>
    </w:lvl>
    <w:lvl w:ilvl="4" w:tplc="340A0019" w:tentative="1">
      <w:start w:val="1"/>
      <w:numFmt w:val="lowerLetter"/>
      <w:lvlText w:val="%5."/>
      <w:lvlJc w:val="left"/>
      <w:pPr>
        <w:ind w:left="2673" w:hanging="360"/>
      </w:pPr>
    </w:lvl>
    <w:lvl w:ilvl="5" w:tplc="340A001B" w:tentative="1">
      <w:start w:val="1"/>
      <w:numFmt w:val="lowerRoman"/>
      <w:lvlText w:val="%6."/>
      <w:lvlJc w:val="right"/>
      <w:pPr>
        <w:ind w:left="3393" w:hanging="180"/>
      </w:pPr>
    </w:lvl>
    <w:lvl w:ilvl="6" w:tplc="340A000F" w:tentative="1">
      <w:start w:val="1"/>
      <w:numFmt w:val="decimal"/>
      <w:lvlText w:val="%7."/>
      <w:lvlJc w:val="left"/>
      <w:pPr>
        <w:ind w:left="4113" w:hanging="360"/>
      </w:pPr>
    </w:lvl>
    <w:lvl w:ilvl="7" w:tplc="340A0019" w:tentative="1">
      <w:start w:val="1"/>
      <w:numFmt w:val="lowerLetter"/>
      <w:lvlText w:val="%8."/>
      <w:lvlJc w:val="left"/>
      <w:pPr>
        <w:ind w:left="4833" w:hanging="360"/>
      </w:pPr>
    </w:lvl>
    <w:lvl w:ilvl="8" w:tplc="340A001B" w:tentative="1">
      <w:start w:val="1"/>
      <w:numFmt w:val="lowerRoman"/>
      <w:lvlText w:val="%9."/>
      <w:lvlJc w:val="right"/>
      <w:pPr>
        <w:ind w:left="5553" w:hanging="180"/>
      </w:pPr>
    </w:lvl>
  </w:abstractNum>
  <w:abstractNum w:abstractNumId="1" w15:restartNumberingAfterBreak="0">
    <w:nsid w:val="1A334249"/>
    <w:multiLevelType w:val="hybridMultilevel"/>
    <w:tmpl w:val="D8EA1E52"/>
    <w:lvl w:ilvl="0" w:tplc="140A000F">
      <w:start w:val="1"/>
      <w:numFmt w:val="decimal"/>
      <w:lvlText w:val="%1."/>
      <w:lvlJc w:val="left"/>
      <w:pPr>
        <w:ind w:left="720" w:hanging="360"/>
      </w:pPr>
      <w:rPr>
        <w:sz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15:restartNumberingAfterBreak="0">
    <w:nsid w:val="1B432028"/>
    <w:multiLevelType w:val="hybridMultilevel"/>
    <w:tmpl w:val="692E8CF2"/>
    <w:lvl w:ilvl="0" w:tplc="A1187F62">
      <w:start w:val="1"/>
      <w:numFmt w:val="lowerLetter"/>
      <w:lvlText w:val="%1)"/>
      <w:lvlJc w:val="left"/>
      <w:pPr>
        <w:ind w:left="210" w:hanging="360"/>
      </w:pPr>
      <w:rPr>
        <w:i w:val="0"/>
        <w:iCs w:val="0"/>
      </w:rPr>
    </w:lvl>
    <w:lvl w:ilvl="1" w:tplc="140A0019" w:tentative="1">
      <w:start w:val="1"/>
      <w:numFmt w:val="lowerLetter"/>
      <w:lvlText w:val="%2."/>
      <w:lvlJc w:val="left"/>
      <w:pPr>
        <w:ind w:left="930" w:hanging="360"/>
      </w:pPr>
    </w:lvl>
    <w:lvl w:ilvl="2" w:tplc="140A001B" w:tentative="1">
      <w:start w:val="1"/>
      <w:numFmt w:val="lowerRoman"/>
      <w:lvlText w:val="%3."/>
      <w:lvlJc w:val="right"/>
      <w:pPr>
        <w:ind w:left="1650" w:hanging="180"/>
      </w:pPr>
    </w:lvl>
    <w:lvl w:ilvl="3" w:tplc="140A000F" w:tentative="1">
      <w:start w:val="1"/>
      <w:numFmt w:val="decimal"/>
      <w:lvlText w:val="%4."/>
      <w:lvlJc w:val="left"/>
      <w:pPr>
        <w:ind w:left="2370" w:hanging="360"/>
      </w:pPr>
    </w:lvl>
    <w:lvl w:ilvl="4" w:tplc="140A0019" w:tentative="1">
      <w:start w:val="1"/>
      <w:numFmt w:val="lowerLetter"/>
      <w:lvlText w:val="%5."/>
      <w:lvlJc w:val="left"/>
      <w:pPr>
        <w:ind w:left="3090" w:hanging="360"/>
      </w:pPr>
    </w:lvl>
    <w:lvl w:ilvl="5" w:tplc="140A001B" w:tentative="1">
      <w:start w:val="1"/>
      <w:numFmt w:val="lowerRoman"/>
      <w:lvlText w:val="%6."/>
      <w:lvlJc w:val="right"/>
      <w:pPr>
        <w:ind w:left="3810" w:hanging="180"/>
      </w:pPr>
    </w:lvl>
    <w:lvl w:ilvl="6" w:tplc="140A000F" w:tentative="1">
      <w:start w:val="1"/>
      <w:numFmt w:val="decimal"/>
      <w:lvlText w:val="%7."/>
      <w:lvlJc w:val="left"/>
      <w:pPr>
        <w:ind w:left="4530" w:hanging="360"/>
      </w:pPr>
    </w:lvl>
    <w:lvl w:ilvl="7" w:tplc="140A0019" w:tentative="1">
      <w:start w:val="1"/>
      <w:numFmt w:val="lowerLetter"/>
      <w:lvlText w:val="%8."/>
      <w:lvlJc w:val="left"/>
      <w:pPr>
        <w:ind w:left="5250" w:hanging="360"/>
      </w:pPr>
    </w:lvl>
    <w:lvl w:ilvl="8" w:tplc="140A001B" w:tentative="1">
      <w:start w:val="1"/>
      <w:numFmt w:val="lowerRoman"/>
      <w:lvlText w:val="%9."/>
      <w:lvlJc w:val="right"/>
      <w:pPr>
        <w:ind w:left="5970" w:hanging="180"/>
      </w:pPr>
    </w:lvl>
  </w:abstractNum>
  <w:abstractNum w:abstractNumId="3" w15:restartNumberingAfterBreak="0">
    <w:nsid w:val="4688207F"/>
    <w:multiLevelType w:val="hybridMultilevel"/>
    <w:tmpl w:val="E348E25C"/>
    <w:lvl w:ilvl="0" w:tplc="8B06F2BC">
      <w:start w:val="1"/>
      <w:numFmt w:val="upperRoman"/>
      <w:lvlText w:val="%1."/>
      <w:lvlJc w:val="left"/>
      <w:pPr>
        <w:ind w:left="1080" w:hanging="720"/>
      </w:pPr>
      <w:rPr>
        <w:rFonts w:hint="default"/>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484D01D0"/>
    <w:multiLevelType w:val="hybridMultilevel"/>
    <w:tmpl w:val="42E4A714"/>
    <w:lvl w:ilvl="0" w:tplc="4A00582C">
      <w:start w:val="1"/>
      <w:numFmt w:val="upperLetter"/>
      <w:lvlText w:val="%1."/>
      <w:lvlJc w:val="left"/>
      <w:pPr>
        <w:ind w:left="720" w:hanging="360"/>
      </w:pPr>
      <w:rPr>
        <w:rFonts w:hint="default"/>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4E347325"/>
    <w:multiLevelType w:val="hybridMultilevel"/>
    <w:tmpl w:val="CF58E66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503A10ED"/>
    <w:multiLevelType w:val="hybridMultilevel"/>
    <w:tmpl w:val="2D22F418"/>
    <w:lvl w:ilvl="0" w:tplc="4AEEDCB2">
      <w:start w:val="1"/>
      <w:numFmt w:val="decimal"/>
      <w:lvlText w:val="%1."/>
      <w:lvlJc w:val="left"/>
      <w:pPr>
        <w:ind w:left="360" w:hanging="360"/>
      </w:pPr>
      <w:rPr>
        <w:b w:val="0"/>
        <w:bCs w:val="0"/>
        <w:i w:val="0"/>
        <w:iCs w:val="0"/>
        <w:strike w:val="0"/>
        <w:sz w:val="20"/>
        <w:szCs w:val="20"/>
        <w:vertAlign w:val="baseline"/>
      </w:rPr>
    </w:lvl>
    <w:lvl w:ilvl="1" w:tplc="140A0019" w:tentative="1">
      <w:start w:val="1"/>
      <w:numFmt w:val="lowerLetter"/>
      <w:lvlText w:val="%2."/>
      <w:lvlJc w:val="left"/>
      <w:pPr>
        <w:ind w:left="873" w:hanging="360"/>
      </w:pPr>
    </w:lvl>
    <w:lvl w:ilvl="2" w:tplc="140A001B" w:tentative="1">
      <w:start w:val="1"/>
      <w:numFmt w:val="lowerRoman"/>
      <w:lvlText w:val="%3."/>
      <w:lvlJc w:val="right"/>
      <w:pPr>
        <w:ind w:left="1593" w:hanging="180"/>
      </w:pPr>
    </w:lvl>
    <w:lvl w:ilvl="3" w:tplc="140A000F" w:tentative="1">
      <w:start w:val="1"/>
      <w:numFmt w:val="decimal"/>
      <w:lvlText w:val="%4."/>
      <w:lvlJc w:val="left"/>
      <w:pPr>
        <w:ind w:left="2313" w:hanging="360"/>
      </w:pPr>
    </w:lvl>
    <w:lvl w:ilvl="4" w:tplc="140A0019" w:tentative="1">
      <w:start w:val="1"/>
      <w:numFmt w:val="lowerLetter"/>
      <w:lvlText w:val="%5."/>
      <w:lvlJc w:val="left"/>
      <w:pPr>
        <w:ind w:left="3033" w:hanging="360"/>
      </w:pPr>
    </w:lvl>
    <w:lvl w:ilvl="5" w:tplc="140A001B" w:tentative="1">
      <w:start w:val="1"/>
      <w:numFmt w:val="lowerRoman"/>
      <w:lvlText w:val="%6."/>
      <w:lvlJc w:val="right"/>
      <w:pPr>
        <w:ind w:left="3753" w:hanging="180"/>
      </w:pPr>
    </w:lvl>
    <w:lvl w:ilvl="6" w:tplc="140A000F" w:tentative="1">
      <w:start w:val="1"/>
      <w:numFmt w:val="decimal"/>
      <w:lvlText w:val="%7."/>
      <w:lvlJc w:val="left"/>
      <w:pPr>
        <w:ind w:left="4473" w:hanging="360"/>
      </w:pPr>
    </w:lvl>
    <w:lvl w:ilvl="7" w:tplc="140A0019" w:tentative="1">
      <w:start w:val="1"/>
      <w:numFmt w:val="lowerLetter"/>
      <w:lvlText w:val="%8."/>
      <w:lvlJc w:val="left"/>
      <w:pPr>
        <w:ind w:left="5193" w:hanging="360"/>
      </w:pPr>
    </w:lvl>
    <w:lvl w:ilvl="8" w:tplc="140A001B" w:tentative="1">
      <w:start w:val="1"/>
      <w:numFmt w:val="lowerRoman"/>
      <w:lvlText w:val="%9."/>
      <w:lvlJc w:val="right"/>
      <w:pPr>
        <w:ind w:left="5913" w:hanging="180"/>
      </w:pPr>
    </w:lvl>
  </w:abstractNum>
  <w:abstractNum w:abstractNumId="7" w15:restartNumberingAfterBreak="0">
    <w:nsid w:val="647B02BA"/>
    <w:multiLevelType w:val="hybridMultilevel"/>
    <w:tmpl w:val="75362850"/>
    <w:lvl w:ilvl="0" w:tplc="140A0017">
      <w:start w:val="1"/>
      <w:numFmt w:val="lowerLetter"/>
      <w:lvlText w:val="%1)"/>
      <w:lvlJc w:val="left"/>
      <w:pPr>
        <w:ind w:left="-207" w:hanging="360"/>
      </w:pPr>
      <w:rPr>
        <w:rFonts w:hint="default"/>
      </w:rPr>
    </w:lvl>
    <w:lvl w:ilvl="1" w:tplc="340A0019" w:tentative="1">
      <w:start w:val="1"/>
      <w:numFmt w:val="lowerLetter"/>
      <w:lvlText w:val="%2."/>
      <w:lvlJc w:val="left"/>
      <w:pPr>
        <w:ind w:left="513" w:hanging="360"/>
      </w:pPr>
    </w:lvl>
    <w:lvl w:ilvl="2" w:tplc="340A001B" w:tentative="1">
      <w:start w:val="1"/>
      <w:numFmt w:val="lowerRoman"/>
      <w:lvlText w:val="%3."/>
      <w:lvlJc w:val="right"/>
      <w:pPr>
        <w:ind w:left="1233" w:hanging="180"/>
      </w:pPr>
    </w:lvl>
    <w:lvl w:ilvl="3" w:tplc="340A000F" w:tentative="1">
      <w:start w:val="1"/>
      <w:numFmt w:val="decimal"/>
      <w:lvlText w:val="%4."/>
      <w:lvlJc w:val="left"/>
      <w:pPr>
        <w:ind w:left="1953" w:hanging="360"/>
      </w:pPr>
    </w:lvl>
    <w:lvl w:ilvl="4" w:tplc="340A0019" w:tentative="1">
      <w:start w:val="1"/>
      <w:numFmt w:val="lowerLetter"/>
      <w:lvlText w:val="%5."/>
      <w:lvlJc w:val="left"/>
      <w:pPr>
        <w:ind w:left="2673" w:hanging="360"/>
      </w:pPr>
    </w:lvl>
    <w:lvl w:ilvl="5" w:tplc="340A001B" w:tentative="1">
      <w:start w:val="1"/>
      <w:numFmt w:val="lowerRoman"/>
      <w:lvlText w:val="%6."/>
      <w:lvlJc w:val="right"/>
      <w:pPr>
        <w:ind w:left="3393" w:hanging="180"/>
      </w:pPr>
    </w:lvl>
    <w:lvl w:ilvl="6" w:tplc="340A000F" w:tentative="1">
      <w:start w:val="1"/>
      <w:numFmt w:val="decimal"/>
      <w:lvlText w:val="%7."/>
      <w:lvlJc w:val="left"/>
      <w:pPr>
        <w:ind w:left="4113" w:hanging="360"/>
      </w:pPr>
    </w:lvl>
    <w:lvl w:ilvl="7" w:tplc="340A0019" w:tentative="1">
      <w:start w:val="1"/>
      <w:numFmt w:val="lowerLetter"/>
      <w:lvlText w:val="%8."/>
      <w:lvlJc w:val="left"/>
      <w:pPr>
        <w:ind w:left="4833" w:hanging="360"/>
      </w:pPr>
    </w:lvl>
    <w:lvl w:ilvl="8" w:tplc="340A001B" w:tentative="1">
      <w:start w:val="1"/>
      <w:numFmt w:val="lowerRoman"/>
      <w:lvlText w:val="%9."/>
      <w:lvlJc w:val="right"/>
      <w:pPr>
        <w:ind w:left="5553" w:hanging="180"/>
      </w:pPr>
    </w:lvl>
  </w:abstractNum>
  <w:num w:numId="1">
    <w:abstractNumId w:val="6"/>
  </w:num>
  <w:num w:numId="2">
    <w:abstractNumId w:val="2"/>
  </w:num>
  <w:num w:numId="3">
    <w:abstractNumId w:val="4"/>
  </w:num>
  <w:num w:numId="4">
    <w:abstractNumId w:val="5"/>
  </w:num>
  <w:num w:numId="5">
    <w:abstractNumId w:val="3"/>
  </w:num>
  <w:num w:numId="6">
    <w:abstractNumId w:val="0"/>
  </w:num>
  <w:num w:numId="7">
    <w:abstractNumId w:val="7"/>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144"/>
    <w:rsid w:val="00043D93"/>
    <w:rsid w:val="000B0A36"/>
    <w:rsid w:val="000B1121"/>
    <w:rsid w:val="000F7E79"/>
    <w:rsid w:val="00107355"/>
    <w:rsid w:val="00121680"/>
    <w:rsid w:val="00154F4C"/>
    <w:rsid w:val="001938D1"/>
    <w:rsid w:val="00236ABC"/>
    <w:rsid w:val="00246014"/>
    <w:rsid w:val="00291457"/>
    <w:rsid w:val="002A05D1"/>
    <w:rsid w:val="002A3295"/>
    <w:rsid w:val="002D76AD"/>
    <w:rsid w:val="00316BE6"/>
    <w:rsid w:val="00324D2C"/>
    <w:rsid w:val="003619D7"/>
    <w:rsid w:val="003D6601"/>
    <w:rsid w:val="003F4BF4"/>
    <w:rsid w:val="004C28CB"/>
    <w:rsid w:val="004E4051"/>
    <w:rsid w:val="00512CA8"/>
    <w:rsid w:val="00535F22"/>
    <w:rsid w:val="00546950"/>
    <w:rsid w:val="0054708B"/>
    <w:rsid w:val="005557E0"/>
    <w:rsid w:val="00585298"/>
    <w:rsid w:val="00595C6B"/>
    <w:rsid w:val="005C1EA6"/>
    <w:rsid w:val="005C6EAC"/>
    <w:rsid w:val="005D7C1F"/>
    <w:rsid w:val="00623931"/>
    <w:rsid w:val="006301D0"/>
    <w:rsid w:val="006A789C"/>
    <w:rsid w:val="006B7AC4"/>
    <w:rsid w:val="006D65B8"/>
    <w:rsid w:val="007877CB"/>
    <w:rsid w:val="00797D3B"/>
    <w:rsid w:val="0080358F"/>
    <w:rsid w:val="00836763"/>
    <w:rsid w:val="008410FB"/>
    <w:rsid w:val="008A115B"/>
    <w:rsid w:val="008B0DB7"/>
    <w:rsid w:val="00901AC4"/>
    <w:rsid w:val="00907144"/>
    <w:rsid w:val="00933ABA"/>
    <w:rsid w:val="00974E2F"/>
    <w:rsid w:val="009B0004"/>
    <w:rsid w:val="009B15E9"/>
    <w:rsid w:val="009C2658"/>
    <w:rsid w:val="009E6C61"/>
    <w:rsid w:val="00A41FE6"/>
    <w:rsid w:val="00A440DE"/>
    <w:rsid w:val="00A63291"/>
    <w:rsid w:val="00A70C17"/>
    <w:rsid w:val="00A86672"/>
    <w:rsid w:val="00A869EF"/>
    <w:rsid w:val="00AB655A"/>
    <w:rsid w:val="00AE791B"/>
    <w:rsid w:val="00B113D3"/>
    <w:rsid w:val="00B44FD2"/>
    <w:rsid w:val="00B45C45"/>
    <w:rsid w:val="00B515BE"/>
    <w:rsid w:val="00B54003"/>
    <w:rsid w:val="00B8510E"/>
    <w:rsid w:val="00B964D3"/>
    <w:rsid w:val="00BB22E6"/>
    <w:rsid w:val="00BB78A0"/>
    <w:rsid w:val="00BB7A19"/>
    <w:rsid w:val="00C20C3C"/>
    <w:rsid w:val="00C26673"/>
    <w:rsid w:val="00C62B79"/>
    <w:rsid w:val="00CA434B"/>
    <w:rsid w:val="00CC0EAB"/>
    <w:rsid w:val="00D00940"/>
    <w:rsid w:val="00D66F6E"/>
    <w:rsid w:val="00D72556"/>
    <w:rsid w:val="00D91FFC"/>
    <w:rsid w:val="00DC7C52"/>
    <w:rsid w:val="00DD6EF2"/>
    <w:rsid w:val="00DE420A"/>
    <w:rsid w:val="00DF1B90"/>
    <w:rsid w:val="00E620B6"/>
    <w:rsid w:val="00E85EEB"/>
    <w:rsid w:val="00E862DC"/>
    <w:rsid w:val="00EA06FD"/>
    <w:rsid w:val="00EC6AB4"/>
    <w:rsid w:val="00EE1400"/>
    <w:rsid w:val="00F05967"/>
    <w:rsid w:val="00F9018D"/>
    <w:rsid w:val="00F94DC8"/>
    <w:rsid w:val="00FC323A"/>
    <w:rsid w:val="00FF46DC"/>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57648A"/>
  <w15:docId w15:val="{F846191D-EB11-434D-A489-7A3CF2C7A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160" w:line="259" w:lineRule="auto"/>
        <w:ind w:left="-567" w:right="-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14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ootnote text,Ca,FA Fu Car1,Ca Car,C"/>
    <w:basedOn w:val="Normal"/>
    <w:link w:val="TextonotapieCar"/>
    <w:uiPriority w:val="99"/>
    <w:unhideWhenUsed/>
    <w:qFormat/>
    <w:rsid w:val="00907144"/>
    <w:pPr>
      <w:spacing w:after="0" w:line="240" w:lineRule="auto"/>
      <w:ind w:left="-357" w:right="0"/>
      <w:jc w:val="both"/>
    </w:pPr>
    <w:rPr>
      <w:sz w:val="20"/>
      <w:szCs w:val="20"/>
    </w:rPr>
  </w:style>
  <w:style w:type="character" w:customStyle="1" w:styleId="TextonotapieCar">
    <w:name w:val="Texto nota pie Car"/>
    <w:aliases w:val="FA Fu Car,Footnote Text Char Char Char Char Char Car,Footnote Text Char Char Char Char Car,Footnote reference Car,Footnote Text Char Char Char Car,Footnote Text Cha Car,FA Fußnotentext Car,FA Fuﬂnotentext Car,footnote text Car,Ca Car1"/>
    <w:basedOn w:val="Fuentedeprrafopredeter"/>
    <w:link w:val="Textonotapie"/>
    <w:uiPriority w:val="99"/>
    <w:qFormat/>
    <w:rsid w:val="00907144"/>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907144"/>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07144"/>
    <w:pPr>
      <w:widowControl w:val="0"/>
      <w:adjustRightInd w:val="0"/>
      <w:spacing w:after="0" w:line="240" w:lineRule="auto"/>
      <w:ind w:left="0" w:right="0"/>
      <w:jc w:val="both"/>
      <w:textAlignment w:val="baseline"/>
    </w:pPr>
    <w:rPr>
      <w:vertAlign w:val="superscript"/>
    </w:rPr>
  </w:style>
  <w:style w:type="paragraph" w:styleId="Piedepgina">
    <w:name w:val="footer"/>
    <w:basedOn w:val="Normal"/>
    <w:link w:val="PiedepginaCar"/>
    <w:uiPriority w:val="99"/>
    <w:unhideWhenUsed/>
    <w:rsid w:val="00907144"/>
    <w:pPr>
      <w:tabs>
        <w:tab w:val="center" w:pos="4419"/>
        <w:tab w:val="right" w:pos="8838"/>
      </w:tabs>
      <w:spacing w:after="0" w:line="240" w:lineRule="auto"/>
      <w:ind w:left="-357" w:right="0"/>
      <w:jc w:val="both"/>
    </w:pPr>
  </w:style>
  <w:style w:type="character" w:customStyle="1" w:styleId="PiedepginaCar">
    <w:name w:val="Pie de página Car"/>
    <w:basedOn w:val="Fuentedeprrafopredeter"/>
    <w:link w:val="Piedepgina"/>
    <w:uiPriority w:val="99"/>
    <w:rsid w:val="00907144"/>
  </w:style>
  <w:style w:type="paragraph" w:styleId="Prrafodelista">
    <w:name w:val="List Paragraph"/>
    <w:aliases w:val="Footnote,List Paragraph1,Colorful List - Accent 11,Párrafo de lista1"/>
    <w:basedOn w:val="Normal"/>
    <w:link w:val="PrrafodelistaCar"/>
    <w:uiPriority w:val="34"/>
    <w:qFormat/>
    <w:rsid w:val="00907144"/>
    <w:pPr>
      <w:ind w:left="720"/>
      <w:contextualSpacing/>
    </w:pPr>
  </w:style>
  <w:style w:type="paragraph" w:styleId="NormalWeb">
    <w:name w:val="Normal (Web)"/>
    <w:basedOn w:val="Normal"/>
    <w:uiPriority w:val="99"/>
    <w:unhideWhenUsed/>
    <w:rsid w:val="00907144"/>
    <w:pPr>
      <w:spacing w:before="100" w:beforeAutospacing="1" w:after="100" w:afterAutospacing="1" w:line="240" w:lineRule="auto"/>
      <w:ind w:left="0" w:right="0"/>
    </w:pPr>
    <w:rPr>
      <w:rFonts w:ascii="Times New Roman" w:eastAsia="Times New Roman" w:hAnsi="Times New Roman" w:cs="Times New Roman"/>
      <w:sz w:val="24"/>
      <w:szCs w:val="24"/>
      <w:lang w:val="es-CR" w:eastAsia="es-CR"/>
    </w:rPr>
  </w:style>
  <w:style w:type="character" w:customStyle="1" w:styleId="PrrafodelistaCar">
    <w:name w:val="Párrafo de lista Car"/>
    <w:aliases w:val="Footnote Car,List Paragraph1 Car,Colorful List - Accent 11 Car,Párrafo de lista1 Car"/>
    <w:link w:val="Prrafodelista"/>
    <w:uiPriority w:val="34"/>
    <w:locked/>
    <w:rsid w:val="00F05967"/>
  </w:style>
  <w:style w:type="paragraph" w:styleId="Textodeglobo">
    <w:name w:val="Balloon Text"/>
    <w:basedOn w:val="Normal"/>
    <w:link w:val="TextodegloboCar"/>
    <w:uiPriority w:val="99"/>
    <w:semiHidden/>
    <w:unhideWhenUsed/>
    <w:rsid w:val="0062393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3931"/>
    <w:rPr>
      <w:rFonts w:ascii="Segoe UI" w:hAnsi="Segoe UI" w:cs="Segoe UI"/>
      <w:sz w:val="18"/>
      <w:szCs w:val="18"/>
    </w:rPr>
  </w:style>
  <w:style w:type="paragraph" w:styleId="Revisin">
    <w:name w:val="Revision"/>
    <w:hidden/>
    <w:uiPriority w:val="99"/>
    <w:semiHidden/>
    <w:rsid w:val="00A869EF"/>
    <w:pPr>
      <w:spacing w:after="0" w:line="240" w:lineRule="auto"/>
      <w:ind w:left="0"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C303F-27EA-47AF-A5F1-11511CC47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5079</Words>
  <Characters>27024</Characters>
  <Application>Microsoft Office Word</Application>
  <DocSecurity>0</DocSecurity>
  <Lines>482</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dc:description/>
  <cp:lastModifiedBy>Liliana Tojo</cp:lastModifiedBy>
  <cp:revision>2</cp:revision>
  <dcterms:created xsi:type="dcterms:W3CDTF">2020-08-13T17:48:00Z</dcterms:created>
  <dcterms:modified xsi:type="dcterms:W3CDTF">2020-08-13T17:48:00Z</dcterms:modified>
</cp:coreProperties>
</file>