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B634B" w14:textId="77777777" w:rsidR="00524687" w:rsidRDefault="00524687" w:rsidP="00C26AFC">
      <w:pPr>
        <w:jc w:val="center"/>
        <w:rPr>
          <w:rFonts w:ascii="Verdana" w:hAnsi="Verdana"/>
          <w:b/>
          <w:sz w:val="20"/>
          <w:szCs w:val="20"/>
          <w:lang w:val="es-MX"/>
        </w:rPr>
      </w:pPr>
    </w:p>
    <w:p w14:paraId="0FAD0911" w14:textId="77777777" w:rsidR="00524687" w:rsidRDefault="00524687" w:rsidP="00C26AFC">
      <w:pPr>
        <w:jc w:val="center"/>
        <w:rPr>
          <w:rFonts w:ascii="Verdana" w:hAnsi="Verdana"/>
          <w:b/>
          <w:sz w:val="20"/>
          <w:szCs w:val="20"/>
          <w:lang w:val="es-MX"/>
        </w:rPr>
      </w:pPr>
    </w:p>
    <w:p w14:paraId="7C419C53" w14:textId="77777777" w:rsidR="00524687" w:rsidRDefault="00524687" w:rsidP="00C26AFC">
      <w:pPr>
        <w:jc w:val="center"/>
        <w:rPr>
          <w:rFonts w:ascii="Verdana" w:hAnsi="Verdana"/>
          <w:b/>
          <w:sz w:val="20"/>
          <w:szCs w:val="20"/>
          <w:lang w:val="es-MX"/>
        </w:rPr>
      </w:pPr>
    </w:p>
    <w:p w14:paraId="609AA403" w14:textId="77777777" w:rsidR="00C26AFC" w:rsidRPr="00B1646C" w:rsidRDefault="00C26AFC" w:rsidP="00C26AFC">
      <w:pPr>
        <w:jc w:val="center"/>
        <w:rPr>
          <w:rFonts w:ascii="Verdana" w:hAnsi="Verdana"/>
          <w:b/>
          <w:sz w:val="20"/>
          <w:szCs w:val="20"/>
          <w:lang w:val="es-MX"/>
        </w:rPr>
      </w:pPr>
      <w:r w:rsidRPr="00B1646C">
        <w:rPr>
          <w:rFonts w:ascii="Verdana" w:hAnsi="Verdana"/>
          <w:b/>
          <w:sz w:val="20"/>
          <w:szCs w:val="20"/>
          <w:lang w:val="es-MX"/>
        </w:rPr>
        <w:t xml:space="preserve">RESOLUCIÓN DE LA PRESIDENTA DE LA </w:t>
      </w:r>
    </w:p>
    <w:p w14:paraId="2793014D" w14:textId="77777777" w:rsidR="009376EC" w:rsidRPr="00B1646C" w:rsidRDefault="00C26AFC" w:rsidP="00C26AFC">
      <w:pPr>
        <w:jc w:val="center"/>
        <w:rPr>
          <w:rFonts w:ascii="Verdana" w:hAnsi="Verdana"/>
          <w:b/>
          <w:sz w:val="20"/>
          <w:szCs w:val="20"/>
          <w:lang w:val="es-MX"/>
        </w:rPr>
      </w:pPr>
      <w:r w:rsidRPr="00B1646C">
        <w:rPr>
          <w:rFonts w:ascii="Verdana" w:hAnsi="Verdana"/>
          <w:b/>
          <w:sz w:val="20"/>
          <w:szCs w:val="20"/>
          <w:lang w:val="es-MX"/>
        </w:rPr>
        <w:t>CORTE INTERAMERICANA DE DERECHOS HUMANOS</w:t>
      </w:r>
    </w:p>
    <w:p w14:paraId="4DA5A443" w14:textId="77777777" w:rsidR="00C26AFC" w:rsidRPr="00B1646C" w:rsidRDefault="00C26AFC" w:rsidP="00C26AFC">
      <w:pPr>
        <w:jc w:val="center"/>
        <w:rPr>
          <w:rFonts w:ascii="Verdana" w:hAnsi="Verdana"/>
          <w:b/>
          <w:sz w:val="20"/>
          <w:szCs w:val="20"/>
          <w:lang w:val="es-MX"/>
        </w:rPr>
      </w:pPr>
    </w:p>
    <w:p w14:paraId="669B8E81" w14:textId="04226705" w:rsidR="00C26AFC" w:rsidRPr="00B1646C" w:rsidRDefault="00991297" w:rsidP="00C26AFC">
      <w:pPr>
        <w:jc w:val="center"/>
        <w:rPr>
          <w:rFonts w:ascii="Verdana" w:hAnsi="Verdana"/>
          <w:b/>
          <w:sz w:val="20"/>
          <w:szCs w:val="20"/>
          <w:lang w:val="es-MX"/>
        </w:rPr>
      </w:pPr>
      <w:r>
        <w:rPr>
          <w:rFonts w:ascii="Verdana" w:hAnsi="Verdana"/>
          <w:b/>
          <w:sz w:val="20"/>
          <w:szCs w:val="20"/>
          <w:lang w:val="es-MX"/>
        </w:rPr>
        <w:t>30</w:t>
      </w:r>
      <w:r w:rsidR="00B54B53">
        <w:rPr>
          <w:rFonts w:ascii="Verdana" w:hAnsi="Verdana"/>
          <w:b/>
          <w:sz w:val="20"/>
          <w:szCs w:val="20"/>
          <w:lang w:val="es-MX"/>
        </w:rPr>
        <w:t xml:space="preserve"> DE JUL</w:t>
      </w:r>
      <w:r w:rsidR="00C26AFC" w:rsidRPr="00B1646C">
        <w:rPr>
          <w:rFonts w:ascii="Verdana" w:hAnsi="Verdana"/>
          <w:b/>
          <w:sz w:val="20"/>
          <w:szCs w:val="20"/>
          <w:lang w:val="es-MX"/>
        </w:rPr>
        <w:t>IO DE 2020</w:t>
      </w:r>
    </w:p>
    <w:p w14:paraId="78B6E7D7" w14:textId="77777777" w:rsidR="00C26AFC" w:rsidRPr="00B1646C" w:rsidRDefault="00C26AFC" w:rsidP="00C26AFC">
      <w:pPr>
        <w:jc w:val="center"/>
        <w:rPr>
          <w:rFonts w:ascii="Verdana" w:hAnsi="Verdana"/>
          <w:b/>
          <w:sz w:val="20"/>
          <w:szCs w:val="20"/>
          <w:lang w:val="es-MX"/>
        </w:rPr>
      </w:pPr>
    </w:p>
    <w:p w14:paraId="1BE92269" w14:textId="77777777" w:rsidR="00C26AFC" w:rsidRPr="00B1646C" w:rsidRDefault="00C26AFC" w:rsidP="00C26AFC">
      <w:pPr>
        <w:jc w:val="center"/>
        <w:rPr>
          <w:rFonts w:ascii="Verdana" w:hAnsi="Verdana"/>
          <w:b/>
          <w:sz w:val="20"/>
          <w:szCs w:val="20"/>
          <w:lang w:val="es-MX"/>
        </w:rPr>
      </w:pPr>
      <w:r w:rsidRPr="00B1646C">
        <w:rPr>
          <w:rFonts w:ascii="Verdana" w:hAnsi="Verdana"/>
          <w:b/>
          <w:sz w:val="20"/>
          <w:szCs w:val="20"/>
          <w:lang w:val="es-MX"/>
        </w:rPr>
        <w:t>CASO ALMEIDA VS. ARGENTINA</w:t>
      </w:r>
    </w:p>
    <w:p w14:paraId="59D9E0FF" w14:textId="77777777" w:rsidR="00C26AFC" w:rsidRPr="00B1646C" w:rsidRDefault="00C26AFC" w:rsidP="00C26AFC">
      <w:pPr>
        <w:jc w:val="center"/>
        <w:rPr>
          <w:rFonts w:ascii="Verdana" w:hAnsi="Verdana"/>
          <w:b/>
          <w:sz w:val="20"/>
          <w:szCs w:val="20"/>
          <w:lang w:val="es-MX"/>
        </w:rPr>
      </w:pPr>
    </w:p>
    <w:p w14:paraId="16998216" w14:textId="77777777" w:rsidR="00C26AFC" w:rsidRPr="00B1646C" w:rsidRDefault="00C26AFC" w:rsidP="00C26AFC">
      <w:pPr>
        <w:jc w:val="both"/>
        <w:rPr>
          <w:rFonts w:ascii="Verdana" w:hAnsi="Verdana"/>
          <w:b/>
          <w:sz w:val="20"/>
          <w:szCs w:val="20"/>
          <w:lang w:val="es-MX"/>
        </w:rPr>
      </w:pPr>
      <w:r w:rsidRPr="00B1646C">
        <w:rPr>
          <w:rFonts w:ascii="Verdana" w:hAnsi="Verdana"/>
          <w:b/>
          <w:sz w:val="20"/>
          <w:szCs w:val="20"/>
          <w:lang w:val="es-MX"/>
        </w:rPr>
        <w:t>VISTO:</w:t>
      </w:r>
    </w:p>
    <w:p w14:paraId="1A204B9A" w14:textId="3DBC8102" w:rsidR="00B1646C" w:rsidRPr="00B1646C" w:rsidRDefault="00B1646C" w:rsidP="00B1646C">
      <w:pPr>
        <w:pStyle w:val="Prrafodelista"/>
        <w:widowControl w:val="0"/>
        <w:numPr>
          <w:ilvl w:val="0"/>
          <w:numId w:val="4"/>
        </w:numPr>
        <w:spacing w:after="0"/>
        <w:ind w:left="0" w:right="65" w:firstLine="0"/>
        <w:jc w:val="both"/>
        <w:rPr>
          <w:rFonts w:ascii="Verdana" w:hAnsi="Verdana"/>
          <w:sz w:val="20"/>
          <w:szCs w:val="20"/>
          <w:lang w:val="es-MX"/>
        </w:rPr>
      </w:pPr>
      <w:bookmarkStart w:id="0" w:name="_Ref393297742"/>
      <w:bookmarkStart w:id="1" w:name="_Ref352676460"/>
      <w:r w:rsidRPr="00B1646C">
        <w:rPr>
          <w:rFonts w:ascii="Verdana" w:eastAsia="Verdana" w:hAnsi="Verdana" w:cs="Verdana"/>
          <w:sz w:val="20"/>
          <w:szCs w:val="20"/>
          <w:lang w:val="es-MX"/>
        </w:rPr>
        <w:t xml:space="preserve">El escrito de sometimiento del caso y el Informe de Fondo de la Comisión Interamericana de Derechos Humanos (en adelante “la Comisión Interamericana” o “la Comisión”); </w:t>
      </w:r>
      <w:r w:rsidRPr="00B1646C">
        <w:rPr>
          <w:rFonts w:ascii="Verdana" w:hAnsi="Verdana"/>
          <w:sz w:val="20"/>
          <w:szCs w:val="20"/>
        </w:rPr>
        <w:t>el escrito de solicitudes, argumentos y pruebas (en adelante, el “escrito de solicitudes y argumentos”) de los representantes de la presunta víctima (en adelante “los representantes”)</w:t>
      </w:r>
      <w:r w:rsidR="00B54B53">
        <w:rPr>
          <w:rStyle w:val="Refdenotaalpie"/>
          <w:rFonts w:ascii="Verdana" w:hAnsi="Verdana"/>
          <w:sz w:val="20"/>
          <w:szCs w:val="20"/>
        </w:rPr>
        <w:footnoteReference w:id="1"/>
      </w:r>
      <w:r w:rsidRPr="00B1646C">
        <w:rPr>
          <w:rFonts w:ascii="Verdana" w:hAnsi="Verdana"/>
          <w:sz w:val="20"/>
          <w:szCs w:val="20"/>
        </w:rPr>
        <w:t>; el escrito de contestación al sometimiento del caso y al escrito de solicitudes y argumentos</w:t>
      </w:r>
      <w:r w:rsidRPr="00B1646C">
        <w:rPr>
          <w:rFonts w:ascii="Verdana" w:hAnsi="Verdana"/>
          <w:color w:val="FF0000"/>
          <w:sz w:val="20"/>
          <w:szCs w:val="20"/>
        </w:rPr>
        <w:t xml:space="preserve"> </w:t>
      </w:r>
      <w:r w:rsidRPr="00B1646C">
        <w:rPr>
          <w:rFonts w:ascii="Verdana" w:hAnsi="Verdana"/>
          <w:sz w:val="20"/>
          <w:szCs w:val="20"/>
        </w:rPr>
        <w:t>(en adelante “escrito de contestación”) de</w:t>
      </w:r>
      <w:r w:rsidR="008C618F">
        <w:rPr>
          <w:rFonts w:ascii="Verdana" w:hAnsi="Verdana"/>
          <w:sz w:val="20"/>
          <w:szCs w:val="20"/>
        </w:rPr>
        <w:t xml:space="preserve"> </w:t>
      </w:r>
      <w:r w:rsidRPr="00B1646C">
        <w:rPr>
          <w:rFonts w:ascii="Verdana" w:hAnsi="Verdana"/>
          <w:sz w:val="20"/>
          <w:szCs w:val="20"/>
        </w:rPr>
        <w:t>l</w:t>
      </w:r>
      <w:r w:rsidR="008C618F">
        <w:rPr>
          <w:rFonts w:ascii="Verdana" w:hAnsi="Verdana"/>
          <w:sz w:val="20"/>
          <w:szCs w:val="20"/>
        </w:rPr>
        <w:t>a República</w:t>
      </w:r>
      <w:r w:rsidRPr="00B1646C">
        <w:rPr>
          <w:rFonts w:ascii="Verdana" w:hAnsi="Verdana"/>
          <w:sz w:val="20"/>
          <w:szCs w:val="20"/>
        </w:rPr>
        <w:t xml:space="preserve">  Argentina</w:t>
      </w:r>
      <w:r w:rsidRPr="00B1646C">
        <w:rPr>
          <w:rFonts w:ascii="Verdana" w:hAnsi="Verdana"/>
          <w:b/>
          <w:sz w:val="20"/>
          <w:szCs w:val="20"/>
        </w:rPr>
        <w:t xml:space="preserve"> </w:t>
      </w:r>
      <w:r w:rsidRPr="00B1646C">
        <w:rPr>
          <w:rFonts w:ascii="Verdana" w:hAnsi="Verdana"/>
          <w:sz w:val="20"/>
          <w:szCs w:val="20"/>
        </w:rPr>
        <w:t>(en adelante “Argentina” o “el Estado”) así como los escritos de observaciones al  reconocimiento  de responsabilidad del Estado, presentados por la Comisión y por los representantes.</w:t>
      </w:r>
      <w:bookmarkEnd w:id="0"/>
      <w:bookmarkEnd w:id="1"/>
    </w:p>
    <w:p w14:paraId="640122F8" w14:textId="77777777" w:rsidR="00B1646C" w:rsidRPr="00B1646C" w:rsidRDefault="00B1646C" w:rsidP="00B1646C">
      <w:pPr>
        <w:pStyle w:val="Prrafodelista"/>
        <w:widowControl w:val="0"/>
        <w:spacing w:after="0"/>
        <w:ind w:left="0" w:right="65"/>
        <w:jc w:val="both"/>
        <w:rPr>
          <w:rFonts w:ascii="Verdana" w:hAnsi="Verdana"/>
          <w:sz w:val="20"/>
          <w:szCs w:val="20"/>
          <w:lang w:val="es-MX"/>
        </w:rPr>
      </w:pPr>
    </w:p>
    <w:p w14:paraId="1AA75DA3" w14:textId="46784F8F" w:rsidR="00B1646C" w:rsidRDefault="00C26AFC" w:rsidP="00B1646C">
      <w:pPr>
        <w:pStyle w:val="Prrafodelista"/>
        <w:widowControl w:val="0"/>
        <w:numPr>
          <w:ilvl w:val="0"/>
          <w:numId w:val="4"/>
        </w:numPr>
        <w:spacing w:after="0"/>
        <w:ind w:left="0" w:right="65" w:firstLine="0"/>
        <w:jc w:val="both"/>
        <w:rPr>
          <w:rFonts w:ascii="Verdana" w:hAnsi="Verdana"/>
          <w:sz w:val="20"/>
          <w:szCs w:val="20"/>
          <w:lang w:val="es-MX"/>
        </w:rPr>
      </w:pPr>
      <w:r w:rsidRPr="00B1646C">
        <w:rPr>
          <w:rFonts w:ascii="Verdana" w:hAnsi="Verdana"/>
          <w:sz w:val="20"/>
          <w:szCs w:val="20"/>
          <w:lang w:val="es-MX"/>
        </w:rPr>
        <w:t>La</w:t>
      </w:r>
      <w:r w:rsidR="00BF5F53">
        <w:rPr>
          <w:rFonts w:ascii="Verdana" w:hAnsi="Verdana"/>
          <w:sz w:val="20"/>
          <w:szCs w:val="20"/>
          <w:lang w:val="es-MX"/>
        </w:rPr>
        <w:t>s</w:t>
      </w:r>
      <w:r w:rsidRPr="00B1646C">
        <w:rPr>
          <w:rFonts w:ascii="Verdana" w:hAnsi="Verdana"/>
          <w:sz w:val="20"/>
          <w:szCs w:val="20"/>
          <w:lang w:val="es-MX"/>
        </w:rPr>
        <w:t xml:space="preserve"> lista</w:t>
      </w:r>
      <w:r w:rsidR="00BF5F53">
        <w:rPr>
          <w:rFonts w:ascii="Verdana" w:hAnsi="Verdana"/>
          <w:sz w:val="20"/>
          <w:szCs w:val="20"/>
          <w:lang w:val="es-MX"/>
        </w:rPr>
        <w:t>s</w:t>
      </w:r>
      <w:r w:rsidRPr="00B1646C">
        <w:rPr>
          <w:rFonts w:ascii="Verdana" w:hAnsi="Verdana"/>
          <w:sz w:val="20"/>
          <w:szCs w:val="20"/>
          <w:lang w:val="es-MX"/>
        </w:rPr>
        <w:t xml:space="preserve"> definitiva</w:t>
      </w:r>
      <w:r w:rsidR="00BF5F53">
        <w:rPr>
          <w:rFonts w:ascii="Verdana" w:hAnsi="Verdana"/>
          <w:sz w:val="20"/>
          <w:szCs w:val="20"/>
          <w:lang w:val="es-MX"/>
        </w:rPr>
        <w:t>s</w:t>
      </w:r>
      <w:r w:rsidRPr="00B1646C">
        <w:rPr>
          <w:rFonts w:ascii="Verdana" w:hAnsi="Verdana"/>
          <w:sz w:val="20"/>
          <w:szCs w:val="20"/>
          <w:lang w:val="es-MX"/>
        </w:rPr>
        <w:t xml:space="preserve"> de declarantes presentada</w:t>
      </w:r>
      <w:r w:rsidR="00BF5F53">
        <w:rPr>
          <w:rFonts w:ascii="Verdana" w:hAnsi="Verdana"/>
          <w:sz w:val="20"/>
          <w:szCs w:val="20"/>
          <w:lang w:val="es-MX"/>
        </w:rPr>
        <w:t>s por la Comisión y el Estado, respectivamente</w:t>
      </w:r>
      <w:r w:rsidR="00D50CD2">
        <w:rPr>
          <w:rFonts w:ascii="Verdana" w:hAnsi="Verdana"/>
          <w:sz w:val="20"/>
          <w:szCs w:val="20"/>
          <w:lang w:val="es-MX"/>
        </w:rPr>
        <w:t>,</w:t>
      </w:r>
      <w:r w:rsidR="00BF5F53">
        <w:rPr>
          <w:rFonts w:ascii="Verdana" w:hAnsi="Verdana"/>
          <w:sz w:val="20"/>
          <w:szCs w:val="20"/>
          <w:lang w:val="es-MX"/>
        </w:rPr>
        <w:t xml:space="preserve"> </w:t>
      </w:r>
      <w:r w:rsidR="00534225">
        <w:rPr>
          <w:rFonts w:ascii="Verdana" w:hAnsi="Verdana"/>
          <w:sz w:val="20"/>
          <w:szCs w:val="20"/>
          <w:lang w:val="es-MX"/>
        </w:rPr>
        <w:t>el 2 de abril y el 18 de junio de 2020.</w:t>
      </w:r>
    </w:p>
    <w:p w14:paraId="21BFEC04" w14:textId="77777777" w:rsidR="00B1646C" w:rsidRPr="00B1646C" w:rsidRDefault="00B1646C" w:rsidP="00B1646C">
      <w:pPr>
        <w:pStyle w:val="Prrafodelista"/>
        <w:rPr>
          <w:rFonts w:ascii="Verdana" w:hAnsi="Verdana"/>
          <w:sz w:val="20"/>
          <w:szCs w:val="20"/>
          <w:lang w:val="es-MX"/>
        </w:rPr>
      </w:pPr>
    </w:p>
    <w:p w14:paraId="01D5691A" w14:textId="5CCB7E32" w:rsidR="00B54B53" w:rsidRDefault="00B54B53" w:rsidP="00834F03">
      <w:pPr>
        <w:pStyle w:val="Prrafodelista"/>
        <w:widowControl w:val="0"/>
        <w:numPr>
          <w:ilvl w:val="0"/>
          <w:numId w:val="4"/>
        </w:numPr>
        <w:spacing w:after="0"/>
        <w:ind w:left="0" w:right="65" w:firstLine="0"/>
        <w:jc w:val="both"/>
        <w:rPr>
          <w:rFonts w:ascii="Verdana" w:hAnsi="Verdana"/>
          <w:sz w:val="20"/>
          <w:szCs w:val="20"/>
          <w:lang w:val="es-MX"/>
        </w:rPr>
      </w:pPr>
      <w:r>
        <w:rPr>
          <w:rFonts w:ascii="Verdana" w:hAnsi="Verdana"/>
          <w:sz w:val="20"/>
          <w:szCs w:val="20"/>
          <w:lang w:val="es-MX"/>
        </w:rPr>
        <w:t>Las observaciones a la lista definitiva de declarantes del Estado presentada el 1 de julio de 2020 por la Comisión.</w:t>
      </w:r>
      <w:r w:rsidR="000C4015">
        <w:rPr>
          <w:rFonts w:ascii="Verdana" w:hAnsi="Verdana"/>
          <w:sz w:val="20"/>
          <w:szCs w:val="20"/>
          <w:lang w:val="es-MX"/>
        </w:rPr>
        <w:t xml:space="preserve"> Los representantes y el Estado no formularon observaciones.</w:t>
      </w:r>
    </w:p>
    <w:p w14:paraId="732DC004" w14:textId="77777777" w:rsidR="00B54B53" w:rsidRPr="00B54B53" w:rsidRDefault="00B54B53" w:rsidP="00B54B53">
      <w:pPr>
        <w:pStyle w:val="Prrafodelista"/>
        <w:rPr>
          <w:rFonts w:ascii="Verdana" w:hAnsi="Verdana"/>
          <w:sz w:val="20"/>
          <w:szCs w:val="20"/>
          <w:lang w:val="es-MX"/>
        </w:rPr>
      </w:pPr>
    </w:p>
    <w:p w14:paraId="2FA08875" w14:textId="77777777" w:rsidR="00834F03" w:rsidRPr="00834F03" w:rsidRDefault="00834F03" w:rsidP="00834F03">
      <w:pPr>
        <w:pStyle w:val="Prrafodelista"/>
        <w:widowControl w:val="0"/>
        <w:spacing w:after="0"/>
        <w:ind w:left="0" w:right="65"/>
        <w:jc w:val="both"/>
        <w:rPr>
          <w:rFonts w:ascii="Verdana" w:hAnsi="Verdana"/>
          <w:sz w:val="20"/>
          <w:szCs w:val="20"/>
          <w:lang w:val="es-MX"/>
        </w:rPr>
      </w:pPr>
    </w:p>
    <w:p w14:paraId="3C9FCA58" w14:textId="77777777" w:rsidR="00834F03" w:rsidRPr="00834F03" w:rsidRDefault="00834F03" w:rsidP="00834F03">
      <w:pPr>
        <w:jc w:val="both"/>
        <w:rPr>
          <w:rFonts w:ascii="Verdana" w:hAnsi="Verdana"/>
          <w:b/>
          <w:sz w:val="20"/>
          <w:szCs w:val="20"/>
          <w:lang w:val="es-MX"/>
        </w:rPr>
      </w:pPr>
      <w:r>
        <w:rPr>
          <w:rFonts w:ascii="Verdana" w:hAnsi="Verdana"/>
          <w:b/>
          <w:sz w:val="20"/>
          <w:szCs w:val="20"/>
          <w:lang w:val="es-MX"/>
        </w:rPr>
        <w:t>CONSIDERANDO QUE:</w:t>
      </w:r>
    </w:p>
    <w:p w14:paraId="592263A4" w14:textId="77777777" w:rsidR="00834F03" w:rsidRDefault="00C26AFC" w:rsidP="00834F03">
      <w:pPr>
        <w:pStyle w:val="Prrafodelista"/>
        <w:widowControl w:val="0"/>
        <w:numPr>
          <w:ilvl w:val="0"/>
          <w:numId w:val="4"/>
        </w:numPr>
        <w:spacing w:after="0"/>
        <w:ind w:left="0" w:right="65" w:firstLine="0"/>
        <w:jc w:val="both"/>
        <w:rPr>
          <w:rFonts w:ascii="Verdana" w:hAnsi="Verdana"/>
          <w:sz w:val="20"/>
          <w:szCs w:val="20"/>
          <w:lang w:val="es-MX"/>
        </w:rPr>
      </w:pPr>
      <w:r w:rsidRPr="00834F03">
        <w:rPr>
          <w:rFonts w:ascii="Verdana" w:hAnsi="Verdana"/>
          <w:sz w:val="20"/>
          <w:szCs w:val="20"/>
          <w:lang w:val="es-MX"/>
        </w:rPr>
        <w:t>El ofrecimiento y la admisión de la prueba, así como la citación de presuntas víctimas, testigos y peritos se encuentran regulados en los artículos 35.1.f, 40.2.c, 41.1.c, 46, 47, 48, 50, 52.3 y 57 del Reglamento de la Corte Interamericana de Derechos Humanos (en adelante, “la Corte Interamericana”, “la Corte” o “el Tribunal”).</w:t>
      </w:r>
    </w:p>
    <w:p w14:paraId="175563F8" w14:textId="77777777" w:rsidR="00834F03" w:rsidRDefault="00834F03" w:rsidP="00834F03">
      <w:pPr>
        <w:pStyle w:val="Prrafodelista"/>
        <w:widowControl w:val="0"/>
        <w:spacing w:after="0"/>
        <w:ind w:left="0" w:right="65"/>
        <w:jc w:val="both"/>
        <w:rPr>
          <w:rFonts w:ascii="Verdana" w:hAnsi="Verdana"/>
          <w:sz w:val="20"/>
          <w:szCs w:val="20"/>
          <w:lang w:val="es-MX"/>
        </w:rPr>
      </w:pPr>
    </w:p>
    <w:p w14:paraId="41E8EF52" w14:textId="25F21F71" w:rsidR="00834F03" w:rsidRDefault="00737FCA" w:rsidP="00834F03">
      <w:pPr>
        <w:pStyle w:val="Prrafodelista"/>
        <w:widowControl w:val="0"/>
        <w:numPr>
          <w:ilvl w:val="0"/>
          <w:numId w:val="4"/>
        </w:numPr>
        <w:spacing w:after="0"/>
        <w:ind w:left="0" w:right="65" w:firstLine="0"/>
        <w:jc w:val="both"/>
        <w:rPr>
          <w:rFonts w:ascii="Verdana" w:hAnsi="Verdana"/>
          <w:sz w:val="20"/>
          <w:szCs w:val="20"/>
          <w:lang w:val="es-MX"/>
        </w:rPr>
      </w:pPr>
      <w:r w:rsidRPr="00834F03">
        <w:rPr>
          <w:rFonts w:ascii="Verdana" w:hAnsi="Verdana"/>
          <w:sz w:val="20"/>
          <w:szCs w:val="20"/>
          <w:lang w:val="es-MX"/>
        </w:rPr>
        <w:t xml:space="preserve">La Comisión ofreció como prueba </w:t>
      </w:r>
      <w:r w:rsidR="00C802C6" w:rsidRPr="00834F03">
        <w:rPr>
          <w:rFonts w:ascii="Verdana" w:hAnsi="Verdana"/>
          <w:sz w:val="20"/>
          <w:szCs w:val="20"/>
          <w:lang w:val="es-MX"/>
        </w:rPr>
        <w:t>un dictamen</w:t>
      </w:r>
      <w:r w:rsidRPr="00834F03">
        <w:rPr>
          <w:rFonts w:ascii="Verdana" w:hAnsi="Verdana"/>
          <w:sz w:val="20"/>
          <w:szCs w:val="20"/>
          <w:lang w:val="es-MX"/>
        </w:rPr>
        <w:t xml:space="preserve"> pericial</w:t>
      </w:r>
      <w:r w:rsidR="00C802C6" w:rsidRPr="00834F03">
        <w:rPr>
          <w:rFonts w:ascii="Verdana" w:hAnsi="Verdana"/>
          <w:sz w:val="20"/>
          <w:szCs w:val="20"/>
          <w:lang w:val="es-MX"/>
        </w:rPr>
        <w:t>; los representantes no ofrecieron</w:t>
      </w:r>
      <w:r w:rsidR="00CD2E13">
        <w:rPr>
          <w:rFonts w:ascii="Verdana" w:hAnsi="Verdana"/>
          <w:sz w:val="20"/>
          <w:szCs w:val="20"/>
          <w:lang w:val="es-MX"/>
        </w:rPr>
        <w:t xml:space="preserve"> </w:t>
      </w:r>
      <w:r w:rsidR="00772A88">
        <w:rPr>
          <w:rFonts w:ascii="Verdana" w:hAnsi="Verdana"/>
          <w:sz w:val="20"/>
          <w:szCs w:val="20"/>
          <w:lang w:val="es-MX"/>
        </w:rPr>
        <w:t>prueba</w:t>
      </w:r>
      <w:r w:rsidR="00C802C6" w:rsidRPr="00834F03">
        <w:rPr>
          <w:rFonts w:ascii="Verdana" w:hAnsi="Verdana"/>
          <w:sz w:val="20"/>
          <w:szCs w:val="20"/>
          <w:lang w:val="es-MX"/>
        </w:rPr>
        <w:t xml:space="preserve"> en su escrito de solicitudes y argumentos; y el Estado ofreció, en su escrito de contestación</w:t>
      </w:r>
      <w:r w:rsidR="008D6875" w:rsidRPr="00834F03">
        <w:rPr>
          <w:rFonts w:ascii="Verdana" w:hAnsi="Verdana"/>
          <w:sz w:val="20"/>
          <w:szCs w:val="20"/>
          <w:lang w:val="es-MX"/>
        </w:rPr>
        <w:t>, un dictamen pericial.</w:t>
      </w:r>
    </w:p>
    <w:p w14:paraId="2031E88B" w14:textId="77777777" w:rsidR="00834F03" w:rsidRPr="00834F03" w:rsidRDefault="00834F03" w:rsidP="00834F03">
      <w:pPr>
        <w:pStyle w:val="Prrafodelista"/>
        <w:rPr>
          <w:rFonts w:ascii="Verdana" w:hAnsi="Verdana"/>
          <w:sz w:val="20"/>
          <w:szCs w:val="20"/>
          <w:lang w:val="es-MX"/>
        </w:rPr>
      </w:pPr>
    </w:p>
    <w:p w14:paraId="61DB45C4" w14:textId="33513C34" w:rsidR="00467A47" w:rsidRPr="0013026C" w:rsidRDefault="006A0F20" w:rsidP="0013026C">
      <w:pPr>
        <w:pStyle w:val="Prrafodelista"/>
        <w:widowControl w:val="0"/>
        <w:numPr>
          <w:ilvl w:val="0"/>
          <w:numId w:val="4"/>
        </w:numPr>
        <w:spacing w:after="0"/>
        <w:ind w:left="0" w:right="65" w:firstLine="0"/>
        <w:jc w:val="both"/>
        <w:rPr>
          <w:rFonts w:ascii="Verdana" w:hAnsi="Verdana"/>
          <w:sz w:val="20"/>
          <w:szCs w:val="20"/>
          <w:lang w:val="es-MX"/>
        </w:rPr>
      </w:pPr>
      <w:r w:rsidRPr="00834F03">
        <w:rPr>
          <w:rFonts w:ascii="Verdana" w:hAnsi="Verdana"/>
          <w:sz w:val="20"/>
          <w:szCs w:val="20"/>
          <w:lang w:val="es-MX"/>
        </w:rPr>
        <w:t xml:space="preserve">La Comisión, en su lista definitiva, reiteró el ofrecimiento de la prueba pericial referida al someter el caso ante la Corte, y solicitó que sea recibida en forma escrita, mediante </w:t>
      </w:r>
      <w:r w:rsidRPr="00834F03">
        <w:rPr>
          <w:rFonts w:ascii="Verdana" w:hAnsi="Verdana"/>
          <w:i/>
          <w:sz w:val="20"/>
          <w:szCs w:val="20"/>
          <w:lang w:val="es-MX"/>
        </w:rPr>
        <w:t>affidávit</w:t>
      </w:r>
      <w:r w:rsidRPr="00834F03">
        <w:rPr>
          <w:rFonts w:ascii="Verdana" w:hAnsi="Verdana"/>
          <w:sz w:val="20"/>
          <w:szCs w:val="20"/>
          <w:lang w:val="es-MX"/>
        </w:rPr>
        <w:t>.</w:t>
      </w:r>
      <w:r w:rsidR="00534225">
        <w:rPr>
          <w:rFonts w:ascii="Verdana" w:hAnsi="Verdana"/>
          <w:sz w:val="20"/>
          <w:szCs w:val="20"/>
          <w:lang w:val="es-MX"/>
        </w:rPr>
        <w:t xml:space="preserve"> </w:t>
      </w:r>
      <w:r w:rsidR="00534225" w:rsidRPr="00534225">
        <w:rPr>
          <w:rFonts w:ascii="Verdana" w:hAnsi="Verdana"/>
          <w:sz w:val="20"/>
          <w:szCs w:val="20"/>
          <w:lang w:val="es-MX"/>
        </w:rPr>
        <w:t>El Estado, en su lista definitiva, reiteró</w:t>
      </w:r>
      <w:r w:rsidR="00534225">
        <w:rPr>
          <w:rFonts w:ascii="Verdana" w:hAnsi="Verdana"/>
          <w:sz w:val="20"/>
          <w:szCs w:val="20"/>
          <w:lang w:val="es-MX"/>
        </w:rPr>
        <w:t>, asimismo,</w:t>
      </w:r>
      <w:r w:rsidR="00534225" w:rsidRPr="00534225">
        <w:rPr>
          <w:rFonts w:ascii="Verdana" w:hAnsi="Verdana"/>
          <w:sz w:val="20"/>
          <w:szCs w:val="20"/>
          <w:lang w:val="es-MX"/>
        </w:rPr>
        <w:t xml:space="preserve"> el ofrecimiento de la prueba pericial.</w:t>
      </w:r>
      <w:r w:rsidR="0013026C">
        <w:rPr>
          <w:rFonts w:ascii="Verdana" w:hAnsi="Verdana"/>
          <w:sz w:val="20"/>
          <w:szCs w:val="20"/>
          <w:lang w:val="es-MX"/>
        </w:rPr>
        <w:t xml:space="preserve"> </w:t>
      </w:r>
      <w:r w:rsidR="005A714B" w:rsidRPr="0013026C">
        <w:rPr>
          <w:rFonts w:ascii="Verdana" w:hAnsi="Verdana"/>
          <w:sz w:val="20"/>
          <w:szCs w:val="20"/>
          <w:lang w:val="es-MX"/>
        </w:rPr>
        <w:t>La Comisión, en sus observaciones a la lista definitiva, solicitó la oportunidad de formular preguntas a la perita María José Guembe, ofrecida por el Estado.</w:t>
      </w:r>
    </w:p>
    <w:p w14:paraId="341061A5" w14:textId="77777777" w:rsidR="00467A47" w:rsidRDefault="00467A47" w:rsidP="00947A22">
      <w:pPr>
        <w:pStyle w:val="Prrafodelista"/>
        <w:widowControl w:val="0"/>
        <w:spacing w:after="0"/>
        <w:ind w:left="0" w:right="65"/>
        <w:jc w:val="both"/>
        <w:rPr>
          <w:rFonts w:ascii="Verdana" w:hAnsi="Verdana"/>
          <w:sz w:val="20"/>
          <w:szCs w:val="20"/>
          <w:lang w:val="es-MX"/>
        </w:rPr>
      </w:pPr>
    </w:p>
    <w:p w14:paraId="63221A11" w14:textId="0611ABC2" w:rsidR="00467A47" w:rsidRPr="00947A22" w:rsidRDefault="00467A47" w:rsidP="00947A22">
      <w:pPr>
        <w:pStyle w:val="Prrafodelista"/>
        <w:widowControl w:val="0"/>
        <w:numPr>
          <w:ilvl w:val="0"/>
          <w:numId w:val="4"/>
        </w:numPr>
        <w:spacing w:after="0"/>
        <w:ind w:left="0" w:right="65" w:firstLine="0"/>
        <w:jc w:val="both"/>
        <w:rPr>
          <w:rFonts w:ascii="Verdana" w:hAnsi="Verdana"/>
          <w:sz w:val="20"/>
          <w:szCs w:val="20"/>
        </w:rPr>
      </w:pPr>
      <w:r w:rsidRPr="00947A22">
        <w:rPr>
          <w:rFonts w:ascii="Verdana" w:hAnsi="Verdana"/>
          <w:sz w:val="20"/>
          <w:szCs w:val="20"/>
        </w:rPr>
        <w:lastRenderedPageBreak/>
        <w:t xml:space="preserve">La </w:t>
      </w:r>
      <w:proofErr w:type="gramStart"/>
      <w:r w:rsidRPr="00947A22">
        <w:rPr>
          <w:rFonts w:ascii="Verdana" w:hAnsi="Verdana"/>
          <w:sz w:val="20"/>
          <w:szCs w:val="20"/>
        </w:rPr>
        <w:t>Presidenta</w:t>
      </w:r>
      <w:proofErr w:type="gramEnd"/>
      <w:r w:rsidRPr="00947A22">
        <w:rPr>
          <w:rFonts w:ascii="Verdana" w:hAnsi="Verdana"/>
          <w:sz w:val="20"/>
          <w:szCs w:val="20"/>
        </w:rPr>
        <w:t xml:space="preserve"> de la Corte (en adelante “la Presidenta” o “esta Presidencia”) considera procedente recabar las declaraciones ofrecidas por las partes que no han sido objetadas. Por consiguiente, se admite</w:t>
      </w:r>
      <w:r>
        <w:rPr>
          <w:rFonts w:ascii="Verdana" w:hAnsi="Verdana"/>
          <w:sz w:val="20"/>
          <w:szCs w:val="20"/>
        </w:rPr>
        <w:t xml:space="preserve"> el peritaje de la Dra. María José Guembe</w:t>
      </w:r>
      <w:r w:rsidRPr="00947A22">
        <w:rPr>
          <w:rFonts w:ascii="Verdana" w:hAnsi="Verdana"/>
          <w:sz w:val="20"/>
          <w:szCs w:val="20"/>
        </w:rPr>
        <w:t xml:space="preserve">, según el objeto </w:t>
      </w:r>
      <w:r w:rsidR="00CC7B4E">
        <w:rPr>
          <w:rFonts w:ascii="Verdana" w:hAnsi="Verdana"/>
          <w:sz w:val="20"/>
          <w:szCs w:val="20"/>
        </w:rPr>
        <w:t>y modalidad determinados</w:t>
      </w:r>
      <w:r w:rsidRPr="00947A22">
        <w:rPr>
          <w:rFonts w:ascii="Verdana" w:hAnsi="Verdana"/>
          <w:sz w:val="20"/>
          <w:szCs w:val="20"/>
        </w:rPr>
        <w:t xml:space="preserve"> en la parte resolutiva de la presente Resolución (</w:t>
      </w:r>
      <w:r w:rsidRPr="00947A22">
        <w:rPr>
          <w:rFonts w:ascii="Verdana" w:hAnsi="Verdana"/>
          <w:i/>
          <w:sz w:val="20"/>
          <w:szCs w:val="20"/>
        </w:rPr>
        <w:t>infra</w:t>
      </w:r>
      <w:r w:rsidR="00BA76C7">
        <w:rPr>
          <w:rFonts w:ascii="Verdana" w:hAnsi="Verdana"/>
          <w:sz w:val="20"/>
          <w:szCs w:val="20"/>
        </w:rPr>
        <w:t xml:space="preserve"> punto resolutivo 1</w:t>
      </w:r>
      <w:r w:rsidRPr="00947A22">
        <w:rPr>
          <w:rFonts w:ascii="Verdana" w:hAnsi="Verdana"/>
          <w:sz w:val="20"/>
          <w:szCs w:val="20"/>
        </w:rPr>
        <w:t>).</w:t>
      </w:r>
    </w:p>
    <w:p w14:paraId="26342FEA" w14:textId="77777777" w:rsidR="00834F03" w:rsidRPr="00534225" w:rsidRDefault="00834F03" w:rsidP="00534225">
      <w:pPr>
        <w:rPr>
          <w:rFonts w:ascii="Verdana" w:hAnsi="Verdana"/>
          <w:sz w:val="20"/>
          <w:szCs w:val="20"/>
          <w:lang w:val="es-MX"/>
        </w:rPr>
      </w:pPr>
    </w:p>
    <w:p w14:paraId="3B1EE8B8" w14:textId="2D74DE7A" w:rsidR="00834F03" w:rsidRDefault="00B1646C" w:rsidP="00834F03">
      <w:pPr>
        <w:pStyle w:val="Prrafodelista"/>
        <w:widowControl w:val="0"/>
        <w:numPr>
          <w:ilvl w:val="0"/>
          <w:numId w:val="4"/>
        </w:numPr>
        <w:spacing w:after="0"/>
        <w:ind w:left="0" w:right="65" w:firstLine="0"/>
        <w:jc w:val="both"/>
        <w:rPr>
          <w:rFonts w:ascii="Verdana" w:hAnsi="Verdana"/>
          <w:sz w:val="20"/>
          <w:szCs w:val="20"/>
          <w:lang w:val="es-MX"/>
        </w:rPr>
      </w:pPr>
      <w:r w:rsidRPr="00834F03">
        <w:rPr>
          <w:rFonts w:ascii="Verdana" w:hAnsi="Verdana"/>
          <w:sz w:val="20"/>
          <w:szCs w:val="20"/>
          <w:lang w:val="es-MX"/>
        </w:rPr>
        <w:t xml:space="preserve">A continuación, la </w:t>
      </w:r>
      <w:proofErr w:type="gramStart"/>
      <w:r w:rsidRPr="00834F03">
        <w:rPr>
          <w:rFonts w:ascii="Verdana" w:hAnsi="Verdana"/>
          <w:sz w:val="20"/>
          <w:szCs w:val="20"/>
          <w:lang w:val="es-MX"/>
        </w:rPr>
        <w:t>Presidenta</w:t>
      </w:r>
      <w:proofErr w:type="gramEnd"/>
      <w:r w:rsidRPr="00834F03">
        <w:rPr>
          <w:rFonts w:ascii="Verdana" w:hAnsi="Verdana"/>
          <w:sz w:val="20"/>
          <w:szCs w:val="20"/>
          <w:lang w:val="es-MX"/>
        </w:rPr>
        <w:t xml:space="preserve"> examinará en forma particular a) </w:t>
      </w:r>
      <w:r w:rsidR="00834F03">
        <w:rPr>
          <w:rFonts w:ascii="Verdana" w:hAnsi="Verdana"/>
          <w:sz w:val="20"/>
          <w:szCs w:val="20"/>
          <w:lang w:val="es-MX"/>
        </w:rPr>
        <w:t>la necesidad de realizar una Audienc</w:t>
      </w:r>
      <w:r w:rsidR="002E2C33">
        <w:rPr>
          <w:rFonts w:ascii="Verdana" w:hAnsi="Verdana"/>
          <w:sz w:val="20"/>
          <w:szCs w:val="20"/>
          <w:lang w:val="es-MX"/>
        </w:rPr>
        <w:t xml:space="preserve">ia Pública en el presente caso, </w:t>
      </w:r>
      <w:r w:rsidR="00834F03">
        <w:rPr>
          <w:rFonts w:ascii="Verdana" w:hAnsi="Verdana"/>
          <w:sz w:val="20"/>
          <w:szCs w:val="20"/>
          <w:lang w:val="es-MX"/>
        </w:rPr>
        <w:t xml:space="preserve">b) la </w:t>
      </w:r>
      <w:r w:rsidR="005A714B">
        <w:rPr>
          <w:rFonts w:ascii="Verdana" w:hAnsi="Verdana"/>
          <w:sz w:val="20"/>
          <w:szCs w:val="20"/>
          <w:lang w:val="es-MX"/>
        </w:rPr>
        <w:t xml:space="preserve">admisibilidad de la </w:t>
      </w:r>
      <w:r w:rsidR="00834F03">
        <w:rPr>
          <w:rFonts w:ascii="Verdana" w:hAnsi="Verdana"/>
          <w:sz w:val="20"/>
          <w:szCs w:val="20"/>
          <w:lang w:val="es-MX"/>
        </w:rPr>
        <w:t xml:space="preserve">prueba pericial ofrecida por la </w:t>
      </w:r>
      <w:r w:rsidR="00B2735E">
        <w:rPr>
          <w:rFonts w:ascii="Verdana" w:hAnsi="Verdana"/>
          <w:sz w:val="20"/>
          <w:szCs w:val="20"/>
          <w:lang w:val="es-MX"/>
        </w:rPr>
        <w:t xml:space="preserve">Comisión, </w:t>
      </w:r>
      <w:r w:rsidR="002E2C33">
        <w:rPr>
          <w:rFonts w:ascii="Verdana" w:hAnsi="Verdana"/>
          <w:sz w:val="20"/>
          <w:szCs w:val="20"/>
          <w:lang w:val="es-MX"/>
        </w:rPr>
        <w:t xml:space="preserve">c) </w:t>
      </w:r>
      <w:r w:rsidR="005A714B">
        <w:rPr>
          <w:rFonts w:ascii="Verdana" w:hAnsi="Verdana"/>
          <w:sz w:val="20"/>
          <w:szCs w:val="20"/>
          <w:lang w:val="es-MX"/>
        </w:rPr>
        <w:t>la solicitud de la Comisión para formular preguntas a la perita ofrecida por el Estado</w:t>
      </w:r>
      <w:r w:rsidR="00B2735E">
        <w:rPr>
          <w:rFonts w:ascii="Verdana" w:hAnsi="Verdana"/>
          <w:sz w:val="20"/>
          <w:szCs w:val="20"/>
          <w:lang w:val="es-MX"/>
        </w:rPr>
        <w:t xml:space="preserve"> y d) la procedencia de recibir la declaración de la presunta víctima como diligencia probatoria de oficio</w:t>
      </w:r>
      <w:r w:rsidR="002E2C33">
        <w:rPr>
          <w:rFonts w:ascii="Verdana" w:hAnsi="Verdana"/>
          <w:sz w:val="20"/>
          <w:szCs w:val="20"/>
          <w:lang w:val="es-MX"/>
        </w:rPr>
        <w:t>.</w:t>
      </w:r>
    </w:p>
    <w:p w14:paraId="2BD2A3FA" w14:textId="77777777" w:rsidR="00834F03" w:rsidRDefault="00834F03" w:rsidP="00834F03">
      <w:pPr>
        <w:pStyle w:val="Prrafodelista"/>
        <w:widowControl w:val="0"/>
        <w:spacing w:after="0"/>
        <w:ind w:left="0" w:right="65"/>
        <w:jc w:val="both"/>
        <w:rPr>
          <w:rFonts w:ascii="Verdana" w:hAnsi="Verdana"/>
          <w:sz w:val="20"/>
          <w:szCs w:val="20"/>
          <w:lang w:val="es-MX"/>
        </w:rPr>
      </w:pPr>
    </w:p>
    <w:p w14:paraId="4AE96C16" w14:textId="77777777" w:rsidR="00834F03" w:rsidRPr="00834F03" w:rsidRDefault="00834F03" w:rsidP="00834F03">
      <w:pPr>
        <w:pStyle w:val="Prrafodelista"/>
        <w:widowControl w:val="0"/>
        <w:numPr>
          <w:ilvl w:val="0"/>
          <w:numId w:val="5"/>
        </w:numPr>
        <w:spacing w:after="0"/>
        <w:ind w:right="65"/>
        <w:jc w:val="both"/>
        <w:rPr>
          <w:rFonts w:ascii="Verdana" w:hAnsi="Verdana"/>
          <w:sz w:val="20"/>
          <w:szCs w:val="20"/>
          <w:lang w:val="es-MX"/>
        </w:rPr>
      </w:pPr>
      <w:r>
        <w:rPr>
          <w:rFonts w:ascii="Verdana" w:hAnsi="Verdana"/>
          <w:b/>
          <w:i/>
          <w:sz w:val="20"/>
          <w:szCs w:val="20"/>
          <w:lang w:val="es-MX"/>
        </w:rPr>
        <w:t xml:space="preserve">Sobre la necesidad de convocar a una </w:t>
      </w:r>
      <w:r w:rsidR="006F13BA">
        <w:rPr>
          <w:rFonts w:ascii="Verdana" w:hAnsi="Verdana"/>
          <w:b/>
          <w:i/>
          <w:sz w:val="20"/>
          <w:szCs w:val="20"/>
          <w:lang w:val="es-MX"/>
        </w:rPr>
        <w:t>audiencia pública en el presente</w:t>
      </w:r>
      <w:r>
        <w:rPr>
          <w:rFonts w:ascii="Verdana" w:hAnsi="Verdana"/>
          <w:b/>
          <w:i/>
          <w:sz w:val="20"/>
          <w:szCs w:val="20"/>
          <w:lang w:val="es-MX"/>
        </w:rPr>
        <w:t xml:space="preserve"> caso</w:t>
      </w:r>
    </w:p>
    <w:p w14:paraId="77E45FA8" w14:textId="77777777" w:rsidR="00834F03" w:rsidRDefault="00834F03" w:rsidP="00834F03">
      <w:pPr>
        <w:widowControl w:val="0"/>
        <w:spacing w:after="0"/>
        <w:ind w:right="65"/>
        <w:jc w:val="both"/>
        <w:rPr>
          <w:rFonts w:ascii="Verdana" w:hAnsi="Verdana"/>
          <w:sz w:val="20"/>
          <w:szCs w:val="20"/>
          <w:lang w:val="es-MX"/>
        </w:rPr>
      </w:pPr>
    </w:p>
    <w:p w14:paraId="0F369DCE" w14:textId="77777777" w:rsidR="00834F03" w:rsidRDefault="00B1646C" w:rsidP="00834F03">
      <w:pPr>
        <w:pStyle w:val="Prrafodelista"/>
        <w:widowControl w:val="0"/>
        <w:numPr>
          <w:ilvl w:val="0"/>
          <w:numId w:val="4"/>
        </w:numPr>
        <w:spacing w:after="0"/>
        <w:ind w:left="0" w:right="65" w:firstLine="0"/>
        <w:jc w:val="both"/>
        <w:rPr>
          <w:rFonts w:ascii="Verdana" w:hAnsi="Verdana"/>
          <w:sz w:val="20"/>
          <w:szCs w:val="20"/>
          <w:lang w:val="es-MX"/>
        </w:rPr>
      </w:pPr>
      <w:r w:rsidRPr="00834F03">
        <w:rPr>
          <w:rFonts w:ascii="Verdana" w:hAnsi="Verdana"/>
          <w:sz w:val="20"/>
          <w:szCs w:val="20"/>
          <w:lang w:val="es-MX"/>
        </w:rPr>
        <w:t xml:space="preserve"> </w:t>
      </w:r>
      <w:r w:rsidR="00834F03">
        <w:rPr>
          <w:rFonts w:ascii="Verdana" w:hAnsi="Verdana"/>
          <w:sz w:val="20"/>
          <w:szCs w:val="20"/>
          <w:lang w:val="es-MX"/>
        </w:rPr>
        <w:t xml:space="preserve">A estos efectos, la </w:t>
      </w:r>
      <w:proofErr w:type="gramStart"/>
      <w:r w:rsidR="00834F03">
        <w:rPr>
          <w:rFonts w:ascii="Verdana" w:hAnsi="Verdana"/>
          <w:sz w:val="20"/>
          <w:szCs w:val="20"/>
          <w:lang w:val="es-MX"/>
        </w:rPr>
        <w:t>Presidenta</w:t>
      </w:r>
      <w:proofErr w:type="gramEnd"/>
      <w:r w:rsidR="00834F03">
        <w:rPr>
          <w:rFonts w:ascii="Verdana" w:hAnsi="Verdana"/>
          <w:sz w:val="20"/>
          <w:szCs w:val="20"/>
          <w:lang w:val="es-MX"/>
        </w:rPr>
        <w:t xml:space="preserve"> de la Corte recuerda que el artículo 15 del Reglamento del Tribunal señala que “la Corte celebrará audiencias cuando lo estime pertinente”. Así, los art</w:t>
      </w:r>
      <w:r w:rsidR="006F13BA">
        <w:rPr>
          <w:rFonts w:ascii="Verdana" w:hAnsi="Verdana"/>
          <w:sz w:val="20"/>
          <w:szCs w:val="20"/>
          <w:lang w:val="es-MX"/>
        </w:rPr>
        <w:t>ículos 45 y 50.1 del Reglamento facultan a la Corte o su Presidencia a convocar a audiencias cuando lo estimen necesario. Lo anterior expresa una facultad de la Corte o su Presidencia, que ejercerán motivadamente y de manera consecuente con las características del caso, los requerimientos procesales que deriven de ellas y la debida preservación de los derechos de las partes</w:t>
      </w:r>
      <w:r w:rsidR="006F13BA">
        <w:rPr>
          <w:rStyle w:val="Refdenotaalpie"/>
          <w:rFonts w:ascii="Verdana" w:hAnsi="Verdana"/>
          <w:sz w:val="20"/>
          <w:szCs w:val="20"/>
          <w:lang w:val="es-MX"/>
        </w:rPr>
        <w:footnoteReference w:id="2"/>
      </w:r>
      <w:r w:rsidR="006F13BA">
        <w:rPr>
          <w:rFonts w:ascii="Verdana" w:hAnsi="Verdana"/>
          <w:sz w:val="20"/>
          <w:szCs w:val="20"/>
          <w:lang w:val="es-MX"/>
        </w:rPr>
        <w:t>.</w:t>
      </w:r>
    </w:p>
    <w:p w14:paraId="3D509F5C" w14:textId="77777777" w:rsidR="006F13BA" w:rsidRDefault="006F13BA" w:rsidP="006F13BA">
      <w:pPr>
        <w:pStyle w:val="Prrafodelista"/>
        <w:widowControl w:val="0"/>
        <w:spacing w:after="0"/>
        <w:ind w:left="0" w:right="65"/>
        <w:jc w:val="both"/>
        <w:rPr>
          <w:rFonts w:ascii="Verdana" w:hAnsi="Verdana"/>
          <w:sz w:val="20"/>
          <w:szCs w:val="20"/>
          <w:lang w:val="es-MX"/>
        </w:rPr>
      </w:pPr>
    </w:p>
    <w:p w14:paraId="06C2115B" w14:textId="0E72BCC6" w:rsidR="00772A88" w:rsidRPr="00772A88" w:rsidRDefault="006F13BA" w:rsidP="00772A88">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lang w:val="es-MX"/>
        </w:rPr>
        <w:t xml:space="preserve">Luego de evaluar el Informe de Fondo presentado por la Comisión, el </w:t>
      </w:r>
      <w:r w:rsidR="00AD339C">
        <w:rPr>
          <w:rFonts w:ascii="Verdana" w:hAnsi="Verdana"/>
          <w:sz w:val="20"/>
          <w:szCs w:val="20"/>
          <w:lang w:val="es-MX"/>
        </w:rPr>
        <w:t>e</w:t>
      </w:r>
      <w:r>
        <w:rPr>
          <w:rFonts w:ascii="Verdana" w:hAnsi="Verdana"/>
          <w:sz w:val="20"/>
          <w:szCs w:val="20"/>
          <w:lang w:val="es-MX"/>
        </w:rPr>
        <w:t xml:space="preserve">scrito de solicitudes y argumentos y la contestación del Estado en donde reconoce su responsabilidad por la totalidad de los hechos, la </w:t>
      </w:r>
      <w:proofErr w:type="gramStart"/>
      <w:r>
        <w:rPr>
          <w:rFonts w:ascii="Verdana" w:hAnsi="Verdana"/>
          <w:sz w:val="20"/>
          <w:szCs w:val="20"/>
          <w:lang w:val="es-MX"/>
        </w:rPr>
        <w:t>Presidenta</w:t>
      </w:r>
      <w:proofErr w:type="gramEnd"/>
      <w:r>
        <w:rPr>
          <w:rFonts w:ascii="Verdana" w:hAnsi="Verdana"/>
          <w:sz w:val="20"/>
          <w:szCs w:val="20"/>
          <w:lang w:val="es-MX"/>
        </w:rPr>
        <w:t xml:space="preserve"> advierte que </w:t>
      </w:r>
      <w:r w:rsidRPr="00947A22">
        <w:rPr>
          <w:rFonts w:ascii="Verdana" w:hAnsi="Verdana"/>
          <w:sz w:val="20"/>
          <w:szCs w:val="20"/>
          <w:lang w:val="es-MX"/>
        </w:rPr>
        <w:t>subsisten únicamente controversias jurídicas</w:t>
      </w:r>
      <w:r>
        <w:rPr>
          <w:rFonts w:ascii="Verdana" w:hAnsi="Verdana"/>
          <w:sz w:val="20"/>
          <w:szCs w:val="20"/>
          <w:lang w:val="es-MX"/>
        </w:rPr>
        <w:t xml:space="preserve">. Asimismo, la </w:t>
      </w:r>
      <w:proofErr w:type="gramStart"/>
      <w:r>
        <w:rPr>
          <w:rFonts w:ascii="Verdana" w:hAnsi="Verdana"/>
          <w:sz w:val="20"/>
          <w:szCs w:val="20"/>
          <w:lang w:val="es-MX"/>
        </w:rPr>
        <w:t>Presidenta</w:t>
      </w:r>
      <w:proofErr w:type="gramEnd"/>
      <w:r>
        <w:rPr>
          <w:rFonts w:ascii="Verdana" w:hAnsi="Verdana"/>
          <w:sz w:val="20"/>
          <w:szCs w:val="20"/>
          <w:lang w:val="es-MX"/>
        </w:rPr>
        <w:t xml:space="preserve"> observa que </w:t>
      </w:r>
      <w:r w:rsidR="00534225">
        <w:rPr>
          <w:rFonts w:ascii="Verdana" w:hAnsi="Verdana"/>
          <w:sz w:val="20"/>
          <w:szCs w:val="20"/>
          <w:lang w:val="es-MX"/>
        </w:rPr>
        <w:t>las declaraciones ofrecidas pueden ser evacuadas</w:t>
      </w:r>
      <w:r>
        <w:rPr>
          <w:rFonts w:ascii="Verdana" w:hAnsi="Verdana"/>
          <w:sz w:val="20"/>
          <w:szCs w:val="20"/>
          <w:lang w:val="es-MX"/>
        </w:rPr>
        <w:t xml:space="preserve"> de forma escrita por medio de </w:t>
      </w:r>
      <w:r>
        <w:rPr>
          <w:rFonts w:ascii="Verdana" w:hAnsi="Verdana"/>
          <w:i/>
          <w:sz w:val="20"/>
          <w:szCs w:val="20"/>
          <w:lang w:val="es-MX"/>
        </w:rPr>
        <w:t>affidávit</w:t>
      </w:r>
      <w:r>
        <w:rPr>
          <w:rFonts w:ascii="Verdana" w:hAnsi="Verdana"/>
          <w:sz w:val="20"/>
          <w:szCs w:val="20"/>
          <w:lang w:val="es-MX"/>
        </w:rPr>
        <w:t xml:space="preserve">. </w:t>
      </w:r>
    </w:p>
    <w:p w14:paraId="5E207E70" w14:textId="77777777" w:rsidR="00772A88" w:rsidRPr="00772A88" w:rsidRDefault="00772A88" w:rsidP="00772A88">
      <w:pPr>
        <w:pStyle w:val="Prrafodelista"/>
        <w:rPr>
          <w:rFonts w:ascii="Verdana" w:hAnsi="Verdana"/>
          <w:sz w:val="20"/>
          <w:szCs w:val="20"/>
        </w:rPr>
      </w:pPr>
    </w:p>
    <w:p w14:paraId="5AD5F7F6" w14:textId="77777777" w:rsidR="00772A88" w:rsidRDefault="00772A88" w:rsidP="00772A88">
      <w:pPr>
        <w:pStyle w:val="Prrafodelista"/>
        <w:widowControl w:val="0"/>
        <w:numPr>
          <w:ilvl w:val="0"/>
          <w:numId w:val="4"/>
        </w:numPr>
        <w:spacing w:after="0"/>
        <w:ind w:left="0" w:right="65" w:firstLine="0"/>
        <w:jc w:val="both"/>
        <w:rPr>
          <w:rFonts w:ascii="Verdana" w:hAnsi="Verdana"/>
          <w:sz w:val="20"/>
          <w:szCs w:val="20"/>
        </w:rPr>
      </w:pPr>
      <w:r w:rsidRPr="00772A88">
        <w:rPr>
          <w:rFonts w:ascii="Verdana" w:hAnsi="Verdana"/>
          <w:sz w:val="20"/>
          <w:szCs w:val="20"/>
        </w:rPr>
        <w:t xml:space="preserve">Por otra parte, la </w:t>
      </w:r>
      <w:proofErr w:type="gramStart"/>
      <w:r w:rsidRPr="00772A88">
        <w:rPr>
          <w:rFonts w:ascii="Verdana" w:hAnsi="Verdana"/>
          <w:sz w:val="20"/>
          <w:szCs w:val="20"/>
        </w:rPr>
        <w:t>Presidenta</w:t>
      </w:r>
      <w:proofErr w:type="gramEnd"/>
      <w:r w:rsidRPr="00772A88">
        <w:rPr>
          <w:rFonts w:ascii="Verdana" w:hAnsi="Verdana"/>
          <w:sz w:val="20"/>
          <w:szCs w:val="20"/>
        </w:rPr>
        <w:t xml:space="preserve"> advierte que la situación originada a causa de la pandemia por la propagación del COVID-19, cuyos efectos son de público conocimiento y persisten en la actualidad, conlleva obstáculos notorios para llevar a cabo una audiencia pública. Resulta incierto el momento en que dichos obstáculos, que constituyen razones de fuerza mayor, puedan ser subsanados.</w:t>
      </w:r>
    </w:p>
    <w:p w14:paraId="5D9675BA" w14:textId="77777777" w:rsidR="00772A88" w:rsidRPr="00772A88" w:rsidRDefault="00772A88" w:rsidP="00772A88">
      <w:pPr>
        <w:pStyle w:val="Prrafodelista"/>
        <w:rPr>
          <w:rFonts w:ascii="Verdana" w:hAnsi="Verdana"/>
          <w:sz w:val="20"/>
          <w:szCs w:val="20"/>
        </w:rPr>
      </w:pPr>
    </w:p>
    <w:p w14:paraId="771FAF1C" w14:textId="62C0B359" w:rsidR="00E80360" w:rsidRPr="00772A88" w:rsidRDefault="00E80360" w:rsidP="00772A88">
      <w:pPr>
        <w:pStyle w:val="Prrafodelista"/>
        <w:widowControl w:val="0"/>
        <w:numPr>
          <w:ilvl w:val="0"/>
          <w:numId w:val="4"/>
        </w:numPr>
        <w:spacing w:after="0"/>
        <w:ind w:left="0" w:right="65" w:firstLine="0"/>
        <w:jc w:val="both"/>
        <w:rPr>
          <w:rFonts w:ascii="Verdana" w:hAnsi="Verdana"/>
          <w:sz w:val="20"/>
          <w:szCs w:val="20"/>
        </w:rPr>
      </w:pPr>
      <w:r w:rsidRPr="00772A88">
        <w:rPr>
          <w:rFonts w:ascii="Verdana" w:hAnsi="Verdana"/>
          <w:sz w:val="20"/>
          <w:szCs w:val="20"/>
        </w:rPr>
        <w:t xml:space="preserve">En virtud de lo anterior, </w:t>
      </w:r>
      <w:r w:rsidR="00534225" w:rsidRPr="00772A88">
        <w:rPr>
          <w:rFonts w:ascii="Verdana" w:hAnsi="Verdana"/>
          <w:sz w:val="20"/>
          <w:szCs w:val="20"/>
        </w:rPr>
        <w:t xml:space="preserve">la </w:t>
      </w:r>
      <w:proofErr w:type="gramStart"/>
      <w:r w:rsidR="00534225" w:rsidRPr="00772A88">
        <w:rPr>
          <w:rFonts w:ascii="Verdana" w:hAnsi="Verdana"/>
          <w:sz w:val="20"/>
          <w:szCs w:val="20"/>
        </w:rPr>
        <w:t>Presidenta</w:t>
      </w:r>
      <w:proofErr w:type="gramEnd"/>
      <w:r w:rsidR="00534225" w:rsidRPr="00772A88">
        <w:rPr>
          <w:rFonts w:ascii="Verdana" w:hAnsi="Verdana"/>
          <w:sz w:val="20"/>
          <w:szCs w:val="20"/>
        </w:rPr>
        <w:t xml:space="preserve"> ha decidido, en consulta con el </w:t>
      </w:r>
      <w:r w:rsidR="00AD339C">
        <w:rPr>
          <w:rFonts w:ascii="Verdana" w:hAnsi="Verdana"/>
          <w:sz w:val="20"/>
          <w:szCs w:val="20"/>
        </w:rPr>
        <w:t>P</w:t>
      </w:r>
      <w:r w:rsidR="00534225" w:rsidRPr="00772A88">
        <w:rPr>
          <w:rFonts w:ascii="Verdana" w:hAnsi="Verdana"/>
          <w:sz w:val="20"/>
          <w:szCs w:val="20"/>
        </w:rPr>
        <w:t xml:space="preserve">leno de la Corte, que no es necesario convocar a una audiencia pública en este caso por razones de economía procesal. </w:t>
      </w:r>
      <w:r w:rsidR="005A714B" w:rsidRPr="00772A88">
        <w:rPr>
          <w:rFonts w:ascii="Verdana" w:hAnsi="Verdana"/>
          <w:sz w:val="20"/>
          <w:szCs w:val="20"/>
        </w:rPr>
        <w:t>Las declaraciones ofrecidas serán, entonces, recibidas por escrito, de conformidad a lo que se indica en la parte resolutiva de la presente Resolución.</w:t>
      </w:r>
      <w:r w:rsidR="00CD2E13" w:rsidRPr="00772A88">
        <w:rPr>
          <w:rFonts w:ascii="Verdana" w:hAnsi="Verdana"/>
          <w:sz w:val="20"/>
          <w:szCs w:val="20"/>
        </w:rPr>
        <w:t xml:space="preserve"> </w:t>
      </w:r>
    </w:p>
    <w:p w14:paraId="158DB8F0" w14:textId="77777777" w:rsidR="00B1012D" w:rsidRDefault="00B1012D" w:rsidP="00B1012D">
      <w:pPr>
        <w:pStyle w:val="Prrafodelista"/>
        <w:widowControl w:val="0"/>
        <w:spacing w:after="0"/>
        <w:ind w:left="0" w:right="65"/>
        <w:jc w:val="both"/>
        <w:rPr>
          <w:rFonts w:ascii="Verdana" w:hAnsi="Verdana"/>
          <w:sz w:val="20"/>
          <w:szCs w:val="20"/>
        </w:rPr>
      </w:pPr>
    </w:p>
    <w:p w14:paraId="78FC9B16" w14:textId="6A6C107E" w:rsidR="00B1012D" w:rsidRPr="00B1012D" w:rsidRDefault="00B1012D" w:rsidP="00B1012D">
      <w:pPr>
        <w:pStyle w:val="Prrafodelista"/>
        <w:widowControl w:val="0"/>
        <w:numPr>
          <w:ilvl w:val="0"/>
          <w:numId w:val="5"/>
        </w:numPr>
        <w:spacing w:after="0"/>
        <w:ind w:right="65"/>
        <w:jc w:val="both"/>
        <w:rPr>
          <w:rFonts w:ascii="Verdana" w:hAnsi="Verdana"/>
          <w:b/>
          <w:i/>
          <w:sz w:val="20"/>
          <w:szCs w:val="20"/>
        </w:rPr>
      </w:pPr>
      <w:r>
        <w:rPr>
          <w:rFonts w:ascii="Verdana" w:hAnsi="Verdana"/>
          <w:b/>
          <w:i/>
          <w:sz w:val="20"/>
          <w:szCs w:val="20"/>
        </w:rPr>
        <w:t xml:space="preserve">La </w:t>
      </w:r>
      <w:r w:rsidR="005A714B">
        <w:rPr>
          <w:rFonts w:ascii="Verdana" w:hAnsi="Verdana"/>
          <w:b/>
          <w:i/>
          <w:sz w:val="20"/>
          <w:szCs w:val="20"/>
        </w:rPr>
        <w:t xml:space="preserve">admisibilidad de la </w:t>
      </w:r>
      <w:r>
        <w:rPr>
          <w:rFonts w:ascii="Verdana" w:hAnsi="Verdana"/>
          <w:b/>
          <w:i/>
          <w:sz w:val="20"/>
          <w:szCs w:val="20"/>
        </w:rPr>
        <w:t>prueba pericial ofrecida por la Comisión Interamericana</w:t>
      </w:r>
    </w:p>
    <w:p w14:paraId="0DD69B46" w14:textId="77777777" w:rsidR="00B1012D" w:rsidRPr="00B1012D" w:rsidRDefault="00B1012D" w:rsidP="00B1012D">
      <w:pPr>
        <w:pStyle w:val="Prrafodelista"/>
        <w:rPr>
          <w:rFonts w:ascii="Verdana" w:hAnsi="Verdana"/>
          <w:sz w:val="20"/>
          <w:szCs w:val="20"/>
        </w:rPr>
      </w:pPr>
    </w:p>
    <w:p w14:paraId="7D0F7EB4" w14:textId="1372B8F2" w:rsidR="00B1012D" w:rsidRDefault="00B1012D" w:rsidP="006F13BA">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La </w:t>
      </w:r>
      <w:r w:rsidRPr="005A714B">
        <w:rPr>
          <w:rFonts w:ascii="Verdana" w:hAnsi="Verdana"/>
          <w:b/>
          <w:i/>
          <w:sz w:val="20"/>
          <w:szCs w:val="20"/>
        </w:rPr>
        <w:t>Comisión</w:t>
      </w:r>
      <w:r>
        <w:rPr>
          <w:rFonts w:ascii="Verdana" w:hAnsi="Verdana"/>
          <w:sz w:val="20"/>
          <w:szCs w:val="20"/>
        </w:rPr>
        <w:t xml:space="preserve"> </w:t>
      </w:r>
      <w:r w:rsidR="00BC1004">
        <w:rPr>
          <w:rFonts w:ascii="Verdana" w:hAnsi="Verdana"/>
          <w:sz w:val="20"/>
          <w:szCs w:val="20"/>
        </w:rPr>
        <w:t>ofreció como prueba pericial el dictamen de Roberto P. Saba,</w:t>
      </w:r>
      <w:r w:rsidR="005A714B">
        <w:rPr>
          <w:rFonts w:ascii="Verdana" w:hAnsi="Verdana"/>
          <w:sz w:val="20"/>
          <w:szCs w:val="20"/>
        </w:rPr>
        <w:t xml:space="preserve"> indicó el objeto de su declaración</w:t>
      </w:r>
      <w:r w:rsidR="005A714B">
        <w:rPr>
          <w:rStyle w:val="Refdenotaalpie"/>
          <w:rFonts w:ascii="Verdana" w:hAnsi="Verdana"/>
          <w:sz w:val="20"/>
          <w:szCs w:val="20"/>
        </w:rPr>
        <w:footnoteReference w:id="3"/>
      </w:r>
      <w:r w:rsidR="005A714B">
        <w:rPr>
          <w:rFonts w:ascii="Verdana" w:hAnsi="Verdana"/>
          <w:sz w:val="20"/>
          <w:szCs w:val="20"/>
        </w:rPr>
        <w:t xml:space="preserve"> y adjuntó su hoja de vida. Al respecto, la Comisión consideró que el peritaje ofrecido podrá aportar elementos de análisis sobre aspectos de orden público interamericano,</w:t>
      </w:r>
      <w:r w:rsidR="000A47BB">
        <w:rPr>
          <w:rFonts w:ascii="Verdana" w:hAnsi="Verdana"/>
          <w:sz w:val="20"/>
          <w:szCs w:val="20"/>
        </w:rPr>
        <w:t xml:space="preserve"> en los términos del artículo 35.1</w:t>
      </w:r>
      <w:r w:rsidR="005A714B">
        <w:rPr>
          <w:rFonts w:ascii="Verdana" w:hAnsi="Verdana"/>
          <w:sz w:val="20"/>
          <w:szCs w:val="20"/>
        </w:rPr>
        <w:t xml:space="preserve"> f) del Reglamento</w:t>
      </w:r>
      <w:r w:rsidR="005A714B">
        <w:rPr>
          <w:rStyle w:val="Refdenotaalpie"/>
          <w:rFonts w:ascii="Verdana" w:hAnsi="Verdana"/>
          <w:sz w:val="20"/>
          <w:szCs w:val="20"/>
        </w:rPr>
        <w:footnoteReference w:id="4"/>
      </w:r>
      <w:r w:rsidR="005A714B">
        <w:rPr>
          <w:rFonts w:ascii="Verdana" w:hAnsi="Verdana"/>
          <w:sz w:val="20"/>
          <w:szCs w:val="20"/>
        </w:rPr>
        <w:t xml:space="preserve">, refiriéndose a que </w:t>
      </w:r>
      <w:r w:rsidR="004C706F">
        <w:rPr>
          <w:rFonts w:ascii="Verdana" w:hAnsi="Verdana"/>
          <w:sz w:val="20"/>
          <w:szCs w:val="20"/>
        </w:rPr>
        <w:t>el peritaje permitirá a la Corte “desarrollar su jurisprudencia respecto a las obligaciones internacionales en materia del derecho a la igualdad ante la ley en la obtención de reparaciones económicas por graves violaciones a los derechos humanos” y “fijar parámetros claros a fin de que las autoridades judiciales de los Estados de la región que resuelven reclamos de reparación por graves violaciones, decidan de manera conforme con los derechos que la CIDH consideró violados en el informe de fondo”.</w:t>
      </w:r>
    </w:p>
    <w:p w14:paraId="567CBB05" w14:textId="77777777" w:rsidR="00512F12" w:rsidRDefault="00512F12" w:rsidP="00512F12">
      <w:pPr>
        <w:pStyle w:val="Prrafodelista"/>
        <w:widowControl w:val="0"/>
        <w:spacing w:after="0"/>
        <w:ind w:left="0" w:right="65"/>
        <w:jc w:val="both"/>
        <w:rPr>
          <w:rFonts w:ascii="Verdana" w:hAnsi="Verdana"/>
          <w:sz w:val="20"/>
          <w:szCs w:val="20"/>
        </w:rPr>
      </w:pPr>
    </w:p>
    <w:p w14:paraId="0A1FA3EF" w14:textId="77777777" w:rsidR="00512F12" w:rsidRPr="00512F12" w:rsidRDefault="00512F12" w:rsidP="00512F12">
      <w:pPr>
        <w:pStyle w:val="Prrafodelista"/>
        <w:widowControl w:val="0"/>
        <w:numPr>
          <w:ilvl w:val="0"/>
          <w:numId w:val="4"/>
        </w:numPr>
        <w:spacing w:after="0"/>
        <w:ind w:left="0" w:right="65" w:firstLine="0"/>
        <w:jc w:val="both"/>
        <w:rPr>
          <w:rFonts w:ascii="Verdana" w:hAnsi="Verdana"/>
          <w:sz w:val="20"/>
          <w:szCs w:val="20"/>
        </w:rPr>
      </w:pPr>
      <w:r w:rsidRPr="004C706F">
        <w:rPr>
          <w:rFonts w:ascii="Verdana" w:hAnsi="Verdana"/>
          <w:sz w:val="20"/>
          <w:szCs w:val="20"/>
        </w:rPr>
        <w:t>El Estado no presentó ninguna observación a la designación de este perito.</w:t>
      </w:r>
    </w:p>
    <w:p w14:paraId="7AE0B7A0" w14:textId="77777777" w:rsidR="00BC1004" w:rsidRDefault="00BC1004" w:rsidP="00BC1004">
      <w:pPr>
        <w:pStyle w:val="Prrafodelista"/>
        <w:widowControl w:val="0"/>
        <w:spacing w:after="0"/>
        <w:ind w:left="0" w:right="65"/>
        <w:jc w:val="both"/>
        <w:rPr>
          <w:rFonts w:ascii="Verdana" w:hAnsi="Verdana"/>
          <w:sz w:val="20"/>
          <w:szCs w:val="20"/>
        </w:rPr>
      </w:pPr>
    </w:p>
    <w:p w14:paraId="19F170FC" w14:textId="1BE7C6B8" w:rsidR="00A74424" w:rsidRDefault="00512F12" w:rsidP="00E23189">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La </w:t>
      </w:r>
      <w:proofErr w:type="gramStart"/>
      <w:r>
        <w:rPr>
          <w:rFonts w:ascii="Verdana" w:hAnsi="Verdana"/>
          <w:sz w:val="20"/>
          <w:szCs w:val="20"/>
        </w:rPr>
        <w:t>Presidenta</w:t>
      </w:r>
      <w:proofErr w:type="gramEnd"/>
      <w:r>
        <w:rPr>
          <w:rFonts w:ascii="Verdana" w:hAnsi="Verdana"/>
          <w:sz w:val="20"/>
          <w:szCs w:val="20"/>
        </w:rPr>
        <w:t xml:space="preserve"> procederá a analizar la admisibilidad del peritaje </w:t>
      </w:r>
      <w:r w:rsidR="00184424">
        <w:rPr>
          <w:rFonts w:ascii="Verdana" w:hAnsi="Verdana"/>
          <w:sz w:val="20"/>
          <w:szCs w:val="20"/>
        </w:rPr>
        <w:t>con fundamento en el artículo 35.1</w:t>
      </w:r>
      <w:r>
        <w:rPr>
          <w:rFonts w:ascii="Verdana" w:hAnsi="Verdana"/>
          <w:sz w:val="20"/>
          <w:szCs w:val="20"/>
        </w:rPr>
        <w:t xml:space="preserve"> f) del Reglamento, que supedita el eventual ofrecimiento de peritos cuando se afecte de manera relevante el orden público interamericano de los derechos humanos, lo cual corresponde a la Comisión sustentar</w:t>
      </w:r>
      <w:r w:rsidRPr="00227CAB">
        <w:rPr>
          <w:rFonts w:ascii="Verdana" w:hAnsi="Verdana" w:cs="Arial"/>
          <w:sz w:val="20"/>
          <w:szCs w:val="20"/>
          <w:vertAlign w:val="superscript"/>
          <w:lang w:val="es-ES_tradnl"/>
        </w:rPr>
        <w:footnoteReference w:id="5"/>
      </w:r>
      <w:r>
        <w:rPr>
          <w:rFonts w:ascii="Verdana" w:hAnsi="Verdana"/>
          <w:sz w:val="20"/>
          <w:szCs w:val="20"/>
        </w:rPr>
        <w:t xml:space="preserve">. </w:t>
      </w:r>
    </w:p>
    <w:p w14:paraId="71F2C798" w14:textId="77777777" w:rsidR="000B0B74" w:rsidRPr="000B0B74" w:rsidRDefault="000B0B74" w:rsidP="000B0B74">
      <w:pPr>
        <w:pStyle w:val="Prrafodelista"/>
        <w:rPr>
          <w:rFonts w:ascii="Verdana" w:hAnsi="Verdana"/>
          <w:sz w:val="20"/>
          <w:szCs w:val="20"/>
        </w:rPr>
      </w:pPr>
    </w:p>
    <w:p w14:paraId="045CAA02" w14:textId="09ED08F8" w:rsidR="000B0B74" w:rsidRDefault="000B0B74" w:rsidP="00E23189">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La </w:t>
      </w:r>
      <w:proofErr w:type="gramStart"/>
      <w:r>
        <w:rPr>
          <w:rFonts w:ascii="Verdana" w:hAnsi="Verdana"/>
          <w:sz w:val="20"/>
          <w:szCs w:val="20"/>
        </w:rPr>
        <w:t>Presidenta</w:t>
      </w:r>
      <w:proofErr w:type="gramEnd"/>
      <w:r>
        <w:rPr>
          <w:rFonts w:ascii="Verdana" w:hAnsi="Verdana"/>
          <w:sz w:val="20"/>
          <w:szCs w:val="20"/>
        </w:rPr>
        <w:t xml:space="preserve"> considera que la Comisión sustentó de forma suficiente las razones por las que, en el presente caso, se afecta de manera relevante el orden público interamericano de los derechos humanos, para los efectos de proponer prueba pericial. En efecto, el </w:t>
      </w:r>
      <w:r w:rsidR="009C1651">
        <w:rPr>
          <w:rFonts w:ascii="Verdana" w:hAnsi="Verdana"/>
          <w:sz w:val="20"/>
          <w:szCs w:val="20"/>
        </w:rPr>
        <w:t>peritaje</w:t>
      </w:r>
      <w:r>
        <w:rPr>
          <w:rFonts w:ascii="Verdana" w:hAnsi="Verdana"/>
          <w:sz w:val="20"/>
          <w:szCs w:val="20"/>
        </w:rPr>
        <w:t xml:space="preserve"> podrá servir para establecer estándares sobre las obligaciones de las autoridades judiciales cuando resuelven reclamos de reparación </w:t>
      </w:r>
      <w:r w:rsidR="0093779B">
        <w:rPr>
          <w:rFonts w:ascii="Verdana" w:hAnsi="Verdana"/>
          <w:sz w:val="20"/>
          <w:szCs w:val="20"/>
        </w:rPr>
        <w:t xml:space="preserve">económica </w:t>
      </w:r>
      <w:r>
        <w:rPr>
          <w:rFonts w:ascii="Verdana" w:hAnsi="Verdana"/>
          <w:sz w:val="20"/>
          <w:szCs w:val="20"/>
        </w:rPr>
        <w:t xml:space="preserve">por graves violaciones a </w:t>
      </w:r>
      <w:r w:rsidR="006A7516">
        <w:rPr>
          <w:rFonts w:ascii="Verdana" w:hAnsi="Verdana"/>
          <w:sz w:val="20"/>
          <w:szCs w:val="20"/>
        </w:rPr>
        <w:t xml:space="preserve">los </w:t>
      </w:r>
      <w:r>
        <w:rPr>
          <w:rFonts w:ascii="Verdana" w:hAnsi="Verdana"/>
          <w:sz w:val="20"/>
          <w:szCs w:val="20"/>
        </w:rPr>
        <w:t>derechos</w:t>
      </w:r>
      <w:r w:rsidR="006A7516">
        <w:rPr>
          <w:rFonts w:ascii="Verdana" w:hAnsi="Verdana"/>
          <w:sz w:val="20"/>
          <w:szCs w:val="20"/>
        </w:rPr>
        <w:t xml:space="preserve"> humanos</w:t>
      </w:r>
      <w:r>
        <w:rPr>
          <w:rFonts w:ascii="Verdana" w:hAnsi="Verdana"/>
          <w:sz w:val="20"/>
          <w:szCs w:val="20"/>
        </w:rPr>
        <w:t>. En este sentido, el objeto del peritaje trasciende los intereses específicos de las partes en el proceso y puede, eventualmente, tener impacto sobre situaciones que se presentan en otros Esta</w:t>
      </w:r>
      <w:r w:rsidR="00184424">
        <w:rPr>
          <w:rFonts w:ascii="Verdana" w:hAnsi="Verdana"/>
          <w:sz w:val="20"/>
          <w:szCs w:val="20"/>
        </w:rPr>
        <w:t>d</w:t>
      </w:r>
      <w:r>
        <w:rPr>
          <w:rFonts w:ascii="Verdana" w:hAnsi="Verdana"/>
          <w:sz w:val="20"/>
          <w:szCs w:val="20"/>
        </w:rPr>
        <w:t>os Parte de la Convención</w:t>
      </w:r>
      <w:r>
        <w:rPr>
          <w:rStyle w:val="Refdenotaalpie"/>
          <w:rFonts w:ascii="Verdana" w:hAnsi="Verdana"/>
          <w:sz w:val="20"/>
          <w:szCs w:val="20"/>
        </w:rPr>
        <w:footnoteReference w:id="6"/>
      </w:r>
      <w:r>
        <w:rPr>
          <w:rFonts w:ascii="Verdana" w:hAnsi="Verdana"/>
          <w:sz w:val="20"/>
          <w:szCs w:val="20"/>
        </w:rPr>
        <w:t>.</w:t>
      </w:r>
    </w:p>
    <w:p w14:paraId="5E8830C3" w14:textId="77777777" w:rsidR="00E23189" w:rsidRPr="00E23189" w:rsidRDefault="00E23189" w:rsidP="00E23189">
      <w:pPr>
        <w:pStyle w:val="Prrafodelista"/>
        <w:widowControl w:val="0"/>
        <w:spacing w:after="0"/>
        <w:ind w:left="0" w:right="65"/>
        <w:jc w:val="both"/>
        <w:rPr>
          <w:rFonts w:ascii="Verdana" w:hAnsi="Verdana"/>
          <w:sz w:val="20"/>
          <w:szCs w:val="20"/>
        </w:rPr>
      </w:pPr>
    </w:p>
    <w:p w14:paraId="29C3920A" w14:textId="23AE40A0" w:rsidR="00A74424" w:rsidRDefault="00560889" w:rsidP="006F13BA">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En consecuencia, la </w:t>
      </w:r>
      <w:proofErr w:type="gramStart"/>
      <w:r>
        <w:rPr>
          <w:rFonts w:ascii="Verdana" w:hAnsi="Verdana"/>
          <w:sz w:val="20"/>
          <w:szCs w:val="20"/>
        </w:rPr>
        <w:t>Presidenta</w:t>
      </w:r>
      <w:proofErr w:type="gramEnd"/>
      <w:r>
        <w:rPr>
          <w:rFonts w:ascii="Verdana" w:hAnsi="Verdana"/>
          <w:sz w:val="20"/>
          <w:szCs w:val="20"/>
        </w:rPr>
        <w:t xml:space="preserve"> estima pertinente admitir el dictamen pericial ofrecido por la Comisión, según el objeto y modalidad determinados en la parte resolutiva de la presente decisión.</w:t>
      </w:r>
    </w:p>
    <w:p w14:paraId="53A4EE10" w14:textId="4E95DC58" w:rsidR="000B0B74" w:rsidRDefault="000B0B74" w:rsidP="000B0B74">
      <w:pPr>
        <w:rPr>
          <w:rFonts w:ascii="Verdana" w:hAnsi="Verdana"/>
          <w:sz w:val="20"/>
          <w:szCs w:val="20"/>
        </w:rPr>
      </w:pPr>
    </w:p>
    <w:p w14:paraId="4B1B62BC" w14:textId="635A3A96" w:rsidR="000B0B74" w:rsidRDefault="000B0B74" w:rsidP="000B0B74">
      <w:pPr>
        <w:pStyle w:val="Prrafodelista"/>
        <w:widowControl w:val="0"/>
        <w:numPr>
          <w:ilvl w:val="0"/>
          <w:numId w:val="5"/>
        </w:numPr>
        <w:spacing w:after="0"/>
        <w:ind w:right="65"/>
        <w:jc w:val="both"/>
        <w:rPr>
          <w:rFonts w:ascii="Verdana" w:hAnsi="Verdana"/>
          <w:b/>
          <w:i/>
          <w:sz w:val="20"/>
          <w:szCs w:val="20"/>
        </w:rPr>
      </w:pPr>
      <w:r>
        <w:rPr>
          <w:rFonts w:ascii="Verdana" w:hAnsi="Verdana"/>
          <w:b/>
          <w:i/>
          <w:sz w:val="20"/>
          <w:szCs w:val="20"/>
        </w:rPr>
        <w:t>La solicitud de la Comisión para formular preguntas a la perita ofrecida por el Estado</w:t>
      </w:r>
    </w:p>
    <w:p w14:paraId="6632EF83" w14:textId="77777777" w:rsidR="000B0B74" w:rsidRPr="000B0B74" w:rsidRDefault="000B0B74" w:rsidP="000B0B74">
      <w:pPr>
        <w:rPr>
          <w:rFonts w:ascii="Verdana" w:hAnsi="Verdana"/>
          <w:sz w:val="20"/>
          <w:szCs w:val="20"/>
        </w:rPr>
      </w:pPr>
    </w:p>
    <w:p w14:paraId="6EF1F730" w14:textId="30B90F1C" w:rsidR="000B0B74" w:rsidRDefault="000B0B74" w:rsidP="006F13BA">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La </w:t>
      </w:r>
      <w:r>
        <w:rPr>
          <w:rFonts w:ascii="Verdana" w:hAnsi="Verdana"/>
          <w:b/>
          <w:i/>
          <w:sz w:val="20"/>
          <w:szCs w:val="20"/>
        </w:rPr>
        <w:t>Comisión</w:t>
      </w:r>
      <w:r>
        <w:rPr>
          <w:rFonts w:ascii="Verdana" w:hAnsi="Verdana"/>
          <w:sz w:val="20"/>
          <w:szCs w:val="20"/>
        </w:rPr>
        <w:t>, en sus observaciones a la lista definitiva de declarantes del Estado, solicitó a la Corte “la oportunidad verbal o escrita de formular preguntas, en la medida de lo relevante y razonable, a la perita María José Guembe, cuya declaración se relaciona tanto con el orden público interamericano como con la materia sobre la cual versa el peritaje ofrecido por la Comisión”. En efecto, la Comisión estima que dichos peritajes guardan similitud entre sí y que un adecuado contradictorio permitirá a la Corte contar con mayores elementos e información al momento de decidir el presente caso.</w:t>
      </w:r>
    </w:p>
    <w:p w14:paraId="4685690F" w14:textId="77777777" w:rsidR="0053665D" w:rsidRDefault="0053665D" w:rsidP="0053665D">
      <w:pPr>
        <w:pStyle w:val="Prrafodelista"/>
        <w:widowControl w:val="0"/>
        <w:spacing w:after="0"/>
        <w:ind w:left="0" w:right="65"/>
        <w:jc w:val="both"/>
        <w:rPr>
          <w:rFonts w:ascii="Verdana" w:hAnsi="Verdana"/>
          <w:sz w:val="20"/>
          <w:szCs w:val="20"/>
        </w:rPr>
      </w:pPr>
    </w:p>
    <w:p w14:paraId="53895B74" w14:textId="071C2DA8" w:rsidR="0053665D" w:rsidRDefault="0053665D" w:rsidP="006F13BA">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La </w:t>
      </w:r>
      <w:proofErr w:type="gramStart"/>
      <w:r>
        <w:rPr>
          <w:rFonts w:ascii="Verdana" w:hAnsi="Verdana"/>
          <w:sz w:val="20"/>
          <w:szCs w:val="20"/>
        </w:rPr>
        <w:t>Presidenta</w:t>
      </w:r>
      <w:proofErr w:type="gramEnd"/>
      <w:r>
        <w:rPr>
          <w:rFonts w:ascii="Verdana" w:hAnsi="Verdana"/>
          <w:sz w:val="20"/>
          <w:szCs w:val="20"/>
        </w:rPr>
        <w:t xml:space="preserve"> recuerda las normas del Reglamento del Tribunal en cuanto a la recepción de declaraciones propuesta por la Comisión, así como en relación con la facultad de ésta para interrogar a los declarantes ofrecidos por las partes</w:t>
      </w:r>
      <w:r>
        <w:rPr>
          <w:rStyle w:val="Refdenotaalpie"/>
          <w:rFonts w:ascii="Verdana" w:hAnsi="Verdana"/>
          <w:sz w:val="20"/>
          <w:szCs w:val="20"/>
        </w:rPr>
        <w:footnoteReference w:id="7"/>
      </w:r>
      <w:r>
        <w:rPr>
          <w:rFonts w:ascii="Verdana" w:hAnsi="Verdana"/>
          <w:sz w:val="20"/>
          <w:szCs w:val="20"/>
        </w:rPr>
        <w:t>. En particular, es pertinente recordar lo establecido en los artículos 50.5 y 52.3 del Reglamento, de modo tal que corresponde a la Comisión fundamentar en cada caso cuál es el vínculo tanto con el orden público interamericano como con la materia sobre la que verse un peritaje, para que pueda evaluarse la solicitud oportunamente y, si corresponde, autorizar la posibilidad de que la Comisión haga su interrogatorio.</w:t>
      </w:r>
    </w:p>
    <w:p w14:paraId="0F244340" w14:textId="77777777" w:rsidR="0053665D" w:rsidRPr="0053665D" w:rsidRDefault="0053665D" w:rsidP="0053665D">
      <w:pPr>
        <w:pStyle w:val="Prrafodelista"/>
        <w:rPr>
          <w:rFonts w:ascii="Verdana" w:hAnsi="Verdana"/>
          <w:sz w:val="20"/>
          <w:szCs w:val="20"/>
        </w:rPr>
      </w:pPr>
    </w:p>
    <w:p w14:paraId="5F104B43" w14:textId="4E2B0A20" w:rsidR="0053665D" w:rsidRDefault="0053665D" w:rsidP="006F13BA">
      <w:pPr>
        <w:pStyle w:val="Prrafodelista"/>
        <w:widowControl w:val="0"/>
        <w:numPr>
          <w:ilvl w:val="0"/>
          <w:numId w:val="4"/>
        </w:numPr>
        <w:spacing w:after="0"/>
        <w:ind w:left="0" w:right="65" w:firstLine="0"/>
        <w:jc w:val="both"/>
        <w:rPr>
          <w:rFonts w:ascii="Verdana" w:hAnsi="Verdana"/>
          <w:sz w:val="20"/>
          <w:szCs w:val="20"/>
        </w:rPr>
      </w:pPr>
      <w:r w:rsidRPr="00137A82">
        <w:rPr>
          <w:rFonts w:ascii="Verdana" w:hAnsi="Verdana"/>
          <w:sz w:val="20"/>
          <w:szCs w:val="20"/>
        </w:rPr>
        <w:t xml:space="preserve">Con respecto a la solicitud de la Comisión, esta Presidencia considera que, efectivamente, el objeto del dictamen de la perita María </w:t>
      </w:r>
      <w:r>
        <w:rPr>
          <w:rFonts w:ascii="Verdana" w:hAnsi="Verdana"/>
          <w:sz w:val="20"/>
          <w:szCs w:val="20"/>
        </w:rPr>
        <w:t>José Guembe</w:t>
      </w:r>
      <w:r>
        <w:rPr>
          <w:rStyle w:val="Refdenotaalpie"/>
          <w:rFonts w:ascii="Verdana" w:hAnsi="Verdana"/>
          <w:sz w:val="20"/>
          <w:szCs w:val="20"/>
        </w:rPr>
        <w:footnoteReference w:id="8"/>
      </w:r>
      <w:r w:rsidRPr="00137A82">
        <w:rPr>
          <w:rFonts w:ascii="Verdana" w:hAnsi="Verdana"/>
          <w:sz w:val="20"/>
          <w:szCs w:val="20"/>
        </w:rPr>
        <w:t xml:space="preserve">, ofrecido por el Estado, se encuentra relacionado con el peritaje propuesto por la Comisión, en particular </w:t>
      </w:r>
      <w:r>
        <w:rPr>
          <w:rFonts w:ascii="Verdana" w:hAnsi="Verdana"/>
          <w:sz w:val="20"/>
          <w:szCs w:val="20"/>
        </w:rPr>
        <w:t xml:space="preserve">en lo relativo al alcance de la política reparatoria </w:t>
      </w:r>
      <w:r w:rsidR="006A7516">
        <w:rPr>
          <w:rFonts w:ascii="Verdana" w:hAnsi="Verdana"/>
          <w:sz w:val="20"/>
          <w:szCs w:val="20"/>
        </w:rPr>
        <w:t xml:space="preserve">de graves violaciones a los derechos humanos </w:t>
      </w:r>
      <w:r>
        <w:rPr>
          <w:rFonts w:ascii="Verdana" w:hAnsi="Verdana"/>
          <w:sz w:val="20"/>
          <w:szCs w:val="20"/>
        </w:rPr>
        <w:t>en perspectiva comparada regional</w:t>
      </w:r>
      <w:r w:rsidRPr="00137A82">
        <w:rPr>
          <w:rFonts w:ascii="Verdana" w:hAnsi="Verdana"/>
          <w:sz w:val="20"/>
          <w:szCs w:val="20"/>
          <w:lang w:val="es-AR"/>
        </w:rPr>
        <w:t>.</w:t>
      </w:r>
      <w:r w:rsidRPr="00137A82">
        <w:rPr>
          <w:rFonts w:ascii="Verdana" w:hAnsi="Verdana"/>
          <w:sz w:val="20"/>
          <w:szCs w:val="20"/>
        </w:rPr>
        <w:t xml:space="preserve"> Por este motivo,</w:t>
      </w:r>
      <w:r>
        <w:rPr>
          <w:rFonts w:ascii="Verdana" w:hAnsi="Verdana"/>
          <w:sz w:val="20"/>
          <w:szCs w:val="20"/>
        </w:rPr>
        <w:t xml:space="preserve"> </w:t>
      </w:r>
      <w:r w:rsidRPr="00137A82">
        <w:rPr>
          <w:rFonts w:ascii="Verdana" w:hAnsi="Verdana"/>
          <w:sz w:val="20"/>
          <w:szCs w:val="20"/>
        </w:rPr>
        <w:t xml:space="preserve">estima procedente conceder oportunidad a la Comisión para formular preguntas a la perita </w:t>
      </w:r>
      <w:r w:rsidR="00351934">
        <w:rPr>
          <w:rFonts w:ascii="Verdana" w:hAnsi="Verdana"/>
          <w:sz w:val="20"/>
          <w:szCs w:val="20"/>
        </w:rPr>
        <w:t>María José Gu</w:t>
      </w:r>
      <w:r>
        <w:rPr>
          <w:rFonts w:ascii="Verdana" w:hAnsi="Verdana"/>
          <w:sz w:val="20"/>
          <w:szCs w:val="20"/>
        </w:rPr>
        <w:t>e</w:t>
      </w:r>
      <w:r w:rsidR="00351934">
        <w:rPr>
          <w:rFonts w:ascii="Verdana" w:hAnsi="Verdana"/>
          <w:sz w:val="20"/>
          <w:szCs w:val="20"/>
        </w:rPr>
        <w:t>m</w:t>
      </w:r>
      <w:r>
        <w:rPr>
          <w:rFonts w:ascii="Verdana" w:hAnsi="Verdana"/>
          <w:sz w:val="20"/>
          <w:szCs w:val="20"/>
        </w:rPr>
        <w:t>be</w:t>
      </w:r>
      <w:r w:rsidRPr="00137A82">
        <w:rPr>
          <w:rFonts w:ascii="Verdana" w:hAnsi="Verdana"/>
          <w:sz w:val="20"/>
          <w:szCs w:val="20"/>
        </w:rPr>
        <w:t>.</w:t>
      </w:r>
    </w:p>
    <w:p w14:paraId="0DEE4073" w14:textId="6A83A188" w:rsidR="00B2735E" w:rsidRDefault="00B2735E" w:rsidP="00B2735E">
      <w:pPr>
        <w:rPr>
          <w:rFonts w:ascii="Verdana" w:hAnsi="Verdana"/>
          <w:sz w:val="20"/>
          <w:szCs w:val="20"/>
        </w:rPr>
      </w:pPr>
    </w:p>
    <w:p w14:paraId="5634B71F" w14:textId="67976BD6" w:rsidR="00B2735E" w:rsidRPr="00B2735E" w:rsidRDefault="00B2735E" w:rsidP="00B2735E">
      <w:pPr>
        <w:pStyle w:val="Prrafodelista"/>
        <w:widowControl w:val="0"/>
        <w:numPr>
          <w:ilvl w:val="0"/>
          <w:numId w:val="5"/>
        </w:numPr>
        <w:spacing w:after="0"/>
        <w:ind w:right="65"/>
        <w:jc w:val="both"/>
        <w:rPr>
          <w:rFonts w:ascii="Verdana" w:hAnsi="Verdana"/>
          <w:b/>
          <w:i/>
          <w:sz w:val="20"/>
          <w:szCs w:val="20"/>
        </w:rPr>
      </w:pPr>
      <w:r w:rsidRPr="00B2735E">
        <w:rPr>
          <w:rFonts w:ascii="Verdana" w:hAnsi="Verdana"/>
          <w:b/>
          <w:i/>
          <w:sz w:val="20"/>
          <w:szCs w:val="20"/>
        </w:rPr>
        <w:t>La procedencia de recibir la declaración de la presunta víctima como diligencia probatoria de oficio</w:t>
      </w:r>
    </w:p>
    <w:p w14:paraId="56D8CCC6" w14:textId="77777777" w:rsidR="00B2735E" w:rsidRPr="00B2735E" w:rsidRDefault="00B2735E" w:rsidP="00B2735E">
      <w:pPr>
        <w:rPr>
          <w:rFonts w:ascii="Verdana" w:hAnsi="Verdana"/>
          <w:sz w:val="20"/>
          <w:szCs w:val="20"/>
        </w:rPr>
      </w:pPr>
    </w:p>
    <w:p w14:paraId="151E7815" w14:textId="6188ECED" w:rsidR="009C1651" w:rsidRDefault="00B2735E" w:rsidP="009C1651">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El artículo 58 inciso a) faculta a la Corte, en cualquier estado de la causa a “procurar de oficio todo prueba que considera útil y necesaria. En particular, podrá oír en calidad de presunta víctima, testigo, perito o por otro título, a cualquier persona cuya declaración, testimonio u opinión estime pertinente”. </w:t>
      </w:r>
    </w:p>
    <w:p w14:paraId="5CF63489" w14:textId="77777777" w:rsidR="009C1651" w:rsidRPr="009C1651" w:rsidRDefault="009C1651" w:rsidP="009C1651">
      <w:pPr>
        <w:pStyle w:val="Prrafodelista"/>
        <w:widowControl w:val="0"/>
        <w:spacing w:after="0"/>
        <w:ind w:left="0" w:right="65"/>
        <w:jc w:val="both"/>
        <w:rPr>
          <w:rFonts w:ascii="Verdana" w:hAnsi="Verdana"/>
          <w:sz w:val="20"/>
          <w:szCs w:val="20"/>
        </w:rPr>
      </w:pPr>
    </w:p>
    <w:p w14:paraId="4D2AD7B1" w14:textId="3F87D5C6" w:rsidR="000B0B74" w:rsidRPr="00F420AD" w:rsidRDefault="00B2735E" w:rsidP="000B0B74">
      <w:pPr>
        <w:pStyle w:val="Prrafodelista"/>
        <w:widowControl w:val="0"/>
        <w:numPr>
          <w:ilvl w:val="0"/>
          <w:numId w:val="4"/>
        </w:numPr>
        <w:spacing w:after="0"/>
        <w:ind w:left="0" w:right="65" w:firstLine="0"/>
        <w:jc w:val="both"/>
        <w:rPr>
          <w:rFonts w:ascii="Verdana" w:hAnsi="Verdana"/>
          <w:sz w:val="20"/>
          <w:szCs w:val="20"/>
        </w:rPr>
      </w:pPr>
      <w:r>
        <w:rPr>
          <w:rFonts w:ascii="Verdana" w:hAnsi="Verdana"/>
          <w:sz w:val="20"/>
          <w:szCs w:val="20"/>
        </w:rPr>
        <w:t xml:space="preserve">Por otra parte, este Tribunal ya </w:t>
      </w:r>
      <w:r w:rsidR="00F420AD" w:rsidRPr="00570DA3">
        <w:rPr>
          <w:rFonts w:ascii="Verdana" w:hAnsi="Verdana"/>
          <w:sz w:val="20"/>
          <w:szCs w:val="20"/>
        </w:rPr>
        <w:t xml:space="preserve">ha destacado la utilidad de las declaraciones de las presuntas víctimas, en la medida en que pueden proporcionar </w:t>
      </w:r>
      <w:proofErr w:type="gramStart"/>
      <w:r w:rsidR="00F420AD" w:rsidRPr="00570DA3">
        <w:rPr>
          <w:rFonts w:ascii="Verdana" w:hAnsi="Verdana"/>
          <w:sz w:val="20"/>
          <w:szCs w:val="20"/>
        </w:rPr>
        <w:t>mayor información</w:t>
      </w:r>
      <w:proofErr w:type="gramEnd"/>
      <w:r w:rsidR="00F420AD" w:rsidRPr="00570DA3">
        <w:rPr>
          <w:rFonts w:ascii="Verdana" w:hAnsi="Verdana"/>
          <w:sz w:val="20"/>
          <w:szCs w:val="20"/>
        </w:rPr>
        <w:t xml:space="preserve"> sobre las violaciones alegadas y sus consecuencias</w:t>
      </w:r>
      <w:r w:rsidR="00F420AD" w:rsidRPr="00570DA3">
        <w:rPr>
          <w:rStyle w:val="Refdenotaalpie"/>
          <w:rFonts w:ascii="Verdana" w:hAnsi="Verdana"/>
          <w:sz w:val="20"/>
          <w:szCs w:val="20"/>
        </w:rPr>
        <w:footnoteReference w:id="9"/>
      </w:r>
      <w:r w:rsidR="00F420AD" w:rsidRPr="00570DA3">
        <w:rPr>
          <w:rFonts w:ascii="Verdana" w:hAnsi="Verdana"/>
          <w:sz w:val="20"/>
          <w:szCs w:val="20"/>
        </w:rPr>
        <w:t>. Además, ha resaltado que las presuntas víctimas pueden ilustrar a la Corte respecto de las medidas de reparación que, eventualmente, podría adoptar</w:t>
      </w:r>
      <w:r w:rsidR="00F420AD" w:rsidRPr="00570DA3">
        <w:rPr>
          <w:rStyle w:val="Refdenotaalpie"/>
          <w:rFonts w:ascii="Verdana" w:hAnsi="Verdana"/>
          <w:sz w:val="20"/>
          <w:szCs w:val="20"/>
        </w:rPr>
        <w:footnoteReference w:id="10"/>
      </w:r>
      <w:r w:rsidR="00F420AD" w:rsidRPr="00570DA3">
        <w:rPr>
          <w:rFonts w:ascii="Verdana" w:hAnsi="Verdana"/>
          <w:sz w:val="20"/>
          <w:szCs w:val="20"/>
        </w:rPr>
        <w:t>.</w:t>
      </w:r>
      <w:r w:rsidR="00F420AD">
        <w:rPr>
          <w:rFonts w:ascii="Verdana" w:hAnsi="Verdana"/>
          <w:sz w:val="20"/>
          <w:szCs w:val="20"/>
        </w:rPr>
        <w:t xml:space="preserve"> Por tal motivo, </w:t>
      </w:r>
      <w:r w:rsidR="0093779B">
        <w:rPr>
          <w:rFonts w:ascii="Verdana" w:hAnsi="Verdana"/>
          <w:sz w:val="20"/>
          <w:szCs w:val="20"/>
        </w:rPr>
        <w:t xml:space="preserve">la </w:t>
      </w:r>
      <w:proofErr w:type="gramStart"/>
      <w:r w:rsidR="0093779B">
        <w:rPr>
          <w:rFonts w:ascii="Verdana" w:hAnsi="Verdana"/>
          <w:sz w:val="20"/>
          <w:szCs w:val="20"/>
        </w:rPr>
        <w:t>Presidenta</w:t>
      </w:r>
      <w:proofErr w:type="gramEnd"/>
      <w:r w:rsidR="0093779B">
        <w:rPr>
          <w:rFonts w:ascii="Verdana" w:hAnsi="Verdana"/>
          <w:sz w:val="20"/>
          <w:szCs w:val="20"/>
        </w:rPr>
        <w:t xml:space="preserve"> estima conveniente </w:t>
      </w:r>
      <w:r w:rsidR="00F420AD">
        <w:rPr>
          <w:rFonts w:ascii="Verdana" w:hAnsi="Verdana"/>
          <w:sz w:val="20"/>
          <w:szCs w:val="20"/>
        </w:rPr>
        <w:t xml:space="preserve">proceder a recabar </w:t>
      </w:r>
      <w:r w:rsidR="0093779B">
        <w:rPr>
          <w:rFonts w:ascii="Verdana" w:hAnsi="Verdana"/>
          <w:sz w:val="20"/>
          <w:szCs w:val="20"/>
        </w:rPr>
        <w:t xml:space="preserve">la </w:t>
      </w:r>
      <w:r w:rsidR="00F420AD">
        <w:rPr>
          <w:rFonts w:ascii="Verdana" w:hAnsi="Verdana"/>
          <w:sz w:val="20"/>
          <w:szCs w:val="20"/>
        </w:rPr>
        <w:t>declaración</w:t>
      </w:r>
      <w:r w:rsidR="0093779B">
        <w:rPr>
          <w:rFonts w:ascii="Verdana" w:hAnsi="Verdana"/>
          <w:sz w:val="20"/>
          <w:szCs w:val="20"/>
        </w:rPr>
        <w:t xml:space="preserve"> del señor Almeida, en su carácter de presunta víctima en el presente caso,</w:t>
      </w:r>
      <w:r w:rsidR="00F420AD">
        <w:rPr>
          <w:rFonts w:ascii="Verdana" w:hAnsi="Verdana"/>
          <w:sz w:val="20"/>
          <w:szCs w:val="20"/>
        </w:rPr>
        <w:t xml:space="preserve"> por medio de </w:t>
      </w:r>
      <w:r w:rsidR="00F420AD">
        <w:rPr>
          <w:rFonts w:ascii="Verdana" w:hAnsi="Verdana"/>
          <w:i/>
          <w:sz w:val="20"/>
          <w:szCs w:val="20"/>
        </w:rPr>
        <w:t>affidávit</w:t>
      </w:r>
      <w:r w:rsidR="00F420AD">
        <w:rPr>
          <w:rFonts w:ascii="Verdana" w:hAnsi="Verdana"/>
          <w:sz w:val="20"/>
          <w:szCs w:val="20"/>
        </w:rPr>
        <w:t xml:space="preserve"> y de conformidad con el objeto delimitado en la parte resolutiva.</w:t>
      </w:r>
    </w:p>
    <w:p w14:paraId="4331BE09" w14:textId="5C5E7077" w:rsidR="000B0B74" w:rsidRPr="000B0B74" w:rsidRDefault="000B0B74" w:rsidP="000B0B74">
      <w:pPr>
        <w:widowControl w:val="0"/>
        <w:spacing w:after="0"/>
        <w:ind w:right="65"/>
        <w:jc w:val="both"/>
        <w:rPr>
          <w:rFonts w:ascii="Verdana" w:hAnsi="Verdana"/>
          <w:sz w:val="20"/>
          <w:szCs w:val="20"/>
        </w:rPr>
      </w:pPr>
    </w:p>
    <w:p w14:paraId="3D293119" w14:textId="77777777" w:rsidR="00560889" w:rsidRDefault="00560889" w:rsidP="00560889">
      <w:pPr>
        <w:widowControl w:val="0"/>
        <w:spacing w:after="0"/>
        <w:ind w:right="65"/>
        <w:jc w:val="both"/>
        <w:rPr>
          <w:rFonts w:ascii="Verdana" w:hAnsi="Verdana"/>
          <w:sz w:val="20"/>
          <w:szCs w:val="20"/>
        </w:rPr>
      </w:pPr>
    </w:p>
    <w:p w14:paraId="704D5476" w14:textId="77777777" w:rsidR="00560889" w:rsidRDefault="009B6EF5" w:rsidP="00560889">
      <w:pPr>
        <w:widowControl w:val="0"/>
        <w:spacing w:after="0"/>
        <w:ind w:right="65"/>
        <w:jc w:val="both"/>
        <w:rPr>
          <w:rFonts w:ascii="Verdana" w:hAnsi="Verdana"/>
          <w:b/>
          <w:sz w:val="20"/>
          <w:szCs w:val="20"/>
        </w:rPr>
      </w:pPr>
      <w:r>
        <w:rPr>
          <w:rFonts w:ascii="Verdana" w:hAnsi="Verdana"/>
          <w:b/>
          <w:sz w:val="20"/>
          <w:szCs w:val="20"/>
        </w:rPr>
        <w:t>POR TANTO</w:t>
      </w:r>
    </w:p>
    <w:p w14:paraId="61AE1E8A" w14:textId="77777777" w:rsidR="009B6EF5" w:rsidRDefault="009B6EF5" w:rsidP="00560889">
      <w:pPr>
        <w:widowControl w:val="0"/>
        <w:spacing w:after="0"/>
        <w:ind w:right="65"/>
        <w:jc w:val="both"/>
        <w:rPr>
          <w:rFonts w:ascii="Verdana" w:hAnsi="Verdana"/>
          <w:b/>
          <w:sz w:val="20"/>
          <w:szCs w:val="20"/>
        </w:rPr>
      </w:pPr>
    </w:p>
    <w:p w14:paraId="6FD66EB8" w14:textId="77777777" w:rsidR="009B6EF5" w:rsidRDefault="009B6EF5" w:rsidP="00560889">
      <w:pPr>
        <w:widowControl w:val="0"/>
        <w:spacing w:after="0"/>
        <w:ind w:right="65"/>
        <w:jc w:val="both"/>
        <w:rPr>
          <w:rFonts w:ascii="Verdana" w:hAnsi="Verdana"/>
          <w:b/>
          <w:sz w:val="20"/>
          <w:szCs w:val="20"/>
        </w:rPr>
      </w:pPr>
      <w:r>
        <w:rPr>
          <w:rFonts w:ascii="Verdana" w:hAnsi="Verdana"/>
          <w:b/>
          <w:sz w:val="20"/>
          <w:szCs w:val="20"/>
        </w:rPr>
        <w:t>LA PRESIDENTA DE LA CORTE INTERAMERICANA DE DERECHOS HUMANOS</w:t>
      </w:r>
    </w:p>
    <w:p w14:paraId="106279D7" w14:textId="77777777" w:rsidR="00835B03" w:rsidRDefault="00835B03" w:rsidP="00560889">
      <w:pPr>
        <w:widowControl w:val="0"/>
        <w:spacing w:after="0"/>
        <w:ind w:right="65"/>
        <w:jc w:val="both"/>
        <w:rPr>
          <w:rFonts w:ascii="Verdana" w:hAnsi="Verdana"/>
          <w:b/>
          <w:sz w:val="20"/>
          <w:szCs w:val="20"/>
        </w:rPr>
      </w:pPr>
    </w:p>
    <w:p w14:paraId="2CE8DD49" w14:textId="20BDD321" w:rsidR="00835B03" w:rsidRPr="00B05751" w:rsidRDefault="00835B03" w:rsidP="00835B03">
      <w:pPr>
        <w:tabs>
          <w:tab w:val="left" w:pos="9500"/>
        </w:tabs>
        <w:spacing w:after="0"/>
        <w:ind w:left="112" w:right="-130"/>
        <w:jc w:val="both"/>
        <w:rPr>
          <w:rFonts w:ascii="Verdana" w:eastAsia="Verdana" w:hAnsi="Verdana" w:cs="Verdana"/>
          <w:sz w:val="20"/>
          <w:szCs w:val="20"/>
          <w:lang w:val="es-MX"/>
        </w:rPr>
      </w:pP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1"/>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n</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m</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ad</w:t>
      </w:r>
      <w:r w:rsidRPr="00B05751">
        <w:rPr>
          <w:rFonts w:ascii="Verdana" w:eastAsia="Verdana" w:hAnsi="Verdana" w:cs="Verdana"/>
          <w:spacing w:val="-12"/>
          <w:sz w:val="20"/>
          <w:szCs w:val="20"/>
          <w:lang w:val="es-MX"/>
        </w:rPr>
        <w:t xml:space="preserve"> </w:t>
      </w:r>
      <w:r w:rsidRPr="00B05751">
        <w:rPr>
          <w:rFonts w:ascii="Verdana" w:eastAsia="Verdana" w:hAnsi="Verdana" w:cs="Verdana"/>
          <w:spacing w:val="-1"/>
          <w:sz w:val="20"/>
          <w:szCs w:val="20"/>
          <w:lang w:val="es-MX"/>
        </w:rPr>
        <w:t>co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4</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.2</w:t>
      </w:r>
      <w:r w:rsidRPr="00B05751">
        <w:rPr>
          <w:rFonts w:ascii="Verdana" w:eastAsia="Verdana" w:hAnsi="Verdana" w:cs="Verdana"/>
          <w:spacing w:val="-5"/>
          <w:sz w:val="20"/>
          <w:szCs w:val="20"/>
          <w:lang w:val="es-MX"/>
        </w:rPr>
        <w:t xml:space="preserve"> </w:t>
      </w:r>
      <w:r w:rsidRPr="00B05751">
        <w:rPr>
          <w:rFonts w:ascii="Verdana" w:eastAsia="Verdana" w:hAnsi="Verdana" w:cs="Verdana"/>
          <w:spacing w:val="2"/>
          <w:sz w:val="20"/>
          <w:szCs w:val="20"/>
          <w:lang w:val="es-MX"/>
        </w:rPr>
        <w:t>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pacing w:val="-2"/>
          <w:sz w:val="20"/>
          <w:szCs w:val="20"/>
          <w:lang w:val="es-MX"/>
        </w:rPr>
        <w:t>E</w:t>
      </w:r>
      <w:r w:rsidRPr="00B05751">
        <w:rPr>
          <w:rFonts w:ascii="Verdana" w:eastAsia="Verdana" w:hAnsi="Verdana" w:cs="Verdana"/>
          <w:sz w:val="20"/>
          <w:szCs w:val="20"/>
          <w:lang w:val="es-MX"/>
        </w:rPr>
        <w:t>sta</w:t>
      </w:r>
      <w:r w:rsidRPr="00B05751">
        <w:rPr>
          <w:rFonts w:ascii="Verdana" w:eastAsia="Verdana" w:hAnsi="Verdana" w:cs="Verdana"/>
          <w:spacing w:val="1"/>
          <w:sz w:val="20"/>
          <w:szCs w:val="20"/>
          <w:lang w:val="es-MX"/>
        </w:rPr>
        <w:t>tut</w:t>
      </w:r>
      <w:r w:rsidRPr="00B05751">
        <w:rPr>
          <w:rFonts w:ascii="Verdana" w:eastAsia="Verdana" w:hAnsi="Verdana" w:cs="Verdana"/>
          <w:sz w:val="20"/>
          <w:szCs w:val="20"/>
          <w:lang w:val="es-MX"/>
        </w:rPr>
        <w:t>o</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de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z w:val="20"/>
          <w:szCs w:val="20"/>
          <w:lang w:val="es-MX"/>
        </w:rPr>
        <w:t>e</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2"/>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4,</w:t>
      </w:r>
      <w:r>
        <w:rPr>
          <w:rFonts w:ascii="Verdana" w:eastAsia="Verdana" w:hAnsi="Verdana" w:cs="Verdana"/>
          <w:sz w:val="20"/>
          <w:szCs w:val="20"/>
          <w:lang w:val="es-MX"/>
        </w:rPr>
        <w:t xml:space="preserve"> </w:t>
      </w:r>
      <w:r w:rsidRPr="00B05751">
        <w:rPr>
          <w:rFonts w:ascii="Verdana" w:eastAsia="Verdana" w:hAnsi="Verdana" w:cs="Verdana"/>
          <w:sz w:val="20"/>
          <w:szCs w:val="20"/>
          <w:lang w:val="es-MX"/>
        </w:rPr>
        <w:t>1</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.1,</w:t>
      </w:r>
      <w:r w:rsidRPr="00B05751">
        <w:rPr>
          <w:rFonts w:ascii="Verdana" w:eastAsia="Verdana" w:hAnsi="Verdana" w:cs="Verdana"/>
          <w:spacing w:val="-6"/>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6</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31.2,</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35.1,</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0</w:t>
      </w:r>
      <w:r w:rsidRPr="00B05751">
        <w:rPr>
          <w:rFonts w:ascii="Verdana" w:eastAsia="Verdana" w:hAnsi="Verdana" w:cs="Verdana"/>
          <w:sz w:val="20"/>
          <w:szCs w:val="20"/>
          <w:lang w:val="es-MX"/>
        </w:rPr>
        <w:t>.2,</w:t>
      </w:r>
      <w:r w:rsidRPr="00B05751">
        <w:rPr>
          <w:rFonts w:ascii="Verdana" w:eastAsia="Verdana" w:hAnsi="Verdana" w:cs="Verdana"/>
          <w:spacing w:val="-6"/>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1</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45</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3"/>
          <w:sz w:val="20"/>
          <w:szCs w:val="20"/>
          <w:lang w:val="es-MX"/>
        </w:rPr>
        <w:t>8</w:t>
      </w:r>
      <w:r w:rsidRPr="00B05751">
        <w:rPr>
          <w:rFonts w:ascii="Verdana" w:eastAsia="Verdana" w:hAnsi="Verdana" w:cs="Verdana"/>
          <w:sz w:val="20"/>
          <w:szCs w:val="20"/>
          <w:lang w:val="es-MX"/>
        </w:rPr>
        <w:t>,</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50</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56</w:t>
      </w:r>
      <w:r w:rsidR="0093779B">
        <w:rPr>
          <w:rFonts w:ascii="Verdana" w:eastAsia="Verdana" w:hAnsi="Verdana" w:cs="Verdana"/>
          <w:sz w:val="20"/>
          <w:szCs w:val="20"/>
          <w:lang w:val="es-MX"/>
        </w:rPr>
        <w:t>, 58</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60 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R</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g</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m</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nt</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w:t>
      </w:r>
    </w:p>
    <w:p w14:paraId="7C7E0B7D" w14:textId="77777777" w:rsidR="00835B03" w:rsidRPr="00835B03" w:rsidRDefault="00835B03" w:rsidP="00560889">
      <w:pPr>
        <w:widowControl w:val="0"/>
        <w:spacing w:after="0"/>
        <w:ind w:right="65"/>
        <w:jc w:val="both"/>
        <w:rPr>
          <w:rFonts w:ascii="Verdana" w:hAnsi="Verdana"/>
          <w:b/>
          <w:sz w:val="20"/>
          <w:szCs w:val="20"/>
          <w:lang w:val="es-MX"/>
        </w:rPr>
      </w:pPr>
    </w:p>
    <w:p w14:paraId="0A8BAFAD" w14:textId="1C8F1E3C" w:rsidR="00835B03" w:rsidRDefault="00835B03" w:rsidP="00560889">
      <w:pPr>
        <w:widowControl w:val="0"/>
        <w:spacing w:after="0"/>
        <w:ind w:right="65"/>
        <w:jc w:val="both"/>
        <w:rPr>
          <w:rFonts w:ascii="Verdana" w:hAnsi="Verdana"/>
          <w:b/>
          <w:sz w:val="20"/>
          <w:szCs w:val="20"/>
        </w:rPr>
      </w:pPr>
      <w:r>
        <w:rPr>
          <w:rFonts w:ascii="Verdana" w:hAnsi="Verdana"/>
          <w:b/>
          <w:sz w:val="20"/>
          <w:szCs w:val="20"/>
        </w:rPr>
        <w:t>RESUELVE</w:t>
      </w:r>
      <w:r w:rsidR="00CD2E13">
        <w:rPr>
          <w:rFonts w:ascii="Verdana" w:hAnsi="Verdana"/>
          <w:b/>
          <w:sz w:val="20"/>
          <w:szCs w:val="20"/>
        </w:rPr>
        <w:t xml:space="preserve"> </w:t>
      </w:r>
    </w:p>
    <w:p w14:paraId="2BDF3DAA" w14:textId="77777777" w:rsidR="00835B03" w:rsidRDefault="00835B03" w:rsidP="00560889">
      <w:pPr>
        <w:widowControl w:val="0"/>
        <w:spacing w:after="0"/>
        <w:ind w:right="65"/>
        <w:jc w:val="both"/>
        <w:rPr>
          <w:rFonts w:ascii="Verdana" w:hAnsi="Verdana"/>
          <w:b/>
          <w:sz w:val="20"/>
          <w:szCs w:val="20"/>
        </w:rPr>
      </w:pPr>
    </w:p>
    <w:p w14:paraId="2E4D76FB" w14:textId="01704A3C" w:rsidR="00835B03" w:rsidRPr="00D50B0B" w:rsidRDefault="00835B03" w:rsidP="00835B03">
      <w:pPr>
        <w:tabs>
          <w:tab w:val="left" w:pos="720"/>
          <w:tab w:val="left" w:pos="810"/>
        </w:tabs>
        <w:autoSpaceDE w:val="0"/>
        <w:autoSpaceDN w:val="0"/>
        <w:adjustRightInd w:val="0"/>
        <w:spacing w:after="0"/>
        <w:ind w:left="112" w:hanging="22"/>
        <w:jc w:val="both"/>
        <w:rPr>
          <w:rFonts w:ascii="Verdana" w:hAnsi="Verdana" w:cs="Verdana"/>
          <w:color w:val="000000"/>
          <w:sz w:val="20"/>
          <w:szCs w:val="20"/>
          <w:lang w:val="es-MX"/>
        </w:rPr>
      </w:pPr>
      <w:r w:rsidRPr="00B05751">
        <w:rPr>
          <w:rFonts w:ascii="Verdana" w:hAnsi="Verdana" w:cs="Verdana"/>
          <w:color w:val="000000"/>
          <w:sz w:val="20"/>
          <w:szCs w:val="20"/>
          <w:lang w:val="es-MX"/>
        </w:rPr>
        <w:t>1.</w:t>
      </w:r>
      <w:r w:rsidRPr="00B05751">
        <w:rPr>
          <w:rFonts w:ascii="Verdana" w:hAnsi="Verdana" w:cs="Verdana"/>
          <w:color w:val="000000"/>
          <w:sz w:val="20"/>
          <w:szCs w:val="20"/>
          <w:lang w:val="es-MX"/>
        </w:rPr>
        <w:tab/>
      </w:r>
      <w:r w:rsidRPr="00D50B0B">
        <w:rPr>
          <w:rFonts w:ascii="Verdana" w:hAnsi="Verdana" w:cs="Verdana"/>
          <w:color w:val="000000"/>
          <w:sz w:val="20"/>
          <w:szCs w:val="20"/>
          <w:lang w:val="es-MX"/>
        </w:rPr>
        <w:t xml:space="preserve">Requerir, por las razones expuestas en la presente Resolución, de conformidad con el principio de economía procesal y de la facultad que le otorga el artículo 50.1 del Reglamento de la Corte, que </w:t>
      </w:r>
      <w:r w:rsidR="00E23189">
        <w:rPr>
          <w:rFonts w:ascii="Verdana" w:hAnsi="Verdana" w:cs="Verdana"/>
          <w:color w:val="000000"/>
          <w:sz w:val="20"/>
          <w:szCs w:val="20"/>
          <w:lang w:val="es-MX"/>
        </w:rPr>
        <w:t xml:space="preserve">las siguientes personas presenten </w:t>
      </w:r>
      <w:r w:rsidRPr="00D50B0B">
        <w:rPr>
          <w:rFonts w:ascii="Verdana" w:hAnsi="Verdana" w:cs="Verdana"/>
          <w:color w:val="000000"/>
          <w:sz w:val="20"/>
          <w:szCs w:val="20"/>
          <w:lang w:val="es-MX"/>
        </w:rPr>
        <w:t>su</w:t>
      </w:r>
      <w:r w:rsidR="00E23189">
        <w:rPr>
          <w:rFonts w:ascii="Verdana" w:hAnsi="Verdana" w:cs="Verdana"/>
          <w:color w:val="000000"/>
          <w:sz w:val="20"/>
          <w:szCs w:val="20"/>
          <w:lang w:val="es-MX"/>
        </w:rPr>
        <w:t>s</w:t>
      </w:r>
      <w:r w:rsidRPr="00D50B0B">
        <w:rPr>
          <w:rFonts w:ascii="Verdana" w:hAnsi="Verdana" w:cs="Verdana"/>
          <w:color w:val="000000"/>
          <w:sz w:val="20"/>
          <w:szCs w:val="20"/>
          <w:lang w:val="es-MX"/>
        </w:rPr>
        <w:t xml:space="preserve"> </w:t>
      </w:r>
      <w:r w:rsidRPr="00B05751">
        <w:rPr>
          <w:rFonts w:ascii="Verdana" w:hAnsi="Verdana" w:cs="Verdana"/>
          <w:color w:val="000000"/>
          <w:sz w:val="20"/>
          <w:szCs w:val="20"/>
          <w:lang w:val="es-MX"/>
        </w:rPr>
        <w:t>peritaje</w:t>
      </w:r>
      <w:r w:rsidR="00E23189">
        <w:rPr>
          <w:rFonts w:ascii="Verdana" w:hAnsi="Verdana" w:cs="Verdana"/>
          <w:color w:val="000000"/>
          <w:sz w:val="20"/>
          <w:szCs w:val="20"/>
          <w:lang w:val="es-MX"/>
        </w:rPr>
        <w:t>s</w:t>
      </w:r>
      <w:r w:rsidRPr="00B05751">
        <w:rPr>
          <w:rFonts w:ascii="Verdana" w:hAnsi="Verdana" w:cs="Verdana"/>
          <w:color w:val="000000"/>
          <w:sz w:val="20"/>
          <w:szCs w:val="20"/>
          <w:lang w:val="es-MX"/>
        </w:rPr>
        <w:t xml:space="preserve"> </w:t>
      </w:r>
      <w:r w:rsidRPr="00D50B0B">
        <w:rPr>
          <w:rFonts w:ascii="Verdana" w:hAnsi="Verdana" w:cs="Verdana"/>
          <w:color w:val="000000"/>
          <w:sz w:val="20"/>
          <w:szCs w:val="20"/>
          <w:lang w:val="es-MX"/>
        </w:rPr>
        <w:t>ante fedatario público (</w:t>
      </w:r>
      <w:r w:rsidRPr="00D50B0B">
        <w:rPr>
          <w:rFonts w:ascii="Verdana" w:hAnsi="Verdana" w:cs="Verdana"/>
          <w:i/>
          <w:iCs/>
          <w:color w:val="000000"/>
          <w:sz w:val="20"/>
          <w:szCs w:val="20"/>
          <w:lang w:val="es-MX"/>
        </w:rPr>
        <w:t>affidávit</w:t>
      </w:r>
      <w:r w:rsidRPr="00D50B0B">
        <w:rPr>
          <w:rFonts w:ascii="Verdana" w:hAnsi="Verdana" w:cs="Verdana"/>
          <w:color w:val="000000"/>
          <w:sz w:val="20"/>
          <w:szCs w:val="20"/>
          <w:lang w:val="es-MX"/>
        </w:rPr>
        <w:t xml:space="preserve">): </w:t>
      </w:r>
    </w:p>
    <w:p w14:paraId="6CDA34F3" w14:textId="77777777" w:rsidR="00835B03" w:rsidRPr="00B05751" w:rsidRDefault="00835B03" w:rsidP="00835B03">
      <w:pPr>
        <w:numPr>
          <w:ilvl w:val="0"/>
          <w:numId w:val="6"/>
        </w:numPr>
        <w:autoSpaceDE w:val="0"/>
        <w:autoSpaceDN w:val="0"/>
        <w:adjustRightInd w:val="0"/>
        <w:spacing w:after="21"/>
        <w:ind w:left="112"/>
        <w:rPr>
          <w:rFonts w:ascii="Verdana" w:hAnsi="Verdana" w:cs="Verdana"/>
          <w:color w:val="000000"/>
          <w:sz w:val="20"/>
          <w:szCs w:val="20"/>
          <w:lang w:val="es-MX"/>
        </w:rPr>
      </w:pPr>
    </w:p>
    <w:p w14:paraId="66F102C6" w14:textId="058C8566" w:rsidR="00F420AD" w:rsidRDefault="00F420AD" w:rsidP="00E23189">
      <w:pPr>
        <w:pStyle w:val="Prrafodelista"/>
        <w:numPr>
          <w:ilvl w:val="0"/>
          <w:numId w:val="9"/>
        </w:numPr>
        <w:autoSpaceDE w:val="0"/>
        <w:autoSpaceDN w:val="0"/>
        <w:adjustRightInd w:val="0"/>
        <w:spacing w:after="0"/>
        <w:rPr>
          <w:rFonts w:ascii="Verdana" w:hAnsi="Verdana" w:cs="Verdana"/>
          <w:b/>
          <w:i/>
          <w:sz w:val="20"/>
          <w:szCs w:val="20"/>
          <w:lang w:val="es-MX"/>
        </w:rPr>
      </w:pPr>
      <w:r>
        <w:rPr>
          <w:rFonts w:ascii="Verdana" w:hAnsi="Verdana" w:cs="Verdana"/>
          <w:b/>
          <w:i/>
          <w:sz w:val="20"/>
          <w:szCs w:val="20"/>
          <w:lang w:val="es-MX"/>
        </w:rPr>
        <w:t>Presunta víctima (procurada de oficio por parte de la Corte)</w:t>
      </w:r>
    </w:p>
    <w:p w14:paraId="7AE641C3" w14:textId="77777777" w:rsidR="007237F8" w:rsidRPr="007237F8" w:rsidRDefault="007237F8" w:rsidP="007237F8">
      <w:pPr>
        <w:autoSpaceDE w:val="0"/>
        <w:autoSpaceDN w:val="0"/>
        <w:adjustRightInd w:val="0"/>
        <w:spacing w:after="0"/>
        <w:rPr>
          <w:rFonts w:ascii="Verdana" w:hAnsi="Verdana" w:cs="Verdana"/>
          <w:b/>
          <w:i/>
          <w:sz w:val="20"/>
          <w:szCs w:val="20"/>
          <w:lang w:val="es-MX"/>
        </w:rPr>
      </w:pPr>
    </w:p>
    <w:p w14:paraId="28C3016B" w14:textId="76C8CDC4" w:rsidR="00F420AD" w:rsidRDefault="007237F8" w:rsidP="00BA76C7">
      <w:pPr>
        <w:pStyle w:val="Prrafodelista"/>
        <w:numPr>
          <w:ilvl w:val="0"/>
          <w:numId w:val="13"/>
        </w:numPr>
        <w:autoSpaceDE w:val="0"/>
        <w:autoSpaceDN w:val="0"/>
        <w:adjustRightInd w:val="0"/>
        <w:spacing w:after="0"/>
        <w:jc w:val="both"/>
        <w:rPr>
          <w:rFonts w:ascii="Verdana" w:hAnsi="Verdana" w:cs="Verdana"/>
          <w:sz w:val="20"/>
          <w:szCs w:val="20"/>
          <w:lang w:val="es-MX"/>
        </w:rPr>
      </w:pPr>
      <w:r w:rsidRPr="007237F8">
        <w:rPr>
          <w:rFonts w:ascii="Verdana" w:hAnsi="Verdana" w:cs="Verdana"/>
          <w:i/>
          <w:sz w:val="20"/>
          <w:szCs w:val="20"/>
          <w:lang w:val="es-MX"/>
        </w:rPr>
        <w:t>Rufino Jorge Almeida</w:t>
      </w:r>
      <w:r>
        <w:rPr>
          <w:rFonts w:ascii="Verdana" w:hAnsi="Verdana" w:cs="Verdana"/>
          <w:i/>
          <w:sz w:val="20"/>
          <w:szCs w:val="20"/>
          <w:lang w:val="es-MX"/>
        </w:rPr>
        <w:t xml:space="preserve">, </w:t>
      </w:r>
      <w:r>
        <w:rPr>
          <w:rFonts w:ascii="Verdana" w:hAnsi="Verdana" w:cs="Verdana"/>
          <w:sz w:val="20"/>
          <w:szCs w:val="20"/>
          <w:lang w:val="es-MX"/>
        </w:rPr>
        <w:t xml:space="preserve">a fin de que declare sobre </w:t>
      </w:r>
      <w:r w:rsidR="00BA76C7">
        <w:rPr>
          <w:rFonts w:ascii="Verdana" w:hAnsi="Verdana" w:cs="Verdana"/>
          <w:sz w:val="20"/>
          <w:szCs w:val="20"/>
          <w:lang w:val="es-MX"/>
        </w:rPr>
        <w:t xml:space="preserve">las </w:t>
      </w:r>
      <w:r w:rsidR="00BA76C7" w:rsidRPr="00BA76C7">
        <w:rPr>
          <w:rFonts w:ascii="Verdana" w:hAnsi="Verdana" w:cs="Verdana"/>
          <w:sz w:val="20"/>
          <w:szCs w:val="20"/>
          <w:lang w:val="es-MX"/>
        </w:rPr>
        <w:t>afectaciones personales que padeció como consecuencia de los hechos del presente caso</w:t>
      </w:r>
      <w:r w:rsidR="00BA76C7">
        <w:rPr>
          <w:rFonts w:ascii="Verdana" w:hAnsi="Verdana" w:cs="Verdana"/>
          <w:sz w:val="20"/>
          <w:szCs w:val="20"/>
          <w:lang w:val="es-MX"/>
        </w:rPr>
        <w:t>.</w:t>
      </w:r>
    </w:p>
    <w:p w14:paraId="2D892E72" w14:textId="77777777" w:rsidR="007237F8" w:rsidRPr="007237F8" w:rsidRDefault="007237F8" w:rsidP="007237F8">
      <w:pPr>
        <w:autoSpaceDE w:val="0"/>
        <w:autoSpaceDN w:val="0"/>
        <w:adjustRightInd w:val="0"/>
        <w:spacing w:after="0"/>
        <w:jc w:val="both"/>
        <w:rPr>
          <w:rFonts w:ascii="Verdana" w:hAnsi="Verdana" w:cs="Verdana"/>
          <w:sz w:val="20"/>
          <w:szCs w:val="20"/>
          <w:lang w:val="es-MX"/>
        </w:rPr>
      </w:pPr>
    </w:p>
    <w:p w14:paraId="7CAC4CC6" w14:textId="4BDC8BEE" w:rsidR="0053665D" w:rsidRDefault="00E23189" w:rsidP="00E23189">
      <w:pPr>
        <w:pStyle w:val="Prrafodelista"/>
        <w:numPr>
          <w:ilvl w:val="0"/>
          <w:numId w:val="9"/>
        </w:numPr>
        <w:autoSpaceDE w:val="0"/>
        <w:autoSpaceDN w:val="0"/>
        <w:adjustRightInd w:val="0"/>
        <w:spacing w:after="0"/>
        <w:rPr>
          <w:rFonts w:ascii="Verdana" w:hAnsi="Verdana" w:cs="Verdana"/>
          <w:b/>
          <w:i/>
          <w:sz w:val="20"/>
          <w:szCs w:val="20"/>
          <w:lang w:val="es-MX"/>
        </w:rPr>
      </w:pPr>
      <w:r>
        <w:rPr>
          <w:rFonts w:ascii="Verdana" w:hAnsi="Verdana" w:cs="Verdana"/>
          <w:b/>
          <w:i/>
          <w:sz w:val="20"/>
          <w:szCs w:val="20"/>
          <w:lang w:val="es-MX"/>
        </w:rPr>
        <w:t>Perito</w:t>
      </w:r>
      <w:r w:rsidR="0053665D">
        <w:rPr>
          <w:rFonts w:ascii="Verdana" w:hAnsi="Verdana" w:cs="Verdana"/>
          <w:b/>
          <w:i/>
          <w:sz w:val="20"/>
          <w:szCs w:val="20"/>
          <w:lang w:val="es-MX"/>
        </w:rPr>
        <w:t>s</w:t>
      </w:r>
    </w:p>
    <w:p w14:paraId="18C08612" w14:textId="77777777" w:rsidR="0053665D" w:rsidRDefault="0053665D" w:rsidP="0053665D">
      <w:pPr>
        <w:pStyle w:val="Prrafodelista"/>
        <w:autoSpaceDE w:val="0"/>
        <w:autoSpaceDN w:val="0"/>
        <w:adjustRightInd w:val="0"/>
        <w:spacing w:after="0"/>
        <w:ind w:left="1350"/>
        <w:rPr>
          <w:rFonts w:ascii="Verdana" w:hAnsi="Verdana" w:cs="Verdana"/>
          <w:b/>
          <w:i/>
          <w:sz w:val="20"/>
          <w:szCs w:val="20"/>
          <w:lang w:val="es-MX"/>
        </w:rPr>
      </w:pPr>
    </w:p>
    <w:p w14:paraId="0A2E5035" w14:textId="620A0D2D" w:rsidR="00E23189" w:rsidRDefault="0053665D" w:rsidP="0053665D">
      <w:pPr>
        <w:pStyle w:val="Prrafodelista"/>
        <w:autoSpaceDE w:val="0"/>
        <w:autoSpaceDN w:val="0"/>
        <w:adjustRightInd w:val="0"/>
        <w:spacing w:after="0"/>
        <w:ind w:left="1350"/>
        <w:rPr>
          <w:rFonts w:ascii="Verdana" w:hAnsi="Verdana" w:cs="Verdana"/>
          <w:b/>
          <w:i/>
          <w:sz w:val="20"/>
          <w:szCs w:val="20"/>
          <w:lang w:val="es-MX"/>
        </w:rPr>
      </w:pPr>
      <w:r>
        <w:rPr>
          <w:rFonts w:ascii="Verdana" w:hAnsi="Verdana" w:cs="Verdana"/>
          <w:b/>
          <w:i/>
          <w:sz w:val="20"/>
          <w:szCs w:val="20"/>
          <w:lang w:val="es-MX"/>
        </w:rPr>
        <w:t>Propuesto por la Comisión</w:t>
      </w:r>
    </w:p>
    <w:p w14:paraId="2DC7B388" w14:textId="77777777" w:rsidR="00E23189" w:rsidRPr="00E23189" w:rsidRDefault="00E23189" w:rsidP="00E23189">
      <w:pPr>
        <w:autoSpaceDE w:val="0"/>
        <w:autoSpaceDN w:val="0"/>
        <w:adjustRightInd w:val="0"/>
        <w:spacing w:after="0"/>
        <w:ind w:left="990"/>
        <w:rPr>
          <w:rFonts w:ascii="Verdana" w:hAnsi="Verdana" w:cs="Verdana"/>
          <w:b/>
          <w:i/>
          <w:sz w:val="20"/>
          <w:szCs w:val="20"/>
          <w:lang w:val="es-MX"/>
        </w:rPr>
      </w:pPr>
    </w:p>
    <w:p w14:paraId="613F3DAC" w14:textId="2BEE3C60" w:rsidR="008247AD" w:rsidRPr="001576D2" w:rsidRDefault="008247AD" w:rsidP="001576D2">
      <w:pPr>
        <w:pStyle w:val="Prrafodelista"/>
        <w:numPr>
          <w:ilvl w:val="0"/>
          <w:numId w:val="8"/>
        </w:numPr>
        <w:spacing w:after="0"/>
        <w:ind w:right="-40"/>
        <w:jc w:val="both"/>
        <w:rPr>
          <w:rFonts w:ascii="Verdana" w:eastAsia="Verdana" w:hAnsi="Verdana" w:cs="Verdana"/>
          <w:bCs/>
          <w:sz w:val="20"/>
          <w:szCs w:val="20"/>
          <w:lang w:val="es-MX"/>
        </w:rPr>
      </w:pPr>
      <w:r>
        <w:rPr>
          <w:rFonts w:ascii="Verdana" w:eastAsia="Verdana" w:hAnsi="Verdana" w:cs="Verdana"/>
          <w:bCs/>
          <w:i/>
          <w:sz w:val="20"/>
          <w:szCs w:val="20"/>
          <w:lang w:val="es-MX"/>
        </w:rPr>
        <w:t xml:space="preserve">Roberto P. Saba, </w:t>
      </w:r>
      <w:r w:rsidR="007237F8">
        <w:rPr>
          <w:rFonts w:ascii="Verdana" w:eastAsia="Verdana" w:hAnsi="Verdana" w:cs="Verdana"/>
          <w:bCs/>
          <w:sz w:val="20"/>
          <w:szCs w:val="20"/>
          <w:lang w:val="es-MX"/>
        </w:rPr>
        <w:t xml:space="preserve">Profesor de la Facultad de Derecho de la Universidad de Buenos Aires y de la Universidad de Palermo, </w:t>
      </w:r>
      <w:r>
        <w:rPr>
          <w:rFonts w:ascii="Verdana" w:eastAsia="Verdana" w:hAnsi="Verdana" w:cs="Verdana"/>
          <w:bCs/>
          <w:sz w:val="20"/>
          <w:szCs w:val="20"/>
          <w:lang w:val="es-MX"/>
        </w:rPr>
        <w:t xml:space="preserve">a fin de que </w:t>
      </w:r>
      <w:r w:rsidR="0093779B">
        <w:rPr>
          <w:rFonts w:ascii="Verdana" w:eastAsia="Verdana" w:hAnsi="Verdana" w:cs="Verdana"/>
          <w:bCs/>
          <w:sz w:val="20"/>
          <w:szCs w:val="20"/>
          <w:lang w:val="es-MX"/>
        </w:rPr>
        <w:t xml:space="preserve">rinda dictamen pericial </w:t>
      </w:r>
      <w:r>
        <w:rPr>
          <w:rFonts w:ascii="Verdana" w:eastAsia="Verdana" w:hAnsi="Verdana" w:cs="Verdana"/>
          <w:bCs/>
          <w:sz w:val="20"/>
          <w:szCs w:val="20"/>
          <w:lang w:val="es-MX"/>
        </w:rPr>
        <w:t>sobre</w:t>
      </w:r>
      <w:r w:rsidR="0093779B">
        <w:rPr>
          <w:rFonts w:ascii="Verdana" w:eastAsia="Verdana" w:hAnsi="Verdana" w:cs="Verdana"/>
          <w:bCs/>
          <w:sz w:val="20"/>
          <w:szCs w:val="20"/>
          <w:lang w:val="es-MX"/>
        </w:rPr>
        <w:t>: i)</w:t>
      </w:r>
      <w:r>
        <w:rPr>
          <w:rFonts w:ascii="Verdana" w:eastAsia="Verdana" w:hAnsi="Verdana" w:cs="Verdana"/>
          <w:bCs/>
          <w:sz w:val="20"/>
          <w:szCs w:val="20"/>
          <w:lang w:val="es-MX"/>
        </w:rPr>
        <w:t xml:space="preserve"> los estándares relativos a las obligaciones internacionales en materia del derecho a la igualdad ante la ley en la obtención de reparaciones económicas por graves violaciones a los derechos humanos</w:t>
      </w:r>
      <w:r w:rsidR="0093779B">
        <w:rPr>
          <w:rFonts w:ascii="Verdana" w:eastAsia="Verdana" w:hAnsi="Verdana" w:cs="Verdana"/>
          <w:bCs/>
          <w:sz w:val="20"/>
          <w:szCs w:val="20"/>
          <w:lang w:val="es-MX"/>
        </w:rPr>
        <w:t xml:space="preserve">; </w:t>
      </w:r>
      <w:proofErr w:type="spellStart"/>
      <w:r w:rsidR="0093779B">
        <w:rPr>
          <w:rFonts w:ascii="Verdana" w:eastAsia="Verdana" w:hAnsi="Verdana" w:cs="Verdana"/>
          <w:bCs/>
          <w:sz w:val="20"/>
          <w:szCs w:val="20"/>
          <w:lang w:val="es-MX"/>
        </w:rPr>
        <w:t>ii</w:t>
      </w:r>
      <w:proofErr w:type="spellEnd"/>
      <w:r w:rsidR="0093779B">
        <w:rPr>
          <w:rFonts w:ascii="Verdana" w:eastAsia="Verdana" w:hAnsi="Verdana" w:cs="Verdana"/>
          <w:bCs/>
          <w:sz w:val="20"/>
          <w:szCs w:val="20"/>
          <w:lang w:val="es-MX"/>
        </w:rPr>
        <w:t xml:space="preserve">) </w:t>
      </w:r>
      <w:r>
        <w:rPr>
          <w:rFonts w:ascii="Verdana" w:eastAsia="Verdana" w:hAnsi="Verdana" w:cs="Verdana"/>
          <w:bCs/>
          <w:sz w:val="20"/>
          <w:szCs w:val="20"/>
          <w:lang w:val="es-MX"/>
        </w:rPr>
        <w:t>los supuestos en los que estaría justificada una diferencia de trato en el acceso a tales reparaciones, tomando en cuenta para ello el contexto de Argentina y los hechos del presente caso</w:t>
      </w:r>
      <w:r w:rsidR="0093779B">
        <w:rPr>
          <w:rFonts w:ascii="Verdana" w:eastAsia="Verdana" w:hAnsi="Verdana" w:cs="Verdana"/>
          <w:bCs/>
          <w:sz w:val="20"/>
          <w:szCs w:val="20"/>
          <w:lang w:val="es-MX"/>
        </w:rPr>
        <w:t xml:space="preserve">; y </w:t>
      </w:r>
      <w:proofErr w:type="spellStart"/>
      <w:r w:rsidR="0093779B">
        <w:rPr>
          <w:rFonts w:ascii="Verdana" w:eastAsia="Verdana" w:hAnsi="Verdana" w:cs="Verdana"/>
          <w:bCs/>
          <w:sz w:val="20"/>
          <w:szCs w:val="20"/>
          <w:lang w:val="es-MX"/>
        </w:rPr>
        <w:t>iii</w:t>
      </w:r>
      <w:proofErr w:type="spellEnd"/>
      <w:r w:rsidR="0093779B">
        <w:rPr>
          <w:rFonts w:ascii="Verdana" w:eastAsia="Verdana" w:hAnsi="Verdana" w:cs="Verdana"/>
          <w:bCs/>
          <w:sz w:val="20"/>
          <w:szCs w:val="20"/>
          <w:lang w:val="es-MX"/>
        </w:rPr>
        <w:t xml:space="preserve">) </w:t>
      </w:r>
      <w:r w:rsidR="001576D2" w:rsidRPr="001576D2">
        <w:rPr>
          <w:rFonts w:ascii="Verdana" w:eastAsia="Verdana" w:hAnsi="Verdana" w:cs="Verdana"/>
          <w:bCs/>
          <w:sz w:val="20"/>
          <w:szCs w:val="20"/>
          <w:lang w:val="es-MX"/>
        </w:rPr>
        <w:t>los parámetros que deben</w:t>
      </w:r>
      <w:r w:rsidR="001576D2">
        <w:rPr>
          <w:rFonts w:ascii="Verdana" w:eastAsia="Verdana" w:hAnsi="Verdana" w:cs="Verdana"/>
          <w:bCs/>
          <w:sz w:val="20"/>
          <w:szCs w:val="20"/>
          <w:lang w:val="es-MX"/>
        </w:rPr>
        <w:t xml:space="preserve"> </w:t>
      </w:r>
      <w:r w:rsidR="001576D2" w:rsidRPr="001576D2">
        <w:rPr>
          <w:rFonts w:ascii="Verdana" w:eastAsia="Verdana" w:hAnsi="Verdana" w:cs="Verdana"/>
          <w:bCs/>
          <w:sz w:val="20"/>
          <w:szCs w:val="20"/>
          <w:lang w:val="es-MX"/>
        </w:rPr>
        <w:t>tomarse en cuenta para evaluar si un recurso administrativo y/o judicial resulta efectivo para resolver los</w:t>
      </w:r>
      <w:r w:rsidR="001576D2">
        <w:rPr>
          <w:rFonts w:ascii="Verdana" w:eastAsia="Verdana" w:hAnsi="Verdana" w:cs="Verdana"/>
          <w:bCs/>
          <w:sz w:val="20"/>
          <w:szCs w:val="20"/>
          <w:lang w:val="es-MX"/>
        </w:rPr>
        <w:t xml:space="preserve"> </w:t>
      </w:r>
      <w:r w:rsidR="001576D2" w:rsidRPr="001576D2">
        <w:rPr>
          <w:rFonts w:ascii="Verdana" w:eastAsia="Verdana" w:hAnsi="Verdana" w:cs="Verdana"/>
          <w:bCs/>
          <w:sz w:val="20"/>
          <w:szCs w:val="20"/>
          <w:lang w:val="es-MX"/>
        </w:rPr>
        <w:t>debates planteados a la luz del principio de igualdad ante la ley. En la medida de lo pertinente, el perito se</w:t>
      </w:r>
      <w:r w:rsidR="001576D2">
        <w:rPr>
          <w:rFonts w:ascii="Verdana" w:eastAsia="Verdana" w:hAnsi="Verdana" w:cs="Verdana"/>
          <w:bCs/>
          <w:sz w:val="20"/>
          <w:szCs w:val="20"/>
          <w:lang w:val="es-MX"/>
        </w:rPr>
        <w:t xml:space="preserve"> </w:t>
      </w:r>
      <w:r w:rsidR="001576D2" w:rsidRPr="001576D2">
        <w:rPr>
          <w:rFonts w:ascii="Verdana" w:eastAsia="Verdana" w:hAnsi="Verdana" w:cs="Verdana"/>
          <w:bCs/>
          <w:sz w:val="20"/>
          <w:szCs w:val="20"/>
          <w:lang w:val="es-MX"/>
        </w:rPr>
        <w:t>referirá a otros sistemas internacionales de protección de derechos humanos y al derecho comparado.</w:t>
      </w:r>
    </w:p>
    <w:p w14:paraId="522DE472" w14:textId="77777777" w:rsidR="00835B03" w:rsidRDefault="00835B03" w:rsidP="00835B03">
      <w:pPr>
        <w:autoSpaceDE w:val="0"/>
        <w:autoSpaceDN w:val="0"/>
        <w:adjustRightInd w:val="0"/>
        <w:spacing w:after="0"/>
        <w:ind w:left="112" w:firstLine="878"/>
        <w:rPr>
          <w:rFonts w:ascii="Verdana" w:hAnsi="Verdana" w:cs="Verdana"/>
          <w:sz w:val="20"/>
          <w:szCs w:val="20"/>
          <w:lang w:val="es-MX"/>
        </w:rPr>
      </w:pPr>
    </w:p>
    <w:p w14:paraId="7C172378" w14:textId="77777777" w:rsidR="00524687" w:rsidRDefault="00524687" w:rsidP="00835B03">
      <w:pPr>
        <w:autoSpaceDE w:val="0"/>
        <w:autoSpaceDN w:val="0"/>
        <w:adjustRightInd w:val="0"/>
        <w:spacing w:after="0"/>
        <w:ind w:left="112" w:firstLine="878"/>
        <w:rPr>
          <w:rFonts w:ascii="Verdana" w:hAnsi="Verdana" w:cs="Verdana"/>
          <w:sz w:val="20"/>
          <w:szCs w:val="20"/>
          <w:lang w:val="es-MX"/>
        </w:rPr>
      </w:pPr>
    </w:p>
    <w:p w14:paraId="6CE8A276" w14:textId="60818D29" w:rsidR="00E23189" w:rsidRDefault="0053665D" w:rsidP="0053665D">
      <w:pPr>
        <w:autoSpaceDE w:val="0"/>
        <w:autoSpaceDN w:val="0"/>
        <w:adjustRightInd w:val="0"/>
        <w:spacing w:after="0"/>
        <w:ind w:left="1211"/>
        <w:rPr>
          <w:rFonts w:ascii="Verdana" w:hAnsi="Verdana" w:cs="Verdana"/>
          <w:b/>
          <w:i/>
          <w:sz w:val="20"/>
          <w:szCs w:val="20"/>
          <w:lang w:val="es-MX"/>
        </w:rPr>
      </w:pPr>
      <w:r>
        <w:rPr>
          <w:rFonts w:ascii="Verdana" w:hAnsi="Verdana" w:cs="Verdana"/>
          <w:b/>
          <w:i/>
          <w:sz w:val="20"/>
          <w:szCs w:val="20"/>
          <w:lang w:val="es-MX"/>
        </w:rPr>
        <w:t>Propuesta por el Estado</w:t>
      </w:r>
    </w:p>
    <w:p w14:paraId="65113FD3" w14:textId="77777777" w:rsidR="0053665D" w:rsidRDefault="0053665D" w:rsidP="0053665D">
      <w:pPr>
        <w:autoSpaceDE w:val="0"/>
        <w:autoSpaceDN w:val="0"/>
        <w:adjustRightInd w:val="0"/>
        <w:spacing w:after="0"/>
        <w:ind w:left="1211"/>
        <w:rPr>
          <w:rFonts w:ascii="Verdana" w:hAnsi="Verdana" w:cs="Verdana"/>
          <w:b/>
          <w:i/>
          <w:sz w:val="20"/>
          <w:szCs w:val="20"/>
          <w:lang w:val="es-MX"/>
        </w:rPr>
      </w:pPr>
    </w:p>
    <w:p w14:paraId="33AD6BA0" w14:textId="4EE38E30" w:rsidR="00E23189" w:rsidRPr="00E23189" w:rsidRDefault="001F620C" w:rsidP="007237F8">
      <w:pPr>
        <w:pStyle w:val="Prrafodelista"/>
        <w:numPr>
          <w:ilvl w:val="0"/>
          <w:numId w:val="8"/>
        </w:numPr>
        <w:autoSpaceDE w:val="0"/>
        <w:autoSpaceDN w:val="0"/>
        <w:adjustRightInd w:val="0"/>
        <w:spacing w:after="0"/>
        <w:jc w:val="both"/>
        <w:rPr>
          <w:rFonts w:ascii="Verdana" w:hAnsi="Verdana" w:cs="Verdana"/>
          <w:sz w:val="20"/>
          <w:szCs w:val="20"/>
          <w:lang w:val="es-MX"/>
        </w:rPr>
      </w:pPr>
      <w:r>
        <w:rPr>
          <w:rFonts w:ascii="Verdana" w:hAnsi="Verdana" w:cs="Verdana"/>
          <w:i/>
          <w:sz w:val="20"/>
          <w:szCs w:val="20"/>
          <w:lang w:val="es-MX"/>
        </w:rPr>
        <w:t>María José Guembe</w:t>
      </w:r>
      <w:r w:rsidR="007237F8">
        <w:rPr>
          <w:rFonts w:ascii="Verdana" w:hAnsi="Verdana" w:cs="Verdana"/>
          <w:i/>
          <w:sz w:val="20"/>
          <w:szCs w:val="20"/>
          <w:lang w:val="es-MX"/>
        </w:rPr>
        <w:t xml:space="preserve">, </w:t>
      </w:r>
      <w:r w:rsidR="00DE676B">
        <w:rPr>
          <w:rFonts w:ascii="Verdana" w:hAnsi="Verdana" w:cs="Verdana"/>
          <w:sz w:val="20"/>
          <w:szCs w:val="20"/>
          <w:lang w:val="es-MX"/>
        </w:rPr>
        <w:t>I</w:t>
      </w:r>
      <w:r w:rsidR="007237F8">
        <w:rPr>
          <w:rFonts w:ascii="Verdana" w:hAnsi="Verdana" w:cs="Verdana"/>
          <w:sz w:val="20"/>
          <w:szCs w:val="20"/>
          <w:lang w:val="es-MX"/>
        </w:rPr>
        <w:t>nvestigadora en materia de reparaciones masivas de graves violaciones a los derechos humanos,</w:t>
      </w:r>
      <w:r>
        <w:rPr>
          <w:rFonts w:ascii="Verdana" w:hAnsi="Verdana" w:cs="Verdana"/>
          <w:i/>
          <w:sz w:val="20"/>
          <w:szCs w:val="20"/>
          <w:lang w:val="es-MX"/>
        </w:rPr>
        <w:t xml:space="preserve"> </w:t>
      </w:r>
      <w:r>
        <w:rPr>
          <w:rFonts w:ascii="Verdana" w:hAnsi="Verdana" w:cs="Verdana"/>
          <w:sz w:val="20"/>
          <w:szCs w:val="20"/>
          <w:lang w:val="es-MX"/>
        </w:rPr>
        <w:t xml:space="preserve">para que </w:t>
      </w:r>
      <w:r w:rsidR="00DE676B">
        <w:rPr>
          <w:rFonts w:ascii="Verdana" w:hAnsi="Verdana" w:cs="Verdana"/>
          <w:sz w:val="20"/>
          <w:szCs w:val="20"/>
          <w:lang w:val="es-MX"/>
        </w:rPr>
        <w:t>rinda dictamen pericial</w:t>
      </w:r>
      <w:r>
        <w:rPr>
          <w:rFonts w:ascii="Verdana" w:hAnsi="Verdana" w:cs="Verdana"/>
          <w:sz w:val="20"/>
          <w:szCs w:val="20"/>
          <w:lang w:val="es-MX"/>
        </w:rPr>
        <w:t xml:space="preserve"> sobre</w:t>
      </w:r>
      <w:r w:rsidR="00DE676B">
        <w:rPr>
          <w:rFonts w:ascii="Verdana" w:hAnsi="Verdana" w:cs="Verdana"/>
          <w:sz w:val="20"/>
          <w:szCs w:val="20"/>
          <w:lang w:val="es-MX"/>
        </w:rPr>
        <w:t>: i)</w:t>
      </w:r>
      <w:r>
        <w:rPr>
          <w:rFonts w:ascii="Verdana" w:hAnsi="Verdana" w:cs="Verdana"/>
          <w:sz w:val="20"/>
          <w:szCs w:val="20"/>
          <w:lang w:val="es-MX"/>
        </w:rPr>
        <w:t xml:space="preserve"> la génesis, características y evolución de la experiencia argentina de reparación económica de graves violaciones a los derechos humanos</w:t>
      </w:r>
      <w:r w:rsidR="00DE676B">
        <w:rPr>
          <w:rFonts w:ascii="Verdana" w:hAnsi="Verdana" w:cs="Verdana"/>
          <w:sz w:val="20"/>
          <w:szCs w:val="20"/>
          <w:lang w:val="es-MX"/>
        </w:rPr>
        <w:t xml:space="preserve">, y </w:t>
      </w:r>
      <w:proofErr w:type="spellStart"/>
      <w:r w:rsidR="00DE676B">
        <w:rPr>
          <w:rFonts w:ascii="Verdana" w:hAnsi="Verdana" w:cs="Verdana"/>
          <w:sz w:val="20"/>
          <w:szCs w:val="20"/>
          <w:lang w:val="es-MX"/>
        </w:rPr>
        <w:t>ii</w:t>
      </w:r>
      <w:proofErr w:type="spellEnd"/>
      <w:r w:rsidR="00DE676B">
        <w:rPr>
          <w:rFonts w:ascii="Verdana" w:hAnsi="Verdana" w:cs="Verdana"/>
          <w:sz w:val="20"/>
          <w:szCs w:val="20"/>
          <w:lang w:val="es-MX"/>
        </w:rPr>
        <w:t>)</w:t>
      </w:r>
      <w:r>
        <w:rPr>
          <w:rFonts w:ascii="Verdana" w:hAnsi="Verdana" w:cs="Verdana"/>
          <w:sz w:val="20"/>
          <w:szCs w:val="20"/>
          <w:lang w:val="es-MX"/>
        </w:rPr>
        <w:t xml:space="preserve"> </w:t>
      </w:r>
      <w:r w:rsidR="00DE676B">
        <w:rPr>
          <w:rFonts w:ascii="Verdana" w:hAnsi="Verdana" w:cs="Verdana"/>
          <w:sz w:val="20"/>
          <w:szCs w:val="20"/>
          <w:lang w:val="es-MX"/>
        </w:rPr>
        <w:t>e</w:t>
      </w:r>
      <w:r>
        <w:rPr>
          <w:rFonts w:ascii="Verdana" w:hAnsi="Verdana" w:cs="Verdana"/>
          <w:sz w:val="20"/>
          <w:szCs w:val="20"/>
          <w:lang w:val="es-MX"/>
        </w:rPr>
        <w:t xml:space="preserve">l alcance de la política reparatoria en perspectiva comparada regional. </w:t>
      </w:r>
    </w:p>
    <w:p w14:paraId="1F069C30" w14:textId="77777777" w:rsidR="00835B03" w:rsidRPr="00B05751" w:rsidRDefault="00835B03" w:rsidP="00835B03">
      <w:pPr>
        <w:autoSpaceDE w:val="0"/>
        <w:autoSpaceDN w:val="0"/>
        <w:adjustRightInd w:val="0"/>
        <w:spacing w:after="0"/>
        <w:ind w:left="112" w:firstLine="608"/>
        <w:rPr>
          <w:rFonts w:ascii="Calibri" w:hAnsi="Calibri" w:cs="Calibri"/>
          <w:lang w:val="es-MX"/>
        </w:rPr>
      </w:pPr>
    </w:p>
    <w:p w14:paraId="5BA2A6B7" w14:textId="174C74C1" w:rsidR="00835B03" w:rsidRPr="00B05751" w:rsidRDefault="00835B03" w:rsidP="00835B03">
      <w:pPr>
        <w:tabs>
          <w:tab w:val="left" w:pos="720"/>
          <w:tab w:val="left" w:pos="810"/>
        </w:tabs>
        <w:autoSpaceDE w:val="0"/>
        <w:autoSpaceDN w:val="0"/>
        <w:adjustRightInd w:val="0"/>
        <w:spacing w:after="0"/>
        <w:ind w:left="112" w:hanging="22"/>
        <w:jc w:val="both"/>
        <w:rPr>
          <w:rFonts w:ascii="Verdana" w:hAnsi="Verdana" w:cs="Verdana"/>
          <w:color w:val="000000"/>
          <w:sz w:val="20"/>
          <w:szCs w:val="20"/>
          <w:lang w:val="es-MX"/>
        </w:rPr>
      </w:pPr>
      <w:r w:rsidRPr="00B05751">
        <w:rPr>
          <w:rFonts w:ascii="Verdana" w:hAnsi="Verdana" w:cs="Verdana"/>
          <w:color w:val="000000"/>
          <w:sz w:val="20"/>
          <w:szCs w:val="20"/>
          <w:lang w:val="es-MX"/>
        </w:rPr>
        <w:t>2.</w:t>
      </w:r>
      <w:r w:rsidRPr="00B05751">
        <w:rPr>
          <w:rFonts w:ascii="Verdana" w:hAnsi="Verdana" w:cs="Verdana"/>
          <w:color w:val="000000"/>
          <w:sz w:val="20"/>
          <w:szCs w:val="20"/>
          <w:lang w:val="es-MX"/>
        </w:rPr>
        <w:tab/>
      </w:r>
      <w:r w:rsidRPr="00D50B0B">
        <w:rPr>
          <w:rFonts w:ascii="Verdana" w:hAnsi="Verdana" w:cs="Verdana"/>
          <w:color w:val="000000"/>
          <w:sz w:val="20"/>
          <w:szCs w:val="20"/>
          <w:lang w:val="es-MX"/>
        </w:rPr>
        <w:t>Instruir a</w:t>
      </w:r>
      <w:r w:rsidRPr="00B05751">
        <w:rPr>
          <w:rFonts w:ascii="Verdana" w:hAnsi="Verdana" w:cs="Verdana"/>
          <w:color w:val="000000"/>
          <w:sz w:val="20"/>
          <w:szCs w:val="20"/>
          <w:lang w:val="es-MX"/>
        </w:rPr>
        <w:t xml:space="preserve"> la Comisión</w:t>
      </w:r>
      <w:r w:rsidR="007237F8">
        <w:rPr>
          <w:rFonts w:ascii="Verdana" w:hAnsi="Verdana" w:cs="Verdana"/>
          <w:color w:val="000000"/>
          <w:sz w:val="20"/>
          <w:szCs w:val="20"/>
          <w:lang w:val="es-MX"/>
        </w:rPr>
        <w:t>,</w:t>
      </w:r>
      <w:r w:rsidR="001F620C">
        <w:rPr>
          <w:rFonts w:ascii="Verdana" w:hAnsi="Verdana" w:cs="Verdana"/>
          <w:color w:val="000000"/>
          <w:sz w:val="20"/>
          <w:szCs w:val="20"/>
          <w:lang w:val="es-MX"/>
        </w:rPr>
        <w:t xml:space="preserve"> al Estado</w:t>
      </w:r>
      <w:r w:rsidR="007237F8">
        <w:rPr>
          <w:rFonts w:ascii="Verdana" w:hAnsi="Verdana" w:cs="Verdana"/>
          <w:color w:val="000000"/>
          <w:sz w:val="20"/>
          <w:szCs w:val="20"/>
          <w:lang w:val="es-MX"/>
        </w:rPr>
        <w:t xml:space="preserve"> y a los representantes</w:t>
      </w:r>
      <w:r w:rsidRPr="00D50B0B">
        <w:rPr>
          <w:rFonts w:ascii="Verdana" w:hAnsi="Verdana" w:cs="Verdana"/>
          <w:color w:val="000000"/>
          <w:sz w:val="20"/>
          <w:szCs w:val="20"/>
          <w:lang w:val="es-MX"/>
        </w:rPr>
        <w:t xml:space="preserve"> </w:t>
      </w:r>
      <w:r w:rsidR="001576D2">
        <w:rPr>
          <w:rFonts w:ascii="Verdana" w:hAnsi="Verdana" w:cs="Verdana"/>
          <w:color w:val="000000"/>
          <w:sz w:val="20"/>
          <w:szCs w:val="20"/>
          <w:lang w:val="es-MX"/>
        </w:rPr>
        <w:t>que notifique</w:t>
      </w:r>
      <w:r w:rsidR="001F620C">
        <w:rPr>
          <w:rFonts w:ascii="Verdana" w:hAnsi="Verdana" w:cs="Verdana"/>
          <w:color w:val="000000"/>
          <w:sz w:val="20"/>
          <w:szCs w:val="20"/>
          <w:lang w:val="es-MX"/>
        </w:rPr>
        <w:t>n</w:t>
      </w:r>
      <w:r w:rsidRPr="00D50B0B">
        <w:rPr>
          <w:rFonts w:ascii="Verdana" w:hAnsi="Verdana" w:cs="Verdana"/>
          <w:color w:val="000000"/>
          <w:sz w:val="20"/>
          <w:szCs w:val="20"/>
          <w:lang w:val="es-MX"/>
        </w:rPr>
        <w:t xml:space="preserve"> la presente Resolución </w:t>
      </w:r>
      <w:r w:rsidR="001F620C">
        <w:rPr>
          <w:rFonts w:ascii="Verdana" w:hAnsi="Verdana" w:cs="Verdana"/>
          <w:color w:val="000000"/>
          <w:sz w:val="20"/>
          <w:szCs w:val="20"/>
          <w:lang w:val="es-MX"/>
        </w:rPr>
        <w:t>a los peritos</w:t>
      </w:r>
      <w:r w:rsidR="007237F8">
        <w:rPr>
          <w:rFonts w:ascii="Verdana" w:hAnsi="Verdana" w:cs="Verdana"/>
          <w:color w:val="000000"/>
          <w:sz w:val="20"/>
          <w:szCs w:val="20"/>
          <w:lang w:val="es-MX"/>
        </w:rPr>
        <w:t xml:space="preserve"> convocados que fueron por ellos propuestos, así como a la presunta víctima</w:t>
      </w:r>
      <w:r w:rsidR="001576D2">
        <w:rPr>
          <w:rFonts w:ascii="Verdana" w:hAnsi="Verdana" w:cs="Verdana"/>
          <w:color w:val="000000"/>
          <w:sz w:val="20"/>
          <w:szCs w:val="20"/>
          <w:lang w:val="es-MX"/>
        </w:rPr>
        <w:t xml:space="preserve">, </w:t>
      </w:r>
      <w:r w:rsidRPr="00D50B0B">
        <w:rPr>
          <w:rFonts w:ascii="Verdana" w:hAnsi="Verdana" w:cs="Verdana"/>
          <w:color w:val="000000"/>
          <w:sz w:val="20"/>
          <w:szCs w:val="20"/>
          <w:lang w:val="es-MX"/>
        </w:rPr>
        <w:t xml:space="preserve">de conformidad con lo dispuesto en los artículos 50.2 y 50.4 del Reglamento. </w:t>
      </w:r>
    </w:p>
    <w:p w14:paraId="09E2AD0D" w14:textId="77777777" w:rsidR="00835B03" w:rsidRPr="00B05751" w:rsidRDefault="00835B03" w:rsidP="00835B03">
      <w:pPr>
        <w:tabs>
          <w:tab w:val="left" w:pos="720"/>
          <w:tab w:val="left" w:pos="810"/>
        </w:tabs>
        <w:autoSpaceDE w:val="0"/>
        <w:autoSpaceDN w:val="0"/>
        <w:adjustRightInd w:val="0"/>
        <w:spacing w:after="0"/>
        <w:ind w:left="112" w:hanging="22"/>
        <w:jc w:val="both"/>
        <w:rPr>
          <w:rFonts w:ascii="Verdana" w:hAnsi="Verdana" w:cs="Verdana"/>
          <w:color w:val="000000"/>
          <w:sz w:val="20"/>
          <w:szCs w:val="20"/>
          <w:lang w:val="es-MX"/>
        </w:rPr>
      </w:pPr>
    </w:p>
    <w:p w14:paraId="581574C8" w14:textId="226EB26F" w:rsidR="00835B03" w:rsidRPr="00D50B0B" w:rsidRDefault="00835B03" w:rsidP="00835B03">
      <w:pPr>
        <w:tabs>
          <w:tab w:val="left" w:pos="720"/>
          <w:tab w:val="left" w:pos="810"/>
        </w:tabs>
        <w:autoSpaceDE w:val="0"/>
        <w:autoSpaceDN w:val="0"/>
        <w:adjustRightInd w:val="0"/>
        <w:spacing w:after="0"/>
        <w:ind w:left="112" w:hanging="22"/>
        <w:jc w:val="both"/>
        <w:rPr>
          <w:rFonts w:ascii="Verdana" w:hAnsi="Verdana" w:cs="Verdana"/>
          <w:sz w:val="20"/>
          <w:szCs w:val="20"/>
          <w:lang w:val="es-MX"/>
        </w:rPr>
      </w:pPr>
      <w:r w:rsidRPr="00B05751">
        <w:rPr>
          <w:rFonts w:ascii="Verdana" w:hAnsi="Verdana" w:cs="Verdana"/>
          <w:color w:val="000000"/>
          <w:sz w:val="20"/>
          <w:szCs w:val="20"/>
          <w:lang w:val="es-MX"/>
        </w:rPr>
        <w:t>3.</w:t>
      </w:r>
      <w:r w:rsidRPr="00B05751">
        <w:rPr>
          <w:rFonts w:ascii="Verdana" w:hAnsi="Verdana" w:cs="Verdana"/>
          <w:color w:val="000000"/>
          <w:sz w:val="20"/>
          <w:szCs w:val="20"/>
          <w:lang w:val="es-MX"/>
        </w:rPr>
        <w:tab/>
      </w:r>
      <w:r w:rsidRPr="00D50B0B">
        <w:rPr>
          <w:rFonts w:ascii="Verdana" w:hAnsi="Verdana" w:cs="Verdana"/>
          <w:sz w:val="20"/>
          <w:szCs w:val="20"/>
          <w:lang w:val="es-MX"/>
        </w:rPr>
        <w:t>Requerir a</w:t>
      </w:r>
      <w:r w:rsidR="001F620C">
        <w:rPr>
          <w:rFonts w:ascii="Verdana" w:hAnsi="Verdana" w:cs="Verdana"/>
          <w:sz w:val="20"/>
          <w:szCs w:val="20"/>
          <w:lang w:val="es-MX"/>
        </w:rPr>
        <w:t xml:space="preserve"> la Comisión,</w:t>
      </w:r>
      <w:r>
        <w:rPr>
          <w:rFonts w:ascii="Verdana" w:hAnsi="Verdana" w:cs="Verdana"/>
          <w:sz w:val="20"/>
          <w:szCs w:val="20"/>
          <w:lang w:val="es-MX"/>
        </w:rPr>
        <w:t xml:space="preserve"> </w:t>
      </w:r>
      <w:r w:rsidR="001576D2">
        <w:rPr>
          <w:rFonts w:ascii="Verdana" w:hAnsi="Verdana" w:cs="Verdana"/>
          <w:sz w:val="20"/>
          <w:szCs w:val="20"/>
          <w:lang w:val="es-MX"/>
        </w:rPr>
        <w:t>los</w:t>
      </w:r>
      <w:r w:rsidRPr="00B05751">
        <w:rPr>
          <w:rFonts w:ascii="Verdana" w:hAnsi="Verdana" w:cs="Verdana"/>
          <w:sz w:val="20"/>
          <w:szCs w:val="20"/>
          <w:lang w:val="es-MX"/>
        </w:rPr>
        <w:t xml:space="preserve"> representante</w:t>
      </w:r>
      <w:r w:rsidR="001576D2">
        <w:rPr>
          <w:rFonts w:ascii="Verdana" w:hAnsi="Verdana" w:cs="Verdana"/>
          <w:sz w:val="20"/>
          <w:szCs w:val="20"/>
          <w:lang w:val="es-MX"/>
        </w:rPr>
        <w:t>s</w:t>
      </w:r>
      <w:r w:rsidRPr="00B05751">
        <w:rPr>
          <w:rFonts w:ascii="Verdana" w:hAnsi="Verdana" w:cs="Verdana"/>
          <w:sz w:val="20"/>
          <w:szCs w:val="20"/>
          <w:lang w:val="es-MX"/>
        </w:rPr>
        <w:t xml:space="preserve"> </w:t>
      </w:r>
      <w:r w:rsidRPr="00D50B0B">
        <w:rPr>
          <w:rFonts w:ascii="Verdana" w:hAnsi="Verdana" w:cs="Verdana"/>
          <w:color w:val="000000"/>
          <w:sz w:val="20"/>
          <w:szCs w:val="20"/>
          <w:lang w:val="es-MX"/>
        </w:rPr>
        <w:t xml:space="preserve">y al Estado </w:t>
      </w:r>
      <w:r w:rsidRPr="00D50B0B">
        <w:rPr>
          <w:rFonts w:ascii="Verdana" w:hAnsi="Verdana" w:cs="Verdana"/>
          <w:sz w:val="20"/>
          <w:szCs w:val="20"/>
          <w:lang w:val="es-MX"/>
        </w:rPr>
        <w:t xml:space="preserve">que, de considerarlo pertinente, en los términos del artículo 50.5 del Reglamento, en el plazo improrrogable que vence </w:t>
      </w:r>
      <w:r w:rsidRPr="007133BA">
        <w:rPr>
          <w:rFonts w:ascii="Verdana" w:hAnsi="Verdana" w:cs="Verdana"/>
          <w:sz w:val="20"/>
          <w:szCs w:val="20"/>
          <w:lang w:val="es-MX"/>
        </w:rPr>
        <w:t xml:space="preserve">el </w:t>
      </w:r>
      <w:r w:rsidR="00991297">
        <w:rPr>
          <w:rFonts w:ascii="Verdana" w:hAnsi="Verdana" w:cs="Verdana"/>
          <w:sz w:val="20"/>
          <w:szCs w:val="20"/>
          <w:lang w:val="es-MX"/>
        </w:rPr>
        <w:t>14</w:t>
      </w:r>
      <w:r w:rsidR="00B83A35" w:rsidRPr="007133BA">
        <w:rPr>
          <w:rFonts w:ascii="Verdana" w:hAnsi="Verdana" w:cs="Verdana"/>
          <w:sz w:val="20"/>
          <w:szCs w:val="20"/>
          <w:lang w:val="es-MX"/>
        </w:rPr>
        <w:t xml:space="preserve"> de agosto</w:t>
      </w:r>
      <w:r w:rsidR="002864BB" w:rsidRPr="007133BA">
        <w:rPr>
          <w:rFonts w:ascii="Verdana" w:hAnsi="Verdana" w:cs="Verdana"/>
          <w:sz w:val="20"/>
          <w:szCs w:val="20"/>
          <w:lang w:val="es-MX"/>
        </w:rPr>
        <w:t xml:space="preserve"> de 2020</w:t>
      </w:r>
      <w:r w:rsidRPr="00D50B0B">
        <w:rPr>
          <w:rFonts w:ascii="Verdana" w:hAnsi="Verdana" w:cs="Verdana"/>
          <w:sz w:val="20"/>
          <w:szCs w:val="20"/>
          <w:lang w:val="es-MX"/>
        </w:rPr>
        <w:t xml:space="preserve">, presenten las preguntas que estimen pertinente formular a través de la Corte Interamericana </w:t>
      </w:r>
      <w:r w:rsidR="001576D2">
        <w:rPr>
          <w:rFonts w:ascii="Verdana" w:hAnsi="Verdana" w:cs="Verdana"/>
          <w:sz w:val="20"/>
          <w:szCs w:val="20"/>
          <w:lang w:val="es-MX"/>
        </w:rPr>
        <w:t>a</w:t>
      </w:r>
      <w:r w:rsidR="001F620C">
        <w:rPr>
          <w:rFonts w:ascii="Verdana" w:hAnsi="Verdana" w:cs="Verdana"/>
          <w:sz w:val="20"/>
          <w:szCs w:val="20"/>
          <w:lang w:val="es-MX"/>
        </w:rPr>
        <w:t xml:space="preserve"> </w:t>
      </w:r>
      <w:r w:rsidR="001576D2">
        <w:rPr>
          <w:rFonts w:ascii="Verdana" w:hAnsi="Verdana" w:cs="Verdana"/>
          <w:sz w:val="20"/>
          <w:szCs w:val="20"/>
          <w:lang w:val="es-MX"/>
        </w:rPr>
        <w:t>l</w:t>
      </w:r>
      <w:r w:rsidR="001F620C">
        <w:rPr>
          <w:rFonts w:ascii="Verdana" w:hAnsi="Verdana" w:cs="Verdana"/>
          <w:sz w:val="20"/>
          <w:szCs w:val="20"/>
          <w:lang w:val="es-MX"/>
        </w:rPr>
        <w:t>os</w:t>
      </w:r>
      <w:r w:rsidR="001576D2">
        <w:rPr>
          <w:rFonts w:ascii="Verdana" w:hAnsi="Verdana" w:cs="Verdana"/>
          <w:sz w:val="20"/>
          <w:szCs w:val="20"/>
          <w:lang w:val="es-MX"/>
        </w:rPr>
        <w:t xml:space="preserve"> perito</w:t>
      </w:r>
      <w:r w:rsidR="001F620C">
        <w:rPr>
          <w:rFonts w:ascii="Verdana" w:hAnsi="Verdana" w:cs="Verdana"/>
          <w:sz w:val="20"/>
          <w:szCs w:val="20"/>
          <w:lang w:val="es-MX"/>
        </w:rPr>
        <w:t>s</w:t>
      </w:r>
      <w:r w:rsidR="001576D2">
        <w:rPr>
          <w:rFonts w:ascii="Verdana" w:hAnsi="Verdana" w:cs="Verdana"/>
          <w:sz w:val="20"/>
          <w:szCs w:val="20"/>
          <w:lang w:val="es-MX"/>
        </w:rPr>
        <w:t xml:space="preserve"> referido</w:t>
      </w:r>
      <w:r w:rsidR="001F620C">
        <w:rPr>
          <w:rFonts w:ascii="Verdana" w:hAnsi="Verdana" w:cs="Verdana"/>
          <w:sz w:val="20"/>
          <w:szCs w:val="20"/>
          <w:lang w:val="es-MX"/>
        </w:rPr>
        <w:t>s</w:t>
      </w:r>
      <w:r w:rsidRPr="00D50B0B">
        <w:rPr>
          <w:rFonts w:ascii="Verdana" w:hAnsi="Verdana" w:cs="Verdana"/>
          <w:sz w:val="20"/>
          <w:szCs w:val="20"/>
          <w:lang w:val="es-MX"/>
        </w:rPr>
        <w:t xml:space="preserve"> en el punto resolutivo</w:t>
      </w:r>
      <w:r>
        <w:rPr>
          <w:rFonts w:ascii="Verdana" w:hAnsi="Verdana" w:cs="Verdana"/>
          <w:sz w:val="20"/>
          <w:szCs w:val="20"/>
          <w:lang w:val="es-MX"/>
        </w:rPr>
        <w:t xml:space="preserve"> 1. </w:t>
      </w:r>
    </w:p>
    <w:p w14:paraId="4A2E0B2D" w14:textId="77777777" w:rsidR="00835B03" w:rsidRPr="00B05751" w:rsidRDefault="00835B03" w:rsidP="00835B03">
      <w:pPr>
        <w:autoSpaceDE w:val="0"/>
        <w:autoSpaceDN w:val="0"/>
        <w:adjustRightInd w:val="0"/>
        <w:spacing w:after="0"/>
        <w:ind w:left="112"/>
        <w:rPr>
          <w:rFonts w:ascii="Verdana" w:hAnsi="Verdana" w:cs="Verdana"/>
          <w:sz w:val="20"/>
          <w:szCs w:val="20"/>
          <w:lang w:val="es-MX"/>
        </w:rPr>
      </w:pPr>
    </w:p>
    <w:p w14:paraId="636F941D" w14:textId="68B39D28" w:rsidR="00835B03" w:rsidRPr="00D50B0B" w:rsidRDefault="00835B03" w:rsidP="00835B03">
      <w:pPr>
        <w:autoSpaceDE w:val="0"/>
        <w:autoSpaceDN w:val="0"/>
        <w:adjustRightInd w:val="0"/>
        <w:spacing w:after="0"/>
        <w:ind w:left="112"/>
        <w:jc w:val="both"/>
        <w:rPr>
          <w:rFonts w:ascii="Verdana" w:hAnsi="Verdana" w:cs="Verdana"/>
          <w:sz w:val="20"/>
          <w:szCs w:val="20"/>
          <w:lang w:val="es-MX"/>
        </w:rPr>
      </w:pPr>
      <w:r w:rsidRPr="00B05751">
        <w:rPr>
          <w:rFonts w:ascii="Verdana" w:hAnsi="Verdana" w:cs="Verdana"/>
          <w:sz w:val="20"/>
          <w:szCs w:val="20"/>
          <w:lang w:val="es-MX"/>
        </w:rPr>
        <w:t>4</w:t>
      </w:r>
      <w:r w:rsidRPr="00D50B0B">
        <w:rPr>
          <w:rFonts w:ascii="Verdana" w:hAnsi="Verdana" w:cs="Verdana"/>
          <w:sz w:val="20"/>
          <w:szCs w:val="20"/>
          <w:lang w:val="es-MX"/>
        </w:rPr>
        <w:t>.</w:t>
      </w:r>
      <w:r w:rsidRPr="00B05751">
        <w:rPr>
          <w:rFonts w:ascii="Verdana" w:hAnsi="Verdana" w:cs="Verdana"/>
          <w:sz w:val="20"/>
          <w:szCs w:val="20"/>
          <w:lang w:val="es-MX"/>
        </w:rPr>
        <w:tab/>
      </w:r>
      <w:r w:rsidRPr="00D50B0B">
        <w:rPr>
          <w:rFonts w:ascii="Verdana" w:hAnsi="Verdana" w:cs="Verdana"/>
          <w:sz w:val="20"/>
          <w:szCs w:val="20"/>
          <w:lang w:val="es-MX"/>
        </w:rPr>
        <w:t>Requerir a</w:t>
      </w:r>
      <w:r>
        <w:rPr>
          <w:rFonts w:ascii="Verdana" w:hAnsi="Verdana" w:cs="Verdana"/>
          <w:sz w:val="20"/>
          <w:szCs w:val="20"/>
          <w:lang w:val="es-MX"/>
        </w:rPr>
        <w:t xml:space="preserve"> </w:t>
      </w:r>
      <w:r w:rsidRPr="00D50B0B">
        <w:rPr>
          <w:rFonts w:ascii="Verdana" w:hAnsi="Verdana" w:cs="Verdana"/>
          <w:sz w:val="20"/>
          <w:szCs w:val="20"/>
          <w:lang w:val="es-MX"/>
        </w:rPr>
        <w:t>l</w:t>
      </w:r>
      <w:r>
        <w:rPr>
          <w:rFonts w:ascii="Verdana" w:hAnsi="Verdana" w:cs="Verdana"/>
          <w:sz w:val="20"/>
          <w:szCs w:val="20"/>
          <w:lang w:val="es-MX"/>
        </w:rPr>
        <w:t>a</w:t>
      </w:r>
      <w:r w:rsidRPr="00D50B0B">
        <w:rPr>
          <w:rFonts w:ascii="Verdana" w:hAnsi="Verdana" w:cs="Verdana"/>
          <w:sz w:val="20"/>
          <w:szCs w:val="20"/>
          <w:lang w:val="es-MX"/>
        </w:rPr>
        <w:t xml:space="preserve"> </w:t>
      </w:r>
      <w:r>
        <w:rPr>
          <w:rFonts w:ascii="Verdana" w:hAnsi="Verdana" w:cs="Verdana"/>
          <w:sz w:val="20"/>
          <w:szCs w:val="20"/>
          <w:lang w:val="es-MX"/>
        </w:rPr>
        <w:t>Comisión</w:t>
      </w:r>
      <w:r w:rsidR="007237F8">
        <w:rPr>
          <w:rFonts w:ascii="Verdana" w:hAnsi="Verdana" w:cs="Verdana"/>
          <w:sz w:val="20"/>
          <w:szCs w:val="20"/>
          <w:lang w:val="es-MX"/>
        </w:rPr>
        <w:t>,</w:t>
      </w:r>
      <w:r w:rsidR="001F620C">
        <w:rPr>
          <w:rFonts w:ascii="Verdana" w:hAnsi="Verdana" w:cs="Verdana"/>
          <w:sz w:val="20"/>
          <w:szCs w:val="20"/>
          <w:lang w:val="es-MX"/>
        </w:rPr>
        <w:t xml:space="preserve"> al Estado</w:t>
      </w:r>
      <w:r w:rsidR="007237F8">
        <w:rPr>
          <w:rFonts w:ascii="Verdana" w:hAnsi="Verdana" w:cs="Verdana"/>
          <w:sz w:val="20"/>
          <w:szCs w:val="20"/>
          <w:lang w:val="es-MX"/>
        </w:rPr>
        <w:t xml:space="preserve"> y a los representantes</w:t>
      </w:r>
      <w:r w:rsidRPr="00D50B0B">
        <w:rPr>
          <w:rFonts w:ascii="Verdana" w:hAnsi="Verdana" w:cs="Verdana"/>
          <w:sz w:val="20"/>
          <w:szCs w:val="20"/>
          <w:lang w:val="es-MX"/>
        </w:rPr>
        <w:t xml:space="preserve"> </w:t>
      </w:r>
      <w:r w:rsidR="001576D2">
        <w:rPr>
          <w:rFonts w:ascii="Verdana" w:hAnsi="Verdana" w:cs="Verdana"/>
          <w:sz w:val="20"/>
          <w:szCs w:val="20"/>
          <w:lang w:val="es-MX"/>
        </w:rPr>
        <w:t>que coordine</w:t>
      </w:r>
      <w:r w:rsidR="001F620C">
        <w:rPr>
          <w:rFonts w:ascii="Verdana" w:hAnsi="Verdana" w:cs="Verdana"/>
          <w:sz w:val="20"/>
          <w:szCs w:val="20"/>
          <w:lang w:val="es-MX"/>
        </w:rPr>
        <w:t>n</w:t>
      </w:r>
      <w:r w:rsidR="001576D2">
        <w:rPr>
          <w:rFonts w:ascii="Verdana" w:hAnsi="Verdana" w:cs="Verdana"/>
          <w:sz w:val="20"/>
          <w:szCs w:val="20"/>
          <w:lang w:val="es-MX"/>
        </w:rPr>
        <w:t xml:space="preserve"> y realice</w:t>
      </w:r>
      <w:r w:rsidR="001F620C">
        <w:rPr>
          <w:rFonts w:ascii="Verdana" w:hAnsi="Verdana" w:cs="Verdana"/>
          <w:sz w:val="20"/>
          <w:szCs w:val="20"/>
          <w:lang w:val="es-MX"/>
        </w:rPr>
        <w:t>n</w:t>
      </w:r>
      <w:r w:rsidRPr="00D50B0B">
        <w:rPr>
          <w:rFonts w:ascii="Verdana" w:hAnsi="Verdana" w:cs="Verdana"/>
          <w:sz w:val="20"/>
          <w:szCs w:val="20"/>
          <w:lang w:val="es-MX"/>
        </w:rPr>
        <w:t xml:space="preserve"> las diligencias necesarias para que, una vez recibidas las p</w:t>
      </w:r>
      <w:r w:rsidR="001576D2">
        <w:rPr>
          <w:rFonts w:ascii="Verdana" w:hAnsi="Verdana" w:cs="Verdana"/>
          <w:sz w:val="20"/>
          <w:szCs w:val="20"/>
          <w:lang w:val="es-MX"/>
        </w:rPr>
        <w:t>reguntas, según corresponda, l</w:t>
      </w:r>
      <w:r w:rsidR="001F620C">
        <w:rPr>
          <w:rFonts w:ascii="Verdana" w:hAnsi="Verdana" w:cs="Verdana"/>
          <w:sz w:val="20"/>
          <w:szCs w:val="20"/>
          <w:lang w:val="es-MX"/>
        </w:rPr>
        <w:t>os</w:t>
      </w:r>
      <w:r w:rsidR="001576D2">
        <w:rPr>
          <w:rFonts w:ascii="Verdana" w:hAnsi="Verdana" w:cs="Verdana"/>
          <w:sz w:val="20"/>
          <w:szCs w:val="20"/>
          <w:lang w:val="es-MX"/>
        </w:rPr>
        <w:t xml:space="preserve"> perito</w:t>
      </w:r>
      <w:r w:rsidR="001F620C">
        <w:rPr>
          <w:rFonts w:ascii="Verdana" w:hAnsi="Verdana" w:cs="Verdana"/>
          <w:sz w:val="20"/>
          <w:szCs w:val="20"/>
          <w:lang w:val="es-MX"/>
        </w:rPr>
        <w:t>s</w:t>
      </w:r>
      <w:r w:rsidR="007237F8">
        <w:rPr>
          <w:rFonts w:ascii="Verdana" w:hAnsi="Verdana" w:cs="Verdana"/>
          <w:sz w:val="20"/>
          <w:szCs w:val="20"/>
          <w:lang w:val="es-MX"/>
        </w:rPr>
        <w:t xml:space="preserve"> y la presunta víctima</w:t>
      </w:r>
      <w:r w:rsidR="001576D2">
        <w:rPr>
          <w:rFonts w:ascii="Verdana" w:hAnsi="Verdana" w:cs="Verdana"/>
          <w:sz w:val="20"/>
          <w:szCs w:val="20"/>
          <w:lang w:val="es-MX"/>
        </w:rPr>
        <w:t xml:space="preserve"> incluya</w:t>
      </w:r>
      <w:r w:rsidR="001F620C">
        <w:rPr>
          <w:rFonts w:ascii="Verdana" w:hAnsi="Verdana" w:cs="Verdana"/>
          <w:sz w:val="20"/>
          <w:szCs w:val="20"/>
          <w:lang w:val="es-MX"/>
        </w:rPr>
        <w:t>n</w:t>
      </w:r>
      <w:r w:rsidRPr="00D50B0B">
        <w:rPr>
          <w:rFonts w:ascii="Verdana" w:hAnsi="Verdana" w:cs="Verdana"/>
          <w:sz w:val="20"/>
          <w:szCs w:val="20"/>
          <w:lang w:val="es-MX"/>
        </w:rPr>
        <w:t xml:space="preserve"> las respuestas en el dictamen</w:t>
      </w:r>
      <w:r w:rsidR="007237F8">
        <w:rPr>
          <w:rFonts w:ascii="Verdana" w:hAnsi="Verdana" w:cs="Verdana"/>
          <w:sz w:val="20"/>
          <w:szCs w:val="20"/>
          <w:lang w:val="es-MX"/>
        </w:rPr>
        <w:t xml:space="preserve"> o declaración</w:t>
      </w:r>
      <w:r w:rsidRPr="00D50B0B">
        <w:rPr>
          <w:rFonts w:ascii="Verdana" w:hAnsi="Verdana" w:cs="Verdana"/>
          <w:sz w:val="20"/>
          <w:szCs w:val="20"/>
          <w:lang w:val="es-MX"/>
        </w:rPr>
        <w:t xml:space="preserve"> que rendirá</w:t>
      </w:r>
      <w:r>
        <w:rPr>
          <w:rFonts w:ascii="Verdana" w:hAnsi="Verdana" w:cs="Verdana"/>
          <w:sz w:val="20"/>
          <w:szCs w:val="20"/>
          <w:lang w:val="es-MX"/>
        </w:rPr>
        <w:t xml:space="preserve">n </w:t>
      </w:r>
      <w:r w:rsidRPr="00D50B0B">
        <w:rPr>
          <w:rFonts w:ascii="Verdana" w:hAnsi="Verdana" w:cs="Verdana"/>
          <w:sz w:val="20"/>
          <w:szCs w:val="20"/>
          <w:lang w:val="es-MX"/>
        </w:rPr>
        <w:t>ante fedatario público, salvo que esta Presidencia disponga lo contrario</w:t>
      </w:r>
      <w:r>
        <w:rPr>
          <w:rFonts w:ascii="Verdana" w:hAnsi="Verdana" w:cs="Verdana"/>
          <w:sz w:val="20"/>
          <w:szCs w:val="20"/>
          <w:lang w:val="es-MX"/>
        </w:rPr>
        <w:t>,</w:t>
      </w:r>
      <w:r w:rsidRPr="00D50B0B">
        <w:rPr>
          <w:rFonts w:ascii="Verdana" w:hAnsi="Verdana" w:cs="Verdana"/>
          <w:sz w:val="20"/>
          <w:szCs w:val="20"/>
          <w:lang w:val="es-MX"/>
        </w:rPr>
        <w:t xml:space="preserve"> cuando la Secretaría de la Corte las transmita</w:t>
      </w:r>
      <w:r w:rsidR="007237F8">
        <w:rPr>
          <w:rFonts w:ascii="Verdana" w:hAnsi="Verdana" w:cs="Verdana"/>
          <w:sz w:val="20"/>
          <w:szCs w:val="20"/>
          <w:lang w:val="es-MX"/>
        </w:rPr>
        <w:t xml:space="preserve">. </w:t>
      </w:r>
      <w:r w:rsidR="009C1651">
        <w:rPr>
          <w:rFonts w:ascii="Verdana" w:hAnsi="Verdana" w:cs="Verdana"/>
          <w:sz w:val="20"/>
          <w:szCs w:val="20"/>
          <w:lang w:val="es-MX"/>
        </w:rPr>
        <w:t>Las declaraciones requeridas</w:t>
      </w:r>
      <w:r w:rsidRPr="00D50B0B">
        <w:rPr>
          <w:rFonts w:ascii="Verdana" w:hAnsi="Verdana" w:cs="Verdana"/>
          <w:sz w:val="20"/>
          <w:szCs w:val="20"/>
          <w:lang w:val="es-MX"/>
        </w:rPr>
        <w:t xml:space="preserve"> en el punto resolutivo </w:t>
      </w:r>
      <w:r>
        <w:rPr>
          <w:rFonts w:ascii="Verdana" w:hAnsi="Verdana" w:cs="Verdana"/>
          <w:sz w:val="20"/>
          <w:szCs w:val="20"/>
          <w:lang w:val="es-MX"/>
        </w:rPr>
        <w:t>1</w:t>
      </w:r>
      <w:r w:rsidRPr="00D50B0B">
        <w:rPr>
          <w:rFonts w:ascii="Verdana" w:hAnsi="Verdana" w:cs="Verdana"/>
          <w:sz w:val="20"/>
          <w:szCs w:val="20"/>
          <w:lang w:val="es-MX"/>
        </w:rPr>
        <w:t xml:space="preserve"> deberán ser presentados al Tribunal a más tardar el</w:t>
      </w:r>
      <w:r>
        <w:rPr>
          <w:rFonts w:ascii="Verdana" w:hAnsi="Verdana" w:cs="Verdana"/>
          <w:sz w:val="20"/>
          <w:szCs w:val="20"/>
          <w:lang w:val="es-MX"/>
        </w:rPr>
        <w:t xml:space="preserve"> </w:t>
      </w:r>
      <w:r w:rsidR="00991297">
        <w:rPr>
          <w:rFonts w:ascii="Verdana" w:hAnsi="Verdana" w:cs="Verdana"/>
          <w:sz w:val="20"/>
          <w:szCs w:val="20"/>
          <w:lang w:val="es-MX"/>
        </w:rPr>
        <w:t>31</w:t>
      </w:r>
      <w:r w:rsidRPr="007133BA">
        <w:rPr>
          <w:rFonts w:ascii="Verdana" w:hAnsi="Verdana" w:cs="Verdana"/>
          <w:sz w:val="20"/>
          <w:szCs w:val="20"/>
          <w:lang w:val="es-MX"/>
        </w:rPr>
        <w:t xml:space="preserve"> de agosto</w:t>
      </w:r>
      <w:r w:rsidR="002864BB" w:rsidRPr="007133BA">
        <w:rPr>
          <w:rFonts w:ascii="Verdana" w:hAnsi="Verdana" w:cs="Verdana"/>
          <w:sz w:val="20"/>
          <w:szCs w:val="20"/>
          <w:lang w:val="es-MX"/>
        </w:rPr>
        <w:t xml:space="preserve"> de 2020</w:t>
      </w:r>
      <w:r w:rsidRPr="007133BA">
        <w:rPr>
          <w:rFonts w:ascii="Verdana" w:hAnsi="Verdana" w:cs="Verdana"/>
          <w:sz w:val="20"/>
          <w:szCs w:val="20"/>
          <w:lang w:val="es-MX"/>
        </w:rPr>
        <w:t>.</w:t>
      </w:r>
      <w:r w:rsidRPr="00D50B0B">
        <w:rPr>
          <w:rFonts w:ascii="Verdana" w:hAnsi="Verdana" w:cs="Verdana"/>
          <w:sz w:val="20"/>
          <w:szCs w:val="20"/>
          <w:lang w:val="es-MX"/>
        </w:rPr>
        <w:t xml:space="preserve"> </w:t>
      </w:r>
    </w:p>
    <w:p w14:paraId="4A920369" w14:textId="77777777" w:rsidR="00835B03" w:rsidRPr="00D50B0B" w:rsidRDefault="00835B03" w:rsidP="00835B03">
      <w:pPr>
        <w:autoSpaceDE w:val="0"/>
        <w:autoSpaceDN w:val="0"/>
        <w:adjustRightInd w:val="0"/>
        <w:spacing w:after="0"/>
        <w:ind w:left="112"/>
        <w:rPr>
          <w:rFonts w:ascii="Calibri" w:hAnsi="Calibri" w:cs="Calibri"/>
          <w:lang w:val="es-MX"/>
        </w:rPr>
      </w:pPr>
      <w:r w:rsidRPr="00D50B0B">
        <w:rPr>
          <w:rFonts w:ascii="Calibri" w:hAnsi="Calibri" w:cs="Calibri"/>
          <w:lang w:val="es-MX"/>
        </w:rPr>
        <w:t xml:space="preserve"> </w:t>
      </w:r>
    </w:p>
    <w:p w14:paraId="5E99BC0B" w14:textId="3470AB14" w:rsidR="00835B03" w:rsidRPr="00D50B0B" w:rsidRDefault="00835B03" w:rsidP="00835B03">
      <w:pPr>
        <w:autoSpaceDE w:val="0"/>
        <w:autoSpaceDN w:val="0"/>
        <w:adjustRightInd w:val="0"/>
        <w:spacing w:after="0"/>
        <w:ind w:left="112"/>
        <w:jc w:val="both"/>
        <w:rPr>
          <w:rFonts w:ascii="Verdana" w:hAnsi="Verdana"/>
          <w:sz w:val="20"/>
          <w:szCs w:val="20"/>
          <w:lang w:val="es-MX"/>
        </w:rPr>
      </w:pPr>
      <w:r>
        <w:rPr>
          <w:rFonts w:ascii="Verdana" w:hAnsi="Verdana"/>
          <w:sz w:val="20"/>
          <w:szCs w:val="20"/>
          <w:lang w:val="es-MX"/>
        </w:rPr>
        <w:t>5.</w:t>
      </w:r>
      <w:r>
        <w:rPr>
          <w:rFonts w:ascii="Verdana" w:hAnsi="Verdana"/>
          <w:sz w:val="20"/>
          <w:szCs w:val="20"/>
          <w:lang w:val="es-MX"/>
        </w:rPr>
        <w:tab/>
      </w:r>
      <w:r w:rsidRPr="00D50B0B">
        <w:rPr>
          <w:rFonts w:ascii="Verdana" w:hAnsi="Verdana"/>
          <w:sz w:val="20"/>
          <w:szCs w:val="20"/>
          <w:lang w:val="es-MX"/>
        </w:rPr>
        <w:t>Disponer</w:t>
      </w:r>
      <w:r w:rsidR="001F620C">
        <w:rPr>
          <w:rFonts w:ascii="Verdana" w:hAnsi="Verdana"/>
          <w:sz w:val="20"/>
          <w:szCs w:val="20"/>
          <w:lang w:val="es-MX"/>
        </w:rPr>
        <w:t>,</w:t>
      </w:r>
      <w:r w:rsidRPr="00D50B0B">
        <w:rPr>
          <w:rFonts w:ascii="Verdana" w:hAnsi="Verdana"/>
          <w:sz w:val="20"/>
          <w:szCs w:val="20"/>
          <w:lang w:val="es-MX"/>
        </w:rPr>
        <w:t xml:space="preserve"> conforme al artículo 50.6 del Reglamento que, una vez </w:t>
      </w:r>
      <w:r w:rsidR="007237F8">
        <w:rPr>
          <w:rFonts w:ascii="Verdana" w:hAnsi="Verdana"/>
          <w:sz w:val="20"/>
          <w:szCs w:val="20"/>
          <w:lang w:val="es-MX"/>
        </w:rPr>
        <w:t>recibidas las declaraciones</w:t>
      </w:r>
      <w:r w:rsidR="00D50CD2">
        <w:rPr>
          <w:rFonts w:ascii="Verdana" w:hAnsi="Verdana"/>
          <w:sz w:val="20"/>
          <w:szCs w:val="20"/>
          <w:lang w:val="es-MX"/>
        </w:rPr>
        <w:t>, la Secretaría de la Corte la</w:t>
      </w:r>
      <w:r w:rsidR="001F620C">
        <w:rPr>
          <w:rFonts w:ascii="Verdana" w:hAnsi="Verdana"/>
          <w:sz w:val="20"/>
          <w:szCs w:val="20"/>
          <w:lang w:val="es-MX"/>
        </w:rPr>
        <w:t>s</w:t>
      </w:r>
      <w:r w:rsidRPr="00D50B0B">
        <w:rPr>
          <w:rFonts w:ascii="Verdana" w:hAnsi="Verdana"/>
          <w:sz w:val="20"/>
          <w:szCs w:val="20"/>
          <w:lang w:val="es-MX"/>
        </w:rPr>
        <w:t xml:space="preserve"> transmita</w:t>
      </w:r>
      <w:r w:rsidR="001F620C">
        <w:rPr>
          <w:rFonts w:ascii="Verdana" w:hAnsi="Verdana"/>
          <w:sz w:val="20"/>
          <w:szCs w:val="20"/>
          <w:lang w:val="es-MX"/>
        </w:rPr>
        <w:t xml:space="preserve"> a la Comisión,</w:t>
      </w:r>
      <w:r w:rsidRPr="00D50B0B">
        <w:rPr>
          <w:rFonts w:ascii="Verdana" w:hAnsi="Verdana"/>
          <w:sz w:val="20"/>
          <w:szCs w:val="20"/>
          <w:lang w:val="es-MX"/>
        </w:rPr>
        <w:t xml:space="preserve"> al Estado y a</w:t>
      </w:r>
      <w:r w:rsidR="002864BB">
        <w:rPr>
          <w:rFonts w:ascii="Verdana" w:hAnsi="Verdana"/>
          <w:sz w:val="20"/>
          <w:szCs w:val="20"/>
          <w:lang w:val="es-MX"/>
        </w:rPr>
        <w:t xml:space="preserve"> </w:t>
      </w:r>
      <w:r w:rsidRPr="00D50B0B">
        <w:rPr>
          <w:rFonts w:ascii="Verdana" w:hAnsi="Verdana"/>
          <w:sz w:val="20"/>
          <w:szCs w:val="20"/>
          <w:lang w:val="es-MX"/>
        </w:rPr>
        <w:t>l</w:t>
      </w:r>
      <w:r w:rsidR="002864BB">
        <w:rPr>
          <w:rFonts w:ascii="Verdana" w:hAnsi="Verdana"/>
          <w:sz w:val="20"/>
          <w:szCs w:val="20"/>
          <w:lang w:val="es-MX"/>
        </w:rPr>
        <w:t>os</w:t>
      </w:r>
      <w:r w:rsidRPr="00D50B0B">
        <w:rPr>
          <w:rFonts w:ascii="Verdana" w:hAnsi="Verdana"/>
          <w:sz w:val="20"/>
          <w:szCs w:val="20"/>
          <w:lang w:val="es-MX"/>
        </w:rPr>
        <w:t xml:space="preserve"> representante</w:t>
      </w:r>
      <w:r w:rsidR="002864BB">
        <w:rPr>
          <w:rFonts w:ascii="Verdana" w:hAnsi="Verdana"/>
          <w:sz w:val="20"/>
          <w:szCs w:val="20"/>
          <w:lang w:val="es-MX"/>
        </w:rPr>
        <w:t>s</w:t>
      </w:r>
      <w:r w:rsidRPr="00D50B0B">
        <w:rPr>
          <w:rFonts w:ascii="Verdana" w:hAnsi="Verdana"/>
          <w:sz w:val="20"/>
          <w:szCs w:val="20"/>
          <w:lang w:val="es-MX"/>
        </w:rPr>
        <w:t xml:space="preserve"> para que, si lo estiman pertinente, presenten sus observaciones a más tardar con sus</w:t>
      </w:r>
      <w:r w:rsidR="001F620C">
        <w:rPr>
          <w:rFonts w:ascii="Verdana" w:hAnsi="Verdana"/>
          <w:sz w:val="20"/>
          <w:szCs w:val="20"/>
          <w:lang w:val="es-MX"/>
        </w:rPr>
        <w:t xml:space="preserve"> observaciones y</w:t>
      </w:r>
      <w:r w:rsidRPr="00D50B0B">
        <w:rPr>
          <w:rFonts w:ascii="Verdana" w:hAnsi="Verdana"/>
          <w:sz w:val="20"/>
          <w:szCs w:val="20"/>
          <w:lang w:val="es-MX"/>
        </w:rPr>
        <w:t xml:space="preserve"> alegatos </w:t>
      </w:r>
      <w:r w:rsidR="00DB2DE3">
        <w:rPr>
          <w:rFonts w:ascii="Verdana" w:hAnsi="Verdana"/>
          <w:sz w:val="20"/>
          <w:szCs w:val="20"/>
          <w:lang w:val="es-MX"/>
        </w:rPr>
        <w:t>finales escritos</w:t>
      </w:r>
      <w:r w:rsidR="001F620C">
        <w:rPr>
          <w:rFonts w:ascii="Verdana" w:hAnsi="Verdana"/>
          <w:sz w:val="20"/>
          <w:szCs w:val="20"/>
          <w:lang w:val="es-MX"/>
        </w:rPr>
        <w:t>, respectivamente</w:t>
      </w:r>
      <w:r w:rsidRPr="00D50B0B">
        <w:rPr>
          <w:rFonts w:ascii="Verdana" w:hAnsi="Verdana"/>
          <w:sz w:val="20"/>
          <w:szCs w:val="20"/>
          <w:lang w:val="es-MX"/>
        </w:rPr>
        <w:t xml:space="preserve">. </w:t>
      </w:r>
    </w:p>
    <w:p w14:paraId="4ACFD739" w14:textId="77777777" w:rsidR="00835B03" w:rsidRPr="00D50B0B" w:rsidRDefault="00835B03" w:rsidP="00835B03">
      <w:pPr>
        <w:autoSpaceDE w:val="0"/>
        <w:autoSpaceDN w:val="0"/>
        <w:adjustRightInd w:val="0"/>
        <w:spacing w:after="0"/>
        <w:ind w:left="112"/>
        <w:rPr>
          <w:rFonts w:ascii="Verdana" w:hAnsi="Verdana"/>
          <w:sz w:val="20"/>
          <w:szCs w:val="20"/>
          <w:lang w:val="es-MX"/>
        </w:rPr>
      </w:pPr>
    </w:p>
    <w:p w14:paraId="22808EC2" w14:textId="6C4A4FF2" w:rsidR="00835B03" w:rsidRPr="00D50B0B" w:rsidRDefault="00835B03" w:rsidP="00835B03">
      <w:pPr>
        <w:autoSpaceDE w:val="0"/>
        <w:autoSpaceDN w:val="0"/>
        <w:adjustRightInd w:val="0"/>
        <w:spacing w:after="0"/>
        <w:ind w:left="112"/>
        <w:jc w:val="both"/>
        <w:rPr>
          <w:rFonts w:ascii="Verdana" w:hAnsi="Verdana" w:cs="Verdana"/>
          <w:sz w:val="20"/>
          <w:szCs w:val="20"/>
          <w:lang w:val="es-MX"/>
        </w:rPr>
      </w:pPr>
      <w:r>
        <w:rPr>
          <w:rFonts w:ascii="Verdana" w:hAnsi="Verdana" w:cs="Verdana"/>
          <w:sz w:val="20"/>
          <w:szCs w:val="20"/>
          <w:lang w:val="es-MX"/>
        </w:rPr>
        <w:t>6</w:t>
      </w:r>
      <w:r w:rsidRPr="00D50B0B">
        <w:rPr>
          <w:rFonts w:ascii="Verdana" w:hAnsi="Verdana" w:cs="Verdana"/>
          <w:sz w:val="20"/>
          <w:szCs w:val="20"/>
          <w:lang w:val="es-MX"/>
        </w:rPr>
        <w:t>.</w:t>
      </w:r>
      <w:r>
        <w:rPr>
          <w:rFonts w:ascii="Verdana" w:hAnsi="Verdana" w:cs="Verdana"/>
          <w:sz w:val="20"/>
          <w:szCs w:val="20"/>
          <w:lang w:val="es-MX"/>
        </w:rPr>
        <w:tab/>
      </w:r>
      <w:r w:rsidRPr="00D50B0B">
        <w:rPr>
          <w:rFonts w:ascii="Verdana" w:hAnsi="Verdana" w:cs="Verdana"/>
          <w:sz w:val="20"/>
          <w:szCs w:val="20"/>
          <w:lang w:val="es-MX"/>
        </w:rPr>
        <w:t>Informar a la Comisión</w:t>
      </w:r>
      <w:r w:rsidR="001F620C">
        <w:rPr>
          <w:rFonts w:ascii="Verdana" w:hAnsi="Verdana" w:cs="Verdana"/>
          <w:sz w:val="20"/>
          <w:szCs w:val="20"/>
          <w:lang w:val="es-MX"/>
        </w:rPr>
        <w:t xml:space="preserve"> y al Estado</w:t>
      </w:r>
      <w:r w:rsidRPr="00D50B0B">
        <w:rPr>
          <w:rFonts w:ascii="Verdana" w:hAnsi="Verdana" w:cs="Verdana"/>
          <w:sz w:val="20"/>
          <w:szCs w:val="20"/>
          <w:lang w:val="es-MX"/>
        </w:rPr>
        <w:t xml:space="preserve"> </w:t>
      </w:r>
      <w:r w:rsidR="00DB2DE3">
        <w:rPr>
          <w:rFonts w:ascii="Verdana" w:hAnsi="Verdana" w:cs="Verdana"/>
          <w:sz w:val="20"/>
          <w:szCs w:val="20"/>
          <w:lang w:val="es-MX"/>
        </w:rPr>
        <w:t>que debe</w:t>
      </w:r>
      <w:r w:rsidR="001F620C">
        <w:rPr>
          <w:rFonts w:ascii="Verdana" w:hAnsi="Verdana" w:cs="Verdana"/>
          <w:sz w:val="20"/>
          <w:szCs w:val="20"/>
          <w:lang w:val="es-MX"/>
        </w:rPr>
        <w:t>n</w:t>
      </w:r>
      <w:r w:rsidRPr="00D50B0B">
        <w:rPr>
          <w:rFonts w:ascii="Verdana" w:hAnsi="Verdana" w:cs="Verdana"/>
          <w:sz w:val="20"/>
          <w:szCs w:val="20"/>
          <w:lang w:val="es-MX"/>
        </w:rPr>
        <w:t xml:space="preserve"> cubrir los gastos que ocasione la aportación o rendición de la prueba propuesta por ell</w:t>
      </w:r>
      <w:r>
        <w:rPr>
          <w:rFonts w:ascii="Verdana" w:hAnsi="Verdana" w:cs="Verdana"/>
          <w:sz w:val="20"/>
          <w:szCs w:val="20"/>
          <w:lang w:val="es-MX"/>
        </w:rPr>
        <w:t>os</w:t>
      </w:r>
      <w:r w:rsidRPr="00D50B0B">
        <w:rPr>
          <w:rFonts w:ascii="Verdana" w:hAnsi="Verdana" w:cs="Verdana"/>
          <w:sz w:val="20"/>
          <w:szCs w:val="20"/>
          <w:lang w:val="es-MX"/>
        </w:rPr>
        <w:t xml:space="preserve">, de conformidad con lo dispuesto en el artículo 60 del Reglamento. </w:t>
      </w:r>
      <w:r w:rsidR="00F76AD6" w:rsidRPr="00D50CD2">
        <w:rPr>
          <w:rFonts w:ascii="Verdana" w:hAnsi="Verdana" w:cs="Verdana"/>
          <w:sz w:val="20"/>
          <w:szCs w:val="20"/>
          <w:lang w:val="es-MX"/>
        </w:rPr>
        <w:t>Los gastos de</w:t>
      </w:r>
      <w:r w:rsidR="009C1651" w:rsidRPr="00D50CD2">
        <w:rPr>
          <w:rFonts w:ascii="Verdana" w:hAnsi="Verdana" w:cs="Verdana"/>
          <w:sz w:val="20"/>
          <w:szCs w:val="20"/>
          <w:lang w:val="es-MX"/>
        </w:rPr>
        <w:t xml:space="preserve"> </w:t>
      </w:r>
      <w:r w:rsidR="00F76AD6" w:rsidRPr="00D50CD2">
        <w:rPr>
          <w:rFonts w:ascii="Verdana" w:hAnsi="Verdana" w:cs="Verdana"/>
          <w:sz w:val="20"/>
          <w:szCs w:val="20"/>
          <w:lang w:val="es-MX"/>
        </w:rPr>
        <w:t>la declaración de la presunta víctima serán cubiertos por este Tribunal.</w:t>
      </w:r>
    </w:p>
    <w:p w14:paraId="38F17547" w14:textId="77777777" w:rsidR="00835B03" w:rsidRPr="00D50B0B" w:rsidRDefault="00835B03" w:rsidP="00835B03">
      <w:pPr>
        <w:autoSpaceDE w:val="0"/>
        <w:autoSpaceDN w:val="0"/>
        <w:adjustRightInd w:val="0"/>
        <w:spacing w:after="0"/>
        <w:ind w:left="112"/>
        <w:rPr>
          <w:rFonts w:ascii="Verdana" w:hAnsi="Verdana" w:cs="Verdana"/>
          <w:sz w:val="20"/>
          <w:szCs w:val="20"/>
          <w:lang w:val="es-MX"/>
        </w:rPr>
      </w:pPr>
    </w:p>
    <w:p w14:paraId="222D059A" w14:textId="302DDA6B" w:rsidR="00835B03" w:rsidRPr="00D50B0B" w:rsidRDefault="00835B03" w:rsidP="00835B03">
      <w:pPr>
        <w:autoSpaceDE w:val="0"/>
        <w:autoSpaceDN w:val="0"/>
        <w:adjustRightInd w:val="0"/>
        <w:spacing w:after="0"/>
        <w:ind w:left="112"/>
        <w:jc w:val="both"/>
        <w:rPr>
          <w:rFonts w:ascii="Verdana" w:hAnsi="Verdana" w:cs="Verdana"/>
          <w:sz w:val="20"/>
          <w:szCs w:val="20"/>
          <w:lang w:val="es-MX"/>
        </w:rPr>
      </w:pPr>
      <w:r>
        <w:rPr>
          <w:rFonts w:ascii="Verdana" w:hAnsi="Verdana" w:cs="Verdana"/>
          <w:sz w:val="20"/>
          <w:szCs w:val="20"/>
          <w:lang w:val="es-MX"/>
        </w:rPr>
        <w:t>7</w:t>
      </w:r>
      <w:r w:rsidRPr="00D50B0B">
        <w:rPr>
          <w:rFonts w:ascii="Verdana" w:hAnsi="Verdana" w:cs="Verdana"/>
          <w:sz w:val="20"/>
          <w:szCs w:val="20"/>
          <w:lang w:val="es-MX"/>
        </w:rPr>
        <w:t>.</w:t>
      </w:r>
      <w:r>
        <w:rPr>
          <w:rFonts w:ascii="Verdana" w:hAnsi="Verdana" w:cs="Verdana"/>
          <w:sz w:val="20"/>
          <w:szCs w:val="20"/>
          <w:lang w:val="es-MX"/>
        </w:rPr>
        <w:tab/>
      </w:r>
      <w:r w:rsidRPr="00D50B0B">
        <w:rPr>
          <w:rFonts w:ascii="Verdana" w:hAnsi="Verdana" w:cs="Verdana"/>
          <w:sz w:val="20"/>
          <w:szCs w:val="20"/>
          <w:lang w:val="es-MX"/>
        </w:rPr>
        <w:t>Requerir a la Comisión</w:t>
      </w:r>
      <w:r w:rsidR="001F620C">
        <w:rPr>
          <w:rFonts w:ascii="Verdana" w:hAnsi="Verdana" w:cs="Verdana"/>
          <w:sz w:val="20"/>
          <w:szCs w:val="20"/>
          <w:lang w:val="es-MX"/>
        </w:rPr>
        <w:t xml:space="preserve"> y </w:t>
      </w:r>
      <w:r w:rsidR="00F76AD6">
        <w:rPr>
          <w:rFonts w:ascii="Verdana" w:hAnsi="Verdana" w:cs="Verdana"/>
          <w:sz w:val="20"/>
          <w:szCs w:val="20"/>
          <w:lang w:val="es-MX"/>
        </w:rPr>
        <w:t>a las partes</w:t>
      </w:r>
      <w:r>
        <w:rPr>
          <w:rFonts w:ascii="Verdana" w:hAnsi="Verdana" w:cs="Verdana"/>
          <w:sz w:val="20"/>
          <w:szCs w:val="20"/>
          <w:lang w:val="es-MX"/>
        </w:rPr>
        <w:t>,</w:t>
      </w:r>
      <w:r w:rsidR="00DB2DE3">
        <w:rPr>
          <w:rFonts w:ascii="Verdana" w:hAnsi="Verdana" w:cs="Verdana"/>
          <w:sz w:val="20"/>
          <w:szCs w:val="20"/>
          <w:lang w:val="es-MX"/>
        </w:rPr>
        <w:t xml:space="preserve"> que informe</w:t>
      </w:r>
      <w:r w:rsidR="001F620C">
        <w:rPr>
          <w:rFonts w:ascii="Verdana" w:hAnsi="Verdana" w:cs="Verdana"/>
          <w:sz w:val="20"/>
          <w:szCs w:val="20"/>
          <w:lang w:val="es-MX"/>
        </w:rPr>
        <w:t>n</w:t>
      </w:r>
      <w:r w:rsidRPr="00D50B0B">
        <w:rPr>
          <w:rFonts w:ascii="Verdana" w:hAnsi="Verdana" w:cs="Verdana"/>
          <w:sz w:val="20"/>
          <w:szCs w:val="20"/>
          <w:lang w:val="es-MX"/>
        </w:rPr>
        <w:t xml:space="preserve"> a la</w:t>
      </w:r>
      <w:r w:rsidR="001F620C">
        <w:rPr>
          <w:rFonts w:ascii="Verdana" w:hAnsi="Verdana" w:cs="Verdana"/>
          <w:sz w:val="20"/>
          <w:szCs w:val="20"/>
          <w:lang w:val="es-MX"/>
        </w:rPr>
        <w:t>s</w:t>
      </w:r>
      <w:r w:rsidR="00DB2DE3">
        <w:rPr>
          <w:rFonts w:ascii="Verdana" w:hAnsi="Verdana" w:cs="Verdana"/>
          <w:sz w:val="20"/>
          <w:szCs w:val="20"/>
          <w:lang w:val="es-MX"/>
        </w:rPr>
        <w:t xml:space="preserve"> persona</w:t>
      </w:r>
      <w:r w:rsidR="001F620C">
        <w:rPr>
          <w:rFonts w:ascii="Verdana" w:hAnsi="Verdana" w:cs="Verdana"/>
          <w:sz w:val="20"/>
          <w:szCs w:val="20"/>
          <w:lang w:val="es-MX"/>
        </w:rPr>
        <w:t>s</w:t>
      </w:r>
      <w:r w:rsidRPr="00D50B0B">
        <w:rPr>
          <w:rFonts w:ascii="Verdana" w:hAnsi="Verdana" w:cs="Verdana"/>
          <w:sz w:val="20"/>
          <w:szCs w:val="20"/>
          <w:lang w:val="es-MX"/>
        </w:rPr>
        <w:t xml:space="preserve"> </w:t>
      </w:r>
      <w:r>
        <w:rPr>
          <w:rFonts w:ascii="Verdana" w:hAnsi="Verdana" w:cs="Verdana"/>
          <w:sz w:val="20"/>
          <w:szCs w:val="20"/>
          <w:lang w:val="es-MX"/>
        </w:rPr>
        <w:t>requerida</w:t>
      </w:r>
      <w:r w:rsidR="001F620C">
        <w:rPr>
          <w:rFonts w:ascii="Verdana" w:hAnsi="Verdana" w:cs="Verdana"/>
          <w:sz w:val="20"/>
          <w:szCs w:val="20"/>
          <w:lang w:val="es-MX"/>
        </w:rPr>
        <w:t>s</w:t>
      </w:r>
      <w:r w:rsidRPr="00D50B0B">
        <w:rPr>
          <w:rFonts w:ascii="Verdana" w:hAnsi="Verdana" w:cs="Verdana"/>
          <w:sz w:val="20"/>
          <w:szCs w:val="20"/>
          <w:lang w:val="es-MX"/>
        </w:rPr>
        <w:t xml:space="preserve"> por la Corte para declarar que, según lo dispuesto en el artículo 54 del Reglamento, el Tribunal pondrá en conocimiento del Estado el caso en que la persona requerida para comparecer o declarar no comparecieren o rehusare deponer sin motivo legitimo o que, en el parecer de la misma Corte, hayan violado el juramento o la declaración solemne, para los fines previstos en la legislación nacional correspondiente. </w:t>
      </w:r>
    </w:p>
    <w:p w14:paraId="343CB27F" w14:textId="77777777" w:rsidR="00835B03" w:rsidRPr="00D50B0B" w:rsidRDefault="00835B03" w:rsidP="00835B03">
      <w:pPr>
        <w:autoSpaceDE w:val="0"/>
        <w:autoSpaceDN w:val="0"/>
        <w:adjustRightInd w:val="0"/>
        <w:spacing w:after="0"/>
        <w:ind w:left="112"/>
        <w:rPr>
          <w:rFonts w:ascii="Verdana" w:hAnsi="Verdana" w:cs="Verdana"/>
          <w:sz w:val="20"/>
          <w:szCs w:val="20"/>
          <w:lang w:val="es-MX"/>
        </w:rPr>
      </w:pPr>
    </w:p>
    <w:p w14:paraId="17988BE7" w14:textId="78A596A8" w:rsidR="00835B03" w:rsidRDefault="00835B03" w:rsidP="00835B03">
      <w:pPr>
        <w:autoSpaceDE w:val="0"/>
        <w:autoSpaceDN w:val="0"/>
        <w:adjustRightInd w:val="0"/>
        <w:spacing w:after="0"/>
        <w:ind w:left="112"/>
        <w:jc w:val="both"/>
        <w:rPr>
          <w:rFonts w:ascii="Verdana" w:hAnsi="Verdana" w:cs="Verdana"/>
          <w:sz w:val="20"/>
          <w:szCs w:val="20"/>
          <w:lang w:val="es-MX"/>
        </w:rPr>
      </w:pPr>
      <w:r>
        <w:rPr>
          <w:rFonts w:ascii="Verdana" w:hAnsi="Verdana" w:cs="Verdana"/>
          <w:sz w:val="20"/>
          <w:szCs w:val="20"/>
          <w:lang w:val="es-MX"/>
        </w:rPr>
        <w:t>8</w:t>
      </w:r>
      <w:r w:rsidRPr="00D50B0B">
        <w:rPr>
          <w:rFonts w:ascii="Verdana" w:hAnsi="Verdana" w:cs="Verdana"/>
          <w:sz w:val="20"/>
          <w:szCs w:val="20"/>
          <w:lang w:val="es-MX"/>
        </w:rPr>
        <w:t>.</w:t>
      </w:r>
      <w:r>
        <w:rPr>
          <w:rFonts w:ascii="Verdana" w:hAnsi="Verdana" w:cs="Verdana"/>
          <w:sz w:val="20"/>
          <w:szCs w:val="20"/>
          <w:lang w:val="es-MX"/>
        </w:rPr>
        <w:tab/>
      </w:r>
      <w:r w:rsidR="00DB2DE3">
        <w:rPr>
          <w:rFonts w:ascii="Verdana" w:hAnsi="Verdana" w:cs="Verdana"/>
          <w:sz w:val="20"/>
          <w:szCs w:val="20"/>
          <w:lang w:val="es-MX"/>
        </w:rPr>
        <w:t>Informar a los</w:t>
      </w:r>
      <w:r w:rsidRPr="00D50B0B">
        <w:rPr>
          <w:rFonts w:ascii="Verdana" w:hAnsi="Verdana" w:cs="Verdana"/>
          <w:sz w:val="20"/>
          <w:szCs w:val="20"/>
          <w:lang w:val="es-MX"/>
        </w:rPr>
        <w:t xml:space="preserve"> representante</w:t>
      </w:r>
      <w:r w:rsidR="00DB2DE3">
        <w:rPr>
          <w:rFonts w:ascii="Verdana" w:hAnsi="Verdana" w:cs="Verdana"/>
          <w:sz w:val="20"/>
          <w:szCs w:val="20"/>
          <w:lang w:val="es-MX"/>
        </w:rPr>
        <w:t>s</w:t>
      </w:r>
      <w:r w:rsidRPr="00D50B0B">
        <w:rPr>
          <w:rFonts w:ascii="Verdana" w:hAnsi="Verdana" w:cs="Verdana"/>
          <w:sz w:val="20"/>
          <w:szCs w:val="20"/>
          <w:lang w:val="es-MX"/>
        </w:rPr>
        <w:t xml:space="preserve">, al Estado y a la Comisión Interamericana que, en los términos del artículo 56 del Reglamento, cuentan con un plazo </w:t>
      </w:r>
      <w:r w:rsidR="0053665D">
        <w:rPr>
          <w:rFonts w:ascii="Verdana" w:hAnsi="Verdana" w:cs="Verdana"/>
          <w:sz w:val="20"/>
          <w:szCs w:val="20"/>
          <w:lang w:val="es-MX"/>
        </w:rPr>
        <w:t>de un mes, contado a partir del día en que, de conformidad con lo establecido en el punto resolutivo 5, reciban las declaraciones señaladas en el punto resolutivo 1,</w:t>
      </w:r>
      <w:r w:rsidR="00DB2DE3">
        <w:rPr>
          <w:rFonts w:ascii="Verdana" w:hAnsi="Verdana" w:cs="Verdana"/>
          <w:sz w:val="20"/>
          <w:szCs w:val="20"/>
          <w:lang w:val="es-MX"/>
        </w:rPr>
        <w:t xml:space="preserve"> </w:t>
      </w:r>
      <w:r w:rsidRPr="00D50B0B">
        <w:rPr>
          <w:rFonts w:ascii="Verdana" w:hAnsi="Verdana" w:cs="Verdana"/>
          <w:sz w:val="20"/>
          <w:szCs w:val="20"/>
          <w:lang w:val="es-MX"/>
        </w:rPr>
        <w:t xml:space="preserve">para presentar sus alegatos finales escritos y observaciones finales escritas, respectivamente, en relación con </w:t>
      </w:r>
      <w:r w:rsidR="00164602">
        <w:rPr>
          <w:rFonts w:ascii="Verdana" w:hAnsi="Verdana" w:cs="Verdana"/>
          <w:sz w:val="20"/>
          <w:szCs w:val="20"/>
          <w:lang w:val="es-MX"/>
        </w:rPr>
        <w:t>el</w:t>
      </w:r>
      <w:r w:rsidRPr="00D50B0B">
        <w:rPr>
          <w:rFonts w:ascii="Verdana" w:hAnsi="Verdana" w:cs="Verdana"/>
          <w:sz w:val="20"/>
          <w:szCs w:val="20"/>
          <w:lang w:val="es-MX"/>
        </w:rPr>
        <w:t xml:space="preserve"> fondo y eventuales reparaciones y costas en el presente caso.</w:t>
      </w:r>
      <w:r>
        <w:rPr>
          <w:rFonts w:ascii="Verdana" w:hAnsi="Verdana" w:cs="Verdana"/>
          <w:sz w:val="20"/>
          <w:szCs w:val="20"/>
          <w:lang w:val="es-MX"/>
        </w:rPr>
        <w:t xml:space="preserve"> Este plazo es improrrogable. </w:t>
      </w:r>
    </w:p>
    <w:p w14:paraId="523BE79F" w14:textId="77777777" w:rsidR="00835B03" w:rsidRDefault="00835B03" w:rsidP="00835B03">
      <w:pPr>
        <w:autoSpaceDE w:val="0"/>
        <w:autoSpaceDN w:val="0"/>
        <w:adjustRightInd w:val="0"/>
        <w:spacing w:after="0"/>
        <w:ind w:left="112"/>
        <w:jc w:val="both"/>
        <w:rPr>
          <w:rFonts w:ascii="Verdana" w:hAnsi="Verdana" w:cs="Verdana"/>
          <w:sz w:val="20"/>
          <w:szCs w:val="20"/>
          <w:lang w:val="es-MX"/>
        </w:rPr>
      </w:pPr>
    </w:p>
    <w:p w14:paraId="5F319C45" w14:textId="34CE86BD" w:rsidR="00835B03" w:rsidRDefault="00835B03" w:rsidP="00835B03">
      <w:pPr>
        <w:autoSpaceDE w:val="0"/>
        <w:autoSpaceDN w:val="0"/>
        <w:adjustRightInd w:val="0"/>
        <w:spacing w:after="0"/>
        <w:ind w:left="112"/>
        <w:jc w:val="both"/>
        <w:rPr>
          <w:rFonts w:ascii="Verdana" w:hAnsi="Verdana" w:cs="Verdana"/>
          <w:sz w:val="20"/>
          <w:szCs w:val="20"/>
          <w:lang w:val="es-MX"/>
        </w:rPr>
      </w:pPr>
      <w:r>
        <w:rPr>
          <w:rFonts w:ascii="Verdana" w:hAnsi="Verdana" w:cs="Verdana"/>
          <w:sz w:val="20"/>
          <w:szCs w:val="20"/>
          <w:lang w:val="es-MX"/>
        </w:rPr>
        <w:t>9.</w:t>
      </w:r>
      <w:r>
        <w:rPr>
          <w:rFonts w:ascii="Verdana" w:hAnsi="Verdana" w:cs="Verdana"/>
          <w:sz w:val="20"/>
          <w:szCs w:val="20"/>
          <w:lang w:val="es-MX"/>
        </w:rPr>
        <w:tab/>
      </w:r>
      <w:r w:rsidRPr="00B05751">
        <w:rPr>
          <w:rFonts w:ascii="Verdana" w:hAnsi="Verdana" w:cs="Verdana"/>
          <w:sz w:val="20"/>
          <w:szCs w:val="20"/>
          <w:lang w:val="es-MX"/>
        </w:rPr>
        <w:t>Disponer que la Secretaría de la Corte Interamericana notifique la presente Resolución a la Comisión Interamericana, a</w:t>
      </w:r>
      <w:r w:rsidR="00DB2DE3">
        <w:rPr>
          <w:rFonts w:ascii="Verdana" w:hAnsi="Verdana" w:cs="Verdana"/>
          <w:sz w:val="20"/>
          <w:szCs w:val="20"/>
          <w:lang w:val="es-MX"/>
        </w:rPr>
        <w:t xml:space="preserve"> </w:t>
      </w:r>
      <w:r w:rsidRPr="00B05751">
        <w:rPr>
          <w:rFonts w:ascii="Verdana" w:hAnsi="Verdana" w:cs="Verdana"/>
          <w:sz w:val="20"/>
          <w:szCs w:val="20"/>
          <w:lang w:val="es-MX"/>
        </w:rPr>
        <w:t>l</w:t>
      </w:r>
      <w:r w:rsidR="00DB2DE3">
        <w:rPr>
          <w:rFonts w:ascii="Verdana" w:hAnsi="Verdana" w:cs="Verdana"/>
          <w:sz w:val="20"/>
          <w:szCs w:val="20"/>
          <w:lang w:val="es-MX"/>
        </w:rPr>
        <w:t>os</w:t>
      </w:r>
      <w:r w:rsidRPr="00B05751">
        <w:rPr>
          <w:rFonts w:ascii="Verdana" w:hAnsi="Verdana" w:cs="Verdana"/>
          <w:sz w:val="20"/>
          <w:szCs w:val="20"/>
          <w:lang w:val="es-MX"/>
        </w:rPr>
        <w:t xml:space="preserve"> representante</w:t>
      </w:r>
      <w:r w:rsidR="00DB2DE3">
        <w:rPr>
          <w:rFonts w:ascii="Verdana" w:hAnsi="Verdana" w:cs="Verdana"/>
          <w:sz w:val="20"/>
          <w:szCs w:val="20"/>
          <w:lang w:val="es-MX"/>
        </w:rPr>
        <w:t>s</w:t>
      </w:r>
      <w:r w:rsidRPr="00B05751">
        <w:rPr>
          <w:rFonts w:ascii="Verdana" w:hAnsi="Verdana" w:cs="Verdana"/>
          <w:sz w:val="20"/>
          <w:szCs w:val="20"/>
          <w:lang w:val="es-MX"/>
        </w:rPr>
        <w:t xml:space="preserve"> y al Estado</w:t>
      </w:r>
      <w:r>
        <w:rPr>
          <w:rFonts w:ascii="Verdana" w:hAnsi="Verdana" w:cs="Verdana"/>
          <w:sz w:val="20"/>
          <w:szCs w:val="20"/>
          <w:lang w:val="es-MX"/>
        </w:rPr>
        <w:t>.</w:t>
      </w:r>
    </w:p>
    <w:p w14:paraId="7213D88C" w14:textId="7E677588" w:rsidR="00D50CD2" w:rsidRDefault="00D50CD2" w:rsidP="00835B03">
      <w:pPr>
        <w:autoSpaceDE w:val="0"/>
        <w:autoSpaceDN w:val="0"/>
        <w:adjustRightInd w:val="0"/>
        <w:spacing w:after="0"/>
        <w:ind w:left="112"/>
        <w:jc w:val="both"/>
        <w:rPr>
          <w:rFonts w:ascii="Verdana" w:hAnsi="Verdana" w:cs="Verdana"/>
          <w:sz w:val="20"/>
          <w:szCs w:val="20"/>
          <w:lang w:val="es-MX"/>
        </w:rPr>
      </w:pPr>
    </w:p>
    <w:p w14:paraId="6214DA37" w14:textId="175A7F2F" w:rsidR="00D50CD2" w:rsidRPr="00E863F0" w:rsidRDefault="00D50CD2" w:rsidP="00835B03">
      <w:pPr>
        <w:autoSpaceDE w:val="0"/>
        <w:autoSpaceDN w:val="0"/>
        <w:adjustRightInd w:val="0"/>
        <w:spacing w:after="0"/>
        <w:ind w:left="112"/>
        <w:jc w:val="both"/>
        <w:rPr>
          <w:rFonts w:ascii="Verdana" w:hAnsi="Verdana" w:cs="Verdana"/>
          <w:sz w:val="20"/>
          <w:szCs w:val="20"/>
          <w:lang w:val="es-MX"/>
        </w:rPr>
      </w:pPr>
      <w:r>
        <w:rPr>
          <w:rFonts w:ascii="Verdana" w:hAnsi="Verdana" w:cs="Verdana"/>
          <w:sz w:val="20"/>
          <w:szCs w:val="20"/>
          <w:lang w:val="es-MX"/>
        </w:rPr>
        <w:t xml:space="preserve">Resolución de la </w:t>
      </w:r>
      <w:proofErr w:type="gramStart"/>
      <w:r>
        <w:rPr>
          <w:rFonts w:ascii="Verdana" w:hAnsi="Verdana" w:cs="Verdana"/>
          <w:sz w:val="20"/>
          <w:szCs w:val="20"/>
          <w:lang w:val="es-MX"/>
        </w:rPr>
        <w:t>Presidenta</w:t>
      </w:r>
      <w:proofErr w:type="gramEnd"/>
      <w:r>
        <w:rPr>
          <w:rFonts w:ascii="Verdana" w:hAnsi="Verdana" w:cs="Verdana"/>
          <w:sz w:val="20"/>
          <w:szCs w:val="20"/>
          <w:lang w:val="es-MX"/>
        </w:rPr>
        <w:t xml:space="preserve"> de la Corte Interamericana de Derechos Humanos. Caso Almeida Vs. Argentina.</w:t>
      </w:r>
    </w:p>
    <w:p w14:paraId="0D44F749" w14:textId="77777777" w:rsidR="00835B03" w:rsidRDefault="00835B03" w:rsidP="00560889">
      <w:pPr>
        <w:widowControl w:val="0"/>
        <w:spacing w:after="0"/>
        <w:ind w:right="65"/>
        <w:jc w:val="both"/>
        <w:rPr>
          <w:rFonts w:ascii="Verdana" w:hAnsi="Verdana"/>
          <w:b/>
          <w:sz w:val="20"/>
          <w:szCs w:val="20"/>
          <w:lang w:val="es-MX"/>
        </w:rPr>
      </w:pPr>
    </w:p>
    <w:p w14:paraId="7D39C1D5" w14:textId="77777777" w:rsidR="00524687" w:rsidRDefault="00524687" w:rsidP="00560889">
      <w:pPr>
        <w:widowControl w:val="0"/>
        <w:spacing w:after="0"/>
        <w:ind w:right="65"/>
        <w:jc w:val="both"/>
        <w:rPr>
          <w:rFonts w:ascii="Verdana" w:hAnsi="Verdana"/>
          <w:b/>
          <w:sz w:val="20"/>
          <w:szCs w:val="20"/>
          <w:lang w:val="es-MX"/>
        </w:rPr>
      </w:pPr>
    </w:p>
    <w:p w14:paraId="2BCDFD0B" w14:textId="77777777" w:rsidR="00524687" w:rsidRDefault="00524687" w:rsidP="00560889">
      <w:pPr>
        <w:widowControl w:val="0"/>
        <w:spacing w:after="0"/>
        <w:ind w:right="65"/>
        <w:jc w:val="both"/>
        <w:rPr>
          <w:rFonts w:ascii="Verdana" w:hAnsi="Verdana"/>
          <w:b/>
          <w:sz w:val="20"/>
          <w:szCs w:val="20"/>
          <w:lang w:val="es-MX"/>
        </w:rPr>
      </w:pPr>
    </w:p>
    <w:p w14:paraId="187161CB" w14:textId="77777777" w:rsidR="00524687" w:rsidRDefault="00524687" w:rsidP="00560889">
      <w:pPr>
        <w:widowControl w:val="0"/>
        <w:spacing w:after="0"/>
        <w:ind w:right="65"/>
        <w:jc w:val="both"/>
        <w:rPr>
          <w:rFonts w:ascii="Verdana" w:hAnsi="Verdana"/>
          <w:b/>
          <w:sz w:val="20"/>
          <w:szCs w:val="20"/>
          <w:lang w:val="es-MX"/>
        </w:rPr>
      </w:pPr>
    </w:p>
    <w:p w14:paraId="1EB8B499" w14:textId="77777777" w:rsidR="00524687" w:rsidRDefault="00524687" w:rsidP="00560889">
      <w:pPr>
        <w:widowControl w:val="0"/>
        <w:spacing w:after="0"/>
        <w:ind w:right="65"/>
        <w:jc w:val="both"/>
        <w:rPr>
          <w:rFonts w:ascii="Verdana" w:hAnsi="Verdana"/>
          <w:b/>
          <w:sz w:val="20"/>
          <w:szCs w:val="20"/>
          <w:lang w:val="es-MX"/>
        </w:rPr>
      </w:pPr>
    </w:p>
    <w:p w14:paraId="2EF50AC1" w14:textId="77777777" w:rsidR="00524687" w:rsidRPr="00524687" w:rsidRDefault="00524687" w:rsidP="00560889">
      <w:pPr>
        <w:widowControl w:val="0"/>
        <w:spacing w:after="0"/>
        <w:ind w:right="65"/>
        <w:jc w:val="both"/>
        <w:rPr>
          <w:rFonts w:ascii="Verdana" w:hAnsi="Verdana"/>
          <w:sz w:val="20"/>
          <w:szCs w:val="20"/>
          <w:lang w:val="es-MX"/>
        </w:rPr>
      </w:pPr>
    </w:p>
    <w:p w14:paraId="09AA584C" w14:textId="06EEDC4F" w:rsidR="00524687" w:rsidRPr="00524687" w:rsidRDefault="00524687" w:rsidP="00524687">
      <w:pPr>
        <w:widowControl w:val="0"/>
        <w:spacing w:after="0"/>
        <w:ind w:right="65"/>
        <w:jc w:val="right"/>
        <w:rPr>
          <w:rFonts w:ascii="Verdana" w:hAnsi="Verdana"/>
          <w:sz w:val="20"/>
          <w:szCs w:val="20"/>
          <w:lang w:val="es-MX"/>
        </w:rPr>
      </w:pPr>
      <w:r w:rsidRPr="00524687">
        <w:rPr>
          <w:rFonts w:ascii="Verdana" w:hAnsi="Verdana"/>
          <w:sz w:val="20"/>
          <w:szCs w:val="20"/>
          <w:lang w:val="es-MX"/>
        </w:rPr>
        <w:t>Elizabeth Odio Benito</w:t>
      </w:r>
    </w:p>
    <w:p w14:paraId="670A0857" w14:textId="037684C9" w:rsidR="00524687" w:rsidRPr="00524687" w:rsidRDefault="00524687" w:rsidP="00524687">
      <w:pPr>
        <w:widowControl w:val="0"/>
        <w:spacing w:after="0"/>
        <w:ind w:left="5664" w:right="65" w:firstLine="708"/>
        <w:jc w:val="center"/>
        <w:rPr>
          <w:rFonts w:ascii="Verdana" w:hAnsi="Verdana"/>
          <w:sz w:val="20"/>
          <w:szCs w:val="20"/>
          <w:lang w:val="es-MX"/>
        </w:rPr>
      </w:pPr>
      <w:r w:rsidRPr="00524687">
        <w:rPr>
          <w:rFonts w:ascii="Verdana" w:hAnsi="Verdana"/>
          <w:sz w:val="20"/>
          <w:szCs w:val="20"/>
          <w:lang w:val="es-MX"/>
        </w:rPr>
        <w:t>Presidenta</w:t>
      </w:r>
    </w:p>
    <w:p w14:paraId="148668FE" w14:textId="77777777" w:rsidR="00524687" w:rsidRPr="00524687" w:rsidRDefault="00524687" w:rsidP="00524687">
      <w:pPr>
        <w:widowControl w:val="0"/>
        <w:spacing w:after="0"/>
        <w:ind w:right="65"/>
        <w:jc w:val="right"/>
        <w:rPr>
          <w:rFonts w:ascii="Verdana" w:hAnsi="Verdana"/>
          <w:sz w:val="20"/>
          <w:szCs w:val="20"/>
          <w:lang w:val="es-MX"/>
        </w:rPr>
      </w:pPr>
    </w:p>
    <w:p w14:paraId="74D0C272" w14:textId="77777777" w:rsidR="00524687" w:rsidRPr="00524687" w:rsidRDefault="00524687" w:rsidP="00560889">
      <w:pPr>
        <w:widowControl w:val="0"/>
        <w:spacing w:after="0"/>
        <w:ind w:right="65"/>
        <w:jc w:val="both"/>
        <w:rPr>
          <w:rFonts w:ascii="Verdana" w:hAnsi="Verdana"/>
          <w:sz w:val="20"/>
          <w:szCs w:val="20"/>
          <w:lang w:val="es-MX"/>
        </w:rPr>
      </w:pPr>
    </w:p>
    <w:p w14:paraId="07C08ECC" w14:textId="77777777" w:rsidR="00524687" w:rsidRPr="00524687" w:rsidRDefault="00524687" w:rsidP="00560889">
      <w:pPr>
        <w:widowControl w:val="0"/>
        <w:spacing w:after="0"/>
        <w:ind w:right="65"/>
        <w:jc w:val="both"/>
        <w:rPr>
          <w:rFonts w:ascii="Verdana" w:hAnsi="Verdana"/>
          <w:sz w:val="20"/>
          <w:szCs w:val="20"/>
          <w:lang w:val="es-MX"/>
        </w:rPr>
      </w:pPr>
    </w:p>
    <w:p w14:paraId="0132D37F" w14:textId="77777777" w:rsidR="00524687" w:rsidRPr="00524687" w:rsidRDefault="00524687" w:rsidP="00560889">
      <w:pPr>
        <w:widowControl w:val="0"/>
        <w:spacing w:after="0"/>
        <w:ind w:right="65"/>
        <w:jc w:val="both"/>
        <w:rPr>
          <w:rFonts w:ascii="Verdana" w:hAnsi="Verdana"/>
          <w:sz w:val="20"/>
          <w:szCs w:val="20"/>
          <w:lang w:val="es-MX"/>
        </w:rPr>
      </w:pPr>
    </w:p>
    <w:p w14:paraId="15E86922" w14:textId="06A4D047" w:rsidR="00524687" w:rsidRPr="00524687" w:rsidRDefault="00524687" w:rsidP="00560889">
      <w:pPr>
        <w:widowControl w:val="0"/>
        <w:spacing w:after="0"/>
        <w:ind w:right="65"/>
        <w:jc w:val="both"/>
        <w:rPr>
          <w:rFonts w:ascii="Verdana" w:hAnsi="Verdana"/>
          <w:sz w:val="20"/>
          <w:szCs w:val="20"/>
          <w:lang w:val="es-MX"/>
        </w:rPr>
      </w:pPr>
      <w:r w:rsidRPr="00524687">
        <w:rPr>
          <w:rFonts w:ascii="Verdana" w:hAnsi="Verdana"/>
          <w:sz w:val="20"/>
          <w:szCs w:val="20"/>
          <w:lang w:val="es-MX"/>
        </w:rPr>
        <w:t>Pablo Saavedra Alessandri</w:t>
      </w:r>
    </w:p>
    <w:p w14:paraId="3CBBAB3B" w14:textId="50C17792" w:rsidR="00524687" w:rsidRDefault="00524687" w:rsidP="00560889">
      <w:pPr>
        <w:widowControl w:val="0"/>
        <w:spacing w:after="0"/>
        <w:ind w:right="65"/>
        <w:jc w:val="both"/>
        <w:rPr>
          <w:rFonts w:ascii="Verdana" w:hAnsi="Verdana"/>
          <w:sz w:val="20"/>
          <w:szCs w:val="20"/>
          <w:lang w:val="es-MX"/>
        </w:rPr>
      </w:pPr>
      <w:r w:rsidRPr="00524687">
        <w:rPr>
          <w:rFonts w:ascii="Verdana" w:hAnsi="Verdana"/>
          <w:sz w:val="20"/>
          <w:szCs w:val="20"/>
          <w:lang w:val="es-MX"/>
        </w:rPr>
        <w:t xml:space="preserve">         Secretario</w:t>
      </w:r>
    </w:p>
    <w:p w14:paraId="2914F92D" w14:textId="77777777" w:rsidR="00524687" w:rsidRDefault="00524687" w:rsidP="00560889">
      <w:pPr>
        <w:widowControl w:val="0"/>
        <w:spacing w:after="0"/>
        <w:ind w:right="65"/>
        <w:jc w:val="both"/>
        <w:rPr>
          <w:rFonts w:ascii="Verdana" w:hAnsi="Verdana"/>
          <w:sz w:val="20"/>
          <w:szCs w:val="20"/>
          <w:lang w:val="es-MX"/>
        </w:rPr>
      </w:pPr>
    </w:p>
    <w:p w14:paraId="24A804B9" w14:textId="77777777" w:rsidR="00524687" w:rsidRDefault="00524687" w:rsidP="00560889">
      <w:pPr>
        <w:widowControl w:val="0"/>
        <w:spacing w:after="0"/>
        <w:ind w:right="65"/>
        <w:jc w:val="both"/>
        <w:rPr>
          <w:rFonts w:ascii="Verdana" w:hAnsi="Verdana"/>
          <w:sz w:val="20"/>
          <w:szCs w:val="20"/>
          <w:lang w:val="es-MX"/>
        </w:rPr>
      </w:pPr>
    </w:p>
    <w:p w14:paraId="444D6006" w14:textId="77777777" w:rsidR="00524687" w:rsidRDefault="00524687" w:rsidP="00560889">
      <w:pPr>
        <w:widowControl w:val="0"/>
        <w:spacing w:after="0"/>
        <w:ind w:right="65"/>
        <w:jc w:val="both"/>
        <w:rPr>
          <w:rFonts w:ascii="Verdana" w:hAnsi="Verdana"/>
          <w:sz w:val="20"/>
          <w:szCs w:val="20"/>
          <w:lang w:val="es-MX"/>
        </w:rPr>
      </w:pPr>
    </w:p>
    <w:p w14:paraId="6769A8EF" w14:textId="77777777" w:rsidR="00524687" w:rsidRDefault="00524687" w:rsidP="00560889">
      <w:pPr>
        <w:widowControl w:val="0"/>
        <w:spacing w:after="0"/>
        <w:ind w:right="65"/>
        <w:jc w:val="both"/>
        <w:rPr>
          <w:rFonts w:ascii="Verdana" w:hAnsi="Verdana"/>
          <w:sz w:val="20"/>
          <w:szCs w:val="20"/>
          <w:lang w:val="es-MX"/>
        </w:rPr>
      </w:pPr>
    </w:p>
    <w:p w14:paraId="5B82C219" w14:textId="77777777" w:rsidR="00524687" w:rsidRDefault="00524687" w:rsidP="00560889">
      <w:pPr>
        <w:widowControl w:val="0"/>
        <w:spacing w:after="0"/>
        <w:ind w:right="65"/>
        <w:jc w:val="both"/>
        <w:rPr>
          <w:rFonts w:ascii="Verdana" w:hAnsi="Verdana"/>
          <w:sz w:val="20"/>
          <w:szCs w:val="20"/>
          <w:lang w:val="es-MX"/>
        </w:rPr>
      </w:pPr>
    </w:p>
    <w:p w14:paraId="425D1ACA" w14:textId="77777777" w:rsidR="00524687" w:rsidRDefault="00524687" w:rsidP="00560889">
      <w:pPr>
        <w:widowControl w:val="0"/>
        <w:spacing w:after="0"/>
        <w:ind w:right="65"/>
        <w:jc w:val="both"/>
        <w:rPr>
          <w:rFonts w:ascii="Verdana" w:hAnsi="Verdana"/>
          <w:sz w:val="20"/>
          <w:szCs w:val="20"/>
          <w:lang w:val="es-MX"/>
        </w:rPr>
      </w:pPr>
    </w:p>
    <w:p w14:paraId="5CC9EAB9" w14:textId="681BE203" w:rsidR="00524687" w:rsidRDefault="00524687" w:rsidP="00560889">
      <w:pPr>
        <w:widowControl w:val="0"/>
        <w:spacing w:after="0"/>
        <w:ind w:right="65"/>
        <w:jc w:val="both"/>
        <w:rPr>
          <w:rFonts w:ascii="Verdana" w:hAnsi="Verdana"/>
          <w:sz w:val="20"/>
          <w:szCs w:val="20"/>
          <w:lang w:val="es-MX"/>
        </w:rPr>
      </w:pPr>
      <w:r>
        <w:rPr>
          <w:rFonts w:ascii="Verdana" w:hAnsi="Verdana"/>
          <w:sz w:val="20"/>
          <w:szCs w:val="20"/>
          <w:lang w:val="es-MX"/>
        </w:rPr>
        <w:t>Comuníquese y ejecútese,</w:t>
      </w:r>
    </w:p>
    <w:p w14:paraId="052F4C20" w14:textId="77777777" w:rsidR="00524687" w:rsidRDefault="00524687" w:rsidP="00524687">
      <w:pPr>
        <w:widowControl w:val="0"/>
        <w:spacing w:after="0"/>
        <w:ind w:right="65"/>
        <w:jc w:val="both"/>
        <w:rPr>
          <w:rFonts w:ascii="Verdana" w:hAnsi="Verdana"/>
          <w:b/>
          <w:sz w:val="20"/>
          <w:szCs w:val="20"/>
          <w:lang w:val="es-MX"/>
        </w:rPr>
      </w:pPr>
    </w:p>
    <w:p w14:paraId="0288243F" w14:textId="77777777" w:rsidR="00524687" w:rsidRDefault="00524687" w:rsidP="00524687">
      <w:pPr>
        <w:widowControl w:val="0"/>
        <w:spacing w:after="0"/>
        <w:ind w:right="65"/>
        <w:jc w:val="both"/>
        <w:rPr>
          <w:rFonts w:ascii="Verdana" w:hAnsi="Verdana"/>
          <w:b/>
          <w:sz w:val="20"/>
          <w:szCs w:val="20"/>
          <w:lang w:val="es-MX"/>
        </w:rPr>
      </w:pPr>
    </w:p>
    <w:p w14:paraId="3BE33657" w14:textId="77777777" w:rsidR="00524687" w:rsidRDefault="00524687" w:rsidP="00524687">
      <w:pPr>
        <w:widowControl w:val="0"/>
        <w:spacing w:after="0"/>
        <w:ind w:right="65"/>
        <w:jc w:val="both"/>
        <w:rPr>
          <w:rFonts w:ascii="Verdana" w:hAnsi="Verdana"/>
          <w:b/>
          <w:sz w:val="20"/>
          <w:szCs w:val="20"/>
          <w:lang w:val="es-MX"/>
        </w:rPr>
      </w:pPr>
    </w:p>
    <w:p w14:paraId="16A87CF4" w14:textId="77777777" w:rsidR="00524687" w:rsidRDefault="00524687" w:rsidP="00524687">
      <w:pPr>
        <w:widowControl w:val="0"/>
        <w:spacing w:after="0"/>
        <w:ind w:right="65"/>
        <w:jc w:val="both"/>
        <w:rPr>
          <w:rFonts w:ascii="Verdana" w:hAnsi="Verdana"/>
          <w:b/>
          <w:sz w:val="20"/>
          <w:szCs w:val="20"/>
          <w:lang w:val="es-MX"/>
        </w:rPr>
      </w:pPr>
    </w:p>
    <w:p w14:paraId="58CE62D9" w14:textId="77777777" w:rsidR="00524687" w:rsidRDefault="00524687" w:rsidP="00524687">
      <w:pPr>
        <w:widowControl w:val="0"/>
        <w:spacing w:after="0"/>
        <w:ind w:right="65"/>
        <w:jc w:val="both"/>
        <w:rPr>
          <w:rFonts w:ascii="Verdana" w:hAnsi="Verdana"/>
          <w:b/>
          <w:sz w:val="20"/>
          <w:szCs w:val="20"/>
          <w:lang w:val="es-MX"/>
        </w:rPr>
      </w:pPr>
    </w:p>
    <w:p w14:paraId="00B3003E" w14:textId="77777777" w:rsidR="00524687" w:rsidRPr="00524687" w:rsidRDefault="00524687" w:rsidP="00524687">
      <w:pPr>
        <w:widowControl w:val="0"/>
        <w:spacing w:after="0"/>
        <w:ind w:right="65"/>
        <w:jc w:val="both"/>
        <w:rPr>
          <w:rFonts w:ascii="Verdana" w:hAnsi="Verdana"/>
          <w:sz w:val="20"/>
          <w:szCs w:val="20"/>
          <w:lang w:val="es-MX"/>
        </w:rPr>
      </w:pPr>
    </w:p>
    <w:p w14:paraId="6E1D0318" w14:textId="77777777" w:rsidR="00524687" w:rsidRPr="00524687" w:rsidRDefault="00524687" w:rsidP="00524687">
      <w:pPr>
        <w:widowControl w:val="0"/>
        <w:spacing w:after="0"/>
        <w:ind w:right="65"/>
        <w:jc w:val="right"/>
        <w:rPr>
          <w:rFonts w:ascii="Verdana" w:hAnsi="Verdana"/>
          <w:sz w:val="20"/>
          <w:szCs w:val="20"/>
          <w:lang w:val="es-MX"/>
        </w:rPr>
      </w:pPr>
      <w:r w:rsidRPr="00524687">
        <w:rPr>
          <w:rFonts w:ascii="Verdana" w:hAnsi="Verdana"/>
          <w:sz w:val="20"/>
          <w:szCs w:val="20"/>
          <w:lang w:val="es-MX"/>
        </w:rPr>
        <w:t>Elizabeth Odio Benito</w:t>
      </w:r>
    </w:p>
    <w:p w14:paraId="6A0C8EE0" w14:textId="77777777" w:rsidR="00524687" w:rsidRPr="00524687" w:rsidRDefault="00524687" w:rsidP="00524687">
      <w:pPr>
        <w:widowControl w:val="0"/>
        <w:spacing w:after="0"/>
        <w:ind w:left="5664" w:right="65" w:firstLine="708"/>
        <w:jc w:val="center"/>
        <w:rPr>
          <w:rFonts w:ascii="Verdana" w:hAnsi="Verdana"/>
          <w:sz w:val="20"/>
          <w:szCs w:val="20"/>
          <w:lang w:val="es-MX"/>
        </w:rPr>
      </w:pPr>
      <w:r w:rsidRPr="00524687">
        <w:rPr>
          <w:rFonts w:ascii="Verdana" w:hAnsi="Verdana"/>
          <w:sz w:val="20"/>
          <w:szCs w:val="20"/>
          <w:lang w:val="es-MX"/>
        </w:rPr>
        <w:t>Presidenta</w:t>
      </w:r>
    </w:p>
    <w:p w14:paraId="7ED226F9" w14:textId="77777777" w:rsidR="00524687" w:rsidRPr="00524687" w:rsidRDefault="00524687" w:rsidP="00524687">
      <w:pPr>
        <w:widowControl w:val="0"/>
        <w:spacing w:after="0"/>
        <w:ind w:right="65"/>
        <w:jc w:val="right"/>
        <w:rPr>
          <w:rFonts w:ascii="Verdana" w:hAnsi="Verdana"/>
          <w:sz w:val="20"/>
          <w:szCs w:val="20"/>
          <w:lang w:val="es-MX"/>
        </w:rPr>
      </w:pPr>
    </w:p>
    <w:p w14:paraId="5F2E2B78" w14:textId="77777777" w:rsidR="00524687" w:rsidRPr="00524687" w:rsidRDefault="00524687" w:rsidP="00524687">
      <w:pPr>
        <w:widowControl w:val="0"/>
        <w:spacing w:after="0"/>
        <w:ind w:right="65"/>
        <w:jc w:val="both"/>
        <w:rPr>
          <w:rFonts w:ascii="Verdana" w:hAnsi="Verdana"/>
          <w:sz w:val="20"/>
          <w:szCs w:val="20"/>
          <w:lang w:val="es-MX"/>
        </w:rPr>
      </w:pPr>
    </w:p>
    <w:p w14:paraId="0946951B" w14:textId="77777777" w:rsidR="00524687" w:rsidRPr="00524687" w:rsidRDefault="00524687" w:rsidP="00524687">
      <w:pPr>
        <w:widowControl w:val="0"/>
        <w:spacing w:after="0"/>
        <w:ind w:right="65"/>
        <w:jc w:val="both"/>
        <w:rPr>
          <w:rFonts w:ascii="Verdana" w:hAnsi="Verdana"/>
          <w:sz w:val="20"/>
          <w:szCs w:val="20"/>
          <w:lang w:val="es-MX"/>
        </w:rPr>
      </w:pPr>
    </w:p>
    <w:p w14:paraId="73D2DF9B" w14:textId="77777777" w:rsidR="00524687" w:rsidRPr="00524687" w:rsidRDefault="00524687" w:rsidP="00524687">
      <w:pPr>
        <w:widowControl w:val="0"/>
        <w:spacing w:after="0"/>
        <w:ind w:right="65"/>
        <w:jc w:val="both"/>
        <w:rPr>
          <w:rFonts w:ascii="Verdana" w:hAnsi="Verdana"/>
          <w:sz w:val="20"/>
          <w:szCs w:val="20"/>
          <w:lang w:val="es-MX"/>
        </w:rPr>
      </w:pPr>
    </w:p>
    <w:p w14:paraId="7BD9435A" w14:textId="77777777" w:rsidR="00524687" w:rsidRPr="00524687" w:rsidRDefault="00524687" w:rsidP="00524687">
      <w:pPr>
        <w:widowControl w:val="0"/>
        <w:spacing w:after="0"/>
        <w:ind w:right="65"/>
        <w:jc w:val="both"/>
        <w:rPr>
          <w:rFonts w:ascii="Verdana" w:hAnsi="Verdana"/>
          <w:sz w:val="20"/>
          <w:szCs w:val="20"/>
          <w:lang w:val="es-MX"/>
        </w:rPr>
      </w:pPr>
      <w:r w:rsidRPr="00524687">
        <w:rPr>
          <w:rFonts w:ascii="Verdana" w:hAnsi="Verdana"/>
          <w:sz w:val="20"/>
          <w:szCs w:val="20"/>
          <w:lang w:val="es-MX"/>
        </w:rPr>
        <w:t>Pablo Saavedra Alessandri</w:t>
      </w:r>
    </w:p>
    <w:p w14:paraId="58F9D23F" w14:textId="77777777" w:rsidR="00524687" w:rsidRDefault="00524687" w:rsidP="00524687">
      <w:pPr>
        <w:widowControl w:val="0"/>
        <w:spacing w:after="0"/>
        <w:ind w:right="65"/>
        <w:jc w:val="both"/>
        <w:rPr>
          <w:rFonts w:ascii="Verdana" w:hAnsi="Verdana"/>
          <w:sz w:val="20"/>
          <w:szCs w:val="20"/>
          <w:lang w:val="es-MX"/>
        </w:rPr>
      </w:pPr>
      <w:r w:rsidRPr="00524687">
        <w:rPr>
          <w:rFonts w:ascii="Verdana" w:hAnsi="Verdana"/>
          <w:sz w:val="20"/>
          <w:szCs w:val="20"/>
          <w:lang w:val="es-MX"/>
        </w:rPr>
        <w:t xml:space="preserve">         Secretario</w:t>
      </w:r>
    </w:p>
    <w:p w14:paraId="0303B327" w14:textId="77777777" w:rsidR="00524687" w:rsidRDefault="00524687" w:rsidP="00524687">
      <w:pPr>
        <w:widowControl w:val="0"/>
        <w:spacing w:after="0"/>
        <w:ind w:right="65"/>
        <w:jc w:val="both"/>
        <w:rPr>
          <w:rFonts w:ascii="Verdana" w:hAnsi="Verdana"/>
          <w:sz w:val="20"/>
          <w:szCs w:val="20"/>
          <w:lang w:val="es-MX"/>
        </w:rPr>
      </w:pPr>
    </w:p>
    <w:p w14:paraId="3FFC80BC" w14:textId="77777777" w:rsidR="00524687" w:rsidRDefault="00524687" w:rsidP="00524687">
      <w:pPr>
        <w:widowControl w:val="0"/>
        <w:spacing w:after="0"/>
        <w:ind w:right="65"/>
        <w:jc w:val="both"/>
        <w:rPr>
          <w:rFonts w:ascii="Verdana" w:hAnsi="Verdana"/>
          <w:sz w:val="20"/>
          <w:szCs w:val="20"/>
          <w:lang w:val="es-MX"/>
        </w:rPr>
      </w:pPr>
    </w:p>
    <w:p w14:paraId="54E39486" w14:textId="77777777" w:rsidR="00524687" w:rsidRDefault="00524687" w:rsidP="00524687">
      <w:pPr>
        <w:widowControl w:val="0"/>
        <w:spacing w:after="0"/>
        <w:ind w:right="65"/>
        <w:jc w:val="both"/>
        <w:rPr>
          <w:rFonts w:ascii="Verdana" w:hAnsi="Verdana"/>
          <w:sz w:val="20"/>
          <w:szCs w:val="20"/>
          <w:lang w:val="es-MX"/>
        </w:rPr>
      </w:pPr>
    </w:p>
    <w:p w14:paraId="39C5BC8F" w14:textId="77777777" w:rsidR="00524687" w:rsidRDefault="00524687" w:rsidP="00524687">
      <w:pPr>
        <w:widowControl w:val="0"/>
        <w:spacing w:after="0"/>
        <w:ind w:right="65"/>
        <w:jc w:val="both"/>
        <w:rPr>
          <w:rFonts w:ascii="Verdana" w:hAnsi="Verdana"/>
          <w:sz w:val="20"/>
          <w:szCs w:val="20"/>
          <w:lang w:val="es-MX"/>
        </w:rPr>
      </w:pPr>
    </w:p>
    <w:p w14:paraId="2C4092D2" w14:textId="77777777" w:rsidR="00524687" w:rsidRPr="00524687" w:rsidRDefault="00524687" w:rsidP="00524687">
      <w:pPr>
        <w:widowControl w:val="0"/>
        <w:spacing w:after="0"/>
        <w:ind w:right="65"/>
        <w:jc w:val="both"/>
        <w:rPr>
          <w:rFonts w:ascii="Verdana" w:hAnsi="Verdana"/>
          <w:sz w:val="20"/>
          <w:szCs w:val="20"/>
          <w:lang w:val="es-MX"/>
        </w:rPr>
      </w:pPr>
    </w:p>
    <w:sectPr w:rsidR="00524687" w:rsidRPr="0052468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593C1" w14:textId="77777777" w:rsidR="003754B9" w:rsidRDefault="003754B9" w:rsidP="006F13BA">
      <w:pPr>
        <w:spacing w:after="0"/>
      </w:pPr>
      <w:r>
        <w:separator/>
      </w:r>
    </w:p>
  </w:endnote>
  <w:endnote w:type="continuationSeparator" w:id="0">
    <w:p w14:paraId="382F2897" w14:textId="77777777" w:rsidR="003754B9" w:rsidRDefault="003754B9" w:rsidP="006F13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188D4" w14:textId="77777777" w:rsidR="003754B9" w:rsidRDefault="003754B9" w:rsidP="006F13BA">
      <w:pPr>
        <w:spacing w:after="0"/>
      </w:pPr>
      <w:r>
        <w:separator/>
      </w:r>
    </w:p>
  </w:footnote>
  <w:footnote w:type="continuationSeparator" w:id="0">
    <w:p w14:paraId="4306A59C" w14:textId="77777777" w:rsidR="003754B9" w:rsidRDefault="003754B9" w:rsidP="006F13BA">
      <w:pPr>
        <w:spacing w:after="0"/>
      </w:pPr>
      <w:r>
        <w:continuationSeparator/>
      </w:r>
    </w:p>
  </w:footnote>
  <w:footnote w:id="1">
    <w:p w14:paraId="32C6102A" w14:textId="000AB304" w:rsidR="00B54B53" w:rsidRPr="00184424" w:rsidRDefault="00B54B53">
      <w:pPr>
        <w:pStyle w:val="Textonotapie"/>
        <w:rPr>
          <w:rFonts w:ascii="Verdana" w:hAnsi="Verdana"/>
          <w:strike/>
          <w:sz w:val="18"/>
          <w:szCs w:val="18"/>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rPr>
        <w:tab/>
        <w:t>La presunta víctima es representada en este caso por el Centro de Investigaciones Sociales y Asesorías Legales (CISALP).</w:t>
      </w:r>
    </w:p>
  </w:footnote>
  <w:footnote w:id="2">
    <w:p w14:paraId="2587A01B" w14:textId="1C729FC4" w:rsidR="006F13BA" w:rsidRPr="00184424" w:rsidRDefault="006F13BA" w:rsidP="005A714B">
      <w:pPr>
        <w:pStyle w:val="Textonotapie"/>
        <w:spacing w:after="240"/>
        <w:jc w:val="both"/>
        <w:rPr>
          <w:rFonts w:ascii="Verdana" w:hAnsi="Verdana"/>
          <w:sz w:val="18"/>
          <w:szCs w:val="18"/>
          <w:lang w:val="es-MX"/>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rPr>
        <w:tab/>
      </w:r>
      <w:r w:rsidRPr="00184424">
        <w:rPr>
          <w:rFonts w:ascii="Verdana" w:hAnsi="Verdana"/>
          <w:i/>
          <w:sz w:val="18"/>
          <w:szCs w:val="18"/>
          <w:lang w:val="es-PR"/>
        </w:rPr>
        <w:t>Cfr.</w:t>
      </w:r>
      <w:r w:rsidRPr="00184424">
        <w:rPr>
          <w:rFonts w:ascii="Verdana" w:hAnsi="Verdana"/>
          <w:sz w:val="18"/>
          <w:szCs w:val="18"/>
          <w:lang w:val="es-PR"/>
        </w:rPr>
        <w:t xml:space="preserve"> </w:t>
      </w:r>
      <w:r w:rsidRPr="00184424">
        <w:rPr>
          <w:rStyle w:val="Textoennegrita"/>
          <w:rFonts w:ascii="Verdana" w:hAnsi="Verdana"/>
          <w:b w:val="0"/>
          <w:i/>
          <w:color w:val="000000"/>
          <w:sz w:val="18"/>
          <w:szCs w:val="18"/>
          <w:shd w:val="clear" w:color="auto" w:fill="FFFFFF"/>
          <w:lang w:val="es-PR"/>
        </w:rPr>
        <w:t xml:space="preserve">Caso </w:t>
      </w:r>
      <w:proofErr w:type="spellStart"/>
      <w:r w:rsidRPr="00184424">
        <w:rPr>
          <w:rStyle w:val="Textoennegrita"/>
          <w:rFonts w:ascii="Verdana" w:hAnsi="Verdana"/>
          <w:b w:val="0"/>
          <w:i/>
          <w:color w:val="000000"/>
          <w:sz w:val="18"/>
          <w:szCs w:val="18"/>
          <w:shd w:val="clear" w:color="auto" w:fill="FFFFFF"/>
          <w:lang w:val="es-PR"/>
        </w:rPr>
        <w:t>Goiburú</w:t>
      </w:r>
      <w:proofErr w:type="spellEnd"/>
      <w:r w:rsidRPr="00184424">
        <w:rPr>
          <w:rStyle w:val="Textoennegrita"/>
          <w:rFonts w:ascii="Verdana" w:hAnsi="Verdana"/>
          <w:b w:val="0"/>
          <w:i/>
          <w:color w:val="000000"/>
          <w:sz w:val="18"/>
          <w:szCs w:val="18"/>
          <w:shd w:val="clear" w:color="auto" w:fill="FFFFFF"/>
          <w:lang w:val="es-PR"/>
        </w:rPr>
        <w:t xml:space="preserve"> y otros Vs. Paraguay.</w:t>
      </w:r>
      <w:r w:rsidRPr="00184424">
        <w:rPr>
          <w:rStyle w:val="Textoennegrita"/>
          <w:rFonts w:ascii="Verdana" w:hAnsi="Verdana"/>
          <w:b w:val="0"/>
          <w:color w:val="000000"/>
          <w:sz w:val="18"/>
          <w:szCs w:val="18"/>
          <w:shd w:val="clear" w:color="auto" w:fill="FFFFFF"/>
          <w:lang w:val="es-PR"/>
        </w:rPr>
        <w:t xml:space="preserve"> Resolución del </w:t>
      </w:r>
      <w:proofErr w:type="gramStart"/>
      <w:r w:rsidRPr="00184424">
        <w:rPr>
          <w:rStyle w:val="Textoennegrita"/>
          <w:rFonts w:ascii="Verdana" w:hAnsi="Verdana"/>
          <w:b w:val="0"/>
          <w:color w:val="000000"/>
          <w:sz w:val="18"/>
          <w:szCs w:val="18"/>
          <w:shd w:val="clear" w:color="auto" w:fill="FFFFFF"/>
          <w:lang w:val="es-PR"/>
        </w:rPr>
        <w:t>Presidente</w:t>
      </w:r>
      <w:proofErr w:type="gramEnd"/>
      <w:r w:rsidRPr="00184424">
        <w:rPr>
          <w:rStyle w:val="Textoennegrita"/>
          <w:rFonts w:ascii="Verdana" w:hAnsi="Verdana"/>
          <w:b w:val="0"/>
          <w:color w:val="000000"/>
          <w:sz w:val="18"/>
          <w:szCs w:val="18"/>
          <w:shd w:val="clear" w:color="auto" w:fill="FFFFFF"/>
          <w:lang w:val="es-PR"/>
        </w:rPr>
        <w:t xml:space="preserve"> de la Corte Interamericana de Derechos Humanos de 5 de mayo de 2006, Considerando 11, </w:t>
      </w:r>
      <w:r w:rsidRPr="00184424">
        <w:rPr>
          <w:rFonts w:ascii="Verdana" w:hAnsi="Verdana"/>
          <w:sz w:val="18"/>
          <w:szCs w:val="18"/>
          <w:lang w:val="es-PR"/>
        </w:rPr>
        <w:t xml:space="preserve">y </w:t>
      </w:r>
      <w:r w:rsidRPr="00184424">
        <w:rPr>
          <w:rFonts w:ascii="Verdana" w:hAnsi="Verdana"/>
          <w:i/>
          <w:sz w:val="18"/>
          <w:szCs w:val="18"/>
          <w:lang w:val="es-PR"/>
        </w:rPr>
        <w:t>Caso</w:t>
      </w:r>
      <w:r w:rsidRPr="00184424">
        <w:rPr>
          <w:rFonts w:ascii="Verdana" w:hAnsi="Verdana"/>
          <w:b/>
          <w:i/>
          <w:sz w:val="18"/>
          <w:szCs w:val="18"/>
          <w:lang w:val="es-PR"/>
        </w:rPr>
        <w:t xml:space="preserve"> </w:t>
      </w:r>
      <w:r w:rsidR="000A47BB" w:rsidRPr="00184424">
        <w:rPr>
          <w:rStyle w:val="Textoennegrita"/>
          <w:rFonts w:ascii="Verdana" w:hAnsi="Verdana"/>
          <w:b w:val="0"/>
          <w:i/>
          <w:color w:val="000000"/>
          <w:sz w:val="18"/>
          <w:szCs w:val="18"/>
          <w:shd w:val="clear" w:color="auto" w:fill="FFFFFF"/>
        </w:rPr>
        <w:t>Martínez Esquivia vs. Colombia</w:t>
      </w:r>
      <w:r w:rsidRPr="00184424">
        <w:rPr>
          <w:rStyle w:val="Textoennegrita"/>
          <w:rFonts w:ascii="Verdana" w:hAnsi="Verdana"/>
          <w:b w:val="0"/>
          <w:color w:val="000000"/>
          <w:sz w:val="18"/>
          <w:szCs w:val="18"/>
          <w:shd w:val="clear" w:color="auto" w:fill="FFFFFF"/>
        </w:rPr>
        <w:t>. Resolución de</w:t>
      </w:r>
      <w:r w:rsidR="000A47BB" w:rsidRPr="00184424">
        <w:rPr>
          <w:rStyle w:val="Textoennegrita"/>
          <w:rFonts w:ascii="Verdana" w:hAnsi="Verdana"/>
          <w:b w:val="0"/>
          <w:color w:val="000000"/>
          <w:sz w:val="18"/>
          <w:szCs w:val="18"/>
          <w:shd w:val="clear" w:color="auto" w:fill="FFFFFF"/>
        </w:rPr>
        <w:t xml:space="preserve"> </w:t>
      </w:r>
      <w:r w:rsidRPr="00184424">
        <w:rPr>
          <w:rStyle w:val="Textoennegrita"/>
          <w:rFonts w:ascii="Verdana" w:hAnsi="Verdana"/>
          <w:b w:val="0"/>
          <w:color w:val="000000"/>
          <w:sz w:val="18"/>
          <w:szCs w:val="18"/>
          <w:shd w:val="clear" w:color="auto" w:fill="FFFFFF"/>
        </w:rPr>
        <w:t>l</w:t>
      </w:r>
      <w:r w:rsidR="000A47BB" w:rsidRPr="00184424">
        <w:rPr>
          <w:rStyle w:val="Textoennegrita"/>
          <w:rFonts w:ascii="Verdana" w:hAnsi="Verdana"/>
          <w:b w:val="0"/>
          <w:color w:val="000000"/>
          <w:sz w:val="18"/>
          <w:szCs w:val="18"/>
          <w:shd w:val="clear" w:color="auto" w:fill="FFFFFF"/>
        </w:rPr>
        <w:t>a</w:t>
      </w:r>
      <w:r w:rsidRPr="00184424">
        <w:rPr>
          <w:rStyle w:val="Textoennegrita"/>
          <w:rFonts w:ascii="Verdana" w:hAnsi="Verdana"/>
          <w:b w:val="0"/>
          <w:color w:val="000000"/>
          <w:sz w:val="18"/>
          <w:szCs w:val="18"/>
          <w:shd w:val="clear" w:color="auto" w:fill="FFFFFF"/>
        </w:rPr>
        <w:t xml:space="preserve"> </w:t>
      </w:r>
      <w:proofErr w:type="gramStart"/>
      <w:r w:rsidRPr="00184424">
        <w:rPr>
          <w:rStyle w:val="Textoennegrita"/>
          <w:rFonts w:ascii="Verdana" w:hAnsi="Verdana"/>
          <w:b w:val="0"/>
          <w:color w:val="000000"/>
          <w:sz w:val="18"/>
          <w:szCs w:val="18"/>
          <w:shd w:val="clear" w:color="auto" w:fill="FFFFFF"/>
        </w:rPr>
        <w:t>President</w:t>
      </w:r>
      <w:r w:rsidR="000A47BB" w:rsidRPr="00184424">
        <w:rPr>
          <w:rStyle w:val="Textoennegrita"/>
          <w:rFonts w:ascii="Verdana" w:hAnsi="Verdana"/>
          <w:b w:val="0"/>
          <w:color w:val="000000"/>
          <w:sz w:val="18"/>
          <w:szCs w:val="18"/>
          <w:shd w:val="clear" w:color="auto" w:fill="FFFFFF"/>
        </w:rPr>
        <w:t>a</w:t>
      </w:r>
      <w:proofErr w:type="gramEnd"/>
      <w:r w:rsidRPr="00184424">
        <w:rPr>
          <w:rStyle w:val="Textoennegrita"/>
          <w:rFonts w:ascii="Verdana" w:hAnsi="Verdana"/>
          <w:b w:val="0"/>
          <w:color w:val="000000"/>
          <w:sz w:val="18"/>
          <w:szCs w:val="18"/>
          <w:shd w:val="clear" w:color="auto" w:fill="FFFFFF"/>
        </w:rPr>
        <w:t xml:space="preserve"> de la Corte Interamericana de Derech</w:t>
      </w:r>
      <w:r w:rsidR="000A47BB" w:rsidRPr="00184424">
        <w:rPr>
          <w:rStyle w:val="Textoennegrita"/>
          <w:rFonts w:ascii="Verdana" w:hAnsi="Verdana"/>
          <w:b w:val="0"/>
          <w:color w:val="000000"/>
          <w:sz w:val="18"/>
          <w:szCs w:val="18"/>
          <w:shd w:val="clear" w:color="auto" w:fill="FFFFFF"/>
        </w:rPr>
        <w:t>os Humanos de 23 de julio de 2020, Considerando 10</w:t>
      </w:r>
      <w:r w:rsidRPr="00184424">
        <w:rPr>
          <w:rStyle w:val="Textoennegrita"/>
          <w:rFonts w:ascii="Verdana" w:hAnsi="Verdana"/>
          <w:color w:val="000000"/>
          <w:sz w:val="18"/>
          <w:szCs w:val="18"/>
          <w:shd w:val="clear" w:color="auto" w:fill="FFFFFF"/>
        </w:rPr>
        <w:t>.</w:t>
      </w:r>
    </w:p>
  </w:footnote>
  <w:footnote w:id="3">
    <w:p w14:paraId="7344C0FA" w14:textId="12C24D9E" w:rsidR="005A714B" w:rsidRDefault="005A714B" w:rsidP="005A714B">
      <w:pPr>
        <w:pStyle w:val="Textonotapie"/>
        <w:jc w:val="both"/>
        <w:rPr>
          <w:rFonts w:ascii="Verdana" w:hAnsi="Verdana"/>
          <w:sz w:val="18"/>
          <w:szCs w:val="18"/>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rPr>
        <w:tab/>
        <w:t xml:space="preserve">La Comisión indicó que el perito </w:t>
      </w:r>
      <w:r w:rsidR="006A7516" w:rsidRPr="00184424">
        <w:rPr>
          <w:rFonts w:ascii="Verdana" w:hAnsi="Verdana"/>
          <w:sz w:val="18"/>
          <w:szCs w:val="18"/>
        </w:rPr>
        <w:t xml:space="preserve">fue ofrecido </w:t>
      </w:r>
      <w:r w:rsidRPr="00184424">
        <w:rPr>
          <w:rFonts w:ascii="Verdana" w:hAnsi="Verdana"/>
          <w:sz w:val="18"/>
          <w:szCs w:val="18"/>
        </w:rPr>
        <w:t>para declarar sobre “los estándares relativos a las obligaciones internacionales en materia del derecho a la igualdad ante la ley en la obtención de reparaciones económicas por graves violaciones a los derechos humanos. Además, el perito se referirá a los supuestos en los que estaría justificada una diferencia de trato en el acceso a tales reparaciones, tomando en cuenta para ello el contexto en Argentina y los hechos del presente caso. Se referirá también a los parámetros que deben tomarse en cuenta para evaluar si un recurso administrativo y/o judicial resulta efectivo para resolver los debates planteados a la luz del principio de igualdad ante la ley. En la medida de lo pertinente, el perito se referirá a otros sistemas internacionales de protección de derechos humanos y al derecho comparado”.</w:t>
      </w:r>
    </w:p>
    <w:p w14:paraId="432872C0" w14:textId="77777777" w:rsidR="00184424" w:rsidRPr="00184424" w:rsidRDefault="00184424" w:rsidP="005A714B">
      <w:pPr>
        <w:pStyle w:val="Textonotapie"/>
        <w:jc w:val="both"/>
        <w:rPr>
          <w:rFonts w:ascii="Verdana" w:hAnsi="Verdana"/>
          <w:sz w:val="18"/>
          <w:szCs w:val="18"/>
        </w:rPr>
      </w:pPr>
    </w:p>
  </w:footnote>
  <w:footnote w:id="4">
    <w:p w14:paraId="17D8B144" w14:textId="7927303E" w:rsidR="005A714B" w:rsidRPr="00184424" w:rsidRDefault="005A714B" w:rsidP="005A714B">
      <w:pPr>
        <w:pStyle w:val="Textonotapie"/>
        <w:jc w:val="both"/>
        <w:rPr>
          <w:rFonts w:ascii="Verdana" w:hAnsi="Verdana"/>
          <w:sz w:val="18"/>
          <w:szCs w:val="18"/>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 […]”.</w:t>
      </w:r>
    </w:p>
  </w:footnote>
  <w:footnote w:id="5">
    <w:p w14:paraId="4C4ED173" w14:textId="0095D136" w:rsidR="00184424" w:rsidRPr="00184424" w:rsidRDefault="00512F12" w:rsidP="00184424">
      <w:pPr>
        <w:pStyle w:val="Textonotapie"/>
        <w:spacing w:before="120" w:after="240"/>
        <w:jc w:val="both"/>
        <w:rPr>
          <w:rFonts w:ascii="Verdana" w:hAnsi="Verdana"/>
          <w:bCs/>
          <w:color w:val="000000"/>
          <w:sz w:val="18"/>
          <w:szCs w:val="18"/>
          <w:shd w:val="clear" w:color="auto" w:fill="FFFFFF"/>
        </w:rPr>
      </w:pPr>
      <w:r w:rsidRPr="00184424">
        <w:rPr>
          <w:rStyle w:val="Refdenotaalpie"/>
          <w:rFonts w:ascii="Verdana" w:eastAsia="Batang" w:hAnsi="Verdana"/>
          <w:sz w:val="18"/>
          <w:szCs w:val="18"/>
        </w:rPr>
        <w:footnoteRef/>
      </w:r>
      <w:r w:rsidRPr="00184424">
        <w:rPr>
          <w:rFonts w:ascii="Verdana" w:hAnsi="Verdana"/>
          <w:sz w:val="18"/>
          <w:szCs w:val="18"/>
        </w:rPr>
        <w:t xml:space="preserve"> </w:t>
      </w:r>
      <w:r w:rsidRPr="00184424">
        <w:rPr>
          <w:rFonts w:ascii="Verdana" w:hAnsi="Verdana"/>
          <w:sz w:val="18"/>
          <w:szCs w:val="18"/>
        </w:rPr>
        <w:tab/>
      </w:r>
      <w:r w:rsidRPr="00184424">
        <w:rPr>
          <w:rFonts w:ascii="Verdana" w:hAnsi="Verdana"/>
          <w:i/>
          <w:sz w:val="18"/>
          <w:szCs w:val="18"/>
        </w:rPr>
        <w:t>Cfr. Caso Pedro Miguel Vera y otros Vs. Ecuador. Convocatoria a audiencia</w:t>
      </w:r>
      <w:r w:rsidRPr="00184424">
        <w:rPr>
          <w:rFonts w:ascii="Verdana" w:hAnsi="Verdana"/>
          <w:sz w:val="18"/>
          <w:szCs w:val="18"/>
        </w:rPr>
        <w:t xml:space="preserve">. Resolución del </w:t>
      </w:r>
      <w:proofErr w:type="gramStart"/>
      <w:r w:rsidRPr="00184424">
        <w:rPr>
          <w:rFonts w:ascii="Verdana" w:hAnsi="Verdana"/>
          <w:sz w:val="18"/>
          <w:szCs w:val="18"/>
        </w:rPr>
        <w:t>Presidente</w:t>
      </w:r>
      <w:proofErr w:type="gramEnd"/>
      <w:r w:rsidRPr="00184424">
        <w:rPr>
          <w:rFonts w:ascii="Verdana" w:hAnsi="Verdana"/>
          <w:sz w:val="18"/>
          <w:szCs w:val="18"/>
        </w:rPr>
        <w:t xml:space="preserve"> de la Corte Interamericana de Derechos Humanos de 23 de diciembre de 2010, considerando 9, y </w:t>
      </w:r>
      <w:r w:rsidR="00184424" w:rsidRPr="00184424">
        <w:rPr>
          <w:rFonts w:ascii="Verdana" w:hAnsi="Verdana"/>
          <w:i/>
          <w:sz w:val="18"/>
          <w:szCs w:val="18"/>
          <w:lang w:val="es-PR"/>
        </w:rPr>
        <w:t>Caso</w:t>
      </w:r>
      <w:r w:rsidR="00184424" w:rsidRPr="00184424">
        <w:rPr>
          <w:rFonts w:ascii="Verdana" w:hAnsi="Verdana"/>
          <w:b/>
          <w:i/>
          <w:sz w:val="18"/>
          <w:szCs w:val="18"/>
          <w:lang w:val="es-PR"/>
        </w:rPr>
        <w:t xml:space="preserve"> </w:t>
      </w:r>
      <w:r w:rsidR="00184424" w:rsidRPr="00184424">
        <w:rPr>
          <w:rStyle w:val="Textoennegrita"/>
          <w:rFonts w:ascii="Verdana" w:hAnsi="Verdana"/>
          <w:b w:val="0"/>
          <w:i/>
          <w:color w:val="000000"/>
          <w:sz w:val="18"/>
          <w:szCs w:val="18"/>
          <w:shd w:val="clear" w:color="auto" w:fill="FFFFFF"/>
        </w:rPr>
        <w:t>Martínez Esquivia vs. Colombia</w:t>
      </w:r>
      <w:r w:rsidR="00B83A35">
        <w:rPr>
          <w:rStyle w:val="Textoennegrita"/>
          <w:rFonts w:ascii="Verdana" w:hAnsi="Verdana"/>
          <w:b w:val="0"/>
          <w:color w:val="000000"/>
          <w:sz w:val="18"/>
          <w:szCs w:val="18"/>
          <w:shd w:val="clear" w:color="auto" w:fill="FFFFFF"/>
        </w:rPr>
        <w:t>,</w:t>
      </w:r>
      <w:r w:rsidR="00184424" w:rsidRPr="00184424">
        <w:rPr>
          <w:rStyle w:val="Textoennegrita"/>
          <w:rFonts w:ascii="Verdana" w:hAnsi="Verdana"/>
          <w:b w:val="0"/>
          <w:color w:val="000000"/>
          <w:sz w:val="18"/>
          <w:szCs w:val="18"/>
          <w:shd w:val="clear" w:color="auto" w:fill="FFFFFF"/>
        </w:rPr>
        <w:t xml:space="preserve"> </w:t>
      </w:r>
      <w:r w:rsidR="00B83A35">
        <w:rPr>
          <w:rStyle w:val="Textoennegrita"/>
          <w:rFonts w:ascii="Verdana" w:hAnsi="Verdana"/>
          <w:b w:val="0"/>
          <w:i/>
          <w:color w:val="000000"/>
          <w:sz w:val="18"/>
          <w:szCs w:val="18"/>
          <w:shd w:val="clear" w:color="auto" w:fill="FFFFFF"/>
        </w:rPr>
        <w:t>supra</w:t>
      </w:r>
      <w:r w:rsidR="00184424" w:rsidRPr="00184424">
        <w:rPr>
          <w:rStyle w:val="Textoennegrita"/>
          <w:rFonts w:ascii="Verdana" w:hAnsi="Verdana"/>
          <w:b w:val="0"/>
          <w:color w:val="000000"/>
          <w:sz w:val="18"/>
          <w:szCs w:val="18"/>
          <w:shd w:val="clear" w:color="auto" w:fill="FFFFFF"/>
        </w:rPr>
        <w:t>, Considerando 16.</w:t>
      </w:r>
    </w:p>
  </w:footnote>
  <w:footnote w:id="6">
    <w:p w14:paraId="63F4FDFF" w14:textId="1090FE50" w:rsidR="000B0B74" w:rsidRPr="00184424" w:rsidRDefault="000B0B74" w:rsidP="00184424">
      <w:pPr>
        <w:pStyle w:val="Textonotapie"/>
        <w:jc w:val="both"/>
        <w:rPr>
          <w:rFonts w:ascii="Verdana" w:hAnsi="Verdana"/>
          <w:sz w:val="18"/>
          <w:szCs w:val="18"/>
          <w:lang w:val="es-MX"/>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lang w:val="es-MX"/>
        </w:rPr>
        <w:tab/>
      </w:r>
      <w:r w:rsidRPr="00184424">
        <w:rPr>
          <w:rFonts w:ascii="Verdana" w:hAnsi="Verdana"/>
          <w:i/>
          <w:sz w:val="18"/>
          <w:szCs w:val="18"/>
          <w:lang w:val="es-MX"/>
        </w:rPr>
        <w:t xml:space="preserve">Cfr. Caso Pacheco Teruel y otros vs. Honduras. Convocatoria a audiencia. </w:t>
      </w:r>
      <w:r w:rsidRPr="00184424">
        <w:rPr>
          <w:rFonts w:ascii="Verdana" w:hAnsi="Verdana"/>
          <w:sz w:val="18"/>
          <w:szCs w:val="18"/>
          <w:lang w:val="es-MX"/>
        </w:rPr>
        <w:t xml:space="preserve">Resolución del </w:t>
      </w:r>
      <w:proofErr w:type="gramStart"/>
      <w:r w:rsidRPr="00184424">
        <w:rPr>
          <w:rFonts w:ascii="Verdana" w:hAnsi="Verdana"/>
          <w:sz w:val="18"/>
          <w:szCs w:val="18"/>
          <w:lang w:val="es-MX"/>
        </w:rPr>
        <w:t>Presidente</w:t>
      </w:r>
      <w:proofErr w:type="gramEnd"/>
      <w:r w:rsidRPr="00184424">
        <w:rPr>
          <w:rFonts w:ascii="Verdana" w:hAnsi="Verdana"/>
          <w:sz w:val="18"/>
          <w:szCs w:val="18"/>
          <w:lang w:val="es-MX"/>
        </w:rPr>
        <w:t xml:space="preserve"> de la Corte Interamericana de Derechos Humanos de 27 de enero de 2012, Considerando 9 y </w:t>
      </w:r>
      <w:r w:rsidR="00184424" w:rsidRPr="00184424">
        <w:rPr>
          <w:rFonts w:ascii="Verdana" w:hAnsi="Verdana"/>
          <w:i/>
          <w:sz w:val="18"/>
          <w:szCs w:val="18"/>
          <w:lang w:val="es-PR"/>
        </w:rPr>
        <w:t>Caso</w:t>
      </w:r>
      <w:r w:rsidR="00184424" w:rsidRPr="00184424">
        <w:rPr>
          <w:rFonts w:ascii="Verdana" w:hAnsi="Verdana"/>
          <w:b/>
          <w:i/>
          <w:sz w:val="18"/>
          <w:szCs w:val="18"/>
          <w:lang w:val="es-PR"/>
        </w:rPr>
        <w:t xml:space="preserve"> </w:t>
      </w:r>
      <w:r w:rsidR="00184424" w:rsidRPr="00184424">
        <w:rPr>
          <w:rStyle w:val="Textoennegrita"/>
          <w:rFonts w:ascii="Verdana" w:hAnsi="Verdana"/>
          <w:b w:val="0"/>
          <w:i/>
          <w:color w:val="000000"/>
          <w:sz w:val="18"/>
          <w:szCs w:val="18"/>
          <w:shd w:val="clear" w:color="auto" w:fill="FFFFFF"/>
        </w:rPr>
        <w:t>Martínez Esquivia vs. Colombia</w:t>
      </w:r>
      <w:r w:rsidR="00B83A35">
        <w:rPr>
          <w:rStyle w:val="Textoennegrita"/>
          <w:rFonts w:ascii="Verdana" w:hAnsi="Verdana"/>
          <w:b w:val="0"/>
          <w:i/>
          <w:color w:val="000000"/>
          <w:sz w:val="18"/>
          <w:szCs w:val="18"/>
          <w:shd w:val="clear" w:color="auto" w:fill="FFFFFF"/>
        </w:rPr>
        <w:t>,</w:t>
      </w:r>
      <w:r w:rsidR="00184424" w:rsidRPr="00184424">
        <w:rPr>
          <w:rStyle w:val="Textoennegrita"/>
          <w:rFonts w:ascii="Verdana" w:hAnsi="Verdana"/>
          <w:b w:val="0"/>
          <w:color w:val="000000"/>
          <w:sz w:val="18"/>
          <w:szCs w:val="18"/>
          <w:shd w:val="clear" w:color="auto" w:fill="FFFFFF"/>
        </w:rPr>
        <w:t xml:space="preserve"> </w:t>
      </w:r>
      <w:r w:rsidR="00B83A35">
        <w:rPr>
          <w:rStyle w:val="Textoennegrita"/>
          <w:rFonts w:ascii="Verdana" w:hAnsi="Verdana"/>
          <w:b w:val="0"/>
          <w:i/>
          <w:color w:val="000000"/>
          <w:sz w:val="18"/>
          <w:szCs w:val="18"/>
          <w:shd w:val="clear" w:color="auto" w:fill="FFFFFF"/>
        </w:rPr>
        <w:t>supra</w:t>
      </w:r>
      <w:r w:rsidR="00184424" w:rsidRPr="00184424">
        <w:rPr>
          <w:rStyle w:val="Textoennegrita"/>
          <w:rFonts w:ascii="Verdana" w:hAnsi="Verdana"/>
          <w:b w:val="0"/>
          <w:color w:val="000000"/>
          <w:sz w:val="18"/>
          <w:szCs w:val="18"/>
          <w:shd w:val="clear" w:color="auto" w:fill="FFFFFF"/>
        </w:rPr>
        <w:t>, Considerando 17</w:t>
      </w:r>
      <w:r w:rsidR="00184424" w:rsidRPr="00184424">
        <w:rPr>
          <w:rStyle w:val="Textoennegrita"/>
          <w:rFonts w:ascii="Verdana" w:hAnsi="Verdana"/>
          <w:color w:val="000000"/>
          <w:sz w:val="18"/>
          <w:szCs w:val="18"/>
          <w:shd w:val="clear" w:color="auto" w:fill="FFFFFF"/>
        </w:rPr>
        <w:t>.</w:t>
      </w:r>
    </w:p>
  </w:footnote>
  <w:footnote w:id="7">
    <w:p w14:paraId="756377C0" w14:textId="394A7483" w:rsidR="0053665D" w:rsidRPr="00184424" w:rsidRDefault="0053665D" w:rsidP="00B83A35">
      <w:pPr>
        <w:pStyle w:val="Textonotapie"/>
        <w:spacing w:after="240"/>
        <w:jc w:val="both"/>
        <w:rPr>
          <w:rFonts w:ascii="Verdana" w:hAnsi="Verdana"/>
          <w:sz w:val="18"/>
          <w:szCs w:val="18"/>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rPr>
        <w:tab/>
      </w:r>
      <w:r w:rsidRPr="00184424">
        <w:rPr>
          <w:rFonts w:ascii="Verdana" w:hAnsi="Verdana"/>
          <w:i/>
          <w:sz w:val="18"/>
          <w:szCs w:val="18"/>
        </w:rPr>
        <w:t xml:space="preserve">Cfr. Caso </w:t>
      </w:r>
      <w:proofErr w:type="spellStart"/>
      <w:r w:rsidRPr="00184424">
        <w:rPr>
          <w:rFonts w:ascii="Verdana" w:hAnsi="Verdana"/>
          <w:i/>
          <w:sz w:val="18"/>
          <w:szCs w:val="18"/>
        </w:rPr>
        <w:t>Barbani</w:t>
      </w:r>
      <w:proofErr w:type="spellEnd"/>
      <w:r w:rsidRPr="00184424">
        <w:rPr>
          <w:rFonts w:ascii="Verdana" w:hAnsi="Verdana"/>
          <w:i/>
          <w:sz w:val="18"/>
          <w:szCs w:val="18"/>
        </w:rPr>
        <w:t xml:space="preserve"> Duarte y otros Vs. Uruguay. </w:t>
      </w:r>
      <w:r w:rsidRPr="00184424">
        <w:rPr>
          <w:rFonts w:ascii="Verdana" w:hAnsi="Verdana"/>
          <w:i/>
          <w:sz w:val="18"/>
          <w:szCs w:val="18"/>
          <w:lang w:val="es-MX"/>
        </w:rPr>
        <w:t>Convocatoria a audiencia</w:t>
      </w:r>
      <w:r w:rsidRPr="00184424">
        <w:rPr>
          <w:rFonts w:ascii="Verdana" w:hAnsi="Verdana"/>
          <w:sz w:val="18"/>
          <w:szCs w:val="18"/>
          <w:lang w:val="es-MX"/>
        </w:rPr>
        <w:t xml:space="preserve">. </w:t>
      </w:r>
      <w:r w:rsidRPr="00184424">
        <w:rPr>
          <w:rFonts w:ascii="Verdana" w:hAnsi="Verdana"/>
          <w:sz w:val="18"/>
          <w:szCs w:val="18"/>
        </w:rPr>
        <w:t xml:space="preserve">Resolución del </w:t>
      </w:r>
      <w:proofErr w:type="gramStart"/>
      <w:r w:rsidRPr="00184424">
        <w:rPr>
          <w:rFonts w:ascii="Verdana" w:hAnsi="Verdana"/>
          <w:sz w:val="18"/>
          <w:szCs w:val="18"/>
        </w:rPr>
        <w:t>Presidente</w:t>
      </w:r>
      <w:proofErr w:type="gramEnd"/>
      <w:r w:rsidRPr="00184424">
        <w:rPr>
          <w:rFonts w:ascii="Verdana" w:hAnsi="Verdana"/>
          <w:sz w:val="18"/>
          <w:szCs w:val="18"/>
        </w:rPr>
        <w:t xml:space="preserve"> da la Corte Interamericana de Derechos Humanos de 31 de enero de 2011,</w:t>
      </w:r>
      <w:r w:rsidRPr="00184424">
        <w:rPr>
          <w:rFonts w:ascii="Verdana" w:hAnsi="Verdana"/>
          <w:i/>
          <w:sz w:val="18"/>
          <w:szCs w:val="18"/>
        </w:rPr>
        <w:t xml:space="preserve"> </w:t>
      </w:r>
      <w:r w:rsidRPr="00184424">
        <w:rPr>
          <w:rFonts w:ascii="Verdana" w:hAnsi="Verdana"/>
          <w:sz w:val="18"/>
          <w:szCs w:val="18"/>
        </w:rPr>
        <w:t xml:space="preserve">Considerando 16 y </w:t>
      </w:r>
      <w:r w:rsidR="00184424" w:rsidRPr="00184424">
        <w:rPr>
          <w:rFonts w:ascii="Verdana" w:hAnsi="Verdana"/>
          <w:i/>
          <w:sz w:val="18"/>
          <w:szCs w:val="18"/>
          <w:lang w:val="es-PR"/>
        </w:rPr>
        <w:t>Caso</w:t>
      </w:r>
      <w:r w:rsidR="00184424" w:rsidRPr="00184424">
        <w:rPr>
          <w:rFonts w:ascii="Verdana" w:hAnsi="Verdana"/>
          <w:b/>
          <w:i/>
          <w:sz w:val="18"/>
          <w:szCs w:val="18"/>
          <w:lang w:val="es-PR"/>
        </w:rPr>
        <w:t xml:space="preserve"> </w:t>
      </w:r>
      <w:r w:rsidR="00184424" w:rsidRPr="00184424">
        <w:rPr>
          <w:rStyle w:val="Textoennegrita"/>
          <w:rFonts w:ascii="Verdana" w:hAnsi="Verdana"/>
          <w:b w:val="0"/>
          <w:i/>
          <w:color w:val="000000"/>
          <w:sz w:val="18"/>
          <w:szCs w:val="18"/>
          <w:shd w:val="clear" w:color="auto" w:fill="FFFFFF"/>
        </w:rPr>
        <w:t>Martínez Esquivia vs. Colombia</w:t>
      </w:r>
      <w:r w:rsidR="00B83A35">
        <w:rPr>
          <w:rStyle w:val="Textoennegrita"/>
          <w:rFonts w:ascii="Verdana" w:hAnsi="Verdana"/>
          <w:b w:val="0"/>
          <w:color w:val="000000"/>
          <w:sz w:val="18"/>
          <w:szCs w:val="18"/>
          <w:shd w:val="clear" w:color="auto" w:fill="FFFFFF"/>
        </w:rPr>
        <w:t xml:space="preserve">, </w:t>
      </w:r>
      <w:r w:rsidR="00B83A35">
        <w:rPr>
          <w:rStyle w:val="Textoennegrita"/>
          <w:rFonts w:ascii="Verdana" w:hAnsi="Verdana"/>
          <w:b w:val="0"/>
          <w:i/>
          <w:color w:val="000000"/>
          <w:sz w:val="18"/>
          <w:szCs w:val="18"/>
          <w:shd w:val="clear" w:color="auto" w:fill="FFFFFF"/>
        </w:rPr>
        <w:t>supra</w:t>
      </w:r>
      <w:r w:rsidR="00184424" w:rsidRPr="00184424">
        <w:rPr>
          <w:rStyle w:val="Textoennegrita"/>
          <w:rFonts w:ascii="Verdana" w:hAnsi="Verdana"/>
          <w:b w:val="0"/>
          <w:color w:val="000000"/>
          <w:sz w:val="18"/>
          <w:szCs w:val="18"/>
          <w:shd w:val="clear" w:color="auto" w:fill="FFFFFF"/>
        </w:rPr>
        <w:t>, Considerando 20.</w:t>
      </w:r>
    </w:p>
  </w:footnote>
  <w:footnote w:id="8">
    <w:p w14:paraId="389834CA" w14:textId="5068F292" w:rsidR="0053665D" w:rsidRPr="00184424" w:rsidRDefault="0053665D" w:rsidP="00B83A35">
      <w:pPr>
        <w:pStyle w:val="Textonotapie"/>
        <w:spacing w:after="240"/>
        <w:jc w:val="both"/>
        <w:rPr>
          <w:rFonts w:ascii="Verdana" w:hAnsi="Verdana"/>
          <w:sz w:val="18"/>
          <w:szCs w:val="18"/>
          <w:lang w:val="es-MX"/>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rPr>
        <w:tab/>
        <w:t>El objeto de su peritaje es “exponer sobre la génesis, características y evolución de la experiencia argentina de reparación económica de graves violaciones a los derechos humanos con el propósito de contextualizar la excepcionalidad del caso del Sr. Almeida. En ese marco se referirá al alcance de la política reparatoria en perspectiva comp</w:t>
      </w:r>
      <w:r w:rsidR="0093779B" w:rsidRPr="00184424">
        <w:rPr>
          <w:rFonts w:ascii="Verdana" w:hAnsi="Verdana"/>
          <w:sz w:val="18"/>
          <w:szCs w:val="18"/>
        </w:rPr>
        <w:t>a</w:t>
      </w:r>
      <w:r w:rsidRPr="00184424">
        <w:rPr>
          <w:rFonts w:ascii="Verdana" w:hAnsi="Verdana"/>
          <w:sz w:val="18"/>
          <w:szCs w:val="18"/>
        </w:rPr>
        <w:t>rada regional”.</w:t>
      </w:r>
    </w:p>
  </w:footnote>
  <w:footnote w:id="9">
    <w:p w14:paraId="2592C65D" w14:textId="77777777" w:rsidR="00F420AD" w:rsidRPr="00184424" w:rsidRDefault="00F420AD" w:rsidP="00F420AD">
      <w:pPr>
        <w:pStyle w:val="Textonotapie"/>
        <w:jc w:val="both"/>
        <w:rPr>
          <w:rFonts w:ascii="Verdana" w:hAnsi="Verdana"/>
          <w:sz w:val="18"/>
          <w:szCs w:val="18"/>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rPr>
        <w:tab/>
      </w:r>
      <w:r w:rsidRPr="00184424">
        <w:rPr>
          <w:rFonts w:ascii="Verdana" w:hAnsi="Verdana"/>
          <w:i/>
          <w:sz w:val="18"/>
          <w:szCs w:val="18"/>
        </w:rPr>
        <w:t>Cfr. Caso de la “Masacre de Pueblo Bello” Vs. Colombia</w:t>
      </w:r>
      <w:r w:rsidRPr="00184424">
        <w:rPr>
          <w:rFonts w:ascii="Verdana" w:hAnsi="Verdana"/>
          <w:sz w:val="18"/>
          <w:szCs w:val="18"/>
        </w:rPr>
        <w:t xml:space="preserve">. </w:t>
      </w:r>
      <w:r w:rsidRPr="00184424">
        <w:rPr>
          <w:rFonts w:ascii="Verdana" w:hAnsi="Verdana"/>
          <w:i/>
          <w:sz w:val="18"/>
          <w:szCs w:val="18"/>
          <w:lang w:val="es-MX"/>
        </w:rPr>
        <w:t xml:space="preserve">Convocatoria a audiencia. </w:t>
      </w:r>
      <w:r w:rsidRPr="00184424">
        <w:rPr>
          <w:rFonts w:ascii="Verdana" w:hAnsi="Verdana"/>
          <w:sz w:val="18"/>
          <w:szCs w:val="18"/>
        </w:rPr>
        <w:t xml:space="preserve">Resolución del </w:t>
      </w:r>
      <w:proofErr w:type="gramStart"/>
      <w:r w:rsidRPr="00184424">
        <w:rPr>
          <w:rFonts w:ascii="Verdana" w:hAnsi="Verdana"/>
          <w:sz w:val="18"/>
          <w:szCs w:val="18"/>
        </w:rPr>
        <w:t>Presidente</w:t>
      </w:r>
      <w:proofErr w:type="gramEnd"/>
      <w:r w:rsidRPr="00184424">
        <w:rPr>
          <w:rFonts w:ascii="Verdana" w:hAnsi="Verdana"/>
          <w:sz w:val="18"/>
          <w:szCs w:val="18"/>
        </w:rPr>
        <w:t xml:space="preserve"> de la Corte Interamericana de Derechos Humanos de 29 de julio de 2005, Considerando 7 y </w:t>
      </w:r>
      <w:r w:rsidRPr="00184424">
        <w:rPr>
          <w:rFonts w:ascii="Verdana" w:hAnsi="Verdana"/>
          <w:i/>
          <w:sz w:val="18"/>
          <w:szCs w:val="18"/>
        </w:rPr>
        <w:t xml:space="preserve">Caso </w:t>
      </w:r>
      <w:proofErr w:type="spellStart"/>
      <w:r w:rsidRPr="00184424">
        <w:rPr>
          <w:rFonts w:ascii="Verdana" w:hAnsi="Verdana"/>
          <w:i/>
          <w:sz w:val="18"/>
          <w:szCs w:val="18"/>
        </w:rPr>
        <w:t>Gorigoitía</w:t>
      </w:r>
      <w:proofErr w:type="spellEnd"/>
      <w:r w:rsidRPr="00184424">
        <w:rPr>
          <w:rFonts w:ascii="Verdana" w:hAnsi="Verdana"/>
          <w:i/>
          <w:sz w:val="18"/>
          <w:szCs w:val="18"/>
        </w:rPr>
        <w:t xml:space="preserve"> Vs. Argentina, </w:t>
      </w:r>
      <w:r w:rsidRPr="00184424">
        <w:rPr>
          <w:rFonts w:ascii="Verdana" w:hAnsi="Verdana"/>
          <w:i/>
          <w:sz w:val="18"/>
          <w:szCs w:val="18"/>
          <w:lang w:val="es-MX"/>
        </w:rPr>
        <w:t xml:space="preserve">Convocatoria a audiencia. </w:t>
      </w:r>
      <w:r w:rsidRPr="00184424">
        <w:rPr>
          <w:rFonts w:ascii="Verdana" w:hAnsi="Verdana"/>
          <w:i/>
          <w:sz w:val="18"/>
          <w:szCs w:val="18"/>
        </w:rPr>
        <w:t xml:space="preserve"> </w:t>
      </w:r>
      <w:r w:rsidRPr="00184424">
        <w:rPr>
          <w:rFonts w:ascii="Verdana" w:hAnsi="Verdana"/>
          <w:sz w:val="18"/>
          <w:szCs w:val="18"/>
        </w:rPr>
        <w:t xml:space="preserve">Resolución del </w:t>
      </w:r>
      <w:proofErr w:type="gramStart"/>
      <w:r w:rsidRPr="00184424">
        <w:rPr>
          <w:rFonts w:ascii="Verdana" w:hAnsi="Verdana"/>
          <w:sz w:val="18"/>
          <w:szCs w:val="18"/>
        </w:rPr>
        <w:t>Presidente</w:t>
      </w:r>
      <w:proofErr w:type="gramEnd"/>
      <w:r w:rsidRPr="00184424">
        <w:rPr>
          <w:rFonts w:ascii="Verdana" w:hAnsi="Verdana"/>
          <w:sz w:val="18"/>
          <w:szCs w:val="18"/>
        </w:rPr>
        <w:t xml:space="preserve"> de la Corte Interamericana de Derechos Humanos de 20 de marzo de 2019, Considerando 15.</w:t>
      </w:r>
    </w:p>
  </w:footnote>
  <w:footnote w:id="10">
    <w:p w14:paraId="0AD0A233" w14:textId="77777777" w:rsidR="00F420AD" w:rsidRPr="00570DA3" w:rsidRDefault="00F420AD" w:rsidP="00F420AD">
      <w:pPr>
        <w:pStyle w:val="Textonotapie"/>
        <w:jc w:val="both"/>
        <w:rPr>
          <w:rFonts w:ascii="Verdana" w:hAnsi="Verdana"/>
          <w:sz w:val="16"/>
          <w:szCs w:val="16"/>
          <w:lang w:val="es-MX"/>
        </w:rPr>
      </w:pPr>
      <w:r w:rsidRPr="00184424">
        <w:rPr>
          <w:rStyle w:val="Refdenotaalpie"/>
          <w:rFonts w:ascii="Verdana" w:hAnsi="Verdana"/>
          <w:sz w:val="18"/>
          <w:szCs w:val="18"/>
        </w:rPr>
        <w:footnoteRef/>
      </w:r>
      <w:r w:rsidRPr="00184424">
        <w:rPr>
          <w:rFonts w:ascii="Verdana" w:hAnsi="Verdana"/>
          <w:sz w:val="18"/>
          <w:szCs w:val="18"/>
        </w:rPr>
        <w:t xml:space="preserve"> </w:t>
      </w:r>
      <w:r w:rsidRPr="00184424">
        <w:rPr>
          <w:rFonts w:ascii="Verdana" w:hAnsi="Verdana"/>
          <w:sz w:val="18"/>
          <w:szCs w:val="18"/>
          <w:lang w:val="es-MX"/>
        </w:rPr>
        <w:tab/>
      </w:r>
      <w:r w:rsidRPr="00184424">
        <w:rPr>
          <w:rFonts w:ascii="Verdana" w:hAnsi="Verdana"/>
          <w:i/>
          <w:sz w:val="18"/>
          <w:szCs w:val="18"/>
          <w:lang w:val="es-MX"/>
        </w:rPr>
        <w:t xml:space="preserve">Cfr. Caso Suárez Peralta Vs. Ecuador. </w:t>
      </w:r>
      <w:r w:rsidRPr="00184424">
        <w:rPr>
          <w:rFonts w:ascii="Verdana" w:hAnsi="Verdana"/>
          <w:sz w:val="18"/>
          <w:szCs w:val="18"/>
          <w:lang w:val="es-MX"/>
        </w:rPr>
        <w:t xml:space="preserve">Resolución del </w:t>
      </w:r>
      <w:proofErr w:type="gramStart"/>
      <w:r w:rsidRPr="00184424">
        <w:rPr>
          <w:rFonts w:ascii="Verdana" w:hAnsi="Verdana"/>
          <w:sz w:val="18"/>
          <w:szCs w:val="18"/>
          <w:lang w:val="es-MX"/>
        </w:rPr>
        <w:t>Presidente</w:t>
      </w:r>
      <w:proofErr w:type="gramEnd"/>
      <w:r w:rsidRPr="00184424">
        <w:rPr>
          <w:rFonts w:ascii="Verdana" w:hAnsi="Verdana"/>
          <w:sz w:val="18"/>
          <w:szCs w:val="18"/>
          <w:lang w:val="es-MX"/>
        </w:rPr>
        <w:t xml:space="preserve"> de la Corte Interamericana de Derechos Humanos de 20 de diciembre de 2012, Considerando 22, y </w:t>
      </w:r>
      <w:r w:rsidRPr="00184424">
        <w:rPr>
          <w:rFonts w:ascii="Verdana" w:hAnsi="Verdana"/>
          <w:i/>
          <w:sz w:val="18"/>
          <w:szCs w:val="18"/>
        </w:rPr>
        <w:t xml:space="preserve">Caso </w:t>
      </w:r>
      <w:proofErr w:type="spellStart"/>
      <w:r w:rsidRPr="00184424">
        <w:rPr>
          <w:rFonts w:ascii="Verdana" w:hAnsi="Verdana"/>
          <w:i/>
          <w:sz w:val="18"/>
          <w:szCs w:val="18"/>
        </w:rPr>
        <w:t>Gorigoitía</w:t>
      </w:r>
      <w:proofErr w:type="spellEnd"/>
      <w:r w:rsidRPr="00184424">
        <w:rPr>
          <w:rFonts w:ascii="Verdana" w:hAnsi="Verdana"/>
          <w:i/>
          <w:sz w:val="18"/>
          <w:szCs w:val="18"/>
        </w:rPr>
        <w:t xml:space="preserve"> Vs. Argentina, Convocatoria a audiencia, Supra, </w:t>
      </w:r>
      <w:r w:rsidRPr="00184424">
        <w:rPr>
          <w:rFonts w:ascii="Verdana" w:hAnsi="Verdana"/>
          <w:sz w:val="18"/>
          <w:szCs w:val="18"/>
        </w:rPr>
        <w:t>Consideran</w:t>
      </w:r>
      <w:r w:rsidRPr="00570DA3">
        <w:rPr>
          <w:rFonts w:ascii="Verdana" w:hAnsi="Verdana"/>
          <w:sz w:val="16"/>
          <w:szCs w:val="16"/>
        </w:rPr>
        <w:t>do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582B35"/>
    <w:multiLevelType w:val="hybridMultilevel"/>
    <w:tmpl w:val="1D47245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D6407"/>
    <w:multiLevelType w:val="hybridMultilevel"/>
    <w:tmpl w:val="4316056C"/>
    <w:lvl w:ilvl="0" w:tplc="425E884C">
      <w:start w:val="4"/>
      <w:numFmt w:val="bullet"/>
      <w:lvlText w:val="-"/>
      <w:lvlJc w:val="left"/>
      <w:pPr>
        <w:ind w:left="1350" w:hanging="360"/>
      </w:pPr>
      <w:rPr>
        <w:rFonts w:ascii="Verdana" w:eastAsiaTheme="minorHAnsi" w:hAnsi="Verdana" w:cs="Verdana" w:hint="default"/>
      </w:rPr>
    </w:lvl>
    <w:lvl w:ilvl="1" w:tplc="140A0003" w:tentative="1">
      <w:start w:val="1"/>
      <w:numFmt w:val="bullet"/>
      <w:lvlText w:val="o"/>
      <w:lvlJc w:val="left"/>
      <w:pPr>
        <w:ind w:left="2070" w:hanging="360"/>
      </w:pPr>
      <w:rPr>
        <w:rFonts w:ascii="Courier New" w:hAnsi="Courier New" w:cs="Courier New" w:hint="default"/>
      </w:rPr>
    </w:lvl>
    <w:lvl w:ilvl="2" w:tplc="140A0005" w:tentative="1">
      <w:start w:val="1"/>
      <w:numFmt w:val="bullet"/>
      <w:lvlText w:val=""/>
      <w:lvlJc w:val="left"/>
      <w:pPr>
        <w:ind w:left="2790" w:hanging="360"/>
      </w:pPr>
      <w:rPr>
        <w:rFonts w:ascii="Wingdings" w:hAnsi="Wingdings" w:hint="default"/>
      </w:rPr>
    </w:lvl>
    <w:lvl w:ilvl="3" w:tplc="140A0001" w:tentative="1">
      <w:start w:val="1"/>
      <w:numFmt w:val="bullet"/>
      <w:lvlText w:val=""/>
      <w:lvlJc w:val="left"/>
      <w:pPr>
        <w:ind w:left="3510" w:hanging="360"/>
      </w:pPr>
      <w:rPr>
        <w:rFonts w:ascii="Symbol" w:hAnsi="Symbol" w:hint="default"/>
      </w:rPr>
    </w:lvl>
    <w:lvl w:ilvl="4" w:tplc="140A0003" w:tentative="1">
      <w:start w:val="1"/>
      <w:numFmt w:val="bullet"/>
      <w:lvlText w:val="o"/>
      <w:lvlJc w:val="left"/>
      <w:pPr>
        <w:ind w:left="4230" w:hanging="360"/>
      </w:pPr>
      <w:rPr>
        <w:rFonts w:ascii="Courier New" w:hAnsi="Courier New" w:cs="Courier New" w:hint="default"/>
      </w:rPr>
    </w:lvl>
    <w:lvl w:ilvl="5" w:tplc="140A0005" w:tentative="1">
      <w:start w:val="1"/>
      <w:numFmt w:val="bullet"/>
      <w:lvlText w:val=""/>
      <w:lvlJc w:val="left"/>
      <w:pPr>
        <w:ind w:left="4950" w:hanging="360"/>
      </w:pPr>
      <w:rPr>
        <w:rFonts w:ascii="Wingdings" w:hAnsi="Wingdings" w:hint="default"/>
      </w:rPr>
    </w:lvl>
    <w:lvl w:ilvl="6" w:tplc="140A0001" w:tentative="1">
      <w:start w:val="1"/>
      <w:numFmt w:val="bullet"/>
      <w:lvlText w:val=""/>
      <w:lvlJc w:val="left"/>
      <w:pPr>
        <w:ind w:left="5670" w:hanging="360"/>
      </w:pPr>
      <w:rPr>
        <w:rFonts w:ascii="Symbol" w:hAnsi="Symbol" w:hint="default"/>
      </w:rPr>
    </w:lvl>
    <w:lvl w:ilvl="7" w:tplc="140A0003" w:tentative="1">
      <w:start w:val="1"/>
      <w:numFmt w:val="bullet"/>
      <w:lvlText w:val="o"/>
      <w:lvlJc w:val="left"/>
      <w:pPr>
        <w:ind w:left="6390" w:hanging="360"/>
      </w:pPr>
      <w:rPr>
        <w:rFonts w:ascii="Courier New" w:hAnsi="Courier New" w:cs="Courier New" w:hint="default"/>
      </w:rPr>
    </w:lvl>
    <w:lvl w:ilvl="8" w:tplc="140A0005" w:tentative="1">
      <w:start w:val="1"/>
      <w:numFmt w:val="bullet"/>
      <w:lvlText w:val=""/>
      <w:lvlJc w:val="left"/>
      <w:pPr>
        <w:ind w:left="7110" w:hanging="360"/>
      </w:pPr>
      <w:rPr>
        <w:rFonts w:ascii="Wingdings" w:hAnsi="Wingdings" w:hint="default"/>
      </w:rPr>
    </w:lvl>
  </w:abstractNum>
  <w:abstractNum w:abstractNumId="2" w15:restartNumberingAfterBreak="0">
    <w:nsid w:val="173E621C"/>
    <w:multiLevelType w:val="hybridMultilevel"/>
    <w:tmpl w:val="7B421A54"/>
    <w:lvl w:ilvl="0" w:tplc="6D2487CA">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E67A5"/>
    <w:multiLevelType w:val="hybridMultilevel"/>
    <w:tmpl w:val="7EA859F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29C82A56"/>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5722755"/>
    <w:multiLevelType w:val="hybridMultilevel"/>
    <w:tmpl w:val="4254DFAC"/>
    <w:lvl w:ilvl="0" w:tplc="931E610A">
      <w:start w:val="1"/>
      <w:numFmt w:val="upperLetter"/>
      <w:lvlText w:val="%1."/>
      <w:lvlJc w:val="left"/>
      <w:pPr>
        <w:ind w:left="1350" w:hanging="360"/>
      </w:pPr>
      <w:rPr>
        <w:rFonts w:hint="default"/>
      </w:rPr>
    </w:lvl>
    <w:lvl w:ilvl="1" w:tplc="140A0019" w:tentative="1">
      <w:start w:val="1"/>
      <w:numFmt w:val="lowerLetter"/>
      <w:lvlText w:val="%2."/>
      <w:lvlJc w:val="left"/>
      <w:pPr>
        <w:ind w:left="2070" w:hanging="360"/>
      </w:pPr>
    </w:lvl>
    <w:lvl w:ilvl="2" w:tplc="140A001B" w:tentative="1">
      <w:start w:val="1"/>
      <w:numFmt w:val="lowerRoman"/>
      <w:lvlText w:val="%3."/>
      <w:lvlJc w:val="right"/>
      <w:pPr>
        <w:ind w:left="2790" w:hanging="180"/>
      </w:pPr>
    </w:lvl>
    <w:lvl w:ilvl="3" w:tplc="140A000F" w:tentative="1">
      <w:start w:val="1"/>
      <w:numFmt w:val="decimal"/>
      <w:lvlText w:val="%4."/>
      <w:lvlJc w:val="left"/>
      <w:pPr>
        <w:ind w:left="3510" w:hanging="360"/>
      </w:pPr>
    </w:lvl>
    <w:lvl w:ilvl="4" w:tplc="140A0019" w:tentative="1">
      <w:start w:val="1"/>
      <w:numFmt w:val="lowerLetter"/>
      <w:lvlText w:val="%5."/>
      <w:lvlJc w:val="left"/>
      <w:pPr>
        <w:ind w:left="4230" w:hanging="360"/>
      </w:pPr>
    </w:lvl>
    <w:lvl w:ilvl="5" w:tplc="140A001B" w:tentative="1">
      <w:start w:val="1"/>
      <w:numFmt w:val="lowerRoman"/>
      <w:lvlText w:val="%6."/>
      <w:lvlJc w:val="right"/>
      <w:pPr>
        <w:ind w:left="4950" w:hanging="180"/>
      </w:pPr>
    </w:lvl>
    <w:lvl w:ilvl="6" w:tplc="140A000F" w:tentative="1">
      <w:start w:val="1"/>
      <w:numFmt w:val="decimal"/>
      <w:lvlText w:val="%7."/>
      <w:lvlJc w:val="left"/>
      <w:pPr>
        <w:ind w:left="5670" w:hanging="360"/>
      </w:pPr>
    </w:lvl>
    <w:lvl w:ilvl="7" w:tplc="140A0019" w:tentative="1">
      <w:start w:val="1"/>
      <w:numFmt w:val="lowerLetter"/>
      <w:lvlText w:val="%8."/>
      <w:lvlJc w:val="left"/>
      <w:pPr>
        <w:ind w:left="6390" w:hanging="360"/>
      </w:pPr>
    </w:lvl>
    <w:lvl w:ilvl="8" w:tplc="140A001B" w:tentative="1">
      <w:start w:val="1"/>
      <w:numFmt w:val="lowerRoman"/>
      <w:lvlText w:val="%9."/>
      <w:lvlJc w:val="right"/>
      <w:pPr>
        <w:ind w:left="7110" w:hanging="180"/>
      </w:pPr>
    </w:lvl>
  </w:abstractNum>
  <w:abstractNum w:abstractNumId="6" w15:restartNumberingAfterBreak="0">
    <w:nsid w:val="3BD6499A"/>
    <w:multiLevelType w:val="hybridMultilevel"/>
    <w:tmpl w:val="CC7426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3F612FF4"/>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782135A"/>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E9FD7AD"/>
    <w:multiLevelType w:val="hybridMultilevel"/>
    <w:tmpl w:val="310D497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9A83026"/>
    <w:multiLevelType w:val="hybridMultilevel"/>
    <w:tmpl w:val="F45E5D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E922949"/>
    <w:multiLevelType w:val="hybridMultilevel"/>
    <w:tmpl w:val="12106EF6"/>
    <w:lvl w:ilvl="0" w:tplc="07A481E0">
      <w:start w:val="2"/>
      <w:numFmt w:val="bullet"/>
      <w:lvlText w:val="-"/>
      <w:lvlJc w:val="left"/>
      <w:pPr>
        <w:ind w:left="1211" w:hanging="360"/>
      </w:pPr>
      <w:rPr>
        <w:rFonts w:ascii="Verdana" w:eastAsia="Verdana" w:hAnsi="Verdana" w:cs="Verdana" w:hint="default"/>
      </w:rPr>
    </w:lvl>
    <w:lvl w:ilvl="1" w:tplc="140A0003" w:tentative="1">
      <w:start w:val="1"/>
      <w:numFmt w:val="bullet"/>
      <w:lvlText w:val="o"/>
      <w:lvlJc w:val="left"/>
      <w:pPr>
        <w:ind w:left="1931" w:hanging="360"/>
      </w:pPr>
      <w:rPr>
        <w:rFonts w:ascii="Courier New" w:hAnsi="Courier New" w:cs="Courier New" w:hint="default"/>
      </w:rPr>
    </w:lvl>
    <w:lvl w:ilvl="2" w:tplc="140A0005" w:tentative="1">
      <w:start w:val="1"/>
      <w:numFmt w:val="bullet"/>
      <w:lvlText w:val=""/>
      <w:lvlJc w:val="left"/>
      <w:pPr>
        <w:ind w:left="2651" w:hanging="360"/>
      </w:pPr>
      <w:rPr>
        <w:rFonts w:ascii="Wingdings" w:hAnsi="Wingdings" w:hint="default"/>
      </w:rPr>
    </w:lvl>
    <w:lvl w:ilvl="3" w:tplc="140A0001" w:tentative="1">
      <w:start w:val="1"/>
      <w:numFmt w:val="bullet"/>
      <w:lvlText w:val=""/>
      <w:lvlJc w:val="left"/>
      <w:pPr>
        <w:ind w:left="3371" w:hanging="360"/>
      </w:pPr>
      <w:rPr>
        <w:rFonts w:ascii="Symbol" w:hAnsi="Symbol" w:hint="default"/>
      </w:rPr>
    </w:lvl>
    <w:lvl w:ilvl="4" w:tplc="140A0003" w:tentative="1">
      <w:start w:val="1"/>
      <w:numFmt w:val="bullet"/>
      <w:lvlText w:val="o"/>
      <w:lvlJc w:val="left"/>
      <w:pPr>
        <w:ind w:left="4091" w:hanging="360"/>
      </w:pPr>
      <w:rPr>
        <w:rFonts w:ascii="Courier New" w:hAnsi="Courier New" w:cs="Courier New" w:hint="default"/>
      </w:rPr>
    </w:lvl>
    <w:lvl w:ilvl="5" w:tplc="140A0005" w:tentative="1">
      <w:start w:val="1"/>
      <w:numFmt w:val="bullet"/>
      <w:lvlText w:val=""/>
      <w:lvlJc w:val="left"/>
      <w:pPr>
        <w:ind w:left="4811" w:hanging="360"/>
      </w:pPr>
      <w:rPr>
        <w:rFonts w:ascii="Wingdings" w:hAnsi="Wingdings" w:hint="default"/>
      </w:rPr>
    </w:lvl>
    <w:lvl w:ilvl="6" w:tplc="140A0001" w:tentative="1">
      <w:start w:val="1"/>
      <w:numFmt w:val="bullet"/>
      <w:lvlText w:val=""/>
      <w:lvlJc w:val="left"/>
      <w:pPr>
        <w:ind w:left="5531" w:hanging="360"/>
      </w:pPr>
      <w:rPr>
        <w:rFonts w:ascii="Symbol" w:hAnsi="Symbol" w:hint="default"/>
      </w:rPr>
    </w:lvl>
    <w:lvl w:ilvl="7" w:tplc="140A0003" w:tentative="1">
      <w:start w:val="1"/>
      <w:numFmt w:val="bullet"/>
      <w:lvlText w:val="o"/>
      <w:lvlJc w:val="left"/>
      <w:pPr>
        <w:ind w:left="6251" w:hanging="360"/>
      </w:pPr>
      <w:rPr>
        <w:rFonts w:ascii="Courier New" w:hAnsi="Courier New" w:cs="Courier New" w:hint="default"/>
      </w:rPr>
    </w:lvl>
    <w:lvl w:ilvl="8" w:tplc="140A0005" w:tentative="1">
      <w:start w:val="1"/>
      <w:numFmt w:val="bullet"/>
      <w:lvlText w:val=""/>
      <w:lvlJc w:val="left"/>
      <w:pPr>
        <w:ind w:left="6971" w:hanging="360"/>
      </w:pPr>
      <w:rPr>
        <w:rFonts w:ascii="Wingdings" w:hAnsi="Wingdings" w:hint="default"/>
      </w:rPr>
    </w:lvl>
  </w:abstractNum>
  <w:abstractNum w:abstractNumId="12" w15:restartNumberingAfterBreak="0">
    <w:nsid w:val="74A65DC7"/>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0"/>
  </w:num>
  <w:num w:numId="2">
    <w:abstractNumId w:val="3"/>
  </w:num>
  <w:num w:numId="3">
    <w:abstractNumId w:val="6"/>
  </w:num>
  <w:num w:numId="4">
    <w:abstractNumId w:val="2"/>
  </w:num>
  <w:num w:numId="5">
    <w:abstractNumId w:val="8"/>
  </w:num>
  <w:num w:numId="6">
    <w:abstractNumId w:val="0"/>
  </w:num>
  <w:num w:numId="7">
    <w:abstractNumId w:val="9"/>
  </w:num>
  <w:num w:numId="8">
    <w:abstractNumId w:val="11"/>
  </w:num>
  <w:num w:numId="9">
    <w:abstractNumId w:val="5"/>
  </w:num>
  <w:num w:numId="10">
    <w:abstractNumId w:val="12"/>
  </w:num>
  <w:num w:numId="11">
    <w:abstractNumId w:val="4"/>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FC"/>
    <w:rsid w:val="000A47BB"/>
    <w:rsid w:val="000B0B74"/>
    <w:rsid w:val="000C4015"/>
    <w:rsid w:val="000E45B8"/>
    <w:rsid w:val="0011109D"/>
    <w:rsid w:val="0013026C"/>
    <w:rsid w:val="001535F7"/>
    <w:rsid w:val="001576D2"/>
    <w:rsid w:val="00164602"/>
    <w:rsid w:val="00184424"/>
    <w:rsid w:val="001A5C52"/>
    <w:rsid w:val="001F620C"/>
    <w:rsid w:val="002864BB"/>
    <w:rsid w:val="002A7C61"/>
    <w:rsid w:val="002B6199"/>
    <w:rsid w:val="002E2C33"/>
    <w:rsid w:val="00346D40"/>
    <w:rsid w:val="00351934"/>
    <w:rsid w:val="003754B9"/>
    <w:rsid w:val="0039014A"/>
    <w:rsid w:val="003F2F10"/>
    <w:rsid w:val="004325ED"/>
    <w:rsid w:val="00467A47"/>
    <w:rsid w:val="004C3132"/>
    <w:rsid w:val="004C706F"/>
    <w:rsid w:val="00512F12"/>
    <w:rsid w:val="00524687"/>
    <w:rsid w:val="00534225"/>
    <w:rsid w:val="0053665D"/>
    <w:rsid w:val="00560889"/>
    <w:rsid w:val="005A714B"/>
    <w:rsid w:val="00633777"/>
    <w:rsid w:val="0065648D"/>
    <w:rsid w:val="00671036"/>
    <w:rsid w:val="006A0F20"/>
    <w:rsid w:val="006A7516"/>
    <w:rsid w:val="006C5056"/>
    <w:rsid w:val="006F13BA"/>
    <w:rsid w:val="007133BA"/>
    <w:rsid w:val="007237F8"/>
    <w:rsid w:val="00737FCA"/>
    <w:rsid w:val="00772A88"/>
    <w:rsid w:val="007B7B11"/>
    <w:rsid w:val="008247AD"/>
    <w:rsid w:val="00834F03"/>
    <w:rsid w:val="00835B03"/>
    <w:rsid w:val="008559F1"/>
    <w:rsid w:val="008C1C62"/>
    <w:rsid w:val="008C618F"/>
    <w:rsid w:val="008D6875"/>
    <w:rsid w:val="009376EC"/>
    <w:rsid w:val="0093779B"/>
    <w:rsid w:val="00947A22"/>
    <w:rsid w:val="00991297"/>
    <w:rsid w:val="009B6EF5"/>
    <w:rsid w:val="009C1651"/>
    <w:rsid w:val="00A5158D"/>
    <w:rsid w:val="00A74424"/>
    <w:rsid w:val="00AB6E2F"/>
    <w:rsid w:val="00AD339C"/>
    <w:rsid w:val="00B1012D"/>
    <w:rsid w:val="00B1646C"/>
    <w:rsid w:val="00B260FD"/>
    <w:rsid w:val="00B2735E"/>
    <w:rsid w:val="00B54B53"/>
    <w:rsid w:val="00B83A35"/>
    <w:rsid w:val="00BA76C7"/>
    <w:rsid w:val="00BC1004"/>
    <w:rsid w:val="00BF5F53"/>
    <w:rsid w:val="00C133AA"/>
    <w:rsid w:val="00C26AFC"/>
    <w:rsid w:val="00C31755"/>
    <w:rsid w:val="00C352B2"/>
    <w:rsid w:val="00C802C6"/>
    <w:rsid w:val="00C9154F"/>
    <w:rsid w:val="00CC7B4E"/>
    <w:rsid w:val="00CD2E13"/>
    <w:rsid w:val="00D50CD2"/>
    <w:rsid w:val="00DB2DE3"/>
    <w:rsid w:val="00DD4588"/>
    <w:rsid w:val="00DE676B"/>
    <w:rsid w:val="00E11D50"/>
    <w:rsid w:val="00E23189"/>
    <w:rsid w:val="00E52B6E"/>
    <w:rsid w:val="00E679E1"/>
    <w:rsid w:val="00E80360"/>
    <w:rsid w:val="00EC599C"/>
    <w:rsid w:val="00ED5BC1"/>
    <w:rsid w:val="00F420AD"/>
    <w:rsid w:val="00F76A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09E9"/>
  <w15:chartTrackingRefBased/>
  <w15:docId w15:val="{FBDA9A51-5975-4AEE-8A25-9D4B4830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6AFC"/>
    <w:pPr>
      <w:ind w:left="720"/>
      <w:contextualSpacing/>
    </w:pPr>
  </w:style>
  <w:style w:type="paragraph" w:styleId="Textonotapie">
    <w:name w:val="footnote text"/>
    <w:aliases w:val="Footnote Text Char Char Char Char Char,Footnote Text Char Char Char Char,Footnote reference,FA Fu,Footnote Text Char Char Char,footnote text,Footnote Text Cha,FA Fußnotentext,FA Fuﬂnotentext,Footnote Text Char Char,Car"/>
    <w:basedOn w:val="Normal"/>
    <w:link w:val="TextonotapieCar"/>
    <w:unhideWhenUsed/>
    <w:qFormat/>
    <w:rsid w:val="006F13BA"/>
    <w:pPr>
      <w:spacing w:after="0"/>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ar1,Footnote Text Cha Car1,FA Fußnotentext Car1,Car Car"/>
    <w:basedOn w:val="Fuentedeprrafopredeter"/>
    <w:link w:val="Textonotapie"/>
    <w:rsid w:val="006F13BA"/>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6F13BA"/>
    <w:rPr>
      <w:vertAlign w:val="superscript"/>
    </w:rPr>
  </w:style>
  <w:style w:type="character" w:styleId="Textoennegrita">
    <w:name w:val="Strong"/>
    <w:uiPriority w:val="22"/>
    <w:qFormat/>
    <w:rsid w:val="006F13BA"/>
    <w:rPr>
      <w:b/>
      <w:bCs/>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uiPriority w:val="99"/>
    <w:qFormat/>
    <w:rsid w:val="00512F12"/>
    <w:rPr>
      <w:rFonts w:ascii="Times New Roman" w:eastAsia="Times New Roman" w:hAnsi="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12F12"/>
    <w:pPr>
      <w:spacing w:after="0"/>
      <w:jc w:val="both"/>
    </w:pPr>
    <w:rPr>
      <w:vertAlign w:val="superscript"/>
    </w:rPr>
  </w:style>
  <w:style w:type="character" w:styleId="Refdecomentario">
    <w:name w:val="annotation reference"/>
    <w:basedOn w:val="Fuentedeprrafopredeter"/>
    <w:uiPriority w:val="99"/>
    <w:semiHidden/>
    <w:unhideWhenUsed/>
    <w:rsid w:val="00467A47"/>
    <w:rPr>
      <w:sz w:val="16"/>
      <w:szCs w:val="16"/>
    </w:rPr>
  </w:style>
  <w:style w:type="paragraph" w:styleId="Textocomentario">
    <w:name w:val="annotation text"/>
    <w:basedOn w:val="Normal"/>
    <w:link w:val="TextocomentarioCar"/>
    <w:uiPriority w:val="99"/>
    <w:semiHidden/>
    <w:unhideWhenUsed/>
    <w:rsid w:val="00467A47"/>
    <w:rPr>
      <w:sz w:val="20"/>
      <w:szCs w:val="20"/>
    </w:rPr>
  </w:style>
  <w:style w:type="character" w:customStyle="1" w:styleId="TextocomentarioCar">
    <w:name w:val="Texto comentario Car"/>
    <w:basedOn w:val="Fuentedeprrafopredeter"/>
    <w:link w:val="Textocomentario"/>
    <w:uiPriority w:val="99"/>
    <w:semiHidden/>
    <w:rsid w:val="00467A47"/>
    <w:rPr>
      <w:sz w:val="20"/>
      <w:szCs w:val="20"/>
    </w:rPr>
  </w:style>
  <w:style w:type="paragraph" w:styleId="Asuntodelcomentario">
    <w:name w:val="annotation subject"/>
    <w:basedOn w:val="Textocomentario"/>
    <w:next w:val="Textocomentario"/>
    <w:link w:val="AsuntodelcomentarioCar"/>
    <w:uiPriority w:val="99"/>
    <w:semiHidden/>
    <w:unhideWhenUsed/>
    <w:rsid w:val="00467A47"/>
    <w:rPr>
      <w:b/>
      <w:bCs/>
    </w:rPr>
  </w:style>
  <w:style w:type="character" w:customStyle="1" w:styleId="AsuntodelcomentarioCar">
    <w:name w:val="Asunto del comentario Car"/>
    <w:basedOn w:val="TextocomentarioCar"/>
    <w:link w:val="Asuntodelcomentario"/>
    <w:uiPriority w:val="99"/>
    <w:semiHidden/>
    <w:rsid w:val="00467A47"/>
    <w:rPr>
      <w:b/>
      <w:bCs/>
      <w:sz w:val="20"/>
      <w:szCs w:val="20"/>
    </w:rPr>
  </w:style>
  <w:style w:type="paragraph" w:styleId="Textodeglobo">
    <w:name w:val="Balloon Text"/>
    <w:basedOn w:val="Normal"/>
    <w:link w:val="TextodegloboCar"/>
    <w:uiPriority w:val="99"/>
    <w:semiHidden/>
    <w:unhideWhenUsed/>
    <w:rsid w:val="00467A4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7A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A5619-D5AF-4230-B64A-BFFB7573B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2400</Words>
  <Characters>12722</Characters>
  <Application>Microsoft Office Word</Application>
  <DocSecurity>0</DocSecurity>
  <Lines>244</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2020-07-28T22:23:00Z</cp:lastPrinted>
  <dcterms:created xsi:type="dcterms:W3CDTF">2020-08-13T17:22:00Z</dcterms:created>
  <dcterms:modified xsi:type="dcterms:W3CDTF">2020-08-13T17:22:00Z</dcterms:modified>
</cp:coreProperties>
</file>