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7CF06" w14:textId="77777777" w:rsidR="005E32D6" w:rsidRPr="007A0CCC" w:rsidRDefault="005E32D6" w:rsidP="007A0CCC">
      <w:pPr>
        <w:tabs>
          <w:tab w:val="left" w:pos="720"/>
        </w:tabs>
        <w:jc w:val="both"/>
        <w:rPr>
          <w:rFonts w:ascii="Verdana" w:hAnsi="Verdana"/>
          <w:b/>
          <w:sz w:val="20"/>
          <w:szCs w:val="20"/>
          <w:lang w:val="es-ES"/>
        </w:rPr>
      </w:pPr>
    </w:p>
    <w:p w14:paraId="18BDEB01" w14:textId="77777777" w:rsidR="005E32D6" w:rsidRPr="007A0CCC" w:rsidRDefault="005E32D6" w:rsidP="007A0CCC">
      <w:pPr>
        <w:tabs>
          <w:tab w:val="left" w:pos="720"/>
        </w:tabs>
        <w:jc w:val="both"/>
        <w:rPr>
          <w:rFonts w:ascii="Verdana" w:hAnsi="Verdana"/>
          <w:b/>
          <w:sz w:val="20"/>
          <w:szCs w:val="20"/>
          <w:lang w:val="es-ES"/>
        </w:rPr>
      </w:pPr>
    </w:p>
    <w:p w14:paraId="48ED4653" w14:textId="77777777" w:rsidR="005E32D6" w:rsidRPr="007A0CCC" w:rsidRDefault="005E32D6" w:rsidP="007A0CCC">
      <w:pPr>
        <w:tabs>
          <w:tab w:val="left" w:pos="720"/>
        </w:tabs>
        <w:jc w:val="both"/>
        <w:rPr>
          <w:rFonts w:ascii="Verdana" w:hAnsi="Verdana"/>
          <w:b/>
          <w:sz w:val="20"/>
          <w:szCs w:val="20"/>
          <w:lang w:val="es-ES"/>
        </w:rPr>
      </w:pPr>
    </w:p>
    <w:p w14:paraId="51AFCA7F" w14:textId="77777777" w:rsidR="005E32D6" w:rsidRPr="007A0CCC" w:rsidRDefault="005E32D6" w:rsidP="007A0CCC">
      <w:pPr>
        <w:tabs>
          <w:tab w:val="left" w:pos="720"/>
        </w:tabs>
        <w:jc w:val="both"/>
        <w:rPr>
          <w:rFonts w:ascii="Verdana" w:hAnsi="Verdana"/>
          <w:b/>
          <w:sz w:val="20"/>
          <w:szCs w:val="20"/>
          <w:lang w:val="es-ES"/>
        </w:rPr>
      </w:pPr>
    </w:p>
    <w:p w14:paraId="5FF85D00" w14:textId="77777777" w:rsidR="005E32D6" w:rsidRPr="007A0CCC" w:rsidRDefault="005E32D6" w:rsidP="007A0CCC">
      <w:pPr>
        <w:tabs>
          <w:tab w:val="left" w:pos="720"/>
        </w:tabs>
        <w:jc w:val="both"/>
        <w:rPr>
          <w:rFonts w:ascii="Verdana" w:hAnsi="Verdana"/>
          <w:b/>
          <w:sz w:val="20"/>
          <w:szCs w:val="20"/>
          <w:lang w:val="es-ES"/>
        </w:rPr>
      </w:pPr>
    </w:p>
    <w:p w14:paraId="5614B44C" w14:textId="77777777" w:rsidR="005E32D6" w:rsidRPr="007A0CCC" w:rsidRDefault="005E32D6" w:rsidP="007A0CCC">
      <w:pPr>
        <w:tabs>
          <w:tab w:val="left" w:pos="720"/>
        </w:tabs>
        <w:jc w:val="both"/>
        <w:rPr>
          <w:rFonts w:ascii="Verdana" w:hAnsi="Verdana"/>
          <w:b/>
          <w:sz w:val="20"/>
          <w:szCs w:val="20"/>
          <w:lang w:val="es-ES"/>
        </w:rPr>
      </w:pPr>
    </w:p>
    <w:p w14:paraId="7355A5A4" w14:textId="77777777" w:rsidR="005E32D6" w:rsidRPr="007A0CCC" w:rsidRDefault="005E32D6" w:rsidP="007A0CCC">
      <w:pPr>
        <w:tabs>
          <w:tab w:val="left" w:pos="720"/>
        </w:tabs>
        <w:jc w:val="both"/>
        <w:rPr>
          <w:rFonts w:ascii="Verdana" w:hAnsi="Verdana"/>
          <w:b/>
          <w:sz w:val="20"/>
          <w:szCs w:val="20"/>
          <w:lang w:val="es-ES"/>
        </w:rPr>
      </w:pPr>
    </w:p>
    <w:p w14:paraId="37C08335" w14:textId="77777777" w:rsidR="005E32D6" w:rsidRPr="007A0CCC" w:rsidRDefault="005E32D6" w:rsidP="007A0CCC">
      <w:pPr>
        <w:tabs>
          <w:tab w:val="left" w:pos="720"/>
        </w:tabs>
        <w:jc w:val="center"/>
        <w:rPr>
          <w:rFonts w:ascii="Verdana" w:hAnsi="Verdana"/>
          <w:b/>
          <w:sz w:val="20"/>
          <w:szCs w:val="20"/>
          <w:lang w:val="es-ES"/>
        </w:rPr>
      </w:pPr>
      <w:r w:rsidRPr="007A0CCC">
        <w:rPr>
          <w:rFonts w:ascii="Verdana" w:hAnsi="Verdana"/>
          <w:b/>
          <w:sz w:val="20"/>
          <w:szCs w:val="20"/>
          <w:lang w:val="es-ES"/>
        </w:rPr>
        <w:t>RESOLUCIÓN DE LA</w:t>
      </w:r>
    </w:p>
    <w:p w14:paraId="6F766131" w14:textId="77777777" w:rsidR="005E32D6" w:rsidRPr="007A0CCC" w:rsidRDefault="005E32D6" w:rsidP="007A0CCC">
      <w:pPr>
        <w:tabs>
          <w:tab w:val="left" w:pos="720"/>
        </w:tabs>
        <w:jc w:val="center"/>
        <w:rPr>
          <w:rFonts w:ascii="Verdana" w:hAnsi="Verdana"/>
          <w:b/>
          <w:sz w:val="20"/>
          <w:szCs w:val="20"/>
          <w:lang w:val="es-ES"/>
        </w:rPr>
      </w:pPr>
      <w:r w:rsidRPr="007A0CCC">
        <w:rPr>
          <w:rFonts w:ascii="Verdana" w:hAnsi="Verdana"/>
          <w:b/>
          <w:sz w:val="20"/>
          <w:szCs w:val="20"/>
          <w:lang w:val="es-ES"/>
        </w:rPr>
        <w:t>CORTE INTERAMERICANA DE DERECHOS HUMANOS</w:t>
      </w:r>
      <w:r w:rsidRPr="007A0CCC">
        <w:rPr>
          <w:rStyle w:val="Refdenotaalpie"/>
          <w:b/>
          <w:sz w:val="20"/>
          <w:szCs w:val="20"/>
          <w:lang w:val="es-ES"/>
        </w:rPr>
        <w:footnoteReference w:customMarkFollows="1" w:id="1"/>
        <w:t>*</w:t>
      </w:r>
    </w:p>
    <w:p w14:paraId="2B7B85F2" w14:textId="2B43BB00" w:rsidR="005E32D6" w:rsidRDefault="005E32D6" w:rsidP="007A0CCC">
      <w:pPr>
        <w:tabs>
          <w:tab w:val="left" w:pos="720"/>
        </w:tabs>
        <w:jc w:val="center"/>
        <w:rPr>
          <w:rFonts w:ascii="Verdana" w:hAnsi="Verdana"/>
          <w:b/>
          <w:sz w:val="20"/>
          <w:szCs w:val="20"/>
          <w:lang w:val="es-ES"/>
        </w:rPr>
      </w:pPr>
    </w:p>
    <w:p w14:paraId="6069BAC0" w14:textId="77777777" w:rsidR="00944963" w:rsidRPr="007A0CCC" w:rsidRDefault="00944963" w:rsidP="007A0CCC">
      <w:pPr>
        <w:tabs>
          <w:tab w:val="left" w:pos="720"/>
        </w:tabs>
        <w:jc w:val="center"/>
        <w:rPr>
          <w:rFonts w:ascii="Verdana" w:hAnsi="Verdana"/>
          <w:b/>
          <w:sz w:val="20"/>
          <w:szCs w:val="20"/>
          <w:lang w:val="es-ES"/>
        </w:rPr>
      </w:pPr>
    </w:p>
    <w:p w14:paraId="3CCE532E" w14:textId="407E1E4A" w:rsidR="005E32D6" w:rsidRPr="007A0CCC" w:rsidRDefault="005E32D6" w:rsidP="007A0CCC">
      <w:pPr>
        <w:tabs>
          <w:tab w:val="left" w:pos="720"/>
        </w:tabs>
        <w:jc w:val="center"/>
        <w:rPr>
          <w:rFonts w:ascii="Verdana" w:hAnsi="Verdana"/>
          <w:b/>
          <w:sz w:val="20"/>
          <w:szCs w:val="20"/>
          <w:lang w:val="es-ES"/>
        </w:rPr>
      </w:pPr>
      <w:r w:rsidRPr="007A0CCC">
        <w:rPr>
          <w:rFonts w:ascii="Verdana" w:hAnsi="Verdana"/>
          <w:b/>
          <w:sz w:val="20"/>
          <w:szCs w:val="20"/>
          <w:lang w:val="es-ES"/>
        </w:rPr>
        <w:t xml:space="preserve">DE </w:t>
      </w:r>
      <w:r w:rsidR="002E6D6B">
        <w:rPr>
          <w:rFonts w:ascii="Verdana" w:hAnsi="Verdana"/>
          <w:b/>
          <w:sz w:val="20"/>
          <w:szCs w:val="20"/>
          <w:lang w:val="es-ES"/>
        </w:rPr>
        <w:t>3</w:t>
      </w:r>
      <w:r w:rsidRPr="007A0CCC">
        <w:rPr>
          <w:rFonts w:ascii="Verdana" w:hAnsi="Verdana"/>
          <w:b/>
          <w:sz w:val="20"/>
          <w:szCs w:val="20"/>
          <w:lang w:val="es-ES"/>
        </w:rPr>
        <w:t xml:space="preserve"> DE </w:t>
      </w:r>
      <w:r w:rsidR="003B17C0">
        <w:rPr>
          <w:rFonts w:ascii="Verdana" w:hAnsi="Verdana"/>
          <w:b/>
          <w:sz w:val="20"/>
          <w:szCs w:val="20"/>
          <w:lang w:val="es-ES"/>
        </w:rPr>
        <w:t>SEPTIEMBRE DE</w:t>
      </w:r>
      <w:r w:rsidRPr="007A0CCC">
        <w:rPr>
          <w:rFonts w:ascii="Verdana" w:hAnsi="Verdana"/>
          <w:b/>
          <w:sz w:val="20"/>
          <w:szCs w:val="20"/>
          <w:lang w:val="es-ES"/>
        </w:rPr>
        <w:t xml:space="preserve"> 2020</w:t>
      </w:r>
    </w:p>
    <w:p w14:paraId="5259E360" w14:textId="5B85888B" w:rsidR="005E32D6" w:rsidRDefault="005E32D6" w:rsidP="007A0CCC">
      <w:pPr>
        <w:tabs>
          <w:tab w:val="left" w:pos="720"/>
        </w:tabs>
        <w:jc w:val="center"/>
        <w:rPr>
          <w:rFonts w:ascii="Verdana" w:hAnsi="Verdana"/>
          <w:b/>
          <w:sz w:val="20"/>
          <w:szCs w:val="20"/>
          <w:lang w:val="es-ES"/>
        </w:rPr>
      </w:pPr>
    </w:p>
    <w:p w14:paraId="2CD41609" w14:textId="77777777" w:rsidR="00944963" w:rsidRPr="007A0CCC" w:rsidRDefault="00944963" w:rsidP="007A0CCC">
      <w:pPr>
        <w:tabs>
          <w:tab w:val="left" w:pos="720"/>
        </w:tabs>
        <w:jc w:val="center"/>
        <w:rPr>
          <w:rFonts w:ascii="Verdana" w:hAnsi="Verdana"/>
          <w:b/>
          <w:sz w:val="20"/>
          <w:szCs w:val="20"/>
          <w:lang w:val="es-ES"/>
        </w:rPr>
      </w:pPr>
    </w:p>
    <w:p w14:paraId="5D74C7A5" w14:textId="2D1DCA35" w:rsidR="005E32D6" w:rsidRDefault="005E32D6" w:rsidP="007A0CCC">
      <w:pPr>
        <w:jc w:val="center"/>
        <w:rPr>
          <w:rFonts w:ascii="Verdana" w:hAnsi="Verdana"/>
          <w:b/>
          <w:sz w:val="20"/>
          <w:szCs w:val="20"/>
          <w:lang w:val="es-ES"/>
        </w:rPr>
      </w:pPr>
      <w:r w:rsidRPr="007A0CCC">
        <w:rPr>
          <w:rFonts w:ascii="Verdana" w:hAnsi="Verdana"/>
          <w:b/>
          <w:sz w:val="20"/>
          <w:szCs w:val="20"/>
          <w:lang w:val="es-ES"/>
        </w:rPr>
        <w:t>SOLICITUD DE MEDIDAS PROVISIONALES</w:t>
      </w:r>
      <w:r w:rsidR="00017020">
        <w:rPr>
          <w:rFonts w:ascii="Verdana" w:hAnsi="Verdana"/>
          <w:b/>
          <w:sz w:val="20"/>
          <w:szCs w:val="20"/>
          <w:lang w:val="es-ES"/>
        </w:rPr>
        <w:t xml:space="preserve"> Y</w:t>
      </w:r>
    </w:p>
    <w:p w14:paraId="6AE32A18" w14:textId="64F1C7E6" w:rsidR="00017020" w:rsidRPr="007A0CCC" w:rsidRDefault="00017020" w:rsidP="007A0CCC">
      <w:pPr>
        <w:jc w:val="center"/>
        <w:rPr>
          <w:rFonts w:ascii="Verdana" w:hAnsi="Verdana"/>
          <w:b/>
          <w:sz w:val="20"/>
          <w:szCs w:val="20"/>
          <w:lang w:val="es-ES"/>
        </w:rPr>
      </w:pPr>
      <w:r>
        <w:rPr>
          <w:rFonts w:ascii="Verdana" w:hAnsi="Verdana"/>
          <w:b/>
          <w:sz w:val="20"/>
          <w:szCs w:val="20"/>
          <w:lang w:val="es-ES"/>
        </w:rPr>
        <w:t>SUPERVISIÓN DE CUMPLIMIENTO DE SENTENCIA</w:t>
      </w:r>
    </w:p>
    <w:p w14:paraId="1CD6C97A" w14:textId="77777777" w:rsidR="005E32D6" w:rsidRPr="007A0CCC" w:rsidRDefault="005E32D6" w:rsidP="007A0CCC">
      <w:pPr>
        <w:tabs>
          <w:tab w:val="left" w:pos="720"/>
        </w:tabs>
        <w:jc w:val="center"/>
        <w:rPr>
          <w:rFonts w:ascii="Verdana" w:hAnsi="Verdana"/>
          <w:b/>
          <w:sz w:val="20"/>
          <w:szCs w:val="20"/>
          <w:u w:val="single"/>
          <w:lang w:val="es-ES"/>
        </w:rPr>
      </w:pPr>
    </w:p>
    <w:p w14:paraId="76FC0C1B" w14:textId="77777777" w:rsidR="005E32D6" w:rsidRPr="007A0CCC" w:rsidRDefault="005E32D6" w:rsidP="007A0CCC">
      <w:pPr>
        <w:tabs>
          <w:tab w:val="left" w:pos="720"/>
        </w:tabs>
        <w:jc w:val="both"/>
        <w:rPr>
          <w:rFonts w:ascii="Verdana" w:hAnsi="Verdana"/>
          <w:b/>
          <w:sz w:val="20"/>
          <w:szCs w:val="20"/>
          <w:lang w:val="es-ES"/>
        </w:rPr>
      </w:pPr>
    </w:p>
    <w:p w14:paraId="3E697041" w14:textId="77777777" w:rsidR="005E32D6" w:rsidRPr="007A0CCC" w:rsidRDefault="005E32D6" w:rsidP="007A0CCC">
      <w:pPr>
        <w:tabs>
          <w:tab w:val="left" w:pos="720"/>
        </w:tabs>
        <w:jc w:val="center"/>
        <w:rPr>
          <w:rFonts w:ascii="Verdana" w:hAnsi="Verdana"/>
          <w:b/>
          <w:sz w:val="20"/>
          <w:szCs w:val="20"/>
          <w:lang w:val="es-AR"/>
        </w:rPr>
      </w:pPr>
      <w:r w:rsidRPr="007A0CCC">
        <w:rPr>
          <w:rFonts w:ascii="Verdana" w:hAnsi="Verdana"/>
          <w:b/>
          <w:i/>
          <w:sz w:val="20"/>
          <w:szCs w:val="20"/>
          <w:lang w:val="es-AR"/>
        </w:rPr>
        <w:t>CASO GALINDO CÁRDENAS Y OTROS VS. PERÚ</w:t>
      </w:r>
    </w:p>
    <w:p w14:paraId="6E043E9C" w14:textId="0544E28D" w:rsidR="005E32D6" w:rsidRDefault="005E32D6" w:rsidP="007A0CCC">
      <w:pPr>
        <w:jc w:val="both"/>
        <w:rPr>
          <w:rFonts w:ascii="Verdana" w:hAnsi="Verdana"/>
          <w:sz w:val="20"/>
          <w:szCs w:val="20"/>
        </w:rPr>
      </w:pPr>
    </w:p>
    <w:p w14:paraId="3EB3F871" w14:textId="77777777" w:rsidR="00944963" w:rsidRPr="007A0CCC" w:rsidRDefault="00944963" w:rsidP="007A0CCC">
      <w:pPr>
        <w:jc w:val="both"/>
        <w:rPr>
          <w:rFonts w:ascii="Verdana" w:hAnsi="Verdana"/>
          <w:sz w:val="20"/>
          <w:szCs w:val="20"/>
        </w:rPr>
      </w:pPr>
    </w:p>
    <w:p w14:paraId="33E2CE13" w14:textId="77777777" w:rsidR="005E32D6" w:rsidRPr="007A0CCC" w:rsidRDefault="005E32D6" w:rsidP="007A0CCC">
      <w:pPr>
        <w:jc w:val="both"/>
        <w:rPr>
          <w:rFonts w:ascii="Verdana" w:hAnsi="Verdana"/>
          <w:b/>
          <w:smallCaps/>
          <w:sz w:val="20"/>
          <w:szCs w:val="20"/>
          <w:lang w:val="es-ES"/>
        </w:rPr>
      </w:pPr>
      <w:r w:rsidRPr="007A0CCC">
        <w:rPr>
          <w:rFonts w:ascii="Verdana" w:hAnsi="Verdana"/>
          <w:b/>
          <w:caps/>
          <w:sz w:val="20"/>
          <w:szCs w:val="20"/>
          <w:lang w:val="es-ES"/>
        </w:rPr>
        <w:t>Visto</w:t>
      </w:r>
      <w:r w:rsidRPr="007A0CCC">
        <w:rPr>
          <w:rFonts w:ascii="Verdana" w:hAnsi="Verdana"/>
          <w:b/>
          <w:smallCaps/>
          <w:sz w:val="20"/>
          <w:szCs w:val="20"/>
          <w:lang w:val="es-ES"/>
        </w:rPr>
        <w:t xml:space="preserve">: </w:t>
      </w:r>
    </w:p>
    <w:p w14:paraId="1F087BDB" w14:textId="77777777" w:rsidR="005E32D6" w:rsidRPr="007A0CCC" w:rsidRDefault="005E32D6" w:rsidP="007A0CCC">
      <w:pPr>
        <w:jc w:val="both"/>
        <w:rPr>
          <w:rFonts w:ascii="Verdana" w:hAnsi="Verdana"/>
          <w:b/>
          <w:smallCaps/>
          <w:sz w:val="20"/>
          <w:szCs w:val="20"/>
          <w:lang w:val="es-ES"/>
        </w:rPr>
      </w:pPr>
    </w:p>
    <w:p w14:paraId="238448F1" w14:textId="48C9BB81" w:rsidR="00B008AA" w:rsidRPr="002E642C" w:rsidRDefault="005E32D6" w:rsidP="00236647">
      <w:pPr>
        <w:pStyle w:val="Prrafodelista"/>
        <w:numPr>
          <w:ilvl w:val="0"/>
          <w:numId w:val="1"/>
        </w:numPr>
        <w:ind w:left="0" w:firstLine="0"/>
        <w:jc w:val="both"/>
        <w:rPr>
          <w:rFonts w:ascii="Verdana" w:hAnsi="Verdana"/>
          <w:color w:val="385623" w:themeColor="accent6" w:themeShade="80"/>
          <w:sz w:val="20"/>
          <w:szCs w:val="20"/>
        </w:rPr>
      </w:pPr>
      <w:r w:rsidRPr="003950C5">
        <w:rPr>
          <w:rFonts w:ascii="Verdana" w:hAnsi="Verdana"/>
          <w:sz w:val="20"/>
          <w:szCs w:val="20"/>
        </w:rPr>
        <w:t xml:space="preserve">La Sentencia </w:t>
      </w:r>
      <w:r w:rsidR="00E6464C" w:rsidRPr="003950C5">
        <w:rPr>
          <w:rFonts w:ascii="Verdana" w:hAnsi="Verdana"/>
          <w:sz w:val="20"/>
          <w:szCs w:val="20"/>
        </w:rPr>
        <w:t>sobre excepciones preliminares, fondo, reparaciones y costas (en adelante, “la Sentencia”) emitida en el presente caso por la Corte Interamericana de Derechos Humanos (en adelante también “la Corte” o “e</w:t>
      </w:r>
      <w:r w:rsidR="00A25A3D">
        <w:rPr>
          <w:rFonts w:ascii="Verdana" w:hAnsi="Verdana"/>
          <w:sz w:val="20"/>
          <w:szCs w:val="20"/>
        </w:rPr>
        <w:t>l</w:t>
      </w:r>
      <w:r w:rsidR="00E6464C" w:rsidRPr="003950C5">
        <w:rPr>
          <w:rFonts w:ascii="Verdana" w:hAnsi="Verdana"/>
          <w:sz w:val="20"/>
          <w:szCs w:val="20"/>
        </w:rPr>
        <w:t xml:space="preserve"> Tribunal”) el</w:t>
      </w:r>
      <w:r w:rsidRPr="003950C5">
        <w:rPr>
          <w:rFonts w:ascii="Verdana" w:hAnsi="Verdana"/>
          <w:sz w:val="20"/>
          <w:szCs w:val="20"/>
        </w:rPr>
        <w:t xml:space="preserve"> 2 de octubre de 2015</w:t>
      </w:r>
      <w:r w:rsidR="00AE24E6">
        <w:rPr>
          <w:rStyle w:val="Refdenotaalpie"/>
          <w:szCs w:val="20"/>
        </w:rPr>
        <w:footnoteReference w:id="2"/>
      </w:r>
      <w:r w:rsidR="00E6464C" w:rsidRPr="003950C5">
        <w:rPr>
          <w:rFonts w:ascii="Verdana" w:hAnsi="Verdana"/>
          <w:sz w:val="20"/>
          <w:szCs w:val="20"/>
        </w:rPr>
        <w:t>.</w:t>
      </w:r>
      <w:r w:rsidR="00AE24E6" w:rsidRPr="003950C5">
        <w:rPr>
          <w:rFonts w:ascii="Verdana" w:hAnsi="Verdana"/>
          <w:sz w:val="20"/>
          <w:szCs w:val="20"/>
        </w:rPr>
        <w:t xml:space="preserve"> </w:t>
      </w:r>
      <w:r w:rsidR="007164FE" w:rsidRPr="003950C5">
        <w:rPr>
          <w:rFonts w:ascii="Verdana" w:hAnsi="Verdana"/>
          <w:sz w:val="20"/>
          <w:szCs w:val="20"/>
        </w:rPr>
        <w:t>La Corte determinó que la República de</w:t>
      </w:r>
      <w:r w:rsidR="00A25A3D">
        <w:rPr>
          <w:rFonts w:ascii="Verdana" w:hAnsi="Verdana"/>
          <w:sz w:val="20"/>
          <w:szCs w:val="20"/>
        </w:rPr>
        <w:t>l</w:t>
      </w:r>
      <w:r w:rsidR="007164FE" w:rsidRPr="003950C5">
        <w:rPr>
          <w:rFonts w:ascii="Verdana" w:hAnsi="Verdana"/>
          <w:sz w:val="20"/>
          <w:szCs w:val="20"/>
        </w:rPr>
        <w:t xml:space="preserve"> Perú</w:t>
      </w:r>
      <w:r w:rsidR="00E6464C" w:rsidRPr="003950C5">
        <w:rPr>
          <w:rFonts w:ascii="Verdana" w:hAnsi="Verdana"/>
          <w:sz w:val="20"/>
          <w:szCs w:val="20"/>
        </w:rPr>
        <w:t xml:space="preserve"> (“el Estado” o “el Perú”)</w:t>
      </w:r>
      <w:r w:rsidR="007164FE" w:rsidRPr="003950C5">
        <w:rPr>
          <w:rFonts w:ascii="Verdana" w:hAnsi="Verdana"/>
          <w:sz w:val="20"/>
          <w:szCs w:val="20"/>
        </w:rPr>
        <w:t xml:space="preserve"> era internacionalmente responsable por la violación al derecho a la libertad personal y a las garantías judiciales en perjuicio del señor </w:t>
      </w:r>
      <w:r w:rsidR="00120200" w:rsidRPr="003950C5">
        <w:rPr>
          <w:rFonts w:ascii="Verdana" w:hAnsi="Verdana"/>
          <w:sz w:val="20"/>
          <w:szCs w:val="20"/>
        </w:rPr>
        <w:t>Luis Antonio Galindo Cárdenas (en adelante también “el señor Galindo Cárdenas” o “la víctima”)</w:t>
      </w:r>
      <w:r w:rsidR="007164FE" w:rsidRPr="003950C5">
        <w:rPr>
          <w:rFonts w:ascii="Verdana" w:hAnsi="Verdana"/>
          <w:sz w:val="20"/>
          <w:szCs w:val="20"/>
        </w:rPr>
        <w:t xml:space="preserve">, </w:t>
      </w:r>
      <w:r w:rsidR="007164FE" w:rsidRPr="00BC45CF">
        <w:rPr>
          <w:rFonts w:ascii="Verdana" w:hAnsi="Verdana"/>
          <w:sz w:val="20"/>
          <w:szCs w:val="20"/>
        </w:rPr>
        <w:t xml:space="preserve">quien se desempeñaba como Vocal Provisional de la Corte Superior de Justicia de Huánuco en octubre de 1994 cuando fue privado de libertad en el cuartel militar de Yanac y fue sometido a un procedimiento en aplicación de la Ley de Arrepentimiento. La Corte determinó que el señor Galindo </w:t>
      </w:r>
      <w:r w:rsidR="00654F41" w:rsidRPr="00BC45CF">
        <w:rPr>
          <w:rFonts w:ascii="Verdana" w:hAnsi="Verdana"/>
          <w:sz w:val="20"/>
          <w:szCs w:val="20"/>
        </w:rPr>
        <w:t xml:space="preserve">Cárdenas </w:t>
      </w:r>
      <w:r w:rsidR="007164FE" w:rsidRPr="00BC45CF">
        <w:rPr>
          <w:rFonts w:ascii="Verdana" w:hAnsi="Verdana"/>
          <w:sz w:val="20"/>
          <w:szCs w:val="20"/>
        </w:rPr>
        <w:t xml:space="preserve">fue detenido sin motivación suficiente; no fue informado de las razones de su detención, lo que menoscabó su derecho de defensa; no fue llevado ante una autoridad que ejerciera funciones judiciales; su privación de libertad no fue registrada; la misma se prolongó algunos días pese que ya había concluido el procedimiento respectivo, y no tuvo posibilidad de presentar una acción efectiva para que un juez o tribunal decidera sin demora sobre su detención y pudiera ordenar su libertad. </w:t>
      </w:r>
      <w:r w:rsidR="00952F85" w:rsidRPr="00BC45CF">
        <w:rPr>
          <w:rFonts w:ascii="Verdana" w:hAnsi="Verdana"/>
          <w:sz w:val="20"/>
          <w:szCs w:val="20"/>
        </w:rPr>
        <w:t>El</w:t>
      </w:r>
      <w:r w:rsidR="007164FE" w:rsidRPr="00BC45CF">
        <w:rPr>
          <w:rFonts w:ascii="Verdana" w:hAnsi="Verdana"/>
          <w:sz w:val="20"/>
          <w:szCs w:val="20"/>
        </w:rPr>
        <w:t xml:space="preserve"> Tribunal declaró que </w:t>
      </w:r>
      <w:r w:rsidR="00E6464C" w:rsidRPr="00BC45CF">
        <w:rPr>
          <w:rFonts w:ascii="Verdana" w:hAnsi="Verdana"/>
          <w:sz w:val="20"/>
          <w:szCs w:val="20"/>
        </w:rPr>
        <w:t xml:space="preserve">el </w:t>
      </w:r>
      <w:r w:rsidR="007164FE" w:rsidRPr="00BC45CF">
        <w:rPr>
          <w:rFonts w:ascii="Verdana" w:hAnsi="Verdana"/>
          <w:sz w:val="20"/>
          <w:szCs w:val="20"/>
        </w:rPr>
        <w:t>Perú violó los derechos a las garantías judiciales y protección judicial por la omisión del Estado de iniciar en forma inmediata una investigación sobre los alegados hechos de “tortura psicológica”</w:t>
      </w:r>
      <w:r w:rsidR="003950C5" w:rsidRPr="00BC45CF">
        <w:rPr>
          <w:rFonts w:ascii="Verdana" w:hAnsi="Verdana"/>
          <w:sz w:val="20"/>
          <w:szCs w:val="20"/>
        </w:rPr>
        <w:t xml:space="preserve"> </w:t>
      </w:r>
      <w:r w:rsidR="007164FE" w:rsidRPr="00BC45CF">
        <w:rPr>
          <w:rFonts w:ascii="Verdana" w:hAnsi="Verdana"/>
          <w:sz w:val="20"/>
          <w:szCs w:val="20"/>
        </w:rPr>
        <w:t>presuntamente cometidos en perjuicio del señor Galindo durante su detención.</w:t>
      </w:r>
      <w:r w:rsidR="00952F85" w:rsidRPr="00BC45CF">
        <w:rPr>
          <w:rFonts w:ascii="Verdana" w:hAnsi="Verdana"/>
          <w:sz w:val="20"/>
          <w:szCs w:val="20"/>
        </w:rPr>
        <w:t xml:space="preserve"> Además, el Tribunal determinó que el Estado es responsable por la violación del derecho a la integridad personal en perjuicio del señor Galindo Cárdenas, su esposa Irma Díaz de Galindo y su hijo, Luis Idelso Galindo Díaz. </w:t>
      </w:r>
      <w:r w:rsidR="00E6464C" w:rsidRPr="00BC45CF">
        <w:rPr>
          <w:rFonts w:ascii="Verdana" w:hAnsi="Verdana"/>
          <w:sz w:val="20"/>
          <w:szCs w:val="20"/>
        </w:rPr>
        <w:t xml:space="preserve">La Corte estableció que su Sentencia constituye por sí misma una forma de reparación y, adicionalmente, ordenó determinadas medidas de reparación, entre ellas </w:t>
      </w:r>
      <w:r w:rsidR="004A6436" w:rsidRPr="00BC45CF">
        <w:rPr>
          <w:rFonts w:ascii="Verdana" w:hAnsi="Verdana"/>
          <w:sz w:val="20"/>
          <w:szCs w:val="20"/>
        </w:rPr>
        <w:t xml:space="preserve">la obligación de investigar y </w:t>
      </w:r>
      <w:r w:rsidR="004A6436" w:rsidRPr="00BC45CF">
        <w:rPr>
          <w:rFonts w:ascii="Verdana" w:hAnsi="Verdana"/>
          <w:sz w:val="20"/>
          <w:szCs w:val="20"/>
        </w:rPr>
        <w:lastRenderedPageBreak/>
        <w:t>realizar el pago de una indemnización compensatoria al señor Galindo (</w:t>
      </w:r>
      <w:r w:rsidR="004A6436" w:rsidRPr="00BC45CF">
        <w:rPr>
          <w:rFonts w:ascii="Verdana" w:hAnsi="Verdana"/>
          <w:i/>
          <w:sz w:val="20"/>
          <w:szCs w:val="20"/>
        </w:rPr>
        <w:t>infra</w:t>
      </w:r>
      <w:r w:rsidR="004A6436" w:rsidRPr="00BC45CF">
        <w:rPr>
          <w:rFonts w:ascii="Verdana" w:hAnsi="Verdana"/>
          <w:sz w:val="20"/>
          <w:szCs w:val="20"/>
        </w:rPr>
        <w:t xml:space="preserve"> Considerandos </w:t>
      </w:r>
      <w:r w:rsidR="00236647" w:rsidRPr="00BC45CF">
        <w:rPr>
          <w:rFonts w:ascii="Verdana" w:hAnsi="Verdana"/>
          <w:sz w:val="20"/>
          <w:szCs w:val="20"/>
        </w:rPr>
        <w:t>11 y 14</w:t>
      </w:r>
      <w:r w:rsidR="004A6436" w:rsidRPr="00BC45CF">
        <w:rPr>
          <w:rFonts w:ascii="Verdana" w:hAnsi="Verdana"/>
          <w:sz w:val="20"/>
          <w:szCs w:val="20"/>
        </w:rPr>
        <w:t>)</w:t>
      </w:r>
      <w:r w:rsidR="0067185C" w:rsidRPr="00BC45CF">
        <w:rPr>
          <w:rFonts w:ascii="Verdana" w:hAnsi="Verdana"/>
          <w:sz w:val="20"/>
          <w:szCs w:val="20"/>
        </w:rPr>
        <w:t>.</w:t>
      </w:r>
      <w:r w:rsidR="004A6436" w:rsidRPr="00BC45CF">
        <w:rPr>
          <w:rFonts w:ascii="Verdana" w:hAnsi="Verdana"/>
          <w:sz w:val="20"/>
          <w:szCs w:val="20"/>
        </w:rPr>
        <w:t xml:space="preserve"> </w:t>
      </w:r>
    </w:p>
    <w:p w14:paraId="051E7023" w14:textId="77777777" w:rsidR="002E642C" w:rsidRPr="002E642C" w:rsidRDefault="002E642C" w:rsidP="002E642C">
      <w:pPr>
        <w:spacing w:after="120"/>
        <w:jc w:val="both"/>
        <w:rPr>
          <w:rFonts w:ascii="Verdana" w:hAnsi="Verdana"/>
          <w:sz w:val="20"/>
          <w:szCs w:val="20"/>
        </w:rPr>
      </w:pPr>
    </w:p>
    <w:p w14:paraId="7F4CA92B" w14:textId="77777777" w:rsidR="00D15F66" w:rsidRPr="002E642C" w:rsidRDefault="00D15F66" w:rsidP="00D15F66">
      <w:pPr>
        <w:pStyle w:val="Prrafodelista"/>
        <w:numPr>
          <w:ilvl w:val="0"/>
          <w:numId w:val="1"/>
        </w:numPr>
        <w:spacing w:before="120" w:after="120"/>
        <w:ind w:left="0" w:firstLine="0"/>
        <w:contextualSpacing w:val="0"/>
        <w:jc w:val="both"/>
        <w:rPr>
          <w:rFonts w:ascii="Verdana" w:hAnsi="Verdana"/>
          <w:color w:val="000000"/>
          <w:sz w:val="20"/>
          <w:szCs w:val="20"/>
          <w:shd w:val="clear" w:color="auto" w:fill="FFFFFF"/>
          <w:lang w:val="es-CR"/>
        </w:rPr>
      </w:pPr>
      <w:r w:rsidRPr="002E6D6B">
        <w:rPr>
          <w:rFonts w:ascii="Verdana" w:hAnsi="Verdana"/>
          <w:sz w:val="20"/>
          <w:szCs w:val="20"/>
          <w:lang w:val="es-CR"/>
        </w:rPr>
        <w:t>La Sentencia de Interpretación de la Sentencia, emitida por la Corte el 21 de noviembre de 2016</w:t>
      </w:r>
      <w:r w:rsidRPr="002E6D6B">
        <w:rPr>
          <w:rStyle w:val="Refdenotaalpie"/>
          <w:sz w:val="20"/>
          <w:szCs w:val="20"/>
          <w:lang w:val="es-CR"/>
        </w:rPr>
        <w:footnoteReference w:id="3"/>
      </w:r>
      <w:r w:rsidRPr="002E6D6B">
        <w:rPr>
          <w:rFonts w:ascii="Verdana" w:hAnsi="Verdana"/>
          <w:sz w:val="20"/>
          <w:szCs w:val="20"/>
          <w:lang w:val="es-CR"/>
        </w:rPr>
        <w:t>.</w:t>
      </w:r>
    </w:p>
    <w:p w14:paraId="2CA33655" w14:textId="77777777" w:rsidR="002E642C" w:rsidRPr="002E642C" w:rsidRDefault="002E642C" w:rsidP="002E642C">
      <w:pPr>
        <w:spacing w:after="120"/>
        <w:jc w:val="both"/>
        <w:rPr>
          <w:rFonts w:ascii="Verdana" w:hAnsi="Verdana"/>
          <w:sz w:val="20"/>
          <w:szCs w:val="20"/>
        </w:rPr>
      </w:pPr>
    </w:p>
    <w:p w14:paraId="418A01B9" w14:textId="6D1B2BBB" w:rsidR="00D15F66" w:rsidRPr="00D65F13" w:rsidRDefault="00D15F66" w:rsidP="00D15F66">
      <w:pPr>
        <w:pStyle w:val="Prrafodelista"/>
        <w:numPr>
          <w:ilvl w:val="0"/>
          <w:numId w:val="1"/>
        </w:numPr>
        <w:ind w:left="0" w:firstLine="0"/>
        <w:jc w:val="both"/>
        <w:rPr>
          <w:rFonts w:ascii="Verdana" w:hAnsi="Verdana"/>
          <w:sz w:val="20"/>
          <w:szCs w:val="20"/>
        </w:rPr>
      </w:pPr>
      <w:r w:rsidRPr="00D65F13">
        <w:rPr>
          <w:rFonts w:ascii="Verdana" w:hAnsi="Verdana"/>
          <w:sz w:val="20"/>
          <w:szCs w:val="20"/>
        </w:rPr>
        <w:t>Los escritos presentados por el Estado entre diciembre de 2016 y julio de 2020</w:t>
      </w:r>
      <w:r w:rsidR="000402B9">
        <w:rPr>
          <w:rStyle w:val="Refdenotaalpie"/>
          <w:szCs w:val="20"/>
        </w:rPr>
        <w:footnoteReference w:id="4"/>
      </w:r>
      <w:r w:rsidRPr="00D65F13">
        <w:rPr>
          <w:rFonts w:ascii="Verdana" w:hAnsi="Verdana"/>
          <w:sz w:val="20"/>
          <w:szCs w:val="20"/>
        </w:rPr>
        <w:t xml:space="preserve">, y sus anexos, mediante los cuales </w:t>
      </w:r>
      <w:r w:rsidR="004A6436" w:rsidRPr="00D65F13">
        <w:rPr>
          <w:rFonts w:ascii="Verdana" w:hAnsi="Verdana"/>
          <w:sz w:val="20"/>
          <w:szCs w:val="20"/>
        </w:rPr>
        <w:t>informó</w:t>
      </w:r>
      <w:r w:rsidR="00AE1D5B" w:rsidRPr="00D65F13">
        <w:rPr>
          <w:rFonts w:ascii="Verdana" w:hAnsi="Verdana"/>
          <w:sz w:val="20"/>
          <w:szCs w:val="20"/>
        </w:rPr>
        <w:t xml:space="preserve"> </w:t>
      </w:r>
      <w:r w:rsidRPr="00D65F13">
        <w:rPr>
          <w:rFonts w:ascii="Verdana" w:hAnsi="Verdana"/>
          <w:sz w:val="20"/>
          <w:szCs w:val="20"/>
        </w:rPr>
        <w:t xml:space="preserve">sobre el cumplimiento de la Sentencia. </w:t>
      </w:r>
    </w:p>
    <w:p w14:paraId="154E52B1" w14:textId="77777777" w:rsidR="00D15F66" w:rsidRPr="002E642C" w:rsidRDefault="00D15F66" w:rsidP="002E642C">
      <w:pPr>
        <w:spacing w:after="120"/>
        <w:jc w:val="both"/>
        <w:rPr>
          <w:rFonts w:ascii="Verdana" w:hAnsi="Verdana"/>
          <w:sz w:val="20"/>
          <w:szCs w:val="20"/>
        </w:rPr>
      </w:pPr>
    </w:p>
    <w:p w14:paraId="1CC8436D" w14:textId="683CB68A" w:rsidR="00CC1809" w:rsidRPr="00F52F0C" w:rsidRDefault="00654F41" w:rsidP="002C1B15">
      <w:pPr>
        <w:pStyle w:val="Prrafodelista"/>
        <w:numPr>
          <w:ilvl w:val="0"/>
          <w:numId w:val="1"/>
        </w:numPr>
        <w:ind w:left="0" w:firstLine="0"/>
        <w:rPr>
          <w:rFonts w:ascii="Verdana" w:hAnsi="Verdana"/>
          <w:sz w:val="20"/>
          <w:szCs w:val="20"/>
        </w:rPr>
      </w:pPr>
      <w:r w:rsidRPr="00D65F13">
        <w:rPr>
          <w:rFonts w:ascii="Verdana" w:hAnsi="Verdana"/>
          <w:sz w:val="20"/>
          <w:szCs w:val="20"/>
        </w:rPr>
        <w:t xml:space="preserve">Los escritos </w:t>
      </w:r>
      <w:r w:rsidR="00CC1809" w:rsidRPr="00D65F13">
        <w:rPr>
          <w:rFonts w:ascii="Verdana" w:hAnsi="Verdana"/>
          <w:sz w:val="20"/>
          <w:szCs w:val="20"/>
        </w:rPr>
        <w:t xml:space="preserve">de observaciones presentados por el representante de las víctimas (en adelante </w:t>
      </w:r>
      <w:r w:rsidR="005C4596">
        <w:rPr>
          <w:rFonts w:ascii="Verdana" w:hAnsi="Verdana"/>
          <w:sz w:val="20"/>
          <w:szCs w:val="20"/>
        </w:rPr>
        <w:t>“</w:t>
      </w:r>
      <w:r w:rsidR="00CC1809" w:rsidRPr="00F52F0C">
        <w:rPr>
          <w:rFonts w:ascii="Verdana" w:hAnsi="Verdana"/>
          <w:sz w:val="20"/>
          <w:szCs w:val="20"/>
        </w:rPr>
        <w:t>el representante</w:t>
      </w:r>
      <w:r w:rsidR="005C4596">
        <w:rPr>
          <w:rFonts w:ascii="Verdana" w:hAnsi="Verdana"/>
          <w:sz w:val="20"/>
          <w:szCs w:val="20"/>
        </w:rPr>
        <w:t>”</w:t>
      </w:r>
      <w:r w:rsidR="00CC1809" w:rsidRPr="00F52F0C">
        <w:rPr>
          <w:rFonts w:ascii="Verdana" w:hAnsi="Verdana"/>
          <w:sz w:val="20"/>
          <w:szCs w:val="20"/>
        </w:rPr>
        <w:t>)</w:t>
      </w:r>
      <w:r w:rsidR="00E63944" w:rsidRPr="00F52F0C">
        <w:rPr>
          <w:rStyle w:val="Refdenotaalpie"/>
          <w:szCs w:val="20"/>
        </w:rPr>
        <w:footnoteReference w:id="5"/>
      </w:r>
      <w:r w:rsidR="00CC1809" w:rsidRPr="00F52F0C">
        <w:rPr>
          <w:rFonts w:ascii="Verdana" w:hAnsi="Verdana"/>
          <w:sz w:val="20"/>
          <w:szCs w:val="20"/>
        </w:rPr>
        <w:t xml:space="preserve"> e</w:t>
      </w:r>
      <w:r w:rsidR="002C1B15" w:rsidRPr="00F52F0C">
        <w:rPr>
          <w:rFonts w:ascii="Verdana" w:hAnsi="Verdana"/>
          <w:sz w:val="20"/>
          <w:szCs w:val="20"/>
        </w:rPr>
        <w:t>ntre enero y septiembre de 2017, y los</w:t>
      </w:r>
      <w:r w:rsidR="00CC1809" w:rsidRPr="00F52F0C">
        <w:rPr>
          <w:rFonts w:ascii="Verdana" w:hAnsi="Verdana"/>
          <w:sz w:val="20"/>
          <w:szCs w:val="20"/>
        </w:rPr>
        <w:t xml:space="preserve"> presentados por el señor Galindo Cárdenas entre </w:t>
      </w:r>
      <w:r w:rsidR="00D65F13" w:rsidRPr="00F52F0C">
        <w:rPr>
          <w:rFonts w:ascii="Verdana" w:hAnsi="Verdana"/>
          <w:sz w:val="20"/>
          <w:szCs w:val="20"/>
        </w:rPr>
        <w:t>septiembre</w:t>
      </w:r>
      <w:r w:rsidR="00CC1809" w:rsidRPr="00F52F0C">
        <w:rPr>
          <w:rFonts w:ascii="Verdana" w:hAnsi="Verdana"/>
          <w:sz w:val="20"/>
          <w:szCs w:val="20"/>
        </w:rPr>
        <w:t xml:space="preserve"> de 2017 y enero de 2020. </w:t>
      </w:r>
    </w:p>
    <w:p w14:paraId="68643049" w14:textId="77777777" w:rsidR="00BB5C39" w:rsidRPr="002E642C" w:rsidRDefault="00BB5C39" w:rsidP="002E642C">
      <w:pPr>
        <w:spacing w:after="120"/>
        <w:jc w:val="both"/>
        <w:rPr>
          <w:rFonts w:ascii="Verdana" w:hAnsi="Verdana"/>
          <w:sz w:val="20"/>
          <w:szCs w:val="20"/>
        </w:rPr>
      </w:pPr>
    </w:p>
    <w:p w14:paraId="3F3C016C" w14:textId="78699F6B" w:rsidR="00BB5C39" w:rsidRPr="00F52F0C" w:rsidRDefault="00CC1809" w:rsidP="003B7307">
      <w:pPr>
        <w:pStyle w:val="Prrafodelista"/>
        <w:numPr>
          <w:ilvl w:val="0"/>
          <w:numId w:val="1"/>
        </w:numPr>
        <w:ind w:left="0" w:firstLine="0"/>
        <w:jc w:val="both"/>
        <w:rPr>
          <w:rFonts w:ascii="Verdana" w:hAnsi="Verdana"/>
          <w:sz w:val="20"/>
          <w:szCs w:val="20"/>
        </w:rPr>
      </w:pPr>
      <w:r w:rsidRPr="00F52F0C">
        <w:rPr>
          <w:rFonts w:ascii="Verdana" w:hAnsi="Verdana"/>
          <w:sz w:val="20"/>
          <w:szCs w:val="20"/>
        </w:rPr>
        <w:t xml:space="preserve">Los escritos de observaciones presentados por </w:t>
      </w:r>
      <w:r w:rsidR="00BB5C39" w:rsidRPr="00F52F0C">
        <w:rPr>
          <w:rFonts w:ascii="Verdana" w:hAnsi="Verdana"/>
          <w:sz w:val="20"/>
          <w:szCs w:val="20"/>
        </w:rPr>
        <w:t>la Comisión</w:t>
      </w:r>
      <w:r w:rsidRPr="00F52F0C">
        <w:rPr>
          <w:rFonts w:ascii="Verdana" w:hAnsi="Verdana"/>
          <w:sz w:val="20"/>
          <w:szCs w:val="20"/>
        </w:rPr>
        <w:t xml:space="preserve"> Interamericana de Derechos Humanos (en adelante “la Comisión Interamericana” o “la Comisión”) entre abril de 2017 y enero de 2018. </w:t>
      </w:r>
      <w:r w:rsidR="00BB5C39" w:rsidRPr="00F52F0C">
        <w:rPr>
          <w:rFonts w:ascii="Verdana" w:hAnsi="Verdana"/>
          <w:sz w:val="20"/>
          <w:szCs w:val="20"/>
        </w:rPr>
        <w:t xml:space="preserve"> </w:t>
      </w:r>
    </w:p>
    <w:p w14:paraId="3440B1D5" w14:textId="77777777" w:rsidR="00654F41" w:rsidRPr="00F52F0C" w:rsidRDefault="00654F41" w:rsidP="002E642C">
      <w:pPr>
        <w:spacing w:after="120"/>
        <w:jc w:val="both"/>
        <w:rPr>
          <w:rFonts w:ascii="Verdana" w:hAnsi="Verdana"/>
          <w:sz w:val="20"/>
          <w:szCs w:val="20"/>
        </w:rPr>
      </w:pPr>
    </w:p>
    <w:p w14:paraId="01807470" w14:textId="4B4E911C" w:rsidR="00451306" w:rsidRDefault="007A0CCC" w:rsidP="003B7307">
      <w:pPr>
        <w:pStyle w:val="Prrafodelista"/>
        <w:numPr>
          <w:ilvl w:val="0"/>
          <w:numId w:val="1"/>
        </w:numPr>
        <w:ind w:left="0" w:firstLine="0"/>
        <w:jc w:val="both"/>
        <w:rPr>
          <w:rFonts w:ascii="Verdana" w:hAnsi="Verdana"/>
          <w:sz w:val="20"/>
          <w:szCs w:val="20"/>
        </w:rPr>
      </w:pPr>
      <w:r w:rsidRPr="00F52F0C">
        <w:rPr>
          <w:rFonts w:ascii="Verdana" w:hAnsi="Verdana"/>
          <w:sz w:val="20"/>
          <w:szCs w:val="20"/>
        </w:rPr>
        <w:t xml:space="preserve">El escrito de 21 de agosto de 2020 y sus anexos, mediante los cuales </w:t>
      </w:r>
      <w:r w:rsidR="00120200" w:rsidRPr="00F52F0C">
        <w:rPr>
          <w:rFonts w:ascii="Verdana" w:hAnsi="Verdana"/>
          <w:sz w:val="20"/>
          <w:szCs w:val="20"/>
        </w:rPr>
        <w:t xml:space="preserve">el </w:t>
      </w:r>
      <w:r w:rsidRPr="00F52F0C">
        <w:rPr>
          <w:rFonts w:ascii="Verdana" w:hAnsi="Verdana"/>
          <w:sz w:val="20"/>
          <w:szCs w:val="20"/>
        </w:rPr>
        <w:t>señor Galindo Cárdenas</w:t>
      </w:r>
      <w:r w:rsidR="00451306" w:rsidRPr="00F52F0C">
        <w:rPr>
          <w:rFonts w:ascii="Verdana" w:hAnsi="Verdana"/>
          <w:sz w:val="20"/>
          <w:szCs w:val="20"/>
        </w:rPr>
        <w:t xml:space="preserve">, “en </w:t>
      </w:r>
      <w:r w:rsidR="000105D9" w:rsidRPr="00F52F0C">
        <w:rPr>
          <w:rFonts w:ascii="Verdana" w:hAnsi="Verdana"/>
          <w:sz w:val="20"/>
          <w:szCs w:val="20"/>
        </w:rPr>
        <w:t>[s</w:t>
      </w:r>
      <w:r w:rsidR="00451306" w:rsidRPr="00F52F0C">
        <w:rPr>
          <w:rFonts w:ascii="Verdana" w:hAnsi="Verdana"/>
          <w:sz w:val="20"/>
          <w:szCs w:val="20"/>
        </w:rPr>
        <w:t>u</w:t>
      </w:r>
      <w:r w:rsidR="000105D9" w:rsidRPr="00F52F0C">
        <w:rPr>
          <w:rFonts w:ascii="Verdana" w:hAnsi="Verdana"/>
          <w:sz w:val="20"/>
          <w:szCs w:val="20"/>
        </w:rPr>
        <w:t>]</w:t>
      </w:r>
      <w:r w:rsidR="00451306" w:rsidRPr="00F52F0C">
        <w:rPr>
          <w:rFonts w:ascii="Verdana" w:hAnsi="Verdana"/>
          <w:sz w:val="20"/>
          <w:szCs w:val="20"/>
        </w:rPr>
        <w:t xml:space="preserve"> condición</w:t>
      </w:r>
      <w:r w:rsidR="00451306">
        <w:rPr>
          <w:rFonts w:ascii="Verdana" w:hAnsi="Verdana"/>
          <w:sz w:val="20"/>
          <w:szCs w:val="20"/>
        </w:rPr>
        <w:t xml:space="preserve"> de [v]</w:t>
      </w:r>
      <w:proofErr w:type="spellStart"/>
      <w:r w:rsidR="00451306">
        <w:rPr>
          <w:rFonts w:ascii="Verdana" w:hAnsi="Verdana"/>
          <w:sz w:val="20"/>
          <w:szCs w:val="20"/>
        </w:rPr>
        <w:t>íctima</w:t>
      </w:r>
      <w:proofErr w:type="spellEnd"/>
      <w:r w:rsidR="00451306">
        <w:rPr>
          <w:rFonts w:ascii="Verdana" w:hAnsi="Verdana"/>
          <w:sz w:val="20"/>
          <w:szCs w:val="20"/>
        </w:rPr>
        <w:t xml:space="preserve"> del [presente] caso”,</w:t>
      </w:r>
      <w:r w:rsidRPr="007A0CCC">
        <w:rPr>
          <w:rFonts w:ascii="Verdana" w:hAnsi="Verdana"/>
          <w:sz w:val="20"/>
          <w:szCs w:val="20"/>
        </w:rPr>
        <w:t xml:space="preserve"> solicitó la adopción de </w:t>
      </w:r>
      <w:r w:rsidR="003A14B4">
        <w:rPr>
          <w:rFonts w:ascii="Verdana" w:hAnsi="Verdana"/>
          <w:sz w:val="20"/>
          <w:szCs w:val="20"/>
        </w:rPr>
        <w:t>“</w:t>
      </w:r>
      <w:r w:rsidRPr="007A0CCC">
        <w:rPr>
          <w:rFonts w:ascii="Verdana" w:hAnsi="Verdana"/>
          <w:sz w:val="20"/>
          <w:szCs w:val="20"/>
        </w:rPr>
        <w:t xml:space="preserve">medidas provisionales </w:t>
      </w:r>
      <w:r w:rsidR="003A14B4">
        <w:rPr>
          <w:rFonts w:ascii="Verdana" w:hAnsi="Verdana"/>
          <w:sz w:val="20"/>
          <w:szCs w:val="20"/>
        </w:rPr>
        <w:t xml:space="preserve">en el marco de cumplimiento de sentencia” </w:t>
      </w:r>
      <w:r w:rsidRPr="007A0CCC">
        <w:rPr>
          <w:rFonts w:ascii="Verdana" w:hAnsi="Verdana"/>
          <w:sz w:val="20"/>
          <w:szCs w:val="20"/>
        </w:rPr>
        <w:t>a su favor</w:t>
      </w:r>
      <w:r w:rsidR="00120200">
        <w:rPr>
          <w:rStyle w:val="Refdenotaalpie"/>
          <w:szCs w:val="20"/>
        </w:rPr>
        <w:footnoteReference w:id="6"/>
      </w:r>
      <w:r w:rsidRPr="007A0CCC">
        <w:rPr>
          <w:rFonts w:ascii="Verdana" w:hAnsi="Verdana"/>
          <w:sz w:val="20"/>
          <w:szCs w:val="20"/>
        </w:rPr>
        <w:t xml:space="preserve">. </w:t>
      </w:r>
      <w:r w:rsidR="00451306">
        <w:rPr>
          <w:rFonts w:ascii="Verdana" w:hAnsi="Verdana"/>
          <w:sz w:val="20"/>
          <w:szCs w:val="20"/>
        </w:rPr>
        <w:t xml:space="preserve">Fundó la solicitud en lo siguiente: </w:t>
      </w:r>
    </w:p>
    <w:p w14:paraId="37FFB059" w14:textId="77777777" w:rsidR="00C17BD3" w:rsidRPr="00C17BD3" w:rsidRDefault="00C17BD3" w:rsidP="00C17BD3">
      <w:pPr>
        <w:pStyle w:val="Prrafodelista"/>
        <w:rPr>
          <w:rFonts w:ascii="Verdana" w:hAnsi="Verdana"/>
          <w:sz w:val="20"/>
          <w:szCs w:val="20"/>
        </w:rPr>
      </w:pPr>
    </w:p>
    <w:p w14:paraId="671D20FF" w14:textId="15BA8E8B" w:rsidR="00C17BD3" w:rsidRPr="008E642C" w:rsidRDefault="00C17BD3" w:rsidP="00C17BD3">
      <w:pPr>
        <w:pStyle w:val="Prrafodelista"/>
        <w:numPr>
          <w:ilvl w:val="0"/>
          <w:numId w:val="3"/>
        </w:numPr>
        <w:jc w:val="both"/>
        <w:rPr>
          <w:rFonts w:ascii="Verdana" w:hAnsi="Verdana"/>
          <w:sz w:val="20"/>
          <w:szCs w:val="20"/>
        </w:rPr>
      </w:pPr>
      <w:r>
        <w:rPr>
          <w:rFonts w:ascii="Verdana" w:hAnsi="Verdana"/>
          <w:sz w:val="20"/>
          <w:szCs w:val="20"/>
        </w:rPr>
        <w:t xml:space="preserve">La alegada “ausencia de </w:t>
      </w:r>
      <w:r w:rsidRPr="00C17BD3">
        <w:rPr>
          <w:rFonts w:ascii="Verdana" w:hAnsi="Verdana" w:cs="Times"/>
          <w:sz w:val="20"/>
          <w:szCs w:val="20"/>
        </w:rPr>
        <w:t xml:space="preserve">garantías judiciales” en el marco de la </w:t>
      </w:r>
      <w:r w:rsidRPr="00A31A3F">
        <w:rPr>
          <w:rFonts w:ascii="Verdana" w:hAnsi="Verdana" w:cs="Times"/>
          <w:sz w:val="20"/>
          <w:szCs w:val="20"/>
        </w:rPr>
        <w:t xml:space="preserve">investigación </w:t>
      </w:r>
      <w:r w:rsidR="009D7A7C" w:rsidRPr="00A31A3F">
        <w:rPr>
          <w:rFonts w:ascii="Verdana" w:hAnsi="Verdana" w:cs="Times"/>
          <w:sz w:val="20"/>
          <w:szCs w:val="20"/>
        </w:rPr>
        <w:t xml:space="preserve">preliminar </w:t>
      </w:r>
      <w:r w:rsidRPr="00A31A3F">
        <w:rPr>
          <w:rFonts w:ascii="Verdana" w:hAnsi="Verdana" w:cs="Times"/>
          <w:sz w:val="20"/>
          <w:szCs w:val="20"/>
        </w:rPr>
        <w:t xml:space="preserve">iniciada </w:t>
      </w:r>
      <w:r w:rsidRPr="00C17BD3">
        <w:rPr>
          <w:rFonts w:ascii="Verdana" w:hAnsi="Verdana" w:cs="Times"/>
          <w:sz w:val="20"/>
          <w:szCs w:val="20"/>
        </w:rPr>
        <w:t xml:space="preserve">en sede interna por la Fiscalía </w:t>
      </w:r>
      <w:r w:rsidR="0037472F">
        <w:rPr>
          <w:rFonts w:ascii="Verdana" w:hAnsi="Verdana" w:cs="Times"/>
          <w:sz w:val="20"/>
          <w:szCs w:val="20"/>
        </w:rPr>
        <w:t xml:space="preserve">Supraprovincial </w:t>
      </w:r>
      <w:r w:rsidRPr="008717C5">
        <w:rPr>
          <w:rFonts w:ascii="Verdana" w:hAnsi="Verdana" w:cs="Times"/>
          <w:sz w:val="20"/>
          <w:szCs w:val="20"/>
        </w:rPr>
        <w:t>Especializada en Delitos de Terrorismo y Lesa Humanidad de Huánuco</w:t>
      </w:r>
      <w:r w:rsidR="009D7A7C" w:rsidRPr="008717C5">
        <w:rPr>
          <w:rFonts w:ascii="Verdana" w:hAnsi="Verdana" w:cs="Times"/>
          <w:sz w:val="20"/>
          <w:szCs w:val="20"/>
        </w:rPr>
        <w:t xml:space="preserve"> por la presunta comisión del delito de tortura y contra la libertad personal en su agravio. Indicó</w:t>
      </w:r>
      <w:r w:rsidR="009D7A7C">
        <w:rPr>
          <w:rFonts w:ascii="Verdana" w:hAnsi="Verdana" w:cs="Times"/>
          <w:sz w:val="20"/>
          <w:szCs w:val="20"/>
        </w:rPr>
        <w:t xml:space="preserve"> que </w:t>
      </w:r>
      <w:r w:rsidR="00773165">
        <w:rPr>
          <w:rFonts w:ascii="Verdana" w:hAnsi="Verdana" w:cs="Times"/>
          <w:sz w:val="20"/>
          <w:szCs w:val="20"/>
        </w:rPr>
        <w:t>“recién [le</w:t>
      </w:r>
      <w:r w:rsidR="009F672D">
        <w:rPr>
          <w:rFonts w:ascii="Verdana" w:hAnsi="Verdana" w:cs="Times"/>
          <w:sz w:val="20"/>
          <w:szCs w:val="20"/>
        </w:rPr>
        <w:t xml:space="preserve"> fue</w:t>
      </w:r>
      <w:r w:rsidR="00773165">
        <w:rPr>
          <w:rFonts w:ascii="Verdana" w:hAnsi="Verdana" w:cs="Times"/>
          <w:sz w:val="20"/>
          <w:szCs w:val="20"/>
        </w:rPr>
        <w:t xml:space="preserve">] notificada […] el </w:t>
      </w:r>
      <w:r w:rsidR="009F672D">
        <w:rPr>
          <w:rFonts w:ascii="Verdana" w:hAnsi="Verdana" w:cs="Times"/>
          <w:sz w:val="20"/>
          <w:szCs w:val="20"/>
        </w:rPr>
        <w:t>12/08/2020</w:t>
      </w:r>
      <w:r w:rsidR="00D4625A">
        <w:rPr>
          <w:rFonts w:ascii="Verdana" w:hAnsi="Verdana" w:cs="Times"/>
          <w:sz w:val="20"/>
          <w:szCs w:val="20"/>
        </w:rPr>
        <w:t>”</w:t>
      </w:r>
      <w:r w:rsidR="00773165">
        <w:rPr>
          <w:rFonts w:ascii="Verdana" w:hAnsi="Verdana" w:cs="Times"/>
          <w:sz w:val="20"/>
          <w:szCs w:val="20"/>
        </w:rPr>
        <w:t xml:space="preserve"> la </w:t>
      </w:r>
      <w:r w:rsidR="00DE41BD">
        <w:rPr>
          <w:rFonts w:ascii="Verdana" w:hAnsi="Verdana" w:cs="Times"/>
          <w:sz w:val="20"/>
          <w:szCs w:val="20"/>
        </w:rPr>
        <w:t>r</w:t>
      </w:r>
      <w:r w:rsidR="00773165">
        <w:rPr>
          <w:rFonts w:ascii="Verdana" w:hAnsi="Verdana" w:cs="Times"/>
          <w:sz w:val="20"/>
          <w:szCs w:val="20"/>
        </w:rPr>
        <w:t xml:space="preserve">esolución </w:t>
      </w:r>
      <w:r w:rsidR="00DE41BD">
        <w:rPr>
          <w:rFonts w:ascii="Verdana" w:hAnsi="Verdana" w:cs="Times"/>
          <w:sz w:val="20"/>
          <w:szCs w:val="20"/>
        </w:rPr>
        <w:t>emitida el</w:t>
      </w:r>
      <w:r w:rsidR="009F672D">
        <w:rPr>
          <w:rFonts w:ascii="Verdana" w:hAnsi="Verdana" w:cs="Times"/>
          <w:sz w:val="20"/>
          <w:szCs w:val="20"/>
        </w:rPr>
        <w:t xml:space="preserve"> </w:t>
      </w:r>
      <w:r w:rsidR="009D7A7C">
        <w:rPr>
          <w:rFonts w:ascii="Verdana" w:hAnsi="Verdana" w:cs="Times"/>
          <w:sz w:val="20"/>
          <w:szCs w:val="20"/>
        </w:rPr>
        <w:t xml:space="preserve">14 de febrero de </w:t>
      </w:r>
      <w:r w:rsidR="00DE41BD">
        <w:rPr>
          <w:rFonts w:ascii="Verdana" w:hAnsi="Verdana" w:cs="Times"/>
          <w:sz w:val="20"/>
          <w:szCs w:val="20"/>
        </w:rPr>
        <w:t>este año</w:t>
      </w:r>
      <w:r w:rsidR="009D7A7C">
        <w:rPr>
          <w:rFonts w:ascii="Verdana" w:hAnsi="Verdana" w:cs="Times"/>
          <w:sz w:val="20"/>
          <w:szCs w:val="20"/>
        </w:rPr>
        <w:t>,</w:t>
      </w:r>
      <w:r w:rsidR="00773165">
        <w:rPr>
          <w:rFonts w:ascii="Verdana" w:hAnsi="Verdana" w:cs="Times"/>
          <w:sz w:val="20"/>
          <w:szCs w:val="20"/>
        </w:rPr>
        <w:t xml:space="preserve"> mediante la cual</w:t>
      </w:r>
      <w:r w:rsidR="009D7A7C">
        <w:rPr>
          <w:rFonts w:ascii="Verdana" w:hAnsi="Verdana" w:cs="Times"/>
          <w:sz w:val="20"/>
          <w:szCs w:val="20"/>
        </w:rPr>
        <w:t xml:space="preserve"> el Fiscal</w:t>
      </w:r>
      <w:r w:rsidR="000C42F1">
        <w:rPr>
          <w:rFonts w:ascii="Verdana" w:hAnsi="Verdana" w:cs="Times"/>
          <w:sz w:val="20"/>
          <w:szCs w:val="20"/>
        </w:rPr>
        <w:t xml:space="preserve"> Provincial</w:t>
      </w:r>
      <w:r w:rsidR="009D7A7C">
        <w:rPr>
          <w:rFonts w:ascii="Verdana" w:hAnsi="Verdana" w:cs="Times"/>
          <w:sz w:val="20"/>
          <w:szCs w:val="20"/>
        </w:rPr>
        <w:t xml:space="preserve"> Adjunto a cargo de la causa</w:t>
      </w:r>
      <w:r w:rsidR="008E642C">
        <w:rPr>
          <w:rFonts w:ascii="Verdana" w:hAnsi="Verdana" w:cs="Times"/>
          <w:sz w:val="20"/>
          <w:szCs w:val="20"/>
        </w:rPr>
        <w:t>, “después de un largo e irregular proceso investigatorio</w:t>
      </w:r>
      <w:r w:rsidR="000C42F1">
        <w:rPr>
          <w:rFonts w:ascii="Verdana" w:hAnsi="Verdana" w:cs="Times"/>
          <w:sz w:val="20"/>
          <w:szCs w:val="20"/>
        </w:rPr>
        <w:t>, de 8</w:t>
      </w:r>
      <w:r w:rsidR="008E642C">
        <w:rPr>
          <w:rFonts w:ascii="Verdana" w:hAnsi="Verdana" w:cs="Times"/>
          <w:sz w:val="20"/>
          <w:szCs w:val="20"/>
        </w:rPr>
        <w:t xml:space="preserve"> ocho años de duración”,</w:t>
      </w:r>
      <w:r w:rsidR="009D7A7C">
        <w:rPr>
          <w:rFonts w:ascii="Verdana" w:hAnsi="Verdana" w:cs="Times"/>
          <w:sz w:val="20"/>
          <w:szCs w:val="20"/>
        </w:rPr>
        <w:t xml:space="preserve"> </w:t>
      </w:r>
      <w:r w:rsidR="008E642C">
        <w:rPr>
          <w:rFonts w:ascii="Verdana" w:hAnsi="Verdana" w:cs="Times"/>
          <w:sz w:val="20"/>
          <w:szCs w:val="20"/>
        </w:rPr>
        <w:t xml:space="preserve">“superando todos los plazos [judiciales] razonables”, </w:t>
      </w:r>
      <w:r w:rsidR="009D7A7C" w:rsidRPr="00200FDE">
        <w:rPr>
          <w:rFonts w:ascii="Verdana" w:hAnsi="Verdana" w:cs="Times"/>
          <w:sz w:val="20"/>
          <w:szCs w:val="20"/>
        </w:rPr>
        <w:t>dispuso su</w:t>
      </w:r>
      <w:r w:rsidRPr="00200FDE">
        <w:rPr>
          <w:rFonts w:ascii="Verdana" w:hAnsi="Verdana" w:cs="Times"/>
          <w:sz w:val="20"/>
          <w:szCs w:val="20"/>
        </w:rPr>
        <w:t xml:space="preserve"> archivo definitivo</w:t>
      </w:r>
      <w:r w:rsidR="00F52F0C">
        <w:rPr>
          <w:rFonts w:ascii="Verdana" w:hAnsi="Verdana" w:cs="Times"/>
          <w:sz w:val="20"/>
          <w:szCs w:val="20"/>
        </w:rPr>
        <w:t>.</w:t>
      </w:r>
      <w:r w:rsidRPr="00200FDE">
        <w:rPr>
          <w:rFonts w:ascii="Verdana" w:hAnsi="Verdana" w:cs="Times"/>
          <w:sz w:val="20"/>
          <w:szCs w:val="20"/>
        </w:rPr>
        <w:t xml:space="preserve"> </w:t>
      </w:r>
      <w:r w:rsidR="00EC2483" w:rsidRPr="00200FDE">
        <w:rPr>
          <w:rFonts w:ascii="Verdana" w:hAnsi="Verdana" w:cs="Times"/>
          <w:sz w:val="20"/>
          <w:szCs w:val="20"/>
        </w:rPr>
        <w:t>Añadió</w:t>
      </w:r>
      <w:r w:rsidR="00EC2483">
        <w:rPr>
          <w:rFonts w:ascii="Verdana" w:hAnsi="Verdana" w:cs="Times"/>
          <w:sz w:val="20"/>
          <w:szCs w:val="20"/>
        </w:rPr>
        <w:t xml:space="preserve"> que</w:t>
      </w:r>
      <w:r w:rsidR="009F672D">
        <w:rPr>
          <w:rFonts w:ascii="Verdana" w:hAnsi="Verdana" w:cs="Times"/>
          <w:sz w:val="20"/>
          <w:szCs w:val="20"/>
        </w:rPr>
        <w:t xml:space="preserve"> en dicha resolución</w:t>
      </w:r>
      <w:r w:rsidR="00EC2483">
        <w:rPr>
          <w:rFonts w:ascii="Verdana" w:hAnsi="Verdana" w:cs="Times"/>
          <w:sz w:val="20"/>
          <w:szCs w:val="20"/>
        </w:rPr>
        <w:t xml:space="preserve"> el </w:t>
      </w:r>
      <w:r w:rsidR="00DE41BD">
        <w:rPr>
          <w:rFonts w:ascii="Verdana" w:hAnsi="Verdana" w:cs="Times"/>
          <w:sz w:val="20"/>
          <w:szCs w:val="20"/>
        </w:rPr>
        <w:t>f</w:t>
      </w:r>
      <w:r w:rsidR="00EC2483">
        <w:rPr>
          <w:rFonts w:ascii="Verdana" w:hAnsi="Verdana" w:cs="Times"/>
          <w:sz w:val="20"/>
          <w:szCs w:val="20"/>
        </w:rPr>
        <w:t xml:space="preserve">iscal </w:t>
      </w:r>
      <w:r w:rsidR="009F672D">
        <w:rPr>
          <w:rFonts w:ascii="Verdana" w:hAnsi="Verdana" w:cs="Times"/>
          <w:sz w:val="20"/>
          <w:szCs w:val="20"/>
        </w:rPr>
        <w:t xml:space="preserve">a cargo </w:t>
      </w:r>
      <w:r w:rsidR="00EC2483">
        <w:rPr>
          <w:rFonts w:ascii="Verdana" w:hAnsi="Verdana" w:cs="Times"/>
          <w:sz w:val="20"/>
          <w:szCs w:val="20"/>
        </w:rPr>
        <w:t>“efectuó un sesgado y defectuoso análisis de los hechos, respecto a la participación directa y personal del entonces Presidente de la República</w:t>
      </w:r>
      <w:r w:rsidR="00AE1D5B">
        <w:rPr>
          <w:rFonts w:ascii="Verdana" w:hAnsi="Verdana" w:cs="Times"/>
          <w:sz w:val="20"/>
          <w:szCs w:val="20"/>
        </w:rPr>
        <w:t xml:space="preserve"> </w:t>
      </w:r>
      <w:r w:rsidR="009F672D">
        <w:rPr>
          <w:rFonts w:ascii="Verdana" w:hAnsi="Verdana" w:cs="Times"/>
          <w:sz w:val="20"/>
          <w:szCs w:val="20"/>
        </w:rPr>
        <w:t xml:space="preserve">[…] </w:t>
      </w:r>
      <w:r w:rsidR="00EC2483">
        <w:rPr>
          <w:rFonts w:ascii="Verdana" w:hAnsi="Verdana" w:cs="Times"/>
          <w:sz w:val="20"/>
          <w:szCs w:val="20"/>
        </w:rPr>
        <w:t>y de la Fiscal de la Nación</w:t>
      </w:r>
      <w:r w:rsidR="009F672D">
        <w:rPr>
          <w:rFonts w:ascii="Verdana" w:hAnsi="Verdana" w:cs="Times"/>
          <w:sz w:val="20"/>
          <w:szCs w:val="20"/>
        </w:rPr>
        <w:t xml:space="preserve">, </w:t>
      </w:r>
      <w:r w:rsidR="00EC2483">
        <w:rPr>
          <w:rFonts w:ascii="Verdana" w:hAnsi="Verdana" w:cs="Times"/>
          <w:sz w:val="20"/>
          <w:szCs w:val="20"/>
        </w:rPr>
        <w:t>a pesar de existir certeras e indubitables pruebas</w:t>
      </w:r>
      <w:proofErr w:type="gramStart"/>
      <w:r w:rsidR="000C42F1">
        <w:rPr>
          <w:rFonts w:ascii="Verdana" w:hAnsi="Verdana" w:cs="Times"/>
          <w:sz w:val="20"/>
          <w:szCs w:val="20"/>
        </w:rPr>
        <w:t>[,…</w:t>
      </w:r>
      <w:proofErr w:type="gramEnd"/>
      <w:r w:rsidR="000C42F1">
        <w:rPr>
          <w:rFonts w:ascii="Verdana" w:hAnsi="Verdana" w:cs="Times"/>
          <w:sz w:val="20"/>
          <w:szCs w:val="20"/>
        </w:rPr>
        <w:t>] así como de otros agentes del Estado peruano</w:t>
      </w:r>
      <w:r w:rsidR="00EC2483">
        <w:rPr>
          <w:rFonts w:ascii="Verdana" w:hAnsi="Verdana" w:cs="Times"/>
          <w:sz w:val="20"/>
          <w:szCs w:val="20"/>
        </w:rPr>
        <w:t xml:space="preserve">”. Explicó que no ha impugnado la referida resolución de archivamiento “en razón de la ausencia de garantías judiciales en sede interna”. Afirmó que el archivamiento de la investigación constituye un acto </w:t>
      </w:r>
      <w:r w:rsidR="00DE41BD">
        <w:rPr>
          <w:rFonts w:ascii="Verdana" w:hAnsi="Verdana" w:cs="Times"/>
          <w:sz w:val="20"/>
          <w:szCs w:val="20"/>
        </w:rPr>
        <w:t>“</w:t>
      </w:r>
      <w:r w:rsidR="00EC2483">
        <w:rPr>
          <w:rFonts w:ascii="Verdana" w:hAnsi="Verdana" w:cs="Times"/>
          <w:sz w:val="20"/>
          <w:szCs w:val="20"/>
        </w:rPr>
        <w:t xml:space="preserve">de </w:t>
      </w:r>
      <w:r w:rsidR="000C42F1">
        <w:rPr>
          <w:rFonts w:ascii="Verdana" w:hAnsi="Verdana" w:cs="Times"/>
          <w:sz w:val="20"/>
          <w:szCs w:val="20"/>
        </w:rPr>
        <w:t xml:space="preserve">encubrimiento e impunidad, así como de </w:t>
      </w:r>
      <w:r w:rsidR="00EC2483">
        <w:rPr>
          <w:rFonts w:ascii="Verdana" w:hAnsi="Verdana" w:cs="Times"/>
          <w:sz w:val="20"/>
          <w:szCs w:val="20"/>
        </w:rPr>
        <w:t xml:space="preserve">desacato a lo dispuesto en sede supranacional”. </w:t>
      </w:r>
    </w:p>
    <w:p w14:paraId="6387B3B2" w14:textId="3E68E3E4" w:rsidR="008E642C" w:rsidRPr="002E642C" w:rsidRDefault="008E642C" w:rsidP="00C17BD3">
      <w:pPr>
        <w:pStyle w:val="Prrafodelista"/>
        <w:numPr>
          <w:ilvl w:val="0"/>
          <w:numId w:val="3"/>
        </w:numPr>
        <w:jc w:val="both"/>
        <w:rPr>
          <w:rFonts w:ascii="Verdana" w:hAnsi="Verdana"/>
          <w:sz w:val="20"/>
          <w:szCs w:val="20"/>
        </w:rPr>
      </w:pPr>
      <w:r>
        <w:rPr>
          <w:rFonts w:ascii="Verdana" w:hAnsi="Verdana" w:cs="Times"/>
          <w:sz w:val="20"/>
          <w:szCs w:val="20"/>
        </w:rPr>
        <w:t xml:space="preserve">El alegado “incumplimiento de la </w:t>
      </w:r>
      <w:r w:rsidR="009F672D">
        <w:rPr>
          <w:rFonts w:ascii="Verdana" w:hAnsi="Verdana" w:cs="Times"/>
          <w:sz w:val="20"/>
          <w:szCs w:val="20"/>
        </w:rPr>
        <w:t>reparación material o económica</w:t>
      </w:r>
      <w:r w:rsidR="00FB613A">
        <w:rPr>
          <w:rFonts w:ascii="Verdana" w:hAnsi="Verdana" w:cs="Times"/>
          <w:sz w:val="20"/>
          <w:szCs w:val="20"/>
        </w:rPr>
        <w:t xml:space="preserve"> </w:t>
      </w:r>
      <w:r w:rsidR="00132A58">
        <w:rPr>
          <w:rFonts w:ascii="Verdana" w:hAnsi="Verdana" w:cs="Times"/>
          <w:sz w:val="20"/>
          <w:szCs w:val="20"/>
        </w:rPr>
        <w:t>[…]</w:t>
      </w:r>
      <w:r w:rsidR="00FB613A">
        <w:rPr>
          <w:rFonts w:ascii="Verdana" w:hAnsi="Verdana" w:cs="Times"/>
          <w:sz w:val="20"/>
          <w:szCs w:val="20"/>
        </w:rPr>
        <w:t>,</w:t>
      </w:r>
      <w:r w:rsidR="00132A58">
        <w:rPr>
          <w:rFonts w:ascii="Verdana" w:hAnsi="Verdana" w:cs="Times"/>
          <w:sz w:val="20"/>
          <w:szCs w:val="20"/>
        </w:rPr>
        <w:t xml:space="preserve"> no</w:t>
      </w:r>
      <w:r w:rsidR="00F52F0C">
        <w:rPr>
          <w:rFonts w:ascii="Verdana" w:hAnsi="Verdana" w:cs="Times"/>
          <w:sz w:val="20"/>
          <w:szCs w:val="20"/>
        </w:rPr>
        <w:t xml:space="preserve"> </w:t>
      </w:r>
      <w:r w:rsidR="00132A58">
        <w:rPr>
          <w:rFonts w:ascii="Verdana" w:hAnsi="Verdana" w:cs="Times"/>
          <w:sz w:val="20"/>
          <w:szCs w:val="20"/>
        </w:rPr>
        <w:t>obstante el tiempo transcurrido para su cumplimiento oportuno, [de] aproximadamente 5 años, [y…] los reiterados requerimientos formales</w:t>
      </w:r>
      <w:r w:rsidR="00FB613A">
        <w:rPr>
          <w:rFonts w:ascii="Verdana" w:hAnsi="Verdana" w:cs="Times"/>
          <w:sz w:val="20"/>
          <w:szCs w:val="20"/>
        </w:rPr>
        <w:t xml:space="preserve"> efectuados</w:t>
      </w:r>
      <w:r w:rsidR="00132A58">
        <w:rPr>
          <w:rFonts w:ascii="Verdana" w:hAnsi="Verdana" w:cs="Times"/>
          <w:sz w:val="20"/>
          <w:szCs w:val="20"/>
        </w:rPr>
        <w:t xml:space="preserve"> [</w:t>
      </w:r>
      <w:r w:rsidR="00FB613A">
        <w:rPr>
          <w:rFonts w:ascii="Verdana" w:hAnsi="Verdana" w:cs="Times"/>
          <w:sz w:val="20"/>
          <w:szCs w:val="20"/>
        </w:rPr>
        <w:t>…</w:t>
      </w:r>
      <w:r w:rsidR="00132A58">
        <w:rPr>
          <w:rFonts w:ascii="Verdana" w:hAnsi="Verdana" w:cs="Times"/>
          <w:sz w:val="20"/>
          <w:szCs w:val="20"/>
        </w:rPr>
        <w:t>]</w:t>
      </w:r>
      <w:r w:rsidR="00FB613A">
        <w:rPr>
          <w:rFonts w:ascii="Verdana" w:hAnsi="Verdana" w:cs="Times"/>
          <w:sz w:val="20"/>
          <w:szCs w:val="20"/>
        </w:rPr>
        <w:t xml:space="preserve"> a los Ministros de Justicia y Derechos Humanos del Perú [… que</w:t>
      </w:r>
      <w:r w:rsidR="00FB613A">
        <w:rPr>
          <w:rFonts w:ascii="Calibri" w:hAnsi="Calibri" w:cs="Calibri"/>
          <w:sz w:val="20"/>
          <w:szCs w:val="20"/>
        </w:rPr>
        <w:t>]</w:t>
      </w:r>
      <w:r w:rsidR="00132A58">
        <w:rPr>
          <w:rFonts w:ascii="Verdana" w:hAnsi="Verdana" w:cs="Times"/>
          <w:sz w:val="20"/>
          <w:szCs w:val="20"/>
        </w:rPr>
        <w:t xml:space="preserve"> nunca fueron </w:t>
      </w:r>
      <w:proofErr w:type="spellStart"/>
      <w:r w:rsidR="00132A58">
        <w:rPr>
          <w:rFonts w:ascii="Verdana" w:hAnsi="Verdana" w:cs="Times"/>
          <w:sz w:val="20"/>
          <w:szCs w:val="20"/>
        </w:rPr>
        <w:t>atendid</w:t>
      </w:r>
      <w:proofErr w:type="spellEnd"/>
      <w:r w:rsidR="00132A58">
        <w:rPr>
          <w:rFonts w:ascii="Verdana" w:hAnsi="Verdana" w:cs="Times"/>
          <w:sz w:val="20"/>
          <w:szCs w:val="20"/>
        </w:rPr>
        <w:t>[o]s debidamente”</w:t>
      </w:r>
      <w:r>
        <w:rPr>
          <w:rFonts w:ascii="Verdana" w:hAnsi="Verdana" w:cs="Times"/>
          <w:sz w:val="20"/>
          <w:szCs w:val="20"/>
        </w:rPr>
        <w:t xml:space="preserve">. </w:t>
      </w:r>
    </w:p>
    <w:p w14:paraId="6159301D" w14:textId="77777777" w:rsidR="002E642C" w:rsidRPr="005A2024" w:rsidRDefault="002E642C" w:rsidP="002E642C">
      <w:pPr>
        <w:pStyle w:val="Prrafodelista"/>
        <w:ind w:left="1440"/>
        <w:jc w:val="both"/>
        <w:rPr>
          <w:rFonts w:ascii="Verdana" w:hAnsi="Verdana"/>
          <w:sz w:val="20"/>
          <w:szCs w:val="20"/>
        </w:rPr>
      </w:pPr>
    </w:p>
    <w:p w14:paraId="041276B5" w14:textId="38D38784" w:rsidR="007A0CCC" w:rsidRDefault="007A0CCC" w:rsidP="00CB3044">
      <w:pPr>
        <w:spacing w:after="120"/>
        <w:jc w:val="both"/>
        <w:rPr>
          <w:rFonts w:ascii="Verdana" w:hAnsi="Verdana"/>
          <w:b/>
          <w:sz w:val="20"/>
          <w:szCs w:val="20"/>
        </w:rPr>
      </w:pPr>
      <w:r w:rsidRPr="007A0CCC">
        <w:rPr>
          <w:rFonts w:ascii="Verdana" w:hAnsi="Verdana"/>
          <w:b/>
          <w:sz w:val="20"/>
          <w:szCs w:val="20"/>
        </w:rPr>
        <w:t xml:space="preserve">CONSIDERANDO: </w:t>
      </w:r>
    </w:p>
    <w:p w14:paraId="2602A035" w14:textId="4DC8CF25" w:rsidR="00200FDE" w:rsidRDefault="00200FDE" w:rsidP="00CB3044">
      <w:pPr>
        <w:spacing w:after="120"/>
        <w:jc w:val="both"/>
        <w:rPr>
          <w:rFonts w:ascii="Verdana" w:hAnsi="Verdana"/>
          <w:b/>
          <w:sz w:val="20"/>
          <w:szCs w:val="20"/>
        </w:rPr>
      </w:pPr>
    </w:p>
    <w:p w14:paraId="7075917F" w14:textId="23F93F49" w:rsidR="00200FDE" w:rsidRPr="00200FDE" w:rsidRDefault="00200FDE" w:rsidP="00CB3044">
      <w:pPr>
        <w:pStyle w:val="Prrafodelista"/>
        <w:numPr>
          <w:ilvl w:val="0"/>
          <w:numId w:val="8"/>
        </w:numPr>
        <w:spacing w:after="120"/>
        <w:ind w:right="14"/>
        <w:jc w:val="both"/>
        <w:outlineLvl w:val="0"/>
        <w:rPr>
          <w:rFonts w:ascii="Verdana" w:eastAsia="Times New Roman" w:hAnsi="Verdana"/>
          <w:b/>
          <w:i/>
          <w:sz w:val="20"/>
          <w:szCs w:val="20"/>
          <w:lang w:val="es-ES" w:eastAsia="es-ES"/>
        </w:rPr>
      </w:pPr>
      <w:bookmarkStart w:id="0" w:name="_Toc20920734"/>
      <w:r w:rsidRPr="00200FDE">
        <w:rPr>
          <w:rFonts w:ascii="Verdana" w:eastAsia="Times New Roman" w:hAnsi="Verdana"/>
          <w:b/>
          <w:i/>
          <w:sz w:val="20"/>
          <w:szCs w:val="20"/>
          <w:lang w:val="es-ES" w:eastAsia="es-ES"/>
        </w:rPr>
        <w:t>Consideraciones de la Corte respecto de la solicitud de medidas provisionales</w:t>
      </w:r>
      <w:bookmarkEnd w:id="0"/>
    </w:p>
    <w:p w14:paraId="5360A52A" w14:textId="77777777" w:rsidR="007A0CCC" w:rsidRPr="007A0CCC" w:rsidRDefault="007A0CCC" w:rsidP="00CB3044">
      <w:pPr>
        <w:spacing w:after="120"/>
        <w:jc w:val="both"/>
        <w:rPr>
          <w:rFonts w:ascii="Verdana" w:hAnsi="Verdana"/>
          <w:sz w:val="20"/>
          <w:szCs w:val="20"/>
        </w:rPr>
      </w:pPr>
    </w:p>
    <w:p w14:paraId="3754AACD" w14:textId="2F1E9472" w:rsidR="00AE787F" w:rsidRPr="007640FC" w:rsidRDefault="00AE787F" w:rsidP="00CB3044">
      <w:pPr>
        <w:pStyle w:val="Prrafodelista"/>
        <w:numPr>
          <w:ilvl w:val="0"/>
          <w:numId w:val="2"/>
        </w:numPr>
        <w:spacing w:after="120"/>
        <w:ind w:left="0" w:firstLine="0"/>
        <w:jc w:val="both"/>
        <w:rPr>
          <w:rFonts w:ascii="Verdana" w:hAnsi="Verdana"/>
          <w:sz w:val="20"/>
          <w:szCs w:val="20"/>
        </w:rPr>
      </w:pPr>
      <w:r w:rsidRPr="00823D83">
        <w:rPr>
          <w:rFonts w:ascii="Verdana" w:hAnsi="Verdana"/>
          <w:sz w:val="20"/>
          <w:szCs w:val="20"/>
        </w:rPr>
        <w:t xml:space="preserve">La Corte emitió Sentencia en el caso </w:t>
      </w:r>
      <w:r w:rsidR="007640FC">
        <w:rPr>
          <w:rFonts w:ascii="Verdana" w:hAnsi="Verdana"/>
          <w:i/>
          <w:iCs/>
          <w:sz w:val="20"/>
          <w:szCs w:val="20"/>
        </w:rPr>
        <w:t>Galindo Cárdenas y o</w:t>
      </w:r>
      <w:r w:rsidRPr="00D4625A">
        <w:rPr>
          <w:rFonts w:ascii="Verdana" w:hAnsi="Verdana"/>
          <w:i/>
          <w:iCs/>
          <w:sz w:val="20"/>
          <w:szCs w:val="20"/>
        </w:rPr>
        <w:t>tros Vs. Perú</w:t>
      </w:r>
      <w:r w:rsidRPr="00823D83">
        <w:rPr>
          <w:rFonts w:ascii="Verdana" w:hAnsi="Verdana"/>
          <w:sz w:val="20"/>
          <w:szCs w:val="20"/>
        </w:rPr>
        <w:t xml:space="preserve"> el 2 de </w:t>
      </w:r>
      <w:r w:rsidR="003B17C0" w:rsidRPr="00823D83">
        <w:rPr>
          <w:rFonts w:ascii="Verdana" w:hAnsi="Verdana"/>
          <w:sz w:val="20"/>
          <w:szCs w:val="20"/>
        </w:rPr>
        <w:t>octubre</w:t>
      </w:r>
      <w:r w:rsidRPr="00823D83">
        <w:rPr>
          <w:rFonts w:ascii="Verdana" w:hAnsi="Verdana"/>
          <w:sz w:val="20"/>
          <w:szCs w:val="20"/>
        </w:rPr>
        <w:t xml:space="preserve"> de 201</w:t>
      </w:r>
      <w:r w:rsidR="003B17C0" w:rsidRPr="00823D83">
        <w:rPr>
          <w:rFonts w:ascii="Verdana" w:hAnsi="Verdana"/>
          <w:sz w:val="20"/>
          <w:szCs w:val="20"/>
        </w:rPr>
        <w:t>5</w:t>
      </w:r>
      <w:r w:rsidRPr="00823D83">
        <w:rPr>
          <w:rFonts w:ascii="Verdana" w:hAnsi="Verdana"/>
          <w:sz w:val="20"/>
          <w:szCs w:val="20"/>
        </w:rPr>
        <w:t xml:space="preserve"> (</w:t>
      </w:r>
      <w:r w:rsidRPr="00823D83">
        <w:rPr>
          <w:rFonts w:ascii="Verdana" w:hAnsi="Verdana"/>
          <w:i/>
          <w:sz w:val="20"/>
          <w:szCs w:val="20"/>
        </w:rPr>
        <w:t>supra</w:t>
      </w:r>
      <w:r w:rsidRPr="00823D83">
        <w:rPr>
          <w:rFonts w:ascii="Verdana" w:hAnsi="Verdana"/>
          <w:sz w:val="20"/>
          <w:szCs w:val="20"/>
        </w:rPr>
        <w:t xml:space="preserve"> Visto 1)</w:t>
      </w:r>
      <w:r w:rsidRPr="007640FC">
        <w:rPr>
          <w:rFonts w:ascii="Verdana" w:hAnsi="Verdana"/>
          <w:sz w:val="20"/>
          <w:szCs w:val="20"/>
        </w:rPr>
        <w:t>.</w:t>
      </w:r>
      <w:r w:rsidR="007640FC" w:rsidRPr="007640FC">
        <w:rPr>
          <w:rFonts w:ascii="Verdana" w:hAnsi="Verdana"/>
          <w:sz w:val="20"/>
          <w:szCs w:val="20"/>
        </w:rPr>
        <w:t xml:space="preserve"> </w:t>
      </w:r>
    </w:p>
    <w:p w14:paraId="47D7E5AA" w14:textId="77777777" w:rsidR="007640FC" w:rsidRPr="002E642C" w:rsidRDefault="007640FC" w:rsidP="002E642C">
      <w:pPr>
        <w:pStyle w:val="Prrafodelista"/>
        <w:spacing w:before="120" w:after="120"/>
        <w:ind w:left="0"/>
        <w:contextualSpacing w:val="0"/>
        <w:jc w:val="both"/>
        <w:rPr>
          <w:rFonts w:ascii="Verdana" w:hAnsi="Verdana"/>
          <w:sz w:val="20"/>
          <w:szCs w:val="20"/>
          <w:lang w:val="es-MX"/>
        </w:rPr>
      </w:pPr>
    </w:p>
    <w:p w14:paraId="4629591B" w14:textId="77777777" w:rsidR="00AE787F" w:rsidRPr="00823D83" w:rsidRDefault="00AE787F" w:rsidP="00CB3044">
      <w:pPr>
        <w:pStyle w:val="Prrafodelista"/>
        <w:numPr>
          <w:ilvl w:val="0"/>
          <w:numId w:val="2"/>
        </w:numPr>
        <w:spacing w:after="120"/>
        <w:ind w:left="0" w:firstLine="0"/>
        <w:jc w:val="both"/>
        <w:rPr>
          <w:rFonts w:ascii="Verdana" w:hAnsi="Verdana"/>
          <w:sz w:val="20"/>
          <w:szCs w:val="20"/>
        </w:rPr>
      </w:pPr>
      <w:r w:rsidRPr="00823D83">
        <w:rPr>
          <w:rFonts w:ascii="Verdana" w:hAnsi="Verdana"/>
          <w:sz w:val="20"/>
          <w:szCs w:val="20"/>
        </w:rPr>
        <w:t>El artículo 63.2 de la Convención Americana sobre Derechos Humanos dispone, en lo relevante, que “[e]n casos de extrema gravedad y urgencia, y cuando se haga necesario evitar daños irreparables a las personas, la Corte, en los asuntos que esté conociendo, podrá tomar las medidas provisionales que considere pertinentes”.</w:t>
      </w:r>
    </w:p>
    <w:p w14:paraId="3B4C4A75" w14:textId="77777777" w:rsidR="00AE787F" w:rsidRPr="002E642C" w:rsidRDefault="00AE787F" w:rsidP="002E642C">
      <w:pPr>
        <w:pStyle w:val="Prrafodelista"/>
        <w:spacing w:before="120" w:after="120"/>
        <w:ind w:left="0"/>
        <w:contextualSpacing w:val="0"/>
        <w:jc w:val="both"/>
        <w:rPr>
          <w:rFonts w:ascii="Verdana" w:hAnsi="Verdana"/>
          <w:sz w:val="20"/>
          <w:szCs w:val="20"/>
          <w:lang w:val="es-MX"/>
        </w:rPr>
      </w:pPr>
    </w:p>
    <w:p w14:paraId="78D148B0" w14:textId="77777777" w:rsidR="00D253EF" w:rsidRPr="00823D83" w:rsidRDefault="00D253EF" w:rsidP="00CB3044">
      <w:pPr>
        <w:pStyle w:val="Prrafodelista"/>
        <w:numPr>
          <w:ilvl w:val="0"/>
          <w:numId w:val="2"/>
        </w:numPr>
        <w:spacing w:after="120"/>
        <w:ind w:left="0" w:firstLine="0"/>
        <w:jc w:val="both"/>
        <w:rPr>
          <w:rFonts w:ascii="Verdana" w:hAnsi="Verdana"/>
          <w:sz w:val="20"/>
          <w:szCs w:val="20"/>
        </w:rPr>
      </w:pPr>
      <w:r w:rsidRPr="00823D83">
        <w:rPr>
          <w:rFonts w:ascii="Verdana" w:hAnsi="Verdana"/>
          <w:sz w:val="20"/>
          <w:szCs w:val="20"/>
        </w:rPr>
        <w:t>En el Derecho Internacional de los Derechos Humanos las medidas provisionales tienen un carácter no sólo cautelar, en el sentido de que preservan una situación jurídica, sino fundamentalmente tutelar por cuanto protegen derechos humanos y en la medida que buscan evitar daños irreparables a las personas. De esta manera, las medidas provisionales se transforman en una verdadera garantía jurisdiccional de carácter preventivo</w:t>
      </w:r>
      <w:r w:rsidRPr="00823D83">
        <w:rPr>
          <w:rStyle w:val="Refdenotaalpie"/>
          <w:sz w:val="20"/>
          <w:szCs w:val="20"/>
        </w:rPr>
        <w:footnoteReference w:id="7"/>
      </w:r>
      <w:r w:rsidRPr="00823D83">
        <w:rPr>
          <w:rFonts w:ascii="Verdana" w:hAnsi="Verdana"/>
          <w:sz w:val="20"/>
          <w:szCs w:val="20"/>
        </w:rPr>
        <w:t>.</w:t>
      </w:r>
    </w:p>
    <w:p w14:paraId="0FDE6E25" w14:textId="77777777" w:rsidR="00D253EF" w:rsidRPr="002E642C" w:rsidRDefault="00D253EF" w:rsidP="002E642C">
      <w:pPr>
        <w:pStyle w:val="Prrafodelista"/>
        <w:spacing w:before="120" w:after="120"/>
        <w:ind w:left="0"/>
        <w:contextualSpacing w:val="0"/>
        <w:jc w:val="both"/>
        <w:rPr>
          <w:rFonts w:ascii="Verdana" w:hAnsi="Verdana"/>
          <w:sz w:val="20"/>
          <w:szCs w:val="20"/>
          <w:lang w:val="es-MX"/>
        </w:rPr>
      </w:pPr>
    </w:p>
    <w:p w14:paraId="63342BA0" w14:textId="77777777" w:rsidR="00346D88" w:rsidRPr="00823D83" w:rsidRDefault="00346D88" w:rsidP="00CB3044">
      <w:pPr>
        <w:pStyle w:val="Prrafodelista"/>
        <w:numPr>
          <w:ilvl w:val="0"/>
          <w:numId w:val="2"/>
        </w:numPr>
        <w:autoSpaceDE w:val="0"/>
        <w:autoSpaceDN w:val="0"/>
        <w:adjustRightInd w:val="0"/>
        <w:spacing w:after="120"/>
        <w:ind w:left="0" w:firstLine="0"/>
        <w:jc w:val="both"/>
        <w:rPr>
          <w:rFonts w:ascii="Verdana" w:eastAsia="Calibri" w:hAnsi="Verdana" w:cs="Calibri"/>
          <w:sz w:val="20"/>
          <w:szCs w:val="20"/>
          <w:lang w:eastAsia="es-ES"/>
        </w:rPr>
      </w:pPr>
      <w:r w:rsidRPr="00823D83">
        <w:rPr>
          <w:rFonts w:ascii="Verdana" w:eastAsia="Times New Roman" w:hAnsi="Verdana"/>
          <w:sz w:val="20"/>
          <w:szCs w:val="20"/>
          <w:lang w:val="es-PR" w:eastAsia="es-ES"/>
        </w:rPr>
        <w:t>Asimismo, el a</w:t>
      </w:r>
      <w:r w:rsidRPr="00823D83">
        <w:rPr>
          <w:rFonts w:ascii="Verdana" w:eastAsia="Times New Roman" w:hAnsi="Verdana" w:cs="Arial"/>
          <w:sz w:val="20"/>
          <w:szCs w:val="20"/>
          <w:lang w:val="es-PR" w:eastAsia="es-ES"/>
        </w:rPr>
        <w:t>rtículo 27.3</w:t>
      </w:r>
      <w:r w:rsidRPr="00823D83">
        <w:rPr>
          <w:rFonts w:ascii="Verdana" w:eastAsia="Times New Roman" w:hAnsi="Verdana"/>
          <w:sz w:val="20"/>
          <w:szCs w:val="20"/>
          <w:lang w:val="es-PR" w:eastAsia="es-ES"/>
        </w:rPr>
        <w:t xml:space="preserve"> del Reglamento del Tribunal establece que</w:t>
      </w:r>
      <w:r w:rsidRPr="00823D83">
        <w:rPr>
          <w:rFonts w:ascii="Verdana" w:eastAsia="Times New Roman" w:hAnsi="Verdana" w:cs="Arial"/>
          <w:sz w:val="20"/>
          <w:szCs w:val="20"/>
          <w:lang w:val="es-PR" w:eastAsia="es-ES"/>
        </w:rPr>
        <w:t xml:space="preserve">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6D1D4DF1" w14:textId="77777777" w:rsidR="007A0CCC" w:rsidRPr="002E642C" w:rsidRDefault="007A0CCC" w:rsidP="002E642C">
      <w:pPr>
        <w:pStyle w:val="Prrafodelista"/>
        <w:spacing w:before="120" w:after="120"/>
        <w:ind w:left="0"/>
        <w:contextualSpacing w:val="0"/>
        <w:jc w:val="both"/>
        <w:rPr>
          <w:rFonts w:ascii="Verdana" w:hAnsi="Verdana"/>
          <w:sz w:val="20"/>
          <w:szCs w:val="20"/>
          <w:lang w:val="es-MX"/>
        </w:rPr>
      </w:pPr>
    </w:p>
    <w:p w14:paraId="04204AB8" w14:textId="41BEB6D9" w:rsidR="003B17C0" w:rsidRPr="00823D83" w:rsidRDefault="003B17C0" w:rsidP="00CB3044">
      <w:pPr>
        <w:pStyle w:val="Prrafodelista"/>
        <w:numPr>
          <w:ilvl w:val="0"/>
          <w:numId w:val="2"/>
        </w:numPr>
        <w:spacing w:after="120"/>
        <w:ind w:left="0" w:firstLine="0"/>
        <w:jc w:val="both"/>
        <w:rPr>
          <w:rFonts w:ascii="Verdana" w:hAnsi="Verdana"/>
          <w:sz w:val="20"/>
          <w:szCs w:val="20"/>
        </w:rPr>
      </w:pPr>
      <w:r w:rsidRPr="00823D83">
        <w:rPr>
          <w:rFonts w:ascii="Verdana" w:hAnsi="Verdana"/>
          <w:sz w:val="20"/>
          <w:szCs w:val="20"/>
        </w:rPr>
        <w:t xml:space="preserve">La solicitud de medidas provisionales fue presentada por la víctima del </w:t>
      </w:r>
      <w:r w:rsidRPr="00823D83">
        <w:rPr>
          <w:rFonts w:ascii="Verdana" w:hAnsi="Verdana"/>
          <w:i/>
          <w:sz w:val="20"/>
          <w:szCs w:val="20"/>
        </w:rPr>
        <w:t>caso Galindo Cárdenas y Otros Vs. Perú</w:t>
      </w:r>
      <w:r w:rsidRPr="00823D83">
        <w:rPr>
          <w:rFonts w:ascii="Verdana" w:hAnsi="Verdana"/>
          <w:sz w:val="20"/>
          <w:szCs w:val="20"/>
        </w:rPr>
        <w:t xml:space="preserve">, el cual se encuentra actualmente en etapa de supervisión de cumplimiento de sentencia, con lo cual se cumple con lo requerido en dicho artículo 27.3 en lo que respecta a la legitimación para presentar la solicitud.  </w:t>
      </w:r>
    </w:p>
    <w:p w14:paraId="4C797E78" w14:textId="77777777" w:rsidR="003B17C0" w:rsidRPr="002E642C" w:rsidRDefault="003B17C0" w:rsidP="002E642C">
      <w:pPr>
        <w:pStyle w:val="Prrafodelista"/>
        <w:spacing w:before="120" w:after="120"/>
        <w:ind w:left="0"/>
        <w:contextualSpacing w:val="0"/>
        <w:jc w:val="both"/>
        <w:rPr>
          <w:rFonts w:ascii="Verdana" w:hAnsi="Verdana"/>
          <w:sz w:val="20"/>
          <w:szCs w:val="20"/>
          <w:lang w:val="es-MX"/>
        </w:rPr>
      </w:pPr>
    </w:p>
    <w:p w14:paraId="5FEBEA7E" w14:textId="6FA4C65D" w:rsidR="007164FE" w:rsidRDefault="003A14B4" w:rsidP="00CB3044">
      <w:pPr>
        <w:pStyle w:val="Prrafodelista"/>
        <w:numPr>
          <w:ilvl w:val="0"/>
          <w:numId w:val="2"/>
        </w:numPr>
        <w:autoSpaceDE w:val="0"/>
        <w:autoSpaceDN w:val="0"/>
        <w:adjustRightInd w:val="0"/>
        <w:spacing w:after="120"/>
        <w:ind w:left="0" w:firstLine="0"/>
        <w:jc w:val="both"/>
        <w:rPr>
          <w:rFonts w:ascii="Verdana" w:eastAsia="Calibri" w:hAnsi="Verdana" w:cs="Calibri"/>
          <w:sz w:val="20"/>
          <w:szCs w:val="20"/>
          <w:lang w:eastAsia="es-ES"/>
        </w:rPr>
      </w:pPr>
      <w:r>
        <w:rPr>
          <w:rFonts w:ascii="Verdana" w:eastAsia="Calibri" w:hAnsi="Verdana" w:cs="Calibri"/>
          <w:sz w:val="20"/>
          <w:szCs w:val="20"/>
          <w:lang w:eastAsia="es-ES"/>
        </w:rPr>
        <w:t xml:space="preserve">La solicitud presentada por la víctima se fundamenta en la alegada “ausencia de garantías judiciales” en la investigación penal </w:t>
      </w:r>
      <w:r w:rsidR="007164FE">
        <w:rPr>
          <w:rFonts w:ascii="Verdana" w:eastAsia="Calibri" w:hAnsi="Verdana" w:cs="Calibri"/>
          <w:sz w:val="20"/>
          <w:szCs w:val="20"/>
          <w:lang w:eastAsia="es-ES"/>
        </w:rPr>
        <w:t>iniciada en sede interna por la presunta comisión de los delitos de tortura y contra la libertad en su agravio, así como en el “incumplimiento de la reparación material o económica” que fue</w:t>
      </w:r>
      <w:r w:rsidR="00CE74B9">
        <w:rPr>
          <w:rFonts w:ascii="Verdana" w:eastAsia="Calibri" w:hAnsi="Verdana" w:cs="Calibri"/>
          <w:sz w:val="20"/>
          <w:szCs w:val="20"/>
          <w:lang w:eastAsia="es-ES"/>
        </w:rPr>
        <w:t>ron</w:t>
      </w:r>
      <w:r w:rsidR="007164FE">
        <w:rPr>
          <w:rFonts w:ascii="Verdana" w:eastAsia="Calibri" w:hAnsi="Verdana" w:cs="Calibri"/>
          <w:sz w:val="20"/>
          <w:szCs w:val="20"/>
          <w:lang w:eastAsia="es-ES"/>
        </w:rPr>
        <w:t xml:space="preserve"> ordenada</w:t>
      </w:r>
      <w:r w:rsidR="00CE74B9">
        <w:rPr>
          <w:rFonts w:ascii="Verdana" w:eastAsia="Calibri" w:hAnsi="Verdana" w:cs="Calibri"/>
          <w:sz w:val="20"/>
          <w:szCs w:val="20"/>
          <w:lang w:eastAsia="es-ES"/>
        </w:rPr>
        <w:t>s</w:t>
      </w:r>
      <w:r w:rsidR="007164FE">
        <w:rPr>
          <w:rFonts w:ascii="Verdana" w:eastAsia="Calibri" w:hAnsi="Verdana" w:cs="Calibri"/>
          <w:sz w:val="20"/>
          <w:szCs w:val="20"/>
          <w:lang w:eastAsia="es-ES"/>
        </w:rPr>
        <w:t xml:space="preserve"> en la Sentencia</w:t>
      </w:r>
      <w:r w:rsidR="00CE74B9">
        <w:rPr>
          <w:rFonts w:ascii="Verdana" w:eastAsia="Calibri" w:hAnsi="Verdana" w:cs="Calibri"/>
          <w:sz w:val="20"/>
          <w:szCs w:val="20"/>
          <w:lang w:eastAsia="es-ES"/>
        </w:rPr>
        <w:t xml:space="preserve"> (</w:t>
      </w:r>
      <w:r w:rsidR="00CE74B9" w:rsidRPr="00CE74B9">
        <w:rPr>
          <w:rFonts w:ascii="Verdana" w:eastAsia="Calibri" w:hAnsi="Verdana" w:cs="Calibri"/>
          <w:i/>
          <w:sz w:val="20"/>
          <w:szCs w:val="20"/>
          <w:lang w:eastAsia="es-ES"/>
        </w:rPr>
        <w:t>infra</w:t>
      </w:r>
      <w:r w:rsidR="00CE74B9">
        <w:rPr>
          <w:rFonts w:ascii="Verdana" w:eastAsia="Calibri" w:hAnsi="Verdana" w:cs="Calibri"/>
          <w:sz w:val="20"/>
          <w:szCs w:val="20"/>
          <w:lang w:eastAsia="es-ES"/>
        </w:rPr>
        <w:t xml:space="preserve"> Considerandos 11 y 14)</w:t>
      </w:r>
      <w:r w:rsidR="007164FE">
        <w:rPr>
          <w:rFonts w:ascii="Verdana" w:eastAsia="Calibri" w:hAnsi="Verdana" w:cs="Calibri"/>
          <w:sz w:val="20"/>
          <w:szCs w:val="20"/>
          <w:lang w:eastAsia="es-ES"/>
        </w:rPr>
        <w:t>.</w:t>
      </w:r>
    </w:p>
    <w:p w14:paraId="788FD656" w14:textId="77777777" w:rsidR="007164FE" w:rsidRPr="002E642C" w:rsidRDefault="007164FE" w:rsidP="002E642C">
      <w:pPr>
        <w:pStyle w:val="Prrafodelista"/>
        <w:spacing w:before="120" w:after="120"/>
        <w:ind w:left="0"/>
        <w:contextualSpacing w:val="0"/>
        <w:jc w:val="both"/>
        <w:rPr>
          <w:rFonts w:ascii="Verdana" w:hAnsi="Verdana"/>
          <w:sz w:val="20"/>
          <w:szCs w:val="20"/>
          <w:lang w:val="es-MX"/>
        </w:rPr>
      </w:pPr>
    </w:p>
    <w:p w14:paraId="0ADE2CB6" w14:textId="2F8E2D7A" w:rsidR="00823D83" w:rsidRPr="00CB7179" w:rsidRDefault="007164FE" w:rsidP="00CB3044">
      <w:pPr>
        <w:pStyle w:val="Prrafodelista"/>
        <w:numPr>
          <w:ilvl w:val="0"/>
          <w:numId w:val="2"/>
        </w:numPr>
        <w:autoSpaceDE w:val="0"/>
        <w:autoSpaceDN w:val="0"/>
        <w:adjustRightInd w:val="0"/>
        <w:spacing w:after="120"/>
        <w:ind w:left="0" w:firstLine="0"/>
        <w:jc w:val="both"/>
        <w:rPr>
          <w:rFonts w:ascii="Verdana" w:hAnsi="Verdana"/>
          <w:sz w:val="20"/>
          <w:szCs w:val="20"/>
        </w:rPr>
      </w:pPr>
      <w:r w:rsidRPr="00CB7179">
        <w:rPr>
          <w:rFonts w:ascii="Verdana" w:eastAsia="Calibri" w:hAnsi="Verdana" w:cs="Calibri"/>
          <w:sz w:val="20"/>
          <w:szCs w:val="20"/>
          <w:lang w:eastAsia="es-ES"/>
        </w:rPr>
        <w:t>El Tribunal</w:t>
      </w:r>
      <w:r w:rsidR="00823D83" w:rsidRPr="00CB7179">
        <w:rPr>
          <w:rFonts w:ascii="Verdana" w:eastAsia="Calibri" w:hAnsi="Verdana" w:cs="Calibri"/>
          <w:sz w:val="20"/>
          <w:szCs w:val="20"/>
          <w:lang w:eastAsia="es-ES"/>
        </w:rPr>
        <w:t xml:space="preserve"> observa que las medidas que solicita la víctima están estrechamente vinculadas con la materia objeto de las medidas de reparación </w:t>
      </w:r>
      <w:r w:rsidR="00EE719D" w:rsidRPr="00CB7179">
        <w:rPr>
          <w:rFonts w:ascii="Verdana" w:eastAsia="Calibri" w:hAnsi="Verdana" w:cs="Calibri"/>
          <w:sz w:val="20"/>
          <w:szCs w:val="20"/>
          <w:lang w:eastAsia="es-ES"/>
        </w:rPr>
        <w:t xml:space="preserve">que han sido </w:t>
      </w:r>
      <w:r w:rsidR="00823D83" w:rsidRPr="00CB7179">
        <w:rPr>
          <w:rFonts w:ascii="Verdana" w:eastAsia="Calibri" w:hAnsi="Verdana" w:cs="Calibri"/>
          <w:sz w:val="20"/>
          <w:szCs w:val="20"/>
          <w:lang w:eastAsia="es-ES"/>
        </w:rPr>
        <w:t xml:space="preserve">ordenadas en </w:t>
      </w:r>
      <w:r w:rsidR="00CB7179" w:rsidRPr="00CB7179">
        <w:rPr>
          <w:rFonts w:ascii="Verdana" w:eastAsia="Calibri" w:hAnsi="Verdana" w:cs="Calibri"/>
          <w:sz w:val="20"/>
          <w:szCs w:val="20"/>
          <w:lang w:eastAsia="es-ES"/>
        </w:rPr>
        <w:t xml:space="preserve">los puntos </w:t>
      </w:r>
      <w:r w:rsidR="00EE719D" w:rsidRPr="00CB7179">
        <w:rPr>
          <w:rFonts w:ascii="Verdana" w:eastAsia="Calibri" w:hAnsi="Verdana" w:cs="Calibri"/>
          <w:sz w:val="20"/>
          <w:szCs w:val="20"/>
          <w:lang w:eastAsia="es-ES"/>
        </w:rPr>
        <w:t>resolutivo</w:t>
      </w:r>
      <w:r w:rsidR="00CB7179" w:rsidRPr="00CB7179">
        <w:rPr>
          <w:rFonts w:ascii="Verdana" w:eastAsia="Calibri" w:hAnsi="Verdana" w:cs="Calibri"/>
          <w:sz w:val="20"/>
          <w:szCs w:val="20"/>
          <w:lang w:eastAsia="es-ES"/>
        </w:rPr>
        <w:t>s</w:t>
      </w:r>
      <w:r w:rsidR="00EE719D" w:rsidRPr="00CB7179">
        <w:rPr>
          <w:rFonts w:ascii="Verdana" w:eastAsia="Calibri" w:hAnsi="Verdana" w:cs="Calibri"/>
          <w:sz w:val="20"/>
          <w:szCs w:val="20"/>
          <w:lang w:eastAsia="es-ES"/>
        </w:rPr>
        <w:t xml:space="preserve"> </w:t>
      </w:r>
      <w:r w:rsidR="00B507EE" w:rsidRPr="00CB7179">
        <w:rPr>
          <w:rFonts w:ascii="Verdana" w:eastAsia="Calibri" w:hAnsi="Verdana" w:cs="Calibri"/>
          <w:sz w:val="20"/>
          <w:szCs w:val="20"/>
          <w:lang w:eastAsia="es-ES"/>
        </w:rPr>
        <w:t>noveno</w:t>
      </w:r>
      <w:r w:rsidR="00CB7179" w:rsidRPr="00CB7179">
        <w:rPr>
          <w:rFonts w:ascii="Verdana" w:eastAsia="Calibri" w:hAnsi="Verdana" w:cs="Calibri"/>
          <w:sz w:val="20"/>
          <w:szCs w:val="20"/>
          <w:lang w:eastAsia="es-ES"/>
        </w:rPr>
        <w:t xml:space="preserve"> y décimo tercero</w:t>
      </w:r>
      <w:r w:rsidR="00B507EE" w:rsidRPr="00CB7179">
        <w:rPr>
          <w:rFonts w:ascii="Verdana" w:eastAsia="Calibri" w:hAnsi="Verdana" w:cs="Calibri"/>
          <w:sz w:val="20"/>
          <w:szCs w:val="20"/>
          <w:lang w:eastAsia="es-ES"/>
        </w:rPr>
        <w:t xml:space="preserve"> </w:t>
      </w:r>
      <w:r w:rsidR="00EE719D" w:rsidRPr="00CB7179">
        <w:rPr>
          <w:rFonts w:ascii="Verdana" w:eastAsia="Calibri" w:hAnsi="Verdana" w:cs="Calibri"/>
          <w:sz w:val="20"/>
          <w:szCs w:val="20"/>
          <w:lang w:eastAsia="es-ES"/>
        </w:rPr>
        <w:t>de la Sentencia</w:t>
      </w:r>
      <w:r w:rsidR="00CB7179" w:rsidRPr="00CB7179">
        <w:rPr>
          <w:rFonts w:ascii="Verdana" w:eastAsia="Calibri" w:hAnsi="Verdana" w:cs="Calibri"/>
          <w:sz w:val="20"/>
          <w:szCs w:val="20"/>
          <w:lang w:eastAsia="es-ES"/>
        </w:rPr>
        <w:t xml:space="preserve"> </w:t>
      </w:r>
      <w:r w:rsidR="00CB7179" w:rsidRPr="00CB7179">
        <w:rPr>
          <w:rFonts w:ascii="Verdana" w:hAnsi="Verdana"/>
          <w:sz w:val="20"/>
          <w:szCs w:val="20"/>
        </w:rPr>
        <w:t>(</w:t>
      </w:r>
      <w:r w:rsidR="00CB7179" w:rsidRPr="00CB7179">
        <w:rPr>
          <w:rFonts w:ascii="Verdana" w:hAnsi="Verdana"/>
          <w:i/>
          <w:sz w:val="20"/>
          <w:szCs w:val="20"/>
        </w:rPr>
        <w:t>infra</w:t>
      </w:r>
      <w:r w:rsidR="00CB7179" w:rsidRPr="00CB7179">
        <w:rPr>
          <w:rFonts w:ascii="Verdana" w:hAnsi="Verdana"/>
          <w:sz w:val="20"/>
          <w:szCs w:val="20"/>
        </w:rPr>
        <w:t xml:space="preserve"> Considerandos 11 y 14)</w:t>
      </w:r>
      <w:r w:rsidR="00CB7179">
        <w:rPr>
          <w:rFonts w:ascii="Verdana" w:eastAsia="Calibri" w:hAnsi="Verdana" w:cs="Calibri"/>
          <w:sz w:val="20"/>
          <w:szCs w:val="20"/>
          <w:lang w:eastAsia="es-ES"/>
        </w:rPr>
        <w:t>.</w:t>
      </w:r>
    </w:p>
    <w:p w14:paraId="45F66A45" w14:textId="77777777" w:rsidR="00CB7179" w:rsidRPr="002E642C" w:rsidRDefault="00CB7179" w:rsidP="002E642C">
      <w:pPr>
        <w:pStyle w:val="Prrafodelista"/>
        <w:spacing w:before="120" w:after="120"/>
        <w:ind w:left="0"/>
        <w:contextualSpacing w:val="0"/>
        <w:jc w:val="both"/>
        <w:rPr>
          <w:rFonts w:ascii="Verdana" w:hAnsi="Verdana"/>
          <w:sz w:val="20"/>
          <w:szCs w:val="20"/>
          <w:lang w:val="es-MX"/>
        </w:rPr>
      </w:pPr>
    </w:p>
    <w:p w14:paraId="245E2A18" w14:textId="4F546158" w:rsidR="00823D83" w:rsidRPr="003758F5" w:rsidRDefault="00823D83" w:rsidP="00CB3044">
      <w:pPr>
        <w:pStyle w:val="Prrafodelista"/>
        <w:numPr>
          <w:ilvl w:val="0"/>
          <w:numId w:val="2"/>
        </w:numPr>
        <w:autoSpaceDE w:val="0"/>
        <w:autoSpaceDN w:val="0"/>
        <w:adjustRightInd w:val="0"/>
        <w:spacing w:after="120"/>
        <w:ind w:left="0" w:firstLine="0"/>
        <w:jc w:val="both"/>
        <w:rPr>
          <w:rFonts w:ascii="Verdana" w:eastAsia="Calibri" w:hAnsi="Verdana" w:cs="Calibri"/>
          <w:sz w:val="20"/>
          <w:szCs w:val="20"/>
          <w:lang w:eastAsia="es-ES"/>
        </w:rPr>
      </w:pPr>
      <w:r w:rsidRPr="00823D83">
        <w:rPr>
          <w:rFonts w:ascii="Verdana" w:hAnsi="Verdana"/>
          <w:sz w:val="20"/>
          <w:szCs w:val="20"/>
        </w:rPr>
        <w:t>L</w:t>
      </w:r>
      <w:r w:rsidRPr="00823D83">
        <w:rPr>
          <w:rFonts w:ascii="Verdana" w:eastAsia="Verdana" w:hAnsi="Verdana" w:cs="Verdana"/>
          <w:sz w:val="20"/>
          <w:szCs w:val="20"/>
        </w:rPr>
        <w:t xml:space="preserve">a Corte ha considerado como regla general que </w:t>
      </w:r>
      <w:r w:rsidRPr="00823D83">
        <w:rPr>
          <w:rFonts w:ascii="Verdana" w:hAnsi="Verdana"/>
          <w:sz w:val="20"/>
          <w:szCs w:val="20"/>
          <w:lang w:val="es-AR"/>
        </w:rPr>
        <w:t>la valoración de información relacionada con el cumplimiento de medidas de reparación ordenadas en la Sentencia de</w:t>
      </w:r>
      <w:r w:rsidR="009D64A6">
        <w:rPr>
          <w:rFonts w:ascii="Verdana" w:hAnsi="Verdana"/>
          <w:sz w:val="20"/>
          <w:szCs w:val="20"/>
          <w:lang w:val="es-AR"/>
        </w:rPr>
        <w:t>be ser efectuada</w:t>
      </w:r>
      <w:r w:rsidRPr="00823D83">
        <w:rPr>
          <w:rFonts w:ascii="Verdana" w:hAnsi="Verdana"/>
          <w:sz w:val="20"/>
          <w:szCs w:val="20"/>
          <w:lang w:val="es-AR"/>
        </w:rPr>
        <w:t xml:space="preserve"> en el marco de la supervisión de cumplimiento de Sentencia. Así lo ha entendido en múltiples casos</w:t>
      </w:r>
      <w:r w:rsidR="00D15F66">
        <w:rPr>
          <w:rStyle w:val="Refdenotaalpie"/>
          <w:sz w:val="20"/>
          <w:szCs w:val="20"/>
        </w:rPr>
        <w:footnoteReference w:id="8"/>
      </w:r>
      <w:r w:rsidRPr="00823D83">
        <w:rPr>
          <w:rFonts w:ascii="Verdana" w:hAnsi="Verdana"/>
          <w:sz w:val="20"/>
          <w:szCs w:val="20"/>
          <w:lang w:val="es-AR"/>
        </w:rPr>
        <w:t xml:space="preserve">. Sin embargo, de forma excepcional ha </w:t>
      </w:r>
      <w:r w:rsidR="00801C24">
        <w:rPr>
          <w:rFonts w:ascii="Verdana" w:hAnsi="Verdana"/>
          <w:sz w:val="20"/>
          <w:szCs w:val="20"/>
          <w:lang w:val="es-AR"/>
        </w:rPr>
        <w:t xml:space="preserve">analizado si se configuran los requisitos para adoptar </w:t>
      </w:r>
      <w:r w:rsidRPr="00823D83">
        <w:rPr>
          <w:rFonts w:ascii="Verdana" w:hAnsi="Verdana"/>
          <w:sz w:val="20"/>
          <w:szCs w:val="20"/>
          <w:lang w:val="es-AR"/>
        </w:rPr>
        <w:t>medidas provisionales ante condiciones de particular gravedad cuando guardan relación con la Sentencia</w:t>
      </w:r>
      <w:r w:rsidR="00D15F66">
        <w:rPr>
          <w:rStyle w:val="Refdenotaalpie"/>
          <w:sz w:val="20"/>
          <w:szCs w:val="20"/>
        </w:rPr>
        <w:footnoteReference w:id="9"/>
      </w:r>
      <w:r w:rsidR="00D15F66">
        <w:rPr>
          <w:rFonts w:ascii="Verdana" w:hAnsi="Verdana"/>
          <w:sz w:val="20"/>
          <w:szCs w:val="20"/>
        </w:rPr>
        <w:t>.</w:t>
      </w:r>
      <w:r w:rsidRPr="00823D83">
        <w:rPr>
          <w:rFonts w:ascii="Verdana" w:hAnsi="Verdana"/>
          <w:sz w:val="20"/>
          <w:szCs w:val="20"/>
          <w:lang w:val="es-AR"/>
        </w:rPr>
        <w:t xml:space="preserve"> </w:t>
      </w:r>
    </w:p>
    <w:p w14:paraId="5469BDA9" w14:textId="77777777" w:rsidR="003758F5" w:rsidRPr="002E642C" w:rsidRDefault="003758F5" w:rsidP="002E642C">
      <w:pPr>
        <w:pStyle w:val="Prrafodelista"/>
        <w:spacing w:before="120" w:after="120"/>
        <w:ind w:left="0"/>
        <w:contextualSpacing w:val="0"/>
        <w:jc w:val="both"/>
        <w:rPr>
          <w:rFonts w:ascii="Verdana" w:hAnsi="Verdana"/>
          <w:sz w:val="20"/>
          <w:szCs w:val="20"/>
          <w:lang w:val="es-MX"/>
        </w:rPr>
      </w:pPr>
    </w:p>
    <w:p w14:paraId="4B2BD380" w14:textId="746D4EF4" w:rsidR="00823D83" w:rsidRPr="00E3149D" w:rsidRDefault="00823D83" w:rsidP="00CB3044">
      <w:pPr>
        <w:pStyle w:val="Prrafodelista"/>
        <w:numPr>
          <w:ilvl w:val="0"/>
          <w:numId w:val="2"/>
        </w:numPr>
        <w:autoSpaceDE w:val="0"/>
        <w:autoSpaceDN w:val="0"/>
        <w:adjustRightInd w:val="0"/>
        <w:spacing w:after="120"/>
        <w:ind w:left="0" w:firstLine="0"/>
        <w:jc w:val="both"/>
        <w:rPr>
          <w:rFonts w:ascii="Verdana" w:eastAsia="Calibri" w:hAnsi="Verdana" w:cs="Calibri"/>
          <w:sz w:val="20"/>
          <w:szCs w:val="20"/>
          <w:lang w:val="es-MX" w:eastAsia="es-ES"/>
        </w:rPr>
      </w:pPr>
      <w:r w:rsidRPr="00823D83">
        <w:rPr>
          <w:rFonts w:ascii="Verdana" w:hAnsi="Verdana"/>
          <w:sz w:val="20"/>
          <w:szCs w:val="20"/>
          <w:lang w:val="es-AR"/>
        </w:rPr>
        <w:t xml:space="preserve">En este caso, </w:t>
      </w:r>
      <w:r w:rsidRPr="00823D83">
        <w:rPr>
          <w:rFonts w:ascii="Verdana" w:eastAsia="Calibri" w:hAnsi="Verdana" w:cs="Calibri"/>
          <w:sz w:val="20"/>
          <w:szCs w:val="20"/>
          <w:lang w:val="es-MX" w:eastAsia="es-ES"/>
        </w:rPr>
        <w:t xml:space="preserve">el Tribunal </w:t>
      </w:r>
      <w:r w:rsidRPr="00823D83">
        <w:rPr>
          <w:rFonts w:ascii="Verdana" w:eastAsia="Times New Roman" w:hAnsi="Verdana"/>
          <w:sz w:val="20"/>
          <w:szCs w:val="20"/>
          <w:lang w:val="es-MX" w:eastAsia="es-ES"/>
        </w:rPr>
        <w:t>considera que la información y argumentos expuestos por la víctima en la solicitud de medidas provisionales requieren ser evaluados en el marco de la supervisión del cumplimiento de la Sentencia y no bajo un análisis de los requisitos convencionales de las medidas provisionales. Por tanto, el Tribunal encuentra improcedente la adopción de las medidas provisionales solicitadas en el presente caso.</w:t>
      </w:r>
    </w:p>
    <w:p w14:paraId="6DCD31F6" w14:textId="74028F25" w:rsidR="00823D83" w:rsidRDefault="00823D83" w:rsidP="00CB3044">
      <w:pPr>
        <w:pStyle w:val="Prrafodelista"/>
        <w:autoSpaceDE w:val="0"/>
        <w:autoSpaceDN w:val="0"/>
        <w:adjustRightInd w:val="0"/>
        <w:spacing w:after="120"/>
        <w:jc w:val="both"/>
        <w:rPr>
          <w:rFonts w:ascii="Verdana" w:eastAsia="Times New Roman" w:hAnsi="Verdana"/>
          <w:sz w:val="20"/>
          <w:lang w:val="es-MX" w:eastAsia="es-ES"/>
        </w:rPr>
      </w:pPr>
    </w:p>
    <w:p w14:paraId="213A641F" w14:textId="77777777" w:rsidR="00823D83" w:rsidRDefault="00823D83" w:rsidP="00CB3044">
      <w:pPr>
        <w:pStyle w:val="Prrafodelista"/>
        <w:autoSpaceDE w:val="0"/>
        <w:autoSpaceDN w:val="0"/>
        <w:adjustRightInd w:val="0"/>
        <w:spacing w:after="120"/>
        <w:jc w:val="both"/>
        <w:rPr>
          <w:rFonts w:ascii="Verdana" w:eastAsia="Calibri" w:hAnsi="Verdana" w:cs="Calibri"/>
          <w:sz w:val="20"/>
          <w:szCs w:val="20"/>
          <w:lang w:val="es-MX" w:eastAsia="es-ES"/>
        </w:rPr>
      </w:pPr>
    </w:p>
    <w:p w14:paraId="44EB9332" w14:textId="3267706A" w:rsidR="00823D83" w:rsidRPr="00200FDE" w:rsidRDefault="00823D83" w:rsidP="00CB3044">
      <w:pPr>
        <w:pStyle w:val="Prrafodelista"/>
        <w:numPr>
          <w:ilvl w:val="0"/>
          <w:numId w:val="8"/>
        </w:numPr>
        <w:spacing w:after="120"/>
        <w:ind w:right="14"/>
        <w:jc w:val="both"/>
        <w:outlineLvl w:val="0"/>
        <w:rPr>
          <w:rFonts w:ascii="Verdana" w:eastAsia="Times New Roman" w:hAnsi="Verdana"/>
          <w:b/>
          <w:i/>
          <w:sz w:val="20"/>
          <w:szCs w:val="20"/>
          <w:lang w:val="es-ES" w:eastAsia="es-ES"/>
        </w:rPr>
      </w:pPr>
      <w:bookmarkStart w:id="1" w:name="_Toc20920735"/>
      <w:r w:rsidRPr="00200FDE">
        <w:rPr>
          <w:rFonts w:ascii="Verdana" w:eastAsia="Times New Roman" w:hAnsi="Verdana"/>
          <w:b/>
          <w:i/>
          <w:sz w:val="20"/>
          <w:szCs w:val="20"/>
          <w:lang w:val="es-ES" w:eastAsia="es-ES"/>
        </w:rPr>
        <w:t>Supervisión de cumplimiento</w:t>
      </w:r>
      <w:bookmarkEnd w:id="1"/>
      <w:r w:rsidRPr="00200FDE">
        <w:rPr>
          <w:rFonts w:ascii="Verdana" w:eastAsia="Times New Roman" w:hAnsi="Verdana"/>
          <w:b/>
          <w:i/>
          <w:sz w:val="20"/>
          <w:szCs w:val="20"/>
          <w:lang w:val="es-ES" w:eastAsia="es-ES"/>
        </w:rPr>
        <w:t xml:space="preserve"> de </w:t>
      </w:r>
      <w:r w:rsidR="009D19EC">
        <w:rPr>
          <w:rFonts w:ascii="Verdana" w:eastAsia="Times New Roman" w:hAnsi="Verdana"/>
          <w:b/>
          <w:i/>
          <w:sz w:val="20"/>
          <w:szCs w:val="20"/>
          <w:lang w:val="es-ES" w:eastAsia="es-ES"/>
        </w:rPr>
        <w:t>la obligación de investigar y del pago de indemnizaciones</w:t>
      </w:r>
    </w:p>
    <w:p w14:paraId="484E534C" w14:textId="77777777" w:rsidR="00D15F66" w:rsidRPr="004A2A98" w:rsidRDefault="00D15F66" w:rsidP="00CB3044">
      <w:pPr>
        <w:spacing w:after="120"/>
        <w:ind w:left="720" w:right="14" w:hanging="360"/>
        <w:jc w:val="both"/>
        <w:outlineLvl w:val="0"/>
        <w:rPr>
          <w:rFonts w:ascii="Verdana" w:eastAsia="Times New Roman" w:hAnsi="Verdana"/>
          <w:b/>
          <w:i/>
          <w:sz w:val="10"/>
          <w:szCs w:val="20"/>
          <w:lang w:val="es-ES" w:eastAsia="es-ES"/>
        </w:rPr>
      </w:pPr>
    </w:p>
    <w:p w14:paraId="446B6321" w14:textId="14180D0B" w:rsidR="00EE719D" w:rsidRPr="00EE719D" w:rsidRDefault="00EE719D" w:rsidP="00CB3044">
      <w:pPr>
        <w:numPr>
          <w:ilvl w:val="0"/>
          <w:numId w:val="2"/>
        </w:numPr>
        <w:autoSpaceDE w:val="0"/>
        <w:autoSpaceDN w:val="0"/>
        <w:adjustRightInd w:val="0"/>
        <w:spacing w:after="120"/>
        <w:ind w:left="0" w:firstLine="0"/>
        <w:jc w:val="both"/>
      </w:pPr>
      <w:r>
        <w:rPr>
          <w:rFonts w:ascii="Verdana" w:hAnsi="Verdana"/>
          <w:sz w:val="20"/>
          <w:szCs w:val="20"/>
        </w:rPr>
        <w:t>Debido a que lo indicado en las</w:t>
      </w:r>
      <w:r w:rsidRPr="00D34321">
        <w:rPr>
          <w:rFonts w:ascii="Verdana" w:hAnsi="Verdana"/>
          <w:sz w:val="20"/>
          <w:szCs w:val="20"/>
        </w:rPr>
        <w:t xml:space="preserve"> consideraciones anteriores</w:t>
      </w:r>
      <w:r>
        <w:rPr>
          <w:rFonts w:ascii="Verdana" w:hAnsi="Verdana"/>
          <w:sz w:val="20"/>
          <w:szCs w:val="20"/>
        </w:rPr>
        <w:t xml:space="preserve"> concierne al cumplimiento de la </w:t>
      </w:r>
      <w:r w:rsidR="002F4366">
        <w:rPr>
          <w:rFonts w:ascii="Verdana" w:hAnsi="Verdana"/>
          <w:sz w:val="20"/>
          <w:szCs w:val="20"/>
        </w:rPr>
        <w:t>S</w:t>
      </w:r>
      <w:r>
        <w:rPr>
          <w:rFonts w:ascii="Verdana" w:hAnsi="Verdana"/>
          <w:sz w:val="20"/>
          <w:szCs w:val="20"/>
        </w:rPr>
        <w:t xml:space="preserve">entencia del caso </w:t>
      </w:r>
      <w:r>
        <w:rPr>
          <w:rFonts w:ascii="Verdana" w:hAnsi="Verdana"/>
          <w:i/>
          <w:sz w:val="20"/>
          <w:szCs w:val="20"/>
        </w:rPr>
        <w:t>Galindo Cárdenas y Otros</w:t>
      </w:r>
      <w:r w:rsidRPr="00D34321">
        <w:rPr>
          <w:rFonts w:ascii="Verdana" w:hAnsi="Verdana"/>
          <w:sz w:val="20"/>
          <w:szCs w:val="20"/>
        </w:rPr>
        <w:t>,</w:t>
      </w:r>
      <w:r>
        <w:rPr>
          <w:rFonts w:ascii="Verdana" w:hAnsi="Verdana"/>
          <w:sz w:val="20"/>
          <w:szCs w:val="20"/>
        </w:rPr>
        <w:t xml:space="preserve"> respecto de las medidas relativas al deber de investigar y al pago de indemnizaciones por concepto de daño</w:t>
      </w:r>
      <w:r w:rsidR="00323530">
        <w:rPr>
          <w:rFonts w:ascii="Verdana" w:hAnsi="Verdana"/>
          <w:sz w:val="20"/>
          <w:szCs w:val="20"/>
        </w:rPr>
        <w:t>s</w:t>
      </w:r>
      <w:r>
        <w:rPr>
          <w:rFonts w:ascii="Verdana" w:hAnsi="Verdana"/>
          <w:sz w:val="20"/>
          <w:szCs w:val="20"/>
        </w:rPr>
        <w:t xml:space="preserve"> materiales e inmateriales, la</w:t>
      </w:r>
      <w:r>
        <w:rPr>
          <w:rFonts w:ascii="Verdana" w:hAnsi="Verdana"/>
          <w:color w:val="000000"/>
          <w:sz w:val="20"/>
          <w:szCs w:val="20"/>
        </w:rPr>
        <w:t xml:space="preserve"> Corte procederá a incluir la información presentada </w:t>
      </w:r>
      <w:r w:rsidR="00323530">
        <w:rPr>
          <w:rFonts w:ascii="Verdana" w:hAnsi="Verdana"/>
          <w:color w:val="000000"/>
          <w:sz w:val="20"/>
          <w:szCs w:val="20"/>
        </w:rPr>
        <w:t xml:space="preserve">por la víctima </w:t>
      </w:r>
      <w:r>
        <w:rPr>
          <w:rFonts w:ascii="Verdana" w:hAnsi="Verdana"/>
          <w:color w:val="000000"/>
          <w:sz w:val="20"/>
          <w:szCs w:val="20"/>
        </w:rPr>
        <w:t xml:space="preserve">en el expediente relativo a dicha etapa de supervisión y seguidamente efectuará un pronunciamiento al respecto. </w:t>
      </w:r>
    </w:p>
    <w:p w14:paraId="3B8DD14C" w14:textId="77777777" w:rsidR="00EE719D" w:rsidRPr="004A2A98" w:rsidRDefault="00EE719D" w:rsidP="00CB3044">
      <w:pPr>
        <w:autoSpaceDE w:val="0"/>
        <w:autoSpaceDN w:val="0"/>
        <w:adjustRightInd w:val="0"/>
        <w:spacing w:after="120"/>
        <w:jc w:val="both"/>
        <w:rPr>
          <w:sz w:val="12"/>
        </w:rPr>
      </w:pPr>
    </w:p>
    <w:p w14:paraId="076BCBC7" w14:textId="65968A8D" w:rsidR="00894DD5" w:rsidRPr="00E3149D" w:rsidRDefault="00894DD5" w:rsidP="00CB3044">
      <w:pPr>
        <w:spacing w:after="120"/>
        <w:jc w:val="both"/>
        <w:rPr>
          <w:rFonts w:ascii="Verdana" w:hAnsi="Verdana"/>
          <w:i/>
          <w:iCs/>
          <w:sz w:val="20"/>
          <w:szCs w:val="20"/>
          <w:lang w:val="es-ES"/>
        </w:rPr>
      </w:pPr>
      <w:r w:rsidRPr="00E3149D">
        <w:rPr>
          <w:rFonts w:ascii="Verdana" w:hAnsi="Verdana"/>
          <w:i/>
          <w:iCs/>
          <w:sz w:val="20"/>
          <w:szCs w:val="20"/>
          <w:lang w:val="es-ES"/>
        </w:rPr>
        <w:t>B.1. Obligación de investigar</w:t>
      </w:r>
    </w:p>
    <w:p w14:paraId="771FEA81" w14:textId="77777777" w:rsidR="00894DD5" w:rsidRPr="004A2A98" w:rsidRDefault="00894DD5" w:rsidP="00CB3044">
      <w:pPr>
        <w:pStyle w:val="Prrafodelista"/>
        <w:spacing w:after="120"/>
        <w:ind w:left="0"/>
        <w:jc w:val="both"/>
        <w:rPr>
          <w:rFonts w:ascii="Verdana" w:hAnsi="Verdana"/>
          <w:sz w:val="12"/>
          <w:szCs w:val="20"/>
        </w:rPr>
      </w:pPr>
    </w:p>
    <w:p w14:paraId="406ECAAD" w14:textId="015FAE72" w:rsidR="00894DD5" w:rsidRDefault="00894DD5" w:rsidP="00CB3044">
      <w:pPr>
        <w:pStyle w:val="Prrafodelista"/>
        <w:numPr>
          <w:ilvl w:val="0"/>
          <w:numId w:val="2"/>
        </w:numPr>
        <w:spacing w:before="120" w:after="120"/>
        <w:ind w:left="0" w:firstLine="0"/>
        <w:contextualSpacing w:val="0"/>
        <w:jc w:val="both"/>
        <w:rPr>
          <w:rFonts w:ascii="Verdana" w:hAnsi="Verdana"/>
          <w:sz w:val="20"/>
          <w:szCs w:val="20"/>
          <w:lang w:val="es-MX"/>
        </w:rPr>
      </w:pPr>
      <w:r w:rsidRPr="002C3910">
        <w:rPr>
          <w:rFonts w:ascii="Verdana" w:hAnsi="Verdana"/>
          <w:sz w:val="20"/>
          <w:szCs w:val="20"/>
          <w:lang w:val="es-MX"/>
        </w:rPr>
        <w:t xml:space="preserve">En el punto dispositivo noveno y en los párrafos 288 y 289 de la Sentencia, la Corte </w:t>
      </w:r>
      <w:r w:rsidR="002F4366">
        <w:rPr>
          <w:rFonts w:ascii="Verdana" w:hAnsi="Verdana"/>
          <w:sz w:val="20"/>
          <w:szCs w:val="20"/>
          <w:lang w:val="es-MX"/>
        </w:rPr>
        <w:t>señaló</w:t>
      </w:r>
      <w:r w:rsidR="002F4366" w:rsidRPr="00773165">
        <w:rPr>
          <w:rFonts w:ascii="Verdana" w:hAnsi="Verdana"/>
          <w:sz w:val="20"/>
          <w:szCs w:val="20"/>
          <w:lang w:val="es-MX"/>
        </w:rPr>
        <w:t xml:space="preserve"> que </w:t>
      </w:r>
      <w:r w:rsidR="002F4366">
        <w:rPr>
          <w:rFonts w:ascii="Verdana" w:hAnsi="Verdana"/>
          <w:sz w:val="20"/>
          <w:szCs w:val="20"/>
          <w:lang w:val="es-MX"/>
        </w:rPr>
        <w:t>“</w:t>
      </w:r>
      <w:r w:rsidR="002F4366" w:rsidRPr="00773165">
        <w:rPr>
          <w:rFonts w:ascii="Verdana" w:hAnsi="Verdana"/>
          <w:sz w:val="20"/>
          <w:szCs w:val="20"/>
          <w:lang w:val="es-MX"/>
        </w:rPr>
        <w:t xml:space="preserve">la tortura </w:t>
      </w:r>
      <w:r w:rsidR="002F4366">
        <w:rPr>
          <w:rFonts w:ascii="Verdana" w:hAnsi="Verdana"/>
          <w:sz w:val="20"/>
          <w:szCs w:val="20"/>
          <w:lang w:val="es-MX"/>
        </w:rPr>
        <w:t xml:space="preserve">psicológica” </w:t>
      </w:r>
      <w:r w:rsidR="002F4366" w:rsidRPr="00773165">
        <w:rPr>
          <w:rFonts w:ascii="Verdana" w:hAnsi="Verdana"/>
          <w:sz w:val="20"/>
          <w:szCs w:val="20"/>
          <w:lang w:val="es-MX"/>
        </w:rPr>
        <w:t>denunciada por el señor Galindo</w:t>
      </w:r>
      <w:r w:rsidR="002F4366">
        <w:rPr>
          <w:rFonts w:ascii="Verdana" w:hAnsi="Verdana"/>
          <w:sz w:val="20"/>
          <w:szCs w:val="20"/>
          <w:lang w:val="es-MX"/>
        </w:rPr>
        <w:t xml:space="preserve"> Cárdenas ante las autoridades internas</w:t>
      </w:r>
      <w:r w:rsidR="002F4366" w:rsidRPr="00773165">
        <w:rPr>
          <w:rFonts w:ascii="Verdana" w:hAnsi="Verdana"/>
          <w:sz w:val="20"/>
          <w:szCs w:val="20"/>
          <w:lang w:val="es-MX"/>
        </w:rPr>
        <w:t xml:space="preserve"> </w:t>
      </w:r>
      <w:r w:rsidR="002F4366">
        <w:rPr>
          <w:rFonts w:ascii="Verdana" w:hAnsi="Verdana"/>
          <w:sz w:val="20"/>
          <w:szCs w:val="20"/>
          <w:lang w:val="es-MX"/>
        </w:rPr>
        <w:t>“</w:t>
      </w:r>
      <w:r w:rsidR="002F4366" w:rsidRPr="00773165">
        <w:rPr>
          <w:rFonts w:ascii="Verdana" w:hAnsi="Verdana"/>
          <w:sz w:val="20"/>
          <w:szCs w:val="20"/>
          <w:lang w:val="es-MX"/>
        </w:rPr>
        <w:t>es susceptible, en caso de acreditarse, de considerarse una grave violación de derechos humanos</w:t>
      </w:r>
      <w:r w:rsidR="002F4366">
        <w:rPr>
          <w:rFonts w:ascii="Verdana" w:hAnsi="Verdana"/>
          <w:sz w:val="20"/>
          <w:szCs w:val="20"/>
          <w:lang w:val="es-MX"/>
        </w:rPr>
        <w:t>”</w:t>
      </w:r>
      <w:r w:rsidR="002F4366" w:rsidRPr="00773165">
        <w:rPr>
          <w:rFonts w:ascii="Verdana" w:hAnsi="Verdana"/>
          <w:sz w:val="20"/>
          <w:szCs w:val="20"/>
          <w:lang w:val="es-MX"/>
        </w:rPr>
        <w:t xml:space="preserve">. </w:t>
      </w:r>
      <w:r w:rsidR="002F4366">
        <w:rPr>
          <w:rFonts w:ascii="Verdana" w:hAnsi="Verdana"/>
          <w:sz w:val="20"/>
          <w:szCs w:val="20"/>
          <w:lang w:val="es-MX"/>
        </w:rPr>
        <w:t xml:space="preserve">En consecuencia, </w:t>
      </w:r>
      <w:r w:rsidRPr="002C3910">
        <w:rPr>
          <w:rFonts w:ascii="Verdana" w:hAnsi="Verdana"/>
          <w:sz w:val="20"/>
          <w:szCs w:val="20"/>
          <w:lang w:val="es-MX"/>
        </w:rPr>
        <w:t xml:space="preserve">dispuso que </w:t>
      </w:r>
      <w:r w:rsidR="002F4366">
        <w:rPr>
          <w:rFonts w:ascii="Verdana" w:hAnsi="Verdana"/>
          <w:sz w:val="20"/>
          <w:szCs w:val="20"/>
          <w:lang w:val="es-MX"/>
        </w:rPr>
        <w:t>“</w:t>
      </w:r>
      <w:r w:rsidRPr="002C3910">
        <w:rPr>
          <w:rFonts w:ascii="Verdana" w:hAnsi="Verdana"/>
          <w:sz w:val="20"/>
          <w:szCs w:val="20"/>
          <w:lang w:val="es-MX"/>
        </w:rPr>
        <w:t>el Estado debe continuar y concluir, en un plazo razonable, la investigación de los hechos</w:t>
      </w:r>
      <w:r w:rsidR="002F4366">
        <w:rPr>
          <w:rFonts w:ascii="Verdana" w:hAnsi="Verdana"/>
          <w:sz w:val="20"/>
          <w:szCs w:val="20"/>
          <w:lang w:val="es-MX"/>
        </w:rPr>
        <w:t xml:space="preserve"> […]</w:t>
      </w:r>
      <w:r w:rsidRPr="002C3910">
        <w:rPr>
          <w:rFonts w:ascii="Verdana" w:hAnsi="Verdana"/>
          <w:sz w:val="20"/>
          <w:szCs w:val="20"/>
          <w:lang w:val="es-MX"/>
        </w:rPr>
        <w:t xml:space="preserve"> iniciada por la Fiscalía Especializada en Delitos de Terrorismo y Lesa Humanidad, a fin de determinarlos, y de ser procedente, identificar, juzgar y, en su caso, sancionar a los responsables</w:t>
      </w:r>
      <w:r w:rsidR="002F4366">
        <w:rPr>
          <w:rFonts w:ascii="Verdana" w:hAnsi="Verdana"/>
          <w:sz w:val="20"/>
          <w:szCs w:val="20"/>
          <w:lang w:val="es-MX"/>
        </w:rPr>
        <w:t>”</w:t>
      </w:r>
      <w:r w:rsidR="005502D0">
        <w:rPr>
          <w:rFonts w:ascii="Verdana" w:hAnsi="Verdana"/>
          <w:sz w:val="20"/>
          <w:szCs w:val="20"/>
          <w:lang w:val="es-MX"/>
        </w:rPr>
        <w:t xml:space="preserve"> tanto de la alegada tortura como de los hechos relativos a la vulneración a la libertad personal del señor Galindo Cárdenas</w:t>
      </w:r>
      <w:r w:rsidR="005502D0">
        <w:rPr>
          <w:rStyle w:val="Refdenotaalpie"/>
          <w:szCs w:val="20"/>
        </w:rPr>
        <w:footnoteReference w:id="10"/>
      </w:r>
      <w:r w:rsidRPr="002C3910">
        <w:rPr>
          <w:rFonts w:ascii="Verdana" w:hAnsi="Verdana"/>
          <w:sz w:val="20"/>
          <w:szCs w:val="20"/>
          <w:lang w:val="es-MX"/>
        </w:rPr>
        <w:t xml:space="preserve">. </w:t>
      </w:r>
      <w:r w:rsidRPr="00773165">
        <w:rPr>
          <w:rFonts w:ascii="Verdana" w:hAnsi="Verdana"/>
          <w:sz w:val="20"/>
          <w:szCs w:val="20"/>
          <w:lang w:val="es-MX"/>
        </w:rPr>
        <w:t xml:space="preserve">Asimismo, la Corte determinó que </w:t>
      </w:r>
      <w:r w:rsidR="002F4366">
        <w:rPr>
          <w:rFonts w:ascii="Verdana" w:hAnsi="Verdana"/>
          <w:sz w:val="20"/>
          <w:szCs w:val="20"/>
          <w:lang w:val="es-MX"/>
        </w:rPr>
        <w:t>“[</w:t>
      </w:r>
      <w:r w:rsidRPr="00773165">
        <w:rPr>
          <w:rFonts w:ascii="Verdana" w:hAnsi="Verdana"/>
          <w:sz w:val="20"/>
          <w:szCs w:val="20"/>
          <w:lang w:val="es-MX"/>
        </w:rPr>
        <w:t>l</w:t>
      </w:r>
      <w:r w:rsidR="002F4366">
        <w:rPr>
          <w:rFonts w:ascii="Verdana" w:hAnsi="Verdana"/>
          <w:sz w:val="20"/>
          <w:szCs w:val="20"/>
          <w:lang w:val="es-MX"/>
        </w:rPr>
        <w:t>]</w:t>
      </w:r>
      <w:r w:rsidRPr="00773165">
        <w:rPr>
          <w:rFonts w:ascii="Verdana" w:hAnsi="Verdana"/>
          <w:sz w:val="20"/>
          <w:szCs w:val="20"/>
          <w:lang w:val="es-MX"/>
        </w:rPr>
        <w:t>a realización de una investigación completa y efectiva de los hechos contribuir</w:t>
      </w:r>
      <w:r w:rsidR="002F4366">
        <w:rPr>
          <w:rFonts w:ascii="Verdana" w:hAnsi="Verdana"/>
          <w:sz w:val="20"/>
          <w:szCs w:val="20"/>
          <w:lang w:val="es-MX"/>
        </w:rPr>
        <w:t>á</w:t>
      </w:r>
      <w:r w:rsidRPr="00773165">
        <w:rPr>
          <w:rFonts w:ascii="Verdana" w:hAnsi="Verdana"/>
          <w:sz w:val="20"/>
          <w:szCs w:val="20"/>
          <w:lang w:val="es-MX"/>
        </w:rPr>
        <w:t xml:space="preserve"> a paliar los sufrimientos padecidos por las víctimas</w:t>
      </w:r>
      <w:r w:rsidR="002F4366">
        <w:rPr>
          <w:rFonts w:ascii="Verdana" w:hAnsi="Verdana"/>
          <w:sz w:val="20"/>
          <w:szCs w:val="20"/>
          <w:lang w:val="es-MX"/>
        </w:rPr>
        <w:t>”</w:t>
      </w:r>
      <w:r w:rsidR="00773165">
        <w:rPr>
          <w:rFonts w:ascii="Verdana" w:hAnsi="Verdana"/>
          <w:sz w:val="20"/>
          <w:szCs w:val="20"/>
          <w:lang w:val="es-MX"/>
        </w:rPr>
        <w:t xml:space="preserve">. </w:t>
      </w:r>
    </w:p>
    <w:p w14:paraId="262EF2F3" w14:textId="77777777" w:rsidR="00CB3044" w:rsidRPr="00CB3044" w:rsidRDefault="00CB3044" w:rsidP="00CB3044">
      <w:pPr>
        <w:pStyle w:val="Prrafodelista"/>
        <w:spacing w:after="120"/>
        <w:ind w:left="0"/>
        <w:jc w:val="both"/>
        <w:rPr>
          <w:rFonts w:ascii="Verdana" w:hAnsi="Verdana"/>
          <w:sz w:val="20"/>
          <w:szCs w:val="20"/>
        </w:rPr>
      </w:pPr>
    </w:p>
    <w:p w14:paraId="35DD26EB" w14:textId="3E228E87" w:rsidR="003901BD" w:rsidRDefault="00035512" w:rsidP="00CB3044">
      <w:pPr>
        <w:pStyle w:val="Prrafodelista"/>
        <w:numPr>
          <w:ilvl w:val="0"/>
          <w:numId w:val="2"/>
        </w:numPr>
        <w:spacing w:before="120" w:after="120"/>
        <w:ind w:left="0" w:firstLine="0"/>
        <w:contextualSpacing w:val="0"/>
        <w:jc w:val="both"/>
        <w:rPr>
          <w:rFonts w:ascii="Verdana" w:hAnsi="Verdana"/>
          <w:sz w:val="20"/>
          <w:szCs w:val="20"/>
          <w:lang w:val="es-MX"/>
        </w:rPr>
      </w:pPr>
      <w:r w:rsidRPr="002D2E25">
        <w:rPr>
          <w:rFonts w:ascii="Verdana" w:hAnsi="Verdana"/>
          <w:sz w:val="20"/>
          <w:szCs w:val="20"/>
          <w:lang w:val="es-MX"/>
        </w:rPr>
        <w:t xml:space="preserve">A lo largo de la etapa de supervisión de cumplimiento de Sentencia, el Estado ha presentado diversa información </w:t>
      </w:r>
      <w:r w:rsidR="00A31A3F" w:rsidRPr="002D2E25">
        <w:rPr>
          <w:rFonts w:ascii="Verdana" w:hAnsi="Verdana"/>
          <w:sz w:val="20"/>
          <w:szCs w:val="20"/>
          <w:lang w:val="es-MX"/>
        </w:rPr>
        <w:t>en relación a</w:t>
      </w:r>
      <w:r w:rsidRPr="002D2E25">
        <w:rPr>
          <w:rFonts w:ascii="Verdana" w:hAnsi="Verdana"/>
          <w:sz w:val="20"/>
          <w:szCs w:val="20"/>
          <w:lang w:val="es-MX"/>
        </w:rPr>
        <w:t xml:space="preserve"> la referida medida. Al respecto, l</w:t>
      </w:r>
      <w:r w:rsidR="00D4625A" w:rsidRPr="002D2E25">
        <w:rPr>
          <w:rFonts w:ascii="Verdana" w:hAnsi="Verdana"/>
          <w:sz w:val="20"/>
          <w:szCs w:val="20"/>
          <w:lang w:val="es-MX"/>
        </w:rPr>
        <w:t>a Corte observa que</w:t>
      </w:r>
      <w:r w:rsidRPr="00F52F0C">
        <w:rPr>
          <w:rFonts w:ascii="Verdana" w:hAnsi="Verdana"/>
          <w:sz w:val="20"/>
          <w:szCs w:val="20"/>
          <w:lang w:val="es-MX"/>
        </w:rPr>
        <w:t>,</w:t>
      </w:r>
      <w:r w:rsidR="00D4625A" w:rsidRPr="00F52F0C">
        <w:rPr>
          <w:rFonts w:ascii="Verdana" w:hAnsi="Verdana"/>
          <w:sz w:val="20"/>
          <w:szCs w:val="20"/>
          <w:lang w:val="es-MX"/>
        </w:rPr>
        <w:t xml:space="preserve"> en </w:t>
      </w:r>
      <w:r w:rsidR="001C25E9">
        <w:rPr>
          <w:rFonts w:ascii="Verdana" w:hAnsi="Verdana"/>
          <w:sz w:val="20"/>
          <w:szCs w:val="20"/>
          <w:lang w:val="es-MX"/>
        </w:rPr>
        <w:t xml:space="preserve">su informe de 29 de </w:t>
      </w:r>
      <w:r w:rsidR="00D4625A" w:rsidRPr="00F52F0C">
        <w:rPr>
          <w:rFonts w:ascii="Verdana" w:hAnsi="Verdana"/>
          <w:sz w:val="20"/>
          <w:szCs w:val="20"/>
          <w:lang w:val="es-MX"/>
        </w:rPr>
        <w:t xml:space="preserve">julio de 2020, el Estado </w:t>
      </w:r>
      <w:r w:rsidR="001C25E9">
        <w:rPr>
          <w:rFonts w:ascii="Verdana" w:hAnsi="Verdana"/>
          <w:sz w:val="20"/>
          <w:szCs w:val="20"/>
          <w:lang w:val="es-MX"/>
        </w:rPr>
        <w:t xml:space="preserve">comunicó </w:t>
      </w:r>
      <w:r w:rsidR="00D4625A" w:rsidRPr="00F52F0C">
        <w:rPr>
          <w:rFonts w:ascii="Verdana" w:hAnsi="Verdana"/>
          <w:sz w:val="20"/>
          <w:szCs w:val="20"/>
          <w:lang w:val="es-MX"/>
        </w:rPr>
        <w:t>que el Fiscal Adjunto Provincial Especializado en Delitos de Terrorismo y Lesa Humanidad de Huánuco “dispuso el archivo definitivo de la investigación preliminar [seguida…] por la presunta comisión del delito de tortura y contra la libertad personal en agravio del señor Galindo Cárdenas”</w:t>
      </w:r>
      <w:r w:rsidR="007814C6" w:rsidRPr="00F52F0C">
        <w:rPr>
          <w:rFonts w:ascii="Verdana" w:hAnsi="Verdana"/>
          <w:sz w:val="20"/>
          <w:szCs w:val="20"/>
          <w:lang w:val="es-MX"/>
        </w:rPr>
        <w:t>,</w:t>
      </w:r>
      <w:r w:rsidR="00D4625A" w:rsidRPr="00F52F0C">
        <w:rPr>
          <w:rFonts w:ascii="Verdana" w:hAnsi="Verdana"/>
          <w:sz w:val="20"/>
          <w:szCs w:val="20"/>
          <w:lang w:val="es-MX"/>
        </w:rPr>
        <w:t xml:space="preserve"> con fundamento en que “no existe un medio de prueba de carácter concreto que vincule a los imputados en su condición de autores mediatos, donde hayan concertado la detención arbitraria </w:t>
      </w:r>
      <w:r w:rsidR="002D2E25" w:rsidRPr="002D2E25">
        <w:rPr>
          <w:rFonts w:ascii="Verdana" w:hAnsi="Verdana"/>
          <w:sz w:val="20"/>
          <w:szCs w:val="20"/>
          <w:lang w:val="es-MX"/>
        </w:rPr>
        <w:t>de Luis Antonio</w:t>
      </w:r>
      <w:r w:rsidR="00D4625A" w:rsidRPr="002D2E25">
        <w:rPr>
          <w:rFonts w:ascii="Verdana" w:hAnsi="Verdana"/>
          <w:sz w:val="20"/>
          <w:szCs w:val="20"/>
          <w:lang w:val="es-MX"/>
        </w:rPr>
        <w:t xml:space="preserve"> Galindo</w:t>
      </w:r>
      <w:r w:rsidR="002D2E25" w:rsidRPr="002D2E25">
        <w:rPr>
          <w:rFonts w:ascii="Verdana" w:hAnsi="Verdana"/>
          <w:sz w:val="20"/>
          <w:szCs w:val="20"/>
          <w:lang w:val="es-MX"/>
        </w:rPr>
        <w:t xml:space="preserve"> Cárdenas</w:t>
      </w:r>
      <w:r w:rsidR="00D4625A" w:rsidRPr="002D2E25">
        <w:rPr>
          <w:rFonts w:ascii="Verdana" w:hAnsi="Verdana"/>
          <w:sz w:val="20"/>
          <w:szCs w:val="20"/>
          <w:lang w:val="es-MX"/>
        </w:rPr>
        <w:t>]</w:t>
      </w:r>
      <w:r w:rsidRPr="002D2E25">
        <w:rPr>
          <w:rFonts w:ascii="Verdana" w:hAnsi="Verdana"/>
          <w:sz w:val="20"/>
          <w:szCs w:val="20"/>
          <w:lang w:val="es-MX"/>
        </w:rPr>
        <w:t xml:space="preserve">, y […] los actos de tortura que fueron posteriormente durante su encierro son atribuibles al fallecido Coronel EP Eduardo Abel Negrón </w:t>
      </w:r>
      <w:proofErr w:type="spellStart"/>
      <w:r w:rsidRPr="002D2E25">
        <w:rPr>
          <w:rFonts w:ascii="Verdana" w:hAnsi="Verdana"/>
          <w:sz w:val="20"/>
          <w:szCs w:val="20"/>
          <w:lang w:val="es-MX"/>
        </w:rPr>
        <w:t>Monstestruque</w:t>
      </w:r>
      <w:proofErr w:type="spellEnd"/>
      <w:r w:rsidRPr="002D2E25">
        <w:rPr>
          <w:rFonts w:ascii="Verdana" w:hAnsi="Verdana"/>
          <w:sz w:val="20"/>
          <w:szCs w:val="20"/>
          <w:lang w:val="es-MX"/>
        </w:rPr>
        <w:t xml:space="preserve">”, por lo cual quedó extinguida la acción penal por la autoría </w:t>
      </w:r>
      <w:r w:rsidR="00343ACA" w:rsidRPr="002D2E25">
        <w:rPr>
          <w:rFonts w:ascii="Verdana" w:hAnsi="Verdana"/>
          <w:sz w:val="20"/>
          <w:szCs w:val="20"/>
          <w:lang w:val="es-MX"/>
        </w:rPr>
        <w:t>material</w:t>
      </w:r>
      <w:r w:rsidRPr="002D2E25">
        <w:rPr>
          <w:rFonts w:ascii="Verdana" w:hAnsi="Verdana"/>
          <w:sz w:val="20"/>
          <w:szCs w:val="20"/>
          <w:lang w:val="es-MX"/>
        </w:rPr>
        <w:t xml:space="preserve"> de los hechos </w:t>
      </w:r>
      <w:r w:rsidR="002D2E25" w:rsidRPr="002D2E25">
        <w:rPr>
          <w:rFonts w:ascii="Verdana" w:hAnsi="Verdana"/>
          <w:sz w:val="20"/>
          <w:szCs w:val="20"/>
          <w:lang w:val="es-MX"/>
        </w:rPr>
        <w:t>investigados</w:t>
      </w:r>
      <w:r w:rsidRPr="002D2E25">
        <w:rPr>
          <w:rFonts w:ascii="Verdana" w:hAnsi="Verdana"/>
          <w:sz w:val="20"/>
          <w:szCs w:val="20"/>
          <w:lang w:val="es-MX"/>
        </w:rPr>
        <w:t>.</w:t>
      </w:r>
      <w:r w:rsidR="006C6ECF" w:rsidRPr="002D2E25">
        <w:rPr>
          <w:rFonts w:ascii="Verdana" w:hAnsi="Verdana"/>
          <w:sz w:val="20"/>
          <w:szCs w:val="20"/>
          <w:lang w:val="es-MX"/>
        </w:rPr>
        <w:t xml:space="preserve"> </w:t>
      </w:r>
      <w:r w:rsidRPr="002D2E25">
        <w:rPr>
          <w:rFonts w:ascii="Verdana" w:hAnsi="Verdana"/>
          <w:sz w:val="20"/>
          <w:szCs w:val="20"/>
          <w:lang w:val="es-MX"/>
        </w:rPr>
        <w:t>El Estado agregó que “las acciones de investigación fiscal y judicial adelantadas en el presente caso se han realizado conforme a los estándares establecidos por la Corte IDH y considerando [</w:t>
      </w:r>
      <w:r w:rsidR="002D2E25" w:rsidRPr="002D2E25">
        <w:rPr>
          <w:rFonts w:ascii="Verdana" w:hAnsi="Verdana"/>
          <w:sz w:val="20"/>
          <w:szCs w:val="20"/>
          <w:lang w:val="es-MX"/>
        </w:rPr>
        <w:t>…la</w:t>
      </w:r>
      <w:r w:rsidRPr="002D2E25">
        <w:rPr>
          <w:rFonts w:ascii="Verdana" w:hAnsi="Verdana"/>
          <w:sz w:val="20"/>
          <w:szCs w:val="20"/>
          <w:lang w:val="es-MX"/>
        </w:rPr>
        <w:t>…]</w:t>
      </w:r>
      <w:r w:rsidR="002D2E25" w:rsidRPr="002D2E25">
        <w:rPr>
          <w:rFonts w:ascii="Verdana" w:hAnsi="Verdana"/>
          <w:sz w:val="20"/>
          <w:szCs w:val="20"/>
          <w:lang w:val="es-MX"/>
        </w:rPr>
        <w:t xml:space="preserve"> jurisprudencia [de] la Corte IDH [que] ha señalado</w:t>
      </w:r>
      <w:r w:rsidRPr="002D2E25">
        <w:rPr>
          <w:rFonts w:ascii="Verdana" w:hAnsi="Verdana"/>
          <w:sz w:val="20"/>
          <w:szCs w:val="20"/>
          <w:lang w:val="es-MX"/>
        </w:rPr>
        <w:t xml:space="preserve"> que la obligación de investigar es una obligación de medios y no de resultados”</w:t>
      </w:r>
      <w:r w:rsidR="001C25E9">
        <w:rPr>
          <w:rFonts w:ascii="Verdana" w:hAnsi="Verdana"/>
          <w:sz w:val="20"/>
          <w:szCs w:val="20"/>
          <w:lang w:val="es-MX"/>
        </w:rPr>
        <w:t>.</w:t>
      </w:r>
      <w:r w:rsidR="007234B0" w:rsidRPr="00F52F0C">
        <w:rPr>
          <w:rFonts w:ascii="Verdana" w:hAnsi="Verdana"/>
          <w:sz w:val="20"/>
          <w:szCs w:val="20"/>
          <w:lang w:val="es-MX"/>
        </w:rPr>
        <w:t xml:space="preserve"> </w:t>
      </w:r>
      <w:r w:rsidR="001C25E9">
        <w:rPr>
          <w:rFonts w:ascii="Verdana" w:hAnsi="Verdana"/>
          <w:sz w:val="20"/>
          <w:szCs w:val="20"/>
          <w:lang w:val="es-MX"/>
        </w:rPr>
        <w:t>P</w:t>
      </w:r>
      <w:r w:rsidR="007234B0" w:rsidRPr="00F52F0C">
        <w:rPr>
          <w:rFonts w:ascii="Verdana" w:hAnsi="Verdana"/>
          <w:sz w:val="20"/>
          <w:szCs w:val="20"/>
          <w:lang w:val="es-MX"/>
        </w:rPr>
        <w:t>or lo tanto</w:t>
      </w:r>
      <w:r w:rsidR="001C25E9">
        <w:rPr>
          <w:rFonts w:ascii="Verdana" w:hAnsi="Verdana"/>
          <w:sz w:val="20"/>
          <w:szCs w:val="20"/>
          <w:lang w:val="es-MX"/>
        </w:rPr>
        <w:t>,</w:t>
      </w:r>
      <w:r w:rsidR="007234B0" w:rsidRPr="00F52F0C">
        <w:rPr>
          <w:rFonts w:ascii="Verdana" w:hAnsi="Verdana"/>
          <w:sz w:val="20"/>
          <w:szCs w:val="20"/>
          <w:lang w:val="es-MX"/>
        </w:rPr>
        <w:t xml:space="preserve"> solicitó que se declare el cumplimiento de esta medida</w:t>
      </w:r>
      <w:r w:rsidR="0093780B" w:rsidRPr="002D2E25">
        <w:rPr>
          <w:rFonts w:ascii="Verdana" w:hAnsi="Verdana"/>
          <w:sz w:val="20"/>
          <w:szCs w:val="20"/>
          <w:lang w:val="es-MX"/>
        </w:rPr>
        <w:t>.</w:t>
      </w:r>
      <w:r w:rsidR="003901BD" w:rsidRPr="002D2E25">
        <w:rPr>
          <w:rFonts w:ascii="Verdana" w:hAnsi="Verdana"/>
          <w:sz w:val="20"/>
          <w:szCs w:val="20"/>
          <w:lang w:val="es-MX"/>
        </w:rPr>
        <w:t xml:space="preserve"> </w:t>
      </w:r>
      <w:r w:rsidR="003901BD" w:rsidRPr="0093499C">
        <w:rPr>
          <w:rFonts w:ascii="Verdana" w:hAnsi="Verdana"/>
          <w:sz w:val="20"/>
          <w:szCs w:val="20"/>
          <w:lang w:val="es-MX"/>
        </w:rPr>
        <w:t xml:space="preserve">El 10 de agosto de 2020 el informe estatal fue remitido al representante </w:t>
      </w:r>
      <w:r w:rsidR="00F83723" w:rsidRPr="0093499C">
        <w:rPr>
          <w:rFonts w:ascii="Verdana" w:hAnsi="Verdana"/>
          <w:sz w:val="20"/>
          <w:szCs w:val="20"/>
          <w:lang w:val="es-MX"/>
        </w:rPr>
        <w:t xml:space="preserve">de las víctimas </w:t>
      </w:r>
      <w:r w:rsidR="003901BD" w:rsidRPr="0093499C">
        <w:rPr>
          <w:rFonts w:ascii="Verdana" w:hAnsi="Verdana"/>
          <w:sz w:val="20"/>
          <w:szCs w:val="20"/>
          <w:lang w:val="es-MX"/>
        </w:rPr>
        <w:t xml:space="preserve">y a </w:t>
      </w:r>
      <w:r w:rsidR="00F83723" w:rsidRPr="0093499C">
        <w:rPr>
          <w:rFonts w:ascii="Verdana" w:hAnsi="Verdana"/>
          <w:sz w:val="20"/>
          <w:szCs w:val="20"/>
          <w:lang w:val="es-MX"/>
        </w:rPr>
        <w:t>la</w:t>
      </w:r>
      <w:r w:rsidR="003901BD" w:rsidRPr="0093499C">
        <w:rPr>
          <w:rFonts w:ascii="Verdana" w:hAnsi="Verdana"/>
          <w:sz w:val="20"/>
          <w:szCs w:val="20"/>
          <w:lang w:val="es-MX"/>
        </w:rPr>
        <w:t xml:space="preserve"> Comisión</w:t>
      </w:r>
      <w:r w:rsidR="00F83723" w:rsidRPr="0093499C">
        <w:rPr>
          <w:rFonts w:ascii="Verdana" w:hAnsi="Verdana"/>
          <w:sz w:val="20"/>
          <w:szCs w:val="20"/>
          <w:lang w:val="es-MX"/>
        </w:rPr>
        <w:t>,</w:t>
      </w:r>
      <w:r w:rsidR="003901BD" w:rsidRPr="0093499C">
        <w:rPr>
          <w:rFonts w:ascii="Verdana" w:hAnsi="Verdana"/>
          <w:sz w:val="20"/>
          <w:szCs w:val="20"/>
          <w:lang w:val="es-MX"/>
        </w:rPr>
        <w:t xml:space="preserve"> cuyos plazos para presentar observaciones se encuentran en curso. </w:t>
      </w:r>
      <w:r w:rsidR="009E5172" w:rsidRPr="00CB7179">
        <w:rPr>
          <w:rFonts w:ascii="Verdana" w:hAnsi="Verdana"/>
          <w:sz w:val="20"/>
          <w:szCs w:val="20"/>
          <w:lang w:val="es-MX"/>
        </w:rPr>
        <w:t xml:space="preserve">Asimismo, el Tribunal advierte que </w:t>
      </w:r>
      <w:r w:rsidR="00F83723" w:rsidRPr="00CB7179">
        <w:rPr>
          <w:rFonts w:ascii="Verdana" w:hAnsi="Verdana"/>
          <w:sz w:val="20"/>
          <w:szCs w:val="20"/>
          <w:lang w:val="es-MX"/>
        </w:rPr>
        <w:t xml:space="preserve">la última ocasión en que </w:t>
      </w:r>
      <w:r w:rsidR="009E5172" w:rsidRPr="00CB7179">
        <w:rPr>
          <w:rFonts w:ascii="Verdana" w:hAnsi="Verdana"/>
          <w:sz w:val="20"/>
          <w:szCs w:val="20"/>
          <w:lang w:val="es-MX"/>
        </w:rPr>
        <w:t xml:space="preserve">el representante </w:t>
      </w:r>
      <w:r w:rsidR="00F83723" w:rsidRPr="00CB7179">
        <w:rPr>
          <w:rFonts w:ascii="Verdana" w:hAnsi="Verdana"/>
          <w:sz w:val="20"/>
          <w:szCs w:val="20"/>
          <w:lang w:val="es-MX"/>
        </w:rPr>
        <w:t xml:space="preserve">presentó observaciones </w:t>
      </w:r>
      <w:r w:rsidR="009E5172" w:rsidRPr="00CB7179">
        <w:rPr>
          <w:rFonts w:ascii="Verdana" w:hAnsi="Verdana"/>
          <w:sz w:val="20"/>
          <w:szCs w:val="20"/>
          <w:lang w:val="es-MX"/>
        </w:rPr>
        <w:t xml:space="preserve">fue en septiembre de 2017. </w:t>
      </w:r>
      <w:r w:rsidR="009E5172" w:rsidRPr="0093499C">
        <w:rPr>
          <w:rFonts w:ascii="Verdana" w:hAnsi="Verdana"/>
          <w:sz w:val="20"/>
          <w:szCs w:val="20"/>
          <w:lang w:val="es-MX"/>
        </w:rPr>
        <w:t xml:space="preserve">Desde entonces, es la víctima quien ha presentado observaciones a la información </w:t>
      </w:r>
      <w:r w:rsidR="001C25E9">
        <w:rPr>
          <w:rFonts w:ascii="Verdana" w:hAnsi="Verdana"/>
          <w:sz w:val="20"/>
          <w:szCs w:val="20"/>
          <w:lang w:val="es-MX"/>
        </w:rPr>
        <w:t>remitida</w:t>
      </w:r>
      <w:r w:rsidR="009E5172" w:rsidRPr="0093499C">
        <w:rPr>
          <w:rFonts w:ascii="Verdana" w:hAnsi="Verdana"/>
          <w:sz w:val="20"/>
          <w:szCs w:val="20"/>
          <w:lang w:val="es-MX"/>
        </w:rPr>
        <w:t xml:space="preserve"> por el Estado en el marco de la </w:t>
      </w:r>
      <w:r w:rsidR="009E5172" w:rsidRPr="007A284B">
        <w:rPr>
          <w:rFonts w:ascii="Verdana" w:hAnsi="Verdana"/>
          <w:sz w:val="20"/>
          <w:szCs w:val="20"/>
          <w:lang w:val="es-MX"/>
        </w:rPr>
        <w:t xml:space="preserve">supervisión de cumplimiento </w:t>
      </w:r>
      <w:r w:rsidR="001C25E9">
        <w:rPr>
          <w:rFonts w:ascii="Verdana" w:hAnsi="Verdana"/>
          <w:sz w:val="20"/>
          <w:szCs w:val="20"/>
          <w:lang w:val="es-MX"/>
        </w:rPr>
        <w:t xml:space="preserve">de la Sentencia </w:t>
      </w:r>
      <w:r w:rsidR="009E5172" w:rsidRPr="007A284B">
        <w:rPr>
          <w:rFonts w:ascii="Verdana" w:hAnsi="Verdana"/>
          <w:sz w:val="20"/>
          <w:szCs w:val="20"/>
          <w:lang w:val="es-MX"/>
        </w:rPr>
        <w:t xml:space="preserve">del presente caso. </w:t>
      </w:r>
    </w:p>
    <w:p w14:paraId="17FA57BF" w14:textId="77777777" w:rsidR="00CB3044" w:rsidRPr="00CB3044" w:rsidRDefault="00CB3044" w:rsidP="00CB3044">
      <w:pPr>
        <w:pStyle w:val="Prrafodelista"/>
        <w:spacing w:after="120"/>
        <w:rPr>
          <w:rFonts w:ascii="Verdana" w:hAnsi="Verdana"/>
          <w:sz w:val="20"/>
          <w:szCs w:val="20"/>
        </w:rPr>
      </w:pPr>
    </w:p>
    <w:p w14:paraId="05EE62C3" w14:textId="357E8913" w:rsidR="003A0A7A" w:rsidRDefault="00204612" w:rsidP="00CB3044">
      <w:pPr>
        <w:pStyle w:val="Prrafodelista"/>
        <w:numPr>
          <w:ilvl w:val="0"/>
          <w:numId w:val="2"/>
        </w:numPr>
        <w:spacing w:before="120" w:after="120"/>
        <w:ind w:left="0" w:firstLine="0"/>
        <w:contextualSpacing w:val="0"/>
        <w:jc w:val="both"/>
        <w:rPr>
          <w:rFonts w:ascii="Verdana" w:hAnsi="Verdana"/>
          <w:sz w:val="20"/>
          <w:szCs w:val="20"/>
          <w:lang w:val="es-MX"/>
        </w:rPr>
      </w:pPr>
      <w:r w:rsidRPr="007A284B">
        <w:rPr>
          <w:rFonts w:ascii="Verdana" w:hAnsi="Verdana"/>
          <w:sz w:val="20"/>
          <w:szCs w:val="20"/>
          <w:lang w:val="es-MX"/>
        </w:rPr>
        <w:t xml:space="preserve">A </w:t>
      </w:r>
      <w:r w:rsidR="00654F41" w:rsidRPr="007A284B">
        <w:rPr>
          <w:rFonts w:ascii="Verdana" w:hAnsi="Verdana"/>
          <w:sz w:val="20"/>
          <w:szCs w:val="20"/>
          <w:lang w:val="es-MX"/>
        </w:rPr>
        <w:t>fin de evaluar</w:t>
      </w:r>
      <w:r w:rsidR="00742AAC" w:rsidRPr="007A284B">
        <w:rPr>
          <w:rFonts w:ascii="Verdana" w:hAnsi="Verdana"/>
          <w:sz w:val="20"/>
          <w:szCs w:val="20"/>
          <w:lang w:val="es-MX"/>
        </w:rPr>
        <w:t>,</w:t>
      </w:r>
      <w:r w:rsidR="00654F41" w:rsidRPr="007A284B">
        <w:rPr>
          <w:rFonts w:ascii="Verdana" w:hAnsi="Verdana"/>
          <w:sz w:val="20"/>
          <w:szCs w:val="20"/>
          <w:lang w:val="es-MX"/>
        </w:rPr>
        <w:t xml:space="preserve"> </w:t>
      </w:r>
      <w:r w:rsidR="00742AAC" w:rsidRPr="007A284B">
        <w:rPr>
          <w:rFonts w:ascii="Verdana" w:hAnsi="Verdana"/>
          <w:sz w:val="20"/>
          <w:szCs w:val="20"/>
          <w:lang w:val="es-MX"/>
        </w:rPr>
        <w:t xml:space="preserve">en una posterior resolución, </w:t>
      </w:r>
      <w:r w:rsidR="00654F41" w:rsidRPr="007A284B">
        <w:rPr>
          <w:rFonts w:ascii="Verdana" w:hAnsi="Verdana"/>
          <w:sz w:val="20"/>
          <w:szCs w:val="20"/>
          <w:lang w:val="es-MX"/>
        </w:rPr>
        <w:t>la información</w:t>
      </w:r>
      <w:r w:rsidR="00742AAC" w:rsidRPr="007A284B">
        <w:rPr>
          <w:rFonts w:ascii="Verdana" w:hAnsi="Verdana"/>
          <w:sz w:val="20"/>
          <w:szCs w:val="20"/>
          <w:lang w:val="es-MX"/>
        </w:rPr>
        <w:t xml:space="preserve"> aportada por las partes </w:t>
      </w:r>
      <w:r w:rsidR="00F83723" w:rsidRPr="007A284B">
        <w:rPr>
          <w:rFonts w:ascii="Verdana" w:hAnsi="Verdana"/>
          <w:sz w:val="20"/>
          <w:szCs w:val="20"/>
          <w:lang w:val="es-MX"/>
        </w:rPr>
        <w:t xml:space="preserve">y las observaciones de la Comisión </w:t>
      </w:r>
      <w:r w:rsidR="00742AAC" w:rsidRPr="007A284B">
        <w:rPr>
          <w:rFonts w:ascii="Verdana" w:hAnsi="Verdana"/>
          <w:sz w:val="20"/>
          <w:szCs w:val="20"/>
          <w:lang w:val="es-MX"/>
        </w:rPr>
        <w:t xml:space="preserve">respecto a la obligación de investigar ordenada en el punto resolutivo noveno de la Sentencia, se </w:t>
      </w:r>
      <w:r w:rsidR="003A0A7A" w:rsidRPr="007A284B">
        <w:rPr>
          <w:rFonts w:ascii="Verdana" w:hAnsi="Verdana"/>
          <w:sz w:val="20"/>
          <w:szCs w:val="20"/>
          <w:lang w:val="es-MX"/>
        </w:rPr>
        <w:t xml:space="preserve">requiere que el Perú presente, dentro del plazo establecido en el punto resolutivo </w:t>
      </w:r>
      <w:r w:rsidR="002E6D6B" w:rsidRPr="007A284B">
        <w:rPr>
          <w:rFonts w:ascii="Verdana" w:hAnsi="Verdana"/>
          <w:sz w:val="20"/>
          <w:szCs w:val="20"/>
          <w:lang w:val="es-MX"/>
        </w:rPr>
        <w:t xml:space="preserve">cuarto </w:t>
      </w:r>
      <w:r w:rsidR="003A0A7A" w:rsidRPr="007A284B">
        <w:rPr>
          <w:rFonts w:ascii="Verdana" w:hAnsi="Verdana"/>
          <w:sz w:val="20"/>
          <w:szCs w:val="20"/>
          <w:lang w:val="es-MX"/>
        </w:rPr>
        <w:t xml:space="preserve">de la presente Resolución, </w:t>
      </w:r>
      <w:r w:rsidR="00742AAC" w:rsidRPr="007A284B">
        <w:rPr>
          <w:rFonts w:ascii="Verdana" w:hAnsi="Verdana"/>
          <w:sz w:val="20"/>
          <w:szCs w:val="20"/>
          <w:lang w:val="es-MX"/>
        </w:rPr>
        <w:t xml:space="preserve">un nuevo informe en </w:t>
      </w:r>
      <w:r w:rsidR="00892903" w:rsidRPr="007A284B">
        <w:rPr>
          <w:rFonts w:ascii="Verdana" w:hAnsi="Verdana"/>
          <w:sz w:val="20"/>
          <w:szCs w:val="20"/>
          <w:lang w:val="es-MX"/>
        </w:rPr>
        <w:t xml:space="preserve">el </w:t>
      </w:r>
      <w:r w:rsidR="00742AAC" w:rsidRPr="007A284B">
        <w:rPr>
          <w:rFonts w:ascii="Verdana" w:hAnsi="Verdana"/>
          <w:sz w:val="20"/>
          <w:szCs w:val="20"/>
          <w:lang w:val="es-MX"/>
        </w:rPr>
        <w:t>que se refiera a las objeciones manifestadas por la víctima</w:t>
      </w:r>
      <w:r w:rsidR="007234B0" w:rsidRPr="007A284B">
        <w:rPr>
          <w:rFonts w:ascii="Verdana" w:hAnsi="Verdana"/>
          <w:sz w:val="20"/>
          <w:szCs w:val="20"/>
          <w:lang w:val="es-MX"/>
        </w:rPr>
        <w:t xml:space="preserve"> en la solicitud de medidas provisionales</w:t>
      </w:r>
      <w:r w:rsidR="00B77648" w:rsidRPr="007A284B">
        <w:rPr>
          <w:rFonts w:ascii="Verdana" w:hAnsi="Verdana"/>
          <w:sz w:val="20"/>
          <w:szCs w:val="20"/>
          <w:lang w:val="es-MX"/>
        </w:rPr>
        <w:t>. Asimismo, se requiere</w:t>
      </w:r>
      <w:r w:rsidR="006C6ECF" w:rsidRPr="007A284B">
        <w:rPr>
          <w:rFonts w:ascii="Verdana" w:hAnsi="Verdana"/>
          <w:sz w:val="20"/>
          <w:szCs w:val="20"/>
          <w:lang w:val="es-MX"/>
        </w:rPr>
        <w:t xml:space="preserve"> </w:t>
      </w:r>
      <w:r w:rsidR="00742AAC" w:rsidRPr="007A284B">
        <w:rPr>
          <w:rFonts w:ascii="Verdana" w:hAnsi="Verdana"/>
          <w:sz w:val="20"/>
          <w:szCs w:val="20"/>
          <w:lang w:val="es-MX"/>
        </w:rPr>
        <w:t>que explique cuáles acciones concretas se adoptaron para superar los obstáculos identificados por la fiscalía en la referida decisión de febrero de 2020</w:t>
      </w:r>
      <w:r w:rsidR="00892903" w:rsidRPr="007A284B">
        <w:rPr>
          <w:rFonts w:ascii="Verdana" w:hAnsi="Verdana"/>
          <w:sz w:val="20"/>
          <w:szCs w:val="20"/>
          <w:lang w:val="es-MX"/>
        </w:rPr>
        <w:t xml:space="preserve"> (</w:t>
      </w:r>
      <w:r w:rsidR="00892903" w:rsidRPr="007A284B">
        <w:rPr>
          <w:rFonts w:ascii="Verdana" w:hAnsi="Verdana"/>
          <w:i/>
          <w:sz w:val="20"/>
          <w:szCs w:val="20"/>
          <w:lang w:val="es-MX"/>
        </w:rPr>
        <w:t xml:space="preserve">supra </w:t>
      </w:r>
      <w:r w:rsidR="00892903" w:rsidRPr="007A284B">
        <w:rPr>
          <w:rFonts w:ascii="Verdana" w:hAnsi="Verdana"/>
          <w:sz w:val="20"/>
          <w:szCs w:val="20"/>
          <w:lang w:val="es-MX"/>
        </w:rPr>
        <w:t>Considerando 12)</w:t>
      </w:r>
      <w:r w:rsidR="00B77648" w:rsidRPr="007A284B">
        <w:rPr>
          <w:rFonts w:ascii="Verdana" w:hAnsi="Verdana"/>
          <w:sz w:val="20"/>
          <w:szCs w:val="20"/>
          <w:lang w:val="es-MX"/>
        </w:rPr>
        <w:t>,</w:t>
      </w:r>
      <w:r w:rsidR="00742AAC" w:rsidRPr="007A284B">
        <w:rPr>
          <w:rFonts w:ascii="Verdana" w:hAnsi="Verdana"/>
          <w:sz w:val="20"/>
          <w:szCs w:val="20"/>
          <w:lang w:val="es-MX"/>
        </w:rPr>
        <w:t xml:space="preserve"> en cuanto a la dificultad para tomar declaraciones de algunas personas que podrían haber estado implicadas en los hechos </w:t>
      </w:r>
      <w:r w:rsidR="00B77648" w:rsidRPr="007A284B">
        <w:rPr>
          <w:rFonts w:ascii="Verdana" w:hAnsi="Verdana"/>
          <w:sz w:val="20"/>
          <w:szCs w:val="20"/>
          <w:lang w:val="es-MX"/>
        </w:rPr>
        <w:t xml:space="preserve">y la falta de </w:t>
      </w:r>
      <w:r w:rsidR="00B77648" w:rsidRPr="007A284B">
        <w:rPr>
          <w:rFonts w:ascii="Verdana" w:hAnsi="Verdana" w:cs="Calibri"/>
          <w:color w:val="000000"/>
          <w:sz w:val="20"/>
          <w:szCs w:val="20"/>
        </w:rPr>
        <w:t xml:space="preserve">registros sobre </w:t>
      </w:r>
      <w:r w:rsidR="000402B9">
        <w:rPr>
          <w:rFonts w:ascii="Verdana" w:hAnsi="Verdana" w:cs="Calibri"/>
          <w:color w:val="000000"/>
          <w:sz w:val="20"/>
          <w:szCs w:val="20"/>
        </w:rPr>
        <w:t xml:space="preserve">“el </w:t>
      </w:r>
      <w:r w:rsidR="000402B9" w:rsidRPr="000402B9">
        <w:rPr>
          <w:rFonts w:ascii="Verdana" w:hAnsi="Verdana" w:cs="Calibri"/>
          <w:color w:val="000000"/>
          <w:sz w:val="20"/>
          <w:szCs w:val="20"/>
        </w:rPr>
        <w:t>personal de oficiales, suboficiales y servicio militar obligatorio que habrían laborado durante el año 1994, en la base militar [en que estuvo detenido el señor Galindo Cárdenas,] específicamente el 16 de octubre hasta el 16 de noviembre de 1994</w:t>
      </w:r>
      <w:r w:rsidR="000402B9">
        <w:rPr>
          <w:rFonts w:ascii="Verdana" w:hAnsi="Verdana" w:cs="Calibri"/>
          <w:color w:val="000000"/>
          <w:sz w:val="20"/>
          <w:szCs w:val="20"/>
        </w:rPr>
        <w:t>”</w:t>
      </w:r>
      <w:r w:rsidR="00B26B82">
        <w:rPr>
          <w:rStyle w:val="Refdenotaalpie"/>
          <w:rFonts w:cs="Calibri"/>
          <w:color w:val="000000"/>
          <w:szCs w:val="20"/>
        </w:rPr>
        <w:footnoteReference w:id="11"/>
      </w:r>
      <w:r w:rsidR="00B77648" w:rsidRPr="007A284B">
        <w:rPr>
          <w:rFonts w:ascii="Verdana" w:hAnsi="Verdana" w:cs="Calibri"/>
          <w:color w:val="000000"/>
          <w:sz w:val="20"/>
          <w:szCs w:val="20"/>
        </w:rPr>
        <w:t xml:space="preserve">, así como </w:t>
      </w:r>
      <w:r w:rsidR="00742AAC" w:rsidRPr="007A284B">
        <w:rPr>
          <w:rFonts w:ascii="Verdana" w:hAnsi="Verdana"/>
          <w:sz w:val="20"/>
          <w:szCs w:val="20"/>
          <w:lang w:val="es-MX"/>
        </w:rPr>
        <w:t xml:space="preserve"> su impacto en la decisión de archivo definitivo. </w:t>
      </w:r>
      <w:r w:rsidR="003A0A7A" w:rsidRPr="007A284B">
        <w:rPr>
          <w:rFonts w:ascii="Verdana" w:hAnsi="Verdana"/>
          <w:sz w:val="20"/>
          <w:szCs w:val="20"/>
          <w:lang w:val="es-MX"/>
        </w:rPr>
        <w:t xml:space="preserve"> </w:t>
      </w:r>
    </w:p>
    <w:p w14:paraId="3FE7442B" w14:textId="77777777" w:rsidR="00CB3044" w:rsidRPr="004A2A98" w:rsidRDefault="00CB3044" w:rsidP="004A2A98">
      <w:pPr>
        <w:pStyle w:val="Prrafodelista"/>
        <w:spacing w:after="120"/>
        <w:rPr>
          <w:rFonts w:ascii="Verdana" w:hAnsi="Verdana"/>
          <w:sz w:val="20"/>
          <w:szCs w:val="20"/>
        </w:rPr>
      </w:pPr>
    </w:p>
    <w:p w14:paraId="568D9D26" w14:textId="4844833E" w:rsidR="00EC3D68" w:rsidRPr="00E3149D" w:rsidRDefault="00894DD5" w:rsidP="00CB3044">
      <w:pPr>
        <w:spacing w:after="120"/>
        <w:jc w:val="both"/>
        <w:rPr>
          <w:rFonts w:ascii="Verdana" w:hAnsi="Verdana"/>
          <w:i/>
          <w:iCs/>
          <w:sz w:val="20"/>
          <w:szCs w:val="20"/>
          <w:lang w:val="es-ES"/>
        </w:rPr>
      </w:pPr>
      <w:r w:rsidRPr="00E3149D">
        <w:rPr>
          <w:rFonts w:ascii="Verdana" w:hAnsi="Verdana"/>
          <w:i/>
          <w:iCs/>
          <w:sz w:val="20"/>
          <w:szCs w:val="20"/>
          <w:lang w:val="es-ES"/>
        </w:rPr>
        <w:t>B.2. Indemnización por daños materiales e inmateriales</w:t>
      </w:r>
    </w:p>
    <w:p w14:paraId="660FB6FC" w14:textId="03EBC55B" w:rsidR="00894DD5" w:rsidRPr="009814D2" w:rsidRDefault="00894DD5" w:rsidP="009814D2">
      <w:pPr>
        <w:pStyle w:val="Prrafodelista"/>
        <w:spacing w:after="120"/>
        <w:rPr>
          <w:rFonts w:ascii="Verdana" w:hAnsi="Verdana"/>
          <w:sz w:val="20"/>
          <w:szCs w:val="20"/>
        </w:rPr>
      </w:pPr>
    </w:p>
    <w:p w14:paraId="4B33E7D9" w14:textId="73CA2733" w:rsidR="0045092A" w:rsidRPr="002E642C" w:rsidRDefault="0045092A" w:rsidP="00CB3044">
      <w:pPr>
        <w:pStyle w:val="Prrafodelista"/>
        <w:numPr>
          <w:ilvl w:val="0"/>
          <w:numId w:val="11"/>
        </w:numPr>
        <w:autoSpaceDE w:val="0"/>
        <w:autoSpaceDN w:val="0"/>
        <w:adjustRightInd w:val="0"/>
        <w:spacing w:before="120" w:after="120"/>
        <w:ind w:left="0" w:firstLine="0"/>
        <w:jc w:val="both"/>
        <w:rPr>
          <w:rFonts w:ascii="Verdana" w:hAnsi="Verdana"/>
          <w:sz w:val="20"/>
          <w:szCs w:val="20"/>
          <w:lang w:val="es-MX"/>
        </w:rPr>
      </w:pPr>
      <w:r w:rsidRPr="008E60FA">
        <w:rPr>
          <w:rFonts w:ascii="Verdana" w:hAnsi="Verdana"/>
          <w:sz w:val="20"/>
          <w:szCs w:val="20"/>
          <w:lang w:val="es-MX"/>
        </w:rPr>
        <w:t>En el punto d</w:t>
      </w:r>
      <w:r w:rsidR="00892903" w:rsidRPr="008E60FA">
        <w:rPr>
          <w:rFonts w:ascii="Verdana" w:hAnsi="Verdana"/>
          <w:sz w:val="20"/>
          <w:szCs w:val="20"/>
          <w:lang w:val="es-MX"/>
        </w:rPr>
        <w:t>ispositivo décimo tercero</w:t>
      </w:r>
      <w:r w:rsidR="008E60FA" w:rsidRPr="008E60FA">
        <w:rPr>
          <w:rFonts w:ascii="Verdana" w:hAnsi="Verdana"/>
          <w:sz w:val="20"/>
          <w:szCs w:val="20"/>
          <w:lang w:val="es-MX"/>
        </w:rPr>
        <w:t xml:space="preserve"> de la Sentencia, la Corte determinó que el Estado “debe pagar, dentro del plazo </w:t>
      </w:r>
      <w:r w:rsidR="008E60FA" w:rsidRPr="008E60FA">
        <w:rPr>
          <w:rFonts w:ascii="Verdana" w:eastAsia="Calibri" w:hAnsi="Verdana" w:cs="Calibri"/>
          <w:sz w:val="20"/>
          <w:szCs w:val="20"/>
          <w:lang w:eastAsia="es-ES"/>
        </w:rPr>
        <w:t>de un año a partir de [su] notificación […] las cantidades fijadas en los párrafos 319 y 325 de la misma por concepto de indemnización por daños materiales e inmateriales, y el reintegro de costas y gastos”. E</w:t>
      </w:r>
      <w:r w:rsidR="00892903" w:rsidRPr="008E60FA">
        <w:rPr>
          <w:rFonts w:ascii="Verdana" w:hAnsi="Verdana"/>
          <w:sz w:val="20"/>
          <w:szCs w:val="20"/>
          <w:lang w:val="es-MX"/>
        </w:rPr>
        <w:t>n el</w:t>
      </w:r>
      <w:r w:rsidRPr="008E60FA">
        <w:rPr>
          <w:rFonts w:ascii="Verdana" w:hAnsi="Verdana"/>
          <w:sz w:val="20"/>
          <w:szCs w:val="20"/>
          <w:lang w:val="es-MX"/>
        </w:rPr>
        <w:t xml:space="preserve"> párrafo</w:t>
      </w:r>
      <w:r w:rsidR="00892903" w:rsidRPr="008E60FA">
        <w:rPr>
          <w:rFonts w:ascii="Verdana" w:hAnsi="Verdana"/>
          <w:sz w:val="20"/>
          <w:szCs w:val="20"/>
          <w:lang w:val="es-MX"/>
        </w:rPr>
        <w:t xml:space="preserve"> </w:t>
      </w:r>
      <w:r w:rsidRPr="008E60FA">
        <w:rPr>
          <w:rFonts w:ascii="Verdana" w:hAnsi="Verdana"/>
          <w:sz w:val="20"/>
          <w:szCs w:val="20"/>
          <w:lang w:val="es-MX"/>
        </w:rPr>
        <w:t xml:space="preserve">319 de la Sentencia, la Corte dispuso que el Estado debía pagar: i) $50.000,00 (cincuenta mil dólares de los Estados Unidos de América) al señor Galindo Cárdenas por concepto de </w:t>
      </w:r>
      <w:r w:rsidR="00B507EE" w:rsidRPr="008E60FA">
        <w:rPr>
          <w:rFonts w:ascii="Verdana" w:hAnsi="Verdana"/>
          <w:sz w:val="20"/>
          <w:szCs w:val="20"/>
          <w:lang w:val="es-MX"/>
        </w:rPr>
        <w:t xml:space="preserve">indemnización de </w:t>
      </w:r>
      <w:r w:rsidRPr="008E60FA">
        <w:rPr>
          <w:rFonts w:ascii="Verdana" w:hAnsi="Verdana"/>
          <w:sz w:val="20"/>
          <w:szCs w:val="20"/>
          <w:lang w:val="es-MX"/>
        </w:rPr>
        <w:t xml:space="preserve">daños material e inmaterial, y ii) $5.000,00 (cinco mil dólares de los Estados Unidos de América) para cada uno de sus familiares, su esposa Irma Díaz de Galindo y su hijo Luis Idelso Galindo Díaz, por concepto de daño inmaterial. </w:t>
      </w:r>
      <w:r w:rsidRPr="008E60FA">
        <w:rPr>
          <w:rFonts w:ascii="Verdana" w:hAnsi="Verdana"/>
          <w:sz w:val="20"/>
          <w:lang w:val="es-MX"/>
        </w:rPr>
        <w:t>Asimismo, en el párrafo 331 del fallo se estableció que</w:t>
      </w:r>
      <w:r w:rsidR="00892903" w:rsidRPr="008E60FA">
        <w:rPr>
          <w:rFonts w:ascii="Verdana" w:hAnsi="Verdana"/>
          <w:sz w:val="20"/>
          <w:lang w:val="es-MX"/>
        </w:rPr>
        <w:t>,</w:t>
      </w:r>
      <w:r w:rsidRPr="008E60FA">
        <w:rPr>
          <w:rFonts w:ascii="Verdana" w:hAnsi="Verdana"/>
          <w:sz w:val="20"/>
          <w:lang w:val="es-MX"/>
        </w:rPr>
        <w:t xml:space="preserve"> en caso de que el Estado incurriera en mora, debería “pagar un interés sobre la cantidad adeudada, correspondiente al interés bancario moratorio en la República del Perú”.</w:t>
      </w:r>
    </w:p>
    <w:p w14:paraId="26AF7F34" w14:textId="77777777" w:rsidR="002E642C" w:rsidRPr="008E60FA" w:rsidRDefault="002E642C" w:rsidP="002E642C">
      <w:pPr>
        <w:pStyle w:val="Prrafodelista"/>
        <w:spacing w:before="120" w:after="120"/>
        <w:ind w:left="0"/>
        <w:contextualSpacing w:val="0"/>
        <w:jc w:val="both"/>
        <w:rPr>
          <w:rFonts w:ascii="Verdana" w:hAnsi="Verdana"/>
          <w:sz w:val="20"/>
          <w:szCs w:val="20"/>
          <w:lang w:val="es-MX"/>
        </w:rPr>
      </w:pPr>
    </w:p>
    <w:p w14:paraId="7CD5B26C" w14:textId="3A89A0F5" w:rsidR="0045092A" w:rsidRDefault="00E3149D" w:rsidP="002E642C">
      <w:pPr>
        <w:pStyle w:val="Prrafodelista"/>
        <w:numPr>
          <w:ilvl w:val="0"/>
          <w:numId w:val="11"/>
        </w:numPr>
        <w:spacing w:before="120" w:after="120"/>
        <w:ind w:left="0" w:firstLine="0"/>
        <w:jc w:val="both"/>
        <w:rPr>
          <w:rFonts w:ascii="Verdana" w:hAnsi="Verdana"/>
          <w:sz w:val="20"/>
          <w:szCs w:val="20"/>
          <w:lang w:val="es-MX"/>
        </w:rPr>
      </w:pPr>
      <w:r>
        <w:rPr>
          <w:rFonts w:ascii="Verdana" w:hAnsi="Verdana"/>
          <w:sz w:val="20"/>
          <w:lang w:val="es-MX"/>
        </w:rPr>
        <w:t xml:space="preserve">La </w:t>
      </w:r>
      <w:r w:rsidR="0045092A">
        <w:rPr>
          <w:rFonts w:ascii="Verdana" w:hAnsi="Verdana"/>
          <w:sz w:val="20"/>
          <w:lang w:val="es-MX"/>
        </w:rPr>
        <w:t xml:space="preserve">Corte </w:t>
      </w:r>
      <w:r w:rsidR="003A0A7A">
        <w:rPr>
          <w:rFonts w:ascii="Verdana" w:hAnsi="Verdana"/>
          <w:sz w:val="20"/>
          <w:lang w:val="es-MX"/>
        </w:rPr>
        <w:t xml:space="preserve">constata que, de acuerdo a la información aportada por las partes, </w:t>
      </w:r>
      <w:r w:rsidR="00C12C14">
        <w:rPr>
          <w:rFonts w:ascii="Verdana" w:hAnsi="Verdana"/>
          <w:sz w:val="20"/>
          <w:lang w:val="es-MX"/>
        </w:rPr>
        <w:t xml:space="preserve">han transcurrido tres años y </w:t>
      </w:r>
      <w:r w:rsidR="002A04F6">
        <w:rPr>
          <w:rFonts w:ascii="Verdana" w:hAnsi="Verdana"/>
          <w:sz w:val="20"/>
          <w:lang w:val="es-MX"/>
        </w:rPr>
        <w:t>ocho</w:t>
      </w:r>
      <w:r w:rsidR="00C12C14">
        <w:rPr>
          <w:rFonts w:ascii="Verdana" w:hAnsi="Verdana"/>
          <w:sz w:val="20"/>
          <w:lang w:val="es-MX"/>
        </w:rPr>
        <w:t xml:space="preserve"> meses desde que venció el plazo para que el Estado cumpliera con esta reparación, sin que haya </w:t>
      </w:r>
      <w:r w:rsidR="003A0A7A">
        <w:rPr>
          <w:rFonts w:ascii="Verdana" w:hAnsi="Verdana"/>
          <w:sz w:val="20"/>
          <w:szCs w:val="20"/>
          <w:lang w:val="es-MX"/>
        </w:rPr>
        <w:t>realizado el pago.</w:t>
      </w:r>
    </w:p>
    <w:p w14:paraId="6D7061FC" w14:textId="77777777" w:rsidR="007168A3" w:rsidRPr="002E642C" w:rsidRDefault="007168A3" w:rsidP="002E642C">
      <w:pPr>
        <w:pStyle w:val="Prrafodelista"/>
        <w:spacing w:before="120" w:after="120"/>
        <w:ind w:left="0"/>
        <w:contextualSpacing w:val="0"/>
        <w:jc w:val="both"/>
        <w:rPr>
          <w:rFonts w:ascii="Verdana" w:hAnsi="Verdana"/>
          <w:sz w:val="20"/>
          <w:szCs w:val="20"/>
          <w:lang w:val="es-MX"/>
        </w:rPr>
      </w:pPr>
    </w:p>
    <w:p w14:paraId="58D4B14C" w14:textId="1642540E" w:rsidR="000E2FAE" w:rsidRPr="00C8384F" w:rsidRDefault="00E3149D" w:rsidP="002E642C">
      <w:pPr>
        <w:pStyle w:val="Prrafodelista"/>
        <w:numPr>
          <w:ilvl w:val="0"/>
          <w:numId w:val="11"/>
        </w:numPr>
        <w:spacing w:before="120" w:after="120"/>
        <w:ind w:left="0" w:firstLine="0"/>
        <w:jc w:val="both"/>
        <w:rPr>
          <w:rFonts w:ascii="Verdana" w:hAnsi="Verdana"/>
          <w:sz w:val="20"/>
          <w:szCs w:val="20"/>
          <w:lang w:val="es-MX"/>
        </w:rPr>
      </w:pPr>
      <w:r w:rsidRPr="00C8384F">
        <w:rPr>
          <w:rFonts w:ascii="Verdana" w:hAnsi="Verdana"/>
          <w:sz w:val="20"/>
          <w:szCs w:val="20"/>
          <w:lang w:val="es-MX"/>
        </w:rPr>
        <w:t>El Tribunal</w:t>
      </w:r>
      <w:r w:rsidR="003A0A7A" w:rsidRPr="00C8384F">
        <w:rPr>
          <w:rFonts w:ascii="Verdana" w:hAnsi="Verdana"/>
          <w:sz w:val="20"/>
          <w:szCs w:val="20"/>
          <w:lang w:val="es-MX"/>
        </w:rPr>
        <w:t xml:space="preserve"> observa que el Estado, en su último informe, indicó que</w:t>
      </w:r>
      <w:r w:rsidR="007234B0" w:rsidRPr="00C8384F">
        <w:rPr>
          <w:rFonts w:ascii="Verdana" w:hAnsi="Verdana"/>
          <w:sz w:val="20"/>
          <w:szCs w:val="20"/>
          <w:lang w:val="es-MX"/>
        </w:rPr>
        <w:t>,</w:t>
      </w:r>
      <w:r w:rsidR="003A0A7A" w:rsidRPr="00C8384F">
        <w:rPr>
          <w:rFonts w:ascii="Verdana" w:hAnsi="Verdana"/>
          <w:sz w:val="20"/>
          <w:szCs w:val="20"/>
          <w:lang w:val="es-MX"/>
        </w:rPr>
        <w:t xml:space="preserve"> </w:t>
      </w:r>
      <w:r w:rsidR="000E2FAE" w:rsidRPr="00C8384F">
        <w:rPr>
          <w:rFonts w:ascii="Verdana" w:hAnsi="Verdana"/>
          <w:sz w:val="20"/>
          <w:szCs w:val="20"/>
          <w:lang w:val="es-MX"/>
        </w:rPr>
        <w:t>para dar cumplimiento a los pagos pendientes derivados de la Sentencia, “se requiere adaptar el aplicativo informático administrado por el MEF [Ministerio de Economía y Fi</w:t>
      </w:r>
      <w:r w:rsidR="000E2FAE" w:rsidRPr="0093499C">
        <w:rPr>
          <w:rFonts w:ascii="Verdana" w:hAnsi="Verdana"/>
          <w:sz w:val="20"/>
          <w:szCs w:val="20"/>
          <w:lang w:val="es-MX"/>
        </w:rPr>
        <w:t>nanzas] [que…] ha sido diseñado para ingresar el pago de sentencias dictadas en el fuero interno”. Agregó que la coordinación de los organismos involucrados en la adaptación del mecanismo informático “se ha visto afectada por la declaratoria de emergencia sanitaria” en virtud de la pandemia. Asimismo, el Estado</w:t>
      </w:r>
      <w:r w:rsidR="00C8384F" w:rsidRPr="0093499C">
        <w:rPr>
          <w:rFonts w:ascii="Verdana" w:hAnsi="Verdana"/>
          <w:sz w:val="20"/>
          <w:szCs w:val="20"/>
          <w:lang w:val="es-MX"/>
        </w:rPr>
        <w:t xml:space="preserve"> sostuvo que “la ejecución de este pago debe realizarse conforme a los criterios de priorización para la atención del pago de sentencias judiciales,</w:t>
      </w:r>
      <w:r w:rsidR="00C8384F">
        <w:rPr>
          <w:rFonts w:ascii="Verdana" w:hAnsi="Verdana"/>
          <w:sz w:val="20"/>
          <w:szCs w:val="20"/>
          <w:lang w:val="es-MX"/>
        </w:rPr>
        <w:t xml:space="preserve"> </w:t>
      </w:r>
      <w:r w:rsidR="00C8384F" w:rsidRPr="00C8384F">
        <w:rPr>
          <w:rFonts w:ascii="Verdana" w:hAnsi="Verdana"/>
          <w:sz w:val="20"/>
          <w:szCs w:val="20"/>
          <w:lang w:val="es-MX"/>
        </w:rPr>
        <w:t>establecidos en el Reglamento de la Ley N° 30137</w:t>
      </w:r>
      <w:r w:rsidR="00C8384F">
        <w:rPr>
          <w:rFonts w:ascii="Verdana" w:hAnsi="Verdana"/>
          <w:sz w:val="20"/>
          <w:szCs w:val="20"/>
          <w:lang w:val="es-MX"/>
        </w:rPr>
        <w:t>,</w:t>
      </w:r>
      <w:r w:rsidR="000E2FAE" w:rsidRPr="00C8384F">
        <w:rPr>
          <w:rFonts w:ascii="Verdana" w:hAnsi="Verdana"/>
          <w:sz w:val="20"/>
          <w:szCs w:val="20"/>
          <w:lang w:val="es-MX"/>
        </w:rPr>
        <w:t xml:space="preserve"> </w:t>
      </w:r>
      <w:r w:rsidR="006D71EF" w:rsidRPr="00C8384F">
        <w:rPr>
          <w:rFonts w:ascii="Verdana" w:hAnsi="Verdana"/>
          <w:sz w:val="20"/>
          <w:szCs w:val="20"/>
          <w:lang w:val="es-MX"/>
        </w:rPr>
        <w:t>adoptado en abril de 2020</w:t>
      </w:r>
      <w:r w:rsidR="00222879">
        <w:rPr>
          <w:rStyle w:val="Refdenotaalpie"/>
          <w:szCs w:val="20"/>
          <w:lang w:val="es-MX"/>
        </w:rPr>
        <w:footnoteReference w:id="12"/>
      </w:r>
      <w:r w:rsidR="000E2FAE" w:rsidRPr="00C8384F">
        <w:rPr>
          <w:rFonts w:ascii="Verdana" w:hAnsi="Verdana"/>
          <w:sz w:val="20"/>
          <w:szCs w:val="20"/>
          <w:lang w:val="es-MX"/>
        </w:rPr>
        <w:t>, de acuerdo al cual “las víctimas por violaciones de derechos humanos</w:t>
      </w:r>
      <w:r w:rsidR="00222879" w:rsidRPr="00C8384F">
        <w:rPr>
          <w:rFonts w:ascii="Verdana" w:hAnsi="Verdana"/>
          <w:sz w:val="20"/>
          <w:szCs w:val="20"/>
          <w:lang w:val="es-MX"/>
        </w:rPr>
        <w:t xml:space="preserve">, incluyendo las […] establecidas en sentencias de instancias supranacionales donde se haya determinado la responsabilidad del Estado peruano, están incorporadas en el Grupo 3 de priorización de pago”. </w:t>
      </w:r>
    </w:p>
    <w:p w14:paraId="72A2A1C0" w14:textId="77777777" w:rsidR="000E2FAE" w:rsidRPr="000E2FAE" w:rsidRDefault="000E2FAE" w:rsidP="002E642C">
      <w:pPr>
        <w:pStyle w:val="Prrafodelista"/>
        <w:spacing w:before="120" w:after="120"/>
        <w:ind w:left="0"/>
        <w:contextualSpacing w:val="0"/>
        <w:jc w:val="both"/>
        <w:rPr>
          <w:rFonts w:ascii="Verdana" w:hAnsi="Verdana"/>
          <w:sz w:val="20"/>
          <w:szCs w:val="20"/>
          <w:lang w:val="es-MX"/>
        </w:rPr>
      </w:pPr>
    </w:p>
    <w:p w14:paraId="19BA4A6A" w14:textId="370F20A8" w:rsidR="00E3149D" w:rsidRPr="00CB3044" w:rsidRDefault="00E3149D" w:rsidP="002E642C">
      <w:pPr>
        <w:pStyle w:val="Prrafodelista"/>
        <w:numPr>
          <w:ilvl w:val="0"/>
          <w:numId w:val="11"/>
        </w:numPr>
        <w:autoSpaceDE w:val="0"/>
        <w:autoSpaceDN w:val="0"/>
        <w:adjustRightInd w:val="0"/>
        <w:spacing w:after="120"/>
        <w:ind w:left="0" w:firstLine="0"/>
        <w:jc w:val="both"/>
        <w:rPr>
          <w:rFonts w:ascii="Verdana" w:hAnsi="Verdana"/>
          <w:b/>
          <w:sz w:val="20"/>
          <w:szCs w:val="20"/>
        </w:rPr>
      </w:pPr>
      <w:r w:rsidRPr="00E3149D">
        <w:rPr>
          <w:rFonts w:ascii="Verdana" w:hAnsi="Verdana"/>
          <w:sz w:val="20"/>
          <w:szCs w:val="20"/>
          <w:lang w:val="es-MX"/>
        </w:rPr>
        <w:t>Respecto de los obstáculos alegados por el Estado para ejecutar el pago de las indemnizaciones por daños materiales e inmateriales (</w:t>
      </w:r>
      <w:r w:rsidRPr="00E3149D">
        <w:rPr>
          <w:rFonts w:ascii="Verdana" w:hAnsi="Verdana"/>
          <w:i/>
          <w:iCs/>
          <w:sz w:val="20"/>
          <w:szCs w:val="20"/>
          <w:lang w:val="es-MX"/>
        </w:rPr>
        <w:t>supra</w:t>
      </w:r>
      <w:r w:rsidRPr="00E3149D">
        <w:rPr>
          <w:rFonts w:ascii="Verdana" w:hAnsi="Verdana"/>
          <w:sz w:val="20"/>
          <w:szCs w:val="20"/>
          <w:lang w:val="es-MX"/>
        </w:rPr>
        <w:t xml:space="preserve"> Considerando </w:t>
      </w:r>
      <w:r w:rsidR="002A04F6">
        <w:rPr>
          <w:rFonts w:ascii="Verdana" w:hAnsi="Verdana"/>
          <w:sz w:val="20"/>
          <w:szCs w:val="20"/>
          <w:lang w:val="es-MX"/>
        </w:rPr>
        <w:t>16</w:t>
      </w:r>
      <w:r w:rsidRPr="00E3149D">
        <w:rPr>
          <w:rFonts w:ascii="Verdana" w:hAnsi="Verdana"/>
          <w:sz w:val="20"/>
          <w:szCs w:val="20"/>
          <w:lang w:val="es-MX"/>
        </w:rPr>
        <w:t xml:space="preserve">), </w:t>
      </w:r>
      <w:r w:rsidR="00CC57B1">
        <w:rPr>
          <w:rFonts w:ascii="Verdana" w:hAnsi="Verdana"/>
          <w:sz w:val="20"/>
          <w:szCs w:val="20"/>
          <w:lang w:val="es-MX"/>
        </w:rPr>
        <w:t xml:space="preserve">la Corte destaca que los mismos ocurrieron cuando habían transcurrido más de tres años del vencimiento del plazo para cumplir con la reparación ordenada a favor de las víctimas de este caso. </w:t>
      </w:r>
      <w:r w:rsidR="007832CE">
        <w:rPr>
          <w:rFonts w:ascii="Verdana" w:hAnsi="Verdana"/>
          <w:sz w:val="20"/>
          <w:szCs w:val="20"/>
          <w:lang w:val="es-MX"/>
        </w:rPr>
        <w:t>Además, no es atendible que se invoque la emergencia sanitaria por la pandemia para retrasar la concreción de medidas de carácter administrativo.</w:t>
      </w:r>
      <w:r w:rsidR="007832CE">
        <w:rPr>
          <w:rFonts w:ascii="Verdana" w:hAnsi="Verdana"/>
          <w:b/>
          <w:sz w:val="20"/>
          <w:szCs w:val="20"/>
        </w:rPr>
        <w:t xml:space="preserve"> </w:t>
      </w:r>
      <w:r w:rsidR="00CC57B1" w:rsidRPr="007832CE">
        <w:rPr>
          <w:rFonts w:ascii="Verdana" w:hAnsi="Verdana"/>
          <w:sz w:val="20"/>
          <w:szCs w:val="20"/>
          <w:lang w:val="es-MX"/>
        </w:rPr>
        <w:t xml:space="preserve">Asimismo, </w:t>
      </w:r>
      <w:r w:rsidRPr="007832CE">
        <w:rPr>
          <w:rFonts w:ascii="Verdana" w:hAnsi="Verdana"/>
          <w:sz w:val="20"/>
          <w:szCs w:val="20"/>
        </w:rPr>
        <w:t>esta Corte recuerda la obligación que tienen los Estados de cumplir de buena fe (</w:t>
      </w:r>
      <w:r w:rsidRPr="007832CE">
        <w:rPr>
          <w:rFonts w:ascii="Verdana" w:hAnsi="Verdana"/>
          <w:i/>
          <w:sz w:val="20"/>
          <w:szCs w:val="20"/>
        </w:rPr>
        <w:t xml:space="preserve">pacta sunt </w:t>
      </w:r>
      <w:proofErr w:type="spellStart"/>
      <w:r w:rsidRPr="007832CE">
        <w:rPr>
          <w:rFonts w:ascii="Verdana" w:hAnsi="Verdana"/>
          <w:i/>
          <w:sz w:val="20"/>
          <w:szCs w:val="20"/>
        </w:rPr>
        <w:t>servanda</w:t>
      </w:r>
      <w:proofErr w:type="spellEnd"/>
      <w:r w:rsidRPr="007832CE">
        <w:rPr>
          <w:rFonts w:ascii="Verdana" w:hAnsi="Verdana"/>
          <w:sz w:val="20"/>
          <w:szCs w:val="20"/>
        </w:rPr>
        <w:t xml:space="preserve">) con sus obligaciones convencionales internacionales y, por ende, con lo dispuesto en las decisiones de este Tribunal. </w:t>
      </w:r>
      <w:r w:rsidR="00CC57B1" w:rsidRPr="007832CE">
        <w:rPr>
          <w:rFonts w:ascii="Verdana" w:hAnsi="Verdana"/>
          <w:sz w:val="20"/>
          <w:szCs w:val="20"/>
        </w:rPr>
        <w:t>B</w:t>
      </w:r>
      <w:r w:rsidRPr="007832CE">
        <w:rPr>
          <w:rFonts w:ascii="Verdana" w:hAnsi="Verdana"/>
          <w:sz w:val="20"/>
          <w:szCs w:val="20"/>
        </w:rPr>
        <w:t>ajo el derecho internacional, siempre que un Estado es encontrado responsable de un hecho internacionalmente ilícito que haya producido un daño, surge para ese Estado la obligación de repararlo íntegramente</w:t>
      </w:r>
      <w:r w:rsidRPr="00E3149D">
        <w:rPr>
          <w:rStyle w:val="Refdenotaalpie"/>
          <w:sz w:val="20"/>
          <w:szCs w:val="20"/>
        </w:rPr>
        <w:footnoteReference w:id="13"/>
      </w:r>
      <w:r w:rsidRPr="007832CE">
        <w:rPr>
          <w:rFonts w:ascii="Verdana" w:hAnsi="Verdana"/>
          <w:sz w:val="20"/>
          <w:szCs w:val="20"/>
        </w:rPr>
        <w:t>. Tales obligaciones no pueden ser modificadas o incumplidas por el Estado invocando para ello disposiciones de su derecho interno o razones de orden interno</w:t>
      </w:r>
      <w:r w:rsidRPr="00E3149D">
        <w:rPr>
          <w:rStyle w:val="Refdenotaalpie"/>
          <w:sz w:val="20"/>
          <w:szCs w:val="20"/>
        </w:rPr>
        <w:footnoteReference w:id="14"/>
      </w:r>
      <w:r w:rsidRPr="007832CE">
        <w:rPr>
          <w:rFonts w:ascii="Verdana" w:hAnsi="Verdana"/>
          <w:sz w:val="20"/>
          <w:szCs w:val="20"/>
        </w:rPr>
        <w:t>. La ejecución de las Sentencias de la Corte Interamericana es parte fundamental del derecho de acceso a la justicia internacional</w:t>
      </w:r>
      <w:r w:rsidRPr="00E3149D">
        <w:rPr>
          <w:rStyle w:val="Refdenotaalpie"/>
          <w:sz w:val="20"/>
          <w:szCs w:val="20"/>
        </w:rPr>
        <w:footnoteReference w:id="15"/>
      </w:r>
      <w:r w:rsidRPr="007832CE">
        <w:rPr>
          <w:rFonts w:ascii="Verdana" w:hAnsi="Verdana"/>
          <w:sz w:val="20"/>
          <w:szCs w:val="20"/>
        </w:rPr>
        <w:t>. Lo contrario supone la negación misma de este derecho para víctimas de violaciones de derechos humanos que se encuentran amparadas por una Sentencia de la Corte Interamericana</w:t>
      </w:r>
      <w:r w:rsidRPr="00E3149D">
        <w:rPr>
          <w:rStyle w:val="Refdenotaalpie"/>
          <w:sz w:val="20"/>
          <w:szCs w:val="20"/>
        </w:rPr>
        <w:footnoteReference w:id="16"/>
      </w:r>
      <w:r w:rsidRPr="007832CE">
        <w:rPr>
          <w:rFonts w:ascii="Verdana" w:hAnsi="Verdana"/>
          <w:sz w:val="20"/>
          <w:szCs w:val="20"/>
        </w:rPr>
        <w:t>.</w:t>
      </w:r>
    </w:p>
    <w:p w14:paraId="0B25B040" w14:textId="77777777" w:rsidR="00CB3044" w:rsidRPr="002E642C" w:rsidRDefault="00CB3044" w:rsidP="002E642C">
      <w:pPr>
        <w:pStyle w:val="Prrafodelista"/>
        <w:spacing w:before="120" w:after="120"/>
        <w:ind w:left="0"/>
        <w:contextualSpacing w:val="0"/>
        <w:jc w:val="both"/>
        <w:rPr>
          <w:rFonts w:ascii="Verdana" w:hAnsi="Verdana"/>
          <w:sz w:val="20"/>
          <w:szCs w:val="20"/>
          <w:lang w:val="es-MX"/>
        </w:rPr>
      </w:pPr>
    </w:p>
    <w:p w14:paraId="05E71520" w14:textId="4B335F1C" w:rsidR="003A0A7A" w:rsidRPr="001F307E" w:rsidRDefault="00E3149D" w:rsidP="002E642C">
      <w:pPr>
        <w:pStyle w:val="Prrafodelista"/>
        <w:numPr>
          <w:ilvl w:val="0"/>
          <w:numId w:val="11"/>
        </w:numPr>
        <w:spacing w:before="120" w:after="120"/>
        <w:ind w:left="0" w:firstLine="0"/>
        <w:contextualSpacing w:val="0"/>
        <w:jc w:val="both"/>
        <w:rPr>
          <w:rFonts w:ascii="Verdana" w:hAnsi="Verdana"/>
          <w:b/>
          <w:sz w:val="20"/>
          <w:szCs w:val="20"/>
          <w:lang w:val="es-MX"/>
        </w:rPr>
      </w:pPr>
      <w:r>
        <w:rPr>
          <w:rFonts w:ascii="Verdana" w:hAnsi="Verdana"/>
          <w:sz w:val="20"/>
          <w:szCs w:val="20"/>
          <w:lang w:val="es-MX"/>
        </w:rPr>
        <w:t>En virtud</w:t>
      </w:r>
      <w:r w:rsidRPr="00BF0AF6">
        <w:rPr>
          <w:rFonts w:ascii="Verdana" w:hAnsi="Verdana"/>
          <w:sz w:val="20"/>
          <w:szCs w:val="20"/>
          <w:lang w:val="es-MX"/>
        </w:rPr>
        <w:t xml:space="preserve"> lo anterior, el Tribunal declara que el Estado no ha dado cumplimiento a la medida de reparación relativa a</w:t>
      </w:r>
      <w:r>
        <w:rPr>
          <w:rFonts w:ascii="Verdana" w:hAnsi="Verdana"/>
          <w:sz w:val="20"/>
          <w:szCs w:val="20"/>
          <w:lang w:val="es-MX"/>
        </w:rPr>
        <w:t xml:space="preserve"> pagar los montos establecidos por concepto de daños materiales e inmateriales</w:t>
      </w:r>
      <w:r w:rsidRPr="00BF0AF6">
        <w:rPr>
          <w:rFonts w:ascii="Verdana" w:hAnsi="Verdana"/>
          <w:sz w:val="20"/>
          <w:szCs w:val="20"/>
          <w:lang w:val="es-MX"/>
        </w:rPr>
        <w:t>, ordenada en el punto dispositivo décimo tercero de la Sentencia</w:t>
      </w:r>
      <w:r w:rsidRPr="001F307E">
        <w:rPr>
          <w:rFonts w:ascii="Verdana" w:hAnsi="Verdana"/>
          <w:sz w:val="20"/>
          <w:szCs w:val="20"/>
          <w:lang w:val="es-MX"/>
        </w:rPr>
        <w:t>.</w:t>
      </w:r>
      <w:r w:rsidR="002E743D" w:rsidRPr="001F307E">
        <w:rPr>
          <w:rFonts w:ascii="Verdana" w:hAnsi="Verdana"/>
          <w:sz w:val="20"/>
          <w:szCs w:val="20"/>
          <w:lang w:val="es-MX"/>
        </w:rPr>
        <w:t xml:space="preserve"> Por ello, el Perú debe </w:t>
      </w:r>
      <w:r w:rsidR="002E743D" w:rsidRPr="001F307E">
        <w:rPr>
          <w:rFonts w:ascii="Verdana" w:hAnsi="Verdana"/>
          <w:sz w:val="20"/>
          <w:szCs w:val="20"/>
        </w:rPr>
        <w:t xml:space="preserve">adoptar, a la mayor brevedad posible, las medidas que sean necesarias para dar efectivo y pronto cumplimiento a la reparación ordenada. </w:t>
      </w:r>
    </w:p>
    <w:p w14:paraId="6C3A0549" w14:textId="77777777" w:rsidR="007A0CCC" w:rsidRPr="00CB3044" w:rsidRDefault="007A0CCC" w:rsidP="00CB3044">
      <w:pPr>
        <w:spacing w:after="120"/>
        <w:rPr>
          <w:rFonts w:ascii="Verdana" w:hAnsi="Verdana"/>
          <w:sz w:val="20"/>
          <w:szCs w:val="20"/>
        </w:rPr>
      </w:pPr>
    </w:p>
    <w:p w14:paraId="08E9A87A" w14:textId="77777777" w:rsidR="007A0CCC" w:rsidRPr="007A0CCC" w:rsidRDefault="007A0CCC" w:rsidP="00CB3044">
      <w:pPr>
        <w:spacing w:after="120"/>
        <w:jc w:val="both"/>
        <w:rPr>
          <w:rFonts w:ascii="Verdana" w:hAnsi="Verdana"/>
          <w:sz w:val="20"/>
          <w:szCs w:val="20"/>
        </w:rPr>
      </w:pPr>
    </w:p>
    <w:p w14:paraId="06F0F39E" w14:textId="77777777" w:rsidR="007A0CCC" w:rsidRPr="007A0CCC" w:rsidRDefault="007A0CCC" w:rsidP="00CB3044">
      <w:pPr>
        <w:spacing w:after="120"/>
        <w:jc w:val="both"/>
        <w:rPr>
          <w:rFonts w:ascii="Verdana" w:hAnsi="Verdana"/>
          <w:b/>
          <w:sz w:val="20"/>
          <w:szCs w:val="20"/>
        </w:rPr>
      </w:pPr>
      <w:r w:rsidRPr="007A0CCC">
        <w:rPr>
          <w:rFonts w:ascii="Verdana" w:hAnsi="Verdana"/>
          <w:b/>
          <w:sz w:val="20"/>
          <w:szCs w:val="20"/>
        </w:rPr>
        <w:t xml:space="preserve">POR TANTO: </w:t>
      </w:r>
    </w:p>
    <w:p w14:paraId="64BE96B7" w14:textId="77777777" w:rsidR="007A0CCC" w:rsidRPr="007A0CCC" w:rsidRDefault="007A0CCC" w:rsidP="00CB3044">
      <w:pPr>
        <w:spacing w:after="120"/>
        <w:jc w:val="both"/>
        <w:rPr>
          <w:rFonts w:ascii="Verdana" w:hAnsi="Verdana"/>
          <w:sz w:val="20"/>
          <w:szCs w:val="20"/>
        </w:rPr>
      </w:pPr>
    </w:p>
    <w:p w14:paraId="7EA8CBA9" w14:textId="77777777" w:rsidR="007A0CCC" w:rsidRPr="007A0CCC" w:rsidRDefault="007A0CCC" w:rsidP="00CB3044">
      <w:pPr>
        <w:spacing w:after="120"/>
        <w:jc w:val="both"/>
        <w:rPr>
          <w:rFonts w:ascii="Verdana" w:hAnsi="Verdana"/>
          <w:b/>
          <w:sz w:val="20"/>
          <w:szCs w:val="20"/>
        </w:rPr>
      </w:pPr>
      <w:r w:rsidRPr="007A0CCC">
        <w:rPr>
          <w:rFonts w:ascii="Verdana" w:hAnsi="Verdana"/>
          <w:b/>
          <w:sz w:val="20"/>
          <w:szCs w:val="20"/>
        </w:rPr>
        <w:t xml:space="preserve">LA CORTE INTERAMERICANA DE DERECHOS HUMANOS, </w:t>
      </w:r>
    </w:p>
    <w:p w14:paraId="2B69C48B" w14:textId="77777777" w:rsidR="007A0CCC" w:rsidRDefault="007A0CCC" w:rsidP="00CB3044">
      <w:pPr>
        <w:spacing w:after="120"/>
        <w:jc w:val="both"/>
        <w:rPr>
          <w:rFonts w:ascii="Verdana" w:hAnsi="Verdana"/>
          <w:sz w:val="20"/>
          <w:szCs w:val="20"/>
        </w:rPr>
      </w:pPr>
      <w:r w:rsidRPr="007A0CCC">
        <w:rPr>
          <w:rFonts w:ascii="Verdana" w:hAnsi="Verdana"/>
          <w:sz w:val="20"/>
          <w:szCs w:val="20"/>
        </w:rPr>
        <w:t xml:space="preserve">en uso de las atribuciones que le confieren el artículo 63.2 de la Convención Americana y los artículos 27 y 31.2 del Reglamento, </w:t>
      </w:r>
    </w:p>
    <w:p w14:paraId="13A5D513" w14:textId="77777777" w:rsidR="007A0CCC" w:rsidRDefault="007A0CCC" w:rsidP="007A0CCC">
      <w:pPr>
        <w:jc w:val="both"/>
        <w:rPr>
          <w:rFonts w:ascii="Verdana" w:hAnsi="Verdana"/>
          <w:sz w:val="20"/>
          <w:szCs w:val="20"/>
        </w:rPr>
      </w:pPr>
    </w:p>
    <w:p w14:paraId="5BEC05CE" w14:textId="664924A6" w:rsidR="007A0CCC" w:rsidRDefault="007A0CCC" w:rsidP="007A0CCC">
      <w:pPr>
        <w:jc w:val="both"/>
        <w:rPr>
          <w:rFonts w:ascii="Verdana" w:hAnsi="Verdana"/>
          <w:b/>
          <w:sz w:val="20"/>
          <w:szCs w:val="20"/>
        </w:rPr>
      </w:pPr>
      <w:r w:rsidRPr="007A0CCC">
        <w:rPr>
          <w:rFonts w:ascii="Verdana" w:hAnsi="Verdana"/>
          <w:b/>
          <w:sz w:val="20"/>
          <w:szCs w:val="20"/>
        </w:rPr>
        <w:t xml:space="preserve">RESUELVE: </w:t>
      </w:r>
    </w:p>
    <w:p w14:paraId="1F0FEA9E" w14:textId="0C4BD6CE" w:rsidR="002E6D6B" w:rsidRDefault="002E6D6B" w:rsidP="00CB3044">
      <w:pPr>
        <w:spacing w:after="120"/>
        <w:jc w:val="both"/>
        <w:rPr>
          <w:rFonts w:ascii="Verdana" w:hAnsi="Verdana"/>
          <w:b/>
          <w:sz w:val="20"/>
          <w:szCs w:val="20"/>
        </w:rPr>
      </w:pPr>
    </w:p>
    <w:p w14:paraId="0284B2C1" w14:textId="2ADB0BAA" w:rsidR="00A31A3F" w:rsidRDefault="007A0CCC" w:rsidP="00CB3044">
      <w:pPr>
        <w:pStyle w:val="Prrafodelista"/>
        <w:numPr>
          <w:ilvl w:val="0"/>
          <w:numId w:val="4"/>
        </w:numPr>
        <w:spacing w:after="120"/>
        <w:ind w:left="0" w:firstLine="0"/>
        <w:jc w:val="both"/>
        <w:rPr>
          <w:rFonts w:ascii="Verdana" w:hAnsi="Verdana"/>
          <w:sz w:val="20"/>
          <w:szCs w:val="20"/>
        </w:rPr>
      </w:pPr>
      <w:r w:rsidRPr="003B7307">
        <w:rPr>
          <w:rFonts w:ascii="Verdana" w:hAnsi="Verdana"/>
          <w:sz w:val="20"/>
          <w:szCs w:val="20"/>
        </w:rPr>
        <w:t xml:space="preserve">Desestimar la solicitud de medidas provisionales </w:t>
      </w:r>
      <w:r w:rsidR="003B7307" w:rsidRPr="003B7307">
        <w:rPr>
          <w:rFonts w:ascii="Verdana" w:hAnsi="Verdana"/>
          <w:sz w:val="20"/>
          <w:szCs w:val="20"/>
        </w:rPr>
        <w:t>presentada por</w:t>
      </w:r>
      <w:r w:rsidRPr="003B7307">
        <w:rPr>
          <w:rFonts w:ascii="Verdana" w:hAnsi="Verdana"/>
          <w:sz w:val="20"/>
          <w:szCs w:val="20"/>
        </w:rPr>
        <w:t xml:space="preserve"> Luis Antonio Galindo Cárdenas</w:t>
      </w:r>
      <w:r w:rsidR="003B7307" w:rsidRPr="003B7307">
        <w:rPr>
          <w:rFonts w:ascii="Verdana" w:hAnsi="Verdana"/>
          <w:sz w:val="20"/>
          <w:szCs w:val="20"/>
        </w:rPr>
        <w:t xml:space="preserve">, en virtud de que el asunto planteado ante el Tribunal no es materia de medidas provisionales en los términos del artículo 63.2 de la Convención Americana sobre Derechos Humanos, sino que correspondía ser evaluado en el marco de la supervisión del cumplimiento de la Sentencia dictada en el caso </w:t>
      </w:r>
      <w:r w:rsidR="003B7307" w:rsidRPr="00E3149D">
        <w:rPr>
          <w:rFonts w:ascii="Verdana" w:hAnsi="Verdana"/>
          <w:i/>
          <w:iCs/>
          <w:sz w:val="20"/>
          <w:szCs w:val="20"/>
        </w:rPr>
        <w:t>Galindo Cárdenas y Otros Vs. Perú</w:t>
      </w:r>
      <w:r w:rsidR="003B7307" w:rsidRPr="003B7307">
        <w:rPr>
          <w:rFonts w:ascii="Verdana" w:hAnsi="Verdana"/>
          <w:sz w:val="20"/>
          <w:szCs w:val="20"/>
        </w:rPr>
        <w:t xml:space="preserve">, lo cual fue realizado en los Considerandos </w:t>
      </w:r>
      <w:r w:rsidR="00204612">
        <w:rPr>
          <w:rFonts w:ascii="Verdana" w:hAnsi="Verdana"/>
          <w:sz w:val="20"/>
          <w:szCs w:val="20"/>
        </w:rPr>
        <w:t>1</w:t>
      </w:r>
      <w:r w:rsidR="0093499C">
        <w:rPr>
          <w:rFonts w:ascii="Verdana" w:hAnsi="Verdana"/>
          <w:sz w:val="20"/>
          <w:szCs w:val="20"/>
        </w:rPr>
        <w:t>0</w:t>
      </w:r>
      <w:r w:rsidR="003B7307" w:rsidRPr="003B7307">
        <w:rPr>
          <w:rFonts w:ascii="Verdana" w:hAnsi="Verdana"/>
          <w:sz w:val="20"/>
          <w:szCs w:val="20"/>
        </w:rPr>
        <w:t xml:space="preserve"> a </w:t>
      </w:r>
      <w:r w:rsidR="0093499C">
        <w:rPr>
          <w:rFonts w:ascii="Verdana" w:hAnsi="Verdana"/>
          <w:sz w:val="20"/>
          <w:szCs w:val="20"/>
        </w:rPr>
        <w:t>18</w:t>
      </w:r>
      <w:r w:rsidR="003B7307" w:rsidRPr="003B7307">
        <w:rPr>
          <w:rFonts w:ascii="Verdana" w:hAnsi="Verdana"/>
          <w:sz w:val="20"/>
          <w:szCs w:val="20"/>
        </w:rPr>
        <w:t xml:space="preserve"> de la presente Resolución</w:t>
      </w:r>
      <w:r w:rsidRPr="003B7307">
        <w:rPr>
          <w:rFonts w:ascii="Verdana" w:hAnsi="Verdana"/>
          <w:sz w:val="20"/>
          <w:szCs w:val="20"/>
        </w:rPr>
        <w:t>.</w:t>
      </w:r>
    </w:p>
    <w:p w14:paraId="1E5C6364" w14:textId="6D08E2AC" w:rsidR="007A0CCC" w:rsidRPr="002E642C" w:rsidRDefault="007A0CCC" w:rsidP="002E642C">
      <w:pPr>
        <w:spacing w:after="120"/>
        <w:jc w:val="both"/>
        <w:rPr>
          <w:rFonts w:ascii="Verdana" w:hAnsi="Verdana"/>
          <w:b/>
          <w:sz w:val="20"/>
          <w:szCs w:val="20"/>
        </w:rPr>
      </w:pPr>
    </w:p>
    <w:p w14:paraId="3FB13A8F" w14:textId="75D5CE8B" w:rsidR="00A31A3F" w:rsidRPr="003B7307" w:rsidRDefault="00A31A3F" w:rsidP="00CB3044">
      <w:pPr>
        <w:pStyle w:val="Prrafodelista"/>
        <w:numPr>
          <w:ilvl w:val="0"/>
          <w:numId w:val="4"/>
        </w:numPr>
        <w:spacing w:after="120"/>
        <w:ind w:left="0" w:firstLine="0"/>
        <w:jc w:val="both"/>
        <w:rPr>
          <w:rFonts w:ascii="Verdana" w:hAnsi="Verdana"/>
          <w:sz w:val="20"/>
          <w:szCs w:val="20"/>
        </w:rPr>
      </w:pPr>
      <w:r w:rsidRPr="007D57EE">
        <w:rPr>
          <w:rFonts w:ascii="Verdana" w:hAnsi="Verdana"/>
          <w:sz w:val="20"/>
          <w:szCs w:val="20"/>
          <w:lang w:val="es-CR"/>
        </w:rPr>
        <w:t xml:space="preserve">Declarar, de conformidad con lo señalado en los Considerandos </w:t>
      </w:r>
      <w:r w:rsidR="00204612">
        <w:rPr>
          <w:rFonts w:ascii="Verdana" w:hAnsi="Verdana"/>
          <w:sz w:val="20"/>
          <w:szCs w:val="20"/>
          <w:lang w:val="es-CR"/>
        </w:rPr>
        <w:t>1</w:t>
      </w:r>
      <w:r w:rsidR="0093499C">
        <w:rPr>
          <w:rFonts w:ascii="Verdana" w:hAnsi="Verdana"/>
          <w:sz w:val="20"/>
          <w:szCs w:val="20"/>
          <w:lang w:val="es-CR"/>
        </w:rPr>
        <w:t>3</w:t>
      </w:r>
      <w:r w:rsidRPr="007D57EE">
        <w:rPr>
          <w:rFonts w:ascii="Verdana" w:hAnsi="Verdana"/>
          <w:sz w:val="20"/>
          <w:szCs w:val="20"/>
          <w:lang w:val="es-CR"/>
        </w:rPr>
        <w:t xml:space="preserve"> </w:t>
      </w:r>
      <w:r>
        <w:rPr>
          <w:rFonts w:ascii="Verdana" w:hAnsi="Verdana"/>
          <w:sz w:val="20"/>
          <w:szCs w:val="20"/>
          <w:lang w:val="es-CR"/>
        </w:rPr>
        <w:t xml:space="preserve">y </w:t>
      </w:r>
      <w:r w:rsidR="0093499C">
        <w:rPr>
          <w:rFonts w:ascii="Verdana" w:hAnsi="Verdana"/>
          <w:sz w:val="20"/>
          <w:szCs w:val="20"/>
          <w:lang w:val="es-CR"/>
        </w:rPr>
        <w:t>18</w:t>
      </w:r>
      <w:r w:rsidRPr="007D57EE">
        <w:rPr>
          <w:rFonts w:ascii="Verdana" w:hAnsi="Verdana"/>
          <w:sz w:val="20"/>
          <w:szCs w:val="20"/>
          <w:lang w:val="es-CR"/>
        </w:rPr>
        <w:t xml:space="preserve"> de la presente Resolución, que se encuentra</w:t>
      </w:r>
      <w:r>
        <w:rPr>
          <w:rFonts w:ascii="Verdana" w:hAnsi="Verdana"/>
          <w:sz w:val="20"/>
          <w:szCs w:val="20"/>
          <w:lang w:val="es-CR"/>
        </w:rPr>
        <w:t>n</w:t>
      </w:r>
      <w:r w:rsidRPr="007D57EE">
        <w:rPr>
          <w:rFonts w:ascii="Verdana" w:hAnsi="Verdana"/>
          <w:sz w:val="20"/>
          <w:szCs w:val="20"/>
          <w:lang w:val="es-CR"/>
        </w:rPr>
        <w:t xml:space="preserve"> pendiente de cumplimiento la</w:t>
      </w:r>
      <w:r>
        <w:rPr>
          <w:rFonts w:ascii="Verdana" w:hAnsi="Verdana"/>
          <w:sz w:val="20"/>
          <w:szCs w:val="20"/>
          <w:lang w:val="es-CR"/>
        </w:rPr>
        <w:t>s</w:t>
      </w:r>
      <w:r w:rsidRPr="007D57EE">
        <w:rPr>
          <w:rFonts w:ascii="Verdana" w:hAnsi="Verdana"/>
          <w:sz w:val="20"/>
          <w:szCs w:val="20"/>
          <w:lang w:val="es-CR"/>
        </w:rPr>
        <w:t xml:space="preserve"> medida</w:t>
      </w:r>
      <w:r>
        <w:rPr>
          <w:rFonts w:ascii="Verdana" w:hAnsi="Verdana"/>
          <w:sz w:val="20"/>
          <w:szCs w:val="20"/>
          <w:lang w:val="es-CR"/>
        </w:rPr>
        <w:t>s</w:t>
      </w:r>
      <w:r w:rsidRPr="007D57EE">
        <w:rPr>
          <w:rFonts w:ascii="Verdana" w:hAnsi="Verdana"/>
          <w:sz w:val="20"/>
          <w:szCs w:val="20"/>
          <w:lang w:val="es-CR"/>
        </w:rPr>
        <w:t xml:space="preserve"> relativa</w:t>
      </w:r>
      <w:r>
        <w:rPr>
          <w:rFonts w:ascii="Verdana" w:hAnsi="Verdana"/>
          <w:sz w:val="20"/>
          <w:szCs w:val="20"/>
          <w:lang w:val="es-CR"/>
        </w:rPr>
        <w:t>s</w:t>
      </w:r>
      <w:r w:rsidRPr="007D57EE">
        <w:rPr>
          <w:rFonts w:ascii="Verdana" w:hAnsi="Verdana"/>
          <w:sz w:val="20"/>
          <w:szCs w:val="20"/>
          <w:lang w:val="es-CR"/>
        </w:rPr>
        <w:t xml:space="preserve"> a</w:t>
      </w:r>
      <w:r>
        <w:rPr>
          <w:rFonts w:ascii="Verdana" w:hAnsi="Verdana"/>
          <w:sz w:val="20"/>
          <w:szCs w:val="20"/>
          <w:lang w:val="es-CR"/>
        </w:rPr>
        <w:t xml:space="preserve">l deber de continuar y concluir, en un plazo razonable, la investigación de los hechos a fin de determinarlos, y de ser procedente, identificar, juzgar y, en su caso, sancionar a los responsables </w:t>
      </w:r>
      <w:r w:rsidRPr="00E36196">
        <w:rPr>
          <w:rFonts w:ascii="Verdana" w:hAnsi="Verdana"/>
          <w:i/>
          <w:sz w:val="20"/>
          <w:szCs w:val="20"/>
        </w:rPr>
        <w:t>(punto resolutivo noveno de la Sentencia</w:t>
      </w:r>
      <w:r>
        <w:rPr>
          <w:rFonts w:ascii="Verdana" w:hAnsi="Verdana"/>
          <w:i/>
          <w:sz w:val="20"/>
          <w:szCs w:val="20"/>
        </w:rPr>
        <w:t xml:space="preserve">) </w:t>
      </w:r>
      <w:r w:rsidRPr="00A31A3F">
        <w:rPr>
          <w:rFonts w:ascii="Verdana" w:hAnsi="Verdana"/>
          <w:iCs/>
          <w:sz w:val="20"/>
          <w:szCs w:val="20"/>
        </w:rPr>
        <w:t>y al deber de pagar las cantidades fijadas por concepto de indemnización por daños m</w:t>
      </w:r>
      <w:r w:rsidRPr="00E36196">
        <w:rPr>
          <w:rFonts w:ascii="Verdana" w:hAnsi="Verdana"/>
          <w:sz w:val="20"/>
          <w:szCs w:val="20"/>
        </w:rPr>
        <w:t>ateriales e inmateriales, y e</w:t>
      </w:r>
      <w:r>
        <w:rPr>
          <w:rFonts w:ascii="Verdana" w:hAnsi="Verdana"/>
          <w:sz w:val="20"/>
          <w:szCs w:val="20"/>
        </w:rPr>
        <w:t xml:space="preserve">l reintegro de costas y gastos </w:t>
      </w:r>
      <w:r w:rsidRPr="00E36196">
        <w:rPr>
          <w:rFonts w:ascii="Verdana" w:hAnsi="Verdana"/>
          <w:i/>
          <w:sz w:val="20"/>
          <w:szCs w:val="20"/>
        </w:rPr>
        <w:t>(punto resolutivo décimo tercero de la Sentencia)</w:t>
      </w:r>
      <w:r>
        <w:rPr>
          <w:rFonts w:ascii="Verdana" w:hAnsi="Verdana"/>
          <w:i/>
          <w:sz w:val="20"/>
          <w:szCs w:val="20"/>
        </w:rPr>
        <w:t>.</w:t>
      </w:r>
    </w:p>
    <w:p w14:paraId="595DC898" w14:textId="55230477" w:rsidR="007A0CCC" w:rsidRPr="008B1B11" w:rsidRDefault="007A0CCC" w:rsidP="00CB3044">
      <w:pPr>
        <w:pStyle w:val="Prrafodelista"/>
        <w:spacing w:after="120"/>
        <w:ind w:left="0"/>
        <w:jc w:val="both"/>
        <w:rPr>
          <w:rFonts w:ascii="Verdana" w:hAnsi="Verdana"/>
          <w:sz w:val="20"/>
          <w:szCs w:val="20"/>
          <w:highlight w:val="yellow"/>
        </w:rPr>
      </w:pPr>
    </w:p>
    <w:p w14:paraId="7DE5642E" w14:textId="77777777" w:rsidR="003B7307" w:rsidRDefault="003B7307" w:rsidP="00CB3044">
      <w:pPr>
        <w:pStyle w:val="Prrafodelista"/>
        <w:numPr>
          <w:ilvl w:val="0"/>
          <w:numId w:val="4"/>
        </w:numPr>
        <w:spacing w:after="120"/>
        <w:ind w:left="0" w:firstLine="0"/>
        <w:jc w:val="both"/>
        <w:rPr>
          <w:rFonts w:ascii="Verdana" w:hAnsi="Verdana"/>
          <w:sz w:val="20"/>
          <w:szCs w:val="20"/>
        </w:rPr>
      </w:pPr>
      <w:r w:rsidRPr="003B7307">
        <w:rPr>
          <w:rFonts w:ascii="Verdana" w:hAnsi="Verdana"/>
          <w:sz w:val="20"/>
          <w:szCs w:val="20"/>
        </w:rPr>
        <w:t>Mantener abierto el procedimiento de supervisión de cumplimiento de los siguientes puntos pendientes de acatamiento, que serán analizados en una posterior Resolución</w:t>
      </w:r>
      <w:r>
        <w:rPr>
          <w:rFonts w:ascii="Verdana" w:hAnsi="Verdana"/>
          <w:sz w:val="20"/>
          <w:szCs w:val="20"/>
        </w:rPr>
        <w:t>:</w:t>
      </w:r>
    </w:p>
    <w:p w14:paraId="6441274E" w14:textId="77777777" w:rsidR="003B7307" w:rsidRDefault="003B7307" w:rsidP="00CB3044">
      <w:pPr>
        <w:spacing w:after="120"/>
        <w:jc w:val="both"/>
        <w:rPr>
          <w:rFonts w:ascii="Verdana" w:hAnsi="Verdana"/>
          <w:sz w:val="20"/>
          <w:szCs w:val="20"/>
        </w:rPr>
      </w:pPr>
    </w:p>
    <w:p w14:paraId="328DB913" w14:textId="77777777" w:rsidR="003B7307" w:rsidRPr="003B7307" w:rsidRDefault="003B7307" w:rsidP="00CB3044">
      <w:pPr>
        <w:pStyle w:val="Prrafodelista"/>
        <w:numPr>
          <w:ilvl w:val="0"/>
          <w:numId w:val="5"/>
        </w:numPr>
        <w:spacing w:after="120"/>
        <w:ind w:left="714" w:hanging="357"/>
        <w:jc w:val="both"/>
        <w:rPr>
          <w:rFonts w:ascii="Verdana" w:hAnsi="Verdana"/>
          <w:sz w:val="20"/>
          <w:szCs w:val="20"/>
        </w:rPr>
      </w:pPr>
      <w:r w:rsidRPr="003B7307">
        <w:rPr>
          <w:rFonts w:ascii="Verdana" w:hAnsi="Verdana"/>
          <w:sz w:val="20"/>
          <w:szCs w:val="20"/>
        </w:rPr>
        <w:t>Continuar y concluir, en un plazo razonable, la investigación de los hechos a fin de determinarlos, y de ser procedente, identificar, juzgar y, en su caso, sancionar a los responsables</w:t>
      </w:r>
      <w:r w:rsidR="00E36196">
        <w:rPr>
          <w:rFonts w:ascii="Verdana" w:hAnsi="Verdana"/>
          <w:sz w:val="20"/>
          <w:szCs w:val="20"/>
        </w:rPr>
        <w:t xml:space="preserve"> </w:t>
      </w:r>
      <w:r w:rsidR="00E36196" w:rsidRPr="00E36196">
        <w:rPr>
          <w:rFonts w:ascii="Verdana" w:hAnsi="Verdana"/>
          <w:i/>
          <w:sz w:val="20"/>
          <w:szCs w:val="20"/>
        </w:rPr>
        <w:t>(punto resolutivo noveno de la Sentencia)</w:t>
      </w:r>
      <w:r w:rsidR="00E36196">
        <w:rPr>
          <w:rFonts w:ascii="Verdana" w:hAnsi="Verdana"/>
          <w:sz w:val="20"/>
          <w:szCs w:val="20"/>
        </w:rPr>
        <w:t>;</w:t>
      </w:r>
    </w:p>
    <w:p w14:paraId="0201CA4C" w14:textId="77777777" w:rsidR="003B7307" w:rsidRPr="003B7307" w:rsidRDefault="003B7307" w:rsidP="00CB3044">
      <w:pPr>
        <w:pStyle w:val="Prrafodelista"/>
        <w:numPr>
          <w:ilvl w:val="0"/>
          <w:numId w:val="5"/>
        </w:numPr>
        <w:spacing w:after="120"/>
        <w:ind w:left="714" w:hanging="357"/>
        <w:jc w:val="both"/>
        <w:rPr>
          <w:rFonts w:ascii="Verdana" w:hAnsi="Verdana"/>
          <w:sz w:val="20"/>
          <w:szCs w:val="20"/>
        </w:rPr>
      </w:pPr>
      <w:r w:rsidRPr="003B7307">
        <w:rPr>
          <w:rFonts w:ascii="Verdana" w:hAnsi="Verdana"/>
          <w:sz w:val="20"/>
          <w:szCs w:val="20"/>
        </w:rPr>
        <w:t>Adoptar todas las medidas necesarias para asegurar que las actas de arrepentimiento del 15 de octubre de 1994 sean privadas de todos los efectos jurídicos</w:t>
      </w:r>
      <w:r w:rsidR="00E36196">
        <w:rPr>
          <w:rFonts w:ascii="Verdana" w:hAnsi="Verdana"/>
          <w:sz w:val="20"/>
          <w:szCs w:val="20"/>
        </w:rPr>
        <w:t xml:space="preserve"> </w:t>
      </w:r>
      <w:r w:rsidR="00E36196" w:rsidRPr="00E36196">
        <w:rPr>
          <w:rFonts w:ascii="Verdana" w:hAnsi="Verdana"/>
          <w:i/>
          <w:sz w:val="20"/>
          <w:szCs w:val="20"/>
        </w:rPr>
        <w:t>(punto resolutivo décimo de la Sentencia)</w:t>
      </w:r>
      <w:r w:rsidR="00E36196">
        <w:rPr>
          <w:rFonts w:ascii="Verdana" w:hAnsi="Verdana"/>
          <w:sz w:val="20"/>
          <w:szCs w:val="20"/>
        </w:rPr>
        <w:t>;</w:t>
      </w:r>
    </w:p>
    <w:p w14:paraId="19BA8886" w14:textId="184235A0" w:rsidR="00E36196" w:rsidRDefault="003B7307" w:rsidP="00CB3044">
      <w:pPr>
        <w:pStyle w:val="Prrafodelista"/>
        <w:numPr>
          <w:ilvl w:val="0"/>
          <w:numId w:val="5"/>
        </w:numPr>
        <w:spacing w:after="120"/>
        <w:ind w:left="714" w:hanging="357"/>
        <w:jc w:val="both"/>
        <w:rPr>
          <w:rFonts w:ascii="Verdana" w:hAnsi="Verdana"/>
          <w:sz w:val="20"/>
          <w:szCs w:val="20"/>
        </w:rPr>
      </w:pPr>
      <w:r w:rsidRPr="00E36196">
        <w:rPr>
          <w:rFonts w:ascii="Verdana" w:hAnsi="Verdana"/>
          <w:sz w:val="20"/>
          <w:szCs w:val="20"/>
        </w:rPr>
        <w:t xml:space="preserve">Realizar las publicaciones </w:t>
      </w:r>
      <w:r w:rsidR="00CC57B1">
        <w:rPr>
          <w:rFonts w:ascii="Verdana" w:hAnsi="Verdana"/>
          <w:sz w:val="20"/>
          <w:szCs w:val="20"/>
        </w:rPr>
        <w:t xml:space="preserve">de la Sentencia ordenadas en la misma </w:t>
      </w:r>
      <w:r w:rsidR="00E36196">
        <w:rPr>
          <w:rFonts w:ascii="Verdana" w:hAnsi="Verdana"/>
          <w:sz w:val="20"/>
          <w:szCs w:val="20"/>
        </w:rPr>
        <w:t>(</w:t>
      </w:r>
      <w:r w:rsidR="00E36196" w:rsidRPr="0093499C">
        <w:rPr>
          <w:rFonts w:ascii="Verdana" w:hAnsi="Verdana"/>
          <w:i/>
          <w:sz w:val="20"/>
          <w:szCs w:val="20"/>
        </w:rPr>
        <w:t>punto resolutivo décimo primero de la Sentencia</w:t>
      </w:r>
      <w:r w:rsidR="00E36196">
        <w:rPr>
          <w:rFonts w:ascii="Verdana" w:hAnsi="Verdana"/>
          <w:sz w:val="20"/>
          <w:szCs w:val="20"/>
        </w:rPr>
        <w:t>);</w:t>
      </w:r>
    </w:p>
    <w:p w14:paraId="24143807" w14:textId="77777777" w:rsidR="00E36196" w:rsidRDefault="003B7307" w:rsidP="00CB3044">
      <w:pPr>
        <w:pStyle w:val="Prrafodelista"/>
        <w:numPr>
          <w:ilvl w:val="0"/>
          <w:numId w:val="5"/>
        </w:numPr>
        <w:spacing w:after="120"/>
        <w:ind w:left="714" w:hanging="357"/>
        <w:jc w:val="both"/>
        <w:rPr>
          <w:rFonts w:ascii="Verdana" w:hAnsi="Verdana"/>
          <w:sz w:val="20"/>
          <w:szCs w:val="20"/>
        </w:rPr>
      </w:pPr>
      <w:r w:rsidRPr="00E36196">
        <w:rPr>
          <w:rFonts w:ascii="Verdana" w:hAnsi="Verdana"/>
          <w:sz w:val="20"/>
          <w:szCs w:val="20"/>
        </w:rPr>
        <w:t>Brindar gratuitamente a través de sus instituciones de salud tratamiento psicológico y/o psiquiátrico a favor de Luis Antonio Galindo Cárdenas, Irma Díaz de Galindo y Luis Idelso Galindo Díaz si así lo solicitan</w:t>
      </w:r>
      <w:r w:rsidR="00E36196">
        <w:rPr>
          <w:rFonts w:ascii="Verdana" w:hAnsi="Verdana"/>
          <w:sz w:val="20"/>
          <w:szCs w:val="20"/>
        </w:rPr>
        <w:t xml:space="preserve"> </w:t>
      </w:r>
      <w:r w:rsidR="00E36196" w:rsidRPr="00E36196">
        <w:rPr>
          <w:rFonts w:ascii="Verdana" w:hAnsi="Verdana"/>
          <w:i/>
          <w:sz w:val="20"/>
          <w:szCs w:val="20"/>
        </w:rPr>
        <w:t>(punto resolutivo décimo segundo de la Sentencia)</w:t>
      </w:r>
      <w:r w:rsidR="00E36196">
        <w:rPr>
          <w:rFonts w:ascii="Verdana" w:hAnsi="Verdana"/>
          <w:sz w:val="20"/>
          <w:szCs w:val="20"/>
        </w:rPr>
        <w:t>, y</w:t>
      </w:r>
    </w:p>
    <w:p w14:paraId="36B629A1" w14:textId="73C8D4ED" w:rsidR="003B7307" w:rsidRDefault="00E36196" w:rsidP="00CB3044">
      <w:pPr>
        <w:pStyle w:val="Prrafodelista"/>
        <w:numPr>
          <w:ilvl w:val="0"/>
          <w:numId w:val="5"/>
        </w:numPr>
        <w:spacing w:after="120"/>
        <w:ind w:left="714" w:hanging="357"/>
        <w:jc w:val="both"/>
        <w:rPr>
          <w:rFonts w:ascii="Verdana" w:hAnsi="Verdana"/>
          <w:sz w:val="20"/>
          <w:szCs w:val="20"/>
        </w:rPr>
      </w:pPr>
      <w:r>
        <w:rPr>
          <w:rFonts w:ascii="Verdana" w:hAnsi="Verdana"/>
          <w:sz w:val="20"/>
          <w:szCs w:val="20"/>
        </w:rPr>
        <w:t xml:space="preserve">Pagar </w:t>
      </w:r>
      <w:r w:rsidR="003B7307" w:rsidRPr="00E36196">
        <w:rPr>
          <w:rFonts w:ascii="Verdana" w:hAnsi="Verdana"/>
          <w:sz w:val="20"/>
          <w:szCs w:val="20"/>
        </w:rPr>
        <w:t>las cantidades fijadas por concepto de indemnización por daños materiales e inmateriales, y e</w:t>
      </w:r>
      <w:r>
        <w:rPr>
          <w:rFonts w:ascii="Verdana" w:hAnsi="Verdana"/>
          <w:sz w:val="20"/>
          <w:szCs w:val="20"/>
        </w:rPr>
        <w:t xml:space="preserve">l reintegro de costas y gastos </w:t>
      </w:r>
      <w:r w:rsidRPr="00E36196">
        <w:rPr>
          <w:rFonts w:ascii="Verdana" w:hAnsi="Verdana"/>
          <w:i/>
          <w:sz w:val="20"/>
          <w:szCs w:val="20"/>
        </w:rPr>
        <w:t>(punto resolutivo décimo tercero de la Sentencia)</w:t>
      </w:r>
      <w:r>
        <w:rPr>
          <w:rFonts w:ascii="Verdana" w:hAnsi="Verdana"/>
          <w:sz w:val="20"/>
          <w:szCs w:val="20"/>
        </w:rPr>
        <w:t>.</w:t>
      </w:r>
    </w:p>
    <w:p w14:paraId="7A9D7770" w14:textId="77777777" w:rsidR="00A31A3F" w:rsidRPr="00A31A3F" w:rsidRDefault="00A31A3F" w:rsidP="00CB3044">
      <w:pPr>
        <w:spacing w:after="120"/>
        <w:jc w:val="both"/>
        <w:rPr>
          <w:rFonts w:ascii="Verdana" w:hAnsi="Verdana"/>
          <w:sz w:val="20"/>
          <w:szCs w:val="20"/>
        </w:rPr>
      </w:pPr>
    </w:p>
    <w:p w14:paraId="0567CB1A" w14:textId="3165925B" w:rsidR="003B7307" w:rsidRDefault="003B7307" w:rsidP="00CB3044">
      <w:pPr>
        <w:pStyle w:val="Prrafodelista"/>
        <w:numPr>
          <w:ilvl w:val="0"/>
          <w:numId w:val="4"/>
        </w:numPr>
        <w:spacing w:after="120"/>
        <w:ind w:left="0" w:firstLine="0"/>
        <w:jc w:val="both"/>
        <w:rPr>
          <w:rFonts w:ascii="Verdana" w:hAnsi="Verdana"/>
          <w:sz w:val="20"/>
          <w:szCs w:val="20"/>
        </w:rPr>
      </w:pPr>
      <w:r w:rsidRPr="003B7307">
        <w:rPr>
          <w:rFonts w:ascii="Verdana" w:hAnsi="Verdana"/>
          <w:sz w:val="20"/>
          <w:szCs w:val="20"/>
        </w:rPr>
        <w:t xml:space="preserve">Requerir que el Estado del Perú́ presente a la Corte Interamericana de Derechos Humanos, a más tardar el </w:t>
      </w:r>
      <w:r w:rsidR="002B491F">
        <w:rPr>
          <w:rFonts w:ascii="Verdana" w:hAnsi="Verdana"/>
          <w:sz w:val="20"/>
          <w:szCs w:val="20"/>
        </w:rPr>
        <w:t>9</w:t>
      </w:r>
      <w:r w:rsidRPr="003B7307">
        <w:rPr>
          <w:rFonts w:ascii="Verdana" w:hAnsi="Verdana"/>
          <w:sz w:val="20"/>
          <w:szCs w:val="20"/>
        </w:rPr>
        <w:t xml:space="preserve"> de </w:t>
      </w:r>
      <w:r w:rsidR="002E6D6B">
        <w:rPr>
          <w:rFonts w:ascii="Verdana" w:hAnsi="Verdana"/>
          <w:sz w:val="20"/>
          <w:szCs w:val="20"/>
        </w:rPr>
        <w:t>diciembre</w:t>
      </w:r>
      <w:r w:rsidRPr="003B7307">
        <w:rPr>
          <w:rFonts w:ascii="Verdana" w:hAnsi="Verdana"/>
          <w:sz w:val="20"/>
          <w:szCs w:val="20"/>
        </w:rPr>
        <w:t xml:space="preserve"> de 2020, un informe sobre el cumplimiento de</w:t>
      </w:r>
      <w:r w:rsidR="007E51C4">
        <w:rPr>
          <w:rFonts w:ascii="Verdana" w:hAnsi="Verdana"/>
          <w:sz w:val="20"/>
          <w:szCs w:val="20"/>
        </w:rPr>
        <w:t xml:space="preserve"> </w:t>
      </w:r>
      <w:r w:rsidRPr="003B7307">
        <w:rPr>
          <w:rFonts w:ascii="Verdana" w:hAnsi="Verdana"/>
          <w:sz w:val="20"/>
          <w:szCs w:val="20"/>
        </w:rPr>
        <w:t xml:space="preserve">las medidas de reparación </w:t>
      </w:r>
      <w:r w:rsidR="000402B9" w:rsidRPr="001F307E">
        <w:rPr>
          <w:rFonts w:ascii="Verdana" w:hAnsi="Verdana"/>
          <w:sz w:val="20"/>
          <w:szCs w:val="20"/>
        </w:rPr>
        <w:t>ordenadas en los puntos resolutivos noveno, décimo segundo y décimo tercero de la Sentencia</w:t>
      </w:r>
      <w:r w:rsidRPr="001F307E">
        <w:rPr>
          <w:rFonts w:ascii="Verdana" w:hAnsi="Verdana"/>
          <w:sz w:val="20"/>
          <w:szCs w:val="20"/>
        </w:rPr>
        <w:t xml:space="preserve">, de conformidad con lo indicado en el punto resolutivo tercero y en el Considerando </w:t>
      </w:r>
      <w:r w:rsidR="002A04F6" w:rsidRPr="001F307E">
        <w:rPr>
          <w:rFonts w:ascii="Verdana" w:hAnsi="Verdana"/>
          <w:sz w:val="20"/>
          <w:szCs w:val="20"/>
        </w:rPr>
        <w:t>13</w:t>
      </w:r>
      <w:r w:rsidRPr="001F307E">
        <w:rPr>
          <w:rFonts w:ascii="Verdana" w:hAnsi="Verdana"/>
          <w:sz w:val="20"/>
          <w:szCs w:val="20"/>
        </w:rPr>
        <w:t xml:space="preserve"> de la</w:t>
      </w:r>
      <w:r w:rsidRPr="003B7307">
        <w:rPr>
          <w:rFonts w:ascii="Verdana" w:hAnsi="Verdana"/>
          <w:sz w:val="20"/>
          <w:szCs w:val="20"/>
        </w:rPr>
        <w:t xml:space="preserve"> presente Resolución. </w:t>
      </w:r>
    </w:p>
    <w:p w14:paraId="47A15BD3" w14:textId="77777777" w:rsidR="00A31A3F" w:rsidRPr="002E642C" w:rsidRDefault="00A31A3F" w:rsidP="002E642C">
      <w:pPr>
        <w:spacing w:after="120"/>
        <w:jc w:val="both"/>
        <w:rPr>
          <w:rFonts w:ascii="Verdana" w:hAnsi="Verdana"/>
          <w:b/>
          <w:sz w:val="20"/>
          <w:szCs w:val="20"/>
        </w:rPr>
      </w:pPr>
    </w:p>
    <w:p w14:paraId="79E74E1A" w14:textId="34F34C03" w:rsidR="003B7307" w:rsidRDefault="003B7307" w:rsidP="00CB3044">
      <w:pPr>
        <w:pStyle w:val="Prrafodelista"/>
        <w:numPr>
          <w:ilvl w:val="0"/>
          <w:numId w:val="4"/>
        </w:numPr>
        <w:spacing w:after="120"/>
        <w:ind w:left="0" w:firstLine="0"/>
        <w:jc w:val="both"/>
        <w:rPr>
          <w:rFonts w:ascii="Verdana" w:hAnsi="Verdana"/>
          <w:sz w:val="20"/>
          <w:szCs w:val="20"/>
        </w:rPr>
      </w:pPr>
      <w:r w:rsidRPr="003B7307">
        <w:rPr>
          <w:rFonts w:ascii="Verdana" w:hAnsi="Verdana"/>
          <w:sz w:val="20"/>
          <w:szCs w:val="20"/>
        </w:rPr>
        <w:t>Disponer que la</w:t>
      </w:r>
      <w:r w:rsidR="00BF2B64">
        <w:rPr>
          <w:rFonts w:ascii="Verdana" w:hAnsi="Verdana"/>
          <w:sz w:val="20"/>
          <w:szCs w:val="20"/>
        </w:rPr>
        <w:t>s</w:t>
      </w:r>
      <w:r w:rsidRPr="003B7307">
        <w:rPr>
          <w:rFonts w:ascii="Verdana" w:hAnsi="Verdana"/>
          <w:sz w:val="20"/>
          <w:szCs w:val="20"/>
        </w:rPr>
        <w:t xml:space="preserve"> víctima</w:t>
      </w:r>
      <w:r w:rsidR="00BF2B64">
        <w:rPr>
          <w:rFonts w:ascii="Verdana" w:hAnsi="Verdana"/>
          <w:sz w:val="20"/>
          <w:szCs w:val="20"/>
        </w:rPr>
        <w:t>s</w:t>
      </w:r>
      <w:r w:rsidRPr="003B7307">
        <w:rPr>
          <w:rFonts w:ascii="Verdana" w:hAnsi="Verdana"/>
          <w:sz w:val="20"/>
          <w:szCs w:val="20"/>
        </w:rPr>
        <w:t xml:space="preserve"> </w:t>
      </w:r>
      <w:r w:rsidR="00BF2B64">
        <w:rPr>
          <w:rFonts w:ascii="Verdana" w:hAnsi="Verdana"/>
          <w:sz w:val="20"/>
          <w:szCs w:val="20"/>
        </w:rPr>
        <w:t>o</w:t>
      </w:r>
      <w:r w:rsidRPr="003B7307">
        <w:rPr>
          <w:rFonts w:ascii="Verdana" w:hAnsi="Verdana"/>
          <w:sz w:val="20"/>
          <w:szCs w:val="20"/>
        </w:rPr>
        <w:t xml:space="preserve"> su representante y la Comisión Interamericana de Derechos Humanos presenten observaciones al informe del Estado mencionado en el punto resolutivo anterior, en los plazos de cuatro y seis semanas, respectivamente, contados a partir de la recepción del informe.</w:t>
      </w:r>
    </w:p>
    <w:p w14:paraId="020FB3A0" w14:textId="77777777" w:rsidR="00A31A3F" w:rsidRPr="00A31A3F" w:rsidRDefault="00A31A3F" w:rsidP="00CB3044">
      <w:pPr>
        <w:pStyle w:val="Prrafodelista"/>
        <w:spacing w:after="120"/>
        <w:rPr>
          <w:rFonts w:ascii="Verdana" w:hAnsi="Verdana"/>
          <w:sz w:val="20"/>
          <w:szCs w:val="20"/>
        </w:rPr>
      </w:pPr>
    </w:p>
    <w:p w14:paraId="4279BDF3" w14:textId="67DEB50A" w:rsidR="003B7307" w:rsidRPr="002E6D6B" w:rsidRDefault="007A0CCC" w:rsidP="00CB3044">
      <w:pPr>
        <w:pStyle w:val="Prrafodelista"/>
        <w:numPr>
          <w:ilvl w:val="0"/>
          <w:numId w:val="4"/>
        </w:numPr>
        <w:spacing w:after="120"/>
        <w:ind w:left="0" w:firstLine="0"/>
        <w:jc w:val="both"/>
        <w:rPr>
          <w:rFonts w:ascii="Verdana" w:hAnsi="Verdana"/>
          <w:sz w:val="20"/>
        </w:rPr>
      </w:pPr>
      <w:r w:rsidRPr="00D225A4">
        <w:rPr>
          <w:rFonts w:ascii="Verdana" w:hAnsi="Verdana"/>
          <w:sz w:val="20"/>
          <w:szCs w:val="20"/>
        </w:rPr>
        <w:t>Requerir a la Secretaría de la Corte que notifique la presente Resolución al Estado del Perú, al señor Luis Antonio Galindo Cárdenas</w:t>
      </w:r>
      <w:r w:rsidR="00CC57B1" w:rsidRPr="00D225A4">
        <w:rPr>
          <w:rFonts w:ascii="Verdana" w:hAnsi="Verdana"/>
          <w:sz w:val="20"/>
          <w:szCs w:val="20"/>
        </w:rPr>
        <w:t xml:space="preserve"> y su representante y a la Comisión Interamericana de Derechos Humanos</w:t>
      </w:r>
      <w:r w:rsidRPr="00D225A4">
        <w:rPr>
          <w:rFonts w:ascii="Verdana" w:hAnsi="Verdana"/>
          <w:sz w:val="20"/>
          <w:szCs w:val="20"/>
        </w:rPr>
        <w:t>.</w:t>
      </w:r>
    </w:p>
    <w:p w14:paraId="4843C20E" w14:textId="77777777" w:rsidR="002E6D6B" w:rsidRPr="002E6D6B" w:rsidRDefault="002E6D6B" w:rsidP="00CB3044">
      <w:pPr>
        <w:pStyle w:val="Prrafodelista"/>
        <w:spacing w:after="120"/>
        <w:rPr>
          <w:rFonts w:ascii="Verdana" w:hAnsi="Verdana"/>
          <w:sz w:val="20"/>
        </w:rPr>
      </w:pPr>
    </w:p>
    <w:p w14:paraId="65D42D21" w14:textId="3B366813" w:rsidR="002E6D6B" w:rsidRDefault="002E6D6B" w:rsidP="00CB3044">
      <w:pPr>
        <w:spacing w:after="120"/>
        <w:jc w:val="both"/>
        <w:rPr>
          <w:rFonts w:ascii="Verdana" w:hAnsi="Verdana"/>
          <w:sz w:val="20"/>
        </w:rPr>
      </w:pPr>
    </w:p>
    <w:p w14:paraId="31438216" w14:textId="3D7ECC43" w:rsidR="002E6D6B" w:rsidRDefault="002E6D6B" w:rsidP="00CB3044">
      <w:pPr>
        <w:spacing w:after="120"/>
        <w:jc w:val="both"/>
        <w:rPr>
          <w:rFonts w:ascii="Verdana" w:hAnsi="Verdana"/>
          <w:sz w:val="20"/>
        </w:rPr>
      </w:pPr>
      <w:r w:rsidRPr="002E6D6B">
        <w:rPr>
          <w:rFonts w:ascii="Verdana" w:hAnsi="Verdana"/>
          <w:sz w:val="20"/>
        </w:rPr>
        <w:t xml:space="preserve">El Juez Eduardo Vio Grossi hizo conocer </w:t>
      </w:r>
      <w:r>
        <w:rPr>
          <w:rFonts w:ascii="Verdana" w:hAnsi="Verdana"/>
          <w:sz w:val="20"/>
        </w:rPr>
        <w:t>a la Corte su Voto Concurrente</w:t>
      </w:r>
      <w:r w:rsidR="002B491F">
        <w:rPr>
          <w:rFonts w:ascii="Verdana" w:hAnsi="Verdana"/>
          <w:sz w:val="20"/>
        </w:rPr>
        <w:t>, el cual acompaña la presente Resolución</w:t>
      </w:r>
      <w:r>
        <w:rPr>
          <w:rFonts w:ascii="Verdana" w:hAnsi="Verdana"/>
          <w:sz w:val="20"/>
        </w:rPr>
        <w:t xml:space="preserve">. </w:t>
      </w:r>
    </w:p>
    <w:p w14:paraId="393D6A86" w14:textId="77777777" w:rsidR="00CB3044" w:rsidRPr="00DB1109" w:rsidRDefault="002E6D6B" w:rsidP="00CB3044">
      <w:pPr>
        <w:keepNext/>
        <w:jc w:val="both"/>
        <w:outlineLvl w:val="0"/>
        <w:rPr>
          <w:rFonts w:ascii="Verdana" w:hAnsi="Verdana"/>
          <w:sz w:val="20"/>
          <w:lang w:val="es-ES"/>
        </w:rPr>
      </w:pPr>
      <w:r>
        <w:rPr>
          <w:rFonts w:ascii="Verdana" w:hAnsi="Verdana"/>
          <w:sz w:val="20"/>
        </w:rPr>
        <w:br w:type="page"/>
      </w:r>
      <w:r w:rsidR="00CB3044" w:rsidRPr="00F154FF">
        <w:rPr>
          <w:rFonts w:ascii="Verdana" w:eastAsia="Times" w:hAnsi="Verdana" w:cs="Courier New"/>
          <w:noProof/>
          <w:sz w:val="20"/>
          <w:szCs w:val="20"/>
          <w:lang w:val="es-AR"/>
        </w:rPr>
        <w:t xml:space="preserve">Corte </w:t>
      </w:r>
      <w:r w:rsidR="00CB3044" w:rsidRPr="00F0488D">
        <w:rPr>
          <w:rFonts w:ascii="Verdana" w:eastAsia="Times" w:hAnsi="Verdana" w:cs="Courier New"/>
          <w:noProof/>
          <w:sz w:val="20"/>
          <w:szCs w:val="20"/>
          <w:lang w:val="es-AR"/>
        </w:rPr>
        <w:t xml:space="preserve">IDH. </w:t>
      </w:r>
      <w:r w:rsidR="00CB3044" w:rsidRPr="00D63CF4">
        <w:rPr>
          <w:rFonts w:ascii="Verdana" w:eastAsia="Times" w:hAnsi="Verdana"/>
          <w:bCs/>
          <w:i/>
          <w:sz w:val="20"/>
          <w:szCs w:val="20"/>
          <w:lang w:val="es-CR"/>
        </w:rPr>
        <w:t xml:space="preserve">Caso </w:t>
      </w:r>
      <w:r w:rsidR="00CB3044" w:rsidRPr="00370A75">
        <w:rPr>
          <w:rFonts w:ascii="Verdana" w:eastAsia="Times" w:hAnsi="Verdana"/>
          <w:bCs/>
          <w:i/>
          <w:sz w:val="20"/>
          <w:szCs w:val="20"/>
          <w:lang w:val="es-CR"/>
        </w:rPr>
        <w:t xml:space="preserve">Galindo Cárdenas y otros </w:t>
      </w:r>
      <w:r w:rsidR="00CB3044" w:rsidRPr="00D63CF4">
        <w:rPr>
          <w:rFonts w:ascii="Verdana" w:eastAsia="Times" w:hAnsi="Verdana"/>
          <w:bCs/>
          <w:i/>
          <w:sz w:val="20"/>
          <w:szCs w:val="20"/>
          <w:lang w:val="es-CR"/>
        </w:rPr>
        <w:t>Vs. Perú</w:t>
      </w:r>
      <w:r w:rsidR="00CB3044" w:rsidRPr="00F0488D">
        <w:rPr>
          <w:rFonts w:ascii="Verdana" w:eastAsia="Times" w:hAnsi="Verdana"/>
          <w:bCs/>
          <w:i/>
          <w:sz w:val="20"/>
          <w:szCs w:val="20"/>
          <w:lang w:val="es-CR"/>
        </w:rPr>
        <w:t xml:space="preserve">. </w:t>
      </w:r>
      <w:r w:rsidR="00CB3044" w:rsidRPr="007F086C">
        <w:rPr>
          <w:rFonts w:ascii="Verdana" w:eastAsia="Times" w:hAnsi="Verdana" w:cs="Courier New"/>
          <w:noProof/>
          <w:sz w:val="20"/>
          <w:szCs w:val="20"/>
        </w:rPr>
        <w:t>Solicitud de Medidas Provisionales</w:t>
      </w:r>
      <w:r w:rsidR="00CB3044">
        <w:rPr>
          <w:rFonts w:ascii="Verdana" w:hAnsi="Verdana"/>
          <w:bCs/>
          <w:sz w:val="20"/>
        </w:rPr>
        <w:t xml:space="preserve"> y Supervisión de Cumplimiento de Sentencia</w:t>
      </w:r>
      <w:r w:rsidR="00CB3044">
        <w:rPr>
          <w:rFonts w:ascii="Verdana" w:hAnsi="Verdana" w:cs="Arial"/>
          <w:sz w:val="20"/>
        </w:rPr>
        <w:t xml:space="preserve">. </w:t>
      </w:r>
      <w:r w:rsidR="00CB3044">
        <w:rPr>
          <w:rFonts w:ascii="Verdana" w:hAnsi="Verdana"/>
          <w:sz w:val="20"/>
          <w:lang w:val="es-ES"/>
        </w:rPr>
        <w:t>Resolución de la Corte Interamericana de Derechos Humanos de 3 de septiembre</w:t>
      </w:r>
      <w:r w:rsidR="00CB3044">
        <w:rPr>
          <w:rFonts w:ascii="Verdana" w:hAnsi="Verdana"/>
          <w:sz w:val="20"/>
        </w:rPr>
        <w:t xml:space="preserve"> de 2020</w:t>
      </w:r>
      <w:r w:rsidR="00CB3044">
        <w:rPr>
          <w:rFonts w:ascii="Verdana" w:hAnsi="Verdana"/>
          <w:sz w:val="20"/>
          <w:lang w:val="es-ES"/>
        </w:rPr>
        <w:t xml:space="preserve">. </w:t>
      </w:r>
      <w:r w:rsidR="00CB3044" w:rsidRPr="00DB1109">
        <w:rPr>
          <w:rFonts w:ascii="Verdana" w:hAnsi="Verdana"/>
          <w:iCs/>
          <w:sz w:val="20"/>
          <w:lang w:val="es-CR"/>
        </w:rPr>
        <w:t>Resolución adoptada en San José de Costa Rica por medio de sesión virtual.</w:t>
      </w:r>
    </w:p>
    <w:p w14:paraId="042C63B6" w14:textId="2A74685A" w:rsidR="00CB3044" w:rsidRDefault="00CB3044" w:rsidP="00CB3044">
      <w:pPr>
        <w:jc w:val="center"/>
        <w:rPr>
          <w:rFonts w:ascii="Verdana" w:eastAsia="Times" w:hAnsi="Verdana"/>
          <w:sz w:val="20"/>
          <w:szCs w:val="20"/>
          <w:lang w:val="es-ES"/>
        </w:rPr>
      </w:pPr>
    </w:p>
    <w:p w14:paraId="35F9E61B" w14:textId="77777777" w:rsidR="00CB3044" w:rsidRDefault="00CB3044" w:rsidP="00CB3044">
      <w:pPr>
        <w:jc w:val="center"/>
        <w:rPr>
          <w:rFonts w:ascii="Verdana" w:eastAsia="Times" w:hAnsi="Verdana"/>
          <w:sz w:val="20"/>
          <w:szCs w:val="20"/>
          <w:lang w:val="es-ES"/>
        </w:rPr>
      </w:pPr>
    </w:p>
    <w:p w14:paraId="4EFD5AFF" w14:textId="77777777" w:rsidR="00CB3044" w:rsidRDefault="00CB3044" w:rsidP="00CB3044">
      <w:pPr>
        <w:jc w:val="center"/>
        <w:rPr>
          <w:rFonts w:ascii="Verdana" w:eastAsia="Times" w:hAnsi="Verdana"/>
          <w:sz w:val="20"/>
          <w:szCs w:val="20"/>
          <w:lang w:val="es-ES"/>
        </w:rPr>
      </w:pPr>
    </w:p>
    <w:p w14:paraId="6898C386" w14:textId="77777777" w:rsidR="00CB3044" w:rsidRDefault="00CB3044" w:rsidP="00CB3044">
      <w:pPr>
        <w:jc w:val="center"/>
        <w:rPr>
          <w:rFonts w:ascii="Verdana" w:eastAsia="Times" w:hAnsi="Verdana"/>
          <w:sz w:val="20"/>
          <w:szCs w:val="20"/>
          <w:lang w:val="es-ES"/>
        </w:rPr>
      </w:pPr>
    </w:p>
    <w:p w14:paraId="4791D22E" w14:textId="77777777" w:rsidR="00CB3044" w:rsidRDefault="00CB3044" w:rsidP="00CB3044">
      <w:pPr>
        <w:jc w:val="center"/>
        <w:rPr>
          <w:rFonts w:ascii="Verdana" w:eastAsia="Times" w:hAnsi="Verdana"/>
          <w:sz w:val="20"/>
          <w:szCs w:val="20"/>
          <w:lang w:val="es-ES"/>
        </w:rPr>
      </w:pPr>
    </w:p>
    <w:p w14:paraId="40391B22" w14:textId="77777777" w:rsidR="00CB3044" w:rsidRDefault="00CB3044" w:rsidP="00CB3044">
      <w:pPr>
        <w:jc w:val="center"/>
        <w:rPr>
          <w:rFonts w:ascii="Verdana" w:hAnsi="Verdana"/>
          <w:sz w:val="20"/>
          <w:szCs w:val="20"/>
          <w:lang w:val="pt-BR"/>
        </w:rPr>
      </w:pPr>
      <w:r>
        <w:rPr>
          <w:rFonts w:ascii="Verdana" w:hAnsi="Verdana"/>
          <w:sz w:val="20"/>
          <w:szCs w:val="20"/>
          <w:lang w:val="pt-BR"/>
        </w:rPr>
        <w:t>Elizabeth Odio Benito</w:t>
      </w:r>
    </w:p>
    <w:p w14:paraId="69D2BAD2" w14:textId="5088C82E" w:rsidR="00CB3044" w:rsidRDefault="00CB3044" w:rsidP="00CB3044">
      <w:pPr>
        <w:jc w:val="center"/>
        <w:rPr>
          <w:rFonts w:ascii="Verdana" w:hAnsi="Verdana"/>
          <w:sz w:val="20"/>
          <w:szCs w:val="20"/>
          <w:lang w:val="pt-BR"/>
        </w:rPr>
      </w:pPr>
      <w:r>
        <w:rPr>
          <w:rFonts w:ascii="Verdana" w:hAnsi="Verdana"/>
          <w:sz w:val="20"/>
          <w:szCs w:val="20"/>
          <w:lang w:val="pt-BR"/>
        </w:rPr>
        <w:t>Presidenta</w:t>
      </w:r>
    </w:p>
    <w:p w14:paraId="5455F177" w14:textId="77777777" w:rsidR="00CB3044" w:rsidRDefault="00CB3044" w:rsidP="00CB3044">
      <w:pPr>
        <w:jc w:val="both"/>
        <w:rPr>
          <w:rFonts w:ascii="Verdana" w:hAnsi="Verdana"/>
          <w:sz w:val="20"/>
          <w:szCs w:val="20"/>
          <w:lang w:val="pt-BR"/>
        </w:rPr>
      </w:pPr>
    </w:p>
    <w:p w14:paraId="001D40A5" w14:textId="77777777" w:rsidR="00CB3044" w:rsidRDefault="00CB3044" w:rsidP="00CB3044">
      <w:pPr>
        <w:jc w:val="both"/>
        <w:rPr>
          <w:rFonts w:ascii="Verdana" w:hAnsi="Verdana"/>
          <w:sz w:val="20"/>
          <w:szCs w:val="20"/>
          <w:lang w:val="pt-BR"/>
        </w:rPr>
      </w:pPr>
    </w:p>
    <w:p w14:paraId="7D45A852" w14:textId="77777777" w:rsidR="00CB3044" w:rsidRDefault="00CB3044" w:rsidP="00CB3044">
      <w:pPr>
        <w:jc w:val="both"/>
        <w:rPr>
          <w:rFonts w:ascii="Verdana" w:hAnsi="Verdana"/>
          <w:sz w:val="20"/>
          <w:szCs w:val="20"/>
          <w:lang w:val="pt-BR"/>
        </w:rPr>
      </w:pPr>
    </w:p>
    <w:p w14:paraId="74573C56" w14:textId="77777777" w:rsidR="00CB3044" w:rsidRDefault="00CB3044" w:rsidP="00CB3044">
      <w:pPr>
        <w:jc w:val="both"/>
        <w:rPr>
          <w:rFonts w:ascii="Verdana" w:hAnsi="Verdana"/>
          <w:sz w:val="20"/>
          <w:szCs w:val="20"/>
          <w:lang w:val="pt-BR"/>
        </w:rPr>
      </w:pPr>
    </w:p>
    <w:p w14:paraId="51B2A2B5" w14:textId="77777777" w:rsidR="00CB3044" w:rsidRDefault="00CB3044" w:rsidP="00CB3044">
      <w:pPr>
        <w:jc w:val="both"/>
        <w:rPr>
          <w:rFonts w:ascii="Verdana" w:hAnsi="Verdana"/>
          <w:sz w:val="20"/>
          <w:szCs w:val="20"/>
          <w:lang w:val="pt-BR"/>
        </w:rPr>
      </w:pPr>
    </w:p>
    <w:p w14:paraId="4D18D025" w14:textId="3FC9FD1E" w:rsidR="00CB3044" w:rsidRDefault="00CB3044" w:rsidP="00CB3044">
      <w:pPr>
        <w:jc w:val="both"/>
        <w:rPr>
          <w:rFonts w:ascii="Verdana" w:hAnsi="Verdana"/>
          <w:sz w:val="20"/>
          <w:szCs w:val="20"/>
          <w:lang w:val="pt-BR"/>
        </w:rPr>
      </w:pPr>
      <w:r>
        <w:rPr>
          <w:rFonts w:ascii="Verdana" w:hAnsi="Verdana"/>
          <w:sz w:val="20"/>
          <w:szCs w:val="20"/>
          <w:lang w:val="pt-BR"/>
        </w:rPr>
        <w:t xml:space="preserve">L. </w:t>
      </w:r>
      <w:proofErr w:type="spellStart"/>
      <w:r>
        <w:rPr>
          <w:rFonts w:ascii="Verdana" w:hAnsi="Verdana"/>
          <w:sz w:val="20"/>
          <w:szCs w:val="20"/>
          <w:lang w:val="pt-BR"/>
        </w:rPr>
        <w:t>Patricio</w:t>
      </w:r>
      <w:proofErr w:type="spellEnd"/>
      <w:r>
        <w:rPr>
          <w:rFonts w:ascii="Verdana" w:hAnsi="Verdana"/>
          <w:sz w:val="20"/>
          <w:szCs w:val="20"/>
          <w:lang w:val="pt-BR"/>
        </w:rPr>
        <w:t xml:space="preserve"> </w:t>
      </w:r>
      <w:proofErr w:type="spellStart"/>
      <w:r>
        <w:rPr>
          <w:rFonts w:ascii="Verdana" w:hAnsi="Verdana"/>
          <w:sz w:val="20"/>
          <w:szCs w:val="20"/>
          <w:lang w:val="pt-BR"/>
        </w:rPr>
        <w:t>Pazmiño</w:t>
      </w:r>
      <w:proofErr w:type="spellEnd"/>
      <w:r>
        <w:rPr>
          <w:rFonts w:ascii="Verdana" w:hAnsi="Verdana"/>
          <w:sz w:val="20"/>
          <w:szCs w:val="20"/>
          <w:lang w:val="pt-BR"/>
        </w:rPr>
        <w:t xml:space="preserve">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Eduardo </w:t>
      </w:r>
      <w:proofErr w:type="spellStart"/>
      <w:r>
        <w:rPr>
          <w:rFonts w:ascii="Verdana" w:hAnsi="Verdana"/>
          <w:sz w:val="20"/>
          <w:szCs w:val="20"/>
          <w:lang w:val="pt-BR"/>
        </w:rPr>
        <w:t>Vio</w:t>
      </w:r>
      <w:proofErr w:type="spellEnd"/>
      <w:r>
        <w:rPr>
          <w:rFonts w:ascii="Verdana" w:hAnsi="Verdana"/>
          <w:sz w:val="20"/>
          <w:szCs w:val="20"/>
          <w:lang w:val="pt-BR"/>
        </w:rPr>
        <w:t xml:space="preserve"> Grossi</w:t>
      </w:r>
    </w:p>
    <w:p w14:paraId="4BF605D7" w14:textId="77777777" w:rsidR="00CB3044" w:rsidRDefault="00CB3044" w:rsidP="00CB3044">
      <w:pPr>
        <w:jc w:val="both"/>
        <w:rPr>
          <w:rFonts w:ascii="Verdana" w:hAnsi="Verdana"/>
          <w:sz w:val="20"/>
          <w:szCs w:val="20"/>
          <w:lang w:val="pt-BR"/>
        </w:rPr>
      </w:pPr>
    </w:p>
    <w:p w14:paraId="384AE03F" w14:textId="77777777" w:rsidR="00CB3044" w:rsidRDefault="00CB3044" w:rsidP="00CB3044">
      <w:pPr>
        <w:jc w:val="both"/>
        <w:rPr>
          <w:rFonts w:ascii="Verdana" w:hAnsi="Verdana"/>
          <w:sz w:val="20"/>
          <w:szCs w:val="20"/>
          <w:lang w:val="pt-BR"/>
        </w:rPr>
      </w:pPr>
    </w:p>
    <w:p w14:paraId="2B89B43E" w14:textId="77777777" w:rsidR="00CB3044" w:rsidRDefault="00CB3044" w:rsidP="00CB3044">
      <w:pPr>
        <w:jc w:val="both"/>
        <w:rPr>
          <w:rFonts w:ascii="Verdana" w:hAnsi="Verdana"/>
          <w:sz w:val="20"/>
          <w:szCs w:val="20"/>
          <w:lang w:val="pt-BR"/>
        </w:rPr>
      </w:pPr>
    </w:p>
    <w:p w14:paraId="5CD482D1" w14:textId="77777777" w:rsidR="00CB3044" w:rsidRDefault="00CB3044" w:rsidP="00CB3044">
      <w:pPr>
        <w:jc w:val="both"/>
        <w:rPr>
          <w:rFonts w:ascii="Verdana" w:hAnsi="Verdana"/>
          <w:sz w:val="20"/>
          <w:szCs w:val="20"/>
          <w:lang w:val="pt-BR"/>
        </w:rPr>
      </w:pPr>
    </w:p>
    <w:p w14:paraId="5FAB7307" w14:textId="77777777" w:rsidR="00CB3044" w:rsidRDefault="00CB3044" w:rsidP="00CB3044">
      <w:pPr>
        <w:jc w:val="both"/>
        <w:rPr>
          <w:rFonts w:ascii="Verdana" w:hAnsi="Verdana"/>
          <w:sz w:val="20"/>
          <w:szCs w:val="20"/>
          <w:lang w:val="pt-BR"/>
        </w:rPr>
      </w:pPr>
    </w:p>
    <w:p w14:paraId="4F68AAFC" w14:textId="77777777" w:rsidR="00CB3044" w:rsidRDefault="00CB3044" w:rsidP="00CB3044">
      <w:pPr>
        <w:jc w:val="both"/>
        <w:rPr>
          <w:rFonts w:ascii="Verdana" w:hAnsi="Verdana"/>
          <w:sz w:val="20"/>
          <w:szCs w:val="20"/>
          <w:lang w:val="pt-BR"/>
        </w:rPr>
      </w:pPr>
      <w:r>
        <w:rPr>
          <w:rFonts w:ascii="Verdana" w:eastAsia="Times" w:hAnsi="Verdana"/>
          <w:sz w:val="20"/>
          <w:szCs w:val="20"/>
          <w:lang w:val="pt-BR"/>
        </w:rPr>
        <w:t xml:space="preserve">Humberto </w:t>
      </w:r>
      <w:proofErr w:type="spellStart"/>
      <w:r>
        <w:rPr>
          <w:rFonts w:ascii="Verdana" w:eastAsia="Times" w:hAnsi="Verdana"/>
          <w:sz w:val="20"/>
          <w:szCs w:val="20"/>
          <w:lang w:val="pt-BR"/>
        </w:rPr>
        <w:t>Antonio</w:t>
      </w:r>
      <w:proofErr w:type="spellEnd"/>
      <w:r>
        <w:rPr>
          <w:rFonts w:ascii="Verdana" w:eastAsia="Times" w:hAnsi="Verdana"/>
          <w:sz w:val="20"/>
          <w:szCs w:val="20"/>
          <w:lang w:val="pt-BR"/>
        </w:rPr>
        <w:t xml:space="preserve"> </w:t>
      </w:r>
      <w:proofErr w:type="spellStart"/>
      <w:r>
        <w:rPr>
          <w:rFonts w:ascii="Verdana" w:eastAsia="Times" w:hAnsi="Verdana"/>
          <w:sz w:val="20"/>
          <w:szCs w:val="20"/>
          <w:lang w:val="pt-BR"/>
        </w:rPr>
        <w:t>Sierra</w:t>
      </w:r>
      <w:proofErr w:type="spellEnd"/>
      <w:r>
        <w:rPr>
          <w:rFonts w:ascii="Verdana" w:eastAsia="Times" w:hAnsi="Verdana"/>
          <w:sz w:val="20"/>
          <w:szCs w:val="20"/>
          <w:lang w:val="pt-BR"/>
        </w:rPr>
        <w:t xml:space="preserve"> </w:t>
      </w:r>
      <w:proofErr w:type="gramStart"/>
      <w:r>
        <w:rPr>
          <w:rFonts w:ascii="Verdana" w:eastAsia="Times" w:hAnsi="Verdana"/>
          <w:sz w:val="20"/>
          <w:szCs w:val="20"/>
          <w:lang w:val="pt-BR"/>
        </w:rPr>
        <w:t>Porto</w:t>
      </w:r>
      <w:r>
        <w:rPr>
          <w:rFonts w:ascii="Verdana" w:hAnsi="Verdana"/>
          <w:sz w:val="20"/>
          <w:szCs w:val="20"/>
          <w:lang w:val="pt-BR"/>
        </w:rPr>
        <w:t xml:space="preserve">  </w:t>
      </w:r>
      <w:r>
        <w:rPr>
          <w:rFonts w:ascii="Verdana" w:hAnsi="Verdana"/>
          <w:sz w:val="20"/>
          <w:szCs w:val="20"/>
          <w:lang w:val="pt-BR"/>
        </w:rPr>
        <w:tab/>
      </w:r>
      <w:proofErr w:type="gramEnd"/>
      <w:r>
        <w:rPr>
          <w:rFonts w:ascii="Verdana" w:hAnsi="Verdana"/>
          <w:sz w:val="20"/>
          <w:szCs w:val="20"/>
          <w:lang w:val="pt-BR"/>
        </w:rPr>
        <w:tab/>
      </w:r>
      <w:r>
        <w:rPr>
          <w:rFonts w:ascii="Verdana" w:hAnsi="Verdana"/>
          <w:sz w:val="20"/>
          <w:szCs w:val="20"/>
          <w:lang w:val="pt-BR"/>
        </w:rPr>
        <w:tab/>
        <w:t xml:space="preserve">      Eduardo Ferrer </w:t>
      </w:r>
      <w:proofErr w:type="spellStart"/>
      <w:r>
        <w:rPr>
          <w:rFonts w:ascii="Verdana" w:hAnsi="Verdana"/>
          <w:sz w:val="20"/>
          <w:szCs w:val="20"/>
          <w:lang w:val="pt-BR"/>
        </w:rPr>
        <w:t>Mac-Gregor</w:t>
      </w:r>
      <w:proofErr w:type="spellEnd"/>
      <w:r>
        <w:rPr>
          <w:rFonts w:ascii="Verdana" w:hAnsi="Verdana"/>
          <w:sz w:val="20"/>
          <w:szCs w:val="20"/>
          <w:lang w:val="pt-BR"/>
        </w:rPr>
        <w:t xml:space="preserve"> </w:t>
      </w:r>
      <w:proofErr w:type="spellStart"/>
      <w:r>
        <w:rPr>
          <w:rFonts w:ascii="Verdana" w:hAnsi="Verdana"/>
          <w:sz w:val="20"/>
          <w:szCs w:val="20"/>
          <w:lang w:val="pt-BR"/>
        </w:rPr>
        <w:t>Poisot</w:t>
      </w:r>
      <w:proofErr w:type="spellEnd"/>
    </w:p>
    <w:p w14:paraId="7D745E69" w14:textId="5AB81DA1" w:rsidR="00CB3044" w:rsidRDefault="00CB3044" w:rsidP="00CB3044">
      <w:pPr>
        <w:jc w:val="both"/>
        <w:rPr>
          <w:rFonts w:ascii="Verdana" w:hAnsi="Verdana"/>
          <w:sz w:val="20"/>
          <w:szCs w:val="20"/>
          <w:lang w:val="pt-BR"/>
        </w:rPr>
      </w:pPr>
    </w:p>
    <w:p w14:paraId="7456CC51" w14:textId="77777777" w:rsidR="00CB3044" w:rsidRDefault="00CB3044" w:rsidP="00CB3044">
      <w:pPr>
        <w:jc w:val="both"/>
        <w:rPr>
          <w:rFonts w:ascii="Verdana" w:hAnsi="Verdana"/>
          <w:sz w:val="20"/>
          <w:szCs w:val="20"/>
          <w:lang w:val="pt-BR"/>
        </w:rPr>
      </w:pPr>
    </w:p>
    <w:p w14:paraId="40E9281A" w14:textId="0671E703" w:rsidR="00CB3044" w:rsidRDefault="00CB3044" w:rsidP="00CB3044">
      <w:pPr>
        <w:jc w:val="both"/>
        <w:rPr>
          <w:rFonts w:ascii="Verdana" w:hAnsi="Verdana"/>
          <w:sz w:val="20"/>
          <w:szCs w:val="20"/>
          <w:lang w:val="pt-BR"/>
        </w:rPr>
      </w:pPr>
    </w:p>
    <w:p w14:paraId="4BB43DD8" w14:textId="77777777" w:rsidR="00CB3044" w:rsidRDefault="00CB3044" w:rsidP="00CB3044">
      <w:pPr>
        <w:jc w:val="both"/>
        <w:rPr>
          <w:rFonts w:ascii="Verdana" w:hAnsi="Verdana"/>
          <w:sz w:val="20"/>
          <w:szCs w:val="20"/>
          <w:lang w:val="pt-BR"/>
        </w:rPr>
      </w:pPr>
    </w:p>
    <w:p w14:paraId="5CB55D7C" w14:textId="77777777" w:rsidR="00CB3044" w:rsidRDefault="00CB3044" w:rsidP="00CB3044">
      <w:pPr>
        <w:jc w:val="both"/>
        <w:rPr>
          <w:rFonts w:ascii="Verdana" w:hAnsi="Verdana"/>
          <w:sz w:val="20"/>
          <w:szCs w:val="20"/>
          <w:lang w:val="pt-BR"/>
        </w:rPr>
      </w:pPr>
    </w:p>
    <w:p w14:paraId="34D04BF8" w14:textId="1E1AD534" w:rsidR="00CB3044" w:rsidRDefault="00CB3044" w:rsidP="00CB3044">
      <w:pPr>
        <w:jc w:val="both"/>
        <w:rPr>
          <w:rFonts w:ascii="Verdana" w:hAnsi="Verdana"/>
          <w:sz w:val="20"/>
          <w:szCs w:val="20"/>
          <w:lang w:val="pt-BR"/>
        </w:rPr>
      </w:pPr>
      <w:r>
        <w:rPr>
          <w:rFonts w:ascii="Verdana" w:hAnsi="Verdana"/>
          <w:sz w:val="20"/>
          <w:szCs w:val="20"/>
          <w:lang w:val="pt-BR"/>
        </w:rPr>
        <w:t xml:space="preserve">Eugenio </w:t>
      </w:r>
      <w:proofErr w:type="spellStart"/>
      <w:r>
        <w:rPr>
          <w:rFonts w:ascii="Verdana" w:hAnsi="Verdana"/>
          <w:sz w:val="20"/>
          <w:szCs w:val="20"/>
          <w:lang w:val="pt-BR"/>
        </w:rPr>
        <w:t>Raúl</w:t>
      </w:r>
      <w:proofErr w:type="spellEnd"/>
      <w:r>
        <w:rPr>
          <w:rFonts w:ascii="Verdana" w:hAnsi="Verdana"/>
          <w:sz w:val="20"/>
          <w:szCs w:val="20"/>
          <w:lang w:val="pt-BR"/>
        </w:rPr>
        <w:t xml:space="preserve"> </w:t>
      </w:r>
      <w:proofErr w:type="spellStart"/>
      <w:r>
        <w:rPr>
          <w:rFonts w:ascii="Verdana" w:hAnsi="Verdana"/>
          <w:sz w:val="20"/>
          <w:szCs w:val="20"/>
          <w:lang w:val="pt-BR"/>
        </w:rPr>
        <w:t>Zaffaroni</w:t>
      </w:r>
      <w:proofErr w:type="spellEnd"/>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Ricardo C. Pérez </w:t>
      </w:r>
      <w:proofErr w:type="spellStart"/>
      <w:r>
        <w:rPr>
          <w:rFonts w:ascii="Verdana" w:hAnsi="Verdana"/>
          <w:sz w:val="20"/>
          <w:szCs w:val="20"/>
          <w:lang w:val="pt-BR"/>
        </w:rPr>
        <w:t>Manrique</w:t>
      </w:r>
      <w:proofErr w:type="spellEnd"/>
    </w:p>
    <w:p w14:paraId="35FF2E7A" w14:textId="77777777" w:rsidR="00CB3044" w:rsidRDefault="00CB3044" w:rsidP="00CB3044">
      <w:pPr>
        <w:jc w:val="both"/>
        <w:rPr>
          <w:rFonts w:ascii="Verdana" w:hAnsi="Verdana"/>
          <w:sz w:val="20"/>
          <w:szCs w:val="20"/>
          <w:lang w:val="pt-BR"/>
        </w:rPr>
      </w:pPr>
    </w:p>
    <w:p w14:paraId="19A6DFCE" w14:textId="77777777" w:rsidR="00CB3044" w:rsidRDefault="00CB3044" w:rsidP="00CB3044">
      <w:pPr>
        <w:jc w:val="both"/>
        <w:rPr>
          <w:rFonts w:ascii="Verdana" w:hAnsi="Verdana"/>
          <w:sz w:val="20"/>
          <w:szCs w:val="20"/>
          <w:lang w:val="pt-BR"/>
        </w:rPr>
      </w:pPr>
    </w:p>
    <w:p w14:paraId="31E4A160" w14:textId="77777777" w:rsidR="00CB3044" w:rsidRPr="00D95C10" w:rsidRDefault="00CB3044" w:rsidP="00CB3044">
      <w:pPr>
        <w:rPr>
          <w:rFonts w:ascii="Verdana" w:eastAsia="Times" w:hAnsi="Verdana"/>
          <w:sz w:val="20"/>
          <w:szCs w:val="20"/>
          <w:lang w:val="pt-BR"/>
        </w:rPr>
      </w:pPr>
    </w:p>
    <w:p w14:paraId="2B0FBAEA" w14:textId="77777777" w:rsidR="00CB3044" w:rsidRDefault="00CB3044" w:rsidP="00CB3044">
      <w:pPr>
        <w:jc w:val="both"/>
        <w:rPr>
          <w:rFonts w:ascii="Verdana" w:eastAsia="Times" w:hAnsi="Verdana"/>
          <w:sz w:val="20"/>
          <w:szCs w:val="20"/>
          <w:lang w:val="pt-BR"/>
        </w:rPr>
      </w:pPr>
    </w:p>
    <w:p w14:paraId="15827116" w14:textId="77777777" w:rsidR="00CB3044" w:rsidRDefault="00CB3044" w:rsidP="00CB3044">
      <w:pPr>
        <w:jc w:val="both"/>
        <w:rPr>
          <w:rFonts w:ascii="Verdana" w:eastAsia="Times" w:hAnsi="Verdana"/>
          <w:sz w:val="20"/>
          <w:szCs w:val="20"/>
          <w:lang w:val="pt-BR"/>
        </w:rPr>
      </w:pPr>
    </w:p>
    <w:p w14:paraId="483916CF" w14:textId="77777777" w:rsidR="00CB3044" w:rsidRDefault="00CB3044" w:rsidP="00CB3044">
      <w:pPr>
        <w:jc w:val="both"/>
        <w:rPr>
          <w:rFonts w:ascii="Verdana" w:eastAsia="Times" w:hAnsi="Verdana"/>
          <w:sz w:val="20"/>
          <w:szCs w:val="20"/>
          <w:lang w:val="pt-BR"/>
        </w:rPr>
      </w:pPr>
    </w:p>
    <w:p w14:paraId="512CD76B" w14:textId="77777777" w:rsidR="00CB3044" w:rsidRDefault="00CB3044" w:rsidP="00CB3044">
      <w:pPr>
        <w:jc w:val="center"/>
        <w:rPr>
          <w:rFonts w:ascii="Verdana" w:eastAsia="Times" w:hAnsi="Verdana"/>
          <w:sz w:val="20"/>
          <w:szCs w:val="20"/>
          <w:lang w:val="pt-BR"/>
        </w:rPr>
      </w:pPr>
      <w:r>
        <w:rPr>
          <w:rFonts w:ascii="Verdana" w:eastAsia="Times" w:hAnsi="Verdana"/>
          <w:sz w:val="20"/>
          <w:szCs w:val="20"/>
          <w:lang w:val="pt-BR"/>
        </w:rPr>
        <w:t xml:space="preserve">Pablo Saavedra </w:t>
      </w:r>
      <w:proofErr w:type="spellStart"/>
      <w:r>
        <w:rPr>
          <w:rFonts w:ascii="Verdana" w:eastAsia="Times" w:hAnsi="Verdana"/>
          <w:sz w:val="20"/>
          <w:szCs w:val="20"/>
          <w:lang w:val="pt-BR"/>
        </w:rPr>
        <w:t>Alessandri</w:t>
      </w:r>
      <w:proofErr w:type="spellEnd"/>
    </w:p>
    <w:p w14:paraId="40510401" w14:textId="77777777" w:rsidR="00CB3044" w:rsidRDefault="00CB3044" w:rsidP="00CB3044">
      <w:pPr>
        <w:jc w:val="center"/>
        <w:rPr>
          <w:rFonts w:ascii="Verdana" w:eastAsia="Times" w:hAnsi="Verdana"/>
          <w:sz w:val="20"/>
          <w:szCs w:val="20"/>
          <w:lang w:val="pt-BR"/>
        </w:rPr>
      </w:pPr>
      <w:r>
        <w:rPr>
          <w:rFonts w:ascii="Verdana" w:eastAsia="Times" w:hAnsi="Verdana"/>
          <w:sz w:val="20"/>
          <w:szCs w:val="20"/>
          <w:lang w:val="pt-BR"/>
        </w:rPr>
        <w:t>Secretario</w:t>
      </w:r>
    </w:p>
    <w:p w14:paraId="7F1375EC" w14:textId="77777777" w:rsidR="00CB3044" w:rsidRPr="00F154FF" w:rsidRDefault="00CB3044" w:rsidP="00CB3044">
      <w:pPr>
        <w:jc w:val="both"/>
        <w:rPr>
          <w:rFonts w:ascii="Verdana" w:eastAsia="Times" w:hAnsi="Verdana"/>
          <w:sz w:val="20"/>
          <w:szCs w:val="20"/>
          <w:lang w:val="pt-BR"/>
        </w:rPr>
      </w:pPr>
    </w:p>
    <w:p w14:paraId="289FDD97" w14:textId="77777777" w:rsidR="00CB3044" w:rsidRPr="00F154FF" w:rsidRDefault="00CB3044" w:rsidP="00CB3044">
      <w:pPr>
        <w:jc w:val="both"/>
        <w:rPr>
          <w:rFonts w:ascii="Verdana" w:eastAsia="Times" w:hAnsi="Verdana"/>
          <w:sz w:val="20"/>
          <w:szCs w:val="20"/>
          <w:lang w:val="pt-BR"/>
        </w:rPr>
      </w:pPr>
      <w:proofErr w:type="spellStart"/>
      <w:r w:rsidRPr="00F154FF">
        <w:rPr>
          <w:rFonts w:ascii="Verdana" w:eastAsia="Times" w:hAnsi="Verdana"/>
          <w:sz w:val="20"/>
          <w:szCs w:val="20"/>
          <w:lang w:val="pt-BR"/>
        </w:rPr>
        <w:t>Comuníquese</w:t>
      </w:r>
      <w:proofErr w:type="spellEnd"/>
      <w:r w:rsidRPr="00F154FF">
        <w:rPr>
          <w:rFonts w:ascii="Verdana" w:eastAsia="Times" w:hAnsi="Verdana"/>
          <w:sz w:val="20"/>
          <w:szCs w:val="20"/>
          <w:lang w:val="pt-BR"/>
        </w:rPr>
        <w:t xml:space="preserve"> y </w:t>
      </w:r>
      <w:proofErr w:type="spellStart"/>
      <w:r w:rsidRPr="00F154FF">
        <w:rPr>
          <w:rFonts w:ascii="Verdana" w:eastAsia="Times" w:hAnsi="Verdana"/>
          <w:sz w:val="20"/>
          <w:szCs w:val="20"/>
          <w:lang w:val="pt-BR"/>
        </w:rPr>
        <w:t>ejecútese</w:t>
      </w:r>
      <w:proofErr w:type="spellEnd"/>
      <w:r w:rsidRPr="00F154FF">
        <w:rPr>
          <w:rFonts w:ascii="Verdana" w:eastAsia="Times" w:hAnsi="Verdana"/>
          <w:sz w:val="20"/>
          <w:szCs w:val="20"/>
          <w:lang w:val="pt-BR"/>
        </w:rPr>
        <w:t>,</w:t>
      </w:r>
    </w:p>
    <w:p w14:paraId="1804B144" w14:textId="4D43B6ED" w:rsidR="00CB3044" w:rsidRPr="00F154FF" w:rsidRDefault="00CB3044" w:rsidP="00CB3044">
      <w:pPr>
        <w:jc w:val="both"/>
        <w:rPr>
          <w:rFonts w:ascii="Verdana" w:eastAsia="Times" w:hAnsi="Verdana"/>
          <w:sz w:val="20"/>
          <w:szCs w:val="20"/>
          <w:lang w:val="pt-BR"/>
        </w:rPr>
      </w:pPr>
    </w:p>
    <w:p w14:paraId="07113527" w14:textId="77777777" w:rsidR="00CB3044" w:rsidRPr="00F154FF" w:rsidRDefault="00CB3044" w:rsidP="00CB3044">
      <w:pPr>
        <w:jc w:val="both"/>
        <w:rPr>
          <w:rFonts w:ascii="Verdana" w:eastAsia="Times" w:hAnsi="Verdana"/>
          <w:sz w:val="20"/>
          <w:szCs w:val="20"/>
          <w:lang w:val="pt-BR"/>
        </w:rPr>
      </w:pPr>
    </w:p>
    <w:p w14:paraId="3A30DC87" w14:textId="77777777" w:rsidR="00CB3044" w:rsidRPr="00F154FF" w:rsidRDefault="00CB3044" w:rsidP="00CB3044">
      <w:pPr>
        <w:jc w:val="both"/>
        <w:rPr>
          <w:rFonts w:ascii="Verdana" w:eastAsia="Times" w:hAnsi="Verdana"/>
          <w:sz w:val="20"/>
          <w:szCs w:val="20"/>
          <w:lang w:val="pt-BR"/>
        </w:rPr>
      </w:pPr>
    </w:p>
    <w:p w14:paraId="7F890C31" w14:textId="77777777" w:rsidR="00CB3044" w:rsidRDefault="00CB3044" w:rsidP="00CB3044">
      <w:pPr>
        <w:jc w:val="both"/>
        <w:rPr>
          <w:rFonts w:ascii="Verdana" w:eastAsia="Times" w:hAnsi="Verdana"/>
          <w:sz w:val="20"/>
          <w:szCs w:val="20"/>
          <w:lang w:val="pt-BR"/>
        </w:rPr>
      </w:pPr>
    </w:p>
    <w:p w14:paraId="47A5BC3F" w14:textId="39CD9005" w:rsidR="00CB3044" w:rsidRPr="00F154FF" w:rsidRDefault="00CB3044" w:rsidP="00CB3044">
      <w:pPr>
        <w:jc w:val="both"/>
        <w:rPr>
          <w:rFonts w:ascii="Verdana" w:eastAsia="Times" w:hAnsi="Verdana"/>
          <w:sz w:val="20"/>
          <w:szCs w:val="20"/>
          <w:lang w:val="pt-BR"/>
        </w:rPr>
      </w:pPr>
    </w:p>
    <w:p w14:paraId="3C338DE2" w14:textId="77777777" w:rsidR="00CB3044" w:rsidRPr="00F154FF" w:rsidRDefault="00CB3044" w:rsidP="00CB3044">
      <w:pPr>
        <w:ind w:left="4248" w:firstLine="708"/>
        <w:jc w:val="center"/>
        <w:rPr>
          <w:rFonts w:ascii="Verdana" w:eastAsia="Times" w:hAnsi="Verdana"/>
          <w:sz w:val="20"/>
          <w:szCs w:val="20"/>
          <w:lang w:val="es-CO"/>
        </w:rPr>
      </w:pPr>
      <w:r w:rsidRPr="00F154FF">
        <w:rPr>
          <w:rFonts w:ascii="Verdana" w:eastAsia="Times" w:hAnsi="Verdana"/>
          <w:sz w:val="20"/>
          <w:szCs w:val="20"/>
          <w:lang w:val="pt-BR"/>
        </w:rPr>
        <w:t>Elizabeth Odio Benito</w:t>
      </w:r>
    </w:p>
    <w:p w14:paraId="20D6FE81" w14:textId="77777777" w:rsidR="00CB3044" w:rsidRPr="00F154FF" w:rsidRDefault="00CB3044" w:rsidP="00CB3044">
      <w:pPr>
        <w:ind w:left="4248" w:firstLine="708"/>
        <w:jc w:val="center"/>
        <w:rPr>
          <w:rFonts w:ascii="Verdana" w:eastAsia="Times" w:hAnsi="Verdana"/>
          <w:sz w:val="20"/>
          <w:szCs w:val="20"/>
          <w:lang w:val="pt-BR"/>
        </w:rPr>
      </w:pPr>
      <w:r>
        <w:rPr>
          <w:rFonts w:ascii="Verdana" w:eastAsia="Times" w:hAnsi="Verdana"/>
          <w:sz w:val="20"/>
          <w:szCs w:val="20"/>
          <w:lang w:val="pt-BR"/>
        </w:rPr>
        <w:t>Presidenta</w:t>
      </w:r>
    </w:p>
    <w:p w14:paraId="72EE67D0" w14:textId="77777777" w:rsidR="00CB3044" w:rsidRPr="00F154FF" w:rsidRDefault="00CB3044" w:rsidP="00CB3044">
      <w:pPr>
        <w:jc w:val="both"/>
        <w:rPr>
          <w:rFonts w:ascii="Verdana" w:eastAsia="Times" w:hAnsi="Verdana"/>
          <w:sz w:val="20"/>
          <w:szCs w:val="20"/>
          <w:lang w:val="pt-BR"/>
        </w:rPr>
      </w:pPr>
    </w:p>
    <w:p w14:paraId="3F11854F" w14:textId="77777777" w:rsidR="00CB3044" w:rsidRPr="00F154FF" w:rsidRDefault="00CB3044" w:rsidP="00CB3044">
      <w:pPr>
        <w:jc w:val="both"/>
        <w:rPr>
          <w:rFonts w:ascii="Verdana" w:eastAsia="Times" w:hAnsi="Verdana"/>
          <w:sz w:val="20"/>
          <w:szCs w:val="20"/>
          <w:lang w:val="pt-BR"/>
        </w:rPr>
      </w:pPr>
    </w:p>
    <w:p w14:paraId="1E33ED03" w14:textId="77777777" w:rsidR="00CB3044" w:rsidRDefault="00CB3044" w:rsidP="00CB3044">
      <w:pPr>
        <w:jc w:val="both"/>
        <w:rPr>
          <w:rFonts w:ascii="Verdana" w:eastAsia="Times" w:hAnsi="Verdana"/>
          <w:sz w:val="20"/>
          <w:szCs w:val="20"/>
          <w:lang w:val="pt-BR"/>
        </w:rPr>
      </w:pPr>
    </w:p>
    <w:p w14:paraId="4918403D" w14:textId="77777777" w:rsidR="00CB3044" w:rsidRPr="00F154FF" w:rsidRDefault="00CB3044" w:rsidP="00CB3044">
      <w:pPr>
        <w:jc w:val="both"/>
        <w:rPr>
          <w:rFonts w:ascii="Verdana" w:eastAsia="Times" w:hAnsi="Verdana"/>
          <w:sz w:val="20"/>
          <w:szCs w:val="20"/>
          <w:lang w:val="pt-BR"/>
        </w:rPr>
      </w:pPr>
    </w:p>
    <w:p w14:paraId="42654E2F" w14:textId="77777777" w:rsidR="00CB3044" w:rsidRPr="00F154FF" w:rsidRDefault="00CB3044" w:rsidP="00CB3044">
      <w:pPr>
        <w:jc w:val="both"/>
        <w:rPr>
          <w:rFonts w:ascii="Verdana" w:eastAsia="Times" w:hAnsi="Verdana"/>
          <w:sz w:val="20"/>
          <w:szCs w:val="20"/>
          <w:lang w:val="es-ES"/>
        </w:rPr>
      </w:pPr>
      <w:r w:rsidRPr="00F154FF">
        <w:rPr>
          <w:rFonts w:ascii="Verdana" w:eastAsia="Times" w:hAnsi="Verdana"/>
          <w:sz w:val="20"/>
          <w:szCs w:val="20"/>
          <w:lang w:val="es-ES"/>
        </w:rPr>
        <w:t>Pablo Saavedra Alessandri</w:t>
      </w:r>
    </w:p>
    <w:p w14:paraId="43753BBD" w14:textId="77777777" w:rsidR="00CB3044" w:rsidRDefault="00CB3044" w:rsidP="00CB3044">
      <w:r w:rsidRPr="00F154FF">
        <w:rPr>
          <w:rFonts w:ascii="Verdana" w:eastAsia="Times" w:hAnsi="Verdana"/>
          <w:sz w:val="20"/>
          <w:szCs w:val="20"/>
          <w:lang w:val="es-ES"/>
        </w:rPr>
        <w:tab/>
      </w:r>
      <w:r w:rsidRPr="00F154FF">
        <w:rPr>
          <w:rFonts w:ascii="Verdana" w:eastAsia="Times" w:hAnsi="Verdana"/>
          <w:sz w:val="20"/>
          <w:szCs w:val="20"/>
          <w:lang w:val="es-CR"/>
        </w:rPr>
        <w:t>Secretario</w:t>
      </w:r>
    </w:p>
    <w:p w14:paraId="221F7274" w14:textId="77777777" w:rsidR="00955701" w:rsidRDefault="00955701">
      <w:pPr>
        <w:spacing w:after="160" w:line="259" w:lineRule="auto"/>
        <w:rPr>
          <w:rFonts w:ascii="Verdana" w:hAnsi="Verdana"/>
          <w:sz w:val="20"/>
        </w:rPr>
        <w:sectPr w:rsidR="00955701">
          <w:headerReference w:type="default" r:id="rId8"/>
          <w:footerReference w:type="default" r:id="rId9"/>
          <w:pgSz w:w="12240" w:h="15840"/>
          <w:pgMar w:top="1417" w:right="1701" w:bottom="1417" w:left="1701" w:header="708" w:footer="708" w:gutter="0"/>
          <w:cols w:space="708"/>
          <w:docGrid w:linePitch="360"/>
        </w:sectPr>
      </w:pPr>
    </w:p>
    <w:p w14:paraId="5E34D0A2" w14:textId="77777777" w:rsidR="00955701" w:rsidRPr="0056034B" w:rsidRDefault="00955701" w:rsidP="00955701">
      <w:pPr>
        <w:tabs>
          <w:tab w:val="left" w:pos="720"/>
        </w:tabs>
        <w:jc w:val="center"/>
        <w:rPr>
          <w:rFonts w:ascii="Verdana" w:hAnsi="Verdana"/>
          <w:b/>
          <w:sz w:val="20"/>
          <w:szCs w:val="20"/>
          <w:lang w:val="es-ES"/>
        </w:rPr>
      </w:pPr>
      <w:r w:rsidRPr="0056034B">
        <w:rPr>
          <w:rFonts w:ascii="Verdana" w:hAnsi="Verdana"/>
          <w:b/>
          <w:sz w:val="20"/>
          <w:szCs w:val="20"/>
          <w:lang w:val="es-ES"/>
        </w:rPr>
        <w:t xml:space="preserve">VOTO CONCURRENTE DEL JUEZ EDUARDO VIO GROSSI, </w:t>
      </w:r>
    </w:p>
    <w:p w14:paraId="2B34B304" w14:textId="77777777" w:rsidR="00955701" w:rsidRPr="0056034B" w:rsidRDefault="00955701" w:rsidP="00955701">
      <w:pPr>
        <w:tabs>
          <w:tab w:val="left" w:pos="720"/>
        </w:tabs>
        <w:jc w:val="center"/>
        <w:rPr>
          <w:rFonts w:ascii="Verdana" w:hAnsi="Verdana"/>
          <w:b/>
          <w:sz w:val="20"/>
          <w:szCs w:val="20"/>
          <w:lang w:val="es-ES"/>
        </w:rPr>
      </w:pPr>
      <w:r w:rsidRPr="0056034B">
        <w:rPr>
          <w:rFonts w:ascii="Verdana" w:hAnsi="Verdana"/>
          <w:b/>
          <w:sz w:val="20"/>
          <w:szCs w:val="20"/>
          <w:lang w:val="es-ES"/>
        </w:rPr>
        <w:t>RESOLUCIÓN DE LA</w:t>
      </w:r>
    </w:p>
    <w:p w14:paraId="1FC463F7" w14:textId="77777777" w:rsidR="00955701" w:rsidRPr="0056034B" w:rsidRDefault="00955701" w:rsidP="00955701">
      <w:pPr>
        <w:tabs>
          <w:tab w:val="left" w:pos="720"/>
        </w:tabs>
        <w:jc w:val="center"/>
        <w:rPr>
          <w:rFonts w:ascii="Verdana" w:hAnsi="Verdana"/>
          <w:b/>
          <w:sz w:val="20"/>
          <w:szCs w:val="20"/>
          <w:lang w:val="es-ES"/>
        </w:rPr>
      </w:pPr>
      <w:r w:rsidRPr="0056034B">
        <w:rPr>
          <w:rFonts w:ascii="Verdana" w:hAnsi="Verdana"/>
          <w:b/>
          <w:sz w:val="20"/>
          <w:szCs w:val="20"/>
          <w:lang w:val="es-ES"/>
        </w:rPr>
        <w:t>CORTE INTERAMERICANA DE DERECHOS HUMANOS</w:t>
      </w:r>
    </w:p>
    <w:p w14:paraId="4C3BC775" w14:textId="77777777" w:rsidR="00955701" w:rsidRPr="0056034B" w:rsidRDefault="00955701" w:rsidP="00955701">
      <w:pPr>
        <w:tabs>
          <w:tab w:val="left" w:pos="720"/>
        </w:tabs>
        <w:jc w:val="center"/>
        <w:rPr>
          <w:rFonts w:ascii="Verdana" w:hAnsi="Verdana"/>
          <w:b/>
          <w:sz w:val="20"/>
          <w:szCs w:val="20"/>
          <w:lang w:val="es-ES"/>
        </w:rPr>
      </w:pPr>
      <w:r w:rsidRPr="0056034B">
        <w:rPr>
          <w:rFonts w:ascii="Verdana" w:hAnsi="Verdana"/>
          <w:b/>
          <w:sz w:val="20"/>
          <w:szCs w:val="20"/>
          <w:lang w:val="es-ES"/>
        </w:rPr>
        <w:t>DE 3 DE SEPTIEMBRE DE 2020</w:t>
      </w:r>
    </w:p>
    <w:p w14:paraId="2C5FAD58" w14:textId="77777777" w:rsidR="00955701" w:rsidRPr="0056034B" w:rsidRDefault="00955701" w:rsidP="00955701">
      <w:pPr>
        <w:jc w:val="center"/>
        <w:rPr>
          <w:rFonts w:ascii="Verdana" w:hAnsi="Verdana"/>
          <w:b/>
          <w:sz w:val="20"/>
          <w:szCs w:val="20"/>
          <w:lang w:val="es-ES"/>
        </w:rPr>
      </w:pPr>
      <w:r w:rsidRPr="0056034B">
        <w:rPr>
          <w:rFonts w:ascii="Verdana" w:hAnsi="Verdana"/>
          <w:b/>
          <w:sz w:val="20"/>
          <w:szCs w:val="20"/>
          <w:lang w:val="es-ES"/>
        </w:rPr>
        <w:t>SOLICITUD DE MEDIDAS PROVISIONALES Y</w:t>
      </w:r>
    </w:p>
    <w:p w14:paraId="6D89DAA3" w14:textId="77777777" w:rsidR="00955701" w:rsidRPr="0056034B" w:rsidRDefault="00955701" w:rsidP="00955701">
      <w:pPr>
        <w:jc w:val="center"/>
        <w:rPr>
          <w:rFonts w:ascii="Verdana" w:hAnsi="Verdana"/>
          <w:b/>
          <w:sz w:val="20"/>
          <w:szCs w:val="20"/>
          <w:lang w:val="es-ES"/>
        </w:rPr>
      </w:pPr>
      <w:r w:rsidRPr="0056034B">
        <w:rPr>
          <w:rFonts w:ascii="Verdana" w:hAnsi="Verdana"/>
          <w:b/>
          <w:sz w:val="20"/>
          <w:szCs w:val="20"/>
          <w:lang w:val="es-ES"/>
        </w:rPr>
        <w:t>SUPERVISIÓN DE CUMPLIMIENTO DE SENTENCIA</w:t>
      </w:r>
    </w:p>
    <w:p w14:paraId="5C959EF7" w14:textId="77777777" w:rsidR="00955701" w:rsidRPr="0056034B" w:rsidRDefault="00955701" w:rsidP="00955701">
      <w:pPr>
        <w:tabs>
          <w:tab w:val="left" w:pos="720"/>
        </w:tabs>
        <w:jc w:val="center"/>
        <w:rPr>
          <w:rFonts w:ascii="Verdana" w:hAnsi="Verdana"/>
          <w:b/>
          <w:sz w:val="20"/>
          <w:szCs w:val="20"/>
          <w:lang w:val="es-AR"/>
        </w:rPr>
      </w:pPr>
      <w:r w:rsidRPr="0056034B">
        <w:rPr>
          <w:rFonts w:ascii="Verdana" w:hAnsi="Verdana"/>
          <w:b/>
          <w:i/>
          <w:sz w:val="20"/>
          <w:szCs w:val="20"/>
          <w:lang w:val="es-AR"/>
        </w:rPr>
        <w:t>CASO GALINDO CÁRDENAS Y OTROS VS. PERÚ</w:t>
      </w:r>
    </w:p>
    <w:p w14:paraId="73005E64" w14:textId="77777777" w:rsidR="00955701" w:rsidRPr="0056034B" w:rsidRDefault="00955701" w:rsidP="00955701">
      <w:pPr>
        <w:rPr>
          <w:sz w:val="20"/>
          <w:szCs w:val="20"/>
        </w:rPr>
      </w:pPr>
    </w:p>
    <w:p w14:paraId="70321B69" w14:textId="77777777" w:rsidR="00955701" w:rsidRPr="0056034B" w:rsidRDefault="00955701" w:rsidP="00955701">
      <w:pPr>
        <w:rPr>
          <w:sz w:val="20"/>
          <w:szCs w:val="20"/>
        </w:rPr>
      </w:pPr>
    </w:p>
    <w:p w14:paraId="6BA1D515" w14:textId="77777777" w:rsidR="00EC3F39" w:rsidRDefault="00955701" w:rsidP="00955701">
      <w:pPr>
        <w:autoSpaceDE w:val="0"/>
        <w:autoSpaceDN w:val="0"/>
        <w:adjustRightInd w:val="0"/>
        <w:jc w:val="both"/>
        <w:rPr>
          <w:rFonts w:ascii="Verdana" w:hAnsi="Verdana" w:cs="Arial"/>
          <w:iCs/>
          <w:color w:val="000000"/>
          <w:spacing w:val="-4"/>
          <w:sz w:val="20"/>
          <w:szCs w:val="20"/>
          <w:lang w:val="es-CR"/>
        </w:rPr>
        <w:sectPr w:rsidR="00EC3F39">
          <w:footerReference w:type="default" r:id="rId10"/>
          <w:pgSz w:w="12240" w:h="15840"/>
          <w:pgMar w:top="1417" w:right="1701" w:bottom="1417" w:left="1701" w:header="708" w:footer="708" w:gutter="0"/>
          <w:cols w:space="708"/>
          <w:docGrid w:linePitch="360"/>
        </w:sectPr>
      </w:pPr>
      <w:r w:rsidRPr="0056034B">
        <w:rPr>
          <w:rFonts w:ascii="Verdana" w:hAnsi="Verdana" w:cs="Arial"/>
          <w:iCs/>
          <w:color w:val="000000"/>
          <w:spacing w:val="-4"/>
          <w:sz w:val="20"/>
          <w:szCs w:val="20"/>
          <w:lang w:val="es-CR"/>
        </w:rPr>
        <w:t>Se emite el presente voto concurrente respecto de la Resolución indicada en el título</w:t>
      </w:r>
    </w:p>
    <w:p w14:paraId="4D52795D" w14:textId="363D603D" w:rsidR="00955701" w:rsidRPr="0056034B" w:rsidRDefault="00955701" w:rsidP="00955701">
      <w:pPr>
        <w:autoSpaceDE w:val="0"/>
        <w:autoSpaceDN w:val="0"/>
        <w:adjustRightInd w:val="0"/>
        <w:jc w:val="both"/>
        <w:rPr>
          <w:rFonts w:ascii="Verdana" w:hAnsi="Verdana" w:cs="Arial"/>
          <w:iCs/>
          <w:color w:val="000000"/>
          <w:spacing w:val="-4"/>
          <w:sz w:val="20"/>
          <w:szCs w:val="20"/>
          <w:lang w:val="es-CR"/>
        </w:rPr>
      </w:pPr>
      <w:r w:rsidRPr="0056034B">
        <w:rPr>
          <w:rStyle w:val="Refdenotaalpie"/>
          <w:rFonts w:cs="Arial"/>
          <w:iCs/>
          <w:color w:val="000000"/>
          <w:spacing w:val="-4"/>
          <w:sz w:val="20"/>
          <w:szCs w:val="20"/>
          <w:lang w:val="es-CR"/>
        </w:rPr>
        <w:footnoteReference w:id="17"/>
      </w:r>
      <w:r w:rsidRPr="0056034B">
        <w:rPr>
          <w:rFonts w:ascii="Verdana" w:hAnsi="Verdana" w:cs="Arial"/>
          <w:iCs/>
          <w:color w:val="000000"/>
          <w:spacing w:val="-4"/>
          <w:sz w:val="20"/>
          <w:szCs w:val="20"/>
          <w:lang w:val="es-CR"/>
        </w:rPr>
        <w:t>, en mérito de que, no obstante aprobar sus puntos resolutivos y, en particular, el primero</w:t>
      </w:r>
      <w:r w:rsidRPr="0056034B">
        <w:rPr>
          <w:rStyle w:val="Refdenotaalpie"/>
          <w:rFonts w:cs="Arial"/>
          <w:iCs/>
          <w:color w:val="000000"/>
          <w:spacing w:val="-4"/>
          <w:sz w:val="20"/>
          <w:szCs w:val="20"/>
          <w:lang w:val="es-CR"/>
        </w:rPr>
        <w:footnoteReference w:id="18"/>
      </w:r>
      <w:r w:rsidRPr="0056034B">
        <w:rPr>
          <w:rFonts w:ascii="Verdana" w:hAnsi="Verdana" w:cs="Arial"/>
          <w:iCs/>
          <w:color w:val="000000"/>
          <w:spacing w:val="-4"/>
          <w:sz w:val="20"/>
          <w:szCs w:val="20"/>
          <w:lang w:val="es-CR"/>
        </w:rPr>
        <w:t xml:space="preserve">, no se comparte la consideración consignada en su párrafo </w:t>
      </w:r>
      <w:proofErr w:type="spellStart"/>
      <w:r w:rsidRPr="0056034B">
        <w:rPr>
          <w:rFonts w:ascii="Verdana" w:hAnsi="Verdana" w:cs="Arial"/>
          <w:iCs/>
          <w:color w:val="000000"/>
          <w:spacing w:val="-4"/>
          <w:sz w:val="20"/>
          <w:szCs w:val="20"/>
          <w:lang w:val="es-CR"/>
        </w:rPr>
        <w:t>N°</w:t>
      </w:r>
      <w:proofErr w:type="spellEnd"/>
      <w:r w:rsidRPr="0056034B">
        <w:rPr>
          <w:rFonts w:ascii="Verdana" w:hAnsi="Verdana" w:cs="Arial"/>
          <w:iCs/>
          <w:color w:val="000000"/>
          <w:spacing w:val="-4"/>
          <w:sz w:val="20"/>
          <w:szCs w:val="20"/>
          <w:lang w:val="es-CR"/>
        </w:rPr>
        <w:t xml:space="preserve"> </w:t>
      </w:r>
      <w:r>
        <w:rPr>
          <w:rFonts w:ascii="Verdana" w:hAnsi="Verdana" w:cs="Arial"/>
          <w:iCs/>
          <w:color w:val="000000"/>
          <w:spacing w:val="-4"/>
          <w:sz w:val="20"/>
          <w:szCs w:val="20"/>
          <w:lang w:val="es-CR"/>
        </w:rPr>
        <w:t>5 de sus considerandos</w:t>
      </w:r>
      <w:r w:rsidRPr="0056034B">
        <w:rPr>
          <w:rStyle w:val="Refdenotaalpie"/>
          <w:rFonts w:cs="Arial"/>
          <w:iCs/>
          <w:color w:val="000000"/>
          <w:spacing w:val="-4"/>
          <w:sz w:val="20"/>
          <w:szCs w:val="20"/>
          <w:lang w:val="es-CR"/>
        </w:rPr>
        <w:footnoteReference w:id="19"/>
      </w:r>
      <w:r w:rsidRPr="0056034B">
        <w:rPr>
          <w:rFonts w:ascii="Verdana" w:hAnsi="Verdana" w:cs="Arial"/>
          <w:iCs/>
          <w:color w:val="000000"/>
          <w:spacing w:val="-4"/>
          <w:sz w:val="20"/>
          <w:szCs w:val="20"/>
          <w:lang w:val="es-CR"/>
        </w:rPr>
        <w:t>.</w:t>
      </w:r>
    </w:p>
    <w:p w14:paraId="7006C61D" w14:textId="77777777" w:rsidR="00955701" w:rsidRPr="0056034B" w:rsidRDefault="00955701" w:rsidP="00955701">
      <w:pPr>
        <w:autoSpaceDE w:val="0"/>
        <w:autoSpaceDN w:val="0"/>
        <w:adjustRightInd w:val="0"/>
        <w:rPr>
          <w:rFonts w:ascii="Verdana" w:hAnsi="Verdana" w:cs="Arial"/>
          <w:iCs/>
          <w:color w:val="000000"/>
          <w:spacing w:val="-4"/>
          <w:sz w:val="20"/>
          <w:szCs w:val="20"/>
          <w:lang w:val="es-CR"/>
        </w:rPr>
      </w:pPr>
    </w:p>
    <w:p w14:paraId="4EEB44DD" w14:textId="77777777" w:rsidR="00955701" w:rsidRPr="0056034B" w:rsidRDefault="00955701" w:rsidP="00955701">
      <w:pPr>
        <w:autoSpaceDE w:val="0"/>
        <w:autoSpaceDN w:val="0"/>
        <w:adjustRightInd w:val="0"/>
        <w:jc w:val="both"/>
        <w:rPr>
          <w:rFonts w:ascii="Verdana" w:hAnsi="Verdana" w:cs="Arial"/>
          <w:iCs/>
          <w:color w:val="000000"/>
          <w:spacing w:val="-4"/>
          <w:sz w:val="20"/>
          <w:szCs w:val="20"/>
          <w:lang w:val="es-CR"/>
        </w:rPr>
      </w:pPr>
      <w:r w:rsidRPr="0056034B">
        <w:rPr>
          <w:rFonts w:ascii="Verdana" w:hAnsi="Verdana" w:cs="Arial"/>
          <w:iCs/>
          <w:color w:val="000000"/>
          <w:spacing w:val="-4"/>
          <w:sz w:val="20"/>
          <w:szCs w:val="20"/>
          <w:lang w:val="es-CR"/>
        </w:rPr>
        <w:t>Efectivamente, a juicio del suscrito y acorde a lo que ha expresado en los otros votos que</w:t>
      </w:r>
      <w:r>
        <w:rPr>
          <w:rFonts w:ascii="Verdana" w:hAnsi="Verdana" w:cs="Arial"/>
          <w:iCs/>
          <w:color w:val="000000"/>
          <w:spacing w:val="-4"/>
          <w:sz w:val="20"/>
          <w:szCs w:val="20"/>
          <w:lang w:val="es-CR"/>
        </w:rPr>
        <w:t xml:space="preserve"> </w:t>
      </w:r>
      <w:r w:rsidRPr="0056034B">
        <w:rPr>
          <w:rFonts w:ascii="Verdana" w:hAnsi="Verdana" w:cs="Arial"/>
          <w:iCs/>
          <w:color w:val="000000"/>
          <w:spacing w:val="-4"/>
          <w:sz w:val="20"/>
          <w:szCs w:val="20"/>
          <w:lang w:val="es-CR"/>
        </w:rPr>
        <w:t>ha emitido sobre esta materia</w:t>
      </w:r>
      <w:r w:rsidRPr="0056034B">
        <w:rPr>
          <w:rStyle w:val="Refdenotaalpie"/>
          <w:rFonts w:cs="Arial"/>
          <w:iCs/>
          <w:color w:val="000000"/>
          <w:spacing w:val="-4"/>
          <w:sz w:val="20"/>
          <w:szCs w:val="20"/>
          <w:lang w:val="es-CR"/>
        </w:rPr>
        <w:footnoteReference w:id="20"/>
      </w:r>
      <w:r w:rsidRPr="0056034B">
        <w:rPr>
          <w:rFonts w:ascii="Verdana" w:hAnsi="Verdana" w:cs="Arial"/>
          <w:iCs/>
          <w:color w:val="000000"/>
          <w:spacing w:val="-4"/>
          <w:sz w:val="20"/>
          <w:szCs w:val="20"/>
          <w:lang w:val="es-CR"/>
        </w:rPr>
        <w:t xml:space="preserve">, </w:t>
      </w:r>
      <w:r>
        <w:rPr>
          <w:rFonts w:ascii="Verdana" w:hAnsi="Verdana" w:cs="Arial"/>
          <w:iCs/>
          <w:color w:val="000000"/>
          <w:spacing w:val="-4"/>
          <w:sz w:val="20"/>
          <w:szCs w:val="20"/>
          <w:lang w:val="es-CR"/>
        </w:rPr>
        <w:t>el</w:t>
      </w:r>
      <w:r w:rsidRPr="0056034B">
        <w:rPr>
          <w:rFonts w:ascii="Verdana" w:hAnsi="Verdana" w:cs="Arial"/>
          <w:iCs/>
          <w:color w:val="000000"/>
          <w:spacing w:val="-4"/>
          <w:sz w:val="20"/>
          <w:szCs w:val="20"/>
          <w:lang w:val="es-CR"/>
        </w:rPr>
        <w:t xml:space="preserve"> solicitante de las medidas provisionales en cuestión, </w:t>
      </w:r>
      <w:proofErr w:type="spellStart"/>
      <w:r w:rsidRPr="0056034B">
        <w:rPr>
          <w:rFonts w:ascii="Verdana" w:hAnsi="Verdana" w:cs="Arial"/>
          <w:iCs/>
          <w:color w:val="000000"/>
          <w:spacing w:val="-4"/>
          <w:sz w:val="20"/>
          <w:szCs w:val="20"/>
          <w:lang w:val="es-CR"/>
        </w:rPr>
        <w:t>a</w:t>
      </w:r>
      <w:proofErr w:type="spellEnd"/>
      <w:r w:rsidRPr="0056034B">
        <w:rPr>
          <w:rFonts w:ascii="Verdana" w:hAnsi="Verdana" w:cs="Arial"/>
          <w:iCs/>
          <w:color w:val="000000"/>
          <w:spacing w:val="-4"/>
          <w:sz w:val="20"/>
          <w:szCs w:val="20"/>
          <w:lang w:val="es-CR"/>
        </w:rPr>
        <w:t xml:space="preserve"> contrario de lo que se expresa en la Resolución, no gozaba de legitimación para hacerlo, habida cuenta que, al requerirse ellas respecto de un caso ya resuelto por “</w:t>
      </w:r>
      <w:r w:rsidRPr="0056034B">
        <w:rPr>
          <w:rFonts w:ascii="Verdana" w:hAnsi="Verdana" w:cs="Arial"/>
          <w:i/>
          <w:color w:val="000000"/>
          <w:spacing w:val="-4"/>
          <w:sz w:val="20"/>
          <w:szCs w:val="20"/>
          <w:lang w:val="es-CR"/>
        </w:rPr>
        <w:t>fallo</w:t>
      </w:r>
      <w:r w:rsidRPr="0056034B">
        <w:rPr>
          <w:rFonts w:ascii="Verdana" w:hAnsi="Verdana" w:cs="Tahoma"/>
          <w:i/>
          <w:color w:val="000000"/>
          <w:sz w:val="20"/>
          <w:szCs w:val="20"/>
        </w:rPr>
        <w:t xml:space="preserve"> definitivo e inapelable</w:t>
      </w:r>
      <w:r w:rsidRPr="0056034B">
        <w:rPr>
          <w:rFonts w:ascii="Verdana" w:hAnsi="Verdana" w:cs="Tahoma"/>
          <w:color w:val="000000"/>
          <w:sz w:val="20"/>
          <w:szCs w:val="20"/>
        </w:rPr>
        <w:t>”</w:t>
      </w:r>
      <w:r w:rsidRPr="0056034B">
        <w:rPr>
          <w:rStyle w:val="Refdenotaalpie"/>
          <w:rFonts w:cs="Tahoma"/>
          <w:color w:val="000000"/>
          <w:sz w:val="20"/>
          <w:szCs w:val="20"/>
        </w:rPr>
        <w:footnoteReference w:id="21"/>
      </w:r>
      <w:r w:rsidRPr="0056034B">
        <w:rPr>
          <w:rFonts w:ascii="Verdana" w:hAnsi="Verdana" w:cs="Arial"/>
          <w:iCs/>
          <w:color w:val="000000"/>
          <w:spacing w:val="-4"/>
          <w:sz w:val="20"/>
          <w:szCs w:val="20"/>
          <w:lang w:val="es-CR"/>
        </w:rPr>
        <w:t>, la facultad de la Corte para dictarlas había ya precluido y, por ende, asimismo, la facultad de solicitarlas.</w:t>
      </w:r>
    </w:p>
    <w:p w14:paraId="32BDB5B7" w14:textId="77777777" w:rsidR="00955701" w:rsidRPr="0056034B" w:rsidRDefault="00955701" w:rsidP="00955701">
      <w:pPr>
        <w:autoSpaceDE w:val="0"/>
        <w:autoSpaceDN w:val="0"/>
        <w:adjustRightInd w:val="0"/>
        <w:jc w:val="both"/>
        <w:rPr>
          <w:rFonts w:ascii="Verdana" w:hAnsi="Verdana" w:cs="Arial"/>
          <w:iCs/>
          <w:color w:val="000000"/>
          <w:spacing w:val="-4"/>
          <w:sz w:val="20"/>
          <w:szCs w:val="20"/>
          <w:lang w:val="es-CR"/>
        </w:rPr>
      </w:pPr>
    </w:p>
    <w:p w14:paraId="32F108BF" w14:textId="77777777" w:rsidR="00955701" w:rsidRPr="0056034B" w:rsidRDefault="00955701" w:rsidP="00955701">
      <w:pPr>
        <w:autoSpaceDE w:val="0"/>
        <w:autoSpaceDN w:val="0"/>
        <w:adjustRightInd w:val="0"/>
        <w:jc w:val="both"/>
        <w:rPr>
          <w:rFonts w:ascii="Verdana" w:hAnsi="Verdana" w:cs="Arial"/>
          <w:iCs/>
          <w:color w:val="000000"/>
          <w:spacing w:val="-4"/>
          <w:sz w:val="20"/>
          <w:szCs w:val="20"/>
          <w:lang w:val="es-CR"/>
        </w:rPr>
      </w:pPr>
      <w:r w:rsidRPr="0056034B">
        <w:rPr>
          <w:rFonts w:ascii="Verdana" w:hAnsi="Verdana" w:cs="Arial"/>
          <w:iCs/>
          <w:color w:val="000000"/>
          <w:spacing w:val="-4"/>
          <w:sz w:val="20"/>
          <w:szCs w:val="20"/>
          <w:lang w:val="es-CR"/>
        </w:rPr>
        <w:t>Por lo demás, la afirmación a que se ha hecho mención, contenida en la Resolución, aparentemente no se compadece con las consideraciones, también efectuadas en esta última, de que “</w:t>
      </w:r>
      <w:r w:rsidRPr="0056034B">
        <w:rPr>
          <w:rFonts w:ascii="Verdana" w:hAnsi="Verdana"/>
          <w:i/>
          <w:iCs/>
          <w:sz w:val="20"/>
          <w:szCs w:val="20"/>
          <w:lang w:val="es-AR"/>
        </w:rPr>
        <w:t>el cumplimiento de medidas de reparación ordenadas en la Sentencia debe ser evaluada en el marco de la supervisión de cumplimiento de Sentencia</w:t>
      </w:r>
      <w:r w:rsidRPr="0056034B">
        <w:rPr>
          <w:rFonts w:ascii="Verdana" w:hAnsi="Verdana"/>
          <w:sz w:val="20"/>
          <w:szCs w:val="20"/>
          <w:lang w:val="es-AR"/>
        </w:rPr>
        <w:t>”</w:t>
      </w:r>
      <w:r w:rsidRPr="0056034B">
        <w:rPr>
          <w:rStyle w:val="Refdenotaalpie"/>
          <w:sz w:val="20"/>
          <w:szCs w:val="20"/>
          <w:lang w:val="es-AR"/>
        </w:rPr>
        <w:footnoteReference w:id="22"/>
      </w:r>
      <w:r w:rsidRPr="0056034B">
        <w:rPr>
          <w:rFonts w:ascii="Verdana" w:hAnsi="Verdana"/>
          <w:sz w:val="20"/>
          <w:szCs w:val="20"/>
          <w:lang w:val="es-AR"/>
        </w:rPr>
        <w:t xml:space="preserve"> y de “</w:t>
      </w:r>
      <w:r w:rsidRPr="0056034B">
        <w:rPr>
          <w:rFonts w:ascii="Verdana" w:eastAsia="Times New Roman" w:hAnsi="Verdana"/>
          <w:i/>
          <w:iCs/>
          <w:sz w:val="20"/>
          <w:szCs w:val="20"/>
          <w:lang w:val="es-MX" w:eastAsia="es-ES"/>
        </w:rPr>
        <w:t xml:space="preserve">que la información y argumentos expuestos por </w:t>
      </w:r>
      <w:r>
        <w:rPr>
          <w:rFonts w:ascii="Verdana" w:eastAsia="Times New Roman" w:hAnsi="Verdana"/>
          <w:i/>
          <w:iCs/>
          <w:sz w:val="20"/>
          <w:szCs w:val="20"/>
          <w:lang w:val="es-MX" w:eastAsia="es-ES"/>
        </w:rPr>
        <w:t>la víctima</w:t>
      </w:r>
      <w:r w:rsidRPr="0056034B">
        <w:rPr>
          <w:rFonts w:ascii="Verdana" w:eastAsia="Times New Roman" w:hAnsi="Verdana"/>
          <w:i/>
          <w:iCs/>
          <w:sz w:val="20"/>
          <w:szCs w:val="20"/>
          <w:lang w:val="es-MX" w:eastAsia="es-ES"/>
        </w:rPr>
        <w:t xml:space="preserve"> … </w:t>
      </w:r>
      <w:r>
        <w:rPr>
          <w:rFonts w:ascii="Verdana" w:eastAsia="Times New Roman" w:hAnsi="Verdana"/>
          <w:i/>
          <w:iCs/>
          <w:sz w:val="20"/>
          <w:szCs w:val="20"/>
          <w:lang w:val="es-MX" w:eastAsia="es-ES"/>
        </w:rPr>
        <w:t>requieren</w:t>
      </w:r>
      <w:r w:rsidRPr="0056034B">
        <w:rPr>
          <w:rFonts w:ascii="Verdana" w:eastAsia="Times New Roman" w:hAnsi="Verdana"/>
          <w:i/>
          <w:iCs/>
          <w:sz w:val="20"/>
          <w:szCs w:val="20"/>
          <w:lang w:val="es-MX" w:eastAsia="es-ES"/>
        </w:rPr>
        <w:t xml:space="preserve"> ser evaluados en el marco de la supervisión del cumplimiento de la Sentencia”</w:t>
      </w:r>
      <w:r w:rsidRPr="0056034B">
        <w:rPr>
          <w:rStyle w:val="Refdenotaalpie"/>
          <w:rFonts w:eastAsia="Times New Roman"/>
          <w:i/>
          <w:iCs/>
          <w:sz w:val="20"/>
          <w:szCs w:val="20"/>
          <w:lang w:val="es-MX" w:eastAsia="es-ES"/>
        </w:rPr>
        <w:footnoteReference w:id="23"/>
      </w:r>
      <w:r w:rsidRPr="0056034B">
        <w:rPr>
          <w:rFonts w:ascii="Verdana" w:eastAsia="Times New Roman" w:hAnsi="Verdana"/>
          <w:i/>
          <w:iCs/>
          <w:sz w:val="20"/>
          <w:szCs w:val="20"/>
          <w:lang w:val="es-MX" w:eastAsia="es-ES"/>
        </w:rPr>
        <w:t xml:space="preserve">, </w:t>
      </w:r>
      <w:r w:rsidRPr="0056034B">
        <w:rPr>
          <w:rFonts w:ascii="Verdana" w:eastAsia="Times New Roman" w:hAnsi="Verdana"/>
          <w:sz w:val="20"/>
          <w:szCs w:val="20"/>
          <w:lang w:val="es-MX" w:eastAsia="es-ES"/>
        </w:rPr>
        <w:t>afirmaciones con las que, ciertamente, el suscrito coincide, al menos en términos generales</w:t>
      </w:r>
      <w:r w:rsidRPr="0056034B">
        <w:rPr>
          <w:rStyle w:val="Refdenotaalpie"/>
          <w:rFonts w:eastAsia="Times New Roman"/>
          <w:sz w:val="20"/>
          <w:szCs w:val="20"/>
          <w:lang w:val="es-MX" w:eastAsia="es-ES"/>
        </w:rPr>
        <w:footnoteReference w:id="24"/>
      </w:r>
      <w:r w:rsidRPr="0056034B">
        <w:rPr>
          <w:rFonts w:ascii="Verdana" w:eastAsia="Times New Roman" w:hAnsi="Verdana"/>
          <w:sz w:val="20"/>
          <w:szCs w:val="20"/>
          <w:lang w:val="es-MX" w:eastAsia="es-ES"/>
        </w:rPr>
        <w:t>, acorde a lo que tradicionalmente ha planteado en sus</w:t>
      </w:r>
      <w:r w:rsidRPr="0056034B">
        <w:rPr>
          <w:rFonts w:ascii="Verdana" w:hAnsi="Verdana" w:cs="Arial"/>
          <w:iCs/>
          <w:color w:val="000000"/>
          <w:spacing w:val="-4"/>
          <w:sz w:val="20"/>
          <w:szCs w:val="20"/>
          <w:lang w:val="es-CR"/>
        </w:rPr>
        <w:t xml:space="preserve"> votos individuales ya citados precedentemente en nota de pie de página.</w:t>
      </w:r>
    </w:p>
    <w:p w14:paraId="63E94400" w14:textId="77777777" w:rsidR="00955701" w:rsidRPr="0056034B" w:rsidRDefault="00955701" w:rsidP="00955701">
      <w:pPr>
        <w:autoSpaceDE w:val="0"/>
        <w:autoSpaceDN w:val="0"/>
        <w:adjustRightInd w:val="0"/>
        <w:rPr>
          <w:rFonts w:ascii="Verdana" w:hAnsi="Verdana" w:cs="Arial"/>
          <w:iCs/>
          <w:color w:val="000000"/>
          <w:spacing w:val="-4"/>
          <w:sz w:val="20"/>
          <w:szCs w:val="20"/>
          <w:lang w:val="es-CR"/>
        </w:rPr>
      </w:pPr>
    </w:p>
    <w:p w14:paraId="06E2B22F" w14:textId="77777777" w:rsidR="00955701" w:rsidRDefault="00955701" w:rsidP="00955701">
      <w:pPr>
        <w:autoSpaceDE w:val="0"/>
        <w:autoSpaceDN w:val="0"/>
        <w:adjustRightInd w:val="0"/>
        <w:rPr>
          <w:rFonts w:ascii="Verdana" w:hAnsi="Verdana" w:cs="Arial"/>
          <w:iCs/>
          <w:color w:val="000000"/>
          <w:spacing w:val="-4"/>
          <w:sz w:val="20"/>
          <w:szCs w:val="20"/>
          <w:lang w:val="es-CR"/>
        </w:rPr>
      </w:pPr>
    </w:p>
    <w:p w14:paraId="41DA640E" w14:textId="77777777" w:rsidR="00955701" w:rsidRDefault="00955701" w:rsidP="00955701">
      <w:pPr>
        <w:autoSpaceDE w:val="0"/>
        <w:autoSpaceDN w:val="0"/>
        <w:adjustRightInd w:val="0"/>
        <w:rPr>
          <w:rFonts w:ascii="Verdana" w:hAnsi="Verdana" w:cs="Arial"/>
          <w:iCs/>
          <w:color w:val="000000"/>
          <w:spacing w:val="-4"/>
          <w:sz w:val="20"/>
          <w:szCs w:val="20"/>
          <w:lang w:val="es-CR"/>
        </w:rPr>
      </w:pPr>
    </w:p>
    <w:p w14:paraId="723D42A7" w14:textId="77777777" w:rsidR="00955701" w:rsidRPr="0056034B" w:rsidRDefault="00955701" w:rsidP="00955701">
      <w:pPr>
        <w:autoSpaceDE w:val="0"/>
        <w:autoSpaceDN w:val="0"/>
        <w:adjustRightInd w:val="0"/>
        <w:rPr>
          <w:rFonts w:ascii="Verdana" w:hAnsi="Verdana" w:cs="Arial"/>
          <w:iCs/>
          <w:color w:val="000000"/>
          <w:spacing w:val="-4"/>
          <w:sz w:val="20"/>
          <w:szCs w:val="20"/>
          <w:lang w:val="es-CR"/>
        </w:rPr>
      </w:pPr>
    </w:p>
    <w:p w14:paraId="3332EB24" w14:textId="77777777" w:rsidR="00955701" w:rsidRPr="0056034B" w:rsidRDefault="00955701" w:rsidP="00955701">
      <w:pPr>
        <w:autoSpaceDE w:val="0"/>
        <w:autoSpaceDN w:val="0"/>
        <w:adjustRightInd w:val="0"/>
        <w:rPr>
          <w:rFonts w:ascii="Verdana" w:hAnsi="Verdana" w:cs="Arial"/>
          <w:iCs/>
          <w:color w:val="000000"/>
          <w:spacing w:val="-4"/>
          <w:sz w:val="20"/>
          <w:szCs w:val="20"/>
          <w:lang w:val="es-CR"/>
        </w:rPr>
      </w:pPr>
    </w:p>
    <w:p w14:paraId="4373A243" w14:textId="77777777" w:rsidR="00955701" w:rsidRPr="0056034B" w:rsidRDefault="00955701" w:rsidP="00955701">
      <w:pPr>
        <w:autoSpaceDE w:val="0"/>
        <w:autoSpaceDN w:val="0"/>
        <w:adjustRightInd w:val="0"/>
        <w:rPr>
          <w:rFonts w:ascii="Verdana" w:hAnsi="Verdana" w:cs="Arial"/>
          <w:iCs/>
          <w:color w:val="000000"/>
          <w:spacing w:val="-4"/>
          <w:sz w:val="20"/>
          <w:szCs w:val="20"/>
          <w:lang w:val="es-CR"/>
        </w:rPr>
      </w:pPr>
    </w:p>
    <w:p w14:paraId="4624CA8B" w14:textId="77777777" w:rsidR="00955701" w:rsidRPr="0056034B" w:rsidRDefault="00955701" w:rsidP="00955701">
      <w:pPr>
        <w:autoSpaceDE w:val="0"/>
        <w:autoSpaceDN w:val="0"/>
        <w:adjustRightInd w:val="0"/>
        <w:jc w:val="right"/>
        <w:rPr>
          <w:rFonts w:ascii="Verdana" w:hAnsi="Verdana" w:cs="Arial"/>
          <w:iCs/>
          <w:color w:val="000000"/>
          <w:spacing w:val="-4"/>
          <w:sz w:val="20"/>
          <w:szCs w:val="20"/>
          <w:lang w:val="es-CR"/>
        </w:rPr>
      </w:pPr>
      <w:r w:rsidRPr="0056034B">
        <w:rPr>
          <w:rFonts w:ascii="Verdana" w:hAnsi="Verdana" w:cs="Arial"/>
          <w:iCs/>
          <w:color w:val="000000"/>
          <w:spacing w:val="-4"/>
          <w:sz w:val="20"/>
          <w:szCs w:val="20"/>
          <w:lang w:val="es-CR"/>
        </w:rPr>
        <w:t>Eduardo Vio Grossi</w:t>
      </w:r>
    </w:p>
    <w:p w14:paraId="0C7B070C" w14:textId="77777777" w:rsidR="00955701" w:rsidRPr="0056034B" w:rsidRDefault="00955701" w:rsidP="00955701">
      <w:pPr>
        <w:autoSpaceDE w:val="0"/>
        <w:autoSpaceDN w:val="0"/>
        <w:adjustRightInd w:val="0"/>
        <w:jc w:val="right"/>
        <w:rPr>
          <w:rFonts w:ascii="Verdana" w:hAnsi="Verdana" w:cs="Arial"/>
          <w:iCs/>
          <w:color w:val="000000"/>
          <w:spacing w:val="-4"/>
          <w:sz w:val="20"/>
          <w:szCs w:val="20"/>
          <w:lang w:val="es-CR"/>
        </w:rPr>
      </w:pPr>
      <w:r w:rsidRPr="0056034B">
        <w:rPr>
          <w:rFonts w:ascii="Verdana" w:hAnsi="Verdana" w:cs="Arial"/>
          <w:iCs/>
          <w:color w:val="000000"/>
          <w:spacing w:val="-4"/>
          <w:sz w:val="20"/>
          <w:szCs w:val="20"/>
          <w:lang w:val="es-CR"/>
        </w:rPr>
        <w:t>Juez</w:t>
      </w:r>
    </w:p>
    <w:p w14:paraId="66CA14F3" w14:textId="77777777" w:rsidR="00955701" w:rsidRPr="0056034B" w:rsidRDefault="00955701" w:rsidP="00955701">
      <w:pPr>
        <w:autoSpaceDE w:val="0"/>
        <w:autoSpaceDN w:val="0"/>
        <w:adjustRightInd w:val="0"/>
        <w:rPr>
          <w:rFonts w:ascii="Verdana" w:hAnsi="Verdana" w:cs="Arial"/>
          <w:iCs/>
          <w:color w:val="000000"/>
          <w:spacing w:val="-4"/>
          <w:sz w:val="20"/>
          <w:szCs w:val="20"/>
          <w:lang w:val="es-CR"/>
        </w:rPr>
      </w:pPr>
    </w:p>
    <w:p w14:paraId="719293F4" w14:textId="77777777" w:rsidR="00955701" w:rsidRPr="0056034B" w:rsidRDefault="00955701" w:rsidP="00955701">
      <w:pPr>
        <w:rPr>
          <w:sz w:val="20"/>
          <w:szCs w:val="20"/>
        </w:rPr>
      </w:pPr>
    </w:p>
    <w:p w14:paraId="760AC851" w14:textId="347C5D98" w:rsidR="002E6D6B" w:rsidRDefault="002E6D6B">
      <w:pPr>
        <w:spacing w:after="160" w:line="259" w:lineRule="auto"/>
        <w:rPr>
          <w:rFonts w:ascii="Verdana" w:hAnsi="Verdana"/>
          <w:sz w:val="20"/>
        </w:rPr>
      </w:pPr>
    </w:p>
    <w:sectPr w:rsidR="002E6D6B" w:rsidSect="00EC3F39">
      <w:footnotePr>
        <w:numRestart w:val="eachSect"/>
      </w:footnotePr>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19667" w14:textId="77777777" w:rsidR="00446E57" w:rsidRDefault="00446E57" w:rsidP="005E32D6">
      <w:r>
        <w:separator/>
      </w:r>
    </w:p>
  </w:endnote>
  <w:endnote w:type="continuationSeparator" w:id="0">
    <w:p w14:paraId="73AEB532" w14:textId="77777777" w:rsidR="00446E57" w:rsidRDefault="00446E57" w:rsidP="005E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39916" w14:textId="54783C58" w:rsidR="00A31A3F" w:rsidRPr="003F7149" w:rsidRDefault="00A31A3F">
    <w:pPr>
      <w:pStyle w:val="Piedepgina"/>
      <w:jc w:val="center"/>
      <w:rPr>
        <w:rFonts w:ascii="Verdana" w:hAnsi="Verdana"/>
        <w:caps/>
        <w:sz w:val="16"/>
        <w:szCs w:val="16"/>
      </w:rPr>
    </w:pPr>
    <w:r w:rsidRPr="003F7149">
      <w:rPr>
        <w:rFonts w:ascii="Verdana" w:hAnsi="Verdana"/>
        <w:caps/>
        <w:sz w:val="16"/>
        <w:szCs w:val="16"/>
      </w:rPr>
      <w:fldChar w:fldCharType="begin"/>
    </w:r>
    <w:r w:rsidRPr="003F7149">
      <w:rPr>
        <w:rFonts w:ascii="Verdana" w:hAnsi="Verdana"/>
        <w:caps/>
        <w:sz w:val="16"/>
        <w:szCs w:val="16"/>
      </w:rPr>
      <w:instrText>PAGE   \* MERGEFORMAT</w:instrText>
    </w:r>
    <w:r w:rsidRPr="003F7149">
      <w:rPr>
        <w:rFonts w:ascii="Verdana" w:hAnsi="Verdana"/>
        <w:caps/>
        <w:sz w:val="16"/>
        <w:szCs w:val="16"/>
      </w:rPr>
      <w:fldChar w:fldCharType="separate"/>
    </w:r>
    <w:r w:rsidR="00E007A9" w:rsidRPr="00E007A9">
      <w:rPr>
        <w:rFonts w:ascii="Verdana" w:hAnsi="Verdana"/>
        <w:caps/>
        <w:noProof/>
        <w:sz w:val="16"/>
        <w:szCs w:val="16"/>
        <w:lang w:val="fr-FR"/>
      </w:rPr>
      <w:t>9</w:t>
    </w:r>
    <w:r w:rsidRPr="003F7149">
      <w:rPr>
        <w:rFonts w:ascii="Verdana" w:hAnsi="Verdana"/>
        <w:caps/>
        <w:sz w:val="16"/>
        <w:szCs w:val="16"/>
      </w:rPr>
      <w:fldChar w:fldCharType="end"/>
    </w:r>
  </w:p>
  <w:p w14:paraId="000B8EAE" w14:textId="77777777" w:rsidR="00A31A3F" w:rsidRDefault="00A31A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3766988"/>
      <w:docPartObj>
        <w:docPartGallery w:val="Page Numbers (Bottom of Page)"/>
        <w:docPartUnique/>
      </w:docPartObj>
    </w:sdtPr>
    <w:sdtEndPr>
      <w:rPr>
        <w:rFonts w:ascii="Verdana" w:hAnsi="Verdana"/>
        <w:sz w:val="16"/>
        <w:szCs w:val="16"/>
      </w:rPr>
    </w:sdtEndPr>
    <w:sdtContent>
      <w:p w14:paraId="4F8987A8" w14:textId="77777777" w:rsidR="002C3D5E" w:rsidRPr="002C3D5E" w:rsidRDefault="000158FC">
        <w:pPr>
          <w:pStyle w:val="Piedepgina"/>
          <w:jc w:val="center"/>
          <w:rPr>
            <w:rFonts w:ascii="Verdana" w:hAnsi="Verdana"/>
            <w:sz w:val="16"/>
            <w:szCs w:val="16"/>
          </w:rPr>
        </w:pPr>
        <w:r w:rsidRPr="002C3D5E">
          <w:rPr>
            <w:rFonts w:ascii="Verdana" w:hAnsi="Verdana"/>
            <w:sz w:val="16"/>
            <w:szCs w:val="16"/>
          </w:rPr>
          <w:fldChar w:fldCharType="begin"/>
        </w:r>
        <w:r w:rsidRPr="002C3D5E">
          <w:rPr>
            <w:rFonts w:ascii="Verdana" w:hAnsi="Verdana"/>
            <w:sz w:val="16"/>
            <w:szCs w:val="16"/>
          </w:rPr>
          <w:instrText>PAGE   \* MERGEFORMAT</w:instrText>
        </w:r>
        <w:r w:rsidRPr="002C3D5E">
          <w:rPr>
            <w:rFonts w:ascii="Verdana" w:hAnsi="Verdana"/>
            <w:sz w:val="16"/>
            <w:szCs w:val="16"/>
          </w:rPr>
          <w:fldChar w:fldCharType="separate"/>
        </w:r>
        <w:r w:rsidRPr="002E579A">
          <w:rPr>
            <w:rFonts w:ascii="Verdana" w:hAnsi="Verdana"/>
            <w:noProof/>
            <w:sz w:val="16"/>
            <w:szCs w:val="16"/>
            <w:lang w:val="es-ES"/>
          </w:rPr>
          <w:t>2</w:t>
        </w:r>
        <w:r w:rsidRPr="002C3D5E">
          <w:rPr>
            <w:rFonts w:ascii="Verdana" w:hAnsi="Verdana"/>
            <w:sz w:val="16"/>
            <w:szCs w:val="16"/>
          </w:rPr>
          <w:fldChar w:fldCharType="end"/>
        </w:r>
      </w:p>
    </w:sdtContent>
  </w:sdt>
  <w:p w14:paraId="6A260E32" w14:textId="77777777" w:rsidR="002C3D5E" w:rsidRDefault="00446E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C28E5" w14:textId="77777777" w:rsidR="00446E57" w:rsidRDefault="00446E57" w:rsidP="005E32D6">
      <w:r>
        <w:separator/>
      </w:r>
    </w:p>
  </w:footnote>
  <w:footnote w:type="continuationSeparator" w:id="0">
    <w:p w14:paraId="30195120" w14:textId="77777777" w:rsidR="00446E57" w:rsidRDefault="00446E57" w:rsidP="005E32D6">
      <w:r>
        <w:continuationSeparator/>
      </w:r>
    </w:p>
  </w:footnote>
  <w:footnote w:id="1">
    <w:p w14:paraId="3693E532" w14:textId="3FF6AEC4" w:rsidR="005E32D6" w:rsidRPr="0038565D" w:rsidRDefault="005E32D6" w:rsidP="005E32D6">
      <w:pPr>
        <w:pStyle w:val="Textonotapie"/>
        <w:jc w:val="both"/>
        <w:rPr>
          <w:rFonts w:ascii="Verdana" w:hAnsi="Verdana"/>
          <w:sz w:val="16"/>
          <w:szCs w:val="16"/>
          <w:lang w:val="es-MX"/>
        </w:rPr>
      </w:pPr>
      <w:r w:rsidRPr="0038565D">
        <w:rPr>
          <w:rStyle w:val="Refdenotaalpie"/>
          <w:szCs w:val="16"/>
        </w:rPr>
        <w:t>*</w:t>
      </w:r>
      <w:r w:rsidRPr="0038565D">
        <w:rPr>
          <w:rFonts w:ascii="Verdana" w:hAnsi="Verdana"/>
          <w:sz w:val="16"/>
          <w:szCs w:val="16"/>
        </w:rPr>
        <w:t xml:space="preserve"> </w:t>
      </w:r>
      <w:r w:rsidRPr="0038565D">
        <w:rPr>
          <w:rFonts w:ascii="Verdana" w:hAnsi="Verdana"/>
          <w:sz w:val="16"/>
          <w:szCs w:val="16"/>
        </w:rPr>
        <w:tab/>
      </w:r>
      <w:r w:rsidRPr="0038565D">
        <w:rPr>
          <w:rFonts w:ascii="Verdana" w:hAnsi="Verdana"/>
          <w:sz w:val="16"/>
          <w:szCs w:val="16"/>
          <w:lang w:val="es-CR"/>
        </w:rPr>
        <w:t>Debido a las circunstancias excepcionales ocasionadas por la pandemia COVID-19, esta Resolución fue deli</w:t>
      </w:r>
      <w:r w:rsidR="005B11BE" w:rsidRPr="0038565D">
        <w:rPr>
          <w:rFonts w:ascii="Verdana" w:hAnsi="Verdana"/>
          <w:sz w:val="16"/>
          <w:szCs w:val="16"/>
          <w:lang w:val="es-CR"/>
        </w:rPr>
        <w:t>berada y aprobada durante el 136</w:t>
      </w:r>
      <w:r w:rsidRPr="0038565D">
        <w:rPr>
          <w:rFonts w:ascii="Verdana" w:hAnsi="Verdana"/>
          <w:sz w:val="16"/>
          <w:szCs w:val="16"/>
          <w:lang w:val="es-CR"/>
        </w:rPr>
        <w:t xml:space="preserve"> Período Ordinario de Sesiones, el cual se llevó a cabo utilizando medios tecnológicos, de conformidad con lo establecido en el Reglamento de la Corte. </w:t>
      </w:r>
    </w:p>
  </w:footnote>
  <w:footnote w:id="2">
    <w:p w14:paraId="04BB6A15" w14:textId="3BDBB140" w:rsidR="00AE24E6" w:rsidRPr="00AE24E6" w:rsidRDefault="00AE24E6" w:rsidP="00AE24E6">
      <w:pPr>
        <w:pStyle w:val="Textonotapie"/>
        <w:jc w:val="both"/>
        <w:rPr>
          <w:rFonts w:ascii="Verdana" w:hAnsi="Verdana"/>
          <w:sz w:val="16"/>
          <w:szCs w:val="16"/>
          <w:lang w:val="es-MX"/>
        </w:rPr>
      </w:pPr>
      <w:r>
        <w:rPr>
          <w:rStyle w:val="Refdenotaalpie"/>
        </w:rPr>
        <w:footnoteRef/>
      </w:r>
      <w:r w:rsidRPr="00AE24E6">
        <w:rPr>
          <w:lang w:val="es-MX"/>
        </w:rPr>
        <w:t xml:space="preserve"> </w:t>
      </w:r>
      <w:r>
        <w:rPr>
          <w:lang w:val="es-MX"/>
        </w:rPr>
        <w:tab/>
      </w:r>
      <w:r w:rsidRPr="00AE24E6">
        <w:rPr>
          <w:rFonts w:ascii="Verdana" w:hAnsi="Verdana"/>
          <w:sz w:val="16"/>
          <w:szCs w:val="16"/>
          <w:lang w:val="es-MX"/>
        </w:rPr>
        <w:t xml:space="preserve">Disponible en: </w:t>
      </w:r>
      <w:hyperlink r:id="rId1" w:history="1">
        <w:r w:rsidR="00233CDF" w:rsidRPr="001D3790">
          <w:rPr>
            <w:rStyle w:val="Hipervnculo"/>
            <w:rFonts w:ascii="Verdana" w:hAnsi="Verdana"/>
            <w:sz w:val="16"/>
            <w:szCs w:val="16"/>
            <w:lang w:val="es-MX"/>
          </w:rPr>
          <w:t>https://www.corteidh.or.cr/docs/casos/articulos/seriec_301_esp.pdf</w:t>
        </w:r>
      </w:hyperlink>
      <w:r w:rsidRPr="00AE24E6">
        <w:rPr>
          <w:rFonts w:ascii="Verdana" w:hAnsi="Verdana"/>
          <w:sz w:val="16"/>
          <w:szCs w:val="16"/>
          <w:lang w:val="es-MX"/>
        </w:rPr>
        <w:t>.</w:t>
      </w:r>
      <w:r w:rsidR="00233CDF">
        <w:rPr>
          <w:rFonts w:ascii="Verdana" w:hAnsi="Verdana"/>
          <w:sz w:val="16"/>
          <w:szCs w:val="16"/>
          <w:lang w:val="es-MX"/>
        </w:rPr>
        <w:t xml:space="preserve"> La Sentencia fue notificada el 18 de diciembre de 2015. </w:t>
      </w:r>
    </w:p>
  </w:footnote>
  <w:footnote w:id="3">
    <w:p w14:paraId="3B02D34D" w14:textId="17E018EE" w:rsidR="00D15F66" w:rsidRPr="00AE24E6" w:rsidRDefault="00D15F66" w:rsidP="00D15F66">
      <w:pPr>
        <w:pStyle w:val="Textonotapie"/>
        <w:jc w:val="both"/>
        <w:rPr>
          <w:rFonts w:ascii="Verdana" w:hAnsi="Verdana"/>
          <w:sz w:val="16"/>
          <w:szCs w:val="16"/>
          <w:lang w:val="es-MX"/>
        </w:rPr>
      </w:pPr>
      <w:r w:rsidRPr="00CA5EEF">
        <w:rPr>
          <w:rStyle w:val="Refdenotaalpie"/>
          <w:szCs w:val="16"/>
        </w:rPr>
        <w:footnoteRef/>
      </w:r>
      <w:r w:rsidRPr="00AE24E6">
        <w:rPr>
          <w:rFonts w:ascii="Verdana" w:hAnsi="Verdana"/>
          <w:sz w:val="16"/>
          <w:szCs w:val="16"/>
          <w:lang w:val="es-MX"/>
        </w:rPr>
        <w:t xml:space="preserve"> </w:t>
      </w:r>
      <w:r w:rsidRPr="00AE24E6">
        <w:rPr>
          <w:rFonts w:ascii="Verdana" w:hAnsi="Verdana"/>
          <w:sz w:val="16"/>
          <w:szCs w:val="16"/>
          <w:lang w:val="es-MX"/>
        </w:rPr>
        <w:tab/>
      </w:r>
      <w:r w:rsidRPr="00AE24E6">
        <w:rPr>
          <w:rFonts w:ascii="Verdana" w:hAnsi="Verdana"/>
          <w:iCs/>
          <w:sz w:val="16"/>
          <w:szCs w:val="16"/>
          <w:lang w:val="es-MX"/>
        </w:rPr>
        <w:t>Disponible</w:t>
      </w:r>
      <w:r w:rsidRPr="00AE24E6">
        <w:rPr>
          <w:rStyle w:val="Textoennegrita"/>
          <w:rFonts w:ascii="Verdana" w:hAnsi="Verdana"/>
          <w:b w:val="0"/>
          <w:bCs w:val="0"/>
          <w:iCs/>
          <w:color w:val="000000"/>
          <w:sz w:val="16"/>
          <w:szCs w:val="16"/>
          <w:shd w:val="clear" w:color="auto" w:fill="FFFFFF"/>
          <w:lang w:val="es-MX"/>
        </w:rPr>
        <w:t xml:space="preserve"> </w:t>
      </w:r>
      <w:r w:rsidRPr="00AE24E6">
        <w:rPr>
          <w:rStyle w:val="Textoennegrita"/>
          <w:rFonts w:ascii="Verdana" w:hAnsi="Verdana"/>
          <w:b w:val="0"/>
          <w:bCs w:val="0"/>
          <w:color w:val="000000"/>
          <w:sz w:val="16"/>
          <w:szCs w:val="16"/>
          <w:shd w:val="clear" w:color="auto" w:fill="FFFFFF"/>
          <w:lang w:val="es-MX"/>
        </w:rPr>
        <w:t>en:</w:t>
      </w:r>
      <w:r w:rsidRPr="00AE24E6">
        <w:rPr>
          <w:rStyle w:val="Textoennegrita"/>
          <w:rFonts w:ascii="Verdana" w:hAnsi="Verdana"/>
          <w:color w:val="000000"/>
          <w:sz w:val="16"/>
          <w:szCs w:val="16"/>
          <w:shd w:val="clear" w:color="auto" w:fill="FFFFFF"/>
          <w:lang w:val="es-MX"/>
        </w:rPr>
        <w:t xml:space="preserve"> </w:t>
      </w:r>
      <w:hyperlink r:id="rId2" w:history="1">
        <w:r w:rsidRPr="00AE24E6">
          <w:rPr>
            <w:rStyle w:val="Hipervnculo"/>
            <w:rFonts w:ascii="Verdana" w:hAnsi="Verdana"/>
            <w:sz w:val="16"/>
            <w:szCs w:val="16"/>
            <w:shd w:val="clear" w:color="auto" w:fill="FFFFFF"/>
            <w:lang w:val="es-MX"/>
          </w:rPr>
          <w:t>http://www.corteidh.or.cr/docs/casos/articulos/seriec_323_esp.pdf</w:t>
        </w:r>
      </w:hyperlink>
      <w:r w:rsidRPr="00AE24E6">
        <w:rPr>
          <w:rStyle w:val="Textoennegrita"/>
          <w:rFonts w:ascii="Verdana" w:hAnsi="Verdana"/>
          <w:color w:val="000000"/>
          <w:sz w:val="16"/>
          <w:szCs w:val="16"/>
          <w:shd w:val="clear" w:color="auto" w:fill="FFFFFF"/>
          <w:lang w:val="es-MX"/>
        </w:rPr>
        <w:t xml:space="preserve">. </w:t>
      </w:r>
    </w:p>
  </w:footnote>
  <w:footnote w:id="4">
    <w:p w14:paraId="466992EE" w14:textId="2B3DD9C1" w:rsidR="000402B9" w:rsidRPr="000402B9" w:rsidRDefault="000402B9" w:rsidP="000402B9">
      <w:pPr>
        <w:pStyle w:val="Textonotapie"/>
        <w:jc w:val="both"/>
        <w:rPr>
          <w:rFonts w:ascii="Verdana" w:hAnsi="Verdana"/>
          <w:sz w:val="16"/>
          <w:lang w:val="es-MX"/>
        </w:rPr>
      </w:pPr>
      <w:r>
        <w:rPr>
          <w:rStyle w:val="Refdenotaalpie"/>
        </w:rPr>
        <w:footnoteRef/>
      </w:r>
      <w:r>
        <w:t xml:space="preserve"> </w:t>
      </w:r>
      <w:r>
        <w:tab/>
      </w:r>
      <w:r w:rsidRPr="001F307E">
        <w:rPr>
          <w:rFonts w:ascii="Verdana" w:hAnsi="Verdana"/>
          <w:sz w:val="16"/>
        </w:rPr>
        <w:t xml:space="preserve">En el informe que presentó el 29 de julio de 2020, el Perú solicitó a la Corte que declare el cumplimiento de las reparaciones dispuestas en los puntos resolutivos noveno, décimo y décimo primero de la Sentencia. Dicho informe fue transmitido al representante de las víctimas y a la Comisión Interamericana y se les otorgaron plazos para presentar observaciones al mismo, los cuales vencen los días </w:t>
      </w:r>
      <w:r w:rsidR="00321276" w:rsidRPr="001F307E">
        <w:rPr>
          <w:rFonts w:ascii="Verdana" w:hAnsi="Verdana"/>
          <w:sz w:val="16"/>
        </w:rPr>
        <w:t>8</w:t>
      </w:r>
      <w:r w:rsidRPr="001F307E">
        <w:rPr>
          <w:rFonts w:ascii="Verdana" w:hAnsi="Verdana"/>
          <w:sz w:val="16"/>
        </w:rPr>
        <w:t xml:space="preserve"> y 2</w:t>
      </w:r>
      <w:r w:rsidR="00321276" w:rsidRPr="001F307E">
        <w:rPr>
          <w:rFonts w:ascii="Verdana" w:hAnsi="Verdana"/>
          <w:sz w:val="16"/>
        </w:rPr>
        <w:t>2</w:t>
      </w:r>
      <w:r w:rsidRPr="001F307E">
        <w:rPr>
          <w:rFonts w:ascii="Verdana" w:hAnsi="Verdana"/>
          <w:sz w:val="16"/>
        </w:rPr>
        <w:t xml:space="preserve"> de septiembre de 2020, respectivamente. En una posterior Resolución, la Corte valorará esta información.</w:t>
      </w:r>
    </w:p>
  </w:footnote>
  <w:footnote w:id="5">
    <w:p w14:paraId="475B897F" w14:textId="53B3BF90" w:rsidR="00E63944" w:rsidRPr="00E63944" w:rsidRDefault="00E63944" w:rsidP="00E63944">
      <w:pPr>
        <w:pStyle w:val="Textonotapie"/>
        <w:jc w:val="both"/>
        <w:rPr>
          <w:rFonts w:ascii="Verdana" w:hAnsi="Verdana"/>
          <w:sz w:val="16"/>
          <w:lang w:val="es-MX"/>
        </w:rPr>
      </w:pPr>
      <w:r>
        <w:rPr>
          <w:rStyle w:val="Refdenotaalpie"/>
        </w:rPr>
        <w:footnoteRef/>
      </w:r>
      <w:r>
        <w:t xml:space="preserve"> </w:t>
      </w:r>
      <w:r>
        <w:tab/>
      </w:r>
      <w:r w:rsidRPr="00E63944">
        <w:rPr>
          <w:rFonts w:ascii="Verdana" w:hAnsi="Verdana"/>
          <w:sz w:val="16"/>
        </w:rPr>
        <w:t xml:space="preserve">El señor Galindo Cárdenas se encuentra representado por Richard M. Rocha. </w:t>
      </w:r>
    </w:p>
  </w:footnote>
  <w:footnote w:id="6">
    <w:p w14:paraId="0D4821A9" w14:textId="1331D444" w:rsidR="00120200" w:rsidRPr="00120200" w:rsidRDefault="00120200" w:rsidP="00120200">
      <w:pPr>
        <w:pStyle w:val="Textonotapie"/>
        <w:jc w:val="both"/>
        <w:rPr>
          <w:rFonts w:ascii="Verdana" w:hAnsi="Verdana"/>
          <w:sz w:val="16"/>
          <w:szCs w:val="16"/>
        </w:rPr>
      </w:pPr>
      <w:r w:rsidRPr="00120200">
        <w:rPr>
          <w:rStyle w:val="Refdenotaalpie"/>
          <w:szCs w:val="16"/>
        </w:rPr>
        <w:footnoteRef/>
      </w:r>
      <w:r w:rsidRPr="00120200">
        <w:rPr>
          <w:rFonts w:ascii="Verdana" w:hAnsi="Verdana"/>
          <w:sz w:val="16"/>
          <w:szCs w:val="16"/>
        </w:rPr>
        <w:t xml:space="preserve"> </w:t>
      </w:r>
      <w:r w:rsidRPr="00120200">
        <w:rPr>
          <w:rFonts w:ascii="Verdana" w:hAnsi="Verdana"/>
          <w:sz w:val="16"/>
          <w:szCs w:val="16"/>
        </w:rPr>
        <w:tab/>
        <w:t>E</w:t>
      </w:r>
      <w:r w:rsidR="00CC1809">
        <w:rPr>
          <w:rFonts w:ascii="Verdana" w:hAnsi="Verdana"/>
          <w:sz w:val="16"/>
          <w:szCs w:val="16"/>
        </w:rPr>
        <w:t>l</w:t>
      </w:r>
      <w:r w:rsidR="004C1DB3">
        <w:rPr>
          <w:rFonts w:ascii="Verdana" w:hAnsi="Verdana"/>
          <w:sz w:val="16"/>
          <w:szCs w:val="16"/>
        </w:rPr>
        <w:t xml:space="preserve"> </w:t>
      </w:r>
      <w:r w:rsidRPr="00120200">
        <w:rPr>
          <w:rFonts w:ascii="Verdana" w:hAnsi="Verdana"/>
          <w:sz w:val="16"/>
          <w:szCs w:val="16"/>
        </w:rPr>
        <w:t>escrito fue presentado por la propia víctima</w:t>
      </w:r>
      <w:r w:rsidR="004C1DB3">
        <w:rPr>
          <w:rFonts w:ascii="Verdana" w:hAnsi="Verdana"/>
          <w:sz w:val="16"/>
          <w:szCs w:val="16"/>
        </w:rPr>
        <w:t>, no se encuentra firmado por su representante</w:t>
      </w:r>
      <w:r w:rsidRPr="00120200">
        <w:rPr>
          <w:rFonts w:ascii="Verdana" w:hAnsi="Verdana"/>
          <w:sz w:val="16"/>
          <w:szCs w:val="16"/>
        </w:rPr>
        <w:t>.</w:t>
      </w:r>
    </w:p>
  </w:footnote>
  <w:footnote w:id="7">
    <w:p w14:paraId="62CC6FD3" w14:textId="4728D6C7" w:rsidR="00D253EF" w:rsidRPr="0038565D" w:rsidRDefault="00D253EF" w:rsidP="00D253EF">
      <w:pPr>
        <w:pStyle w:val="Textonotapie"/>
        <w:jc w:val="both"/>
        <w:rPr>
          <w:rFonts w:ascii="Verdana" w:hAnsi="Verdana"/>
          <w:sz w:val="16"/>
          <w:szCs w:val="16"/>
          <w:lang w:val="es-MX"/>
        </w:rPr>
      </w:pPr>
      <w:r w:rsidRPr="0038565D">
        <w:rPr>
          <w:rStyle w:val="Refdenotaalpie"/>
          <w:szCs w:val="16"/>
        </w:rPr>
        <w:footnoteRef/>
      </w:r>
      <w:r w:rsidRPr="0038565D">
        <w:rPr>
          <w:rFonts w:ascii="Verdana" w:hAnsi="Verdana"/>
          <w:sz w:val="16"/>
          <w:szCs w:val="16"/>
        </w:rPr>
        <w:t xml:space="preserve"> </w:t>
      </w:r>
      <w:r w:rsidRPr="0038565D">
        <w:rPr>
          <w:rFonts w:ascii="Verdana" w:hAnsi="Verdana"/>
          <w:sz w:val="16"/>
          <w:szCs w:val="16"/>
        </w:rPr>
        <w:tab/>
      </w:r>
      <w:r w:rsidRPr="0038565D">
        <w:rPr>
          <w:rFonts w:ascii="Verdana" w:hAnsi="Verdana"/>
          <w:i/>
          <w:sz w:val="16"/>
          <w:szCs w:val="16"/>
        </w:rPr>
        <w:t xml:space="preserve">Cfr. Caso </w:t>
      </w:r>
      <w:r w:rsidR="002D6B1B">
        <w:rPr>
          <w:rFonts w:ascii="Verdana" w:hAnsi="Verdana"/>
          <w:i/>
          <w:sz w:val="16"/>
          <w:szCs w:val="16"/>
        </w:rPr>
        <w:t>Herrera Ulloa respecto de Costa Rica.</w:t>
      </w:r>
      <w:r w:rsidRPr="0038565D">
        <w:rPr>
          <w:rFonts w:ascii="Verdana" w:hAnsi="Verdana"/>
          <w:i/>
          <w:sz w:val="16"/>
          <w:szCs w:val="16"/>
        </w:rPr>
        <w:t xml:space="preserve"> Medidas Provisionales</w:t>
      </w:r>
      <w:r w:rsidR="002D6B1B">
        <w:rPr>
          <w:rFonts w:ascii="Verdana" w:hAnsi="Verdana"/>
          <w:i/>
          <w:sz w:val="16"/>
          <w:szCs w:val="16"/>
        </w:rPr>
        <w:t>.</w:t>
      </w:r>
      <w:r w:rsidRPr="0038565D">
        <w:rPr>
          <w:rFonts w:ascii="Verdana" w:hAnsi="Verdana"/>
          <w:sz w:val="16"/>
          <w:szCs w:val="16"/>
        </w:rPr>
        <w:t xml:space="preserve"> Resolución de</w:t>
      </w:r>
      <w:r>
        <w:rPr>
          <w:rFonts w:ascii="Verdana" w:hAnsi="Verdana"/>
          <w:sz w:val="16"/>
          <w:szCs w:val="16"/>
        </w:rPr>
        <w:t xml:space="preserve"> </w:t>
      </w:r>
      <w:r w:rsidRPr="0038565D">
        <w:rPr>
          <w:rFonts w:ascii="Verdana" w:hAnsi="Verdana"/>
          <w:sz w:val="16"/>
          <w:szCs w:val="16"/>
        </w:rPr>
        <w:t xml:space="preserve">la Corte de 7 de septiembre de 2001, Considerando 4, y </w:t>
      </w:r>
      <w:r w:rsidRPr="00A43054">
        <w:rPr>
          <w:rFonts w:ascii="Verdana" w:hAnsi="Verdana"/>
          <w:i/>
          <w:sz w:val="16"/>
          <w:szCs w:val="16"/>
        </w:rPr>
        <w:t>Caso Fernández Ortega</w:t>
      </w:r>
      <w:r>
        <w:rPr>
          <w:rFonts w:ascii="Verdana" w:hAnsi="Verdana"/>
          <w:i/>
          <w:sz w:val="16"/>
          <w:szCs w:val="16"/>
        </w:rPr>
        <w:t xml:space="preserve"> y Otros</w:t>
      </w:r>
      <w:r w:rsidRPr="00A43054">
        <w:rPr>
          <w:rFonts w:ascii="Verdana" w:hAnsi="Verdana"/>
          <w:i/>
          <w:sz w:val="16"/>
          <w:szCs w:val="16"/>
        </w:rPr>
        <w:t>. Medidas Provisionales respecto de México.</w:t>
      </w:r>
      <w:r>
        <w:rPr>
          <w:rFonts w:ascii="Verdana" w:hAnsi="Verdana"/>
          <w:sz w:val="16"/>
          <w:szCs w:val="16"/>
        </w:rPr>
        <w:t xml:space="preserve"> Resolución de la Corte de 10 de junio de 2020, Considerando 1. </w:t>
      </w:r>
    </w:p>
  </w:footnote>
  <w:footnote w:id="8">
    <w:p w14:paraId="0C470592" w14:textId="13EC7C53" w:rsidR="00D15F66" w:rsidRPr="000E370B" w:rsidRDefault="00D15F66" w:rsidP="00D15F66">
      <w:pPr>
        <w:pStyle w:val="Textonotapie"/>
        <w:jc w:val="both"/>
        <w:rPr>
          <w:rFonts w:ascii="Verdana" w:hAnsi="Verdana"/>
          <w:sz w:val="16"/>
          <w:szCs w:val="16"/>
          <w:lang w:val="es-MX"/>
        </w:rPr>
      </w:pPr>
      <w:r w:rsidRPr="000E370B">
        <w:rPr>
          <w:rStyle w:val="Refdenotaalpie"/>
          <w:szCs w:val="16"/>
        </w:rPr>
        <w:footnoteRef/>
      </w:r>
      <w:r w:rsidRPr="000E370B">
        <w:rPr>
          <w:rFonts w:ascii="Verdana" w:hAnsi="Verdana"/>
          <w:sz w:val="16"/>
          <w:szCs w:val="16"/>
        </w:rPr>
        <w:t xml:space="preserve"> </w:t>
      </w:r>
      <w:r w:rsidRPr="000E370B">
        <w:rPr>
          <w:rFonts w:ascii="Verdana" w:hAnsi="Verdana"/>
          <w:sz w:val="16"/>
          <w:szCs w:val="16"/>
        </w:rPr>
        <w:tab/>
      </w:r>
      <w:r w:rsidRPr="000E370B">
        <w:rPr>
          <w:rFonts w:ascii="Verdana" w:hAnsi="Verdana"/>
          <w:i/>
          <w:sz w:val="16"/>
          <w:szCs w:val="16"/>
        </w:rPr>
        <w:t>Cfr.,</w:t>
      </w:r>
      <w:r w:rsidRPr="000E370B">
        <w:rPr>
          <w:rFonts w:ascii="Verdana" w:hAnsi="Verdana"/>
          <w:sz w:val="16"/>
          <w:szCs w:val="16"/>
        </w:rPr>
        <w:t xml:space="preserve"> entre otros</w:t>
      </w:r>
      <w:r w:rsidRPr="000E370B">
        <w:rPr>
          <w:rFonts w:ascii="Verdana" w:hAnsi="Verdana"/>
          <w:i/>
          <w:sz w:val="16"/>
          <w:szCs w:val="16"/>
        </w:rPr>
        <w:t>, Caso Juan Humberto Sánchez respecto Honduras. Solicitud de Medidas Provisionales.</w:t>
      </w:r>
      <w:r w:rsidRPr="000E370B">
        <w:rPr>
          <w:rFonts w:ascii="Verdana" w:hAnsi="Verdana"/>
          <w:sz w:val="16"/>
          <w:szCs w:val="16"/>
        </w:rPr>
        <w:t xml:space="preserve"> Resolución de la Corte Interamericana de Derechos Humanos de 7 de </w:t>
      </w:r>
      <w:r w:rsidR="008717C5">
        <w:rPr>
          <w:rFonts w:ascii="Verdana" w:hAnsi="Verdana"/>
          <w:sz w:val="16"/>
          <w:szCs w:val="16"/>
        </w:rPr>
        <w:t>febrero de 2006, Considerando 8 y</w:t>
      </w:r>
      <w:r w:rsidRPr="000E370B">
        <w:rPr>
          <w:rFonts w:ascii="Verdana" w:hAnsi="Verdana"/>
          <w:sz w:val="16"/>
          <w:szCs w:val="16"/>
        </w:rPr>
        <w:t xml:space="preserve"> </w:t>
      </w:r>
      <w:r w:rsidRPr="000E370B">
        <w:rPr>
          <w:rFonts w:ascii="Verdana" w:hAnsi="Verdana"/>
          <w:i/>
          <w:sz w:val="16"/>
          <w:szCs w:val="16"/>
        </w:rPr>
        <w:t xml:space="preserve">Caso </w:t>
      </w:r>
      <w:proofErr w:type="spellStart"/>
      <w:r w:rsidRPr="000E370B">
        <w:rPr>
          <w:rFonts w:ascii="Verdana" w:hAnsi="Verdana"/>
          <w:i/>
          <w:sz w:val="16"/>
          <w:szCs w:val="16"/>
        </w:rPr>
        <w:t>Cesti</w:t>
      </w:r>
      <w:proofErr w:type="spellEnd"/>
      <w:r w:rsidRPr="000E370B">
        <w:rPr>
          <w:rFonts w:ascii="Verdana" w:hAnsi="Verdana"/>
          <w:i/>
          <w:sz w:val="16"/>
          <w:szCs w:val="16"/>
        </w:rPr>
        <w:t xml:space="preserve"> Hurtado Vs. Perú. Solicitud de Medidas Provisionales y Supervisión de cumplimiento de sentencia</w:t>
      </w:r>
      <w:r w:rsidRPr="000E370B">
        <w:rPr>
          <w:rFonts w:ascii="Verdana" w:hAnsi="Verdana"/>
          <w:sz w:val="16"/>
          <w:szCs w:val="16"/>
        </w:rPr>
        <w:t xml:space="preserve">. Resolución de la Corte Interamericana de Derechos Humanos de 14 de octubre de 2019, Considerandos 24 a 26. </w:t>
      </w:r>
    </w:p>
  </w:footnote>
  <w:footnote w:id="9">
    <w:p w14:paraId="7BFC55C3" w14:textId="0D03E24A" w:rsidR="00D15F66" w:rsidRPr="00323530" w:rsidRDefault="00D15F66" w:rsidP="00D15F66">
      <w:pPr>
        <w:pStyle w:val="Textonotapie"/>
        <w:jc w:val="both"/>
        <w:rPr>
          <w:rFonts w:ascii="Verdana" w:hAnsi="Verdana"/>
          <w:sz w:val="16"/>
          <w:szCs w:val="16"/>
          <w:lang w:val="es-MX"/>
        </w:rPr>
      </w:pPr>
      <w:r w:rsidRPr="000E370B">
        <w:rPr>
          <w:rStyle w:val="Refdenotaalpie"/>
          <w:szCs w:val="16"/>
        </w:rPr>
        <w:footnoteRef/>
      </w:r>
      <w:r w:rsidRPr="000E370B">
        <w:rPr>
          <w:rFonts w:ascii="Verdana" w:hAnsi="Verdana"/>
          <w:sz w:val="16"/>
          <w:szCs w:val="16"/>
        </w:rPr>
        <w:t xml:space="preserve"> </w:t>
      </w:r>
      <w:r w:rsidRPr="000E370B">
        <w:rPr>
          <w:rFonts w:ascii="Verdana" w:hAnsi="Verdana"/>
          <w:sz w:val="16"/>
          <w:szCs w:val="16"/>
        </w:rPr>
        <w:tab/>
      </w:r>
      <w:r w:rsidRPr="000E370B">
        <w:rPr>
          <w:rFonts w:ascii="Verdana" w:hAnsi="Verdana"/>
          <w:i/>
          <w:sz w:val="16"/>
          <w:szCs w:val="16"/>
        </w:rPr>
        <w:t>Cfr. Caso Durand y Ugarte Vs. Perú. Medidas Provisionales</w:t>
      </w:r>
      <w:r w:rsidRPr="000E370B">
        <w:rPr>
          <w:rFonts w:ascii="Verdana" w:hAnsi="Verdana"/>
          <w:sz w:val="16"/>
          <w:szCs w:val="16"/>
        </w:rPr>
        <w:t xml:space="preserve">. Resolución de la Corte Interamericana de Derechos Humanos de 8 de febrero de 2018, Considerando 29; </w:t>
      </w:r>
      <w:r w:rsidRPr="00801C24">
        <w:rPr>
          <w:rFonts w:ascii="Verdana" w:hAnsi="Verdana"/>
          <w:sz w:val="16"/>
          <w:szCs w:val="16"/>
        </w:rPr>
        <w:t xml:space="preserve">y </w:t>
      </w:r>
      <w:r w:rsidRPr="00D225A4">
        <w:rPr>
          <w:rFonts w:ascii="Verdana" w:hAnsi="Verdana"/>
          <w:i/>
          <w:sz w:val="16"/>
          <w:szCs w:val="16"/>
        </w:rPr>
        <w:t xml:space="preserve">Caso </w:t>
      </w:r>
      <w:r w:rsidR="00323530">
        <w:rPr>
          <w:rFonts w:ascii="Verdana" w:hAnsi="Verdana"/>
          <w:i/>
          <w:sz w:val="16"/>
          <w:szCs w:val="16"/>
        </w:rPr>
        <w:t xml:space="preserve">del </w:t>
      </w:r>
      <w:r w:rsidRPr="00D225A4">
        <w:rPr>
          <w:rFonts w:ascii="Verdana" w:hAnsi="Verdana"/>
          <w:i/>
          <w:sz w:val="16"/>
          <w:szCs w:val="16"/>
        </w:rPr>
        <w:t xml:space="preserve">Penal Miguel Castro </w:t>
      </w:r>
      <w:proofErr w:type="spellStart"/>
      <w:r w:rsidRPr="00D225A4">
        <w:rPr>
          <w:rFonts w:ascii="Verdana" w:hAnsi="Verdana"/>
          <w:i/>
          <w:sz w:val="16"/>
          <w:szCs w:val="16"/>
        </w:rPr>
        <w:t>Castro</w:t>
      </w:r>
      <w:proofErr w:type="spellEnd"/>
      <w:r w:rsidRPr="00D225A4">
        <w:rPr>
          <w:rFonts w:ascii="Verdana" w:hAnsi="Verdana"/>
          <w:i/>
          <w:sz w:val="16"/>
          <w:szCs w:val="16"/>
        </w:rPr>
        <w:t xml:space="preserve"> Vs. Perú. Medidas provisionales y Supervisión de Cumplimiento de Sentencia</w:t>
      </w:r>
      <w:r w:rsidRPr="00D225A4">
        <w:rPr>
          <w:rFonts w:ascii="Verdana" w:hAnsi="Verdana"/>
          <w:sz w:val="16"/>
          <w:szCs w:val="16"/>
        </w:rPr>
        <w:t>. Resolución de 29 de julio de 2020, Considerando 21.</w:t>
      </w:r>
      <w:r w:rsidRPr="000E370B">
        <w:rPr>
          <w:rFonts w:ascii="Verdana" w:hAnsi="Verdana"/>
          <w:sz w:val="16"/>
          <w:szCs w:val="16"/>
        </w:rPr>
        <w:t xml:space="preserve"> </w:t>
      </w:r>
    </w:p>
  </w:footnote>
  <w:footnote w:id="10">
    <w:p w14:paraId="56AE1D14" w14:textId="77777777" w:rsidR="005502D0" w:rsidRPr="008717C5" w:rsidRDefault="005502D0" w:rsidP="005502D0">
      <w:pPr>
        <w:pStyle w:val="Textonotapie"/>
        <w:jc w:val="both"/>
        <w:rPr>
          <w:rFonts w:ascii="Verdana" w:hAnsi="Verdana"/>
          <w:sz w:val="16"/>
        </w:rPr>
      </w:pPr>
      <w:r>
        <w:rPr>
          <w:rStyle w:val="Refdenotaalpie"/>
        </w:rPr>
        <w:footnoteRef/>
      </w:r>
      <w:r>
        <w:t xml:space="preserve"> </w:t>
      </w:r>
      <w:r>
        <w:tab/>
      </w:r>
      <w:r w:rsidRPr="008717C5">
        <w:rPr>
          <w:rFonts w:ascii="Verdana" w:hAnsi="Verdana"/>
          <w:i/>
          <w:sz w:val="16"/>
        </w:rPr>
        <w:t xml:space="preserve">Cfr. Galindo Cárdenas y Otros Vs. Perú. Interpretación de la Sentencia de excepciones preliminares, fondo, reparaciones y costas. </w:t>
      </w:r>
      <w:r w:rsidRPr="008717C5">
        <w:rPr>
          <w:rFonts w:ascii="Verdana" w:hAnsi="Verdana"/>
          <w:sz w:val="16"/>
        </w:rPr>
        <w:t xml:space="preserve">Sentencia de 21 de diciembre de 2016. Serie C No. 323, párr. 33. </w:t>
      </w:r>
    </w:p>
  </w:footnote>
  <w:footnote w:id="11">
    <w:p w14:paraId="525D7259" w14:textId="6CEBE34A" w:rsidR="00B26B82" w:rsidRPr="00321276" w:rsidRDefault="00B26B82" w:rsidP="00321276">
      <w:pPr>
        <w:pStyle w:val="Textonotapie"/>
        <w:jc w:val="both"/>
        <w:rPr>
          <w:rFonts w:ascii="Verdana" w:hAnsi="Verdana"/>
          <w:sz w:val="16"/>
          <w:lang w:val="es-MX"/>
        </w:rPr>
      </w:pPr>
      <w:r>
        <w:rPr>
          <w:rStyle w:val="Refdenotaalpie"/>
        </w:rPr>
        <w:footnoteRef/>
      </w:r>
      <w:r>
        <w:t xml:space="preserve"> </w:t>
      </w:r>
      <w:r w:rsidR="00321276">
        <w:tab/>
      </w:r>
      <w:r w:rsidR="00321276" w:rsidRPr="00321276">
        <w:rPr>
          <w:rFonts w:ascii="Verdana" w:hAnsi="Verdana"/>
          <w:i/>
          <w:sz w:val="16"/>
        </w:rPr>
        <w:t>Cfr.</w:t>
      </w:r>
      <w:r w:rsidR="00321276" w:rsidRPr="00321276">
        <w:rPr>
          <w:rFonts w:ascii="Verdana" w:hAnsi="Verdana"/>
          <w:sz w:val="16"/>
        </w:rPr>
        <w:t xml:space="preserve"> </w:t>
      </w:r>
      <w:r w:rsidRPr="00321276">
        <w:rPr>
          <w:rFonts w:ascii="Verdana" w:hAnsi="Verdana"/>
          <w:sz w:val="16"/>
          <w:lang w:val="es-MX"/>
        </w:rPr>
        <w:t xml:space="preserve">Resolución N°6-2020 de la Fiscalía Supraprovincial Especializada en Delitos de Terrorismo y Lesa Humanidad de Huánuco, de 14 de febrero de 2020 (anexo 11 al informe estatal de 29 de julio de 2020).  </w:t>
      </w:r>
    </w:p>
  </w:footnote>
  <w:footnote w:id="12">
    <w:p w14:paraId="054B3900" w14:textId="31E952C1" w:rsidR="00222879" w:rsidRPr="00E3149D" w:rsidRDefault="00222879" w:rsidP="00E3149D">
      <w:pPr>
        <w:pStyle w:val="Textonotapie"/>
        <w:jc w:val="both"/>
        <w:rPr>
          <w:rFonts w:ascii="Verdana" w:hAnsi="Verdana"/>
          <w:sz w:val="16"/>
          <w:szCs w:val="16"/>
          <w:lang w:val="es-ES"/>
        </w:rPr>
      </w:pPr>
      <w:r>
        <w:rPr>
          <w:rStyle w:val="Refdenotaalpie"/>
        </w:rPr>
        <w:footnoteRef/>
      </w:r>
      <w:r>
        <w:t xml:space="preserve"> </w:t>
      </w:r>
      <w:r w:rsidR="00E3149D">
        <w:rPr>
          <w:lang w:val="es-ES"/>
        </w:rPr>
        <w:tab/>
      </w:r>
      <w:r w:rsidRPr="00E3149D">
        <w:rPr>
          <w:rFonts w:ascii="Verdana" w:hAnsi="Verdana"/>
          <w:sz w:val="16"/>
          <w:szCs w:val="16"/>
          <w:lang w:val="es-ES"/>
        </w:rPr>
        <w:t xml:space="preserve">Reglamento de la Ley Nº 30137, aprobado mediante Decreto Supremo Nº 003-2020-JUS, publicado en el Diario Oficial “El </w:t>
      </w:r>
      <w:r w:rsidR="00E3149D" w:rsidRPr="00E3149D">
        <w:rPr>
          <w:rFonts w:ascii="Verdana" w:hAnsi="Verdana"/>
          <w:sz w:val="16"/>
          <w:szCs w:val="16"/>
          <w:lang w:val="es-ES"/>
        </w:rPr>
        <w:t xml:space="preserve">Peruano” el 1 de abril de 2020. </w:t>
      </w:r>
      <w:r w:rsidR="00E3149D" w:rsidRPr="00E3149D">
        <w:rPr>
          <w:rFonts w:ascii="Verdana" w:hAnsi="Verdana"/>
          <w:i/>
          <w:iCs/>
          <w:sz w:val="16"/>
          <w:szCs w:val="16"/>
          <w:lang w:val="es-ES"/>
        </w:rPr>
        <w:t>Cfr.</w:t>
      </w:r>
      <w:r w:rsidR="00E3149D" w:rsidRPr="00E3149D">
        <w:rPr>
          <w:rFonts w:ascii="Verdana" w:hAnsi="Verdana"/>
          <w:sz w:val="16"/>
          <w:szCs w:val="16"/>
          <w:lang w:val="es-ES"/>
        </w:rPr>
        <w:t xml:space="preserve"> Informe estatal de 29 de julio de 2020.</w:t>
      </w:r>
    </w:p>
  </w:footnote>
  <w:footnote w:id="13">
    <w:p w14:paraId="1AC596C8" w14:textId="77777777" w:rsidR="00E3149D" w:rsidRPr="00042902" w:rsidRDefault="00E3149D" w:rsidP="00E3149D">
      <w:pPr>
        <w:pStyle w:val="Textonotapie"/>
        <w:jc w:val="both"/>
        <w:rPr>
          <w:rFonts w:ascii="Verdana" w:hAnsi="Verdana"/>
          <w:sz w:val="16"/>
          <w:szCs w:val="16"/>
        </w:rPr>
      </w:pPr>
      <w:r w:rsidRPr="00FA2B5B">
        <w:rPr>
          <w:rStyle w:val="Refdenotaalpie"/>
          <w:szCs w:val="16"/>
        </w:rPr>
        <w:footnoteRef/>
      </w:r>
      <w:r w:rsidRPr="00FA2B5B">
        <w:rPr>
          <w:rFonts w:ascii="Verdana" w:hAnsi="Verdana"/>
          <w:sz w:val="16"/>
          <w:szCs w:val="16"/>
        </w:rPr>
        <w:t xml:space="preserve"> </w:t>
      </w:r>
      <w:r w:rsidRPr="00FA2B5B">
        <w:rPr>
          <w:rFonts w:ascii="Verdana" w:hAnsi="Verdana"/>
          <w:sz w:val="16"/>
          <w:szCs w:val="16"/>
        </w:rPr>
        <w:tab/>
      </w:r>
      <w:r w:rsidRPr="00FA2B5B">
        <w:rPr>
          <w:rFonts w:ascii="Verdana" w:hAnsi="Verdana"/>
          <w:i/>
          <w:iCs/>
          <w:sz w:val="16"/>
          <w:szCs w:val="16"/>
        </w:rPr>
        <w:t xml:space="preserve">Cfr. </w:t>
      </w:r>
      <w:r w:rsidRPr="00FA2B5B">
        <w:rPr>
          <w:rFonts w:ascii="Verdana" w:hAnsi="Verdana"/>
          <w:sz w:val="16"/>
          <w:szCs w:val="16"/>
        </w:rPr>
        <w:t>Artículos sobre la Responsabilidad del Estado por hechos internacionalmente ilícitos, Resolución de la Asamblea General de Naciones Unidas A/RES/56/83, aprobada en el Quincuagésimo sexto período de sesiones, 28 de enero de 2002, artículos 1 y 31, disponible en: https://documents-dds-ny.un.org/doc/UNDOC/GEN/N01/478/00/PDF/N0147800.pdf?OpenElement</w:t>
      </w:r>
      <w:r>
        <w:rPr>
          <w:rFonts w:ascii="Verdana" w:hAnsi="Verdana"/>
          <w:sz w:val="16"/>
          <w:szCs w:val="16"/>
        </w:rPr>
        <w:t>;</w:t>
      </w:r>
      <w:r w:rsidRPr="00FA2B5B">
        <w:rPr>
          <w:rFonts w:ascii="Verdana" w:hAnsi="Verdana"/>
          <w:sz w:val="16"/>
          <w:szCs w:val="16"/>
        </w:rPr>
        <w:t xml:space="preserve"> </w:t>
      </w:r>
      <w:r w:rsidRPr="00FA2B5B">
        <w:rPr>
          <w:rFonts w:ascii="Verdana" w:hAnsi="Verdana"/>
          <w:i/>
          <w:iCs/>
          <w:sz w:val="16"/>
          <w:szCs w:val="16"/>
        </w:rPr>
        <w:t xml:space="preserve">Caso Velásquez Rodríguez Vs. Honduras. Reparaciones y Costas. </w:t>
      </w:r>
      <w:r w:rsidRPr="00FA2B5B">
        <w:rPr>
          <w:rFonts w:ascii="Verdana" w:hAnsi="Verdana"/>
          <w:sz w:val="16"/>
          <w:szCs w:val="16"/>
        </w:rPr>
        <w:t xml:space="preserve">Sentencia de 21 de julio de 1989. Serie C No. 7, párr. 25, y </w:t>
      </w:r>
      <w:r w:rsidRPr="00E3149D">
        <w:rPr>
          <w:rStyle w:val="Textoennegrita"/>
          <w:rFonts w:ascii="Verdana" w:hAnsi="Verdana"/>
          <w:b w:val="0"/>
          <w:bCs w:val="0"/>
          <w:i/>
          <w:color w:val="000000"/>
          <w:sz w:val="16"/>
          <w:szCs w:val="16"/>
          <w:shd w:val="clear" w:color="auto" w:fill="FFFFFF"/>
        </w:rPr>
        <w:t xml:space="preserve">Caso </w:t>
      </w:r>
      <w:proofErr w:type="spellStart"/>
      <w:r w:rsidRPr="00E3149D">
        <w:rPr>
          <w:rStyle w:val="Textoennegrita"/>
          <w:rFonts w:ascii="Verdana" w:hAnsi="Verdana"/>
          <w:b w:val="0"/>
          <w:bCs w:val="0"/>
          <w:i/>
          <w:color w:val="000000"/>
          <w:sz w:val="16"/>
          <w:szCs w:val="16"/>
          <w:shd w:val="clear" w:color="auto" w:fill="FFFFFF"/>
        </w:rPr>
        <w:t>Fontevecchia</w:t>
      </w:r>
      <w:proofErr w:type="spellEnd"/>
      <w:r w:rsidRPr="00E3149D">
        <w:rPr>
          <w:rStyle w:val="Textoennegrita"/>
          <w:rFonts w:ascii="Verdana" w:hAnsi="Verdana"/>
          <w:b w:val="0"/>
          <w:bCs w:val="0"/>
          <w:i/>
          <w:color w:val="000000"/>
          <w:sz w:val="16"/>
          <w:szCs w:val="16"/>
          <w:shd w:val="clear" w:color="auto" w:fill="FFFFFF"/>
        </w:rPr>
        <w:t xml:space="preserve"> y </w:t>
      </w:r>
      <w:proofErr w:type="spellStart"/>
      <w:r w:rsidRPr="00E3149D">
        <w:rPr>
          <w:rStyle w:val="Textoennegrita"/>
          <w:rFonts w:ascii="Verdana" w:hAnsi="Verdana"/>
          <w:b w:val="0"/>
          <w:bCs w:val="0"/>
          <w:i/>
          <w:color w:val="000000"/>
          <w:sz w:val="16"/>
          <w:szCs w:val="16"/>
          <w:shd w:val="clear" w:color="auto" w:fill="FFFFFF"/>
        </w:rPr>
        <w:t>D’Amico</w:t>
      </w:r>
      <w:proofErr w:type="spellEnd"/>
      <w:r w:rsidRPr="00E3149D">
        <w:rPr>
          <w:rStyle w:val="Textoennegrita"/>
          <w:rFonts w:ascii="Verdana" w:hAnsi="Verdana"/>
          <w:b w:val="0"/>
          <w:bCs w:val="0"/>
          <w:i/>
          <w:color w:val="000000"/>
          <w:sz w:val="16"/>
          <w:szCs w:val="16"/>
          <w:shd w:val="clear" w:color="auto" w:fill="FFFFFF"/>
        </w:rPr>
        <w:t xml:space="preserve"> Vs. Argentina. Supervisión de Cumplimiento de Sentencia.</w:t>
      </w:r>
      <w:r w:rsidRPr="00E3149D">
        <w:rPr>
          <w:rStyle w:val="Textoennegrita"/>
          <w:rFonts w:ascii="Verdana" w:hAnsi="Verdana"/>
          <w:b w:val="0"/>
          <w:bCs w:val="0"/>
          <w:color w:val="000000"/>
          <w:sz w:val="16"/>
          <w:szCs w:val="16"/>
          <w:shd w:val="clear" w:color="auto" w:fill="FFFFFF"/>
        </w:rPr>
        <w:t xml:space="preserve"> Resolución de la Corte Interamericana de Derechos Humanos de 18 de octubre de 2017</w:t>
      </w:r>
      <w:r w:rsidRPr="00E3149D">
        <w:rPr>
          <w:rFonts w:ascii="Verdana" w:hAnsi="Verdana"/>
          <w:b/>
          <w:bCs/>
          <w:sz w:val="16"/>
          <w:szCs w:val="16"/>
        </w:rPr>
        <w:t>,</w:t>
      </w:r>
      <w:r w:rsidRPr="00FA2B5B">
        <w:rPr>
          <w:rFonts w:ascii="Verdana" w:hAnsi="Verdana"/>
          <w:sz w:val="16"/>
          <w:szCs w:val="16"/>
        </w:rPr>
        <w:t xml:space="preserve"> Considerando 27.</w:t>
      </w:r>
      <w:r w:rsidRPr="00315E0B">
        <w:rPr>
          <w:rFonts w:ascii="Verdana" w:hAnsi="Verdana"/>
          <w:sz w:val="16"/>
          <w:szCs w:val="16"/>
        </w:rPr>
        <w:t xml:space="preserve">  </w:t>
      </w:r>
    </w:p>
  </w:footnote>
  <w:footnote w:id="14">
    <w:p w14:paraId="29363B11" w14:textId="76C1C21B" w:rsidR="00E3149D" w:rsidRPr="00E3149D" w:rsidRDefault="00E3149D" w:rsidP="00E3149D">
      <w:pPr>
        <w:pStyle w:val="Textonotapie"/>
        <w:jc w:val="both"/>
        <w:rPr>
          <w:rFonts w:ascii="Verdana" w:hAnsi="Verdana"/>
          <w:sz w:val="16"/>
          <w:szCs w:val="16"/>
          <w:lang w:val="es-CR"/>
        </w:rPr>
      </w:pPr>
      <w:r w:rsidRPr="00806B13">
        <w:rPr>
          <w:rStyle w:val="Refdenotaalpie"/>
          <w:szCs w:val="16"/>
        </w:rPr>
        <w:footnoteRef/>
      </w:r>
      <w:r>
        <w:t xml:space="preserve"> </w:t>
      </w:r>
      <w:r>
        <w:tab/>
      </w:r>
      <w:r w:rsidRPr="00EC2725">
        <w:rPr>
          <w:rFonts w:ascii="Verdana" w:hAnsi="Verdana"/>
          <w:i/>
          <w:sz w:val="16"/>
          <w:szCs w:val="16"/>
        </w:rPr>
        <w:t>Cfr.</w:t>
      </w:r>
      <w:r w:rsidRPr="00EC2725">
        <w:rPr>
          <w:rFonts w:ascii="Verdana" w:hAnsi="Verdana"/>
          <w:sz w:val="16"/>
          <w:szCs w:val="16"/>
        </w:rPr>
        <w:t xml:space="preserve"> Artículo 26 de la Convención de Viena sobre </w:t>
      </w:r>
      <w:r>
        <w:rPr>
          <w:rFonts w:ascii="Verdana" w:hAnsi="Verdana"/>
          <w:sz w:val="16"/>
          <w:szCs w:val="16"/>
        </w:rPr>
        <w:t xml:space="preserve">el Derecho de </w:t>
      </w:r>
      <w:r w:rsidRPr="00EC2725">
        <w:rPr>
          <w:rFonts w:ascii="Verdana" w:hAnsi="Verdana"/>
          <w:sz w:val="16"/>
          <w:szCs w:val="16"/>
        </w:rPr>
        <w:t>los Tratados; Responsabilidad internacional por expedición y aplicación de leyes violatorias de la Convención (arts. 1 y 2 Convención Americana sobre Derechos Humanos)</w:t>
      </w:r>
      <w:r>
        <w:rPr>
          <w:rFonts w:ascii="Verdana" w:hAnsi="Verdana"/>
          <w:sz w:val="16"/>
          <w:szCs w:val="16"/>
        </w:rPr>
        <w:t>;</w:t>
      </w:r>
      <w:r w:rsidRPr="00EC2725">
        <w:rPr>
          <w:rFonts w:ascii="Verdana" w:hAnsi="Verdana"/>
          <w:sz w:val="16"/>
          <w:szCs w:val="16"/>
        </w:rPr>
        <w:t xml:space="preserve"> </w:t>
      </w:r>
      <w:r w:rsidRPr="00806B13">
        <w:rPr>
          <w:rFonts w:ascii="Verdana" w:hAnsi="Verdana"/>
          <w:i/>
          <w:sz w:val="16"/>
          <w:szCs w:val="16"/>
        </w:rPr>
        <w:t>Opinión Consultiva OC-14/94</w:t>
      </w:r>
      <w:r w:rsidRPr="00EC2725">
        <w:rPr>
          <w:rFonts w:ascii="Verdana" w:hAnsi="Verdana"/>
          <w:sz w:val="16"/>
          <w:szCs w:val="16"/>
        </w:rPr>
        <w:t xml:space="preserve"> de 9 de diciembre de 1994. Serie A No. 14</w:t>
      </w:r>
      <w:r w:rsidRPr="00036D1D">
        <w:rPr>
          <w:rFonts w:ascii="Verdana" w:hAnsi="Verdana"/>
          <w:sz w:val="16"/>
          <w:szCs w:val="16"/>
        </w:rPr>
        <w:t xml:space="preserve">, párr. 35; </w:t>
      </w:r>
      <w:r w:rsidRPr="00036D1D">
        <w:rPr>
          <w:rFonts w:ascii="Verdana" w:hAnsi="Verdana"/>
          <w:i/>
          <w:sz w:val="16"/>
          <w:szCs w:val="16"/>
        </w:rPr>
        <w:t xml:space="preserve">Caso Castillo </w:t>
      </w:r>
      <w:proofErr w:type="spellStart"/>
      <w:r w:rsidRPr="00036D1D">
        <w:rPr>
          <w:rFonts w:ascii="Verdana" w:hAnsi="Verdana"/>
          <w:i/>
          <w:sz w:val="16"/>
          <w:szCs w:val="16"/>
        </w:rPr>
        <w:t>Petruzzi</w:t>
      </w:r>
      <w:proofErr w:type="spellEnd"/>
      <w:r w:rsidRPr="00036D1D">
        <w:rPr>
          <w:rFonts w:ascii="Verdana" w:hAnsi="Verdana"/>
          <w:i/>
          <w:sz w:val="16"/>
          <w:szCs w:val="16"/>
        </w:rPr>
        <w:t xml:space="preserve"> y otros Vs. Perú. Supervisión de Cumplimiento de Sentencia.</w:t>
      </w:r>
      <w:r w:rsidRPr="00036D1D">
        <w:rPr>
          <w:rFonts w:ascii="Verdana" w:hAnsi="Verdana"/>
          <w:sz w:val="16"/>
          <w:szCs w:val="16"/>
        </w:rPr>
        <w:t xml:space="preserve"> Resolución de la Corte Interamericana de Derechos Humanos de 17 de noviembre de 1999, Considerando 4; </w:t>
      </w:r>
      <w:r w:rsidRPr="00E3149D">
        <w:rPr>
          <w:rStyle w:val="Textoennegrita"/>
          <w:rFonts w:ascii="Verdana" w:hAnsi="Verdana"/>
          <w:b w:val="0"/>
          <w:bCs w:val="0"/>
          <w:i/>
          <w:color w:val="000000"/>
          <w:sz w:val="16"/>
          <w:szCs w:val="16"/>
          <w:shd w:val="clear" w:color="auto" w:fill="FFFFFF"/>
        </w:rPr>
        <w:t xml:space="preserve">Caso </w:t>
      </w:r>
      <w:proofErr w:type="spellStart"/>
      <w:r w:rsidRPr="00E3149D">
        <w:rPr>
          <w:rStyle w:val="Textoennegrita"/>
          <w:rFonts w:ascii="Verdana" w:hAnsi="Verdana"/>
          <w:b w:val="0"/>
          <w:bCs w:val="0"/>
          <w:i/>
          <w:color w:val="000000"/>
          <w:sz w:val="16"/>
          <w:szCs w:val="16"/>
          <w:shd w:val="clear" w:color="auto" w:fill="FFFFFF"/>
        </w:rPr>
        <w:t>Fontevecchia</w:t>
      </w:r>
      <w:proofErr w:type="spellEnd"/>
      <w:r w:rsidRPr="00E3149D">
        <w:rPr>
          <w:rStyle w:val="Textoennegrita"/>
          <w:rFonts w:ascii="Verdana" w:hAnsi="Verdana"/>
          <w:b w:val="0"/>
          <w:bCs w:val="0"/>
          <w:i/>
          <w:color w:val="000000"/>
          <w:sz w:val="16"/>
          <w:szCs w:val="16"/>
          <w:shd w:val="clear" w:color="auto" w:fill="FFFFFF"/>
        </w:rPr>
        <w:t xml:space="preserve"> y </w:t>
      </w:r>
      <w:proofErr w:type="spellStart"/>
      <w:r w:rsidRPr="00E3149D">
        <w:rPr>
          <w:rStyle w:val="Textoennegrita"/>
          <w:rFonts w:ascii="Verdana" w:hAnsi="Verdana"/>
          <w:b w:val="0"/>
          <w:bCs w:val="0"/>
          <w:i/>
          <w:color w:val="000000"/>
          <w:sz w:val="16"/>
          <w:szCs w:val="16"/>
          <w:shd w:val="clear" w:color="auto" w:fill="FFFFFF"/>
        </w:rPr>
        <w:t>D’Amico</w:t>
      </w:r>
      <w:proofErr w:type="spellEnd"/>
      <w:r w:rsidRPr="00E3149D">
        <w:rPr>
          <w:rStyle w:val="Textoennegrita"/>
          <w:rFonts w:ascii="Verdana" w:hAnsi="Verdana"/>
          <w:b w:val="0"/>
          <w:bCs w:val="0"/>
          <w:i/>
          <w:color w:val="000000"/>
          <w:sz w:val="16"/>
          <w:szCs w:val="16"/>
          <w:shd w:val="clear" w:color="auto" w:fill="FFFFFF"/>
        </w:rPr>
        <w:t xml:space="preserve"> Vs. Argentina, </w:t>
      </w:r>
      <w:r w:rsidRPr="00E3149D">
        <w:rPr>
          <w:rFonts w:ascii="Verdana" w:hAnsi="Verdana"/>
          <w:i/>
          <w:sz w:val="16"/>
          <w:szCs w:val="16"/>
        </w:rPr>
        <w:t>supra</w:t>
      </w:r>
      <w:r w:rsidRPr="00E3149D">
        <w:rPr>
          <w:rFonts w:ascii="Verdana" w:hAnsi="Verdana"/>
          <w:sz w:val="16"/>
          <w:szCs w:val="16"/>
        </w:rPr>
        <w:t xml:space="preserve"> nota </w:t>
      </w:r>
      <w:r w:rsidR="002E743D">
        <w:rPr>
          <w:rFonts w:ascii="Verdana" w:hAnsi="Verdana"/>
          <w:sz w:val="16"/>
          <w:szCs w:val="16"/>
        </w:rPr>
        <w:t>12</w:t>
      </w:r>
      <w:r w:rsidRPr="00E3149D">
        <w:rPr>
          <w:rFonts w:ascii="Verdana" w:hAnsi="Verdana"/>
          <w:sz w:val="16"/>
          <w:szCs w:val="16"/>
        </w:rPr>
        <w:t>,</w:t>
      </w:r>
      <w:r w:rsidRPr="00E3149D">
        <w:rPr>
          <w:rStyle w:val="Textoennegrita"/>
          <w:rFonts w:ascii="Verdana" w:hAnsi="Verdana"/>
          <w:b w:val="0"/>
          <w:bCs w:val="0"/>
          <w:color w:val="000000"/>
          <w:sz w:val="16"/>
          <w:szCs w:val="16"/>
          <w:shd w:val="clear" w:color="auto" w:fill="FFFFFF"/>
        </w:rPr>
        <w:t xml:space="preserve"> Considerando 12, y </w:t>
      </w:r>
      <w:r w:rsidRPr="00E3149D">
        <w:rPr>
          <w:rStyle w:val="Textoennegrita"/>
          <w:rFonts w:ascii="Verdana" w:hAnsi="Verdana"/>
          <w:b w:val="0"/>
          <w:bCs w:val="0"/>
          <w:i/>
          <w:color w:val="000000"/>
          <w:sz w:val="16"/>
          <w:szCs w:val="16"/>
          <w:shd w:val="clear" w:color="auto" w:fill="FFFFFF"/>
        </w:rPr>
        <w:t xml:space="preserve">Caso de las Niñas </w:t>
      </w:r>
      <w:proofErr w:type="spellStart"/>
      <w:r w:rsidRPr="00E3149D">
        <w:rPr>
          <w:rStyle w:val="Textoennegrita"/>
          <w:rFonts w:ascii="Verdana" w:hAnsi="Verdana"/>
          <w:b w:val="0"/>
          <w:bCs w:val="0"/>
          <w:i/>
          <w:color w:val="000000"/>
          <w:sz w:val="16"/>
          <w:szCs w:val="16"/>
          <w:shd w:val="clear" w:color="auto" w:fill="FFFFFF"/>
        </w:rPr>
        <w:t>Yean</w:t>
      </w:r>
      <w:proofErr w:type="spellEnd"/>
      <w:r w:rsidRPr="00E3149D">
        <w:rPr>
          <w:rStyle w:val="Textoennegrita"/>
          <w:rFonts w:ascii="Verdana" w:hAnsi="Verdana"/>
          <w:b w:val="0"/>
          <w:bCs w:val="0"/>
          <w:i/>
          <w:color w:val="000000"/>
          <w:sz w:val="16"/>
          <w:szCs w:val="16"/>
          <w:shd w:val="clear" w:color="auto" w:fill="FFFFFF"/>
        </w:rPr>
        <w:t xml:space="preserve"> y </w:t>
      </w:r>
      <w:proofErr w:type="spellStart"/>
      <w:r w:rsidRPr="00E3149D">
        <w:rPr>
          <w:rStyle w:val="Textoennegrita"/>
          <w:rFonts w:ascii="Verdana" w:hAnsi="Verdana"/>
          <w:b w:val="0"/>
          <w:bCs w:val="0"/>
          <w:i/>
          <w:color w:val="000000"/>
          <w:sz w:val="16"/>
          <w:szCs w:val="16"/>
          <w:shd w:val="clear" w:color="auto" w:fill="FFFFFF"/>
        </w:rPr>
        <w:t>Bosico</w:t>
      </w:r>
      <w:proofErr w:type="spellEnd"/>
      <w:r w:rsidRPr="00E3149D">
        <w:rPr>
          <w:rStyle w:val="Textoennegrita"/>
          <w:rFonts w:ascii="Verdana" w:hAnsi="Verdana"/>
          <w:b w:val="0"/>
          <w:bCs w:val="0"/>
          <w:i/>
          <w:color w:val="000000"/>
          <w:sz w:val="16"/>
          <w:szCs w:val="16"/>
          <w:shd w:val="clear" w:color="auto" w:fill="FFFFFF"/>
        </w:rPr>
        <w:t xml:space="preserve"> y Caso de Personas dominicanas y haitianas expulsadas Vs. República Dominicana. Supervisión de Cumplimiento de Sentencias y Competencia.</w:t>
      </w:r>
      <w:r w:rsidRPr="00E3149D">
        <w:rPr>
          <w:rStyle w:val="Textoennegrita"/>
          <w:rFonts w:ascii="Verdana" w:hAnsi="Verdana"/>
          <w:b w:val="0"/>
          <w:bCs w:val="0"/>
          <w:color w:val="000000"/>
          <w:sz w:val="16"/>
          <w:szCs w:val="16"/>
          <w:shd w:val="clear" w:color="auto" w:fill="FFFFFF"/>
        </w:rPr>
        <w:t xml:space="preserve"> Resolución de la Corte Interamericana de Derechos Humanos de 12 de marzo de 2019, Considerando 18.</w:t>
      </w:r>
    </w:p>
  </w:footnote>
  <w:footnote w:id="15">
    <w:p w14:paraId="2084CECC" w14:textId="2048B868" w:rsidR="00E3149D" w:rsidRPr="00E3149D" w:rsidRDefault="00E3149D" w:rsidP="00E3149D">
      <w:pPr>
        <w:pStyle w:val="Textonotapie"/>
        <w:tabs>
          <w:tab w:val="left" w:pos="426"/>
        </w:tabs>
        <w:jc w:val="both"/>
        <w:rPr>
          <w:rFonts w:ascii="Verdana" w:hAnsi="Verdana"/>
          <w:sz w:val="16"/>
          <w:szCs w:val="16"/>
          <w:lang w:val="es-CR"/>
        </w:rPr>
      </w:pPr>
      <w:r w:rsidRPr="00E3149D">
        <w:rPr>
          <w:rStyle w:val="Refdenotaalpie"/>
          <w:szCs w:val="16"/>
        </w:rPr>
        <w:footnoteRef/>
      </w:r>
      <w:r w:rsidRPr="00E3149D">
        <w:rPr>
          <w:rFonts w:ascii="Verdana" w:hAnsi="Verdana"/>
          <w:sz w:val="16"/>
          <w:szCs w:val="16"/>
        </w:rPr>
        <w:t xml:space="preserve"> </w:t>
      </w:r>
      <w:r w:rsidRPr="00E3149D">
        <w:rPr>
          <w:rFonts w:ascii="Verdana" w:hAnsi="Verdana"/>
          <w:sz w:val="16"/>
          <w:szCs w:val="16"/>
        </w:rPr>
        <w:tab/>
      </w:r>
      <w:r w:rsidRPr="00E3149D">
        <w:rPr>
          <w:rFonts w:ascii="Verdana" w:hAnsi="Verdana"/>
          <w:sz w:val="16"/>
          <w:szCs w:val="16"/>
        </w:rPr>
        <w:tab/>
      </w:r>
      <w:r w:rsidRPr="00E3149D">
        <w:rPr>
          <w:rFonts w:ascii="Verdana" w:hAnsi="Verdana"/>
          <w:i/>
          <w:sz w:val="16"/>
          <w:szCs w:val="16"/>
        </w:rPr>
        <w:t xml:space="preserve">Cfr. </w:t>
      </w:r>
      <w:r w:rsidRPr="00E3149D">
        <w:rPr>
          <w:rStyle w:val="Textoennegrita"/>
          <w:rFonts w:ascii="Verdana" w:hAnsi="Verdana"/>
          <w:b w:val="0"/>
          <w:bCs w:val="0"/>
          <w:i/>
          <w:color w:val="000000"/>
          <w:sz w:val="16"/>
          <w:szCs w:val="16"/>
          <w:shd w:val="clear" w:color="auto" w:fill="FFFFFF"/>
        </w:rPr>
        <w:t>Caso Baena Ricardo y otros Vs. Panamá. Competencia</w:t>
      </w:r>
      <w:r w:rsidRPr="00E3149D">
        <w:rPr>
          <w:rStyle w:val="Textoennegrita"/>
          <w:rFonts w:ascii="Verdana" w:hAnsi="Verdana"/>
          <w:b w:val="0"/>
          <w:bCs w:val="0"/>
          <w:color w:val="000000"/>
          <w:sz w:val="16"/>
          <w:szCs w:val="16"/>
          <w:shd w:val="clear" w:color="auto" w:fill="FFFFFF"/>
        </w:rPr>
        <w:t xml:space="preserve">. Sentencia de 28 de noviembre de 2003. Serie C No. 104, </w:t>
      </w:r>
      <w:proofErr w:type="spellStart"/>
      <w:r w:rsidRPr="00E3149D">
        <w:rPr>
          <w:rFonts w:ascii="Verdana" w:hAnsi="Verdana"/>
          <w:sz w:val="16"/>
          <w:szCs w:val="16"/>
        </w:rPr>
        <w:t>párrs</w:t>
      </w:r>
      <w:proofErr w:type="spellEnd"/>
      <w:r w:rsidRPr="00E3149D">
        <w:rPr>
          <w:rFonts w:ascii="Verdana" w:hAnsi="Verdana"/>
          <w:sz w:val="16"/>
          <w:szCs w:val="16"/>
        </w:rPr>
        <w:t xml:space="preserve">. 82 y 83, y </w:t>
      </w:r>
      <w:r w:rsidRPr="00E3149D">
        <w:rPr>
          <w:rFonts w:ascii="Verdana" w:hAnsi="Verdana"/>
          <w:i/>
          <w:sz w:val="16"/>
          <w:szCs w:val="16"/>
        </w:rPr>
        <w:t xml:space="preserve">Caso </w:t>
      </w:r>
      <w:proofErr w:type="spellStart"/>
      <w:r w:rsidRPr="00E3149D">
        <w:rPr>
          <w:rFonts w:ascii="Verdana" w:hAnsi="Verdana"/>
          <w:i/>
          <w:sz w:val="16"/>
          <w:szCs w:val="16"/>
        </w:rPr>
        <w:t>Fontevecchia</w:t>
      </w:r>
      <w:proofErr w:type="spellEnd"/>
      <w:r w:rsidRPr="00E3149D">
        <w:rPr>
          <w:rFonts w:ascii="Verdana" w:hAnsi="Verdana"/>
          <w:i/>
          <w:sz w:val="16"/>
          <w:szCs w:val="16"/>
        </w:rPr>
        <w:t xml:space="preserve"> y </w:t>
      </w:r>
      <w:proofErr w:type="spellStart"/>
      <w:r w:rsidRPr="00E3149D">
        <w:rPr>
          <w:rFonts w:ascii="Verdana" w:hAnsi="Verdana"/>
          <w:i/>
          <w:sz w:val="16"/>
          <w:szCs w:val="16"/>
        </w:rPr>
        <w:t>DAmico</w:t>
      </w:r>
      <w:proofErr w:type="spellEnd"/>
      <w:r w:rsidRPr="00E3149D">
        <w:rPr>
          <w:rFonts w:ascii="Verdana" w:hAnsi="Verdana"/>
          <w:i/>
          <w:sz w:val="16"/>
          <w:szCs w:val="16"/>
        </w:rPr>
        <w:t xml:space="preserve"> Vs. Argentina</w:t>
      </w:r>
      <w:r w:rsidRPr="00E3149D">
        <w:rPr>
          <w:rFonts w:ascii="Verdana" w:hAnsi="Verdana"/>
          <w:sz w:val="16"/>
          <w:szCs w:val="16"/>
        </w:rPr>
        <w:t xml:space="preserve">, </w:t>
      </w:r>
      <w:r w:rsidRPr="00E3149D">
        <w:rPr>
          <w:rFonts w:ascii="Verdana" w:hAnsi="Verdana"/>
          <w:i/>
          <w:sz w:val="16"/>
          <w:szCs w:val="16"/>
        </w:rPr>
        <w:t>supra</w:t>
      </w:r>
      <w:r w:rsidRPr="00E3149D">
        <w:rPr>
          <w:rFonts w:ascii="Verdana" w:hAnsi="Verdana"/>
          <w:sz w:val="16"/>
          <w:szCs w:val="16"/>
        </w:rPr>
        <w:t xml:space="preserve"> nota </w:t>
      </w:r>
      <w:r w:rsidR="002E743D">
        <w:rPr>
          <w:rFonts w:ascii="Verdana" w:hAnsi="Verdana"/>
          <w:sz w:val="16"/>
          <w:szCs w:val="16"/>
        </w:rPr>
        <w:t>12</w:t>
      </w:r>
      <w:r w:rsidRPr="00E3149D">
        <w:rPr>
          <w:rFonts w:ascii="Verdana" w:hAnsi="Verdana"/>
          <w:sz w:val="16"/>
          <w:szCs w:val="16"/>
        </w:rPr>
        <w:t xml:space="preserve">, Considerando 34.  </w:t>
      </w:r>
    </w:p>
  </w:footnote>
  <w:footnote w:id="16">
    <w:p w14:paraId="21FE36DC" w14:textId="6A7994AF" w:rsidR="00E3149D" w:rsidRPr="00036D1D" w:rsidRDefault="00E3149D" w:rsidP="00E3149D">
      <w:pPr>
        <w:pStyle w:val="Textonotapie"/>
        <w:tabs>
          <w:tab w:val="left" w:pos="426"/>
        </w:tabs>
        <w:jc w:val="both"/>
        <w:rPr>
          <w:rFonts w:ascii="Verdana" w:hAnsi="Verdana"/>
          <w:sz w:val="16"/>
          <w:szCs w:val="16"/>
        </w:rPr>
      </w:pPr>
      <w:r w:rsidRPr="00036D1D">
        <w:rPr>
          <w:rStyle w:val="Refdenotaalpie"/>
          <w:szCs w:val="16"/>
        </w:rPr>
        <w:footnoteRef/>
      </w:r>
      <w:r w:rsidRPr="00036D1D">
        <w:rPr>
          <w:rFonts w:ascii="Verdana" w:hAnsi="Verdana"/>
          <w:sz w:val="16"/>
          <w:szCs w:val="16"/>
        </w:rPr>
        <w:t xml:space="preserve"> </w:t>
      </w:r>
      <w:r w:rsidRPr="00036D1D">
        <w:rPr>
          <w:rFonts w:ascii="Verdana" w:hAnsi="Verdana"/>
          <w:sz w:val="16"/>
          <w:szCs w:val="16"/>
        </w:rPr>
        <w:tab/>
      </w:r>
      <w:r>
        <w:rPr>
          <w:rFonts w:ascii="Verdana" w:hAnsi="Verdana"/>
          <w:sz w:val="16"/>
          <w:szCs w:val="16"/>
        </w:rPr>
        <w:tab/>
      </w:r>
      <w:r w:rsidRPr="00036D1D">
        <w:rPr>
          <w:rFonts w:ascii="Verdana" w:hAnsi="Verdana"/>
          <w:i/>
          <w:sz w:val="16"/>
          <w:szCs w:val="16"/>
        </w:rPr>
        <w:t>Cfr. Caso Baena Ricardo y otros Vs. Panamá. Competencia</w:t>
      </w:r>
      <w:r w:rsidRPr="00036D1D">
        <w:rPr>
          <w:rFonts w:ascii="Verdana" w:hAnsi="Verdana"/>
          <w:sz w:val="16"/>
          <w:szCs w:val="16"/>
        </w:rPr>
        <w:t>,</w:t>
      </w:r>
      <w:r w:rsidRPr="00036D1D">
        <w:rPr>
          <w:rFonts w:ascii="Verdana" w:hAnsi="Verdana"/>
          <w:i/>
          <w:sz w:val="16"/>
          <w:szCs w:val="16"/>
        </w:rPr>
        <w:t xml:space="preserve"> supra</w:t>
      </w:r>
      <w:r w:rsidRPr="00036D1D">
        <w:rPr>
          <w:rFonts w:ascii="Verdana" w:hAnsi="Verdana"/>
          <w:sz w:val="16"/>
          <w:szCs w:val="16"/>
        </w:rPr>
        <w:t xml:space="preserve"> nota 40, </w:t>
      </w:r>
      <w:proofErr w:type="spellStart"/>
      <w:r w:rsidRPr="00036D1D">
        <w:rPr>
          <w:rFonts w:ascii="Verdana" w:hAnsi="Verdana"/>
          <w:sz w:val="16"/>
          <w:szCs w:val="16"/>
        </w:rPr>
        <w:t>párrs</w:t>
      </w:r>
      <w:proofErr w:type="spellEnd"/>
      <w:r w:rsidRPr="00036D1D">
        <w:rPr>
          <w:rFonts w:ascii="Verdana" w:hAnsi="Verdana"/>
          <w:sz w:val="16"/>
          <w:szCs w:val="16"/>
        </w:rPr>
        <w:t xml:space="preserve">. 82 y 83, y </w:t>
      </w:r>
      <w:r w:rsidRPr="00036D1D">
        <w:rPr>
          <w:rFonts w:ascii="Verdana" w:hAnsi="Verdana"/>
          <w:i/>
          <w:sz w:val="16"/>
          <w:szCs w:val="16"/>
        </w:rPr>
        <w:t xml:space="preserve">Caso </w:t>
      </w:r>
      <w:proofErr w:type="spellStart"/>
      <w:r w:rsidRPr="00036D1D">
        <w:rPr>
          <w:rFonts w:ascii="Verdana" w:hAnsi="Verdana"/>
          <w:i/>
          <w:sz w:val="16"/>
          <w:szCs w:val="16"/>
        </w:rPr>
        <w:t>Fontevecchia</w:t>
      </w:r>
      <w:proofErr w:type="spellEnd"/>
      <w:r w:rsidRPr="00036D1D">
        <w:rPr>
          <w:rFonts w:ascii="Verdana" w:hAnsi="Verdana"/>
          <w:i/>
          <w:sz w:val="16"/>
          <w:szCs w:val="16"/>
        </w:rPr>
        <w:t xml:space="preserve"> y </w:t>
      </w:r>
      <w:proofErr w:type="spellStart"/>
      <w:r w:rsidRPr="00036D1D">
        <w:rPr>
          <w:rFonts w:ascii="Verdana" w:hAnsi="Verdana"/>
          <w:i/>
          <w:sz w:val="16"/>
          <w:szCs w:val="16"/>
        </w:rPr>
        <w:t>DAmico</w:t>
      </w:r>
      <w:proofErr w:type="spellEnd"/>
      <w:r w:rsidRPr="00036D1D">
        <w:rPr>
          <w:rFonts w:ascii="Verdana" w:hAnsi="Verdana"/>
          <w:i/>
          <w:sz w:val="16"/>
          <w:szCs w:val="16"/>
        </w:rPr>
        <w:t xml:space="preserve"> Vs. Argentina</w:t>
      </w:r>
      <w:r w:rsidRPr="00036D1D">
        <w:rPr>
          <w:rFonts w:ascii="Verdana" w:hAnsi="Verdana"/>
          <w:sz w:val="16"/>
          <w:szCs w:val="16"/>
        </w:rPr>
        <w:t xml:space="preserve">, </w:t>
      </w:r>
      <w:r w:rsidRPr="00036D1D">
        <w:rPr>
          <w:rFonts w:ascii="Verdana" w:hAnsi="Verdana"/>
          <w:i/>
          <w:sz w:val="16"/>
          <w:szCs w:val="16"/>
        </w:rPr>
        <w:t>supra</w:t>
      </w:r>
      <w:r w:rsidRPr="00036D1D">
        <w:rPr>
          <w:rFonts w:ascii="Verdana" w:hAnsi="Verdana"/>
          <w:sz w:val="16"/>
          <w:szCs w:val="16"/>
        </w:rPr>
        <w:t xml:space="preserve"> nota </w:t>
      </w:r>
      <w:r w:rsidR="00BF2B64">
        <w:rPr>
          <w:rFonts w:ascii="Verdana" w:hAnsi="Verdana"/>
          <w:sz w:val="16"/>
          <w:szCs w:val="16"/>
        </w:rPr>
        <w:t>12</w:t>
      </w:r>
      <w:r w:rsidRPr="00036D1D">
        <w:rPr>
          <w:rFonts w:ascii="Verdana" w:hAnsi="Verdana"/>
          <w:sz w:val="16"/>
          <w:szCs w:val="16"/>
        </w:rPr>
        <w:t xml:space="preserve">, Considerando 34. </w:t>
      </w:r>
    </w:p>
  </w:footnote>
  <w:footnote w:id="17">
    <w:p w14:paraId="1F42E424" w14:textId="77777777" w:rsidR="00955701" w:rsidRDefault="00955701" w:rsidP="00955701">
      <w:pPr>
        <w:pStyle w:val="Textonotapie"/>
        <w:rPr>
          <w:rFonts w:ascii="Verdana" w:hAnsi="Verdana"/>
          <w:sz w:val="16"/>
          <w:szCs w:val="16"/>
          <w:lang w:val="es-419"/>
        </w:rPr>
      </w:pPr>
      <w:r w:rsidRPr="001D7A79">
        <w:rPr>
          <w:rStyle w:val="Refdenotaalpie"/>
          <w:szCs w:val="16"/>
        </w:rPr>
        <w:footnoteRef/>
      </w:r>
      <w:r w:rsidRPr="001D7A79">
        <w:rPr>
          <w:rFonts w:ascii="Verdana" w:hAnsi="Verdana"/>
          <w:sz w:val="16"/>
          <w:szCs w:val="16"/>
        </w:rPr>
        <w:t xml:space="preserve"> </w:t>
      </w:r>
      <w:r w:rsidRPr="001D7A79">
        <w:rPr>
          <w:rFonts w:ascii="Verdana" w:hAnsi="Verdana"/>
          <w:sz w:val="16"/>
          <w:szCs w:val="16"/>
          <w:lang w:val="es-419"/>
        </w:rPr>
        <w:t xml:space="preserve">En adelante, la </w:t>
      </w:r>
      <w:r>
        <w:rPr>
          <w:rFonts w:ascii="Verdana" w:hAnsi="Verdana"/>
          <w:sz w:val="16"/>
          <w:szCs w:val="16"/>
          <w:lang w:val="es-419"/>
        </w:rPr>
        <w:t>Resolución</w:t>
      </w:r>
      <w:r w:rsidRPr="001D7A79">
        <w:rPr>
          <w:rFonts w:ascii="Verdana" w:hAnsi="Verdana"/>
          <w:sz w:val="16"/>
          <w:szCs w:val="16"/>
          <w:lang w:val="es-419"/>
        </w:rPr>
        <w:t>.</w:t>
      </w:r>
    </w:p>
    <w:p w14:paraId="6436ED27" w14:textId="77777777" w:rsidR="00955701" w:rsidRPr="001D7A79" w:rsidRDefault="00955701" w:rsidP="00955701">
      <w:pPr>
        <w:pStyle w:val="Textonotapie"/>
        <w:rPr>
          <w:rFonts w:ascii="Verdana" w:eastAsiaTheme="minorHAnsi" w:hAnsi="Verdana" w:cstheme="minorBidi"/>
          <w:sz w:val="16"/>
          <w:szCs w:val="16"/>
          <w:lang w:val="es-419"/>
        </w:rPr>
      </w:pPr>
    </w:p>
  </w:footnote>
  <w:footnote w:id="18">
    <w:p w14:paraId="2A34D43A" w14:textId="77777777" w:rsidR="00955701" w:rsidRPr="002C0981" w:rsidRDefault="00955701" w:rsidP="00955701">
      <w:pPr>
        <w:pStyle w:val="Prrafodelista"/>
        <w:ind w:left="0"/>
        <w:jc w:val="both"/>
        <w:rPr>
          <w:rFonts w:ascii="Verdana" w:hAnsi="Verdana"/>
          <w:i/>
          <w:iCs/>
          <w:sz w:val="16"/>
          <w:szCs w:val="16"/>
          <w:lang w:val="es-CR"/>
        </w:rPr>
      </w:pPr>
      <w:r w:rsidRPr="001D7A79">
        <w:rPr>
          <w:rStyle w:val="Refdenotaalpie"/>
          <w:szCs w:val="16"/>
        </w:rPr>
        <w:footnoteRef/>
      </w:r>
      <w:r w:rsidRPr="002C0981">
        <w:rPr>
          <w:rFonts w:ascii="Verdana" w:hAnsi="Verdana"/>
          <w:sz w:val="16"/>
          <w:szCs w:val="16"/>
          <w:lang w:val="es-CR"/>
        </w:rPr>
        <w:t xml:space="preserve"> “</w:t>
      </w:r>
      <w:r w:rsidRPr="002C0981">
        <w:rPr>
          <w:rFonts w:ascii="Verdana" w:hAnsi="Verdana"/>
          <w:i/>
          <w:iCs/>
          <w:sz w:val="16"/>
          <w:szCs w:val="16"/>
          <w:lang w:val="es-CR"/>
        </w:rPr>
        <w:t>Desestimar la solicitud de medidas provisionales presentada por Luis Antonio Galindo Cárdenas, en virtud de que el asunto planteado ante el Tribunal no es materia de medidas provisionales en los términos del artículo 63.2 de la Convención Americana sobre Derechos Humanos, sino que correspondía ser evaluado en el marco de la supervisión del cumplimiento de la Sentencia dictada en el caso Galindo Cárdenas y Otros Vs. Perú, lo cual fue realizado en los Considerandos 10 a 18 de la presente Resolución”.</w:t>
      </w:r>
    </w:p>
    <w:p w14:paraId="47BE6D7E" w14:textId="77777777" w:rsidR="00955701" w:rsidRPr="001D7A79" w:rsidRDefault="00955701" w:rsidP="00955701">
      <w:pPr>
        <w:pStyle w:val="Prrafodelista"/>
        <w:ind w:left="0"/>
        <w:jc w:val="both"/>
        <w:rPr>
          <w:rFonts w:ascii="Verdana" w:hAnsi="Verdana"/>
          <w:spacing w:val="-4"/>
          <w:sz w:val="16"/>
          <w:szCs w:val="16"/>
          <w:lang w:val="es-CR"/>
        </w:rPr>
      </w:pPr>
    </w:p>
  </w:footnote>
  <w:footnote w:id="19">
    <w:p w14:paraId="6F7B4BFE" w14:textId="77777777" w:rsidR="00955701" w:rsidRPr="002C0981" w:rsidRDefault="00955701" w:rsidP="00955701">
      <w:pPr>
        <w:pStyle w:val="Prrafodelista"/>
        <w:ind w:left="0"/>
        <w:jc w:val="both"/>
        <w:rPr>
          <w:rFonts w:ascii="Verdana" w:hAnsi="Verdana"/>
          <w:sz w:val="16"/>
          <w:szCs w:val="16"/>
          <w:lang w:val="es-CR"/>
        </w:rPr>
      </w:pPr>
      <w:r w:rsidRPr="001D7A79">
        <w:rPr>
          <w:rStyle w:val="Refdenotaalpie"/>
          <w:szCs w:val="16"/>
        </w:rPr>
        <w:footnoteRef/>
      </w:r>
      <w:r w:rsidRPr="002C0981">
        <w:rPr>
          <w:rFonts w:ascii="Verdana" w:hAnsi="Verdana"/>
          <w:sz w:val="16"/>
          <w:szCs w:val="16"/>
          <w:lang w:val="es-CR"/>
        </w:rPr>
        <w:t xml:space="preserve"> </w:t>
      </w:r>
      <w:r w:rsidRPr="002C0981">
        <w:rPr>
          <w:rFonts w:ascii="Verdana" w:hAnsi="Verdana"/>
          <w:i/>
          <w:iCs/>
          <w:sz w:val="16"/>
          <w:szCs w:val="16"/>
          <w:lang w:val="es-CR"/>
        </w:rPr>
        <w:t>“La solicitud de medidas provisionales fue presentada por la víctima del caso Galindo Cárdenas y Otros Vs. Perú, el cual se encuentra actualmente en etapa de supervisión de cumplimiento de sentencia, con lo cual se cumple con lo requerido en dicho artículo 27.3 en lo que respecta a la legitimación para presentar la solicitud</w:t>
      </w:r>
      <w:r w:rsidRPr="002C0981">
        <w:rPr>
          <w:rFonts w:ascii="Verdana" w:hAnsi="Verdana"/>
          <w:sz w:val="16"/>
          <w:szCs w:val="16"/>
          <w:lang w:val="es-CR"/>
        </w:rPr>
        <w:t xml:space="preserve">.” </w:t>
      </w:r>
    </w:p>
    <w:p w14:paraId="681F4B94" w14:textId="77777777" w:rsidR="00955701" w:rsidRPr="002C0981" w:rsidRDefault="00955701" w:rsidP="00955701">
      <w:pPr>
        <w:pStyle w:val="Prrafodelista"/>
        <w:ind w:left="0"/>
        <w:jc w:val="both"/>
        <w:rPr>
          <w:rFonts w:ascii="Verdana" w:hAnsi="Verdana"/>
          <w:sz w:val="20"/>
          <w:szCs w:val="20"/>
          <w:lang w:val="es-CR"/>
        </w:rPr>
      </w:pPr>
    </w:p>
  </w:footnote>
  <w:footnote w:id="20">
    <w:p w14:paraId="13A353CC" w14:textId="77777777" w:rsidR="00955701" w:rsidRPr="001D7A79" w:rsidRDefault="00955701" w:rsidP="00955701">
      <w:pPr>
        <w:autoSpaceDE w:val="0"/>
        <w:autoSpaceDN w:val="0"/>
        <w:adjustRightInd w:val="0"/>
        <w:jc w:val="both"/>
        <w:rPr>
          <w:rFonts w:ascii="Verdana" w:hAnsi="Verdana" w:cs="Arial"/>
          <w:b/>
          <w:bCs/>
          <w:color w:val="000000"/>
          <w:spacing w:val="-4"/>
          <w:sz w:val="16"/>
          <w:szCs w:val="16"/>
          <w:lang w:val="es-CR"/>
        </w:rPr>
      </w:pPr>
      <w:r w:rsidRPr="001D7A79">
        <w:rPr>
          <w:rStyle w:val="Refdenotaalpie"/>
          <w:szCs w:val="16"/>
        </w:rPr>
        <w:footnoteRef/>
      </w:r>
      <w:r w:rsidRPr="001D7A79">
        <w:rPr>
          <w:rFonts w:ascii="Verdana" w:hAnsi="Verdana"/>
          <w:sz w:val="16"/>
          <w:szCs w:val="16"/>
        </w:rPr>
        <w:t xml:space="preserve"> </w:t>
      </w:r>
      <w:r w:rsidRPr="001D7A79">
        <w:rPr>
          <w:rFonts w:ascii="Verdana" w:hAnsi="Verdana"/>
          <w:sz w:val="16"/>
          <w:szCs w:val="16"/>
          <w:lang w:val="es-CR"/>
        </w:rPr>
        <w:t xml:space="preserve">Votos individuales del Juez Eduardo Vio Grossi respecto de Resoluciones sobre medidas provisionales: Voto Concurrente, Caso de la Masacre de Pueblo Bello, Caso de las Masacres de Ituango y Caso Valle Jaramillo y Otros Vs. Colombia, de </w:t>
      </w:r>
      <w:r>
        <w:rPr>
          <w:rFonts w:ascii="Verdana" w:hAnsi="Verdana"/>
          <w:sz w:val="16"/>
          <w:szCs w:val="16"/>
          <w:lang w:val="es-CR"/>
        </w:rPr>
        <w:t>3</w:t>
      </w:r>
      <w:r w:rsidRPr="001D7A79">
        <w:rPr>
          <w:rFonts w:ascii="Verdana" w:hAnsi="Verdana"/>
          <w:sz w:val="16"/>
          <w:szCs w:val="16"/>
          <w:lang w:val="es-CR"/>
        </w:rPr>
        <w:t xml:space="preserve"> de septiembre de 2020; </w:t>
      </w:r>
      <w:r w:rsidRPr="00F17566">
        <w:rPr>
          <w:rFonts w:ascii="Verdana" w:hAnsi="Verdana"/>
          <w:sz w:val="16"/>
          <w:szCs w:val="16"/>
          <w:lang w:val="es-CR"/>
        </w:rPr>
        <w:t xml:space="preserve">Concurrente, Caso del Penal Miguel Castro </w:t>
      </w:r>
      <w:proofErr w:type="spellStart"/>
      <w:r w:rsidRPr="00F17566">
        <w:rPr>
          <w:rFonts w:ascii="Verdana" w:hAnsi="Verdana"/>
          <w:sz w:val="16"/>
          <w:szCs w:val="16"/>
          <w:lang w:val="es-CR"/>
        </w:rPr>
        <w:t>Castro</w:t>
      </w:r>
      <w:proofErr w:type="spellEnd"/>
      <w:r w:rsidRPr="00F17566">
        <w:rPr>
          <w:rFonts w:ascii="Verdana" w:hAnsi="Verdana"/>
          <w:sz w:val="16"/>
          <w:szCs w:val="16"/>
          <w:lang w:val="es-CR"/>
        </w:rPr>
        <w:t xml:space="preserve"> Vs. Perú, 29 de julio de 2020; </w:t>
      </w:r>
      <w:r w:rsidRPr="001D7A79">
        <w:rPr>
          <w:rFonts w:ascii="Verdana" w:hAnsi="Verdana"/>
          <w:sz w:val="16"/>
          <w:szCs w:val="16"/>
          <w:lang w:val="es-CR"/>
        </w:rPr>
        <w:t xml:space="preserve">Disidente, Caso Vélez Loor Vs Panamá, 29 de julio de 2020; Caso Disidente, Caso Mack Chang y otros Vs. Guatemala, 24 de junio de 2020; </w:t>
      </w:r>
      <w:r w:rsidRPr="001D7A79">
        <w:rPr>
          <w:rFonts w:ascii="Verdana" w:hAnsi="Verdana"/>
          <w:sz w:val="16"/>
          <w:szCs w:val="16"/>
        </w:rPr>
        <w:t>Concurrente, Caso Fernández Ortega y otros Vs. México, de 10 de junio de 2020; Disidente, Caso 19 Comerciantes Vs. Colombia, de 1 de junio de 2020;</w:t>
      </w:r>
      <w:r w:rsidRPr="001D7A79">
        <w:rPr>
          <w:rFonts w:ascii="Verdana" w:hAnsi="Verdana"/>
          <w:sz w:val="16"/>
          <w:szCs w:val="16"/>
          <w:lang w:val="es-CR"/>
        </w:rPr>
        <w:t xml:space="preserve"> Disidente, </w:t>
      </w:r>
      <w:r w:rsidRPr="001D7A79">
        <w:rPr>
          <w:rFonts w:ascii="Verdana" w:hAnsi="Verdana"/>
          <w:iCs/>
          <w:sz w:val="16"/>
          <w:szCs w:val="16"/>
          <w:lang w:val="es-CR"/>
        </w:rPr>
        <w:t>Caso Masacres de El Mozote y Lugares Aledaños Vs. El Salvador</w:t>
      </w:r>
      <w:r w:rsidRPr="001D7A79">
        <w:rPr>
          <w:rFonts w:ascii="Verdana" w:hAnsi="Verdana"/>
          <w:sz w:val="16"/>
          <w:szCs w:val="16"/>
          <w:lang w:val="es-CR"/>
        </w:rPr>
        <w:t>, 3 de septiembre de 2019; Disidente, Caso Mack Chang y Otros Vs. Guatemala, 5 de marzo de 2019;</w:t>
      </w:r>
      <w:r w:rsidRPr="001D7A79">
        <w:rPr>
          <w:rFonts w:ascii="Verdana" w:hAnsi="Verdana"/>
          <w:sz w:val="16"/>
          <w:szCs w:val="16"/>
          <w:lang w:val="es-ES"/>
        </w:rPr>
        <w:t xml:space="preserve"> </w:t>
      </w:r>
      <w:r w:rsidRPr="001D7A79">
        <w:rPr>
          <w:rFonts w:ascii="Verdana" w:hAnsi="Verdana"/>
          <w:sz w:val="16"/>
          <w:szCs w:val="16"/>
          <w:lang w:val="es-CR"/>
        </w:rPr>
        <w:t xml:space="preserve">Parcialmente Disidente, Caso de los Miembros de la Aldea </w:t>
      </w:r>
      <w:proofErr w:type="spellStart"/>
      <w:r w:rsidRPr="001D7A79">
        <w:rPr>
          <w:rFonts w:ascii="Verdana" w:hAnsi="Verdana"/>
          <w:sz w:val="16"/>
          <w:szCs w:val="16"/>
          <w:lang w:val="es-CR"/>
        </w:rPr>
        <w:t>Chichupac</w:t>
      </w:r>
      <w:proofErr w:type="spellEnd"/>
      <w:r w:rsidRPr="001D7A79">
        <w:rPr>
          <w:rFonts w:ascii="Verdana" w:hAnsi="Verdana"/>
          <w:sz w:val="16"/>
          <w:szCs w:val="16"/>
          <w:lang w:val="es-CR"/>
        </w:rPr>
        <w:t xml:space="preserve"> y Comunidades del Municipio de Rabinal, Caso Molina </w:t>
      </w:r>
      <w:proofErr w:type="spellStart"/>
      <w:r w:rsidRPr="001D7A79">
        <w:rPr>
          <w:rFonts w:ascii="Verdana" w:hAnsi="Verdana"/>
          <w:sz w:val="16"/>
          <w:szCs w:val="16"/>
          <w:lang w:val="es-CR"/>
        </w:rPr>
        <w:t>Thiesen</w:t>
      </w:r>
      <w:proofErr w:type="spellEnd"/>
      <w:r w:rsidRPr="001D7A79">
        <w:rPr>
          <w:rFonts w:ascii="Verdana" w:hAnsi="Verdana"/>
          <w:sz w:val="16"/>
          <w:szCs w:val="16"/>
          <w:lang w:val="es-CR"/>
        </w:rPr>
        <w:t xml:space="preserve"> y Otros 12 Casos contra Guatemala, 12 de marzo, de 2019; Concurrente, Caso </w:t>
      </w:r>
      <w:proofErr w:type="spellStart"/>
      <w:r w:rsidRPr="001D7A79">
        <w:rPr>
          <w:rFonts w:ascii="Verdana" w:hAnsi="Verdana"/>
          <w:sz w:val="16"/>
          <w:szCs w:val="16"/>
          <w:lang w:val="es-CR"/>
        </w:rPr>
        <w:t>Bácama</w:t>
      </w:r>
      <w:proofErr w:type="spellEnd"/>
      <w:r w:rsidRPr="001D7A79">
        <w:rPr>
          <w:rFonts w:ascii="Verdana" w:hAnsi="Verdana"/>
          <w:sz w:val="16"/>
          <w:szCs w:val="16"/>
          <w:lang w:val="es-CR"/>
        </w:rPr>
        <w:t xml:space="preserve"> Velásquez Vs. Guatemala, 22 de noviembre de 2018; Disidente, Caso Durand y Ugarte Vs. Perú, 8 de febrero de 2018; Disidente, Caso Torres Millacura y Otros Vs. Argentina, 14 de noviembre de 2017; Concurrente, Asunto Mery Naranjo y Otros respecto de Colombia, 22 de agosto de 2017; Concurrente, Caso Fernández Ortega y Otros, 7 de febrero de 2017; Concurrente, Caso </w:t>
      </w:r>
      <w:proofErr w:type="spellStart"/>
      <w:r w:rsidRPr="001D7A79">
        <w:rPr>
          <w:rFonts w:ascii="Verdana" w:hAnsi="Verdana"/>
          <w:sz w:val="16"/>
          <w:szCs w:val="16"/>
          <w:lang w:val="es-CR"/>
        </w:rPr>
        <w:t>Bácama</w:t>
      </w:r>
      <w:proofErr w:type="spellEnd"/>
      <w:r w:rsidRPr="001D7A79">
        <w:rPr>
          <w:rFonts w:ascii="Verdana" w:hAnsi="Verdana"/>
          <w:sz w:val="16"/>
          <w:szCs w:val="16"/>
          <w:lang w:val="es-CR"/>
        </w:rPr>
        <w:t xml:space="preserve"> Velázquez Vs. Guatemala, 31 de agosto de 2016; Concurrente, Caso García Prieto y Otros Vs. El Salvador, 20 de noviembre de 2015; Disidente, Caso Torres Millacura y Otros Vs. Argentina, 23 de junio de 2015; Disidente, Caso </w:t>
      </w:r>
      <w:proofErr w:type="spellStart"/>
      <w:r w:rsidRPr="001D7A79">
        <w:rPr>
          <w:rFonts w:ascii="Verdana" w:hAnsi="Verdana"/>
          <w:sz w:val="16"/>
          <w:szCs w:val="16"/>
          <w:lang w:val="es-CR"/>
        </w:rPr>
        <w:t>Kawas</w:t>
      </w:r>
      <w:proofErr w:type="spellEnd"/>
      <w:r w:rsidRPr="001D7A79">
        <w:rPr>
          <w:rFonts w:ascii="Verdana" w:hAnsi="Verdana"/>
          <w:sz w:val="16"/>
          <w:szCs w:val="16"/>
          <w:lang w:val="es-CR"/>
        </w:rPr>
        <w:t xml:space="preserve"> Fernández Vs. Honduras; Disidente, Caso Rosendo Cantú y Otra Vs. México, 23 de junio de 2015; Disidente, Caso García Prieto y Otros Vs. El Salvador, 26 de enero de 2015; Disidente, Caso Mack Chang y Otros Vs. Guatemala, 26 de enero de 2015; Concurrente, Caso Artavia Murillo y Otros (”Fecundación in Vitro”) Vs. Costa Rica, 31 de marzo de 2014; Concurrente, Caso Familia Barrios Vs. Venezuela, 30 de mayo de 2013; Concurrente, Asunto Millacura </w:t>
      </w:r>
      <w:proofErr w:type="spellStart"/>
      <w:r w:rsidRPr="001D7A79">
        <w:rPr>
          <w:rFonts w:ascii="Verdana" w:hAnsi="Verdana"/>
          <w:sz w:val="16"/>
          <w:szCs w:val="16"/>
          <w:lang w:val="es-CR"/>
        </w:rPr>
        <w:t>Llaipén</w:t>
      </w:r>
      <w:proofErr w:type="spellEnd"/>
      <w:r w:rsidRPr="001D7A79">
        <w:rPr>
          <w:rFonts w:ascii="Verdana" w:hAnsi="Verdana"/>
          <w:sz w:val="16"/>
          <w:szCs w:val="16"/>
          <w:lang w:val="es-CR"/>
        </w:rPr>
        <w:t xml:space="preserve"> y Otros respecto de Argentina, 13 de febrero de 2013; </w:t>
      </w:r>
      <w:r w:rsidRPr="001D7A79">
        <w:rPr>
          <w:rFonts w:ascii="Verdana" w:hAnsi="Verdana"/>
          <w:sz w:val="16"/>
          <w:szCs w:val="16"/>
          <w:lang w:val="es-ES"/>
        </w:rPr>
        <w:t xml:space="preserve">Concurrente, Caso Familia Barrios Vs. Venezuela, 13 de febrero de 2013;´Concurrente, Caso Pacheco Teruel y Otro Vs, Honduras, 13 de febrero de 2013; Concurrente, Caso 19 Comerciantes Vs. Colombia, 26 de junio de 2012; Concurrente, Caso Fernández Ortega y Otros Vs. México, 20 de febrero de 2012; Disidente, Asunto Millacura </w:t>
      </w:r>
      <w:proofErr w:type="spellStart"/>
      <w:r w:rsidRPr="001D7A79">
        <w:rPr>
          <w:rFonts w:ascii="Verdana" w:hAnsi="Verdana"/>
          <w:sz w:val="16"/>
          <w:szCs w:val="16"/>
          <w:lang w:val="es-ES"/>
        </w:rPr>
        <w:t>Llaipén</w:t>
      </w:r>
      <w:proofErr w:type="spellEnd"/>
      <w:r w:rsidRPr="001D7A79">
        <w:rPr>
          <w:rFonts w:ascii="Verdana" w:hAnsi="Verdana"/>
          <w:sz w:val="16"/>
          <w:szCs w:val="16"/>
          <w:lang w:val="es-ES"/>
        </w:rPr>
        <w:t xml:space="preserve"> respecto de Argentina, 25 de noviembre de 2011; Disidente, Caso </w:t>
      </w:r>
      <w:proofErr w:type="spellStart"/>
      <w:r w:rsidRPr="001D7A79">
        <w:rPr>
          <w:rFonts w:ascii="Verdana" w:hAnsi="Verdana"/>
          <w:sz w:val="16"/>
          <w:szCs w:val="16"/>
          <w:lang w:val="es-ES"/>
        </w:rPr>
        <w:t>Kawas</w:t>
      </w:r>
      <w:proofErr w:type="spellEnd"/>
      <w:r w:rsidRPr="001D7A79">
        <w:rPr>
          <w:rFonts w:ascii="Verdana" w:hAnsi="Verdana"/>
          <w:sz w:val="16"/>
          <w:szCs w:val="16"/>
          <w:lang w:val="es-ES"/>
        </w:rPr>
        <w:t xml:space="preserve"> Fernández Vs. Honduras, 5 de julio de 2011; Disidente, Caso Rosendo Cantú y Otra Vs. México, 1 de julio de 2011; Disidente, Caso Gutiérrez Soler Vs. Colombia, 30 de junio de 2011; Concurrente, Asunto Wong Ho </w:t>
      </w:r>
      <w:proofErr w:type="spellStart"/>
      <w:r w:rsidRPr="001D7A79">
        <w:rPr>
          <w:rFonts w:ascii="Verdana" w:hAnsi="Verdana"/>
          <w:sz w:val="16"/>
          <w:szCs w:val="16"/>
          <w:lang w:val="es-ES"/>
        </w:rPr>
        <w:t>Wing</w:t>
      </w:r>
      <w:proofErr w:type="spellEnd"/>
      <w:r w:rsidRPr="001D7A79">
        <w:rPr>
          <w:rFonts w:ascii="Verdana" w:hAnsi="Verdana"/>
          <w:sz w:val="16"/>
          <w:szCs w:val="16"/>
          <w:lang w:val="es-ES"/>
        </w:rPr>
        <w:t xml:space="preserve"> respecto de Perú, 28 de mayo de 2010</w:t>
      </w:r>
      <w:r>
        <w:rPr>
          <w:rFonts w:ascii="Verdana" w:hAnsi="Verdana"/>
          <w:sz w:val="16"/>
          <w:szCs w:val="16"/>
          <w:lang w:val="es-ES"/>
        </w:rPr>
        <w:t>, y</w:t>
      </w:r>
      <w:r w:rsidRPr="001D7A79">
        <w:rPr>
          <w:rFonts w:ascii="Verdana" w:eastAsiaTheme="minorEastAsia" w:hAnsi="Verdana"/>
          <w:iCs/>
          <w:sz w:val="16"/>
          <w:szCs w:val="16"/>
          <w:lang w:val="es-MX"/>
        </w:rPr>
        <w:t xml:space="preserve"> la Constancia de Queja</w:t>
      </w:r>
      <w:r w:rsidRPr="001D7A79">
        <w:rPr>
          <w:rFonts w:ascii="Verdana" w:eastAsiaTheme="minorEastAsia" w:hAnsi="Verdana"/>
          <w:sz w:val="16"/>
          <w:szCs w:val="16"/>
          <w:lang w:val="es-MX"/>
        </w:rPr>
        <w:t xml:space="preserve"> presentada ante la Corte el 17 de agosto de 2011.</w:t>
      </w:r>
      <w:r w:rsidRPr="001D7A79">
        <w:rPr>
          <w:rFonts w:ascii="Verdana" w:hAnsi="Verdana"/>
          <w:sz w:val="16"/>
          <w:szCs w:val="16"/>
          <w:lang w:val="es-ES"/>
        </w:rPr>
        <w:t xml:space="preserve"> </w:t>
      </w:r>
    </w:p>
    <w:p w14:paraId="7BD26337" w14:textId="77777777" w:rsidR="00955701" w:rsidRPr="001D7A79" w:rsidRDefault="00955701" w:rsidP="00955701">
      <w:pPr>
        <w:pStyle w:val="Textonotapie"/>
        <w:jc w:val="both"/>
        <w:rPr>
          <w:rFonts w:ascii="Verdana" w:hAnsi="Verdana" w:cstheme="minorBidi"/>
          <w:sz w:val="16"/>
          <w:szCs w:val="16"/>
          <w:lang w:val="es-419"/>
        </w:rPr>
      </w:pPr>
    </w:p>
  </w:footnote>
  <w:footnote w:id="21">
    <w:p w14:paraId="51353854" w14:textId="77777777" w:rsidR="00955701" w:rsidRDefault="00955701" w:rsidP="00955701">
      <w:pPr>
        <w:pStyle w:val="Textonotapie"/>
        <w:jc w:val="both"/>
        <w:rPr>
          <w:rFonts w:ascii="Verdana" w:hAnsi="Verdana"/>
          <w:sz w:val="16"/>
          <w:szCs w:val="16"/>
          <w:lang w:val="es-419"/>
        </w:rPr>
      </w:pPr>
      <w:r w:rsidRPr="001D7A79">
        <w:rPr>
          <w:rStyle w:val="Refdenotaalpie"/>
          <w:szCs w:val="16"/>
        </w:rPr>
        <w:footnoteRef/>
      </w:r>
      <w:r w:rsidRPr="001D7A79">
        <w:rPr>
          <w:rFonts w:ascii="Verdana" w:hAnsi="Verdana"/>
          <w:sz w:val="16"/>
          <w:szCs w:val="16"/>
        </w:rPr>
        <w:t xml:space="preserve"> </w:t>
      </w:r>
      <w:r w:rsidRPr="001D7A79">
        <w:rPr>
          <w:rFonts w:ascii="Verdana" w:hAnsi="Verdana"/>
          <w:sz w:val="16"/>
          <w:szCs w:val="16"/>
          <w:lang w:val="es-419"/>
        </w:rPr>
        <w:t>Art.67, primera frase, Convención Americana sobre Derechos Humanos.</w:t>
      </w:r>
    </w:p>
    <w:p w14:paraId="01BED865" w14:textId="77777777" w:rsidR="00955701" w:rsidRPr="001D7A79" w:rsidRDefault="00955701" w:rsidP="00955701">
      <w:pPr>
        <w:pStyle w:val="Textonotapie"/>
        <w:jc w:val="both"/>
        <w:rPr>
          <w:rFonts w:ascii="Verdana" w:hAnsi="Verdana"/>
          <w:sz w:val="16"/>
          <w:szCs w:val="16"/>
          <w:lang w:val="es-419"/>
        </w:rPr>
      </w:pPr>
    </w:p>
  </w:footnote>
  <w:footnote w:id="22">
    <w:p w14:paraId="1180410F" w14:textId="77777777" w:rsidR="00955701" w:rsidRDefault="00955701" w:rsidP="00955701">
      <w:pPr>
        <w:pStyle w:val="Textonotapie"/>
        <w:jc w:val="both"/>
        <w:rPr>
          <w:rFonts w:ascii="Verdana" w:hAnsi="Verdana"/>
          <w:i/>
          <w:iCs/>
          <w:sz w:val="16"/>
          <w:szCs w:val="16"/>
          <w:lang w:val="es-AR"/>
        </w:rPr>
      </w:pPr>
      <w:r w:rsidRPr="001D7A79">
        <w:rPr>
          <w:rStyle w:val="Refdenotaalpie"/>
          <w:szCs w:val="16"/>
        </w:rPr>
        <w:footnoteRef/>
      </w:r>
      <w:r w:rsidRPr="001D7A79">
        <w:rPr>
          <w:rFonts w:ascii="Verdana" w:hAnsi="Verdana"/>
          <w:sz w:val="16"/>
          <w:szCs w:val="16"/>
        </w:rPr>
        <w:t xml:space="preserve"> </w:t>
      </w:r>
      <w:r>
        <w:rPr>
          <w:rFonts w:ascii="Verdana" w:hAnsi="Verdana"/>
          <w:sz w:val="16"/>
          <w:szCs w:val="16"/>
        </w:rPr>
        <w:t xml:space="preserve">Considerando </w:t>
      </w:r>
      <w:proofErr w:type="spellStart"/>
      <w:r>
        <w:rPr>
          <w:rFonts w:ascii="Verdana" w:hAnsi="Verdana"/>
          <w:sz w:val="16"/>
          <w:szCs w:val="16"/>
        </w:rPr>
        <w:t>N°</w:t>
      </w:r>
      <w:proofErr w:type="spellEnd"/>
      <w:r>
        <w:rPr>
          <w:rFonts w:ascii="Verdana" w:hAnsi="Verdana"/>
          <w:sz w:val="16"/>
          <w:szCs w:val="16"/>
        </w:rPr>
        <w:t xml:space="preserve"> 8</w:t>
      </w:r>
      <w:r w:rsidRPr="001D7A79">
        <w:rPr>
          <w:rFonts w:ascii="Verdana" w:hAnsi="Verdana"/>
          <w:sz w:val="16"/>
          <w:szCs w:val="16"/>
        </w:rPr>
        <w:t>:</w:t>
      </w:r>
      <w:r>
        <w:rPr>
          <w:rFonts w:ascii="Verdana" w:hAnsi="Verdana"/>
          <w:sz w:val="16"/>
          <w:szCs w:val="16"/>
        </w:rPr>
        <w:t xml:space="preserve"> </w:t>
      </w:r>
      <w:r w:rsidRPr="001D7A79">
        <w:rPr>
          <w:rFonts w:ascii="Verdana" w:hAnsi="Verdana"/>
          <w:sz w:val="16"/>
          <w:szCs w:val="16"/>
        </w:rPr>
        <w:t>“</w:t>
      </w:r>
      <w:r w:rsidRPr="001D7A79">
        <w:rPr>
          <w:rFonts w:ascii="Verdana" w:hAnsi="Verdana"/>
          <w:i/>
          <w:iCs/>
          <w:sz w:val="16"/>
          <w:szCs w:val="16"/>
          <w:lang w:val="es-ES"/>
        </w:rPr>
        <w:t>L</w:t>
      </w:r>
      <w:r w:rsidRPr="001D7A79">
        <w:rPr>
          <w:rFonts w:ascii="Verdana" w:eastAsia="Verdana" w:hAnsi="Verdana" w:cs="Verdana"/>
          <w:i/>
          <w:iCs/>
          <w:sz w:val="16"/>
          <w:szCs w:val="16"/>
          <w:lang w:val="es-ES"/>
        </w:rPr>
        <w:t xml:space="preserve">a Corte ha considerado como regla general que </w:t>
      </w:r>
      <w:r w:rsidRPr="001D7A79">
        <w:rPr>
          <w:rFonts w:ascii="Verdana" w:hAnsi="Verdana"/>
          <w:i/>
          <w:iCs/>
          <w:sz w:val="16"/>
          <w:szCs w:val="16"/>
          <w:lang w:val="es-AR"/>
        </w:rPr>
        <w:t>la valoración de información relacionada con el cumplimiento de medidas de reparación ordenadas en la Sentencia debe ser e</w:t>
      </w:r>
      <w:r>
        <w:rPr>
          <w:rFonts w:ascii="Verdana" w:hAnsi="Verdana"/>
          <w:i/>
          <w:iCs/>
          <w:sz w:val="16"/>
          <w:szCs w:val="16"/>
          <w:lang w:val="es-AR"/>
        </w:rPr>
        <w:t>fectuada</w:t>
      </w:r>
      <w:r w:rsidRPr="001D7A79">
        <w:rPr>
          <w:rFonts w:ascii="Verdana" w:hAnsi="Verdana"/>
          <w:i/>
          <w:iCs/>
          <w:sz w:val="16"/>
          <w:szCs w:val="16"/>
          <w:lang w:val="es-AR"/>
        </w:rPr>
        <w:t xml:space="preserve"> en el marco de la supervisión de cumplimiento de Sentencia. Así lo ha entendido en múltiples casos. Sin embargo, de forma excepcional </w:t>
      </w:r>
      <w:r w:rsidRPr="00F17566">
        <w:rPr>
          <w:rFonts w:ascii="Verdana" w:hAnsi="Verdana"/>
          <w:i/>
          <w:iCs/>
          <w:sz w:val="16"/>
          <w:szCs w:val="16"/>
          <w:lang w:val="es-AR"/>
        </w:rPr>
        <w:t xml:space="preserve">ha analizado si se configuran los requisitos para adoptar </w:t>
      </w:r>
      <w:r w:rsidRPr="001D7A79">
        <w:rPr>
          <w:rFonts w:ascii="Verdana" w:hAnsi="Verdana"/>
          <w:i/>
          <w:iCs/>
          <w:sz w:val="16"/>
          <w:szCs w:val="16"/>
          <w:lang w:val="es-AR"/>
        </w:rPr>
        <w:t>medidas provisionales ante condiciones de particular gravedad cuando guardan relación con la Sentencia.”</w:t>
      </w:r>
    </w:p>
    <w:p w14:paraId="004C8FEE" w14:textId="77777777" w:rsidR="00955701" w:rsidRPr="001D7A79" w:rsidRDefault="00955701" w:rsidP="00955701">
      <w:pPr>
        <w:pStyle w:val="Textonotapie"/>
        <w:jc w:val="both"/>
        <w:rPr>
          <w:rFonts w:ascii="Verdana" w:hAnsi="Verdana"/>
          <w:i/>
          <w:iCs/>
          <w:sz w:val="16"/>
          <w:szCs w:val="16"/>
          <w:lang w:val="es-419"/>
        </w:rPr>
      </w:pPr>
    </w:p>
  </w:footnote>
  <w:footnote w:id="23">
    <w:p w14:paraId="143A5FC7" w14:textId="77777777" w:rsidR="00955701" w:rsidRDefault="00955701" w:rsidP="00955701">
      <w:pPr>
        <w:pStyle w:val="Prrafodelista"/>
        <w:autoSpaceDE w:val="0"/>
        <w:autoSpaceDN w:val="0"/>
        <w:adjustRightInd w:val="0"/>
        <w:ind w:left="0"/>
        <w:jc w:val="both"/>
        <w:rPr>
          <w:rFonts w:ascii="Verdana" w:eastAsia="Times New Roman" w:hAnsi="Verdana"/>
          <w:i/>
          <w:iCs/>
          <w:sz w:val="16"/>
          <w:szCs w:val="16"/>
          <w:lang w:val="es-MX" w:eastAsia="es-ES"/>
        </w:rPr>
      </w:pPr>
      <w:r w:rsidRPr="001D7A79">
        <w:rPr>
          <w:rStyle w:val="Refdenotaalpie"/>
          <w:szCs w:val="16"/>
        </w:rPr>
        <w:footnoteRef/>
      </w:r>
      <w:r w:rsidRPr="007905AD">
        <w:rPr>
          <w:rFonts w:ascii="Verdana" w:hAnsi="Verdana"/>
          <w:sz w:val="16"/>
          <w:szCs w:val="16"/>
          <w:lang w:val="es-CR"/>
        </w:rPr>
        <w:t xml:space="preserve"> Considerando </w:t>
      </w:r>
      <w:proofErr w:type="spellStart"/>
      <w:r w:rsidRPr="007905AD">
        <w:rPr>
          <w:rFonts w:ascii="Verdana" w:hAnsi="Verdana"/>
          <w:sz w:val="16"/>
          <w:szCs w:val="16"/>
          <w:lang w:val="es-CR"/>
        </w:rPr>
        <w:t>N°</w:t>
      </w:r>
      <w:proofErr w:type="spellEnd"/>
      <w:r w:rsidRPr="007905AD">
        <w:rPr>
          <w:rFonts w:ascii="Verdana" w:hAnsi="Verdana"/>
          <w:sz w:val="16"/>
          <w:szCs w:val="16"/>
          <w:lang w:val="es-CR"/>
        </w:rPr>
        <w:t xml:space="preserve"> 9: </w:t>
      </w:r>
      <w:r w:rsidRPr="001D7A79">
        <w:rPr>
          <w:rFonts w:ascii="Verdana" w:hAnsi="Verdana"/>
          <w:i/>
          <w:iCs/>
          <w:sz w:val="16"/>
          <w:szCs w:val="16"/>
          <w:lang w:val="es-AR"/>
        </w:rPr>
        <w:t xml:space="preserve">“En este caso, </w:t>
      </w:r>
      <w:r w:rsidRPr="001D7A79">
        <w:rPr>
          <w:rFonts w:ascii="Verdana" w:eastAsia="Calibri" w:hAnsi="Verdana" w:cs="Calibri"/>
          <w:i/>
          <w:iCs/>
          <w:sz w:val="16"/>
          <w:szCs w:val="16"/>
          <w:lang w:val="es-MX" w:eastAsia="es-ES"/>
        </w:rPr>
        <w:t xml:space="preserve">el Tribunal </w:t>
      </w:r>
      <w:r w:rsidRPr="001D7A79">
        <w:rPr>
          <w:rFonts w:ascii="Verdana" w:eastAsia="Times New Roman" w:hAnsi="Verdana"/>
          <w:i/>
          <w:iCs/>
          <w:sz w:val="16"/>
          <w:szCs w:val="16"/>
          <w:lang w:val="es-MX" w:eastAsia="es-ES"/>
        </w:rPr>
        <w:t>considera que la información y argumentos expuestos por l</w:t>
      </w:r>
      <w:r>
        <w:rPr>
          <w:rFonts w:ascii="Verdana" w:eastAsia="Times New Roman" w:hAnsi="Verdana"/>
          <w:i/>
          <w:iCs/>
          <w:sz w:val="16"/>
          <w:szCs w:val="16"/>
          <w:lang w:val="es-MX" w:eastAsia="es-ES"/>
        </w:rPr>
        <w:t>a víctima</w:t>
      </w:r>
      <w:r w:rsidRPr="001D7A79">
        <w:rPr>
          <w:rFonts w:ascii="Verdana" w:eastAsia="Times New Roman" w:hAnsi="Verdana"/>
          <w:i/>
          <w:iCs/>
          <w:sz w:val="16"/>
          <w:szCs w:val="16"/>
          <w:lang w:val="es-MX" w:eastAsia="es-ES"/>
        </w:rPr>
        <w:t xml:space="preserve"> en la solicitud de medidas provisionales </w:t>
      </w:r>
      <w:r>
        <w:rPr>
          <w:rFonts w:ascii="Verdana" w:eastAsia="Times New Roman" w:hAnsi="Verdana"/>
          <w:i/>
          <w:iCs/>
          <w:sz w:val="16"/>
          <w:szCs w:val="16"/>
          <w:lang w:val="es-MX" w:eastAsia="es-ES"/>
        </w:rPr>
        <w:t>requieren</w:t>
      </w:r>
      <w:r w:rsidRPr="001D7A79">
        <w:rPr>
          <w:rFonts w:ascii="Verdana" w:eastAsia="Times New Roman" w:hAnsi="Verdana"/>
          <w:i/>
          <w:iCs/>
          <w:sz w:val="16"/>
          <w:szCs w:val="16"/>
          <w:lang w:val="es-MX" w:eastAsia="es-ES"/>
        </w:rPr>
        <w:t xml:space="preserve"> ser evaluados en el marco de la supervisión del cumpl</w:t>
      </w:r>
      <w:r>
        <w:rPr>
          <w:rFonts w:ascii="Verdana" w:eastAsia="Times New Roman" w:hAnsi="Verdana"/>
          <w:i/>
          <w:iCs/>
          <w:sz w:val="16"/>
          <w:szCs w:val="16"/>
          <w:lang w:val="es-MX" w:eastAsia="es-ES"/>
        </w:rPr>
        <w:t>imie</w:t>
      </w:r>
      <w:r w:rsidRPr="001D7A79">
        <w:rPr>
          <w:rFonts w:ascii="Verdana" w:eastAsia="Times New Roman" w:hAnsi="Verdana"/>
          <w:i/>
          <w:iCs/>
          <w:sz w:val="16"/>
          <w:szCs w:val="16"/>
          <w:lang w:val="es-MX" w:eastAsia="es-ES"/>
        </w:rPr>
        <w:t>nto de la Sentencia y no bajo un análisis de los requisitos convencionales de las medidas provisionales. Por tanto, el Tribunal encuentra improcedente la adopción de las medidas provisionales solicitadas en el presente caso.”</w:t>
      </w:r>
    </w:p>
    <w:p w14:paraId="1E78FF42" w14:textId="77777777" w:rsidR="00955701" w:rsidRPr="001D7A79" w:rsidRDefault="00955701" w:rsidP="00955701">
      <w:pPr>
        <w:pStyle w:val="Prrafodelista"/>
        <w:autoSpaceDE w:val="0"/>
        <w:autoSpaceDN w:val="0"/>
        <w:adjustRightInd w:val="0"/>
        <w:ind w:left="0"/>
        <w:jc w:val="both"/>
        <w:rPr>
          <w:rFonts w:ascii="Verdana" w:eastAsia="Calibri" w:hAnsi="Verdana" w:cs="Calibri"/>
          <w:i/>
          <w:iCs/>
          <w:sz w:val="16"/>
          <w:szCs w:val="16"/>
          <w:lang w:val="es-ES" w:eastAsia="es-ES"/>
        </w:rPr>
      </w:pPr>
    </w:p>
  </w:footnote>
  <w:footnote w:id="24">
    <w:p w14:paraId="22E53E08" w14:textId="77777777" w:rsidR="00955701" w:rsidRPr="001D7A79" w:rsidRDefault="00955701" w:rsidP="00955701">
      <w:pPr>
        <w:pStyle w:val="Textonotapie"/>
        <w:jc w:val="both"/>
        <w:rPr>
          <w:rFonts w:ascii="Verdana" w:eastAsiaTheme="minorHAnsi" w:hAnsi="Verdana" w:cstheme="minorBidi"/>
          <w:sz w:val="16"/>
          <w:szCs w:val="16"/>
          <w:lang w:val="es-419"/>
        </w:rPr>
      </w:pPr>
      <w:r w:rsidRPr="001D7A79">
        <w:rPr>
          <w:rStyle w:val="Refdenotaalpie"/>
          <w:szCs w:val="16"/>
        </w:rPr>
        <w:footnoteRef/>
      </w:r>
      <w:r w:rsidRPr="001D7A79">
        <w:rPr>
          <w:rFonts w:ascii="Verdana" w:hAnsi="Verdana"/>
          <w:sz w:val="16"/>
          <w:szCs w:val="16"/>
        </w:rPr>
        <w:t xml:space="preserve"> El infrascrito no comparte la postura, expuesta en la Resolución, de que, “</w:t>
      </w:r>
      <w:r w:rsidRPr="001D7A79">
        <w:rPr>
          <w:rFonts w:ascii="Verdana" w:hAnsi="Verdana"/>
          <w:i/>
          <w:iCs/>
          <w:sz w:val="16"/>
          <w:szCs w:val="16"/>
          <w:lang w:val="es-AR"/>
        </w:rPr>
        <w:t xml:space="preserve">de forma excepcional” </w:t>
      </w:r>
      <w:r w:rsidRPr="001D7A79">
        <w:rPr>
          <w:rFonts w:ascii="Verdana" w:hAnsi="Verdana"/>
          <w:sz w:val="16"/>
          <w:szCs w:val="16"/>
          <w:lang w:val="es-AR"/>
        </w:rPr>
        <w:t>se puedan adoptar</w:t>
      </w:r>
      <w:r w:rsidRPr="001D7A79">
        <w:rPr>
          <w:rFonts w:ascii="Verdana" w:hAnsi="Verdana"/>
          <w:i/>
          <w:iCs/>
          <w:sz w:val="16"/>
          <w:szCs w:val="16"/>
          <w:lang w:val="es-AR"/>
        </w:rPr>
        <w:t xml:space="preserve"> “medidas provisionales ante condiciones de particular gravedad cuando guardan relación con la Sentencia”.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3B5AA" w14:textId="3CABE693" w:rsidR="00200FDE" w:rsidRDefault="00200FDE" w:rsidP="00200FDE">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F0B71"/>
    <w:multiLevelType w:val="hybridMultilevel"/>
    <w:tmpl w:val="1C7E4C6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DA027A7"/>
    <w:multiLevelType w:val="hybridMultilevel"/>
    <w:tmpl w:val="1C30A776"/>
    <w:lvl w:ilvl="0" w:tplc="FFDA1894">
      <w:start w:val="1"/>
      <w:numFmt w:val="decimal"/>
      <w:lvlText w:val="%1."/>
      <w:lvlJc w:val="left"/>
      <w:pPr>
        <w:ind w:left="720" w:hanging="360"/>
      </w:pPr>
      <w:rPr>
        <w:rFonts w:ascii="Verdana" w:hAnsi="Verdana" w:hint="default"/>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84F1F02"/>
    <w:multiLevelType w:val="hybridMultilevel"/>
    <w:tmpl w:val="C6983582"/>
    <w:lvl w:ilvl="0" w:tplc="0984760C">
      <w:start w:val="3"/>
      <w:numFmt w:val="decimal"/>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BFD391E"/>
    <w:multiLevelType w:val="hybridMultilevel"/>
    <w:tmpl w:val="6A64FC6A"/>
    <w:lvl w:ilvl="0" w:tplc="F2487F5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2C01BAF"/>
    <w:multiLevelType w:val="hybridMultilevel"/>
    <w:tmpl w:val="352C5F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9420F5B"/>
    <w:multiLevelType w:val="hybridMultilevel"/>
    <w:tmpl w:val="66AAE1B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A582147"/>
    <w:multiLevelType w:val="hybridMultilevel"/>
    <w:tmpl w:val="DC985D46"/>
    <w:lvl w:ilvl="0" w:tplc="7D523E64">
      <w:start w:val="14"/>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F313C0"/>
    <w:multiLevelType w:val="hybridMultilevel"/>
    <w:tmpl w:val="AFF2852C"/>
    <w:lvl w:ilvl="0" w:tplc="15C20CC8">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63B023B6"/>
    <w:multiLevelType w:val="hybridMultilevel"/>
    <w:tmpl w:val="7652C500"/>
    <w:lvl w:ilvl="0" w:tplc="4D68EACA">
      <w:start w:val="6"/>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44010E1"/>
    <w:multiLevelType w:val="hybridMultilevel"/>
    <w:tmpl w:val="63B8EBA4"/>
    <w:lvl w:ilvl="0" w:tplc="B3B84C16">
      <w:start w:val="1"/>
      <w:numFmt w:val="decimal"/>
      <w:lvlText w:val="%1."/>
      <w:lvlJc w:val="left"/>
      <w:pPr>
        <w:tabs>
          <w:tab w:val="num" w:pos="360"/>
        </w:tabs>
        <w:ind w:left="360" w:hanging="360"/>
      </w:pPr>
      <w:rPr>
        <w:rFonts w:ascii="Verdana" w:hAnsi="Verdana" w:hint="default"/>
        <w:b w:val="0"/>
        <w:i w:val="0"/>
        <w:strike w:val="0"/>
        <w:color w:val="000000"/>
        <w:sz w:val="20"/>
      </w:rPr>
    </w:lvl>
    <w:lvl w:ilvl="1" w:tplc="140A0019">
      <w:start w:val="1"/>
      <w:numFmt w:val="lowerLetter"/>
      <w:lvlText w:val="%2."/>
      <w:lvlJc w:val="left"/>
      <w:pPr>
        <w:tabs>
          <w:tab w:val="num" w:pos="1440"/>
        </w:tabs>
        <w:ind w:left="1440" w:hanging="360"/>
      </w:pPr>
      <w:rPr>
        <w:rFonts w:hint="default"/>
        <w:b w:val="0"/>
      </w:rPr>
    </w:lvl>
    <w:lvl w:ilvl="2" w:tplc="92DEE256">
      <w:start w:val="1"/>
      <w:numFmt w:val="lowerLetter"/>
      <w:lvlText w:val="%3."/>
      <w:lvlJc w:val="left"/>
      <w:pPr>
        <w:tabs>
          <w:tab w:val="num" w:pos="2340"/>
        </w:tabs>
        <w:ind w:left="2340" w:hanging="360"/>
      </w:pPr>
      <w:rPr>
        <w:rFonts w:hint="default"/>
      </w:rPr>
    </w:lvl>
    <w:lvl w:ilvl="3" w:tplc="A9E0C762">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8"/>
  </w:num>
  <w:num w:numId="4">
    <w:abstractNumId w:val="0"/>
  </w:num>
  <w:num w:numId="5">
    <w:abstractNumId w:val="6"/>
  </w:num>
  <w:num w:numId="6">
    <w:abstractNumId w:val="10"/>
  </w:num>
  <w:num w:numId="7">
    <w:abstractNumId w:val="5"/>
  </w:num>
  <w:num w:numId="8">
    <w:abstractNumId w:val="3"/>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08"/>
    <w:rsid w:val="000105D9"/>
    <w:rsid w:val="000158FC"/>
    <w:rsid w:val="00017020"/>
    <w:rsid w:val="00035512"/>
    <w:rsid w:val="000402B9"/>
    <w:rsid w:val="000436E1"/>
    <w:rsid w:val="0007011D"/>
    <w:rsid w:val="00096DF7"/>
    <w:rsid w:val="000C223C"/>
    <w:rsid w:val="000C42F1"/>
    <w:rsid w:val="000E2FAE"/>
    <w:rsid w:val="00101040"/>
    <w:rsid w:val="00120200"/>
    <w:rsid w:val="0012062A"/>
    <w:rsid w:val="00132A58"/>
    <w:rsid w:val="0017446B"/>
    <w:rsid w:val="001B4D57"/>
    <w:rsid w:val="001C25E9"/>
    <w:rsid w:val="001F307E"/>
    <w:rsid w:val="00200FDE"/>
    <w:rsid w:val="00204612"/>
    <w:rsid w:val="00222879"/>
    <w:rsid w:val="00233CDF"/>
    <w:rsid w:val="00236647"/>
    <w:rsid w:val="002A04F6"/>
    <w:rsid w:val="002B491F"/>
    <w:rsid w:val="002C1584"/>
    <w:rsid w:val="002C1B15"/>
    <w:rsid w:val="002D0160"/>
    <w:rsid w:val="002D0363"/>
    <w:rsid w:val="002D2E25"/>
    <w:rsid w:val="002D4D15"/>
    <w:rsid w:val="002D6B1B"/>
    <w:rsid w:val="002E642C"/>
    <w:rsid w:val="002E6D6B"/>
    <w:rsid w:val="002E743D"/>
    <w:rsid w:val="002F4366"/>
    <w:rsid w:val="00321276"/>
    <w:rsid w:val="00323530"/>
    <w:rsid w:val="00343ACA"/>
    <w:rsid w:val="00346D88"/>
    <w:rsid w:val="00355729"/>
    <w:rsid w:val="0037472F"/>
    <w:rsid w:val="00375864"/>
    <w:rsid w:val="003758F5"/>
    <w:rsid w:val="0038565D"/>
    <w:rsid w:val="003863FE"/>
    <w:rsid w:val="003901BD"/>
    <w:rsid w:val="003950C5"/>
    <w:rsid w:val="003A0A7A"/>
    <w:rsid w:val="003A14B4"/>
    <w:rsid w:val="003A24EC"/>
    <w:rsid w:val="003B17C0"/>
    <w:rsid w:val="003B7307"/>
    <w:rsid w:val="003F7149"/>
    <w:rsid w:val="00446E57"/>
    <w:rsid w:val="0045092A"/>
    <w:rsid w:val="004509B1"/>
    <w:rsid w:val="00451306"/>
    <w:rsid w:val="00451BD4"/>
    <w:rsid w:val="004759EA"/>
    <w:rsid w:val="004A2A98"/>
    <w:rsid w:val="004A6436"/>
    <w:rsid w:val="004B54E5"/>
    <w:rsid w:val="004C1DB3"/>
    <w:rsid w:val="005502D0"/>
    <w:rsid w:val="005A2024"/>
    <w:rsid w:val="005B11BE"/>
    <w:rsid w:val="005B1C98"/>
    <w:rsid w:val="005C4596"/>
    <w:rsid w:val="005E32D6"/>
    <w:rsid w:val="005E44E1"/>
    <w:rsid w:val="00642F75"/>
    <w:rsid w:val="00654F41"/>
    <w:rsid w:val="0067185C"/>
    <w:rsid w:val="006A0095"/>
    <w:rsid w:val="006B0E3F"/>
    <w:rsid w:val="006C04F2"/>
    <w:rsid w:val="006C341B"/>
    <w:rsid w:val="006C6ECF"/>
    <w:rsid w:val="006D71EF"/>
    <w:rsid w:val="006E1678"/>
    <w:rsid w:val="007164FE"/>
    <w:rsid w:val="007168A3"/>
    <w:rsid w:val="007234B0"/>
    <w:rsid w:val="00727C62"/>
    <w:rsid w:val="00742AAC"/>
    <w:rsid w:val="007640FC"/>
    <w:rsid w:val="00773165"/>
    <w:rsid w:val="007814C6"/>
    <w:rsid w:val="007832CE"/>
    <w:rsid w:val="007A0CCC"/>
    <w:rsid w:val="007A284B"/>
    <w:rsid w:val="007A5EB4"/>
    <w:rsid w:val="007B03D2"/>
    <w:rsid w:val="007E51C4"/>
    <w:rsid w:val="00801C24"/>
    <w:rsid w:val="00802C7E"/>
    <w:rsid w:val="00823D83"/>
    <w:rsid w:val="008717C5"/>
    <w:rsid w:val="00892903"/>
    <w:rsid w:val="00894DD5"/>
    <w:rsid w:val="008B1672"/>
    <w:rsid w:val="008B1B11"/>
    <w:rsid w:val="008B6AA7"/>
    <w:rsid w:val="008E0AD6"/>
    <w:rsid w:val="008E60FA"/>
    <w:rsid w:val="008E642C"/>
    <w:rsid w:val="0093499C"/>
    <w:rsid w:val="0093780B"/>
    <w:rsid w:val="00944963"/>
    <w:rsid w:val="00952F85"/>
    <w:rsid w:val="00955701"/>
    <w:rsid w:val="009814D2"/>
    <w:rsid w:val="009D19EC"/>
    <w:rsid w:val="009D64A6"/>
    <w:rsid w:val="009D7A7C"/>
    <w:rsid w:val="009E5172"/>
    <w:rsid w:val="009F672D"/>
    <w:rsid w:val="00A25A3D"/>
    <w:rsid w:val="00A31A3F"/>
    <w:rsid w:val="00A43054"/>
    <w:rsid w:val="00A97E76"/>
    <w:rsid w:val="00AA72F9"/>
    <w:rsid w:val="00AE1D5B"/>
    <w:rsid w:val="00AE24E6"/>
    <w:rsid w:val="00AE787F"/>
    <w:rsid w:val="00B008AA"/>
    <w:rsid w:val="00B26B82"/>
    <w:rsid w:val="00B507EE"/>
    <w:rsid w:val="00B6386B"/>
    <w:rsid w:val="00B77648"/>
    <w:rsid w:val="00BB5C39"/>
    <w:rsid w:val="00BC45CF"/>
    <w:rsid w:val="00BC4778"/>
    <w:rsid w:val="00BF2B64"/>
    <w:rsid w:val="00C12C14"/>
    <w:rsid w:val="00C17BD3"/>
    <w:rsid w:val="00C2281E"/>
    <w:rsid w:val="00C8384F"/>
    <w:rsid w:val="00CA5997"/>
    <w:rsid w:val="00CB3044"/>
    <w:rsid w:val="00CB7179"/>
    <w:rsid w:val="00CC1809"/>
    <w:rsid w:val="00CC57B1"/>
    <w:rsid w:val="00CE74B9"/>
    <w:rsid w:val="00D0061A"/>
    <w:rsid w:val="00D13428"/>
    <w:rsid w:val="00D15F66"/>
    <w:rsid w:val="00D225A4"/>
    <w:rsid w:val="00D253EF"/>
    <w:rsid w:val="00D4625A"/>
    <w:rsid w:val="00D51DF4"/>
    <w:rsid w:val="00D65F13"/>
    <w:rsid w:val="00D97F65"/>
    <w:rsid w:val="00DB531F"/>
    <w:rsid w:val="00DD5AD9"/>
    <w:rsid w:val="00DE41BD"/>
    <w:rsid w:val="00E007A9"/>
    <w:rsid w:val="00E00F87"/>
    <w:rsid w:val="00E30805"/>
    <w:rsid w:val="00E3149D"/>
    <w:rsid w:val="00E36196"/>
    <w:rsid w:val="00E57A50"/>
    <w:rsid w:val="00E63944"/>
    <w:rsid w:val="00E6464C"/>
    <w:rsid w:val="00E66894"/>
    <w:rsid w:val="00E97FC6"/>
    <w:rsid w:val="00EC2483"/>
    <w:rsid w:val="00EC3D68"/>
    <w:rsid w:val="00EC3F39"/>
    <w:rsid w:val="00EE1430"/>
    <w:rsid w:val="00EE719D"/>
    <w:rsid w:val="00F14B59"/>
    <w:rsid w:val="00F52F0C"/>
    <w:rsid w:val="00F61733"/>
    <w:rsid w:val="00F83723"/>
    <w:rsid w:val="00F96E08"/>
    <w:rsid w:val="00FB613A"/>
    <w:rsid w:val="00FB795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60571"/>
  <w15:docId w15:val="{23C119D0-7064-469E-A091-77D3B6C0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D6"/>
    <w:pPr>
      <w:spacing w:after="0" w:line="240" w:lineRule="auto"/>
    </w:pPr>
    <w:rPr>
      <w:rFonts w:ascii="Times New Roman" w:eastAsia="MS Mincho" w:hAnsi="Times New Roman"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5E32D6"/>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5"/>
    <w:basedOn w:val="Normal"/>
    <w:link w:val="TextonotapieCar"/>
    <w:uiPriority w:val="99"/>
    <w:qFormat/>
    <w:rsid w:val="005E32D6"/>
    <w:pPr>
      <w:widowControl w:val="0"/>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uiPriority w:val="99"/>
    <w:qFormat/>
    <w:rsid w:val="005E32D6"/>
    <w:rPr>
      <w:rFonts w:ascii="Times New Roman" w:eastAsia="MS Mincho" w:hAnsi="Times New Roman" w:cs="Times New Roman"/>
      <w:sz w:val="20"/>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E32D6"/>
    <w:pPr>
      <w:jc w:val="both"/>
    </w:pPr>
    <w:rPr>
      <w:rFonts w:ascii="Verdana" w:eastAsiaTheme="minorHAnsi" w:hAnsi="Verdana" w:cstheme="minorBidi"/>
      <w:sz w:val="16"/>
      <w:szCs w:val="22"/>
      <w:vertAlign w:val="superscript"/>
      <w:lang w:val="es-CR"/>
    </w:rPr>
  </w:style>
  <w:style w:type="paragraph" w:styleId="Prrafodelista">
    <w:name w:val="List Paragraph"/>
    <w:aliases w:val="Footnote,Párrafo de lista1,Colorful List - Accent 11,List Paragraph1,List Paragraph2,Lista vistosa - Énfasis 11,Subtle Emphasis1,Footnote1"/>
    <w:basedOn w:val="Normal"/>
    <w:link w:val="PrrafodelistaCar"/>
    <w:uiPriority w:val="34"/>
    <w:qFormat/>
    <w:rsid w:val="007A0CCC"/>
    <w:pPr>
      <w:ind w:left="720"/>
      <w:contextualSpacing/>
    </w:pPr>
  </w:style>
  <w:style w:type="character" w:styleId="Textoennegrita">
    <w:name w:val="Strong"/>
    <w:aliases w:val="Heading 2.1"/>
    <w:uiPriority w:val="22"/>
    <w:qFormat/>
    <w:rsid w:val="00823D83"/>
    <w:rPr>
      <w:b/>
      <w:bCs/>
    </w:rPr>
  </w:style>
  <w:style w:type="paragraph" w:styleId="Textodeglobo">
    <w:name w:val="Balloon Text"/>
    <w:basedOn w:val="Normal"/>
    <w:link w:val="TextodegloboCar"/>
    <w:uiPriority w:val="99"/>
    <w:semiHidden/>
    <w:unhideWhenUsed/>
    <w:rsid w:val="00D15F6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5F66"/>
    <w:rPr>
      <w:rFonts w:ascii="Segoe UI" w:eastAsia="MS Mincho" w:hAnsi="Segoe UI" w:cs="Segoe UI"/>
      <w:sz w:val="18"/>
      <w:szCs w:val="18"/>
      <w:lang w:val="es-ES_tradnl"/>
    </w:rPr>
  </w:style>
  <w:style w:type="character" w:styleId="Hipervnculo">
    <w:name w:val="Hyperlink"/>
    <w:uiPriority w:val="99"/>
    <w:unhideWhenUsed/>
    <w:rsid w:val="00D15F66"/>
    <w:rPr>
      <w:color w:val="0000FF"/>
      <w:u w:val="single"/>
    </w:rPr>
  </w:style>
  <w:style w:type="character" w:customStyle="1" w:styleId="PrrafodelistaCar">
    <w:name w:val="Párrafo de lista Car"/>
    <w:aliases w:val="Footnote Car,Párrafo de lista1 Car,Colorful List - Accent 11 Car,List Paragraph1 Car,List Paragraph2 Car,Lista vistosa - Énfasis 11 Car,Subtle Emphasis1 Car,Footnote1 Car"/>
    <w:link w:val="Prrafodelista"/>
    <w:uiPriority w:val="34"/>
    <w:locked/>
    <w:rsid w:val="00D15F66"/>
    <w:rPr>
      <w:rFonts w:ascii="Times New Roman" w:eastAsia="MS Mincho" w:hAnsi="Times New Roman" w:cs="Times New Roman"/>
      <w:sz w:val="24"/>
      <w:szCs w:val="24"/>
      <w:lang w:val="es-ES_tradnl"/>
    </w:rPr>
  </w:style>
  <w:style w:type="paragraph" w:styleId="Encabezado">
    <w:name w:val="header"/>
    <w:basedOn w:val="Normal"/>
    <w:link w:val="EncabezadoCar"/>
    <w:uiPriority w:val="99"/>
    <w:unhideWhenUsed/>
    <w:rsid w:val="00200FDE"/>
    <w:pPr>
      <w:tabs>
        <w:tab w:val="center" w:pos="4252"/>
        <w:tab w:val="right" w:pos="8504"/>
      </w:tabs>
    </w:pPr>
  </w:style>
  <w:style w:type="character" w:customStyle="1" w:styleId="EncabezadoCar">
    <w:name w:val="Encabezado Car"/>
    <w:basedOn w:val="Fuentedeprrafopredeter"/>
    <w:link w:val="Encabezado"/>
    <w:uiPriority w:val="99"/>
    <w:rsid w:val="00200FDE"/>
    <w:rPr>
      <w:rFonts w:ascii="Times New Roman" w:eastAsia="MS Mincho" w:hAnsi="Times New Roman" w:cs="Times New Roman"/>
      <w:sz w:val="24"/>
      <w:szCs w:val="24"/>
      <w:lang w:val="es-ES_tradnl"/>
    </w:rPr>
  </w:style>
  <w:style w:type="paragraph" w:styleId="Piedepgina">
    <w:name w:val="footer"/>
    <w:basedOn w:val="Normal"/>
    <w:link w:val="PiedepginaCar"/>
    <w:uiPriority w:val="99"/>
    <w:unhideWhenUsed/>
    <w:rsid w:val="00200FDE"/>
    <w:pPr>
      <w:tabs>
        <w:tab w:val="center" w:pos="4252"/>
        <w:tab w:val="right" w:pos="8504"/>
      </w:tabs>
    </w:pPr>
  </w:style>
  <w:style w:type="character" w:customStyle="1" w:styleId="PiedepginaCar">
    <w:name w:val="Pie de página Car"/>
    <w:basedOn w:val="Fuentedeprrafopredeter"/>
    <w:link w:val="Piedepgina"/>
    <w:uiPriority w:val="99"/>
    <w:rsid w:val="00200FDE"/>
    <w:rPr>
      <w:rFonts w:ascii="Times New Roman" w:eastAsia="MS Mincho" w:hAnsi="Times New Roman" w:cs="Times New Roman"/>
      <w:sz w:val="24"/>
      <w:szCs w:val="24"/>
      <w:lang w:val="es-ES_tradnl"/>
    </w:rPr>
  </w:style>
  <w:style w:type="character" w:styleId="Refdecomentario">
    <w:name w:val="annotation reference"/>
    <w:basedOn w:val="Fuentedeprrafopredeter"/>
    <w:uiPriority w:val="99"/>
    <w:semiHidden/>
    <w:unhideWhenUsed/>
    <w:rsid w:val="00035512"/>
    <w:rPr>
      <w:sz w:val="16"/>
      <w:szCs w:val="16"/>
    </w:rPr>
  </w:style>
  <w:style w:type="paragraph" w:styleId="Textocomentario">
    <w:name w:val="annotation text"/>
    <w:basedOn w:val="Normal"/>
    <w:link w:val="TextocomentarioCar"/>
    <w:uiPriority w:val="99"/>
    <w:semiHidden/>
    <w:unhideWhenUsed/>
    <w:rsid w:val="00035512"/>
    <w:rPr>
      <w:sz w:val="20"/>
      <w:szCs w:val="20"/>
    </w:rPr>
  </w:style>
  <w:style w:type="character" w:customStyle="1" w:styleId="TextocomentarioCar">
    <w:name w:val="Texto comentario Car"/>
    <w:basedOn w:val="Fuentedeprrafopredeter"/>
    <w:link w:val="Textocomentario"/>
    <w:uiPriority w:val="99"/>
    <w:semiHidden/>
    <w:rsid w:val="00035512"/>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35512"/>
    <w:rPr>
      <w:b/>
      <w:bCs/>
    </w:rPr>
  </w:style>
  <w:style w:type="character" w:customStyle="1" w:styleId="AsuntodelcomentarioCar">
    <w:name w:val="Asunto del comentario Car"/>
    <w:basedOn w:val="TextocomentarioCar"/>
    <w:link w:val="Asuntodelcomentario"/>
    <w:uiPriority w:val="99"/>
    <w:semiHidden/>
    <w:rsid w:val="00035512"/>
    <w:rPr>
      <w:rFonts w:ascii="Times New Roman" w:eastAsia="MS Mincho" w:hAnsi="Times New Roman" w:cs="Times New Roman"/>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321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articulos/seriec_323_esp.pdf" TargetMode="External"/><Relationship Id="rId1" Type="http://schemas.openxmlformats.org/officeDocument/2006/relationships/hyperlink" Target="https://www.corteidh.or.cr/docs/casos/articulos/seriec_30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FC1F5-57DD-4D80-AD8E-FED8B124B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3643</Words>
  <Characters>19054</Characters>
  <Application>Microsoft Office Word</Application>
  <DocSecurity>0</DocSecurity>
  <Lines>560</Lines>
  <Paragraphs>170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2020-09-08T15:17:00Z</cp:lastPrinted>
  <dcterms:created xsi:type="dcterms:W3CDTF">2020-09-23T17:30:00Z</dcterms:created>
  <dcterms:modified xsi:type="dcterms:W3CDTF">2020-09-23T17:30:00Z</dcterms:modified>
</cp:coreProperties>
</file>