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FDFCA" w14:textId="77777777" w:rsidR="00B45D2D" w:rsidRDefault="00B45D2D" w:rsidP="00B40323">
      <w:pPr>
        <w:tabs>
          <w:tab w:val="left" w:pos="567"/>
        </w:tabs>
        <w:spacing w:line="216" w:lineRule="auto"/>
        <w:jc w:val="center"/>
        <w:rPr>
          <w:rFonts w:eastAsiaTheme="minorHAnsi" w:cstheme="minorBidi"/>
          <w:b/>
          <w:szCs w:val="22"/>
          <w:lang w:val="es-MX"/>
        </w:rPr>
      </w:pPr>
    </w:p>
    <w:p w14:paraId="2B6F3ABD" w14:textId="77777777" w:rsidR="00444644" w:rsidRDefault="00444644" w:rsidP="00B40323">
      <w:pPr>
        <w:tabs>
          <w:tab w:val="left" w:pos="567"/>
        </w:tabs>
        <w:spacing w:line="216" w:lineRule="auto"/>
        <w:jc w:val="center"/>
        <w:rPr>
          <w:rFonts w:eastAsiaTheme="minorHAnsi" w:cstheme="minorBidi"/>
          <w:b/>
          <w:szCs w:val="22"/>
          <w:lang w:val="es-MX"/>
        </w:rPr>
      </w:pPr>
    </w:p>
    <w:p w14:paraId="652D2219" w14:textId="77777777" w:rsidR="00444644" w:rsidRDefault="00444644" w:rsidP="00B40323">
      <w:pPr>
        <w:tabs>
          <w:tab w:val="left" w:pos="567"/>
        </w:tabs>
        <w:spacing w:line="216" w:lineRule="auto"/>
        <w:jc w:val="center"/>
        <w:rPr>
          <w:rFonts w:eastAsiaTheme="minorHAnsi" w:cstheme="minorBidi"/>
          <w:b/>
          <w:szCs w:val="22"/>
          <w:lang w:val="es-MX"/>
        </w:rPr>
      </w:pPr>
    </w:p>
    <w:p w14:paraId="0F821731" w14:textId="77777777" w:rsidR="00444644" w:rsidRDefault="00444644" w:rsidP="00B40323">
      <w:pPr>
        <w:tabs>
          <w:tab w:val="left" w:pos="567"/>
        </w:tabs>
        <w:spacing w:line="216" w:lineRule="auto"/>
        <w:jc w:val="center"/>
        <w:rPr>
          <w:rFonts w:eastAsiaTheme="minorHAnsi" w:cstheme="minorBidi"/>
          <w:b/>
          <w:szCs w:val="22"/>
          <w:lang w:val="es-MX"/>
        </w:rPr>
      </w:pPr>
    </w:p>
    <w:p w14:paraId="5F1C1DCF" w14:textId="77777777" w:rsidR="00157ED2" w:rsidRDefault="00157ED2" w:rsidP="00B40323">
      <w:pPr>
        <w:tabs>
          <w:tab w:val="left" w:pos="567"/>
        </w:tabs>
        <w:spacing w:line="216" w:lineRule="auto"/>
        <w:jc w:val="center"/>
        <w:rPr>
          <w:rFonts w:eastAsiaTheme="minorHAnsi" w:cstheme="minorBidi"/>
          <w:b/>
          <w:szCs w:val="22"/>
          <w:lang w:val="es-MX"/>
        </w:rPr>
      </w:pPr>
    </w:p>
    <w:p w14:paraId="6DE5DA00" w14:textId="77777777" w:rsidR="00157ED2" w:rsidRDefault="00157ED2" w:rsidP="00B40323">
      <w:pPr>
        <w:tabs>
          <w:tab w:val="left" w:pos="567"/>
        </w:tabs>
        <w:spacing w:line="216" w:lineRule="auto"/>
        <w:jc w:val="center"/>
        <w:rPr>
          <w:rFonts w:eastAsiaTheme="minorHAnsi" w:cstheme="minorBidi"/>
          <w:b/>
          <w:szCs w:val="22"/>
          <w:lang w:val="es-MX"/>
        </w:rPr>
      </w:pPr>
    </w:p>
    <w:p w14:paraId="25E91CC6" w14:textId="77777777" w:rsidR="00157ED2" w:rsidRDefault="00157ED2" w:rsidP="00B40323">
      <w:pPr>
        <w:tabs>
          <w:tab w:val="left" w:pos="567"/>
        </w:tabs>
        <w:spacing w:line="216" w:lineRule="auto"/>
        <w:jc w:val="center"/>
        <w:rPr>
          <w:rFonts w:eastAsiaTheme="minorHAnsi" w:cstheme="minorBidi"/>
          <w:b/>
          <w:szCs w:val="22"/>
          <w:lang w:val="es-MX"/>
        </w:rPr>
      </w:pPr>
    </w:p>
    <w:p w14:paraId="0CC05AD1" w14:textId="77777777" w:rsidR="00444644" w:rsidRPr="004E008A" w:rsidRDefault="00444644" w:rsidP="00B40323">
      <w:pPr>
        <w:tabs>
          <w:tab w:val="left" w:pos="567"/>
        </w:tabs>
        <w:spacing w:line="216" w:lineRule="auto"/>
        <w:jc w:val="center"/>
        <w:rPr>
          <w:rFonts w:eastAsiaTheme="minorHAnsi" w:cstheme="minorBidi"/>
          <w:b/>
          <w:szCs w:val="22"/>
          <w:lang w:val="es-MX"/>
        </w:rPr>
      </w:pPr>
    </w:p>
    <w:p w14:paraId="51F927FE" w14:textId="77777777" w:rsidR="006D3B70" w:rsidRPr="004E008A" w:rsidRDefault="006D3B70" w:rsidP="00B40323">
      <w:pPr>
        <w:spacing w:line="216" w:lineRule="auto"/>
        <w:jc w:val="center"/>
        <w:rPr>
          <w:rFonts w:eastAsiaTheme="minorHAnsi" w:cstheme="minorBidi"/>
          <w:b/>
          <w:szCs w:val="22"/>
          <w:lang w:val="es-MX"/>
        </w:rPr>
      </w:pPr>
      <w:r w:rsidRPr="004E008A">
        <w:rPr>
          <w:rFonts w:eastAsiaTheme="minorHAnsi" w:cstheme="minorBidi"/>
          <w:b/>
          <w:szCs w:val="22"/>
          <w:lang w:val="es-MX"/>
        </w:rPr>
        <w:t>RESOLUCIÓN DE LA</w:t>
      </w:r>
    </w:p>
    <w:p w14:paraId="5E800C6B" w14:textId="77777777" w:rsidR="006D3B70" w:rsidRPr="004E008A" w:rsidRDefault="006D3B70" w:rsidP="00B40323">
      <w:pPr>
        <w:spacing w:line="216" w:lineRule="auto"/>
        <w:rPr>
          <w:rFonts w:eastAsiaTheme="minorHAnsi" w:cstheme="minorBidi"/>
          <w:b/>
          <w:szCs w:val="22"/>
          <w:lang w:val="es-MX"/>
        </w:rPr>
      </w:pPr>
    </w:p>
    <w:p w14:paraId="71695A35" w14:textId="036D0D68" w:rsidR="006D3B70" w:rsidRPr="004E008A" w:rsidRDefault="006D3B70" w:rsidP="00B40323">
      <w:pPr>
        <w:pStyle w:val="Ttulo"/>
        <w:tabs>
          <w:tab w:val="left" w:pos="567"/>
        </w:tabs>
        <w:spacing w:line="216" w:lineRule="auto"/>
        <w:rPr>
          <w:spacing w:val="-4"/>
          <w:lang w:val="es-ES"/>
        </w:rPr>
      </w:pPr>
      <w:r w:rsidRPr="004E008A">
        <w:rPr>
          <w:spacing w:val="-4"/>
          <w:lang w:val="es-CR"/>
        </w:rPr>
        <w:t>CORTE INTERAMERICANA DE DERECHOS HUMANOS</w:t>
      </w:r>
      <w:r w:rsidR="00FD6318" w:rsidRPr="004E008A">
        <w:rPr>
          <w:rStyle w:val="Refdenotaalpie"/>
          <w:spacing w:val="-4"/>
          <w:lang w:val="es-CR"/>
        </w:rPr>
        <w:footnoteReference w:customMarkFollows="1" w:id="1"/>
        <w:t>*</w:t>
      </w:r>
    </w:p>
    <w:p w14:paraId="71B68E53" w14:textId="77777777" w:rsidR="006D3B70" w:rsidRPr="004E008A" w:rsidRDefault="006D3B70" w:rsidP="00B40323">
      <w:pPr>
        <w:tabs>
          <w:tab w:val="left" w:pos="567"/>
        </w:tabs>
        <w:spacing w:line="216" w:lineRule="auto"/>
        <w:jc w:val="center"/>
        <w:rPr>
          <w:rFonts w:eastAsiaTheme="minorHAnsi" w:cstheme="minorBidi"/>
          <w:b/>
          <w:sz w:val="24"/>
          <w:szCs w:val="22"/>
          <w:lang w:val="es-ES_tradnl"/>
        </w:rPr>
      </w:pPr>
    </w:p>
    <w:p w14:paraId="037EF5B9" w14:textId="1EABA693" w:rsidR="006D3B70" w:rsidRPr="004E008A" w:rsidRDefault="00F22383" w:rsidP="00B40323">
      <w:pPr>
        <w:tabs>
          <w:tab w:val="left" w:pos="567"/>
        </w:tabs>
        <w:spacing w:line="216" w:lineRule="auto"/>
        <w:jc w:val="center"/>
        <w:rPr>
          <w:rFonts w:eastAsiaTheme="minorHAnsi" w:cstheme="minorBidi"/>
          <w:b/>
          <w:szCs w:val="22"/>
          <w:lang w:val="es-MX"/>
        </w:rPr>
      </w:pPr>
      <w:r w:rsidRPr="004E008A">
        <w:rPr>
          <w:rFonts w:eastAsiaTheme="minorHAnsi" w:cstheme="minorBidi"/>
          <w:b/>
          <w:szCs w:val="22"/>
          <w:lang w:val="es-MX"/>
        </w:rPr>
        <w:t xml:space="preserve">DE </w:t>
      </w:r>
      <w:r w:rsidR="00216288" w:rsidRPr="004E008A">
        <w:rPr>
          <w:rFonts w:eastAsiaTheme="minorHAnsi" w:cstheme="minorBidi"/>
          <w:b/>
          <w:szCs w:val="22"/>
          <w:lang w:val="es-MX"/>
        </w:rPr>
        <w:t>24</w:t>
      </w:r>
      <w:r w:rsidR="00420221" w:rsidRPr="004E008A">
        <w:rPr>
          <w:rFonts w:eastAsiaTheme="minorHAnsi" w:cstheme="minorBidi"/>
          <w:b/>
          <w:szCs w:val="22"/>
          <w:lang w:val="es-MX"/>
        </w:rPr>
        <w:t xml:space="preserve"> </w:t>
      </w:r>
      <w:r w:rsidR="006D3B70" w:rsidRPr="004E008A">
        <w:rPr>
          <w:b/>
          <w:lang w:val="es-CR"/>
        </w:rPr>
        <w:t xml:space="preserve">DE </w:t>
      </w:r>
      <w:r w:rsidR="001A17B2" w:rsidRPr="004E008A">
        <w:rPr>
          <w:b/>
          <w:lang w:val="es-CR"/>
        </w:rPr>
        <w:t>AGOSTO</w:t>
      </w:r>
      <w:r w:rsidR="006D3B70" w:rsidRPr="004E008A">
        <w:rPr>
          <w:b/>
          <w:lang w:val="es-CR"/>
        </w:rPr>
        <w:t xml:space="preserve"> </w:t>
      </w:r>
      <w:r w:rsidR="006D3B70" w:rsidRPr="004E008A">
        <w:rPr>
          <w:rFonts w:eastAsiaTheme="minorHAnsi" w:cstheme="minorBidi"/>
          <w:b/>
          <w:szCs w:val="22"/>
          <w:lang w:val="es-MX"/>
        </w:rPr>
        <w:t>DE 2020</w:t>
      </w:r>
    </w:p>
    <w:p w14:paraId="38A57F84" w14:textId="77777777" w:rsidR="006D3B70" w:rsidRPr="004E008A" w:rsidRDefault="006D3B70" w:rsidP="00B40323">
      <w:pPr>
        <w:tabs>
          <w:tab w:val="left" w:pos="567"/>
          <w:tab w:val="left" w:pos="3709"/>
        </w:tabs>
        <w:spacing w:line="216" w:lineRule="auto"/>
        <w:rPr>
          <w:rFonts w:eastAsiaTheme="minorHAnsi" w:cstheme="minorBidi"/>
          <w:b/>
          <w:szCs w:val="22"/>
          <w:lang w:val="es-CR"/>
        </w:rPr>
      </w:pPr>
    </w:p>
    <w:p w14:paraId="4019C578" w14:textId="7033B6ED" w:rsidR="006D3B70" w:rsidRPr="004E008A" w:rsidRDefault="00F22383" w:rsidP="00B40323">
      <w:pPr>
        <w:spacing w:line="216" w:lineRule="auto"/>
        <w:jc w:val="center"/>
        <w:rPr>
          <w:b/>
          <w:lang w:val="es-CR"/>
        </w:rPr>
      </w:pPr>
      <w:r w:rsidRPr="004E008A">
        <w:rPr>
          <w:b/>
          <w:lang w:val="es-CR"/>
        </w:rPr>
        <w:t xml:space="preserve">CASO MOTA ABARULLO Y OTROS </w:t>
      </w:r>
      <w:r w:rsidR="006D3B70" w:rsidRPr="004E008A">
        <w:rPr>
          <w:b/>
          <w:lang w:val="es-CR"/>
        </w:rPr>
        <w:t xml:space="preserve">VS. </w:t>
      </w:r>
      <w:r w:rsidR="004E66B3" w:rsidRPr="004E008A">
        <w:rPr>
          <w:b/>
          <w:lang w:val="es-CR"/>
        </w:rPr>
        <w:t>VENEZUELA</w:t>
      </w:r>
    </w:p>
    <w:p w14:paraId="37B95041" w14:textId="77777777" w:rsidR="006D3B70" w:rsidRPr="004E008A" w:rsidRDefault="006D3B70" w:rsidP="00B40323">
      <w:pPr>
        <w:tabs>
          <w:tab w:val="left" w:pos="567"/>
        </w:tabs>
        <w:spacing w:line="216" w:lineRule="auto"/>
        <w:jc w:val="both"/>
        <w:rPr>
          <w:rFonts w:eastAsiaTheme="minorHAnsi" w:cstheme="minorBidi"/>
          <w:sz w:val="22"/>
          <w:szCs w:val="22"/>
          <w:lang w:val="es-CR"/>
        </w:rPr>
      </w:pPr>
    </w:p>
    <w:p w14:paraId="5B48A846" w14:textId="77777777" w:rsidR="006D3B70" w:rsidRPr="004E008A" w:rsidRDefault="006D3B70" w:rsidP="00B40323">
      <w:pPr>
        <w:tabs>
          <w:tab w:val="left" w:pos="567"/>
        </w:tabs>
        <w:spacing w:line="216" w:lineRule="auto"/>
        <w:jc w:val="both"/>
        <w:rPr>
          <w:rFonts w:eastAsiaTheme="minorHAnsi" w:cstheme="minorBidi"/>
          <w:b/>
          <w:szCs w:val="22"/>
          <w:lang w:val="es-MX"/>
        </w:rPr>
      </w:pPr>
      <w:r w:rsidRPr="004E008A">
        <w:rPr>
          <w:rFonts w:eastAsiaTheme="minorHAnsi" w:cstheme="minorBidi"/>
          <w:b/>
          <w:szCs w:val="22"/>
          <w:lang w:val="es-MX"/>
        </w:rPr>
        <w:t>VISTO:</w:t>
      </w:r>
    </w:p>
    <w:p w14:paraId="0D6C7D65" w14:textId="77777777" w:rsidR="006D3B70" w:rsidRPr="004E008A" w:rsidRDefault="006D3B70" w:rsidP="00B40323">
      <w:pPr>
        <w:tabs>
          <w:tab w:val="left" w:pos="567"/>
        </w:tabs>
        <w:spacing w:line="216" w:lineRule="auto"/>
        <w:jc w:val="both"/>
        <w:rPr>
          <w:rFonts w:eastAsiaTheme="minorHAnsi" w:cstheme="minorBidi"/>
          <w:szCs w:val="22"/>
          <w:lang w:val="es-MX"/>
        </w:rPr>
      </w:pPr>
    </w:p>
    <w:p w14:paraId="161337C1" w14:textId="01266AEB" w:rsidR="006D3B70" w:rsidRPr="004E008A" w:rsidRDefault="006D3B70" w:rsidP="00B40323">
      <w:pPr>
        <w:pStyle w:val="Numberedparagraphs"/>
        <w:numPr>
          <w:ilvl w:val="0"/>
          <w:numId w:val="11"/>
        </w:numPr>
        <w:tabs>
          <w:tab w:val="left" w:pos="567"/>
        </w:tabs>
        <w:spacing w:line="216" w:lineRule="auto"/>
        <w:ind w:left="0" w:firstLine="0"/>
      </w:pPr>
      <w:r w:rsidRPr="004E008A">
        <w:t>La Resolución de</w:t>
      </w:r>
      <w:r w:rsidR="00F22383" w:rsidRPr="004E008A">
        <w:t xml:space="preserve"> </w:t>
      </w:r>
      <w:r w:rsidRPr="004E008A">
        <w:t>l</w:t>
      </w:r>
      <w:r w:rsidR="00F22383" w:rsidRPr="004E008A">
        <w:t xml:space="preserve">a </w:t>
      </w:r>
      <w:proofErr w:type="gramStart"/>
      <w:r w:rsidR="00F22383" w:rsidRPr="004E008A">
        <w:t>Presidenta</w:t>
      </w:r>
      <w:proofErr w:type="gramEnd"/>
      <w:r w:rsidR="00F22383" w:rsidRPr="004E008A">
        <w:t xml:space="preserve"> de la Corte Interamericana de Derechos Humano</w:t>
      </w:r>
      <w:r w:rsidR="00F66C9F" w:rsidRPr="00F0507F">
        <w:t>s</w:t>
      </w:r>
      <w:r w:rsidR="00F22383" w:rsidRPr="004E008A">
        <w:t xml:space="preserve"> de 30 de junio de 2020 (en adela</w:t>
      </w:r>
      <w:r w:rsidR="00BC61D0" w:rsidRPr="004E008A">
        <w:t>nte también</w:t>
      </w:r>
      <w:r w:rsidR="00F22383" w:rsidRPr="004E008A">
        <w:t xml:space="preserve"> “la Resolución”</w:t>
      </w:r>
      <w:r w:rsidR="00BC61D0" w:rsidRPr="004E008A">
        <w:t xml:space="preserve"> o “la Resolución de 30 de junio de 2020”</w:t>
      </w:r>
      <w:r w:rsidR="00F22383" w:rsidRPr="004E008A">
        <w:t>)</w:t>
      </w:r>
      <w:r w:rsidRPr="004E008A">
        <w:t xml:space="preserve">, en la cual, entre otros, </w:t>
      </w:r>
      <w:r w:rsidR="00F22383" w:rsidRPr="004E008A">
        <w:t>determinó, “en consulta con el Pleno de la Corte</w:t>
      </w:r>
      <w:r w:rsidR="00672CC7" w:rsidRPr="004E008A">
        <w:t xml:space="preserve"> Interamericana de Derechos Humanos</w:t>
      </w:r>
      <w:r w:rsidR="00F22383" w:rsidRPr="004E008A">
        <w:t>, que no es necesario convocar a una audiencia pública en este caso”</w:t>
      </w:r>
      <w:r w:rsidR="00F22383" w:rsidRPr="004E008A">
        <w:rPr>
          <w:rStyle w:val="Refdenotaalpie"/>
        </w:rPr>
        <w:footnoteReference w:id="2"/>
      </w:r>
      <w:r w:rsidR="00F22383" w:rsidRPr="004E008A">
        <w:t xml:space="preserve">, y </w:t>
      </w:r>
      <w:r w:rsidRPr="004E008A">
        <w:t>resolvió</w:t>
      </w:r>
      <w:r w:rsidR="00F22383" w:rsidRPr="004E008A">
        <w:t xml:space="preserve">, </w:t>
      </w:r>
      <w:r w:rsidR="00F22383" w:rsidRPr="004E008A">
        <w:rPr>
          <w:i/>
        </w:rPr>
        <w:t xml:space="preserve">inter </w:t>
      </w:r>
      <w:proofErr w:type="spellStart"/>
      <w:r w:rsidR="00F22383" w:rsidRPr="004E008A">
        <w:rPr>
          <w:i/>
        </w:rPr>
        <w:t>alia</w:t>
      </w:r>
      <w:proofErr w:type="spellEnd"/>
      <w:r w:rsidRPr="004E008A">
        <w:t xml:space="preserve">: </w:t>
      </w:r>
    </w:p>
    <w:p w14:paraId="31D035A2" w14:textId="77777777" w:rsidR="001131C1" w:rsidRPr="004E008A" w:rsidRDefault="001131C1" w:rsidP="001131C1">
      <w:pPr>
        <w:spacing w:line="216" w:lineRule="auto"/>
        <w:jc w:val="both"/>
        <w:rPr>
          <w:b/>
          <w:lang w:val="es-CR"/>
        </w:rPr>
      </w:pPr>
    </w:p>
    <w:p w14:paraId="1BA65674" w14:textId="77777777" w:rsidR="001131C1" w:rsidRPr="004E008A" w:rsidRDefault="001131C1" w:rsidP="001131C1">
      <w:pPr>
        <w:pStyle w:val="Prrafodelista"/>
        <w:numPr>
          <w:ilvl w:val="0"/>
          <w:numId w:val="16"/>
        </w:numPr>
        <w:autoSpaceDE w:val="0"/>
        <w:autoSpaceDN w:val="0"/>
        <w:adjustRightInd w:val="0"/>
        <w:spacing w:after="0" w:line="216" w:lineRule="auto"/>
        <w:ind w:left="284" w:right="332" w:firstLine="0"/>
        <w:jc w:val="both"/>
        <w:rPr>
          <w:rFonts w:ascii="Verdana" w:hAnsi="Verdana"/>
          <w:sz w:val="16"/>
          <w:szCs w:val="16"/>
        </w:rPr>
      </w:pPr>
      <w:r w:rsidRPr="004E008A">
        <w:rPr>
          <w:rFonts w:ascii="Verdana" w:hAnsi="Verdana"/>
          <w:sz w:val="16"/>
          <w:szCs w:val="16"/>
        </w:rPr>
        <w:t>Requerir, por las razones expuestas en la presente Resolución, de conformidad con el principio de economía procesal y de la facultad que le otorga el artículo 50.1 del Reglamento de la Corte, que las siguientes personas presenten su peritaje ante fedatario público (</w:t>
      </w:r>
      <w:r w:rsidRPr="004E008A">
        <w:rPr>
          <w:rFonts w:ascii="Verdana" w:hAnsi="Verdana"/>
          <w:i/>
          <w:iCs/>
          <w:sz w:val="16"/>
          <w:szCs w:val="16"/>
        </w:rPr>
        <w:t>affidávit</w:t>
      </w:r>
      <w:r w:rsidRPr="004E008A">
        <w:rPr>
          <w:rFonts w:ascii="Verdana" w:hAnsi="Verdana"/>
          <w:sz w:val="16"/>
          <w:szCs w:val="16"/>
        </w:rPr>
        <w:t xml:space="preserve">): </w:t>
      </w:r>
    </w:p>
    <w:p w14:paraId="574F685F" w14:textId="77777777" w:rsidR="001131C1" w:rsidRPr="004E008A" w:rsidRDefault="001131C1" w:rsidP="001131C1">
      <w:pPr>
        <w:pStyle w:val="NormalWeb"/>
        <w:spacing w:before="0" w:beforeAutospacing="0" w:after="0" w:afterAutospacing="0"/>
        <w:ind w:left="284" w:right="332"/>
        <w:jc w:val="both"/>
        <w:rPr>
          <w:rFonts w:ascii="Verdana" w:hAnsi="Verdana"/>
          <w:i/>
          <w:iCs/>
          <w:sz w:val="16"/>
          <w:szCs w:val="16"/>
        </w:rPr>
      </w:pPr>
    </w:p>
    <w:p w14:paraId="1C63E240" w14:textId="77777777" w:rsidR="001131C1" w:rsidRPr="004E008A" w:rsidRDefault="001131C1" w:rsidP="001131C1">
      <w:pPr>
        <w:pStyle w:val="NormalWeb"/>
        <w:spacing w:before="0" w:beforeAutospacing="0" w:after="0" w:afterAutospacing="0"/>
        <w:ind w:left="426" w:right="332"/>
        <w:jc w:val="both"/>
        <w:rPr>
          <w:rFonts w:ascii="Verdana" w:hAnsi="Verdana"/>
          <w:sz w:val="16"/>
          <w:szCs w:val="16"/>
        </w:rPr>
      </w:pPr>
      <w:r w:rsidRPr="004E008A">
        <w:rPr>
          <w:rFonts w:ascii="Verdana" w:hAnsi="Verdana"/>
          <w:i/>
          <w:iCs/>
          <w:sz w:val="16"/>
          <w:szCs w:val="16"/>
        </w:rPr>
        <w:t xml:space="preserve">A. </w:t>
      </w:r>
      <w:r w:rsidRPr="004E008A">
        <w:rPr>
          <w:rFonts w:ascii="Verdana" w:hAnsi="Verdana"/>
          <w:b/>
          <w:bCs/>
          <w:i/>
          <w:iCs/>
          <w:sz w:val="16"/>
          <w:szCs w:val="16"/>
        </w:rPr>
        <w:t xml:space="preserve">Presuntas Víctimas </w:t>
      </w:r>
      <w:r w:rsidRPr="004E008A">
        <w:rPr>
          <w:rFonts w:ascii="Verdana" w:hAnsi="Verdana"/>
          <w:i/>
          <w:iCs/>
          <w:sz w:val="16"/>
          <w:szCs w:val="16"/>
        </w:rPr>
        <w:t>(propuestas por los representantes)</w:t>
      </w:r>
    </w:p>
    <w:p w14:paraId="3EEB6DA5" w14:textId="77777777" w:rsidR="001131C1" w:rsidRPr="004E008A" w:rsidRDefault="001131C1" w:rsidP="001131C1">
      <w:pPr>
        <w:pStyle w:val="NormalWeb"/>
        <w:spacing w:before="0" w:beforeAutospacing="0" w:after="0" w:afterAutospacing="0"/>
        <w:ind w:left="284" w:right="332"/>
        <w:jc w:val="both"/>
        <w:rPr>
          <w:rFonts w:ascii="Verdana" w:hAnsi="Verdana"/>
          <w:sz w:val="16"/>
          <w:szCs w:val="16"/>
        </w:rPr>
      </w:pPr>
    </w:p>
    <w:p w14:paraId="71353E10" w14:textId="6C81E876" w:rsidR="001131C1" w:rsidRPr="004E008A" w:rsidRDefault="001131C1" w:rsidP="001131C1">
      <w:pPr>
        <w:pStyle w:val="NormalWeb"/>
        <w:spacing w:before="0" w:beforeAutospacing="0" w:after="0" w:afterAutospacing="0"/>
        <w:ind w:left="284" w:right="332"/>
        <w:jc w:val="both"/>
        <w:rPr>
          <w:rFonts w:ascii="Verdana" w:hAnsi="Verdana"/>
          <w:sz w:val="16"/>
          <w:szCs w:val="16"/>
          <w:lang w:val="pt-BR"/>
        </w:rPr>
      </w:pPr>
      <w:r w:rsidRPr="004E008A">
        <w:rPr>
          <w:rFonts w:ascii="Verdana" w:hAnsi="Verdana"/>
          <w:sz w:val="16"/>
          <w:szCs w:val="16"/>
          <w:lang w:val="pt-BR"/>
        </w:rPr>
        <w:t>[...]</w:t>
      </w:r>
    </w:p>
    <w:p w14:paraId="4EBFFAD1" w14:textId="77777777" w:rsidR="001131C1" w:rsidRPr="004E008A" w:rsidRDefault="001131C1" w:rsidP="001131C1">
      <w:pPr>
        <w:pStyle w:val="NormalWeb"/>
        <w:spacing w:before="0" w:beforeAutospacing="0" w:after="0" w:afterAutospacing="0"/>
        <w:ind w:left="284" w:right="332"/>
        <w:jc w:val="both"/>
        <w:rPr>
          <w:rFonts w:ascii="Verdana" w:hAnsi="Verdana"/>
          <w:sz w:val="16"/>
          <w:szCs w:val="16"/>
          <w:lang w:val="pt-BR"/>
        </w:rPr>
      </w:pPr>
    </w:p>
    <w:p w14:paraId="229AE0DA" w14:textId="77777777" w:rsidR="001131C1" w:rsidRPr="004E008A" w:rsidRDefault="001131C1" w:rsidP="001131C1">
      <w:pPr>
        <w:pStyle w:val="NormalWeb"/>
        <w:spacing w:before="0" w:beforeAutospacing="0" w:after="0" w:afterAutospacing="0"/>
        <w:ind w:left="567" w:right="332"/>
        <w:jc w:val="both"/>
        <w:rPr>
          <w:rFonts w:ascii="Verdana" w:hAnsi="Verdana"/>
          <w:sz w:val="16"/>
          <w:szCs w:val="16"/>
        </w:rPr>
      </w:pPr>
      <w:r w:rsidRPr="004E008A">
        <w:rPr>
          <w:rFonts w:ascii="Verdana" w:hAnsi="Verdana"/>
          <w:sz w:val="16"/>
          <w:szCs w:val="16"/>
        </w:rPr>
        <w:t xml:space="preserve">-8) </w:t>
      </w:r>
      <w:r w:rsidRPr="004E008A">
        <w:rPr>
          <w:rFonts w:ascii="Verdana" w:hAnsi="Verdana"/>
          <w:i/>
          <w:sz w:val="16"/>
          <w:szCs w:val="16"/>
        </w:rPr>
        <w:t xml:space="preserve">Belkis Josefina Correa Ríos </w:t>
      </w:r>
      <w:r w:rsidRPr="004E008A">
        <w:rPr>
          <w:rFonts w:ascii="Verdana" w:hAnsi="Verdana"/>
          <w:sz w:val="16"/>
          <w:szCs w:val="16"/>
        </w:rPr>
        <w:t xml:space="preserve">(hermana de Johan José Correa); </w:t>
      </w:r>
    </w:p>
    <w:p w14:paraId="2AB0DA8C" w14:textId="77777777" w:rsidR="001131C1" w:rsidRPr="004E008A" w:rsidRDefault="001131C1" w:rsidP="001131C1">
      <w:pPr>
        <w:pStyle w:val="NormalWeb"/>
        <w:spacing w:before="0" w:beforeAutospacing="0" w:after="0" w:afterAutospacing="0"/>
        <w:ind w:left="567" w:right="332"/>
        <w:jc w:val="both"/>
        <w:rPr>
          <w:rFonts w:ascii="Verdana" w:hAnsi="Verdana"/>
          <w:b/>
          <w:sz w:val="16"/>
          <w:szCs w:val="16"/>
        </w:rPr>
      </w:pPr>
    </w:p>
    <w:p w14:paraId="5DBCEE0C" w14:textId="0AFD9F28" w:rsidR="001131C1" w:rsidRPr="004E008A" w:rsidRDefault="001131C1" w:rsidP="001131C1">
      <w:pPr>
        <w:pStyle w:val="NormalWeb"/>
        <w:spacing w:before="0" w:beforeAutospacing="0" w:after="0" w:afterAutospacing="0"/>
        <w:ind w:left="567" w:right="332"/>
        <w:jc w:val="both"/>
        <w:rPr>
          <w:rFonts w:ascii="Verdana" w:hAnsi="Verdana"/>
          <w:sz w:val="16"/>
          <w:szCs w:val="16"/>
        </w:rPr>
      </w:pPr>
      <w:r w:rsidRPr="004E008A">
        <w:rPr>
          <w:rFonts w:ascii="Verdana" w:hAnsi="Verdana"/>
          <w:sz w:val="16"/>
          <w:szCs w:val="16"/>
        </w:rPr>
        <w:t xml:space="preserve">-9) </w:t>
      </w:r>
      <w:proofErr w:type="spellStart"/>
      <w:r w:rsidRPr="004E008A">
        <w:rPr>
          <w:rFonts w:ascii="Verdana" w:hAnsi="Verdana"/>
          <w:i/>
          <w:sz w:val="16"/>
          <w:szCs w:val="16"/>
        </w:rPr>
        <w:t>Miryam</w:t>
      </w:r>
      <w:proofErr w:type="spellEnd"/>
      <w:r w:rsidRPr="004E008A">
        <w:rPr>
          <w:rFonts w:ascii="Verdana" w:hAnsi="Verdana"/>
          <w:i/>
          <w:sz w:val="16"/>
          <w:szCs w:val="16"/>
        </w:rPr>
        <w:t xml:space="preserve"> Josefina Herrera Sánchez </w:t>
      </w:r>
      <w:r w:rsidRPr="004E008A">
        <w:rPr>
          <w:rFonts w:ascii="Verdana" w:hAnsi="Verdana"/>
          <w:sz w:val="16"/>
          <w:szCs w:val="16"/>
        </w:rPr>
        <w:t xml:space="preserve">(abuela de Rafael Antonio Parra Herrera),  </w:t>
      </w:r>
    </w:p>
    <w:p w14:paraId="34051D40" w14:textId="77777777" w:rsidR="001131C1" w:rsidRPr="004E008A" w:rsidRDefault="001131C1" w:rsidP="001131C1">
      <w:pPr>
        <w:pStyle w:val="NormalWeb"/>
        <w:spacing w:before="0" w:beforeAutospacing="0" w:after="0" w:afterAutospacing="0"/>
        <w:ind w:left="284" w:right="332"/>
        <w:jc w:val="both"/>
        <w:rPr>
          <w:rFonts w:ascii="Verdana" w:hAnsi="Verdana"/>
          <w:sz w:val="16"/>
          <w:szCs w:val="16"/>
        </w:rPr>
      </w:pPr>
    </w:p>
    <w:p w14:paraId="433FE064" w14:textId="1BB91292" w:rsidR="001131C1" w:rsidRPr="004E008A" w:rsidRDefault="001131C1" w:rsidP="001131C1">
      <w:pPr>
        <w:pStyle w:val="NormalWeb"/>
        <w:spacing w:before="0" w:beforeAutospacing="0" w:after="0" w:afterAutospacing="0"/>
        <w:ind w:left="284" w:right="332"/>
        <w:jc w:val="both"/>
        <w:rPr>
          <w:rFonts w:ascii="Verdana" w:hAnsi="Verdana"/>
          <w:sz w:val="16"/>
          <w:szCs w:val="16"/>
        </w:rPr>
      </w:pPr>
      <w:r w:rsidRPr="004E008A">
        <w:rPr>
          <w:rFonts w:ascii="Verdana" w:hAnsi="Verdana"/>
          <w:sz w:val="16"/>
          <w:szCs w:val="16"/>
        </w:rPr>
        <w:t xml:space="preserve">[…] </w:t>
      </w:r>
    </w:p>
    <w:p w14:paraId="04902264" w14:textId="77777777" w:rsidR="001131C1" w:rsidRPr="004E008A" w:rsidRDefault="001131C1" w:rsidP="001131C1">
      <w:pPr>
        <w:pStyle w:val="NormalWeb"/>
        <w:spacing w:before="0" w:beforeAutospacing="0" w:after="0" w:afterAutospacing="0"/>
        <w:ind w:left="284" w:right="332"/>
        <w:jc w:val="both"/>
        <w:rPr>
          <w:rFonts w:ascii="Verdana" w:hAnsi="Verdana"/>
          <w:sz w:val="16"/>
          <w:szCs w:val="16"/>
        </w:rPr>
      </w:pPr>
    </w:p>
    <w:p w14:paraId="28840370" w14:textId="77777777" w:rsidR="001131C1" w:rsidRPr="004E008A" w:rsidRDefault="001131C1" w:rsidP="001131C1">
      <w:pPr>
        <w:pStyle w:val="NormalWeb"/>
        <w:spacing w:before="0" w:beforeAutospacing="0" w:after="0" w:afterAutospacing="0"/>
        <w:ind w:left="284" w:right="332"/>
        <w:jc w:val="both"/>
        <w:rPr>
          <w:rFonts w:ascii="Verdana" w:hAnsi="Verdana"/>
          <w:sz w:val="16"/>
          <w:szCs w:val="16"/>
        </w:rPr>
      </w:pPr>
      <w:r w:rsidRPr="004E008A">
        <w:rPr>
          <w:rFonts w:ascii="Verdana" w:hAnsi="Verdana"/>
          <w:sz w:val="16"/>
          <w:szCs w:val="16"/>
        </w:rPr>
        <w:t xml:space="preserve">Las presuntas víctimas declararán sobre el impacto que los hechos del caso tuvieron en cada declarante y en su grupo familiar, así como sobre las medidas de reparación que consideran apropiadas. </w:t>
      </w:r>
    </w:p>
    <w:p w14:paraId="06278CCD" w14:textId="77777777" w:rsidR="001131C1" w:rsidRPr="004E008A" w:rsidRDefault="001131C1" w:rsidP="001131C1">
      <w:pPr>
        <w:autoSpaceDE w:val="0"/>
        <w:autoSpaceDN w:val="0"/>
        <w:adjustRightInd w:val="0"/>
        <w:spacing w:line="216" w:lineRule="auto"/>
        <w:ind w:left="284" w:right="332"/>
        <w:jc w:val="both"/>
        <w:rPr>
          <w:sz w:val="16"/>
          <w:szCs w:val="16"/>
          <w:lang w:val="es-ES_tradnl"/>
        </w:rPr>
      </w:pPr>
    </w:p>
    <w:p w14:paraId="1E27626A" w14:textId="3D78E601" w:rsidR="001131C1" w:rsidRPr="004E008A" w:rsidRDefault="001131C1" w:rsidP="001131C1">
      <w:pPr>
        <w:pStyle w:val="NormalWeb"/>
        <w:spacing w:before="0" w:beforeAutospacing="0" w:after="0" w:afterAutospacing="0"/>
        <w:ind w:left="284" w:right="332"/>
        <w:jc w:val="both"/>
        <w:rPr>
          <w:rFonts w:ascii="Verdana" w:hAnsi="Verdana"/>
          <w:sz w:val="16"/>
          <w:szCs w:val="16"/>
        </w:rPr>
      </w:pPr>
      <w:r w:rsidRPr="004E008A">
        <w:rPr>
          <w:rFonts w:ascii="Verdana" w:hAnsi="Verdana"/>
          <w:sz w:val="16"/>
          <w:szCs w:val="16"/>
        </w:rPr>
        <w:t xml:space="preserve">4. […] Las declaraciones requeridas en el punto resolutivo 1 deberán ser presentadas al Tribunal a más tardar el 29 de julio de 2020. </w:t>
      </w:r>
    </w:p>
    <w:p w14:paraId="463AFB25" w14:textId="77777777" w:rsidR="006D3B70" w:rsidRPr="004E008A" w:rsidRDefault="006D3B70" w:rsidP="00B40323">
      <w:pPr>
        <w:pStyle w:val="Numberedparagraphs"/>
        <w:numPr>
          <w:ilvl w:val="0"/>
          <w:numId w:val="0"/>
        </w:numPr>
        <w:tabs>
          <w:tab w:val="left" w:pos="567"/>
        </w:tabs>
        <w:spacing w:line="216" w:lineRule="auto"/>
      </w:pPr>
    </w:p>
    <w:p w14:paraId="3091977F" w14:textId="043F643E" w:rsidR="007A32A9" w:rsidRPr="004E008A" w:rsidRDefault="000A234B" w:rsidP="00B40323">
      <w:pPr>
        <w:pStyle w:val="PrrafodeSentencia"/>
        <w:numPr>
          <w:ilvl w:val="0"/>
          <w:numId w:val="11"/>
        </w:numPr>
        <w:spacing w:line="216" w:lineRule="auto"/>
        <w:ind w:left="0" w:hanging="11"/>
        <w:rPr>
          <w:lang w:val="es-CR" w:eastAsia="es-ES"/>
        </w:rPr>
      </w:pPr>
      <w:r w:rsidRPr="004E008A">
        <w:rPr>
          <w:lang w:val="es-CR" w:eastAsia="es-ES"/>
        </w:rPr>
        <w:t>El escrito de 15 de julio de 2020, por medio del cual los representantes de las presuntas víctimas (en adelante también “los representantes”) presentaron una solicitud de “reconsideración” de la Resolución, requiriendo que la Corte</w:t>
      </w:r>
      <w:r w:rsidR="008F1F71" w:rsidRPr="004E008A">
        <w:rPr>
          <w:lang w:val="es-CR" w:eastAsia="es-ES"/>
        </w:rPr>
        <w:t xml:space="preserve"> Interamericana de Derechos Humanos (en adelante también “la Corte”, “el Tribunal” o “la Corte Interamericana”)</w:t>
      </w:r>
      <w:r w:rsidRPr="004E008A">
        <w:rPr>
          <w:lang w:val="es-CR" w:eastAsia="es-ES"/>
        </w:rPr>
        <w:t xml:space="preserve"> disponga: a) que Belkis Josefina Correa Ríos y Myriam Josefina Herrera Sánchez “</w:t>
      </w:r>
      <w:r w:rsidRPr="004E008A">
        <w:t xml:space="preserve">tengan la oportunidad de presentar sus declaraciones mediante una videoconferencia”, y b) la extensión del plazo fijado en la Resolución para la presentación al Tribunal de las declaraciones que deben ser brindadas por escrito, ante fedatario público. </w:t>
      </w:r>
    </w:p>
    <w:p w14:paraId="3964C5E2" w14:textId="77777777" w:rsidR="000A234B" w:rsidRPr="004E008A" w:rsidRDefault="000A234B" w:rsidP="000A234B">
      <w:pPr>
        <w:pStyle w:val="PrrafodeSentencia"/>
        <w:numPr>
          <w:ilvl w:val="0"/>
          <w:numId w:val="0"/>
        </w:numPr>
        <w:spacing w:line="216" w:lineRule="auto"/>
        <w:rPr>
          <w:lang w:val="es-CR" w:eastAsia="es-ES"/>
        </w:rPr>
      </w:pPr>
    </w:p>
    <w:p w14:paraId="42A9C8BC" w14:textId="3437C99D" w:rsidR="001131C1" w:rsidRPr="004E008A" w:rsidRDefault="005C1B33" w:rsidP="00B40323">
      <w:pPr>
        <w:pStyle w:val="PrrafodeSentencia"/>
        <w:numPr>
          <w:ilvl w:val="0"/>
          <w:numId w:val="11"/>
        </w:numPr>
        <w:spacing w:line="216" w:lineRule="auto"/>
        <w:ind w:left="0" w:hanging="11"/>
        <w:rPr>
          <w:lang w:val="es-CR" w:eastAsia="es-ES"/>
        </w:rPr>
      </w:pPr>
      <w:r w:rsidRPr="004E008A">
        <w:lastRenderedPageBreak/>
        <w:t>Los escritos de 22 de julio de 2020, presentados por la Comisión Interamericana de Derechos Humanos (en adelante también “la Comisión”</w:t>
      </w:r>
      <w:r w:rsidR="00AE126F" w:rsidRPr="004E008A">
        <w:t xml:space="preserve"> o “la Comisión Interamericana”</w:t>
      </w:r>
      <w:r w:rsidRPr="004E008A">
        <w:t xml:space="preserve">) y la República Bolivariana de Venezuela (en adelante también “el Estado” o “Venezuela”), por medio de los cuales la primera se </w:t>
      </w:r>
      <w:r w:rsidRPr="006837AA">
        <w:t>manifestó conteste a la</w:t>
      </w:r>
      <w:r w:rsidRPr="004E008A">
        <w:t xml:space="preserve"> solicitud de los representantes y el Estado se opuso a la primera solicitud de éstos y se pronunció en forma acorde a la segunda</w:t>
      </w:r>
      <w:r w:rsidR="001131C1" w:rsidRPr="004E008A">
        <w:t xml:space="preserve">. </w:t>
      </w:r>
    </w:p>
    <w:p w14:paraId="46881714" w14:textId="77777777" w:rsidR="001131C1" w:rsidRPr="004E008A" w:rsidRDefault="001131C1" w:rsidP="001131C1">
      <w:pPr>
        <w:pStyle w:val="PrrafodeSentencia"/>
        <w:numPr>
          <w:ilvl w:val="0"/>
          <w:numId w:val="0"/>
        </w:numPr>
        <w:spacing w:line="216" w:lineRule="auto"/>
        <w:rPr>
          <w:lang w:val="es-CR" w:eastAsia="es-ES"/>
        </w:rPr>
      </w:pPr>
    </w:p>
    <w:p w14:paraId="0B91C6C2" w14:textId="66A6D300" w:rsidR="005C1B33" w:rsidRPr="004E008A" w:rsidRDefault="005C1B33" w:rsidP="000A234B">
      <w:pPr>
        <w:pStyle w:val="PrrafodeSentencia"/>
        <w:numPr>
          <w:ilvl w:val="0"/>
          <w:numId w:val="11"/>
        </w:numPr>
        <w:spacing w:line="216" w:lineRule="auto"/>
        <w:ind w:left="0" w:hanging="11"/>
        <w:rPr>
          <w:lang w:val="es-CR" w:eastAsia="es-ES"/>
        </w:rPr>
      </w:pPr>
      <w:r w:rsidRPr="004E008A">
        <w:t>Las comunicaciones de la Secretaría de la Corte Interamericana de Derechos Humanos (en adelante t</w:t>
      </w:r>
      <w:r w:rsidR="00E869D2" w:rsidRPr="004E008A">
        <w:t>ambién “la Secretaría”</w:t>
      </w:r>
      <w:r w:rsidR="00672CC7" w:rsidRPr="004E008A">
        <w:t xml:space="preserve"> o “la Secretaría de la Corte”</w:t>
      </w:r>
      <w:r w:rsidR="00E869D2" w:rsidRPr="004E008A">
        <w:t xml:space="preserve">) de 22, </w:t>
      </w:r>
      <w:r w:rsidRPr="004E008A">
        <w:t xml:space="preserve">28 </w:t>
      </w:r>
      <w:r w:rsidR="00E869D2" w:rsidRPr="004E008A">
        <w:t xml:space="preserve">y 31 </w:t>
      </w:r>
      <w:r w:rsidRPr="004E008A">
        <w:t xml:space="preserve">de julio de 2020, y de 24 de julio de 2020, por medio de las cuales, respectivamente, se solicitó a las partes y a la Comisión que informen sobre la </w:t>
      </w:r>
      <w:r w:rsidRPr="004E008A">
        <w:rPr>
          <w:lang w:val="es-CR"/>
        </w:rPr>
        <w:t>“</w:t>
      </w:r>
      <w:r w:rsidRPr="004E008A">
        <w:t>viabilidad y facilidades técnicas</w:t>
      </w:r>
      <w:r w:rsidRPr="004E008A">
        <w:rPr>
          <w:lang w:val="es-CR"/>
        </w:rPr>
        <w:t xml:space="preserve">” para recibir la declaración de dos presuntas víctimas por videoconferencia, y se les informó, </w:t>
      </w:r>
      <w:r w:rsidRPr="004E008A">
        <w:rPr>
          <w:rFonts w:cs="Calibri"/>
          <w:lang w:val="es-ES" w:eastAsia="es-CR"/>
        </w:rPr>
        <w:t>siguiendo instrucciones de la Presidenta de la Corte</w:t>
      </w:r>
      <w:r w:rsidR="008F1F71" w:rsidRPr="004E008A">
        <w:rPr>
          <w:rFonts w:cs="Calibri"/>
          <w:lang w:val="es-ES" w:eastAsia="es-CR"/>
        </w:rPr>
        <w:t xml:space="preserve"> (en adelante</w:t>
      </w:r>
      <w:r w:rsidR="00672CC7" w:rsidRPr="004E008A">
        <w:rPr>
          <w:rFonts w:cs="Calibri"/>
          <w:lang w:val="es-ES" w:eastAsia="es-CR"/>
        </w:rPr>
        <w:t xml:space="preserve"> también</w:t>
      </w:r>
      <w:r w:rsidR="008F1F71" w:rsidRPr="004E008A">
        <w:rPr>
          <w:rFonts w:cs="Calibri"/>
          <w:lang w:val="es-ES" w:eastAsia="es-CR"/>
        </w:rPr>
        <w:t xml:space="preserve"> “la Presidenta”)</w:t>
      </w:r>
      <w:r w:rsidRPr="004E008A">
        <w:rPr>
          <w:rFonts w:cs="Calibri"/>
          <w:lang w:val="es-ES" w:eastAsia="es-CR"/>
        </w:rPr>
        <w:t>,</w:t>
      </w:r>
      <w:r w:rsidR="007A32A9" w:rsidRPr="004E008A">
        <w:rPr>
          <w:rFonts w:cs="Calibri"/>
          <w:lang w:val="es-ES" w:eastAsia="es-CR"/>
        </w:rPr>
        <w:t xml:space="preserve"> que “sin perjuicio de lo que decida el Pleno de la Corte en virtud de la solicitud de reconsideración presentada por los representantes”, se prorrogaba “</w:t>
      </w:r>
      <w:r w:rsidRPr="004E008A">
        <w:rPr>
          <w:rFonts w:cs="Calibri"/>
          <w:lang w:val="es-ES" w:eastAsia="es-CR"/>
        </w:rPr>
        <w:t>el plazo conferido en el punto resolutivo 4 de la Resolución de 30 de junio de 2020, de manera que las declaraciones indicadas en el punto resolutivo 1 de la misma Resolución deberán ser presentadas al Tribunal a más tardar el 28</w:t>
      </w:r>
      <w:r w:rsidR="007A32A9" w:rsidRPr="004E008A">
        <w:rPr>
          <w:rFonts w:cs="Calibri"/>
          <w:lang w:val="es-ES" w:eastAsia="es-CR"/>
        </w:rPr>
        <w:t xml:space="preserve"> de agosto de 2020”.</w:t>
      </w:r>
    </w:p>
    <w:p w14:paraId="0B07FD25" w14:textId="77777777" w:rsidR="007A32A9" w:rsidRPr="004E008A" w:rsidRDefault="007A32A9" w:rsidP="000A234B">
      <w:pPr>
        <w:pStyle w:val="Prrafodelista"/>
        <w:spacing w:after="0"/>
        <w:rPr>
          <w:rFonts w:ascii="Verdana" w:hAnsi="Verdana"/>
          <w:lang w:eastAsia="es-ES"/>
        </w:rPr>
      </w:pPr>
    </w:p>
    <w:p w14:paraId="75AB7952" w14:textId="38B6AE02" w:rsidR="005C1B33" w:rsidRPr="004E008A" w:rsidRDefault="007A32A9" w:rsidP="000A234B">
      <w:pPr>
        <w:pStyle w:val="PrrafodeSentencia"/>
        <w:numPr>
          <w:ilvl w:val="0"/>
          <w:numId w:val="11"/>
        </w:numPr>
        <w:spacing w:line="216" w:lineRule="auto"/>
        <w:ind w:left="0" w:hanging="11"/>
        <w:rPr>
          <w:lang w:val="es-ES"/>
        </w:rPr>
      </w:pPr>
      <w:r w:rsidRPr="004E008A">
        <w:rPr>
          <w:lang w:val="es-CR" w:eastAsia="es-ES"/>
        </w:rPr>
        <w:t xml:space="preserve">Los escritos de 24 y </w:t>
      </w:r>
      <w:r w:rsidR="004E66B3" w:rsidRPr="004E008A">
        <w:rPr>
          <w:lang w:val="es-CR" w:eastAsia="es-ES"/>
        </w:rPr>
        <w:t xml:space="preserve">31 </w:t>
      </w:r>
      <w:r w:rsidRPr="004E008A">
        <w:rPr>
          <w:lang w:val="es-CR" w:eastAsia="es-ES"/>
        </w:rPr>
        <w:t>de julio</w:t>
      </w:r>
      <w:r w:rsidR="004E66B3" w:rsidRPr="004E008A">
        <w:rPr>
          <w:lang w:val="es-CR" w:eastAsia="es-ES"/>
        </w:rPr>
        <w:t xml:space="preserve"> y 3 de agosto de 2020, </w:t>
      </w:r>
      <w:r w:rsidRPr="004E008A">
        <w:rPr>
          <w:lang w:val="es-CR" w:eastAsia="es-ES"/>
        </w:rPr>
        <w:t>por medio de los cuales</w:t>
      </w:r>
      <w:r w:rsidR="004E66B3" w:rsidRPr="004E008A">
        <w:rPr>
          <w:lang w:val="es-CR" w:eastAsia="es-ES"/>
        </w:rPr>
        <w:t>, respectivamente, los representantes y la Comisión</w:t>
      </w:r>
      <w:r w:rsidRPr="004E008A">
        <w:rPr>
          <w:lang w:val="es-CR" w:eastAsia="es-ES"/>
        </w:rPr>
        <w:t xml:space="preserve"> informaron contar con los medios técnicos necesarios para recibir declaraciones por videoconferencia</w:t>
      </w:r>
      <w:r w:rsidR="004E66B3" w:rsidRPr="004E008A">
        <w:rPr>
          <w:lang w:val="es-CR" w:eastAsia="es-ES"/>
        </w:rPr>
        <w:t>, y el Estado afirmó que “considera inviable” la solicitud de los representantes de que dos presuntas víctimas presten declaración por videoconferencia.</w:t>
      </w:r>
      <w:r w:rsidRPr="004E008A">
        <w:rPr>
          <w:lang w:val="es-CR" w:eastAsia="es-ES"/>
        </w:rPr>
        <w:t xml:space="preserve"> </w:t>
      </w:r>
    </w:p>
    <w:p w14:paraId="794CC3F5" w14:textId="77777777" w:rsidR="006D3B70" w:rsidRPr="004E008A" w:rsidRDefault="006D3B70" w:rsidP="00B40323">
      <w:pPr>
        <w:pStyle w:val="Numberedparagraphs"/>
        <w:numPr>
          <w:ilvl w:val="0"/>
          <w:numId w:val="0"/>
        </w:numPr>
        <w:tabs>
          <w:tab w:val="left" w:pos="567"/>
        </w:tabs>
        <w:spacing w:line="216" w:lineRule="auto"/>
        <w:rPr>
          <w:lang w:val="es-ES"/>
        </w:rPr>
      </w:pPr>
    </w:p>
    <w:p w14:paraId="1106807F" w14:textId="77777777" w:rsidR="006D3B70" w:rsidRPr="004E008A" w:rsidRDefault="006D3B70" w:rsidP="00B40323">
      <w:pPr>
        <w:pStyle w:val="Numberedparagraphs"/>
        <w:numPr>
          <w:ilvl w:val="0"/>
          <w:numId w:val="0"/>
        </w:numPr>
        <w:tabs>
          <w:tab w:val="left" w:pos="567"/>
        </w:tabs>
        <w:spacing w:line="216" w:lineRule="auto"/>
        <w:rPr>
          <w:b/>
        </w:rPr>
      </w:pPr>
      <w:r w:rsidRPr="004E008A">
        <w:rPr>
          <w:b/>
        </w:rPr>
        <w:t>CONSIDERANDO QUE:</w:t>
      </w:r>
    </w:p>
    <w:p w14:paraId="417C5098" w14:textId="77777777" w:rsidR="006D3B70" w:rsidRPr="004E008A" w:rsidRDefault="006D3B70" w:rsidP="00B40323">
      <w:pPr>
        <w:spacing w:line="216" w:lineRule="auto"/>
        <w:rPr>
          <w:lang w:val="es-PE"/>
        </w:rPr>
      </w:pPr>
    </w:p>
    <w:p w14:paraId="592CA37F" w14:textId="230ED761" w:rsidR="006D3B70" w:rsidRPr="004E008A" w:rsidRDefault="006D3B70" w:rsidP="00B40323">
      <w:pPr>
        <w:pStyle w:val="Prrafodelista"/>
        <w:numPr>
          <w:ilvl w:val="0"/>
          <w:numId w:val="2"/>
        </w:numPr>
        <w:tabs>
          <w:tab w:val="left" w:pos="540"/>
        </w:tabs>
        <w:spacing w:after="0" w:line="216" w:lineRule="auto"/>
        <w:ind w:left="0" w:right="4" w:firstLine="0"/>
        <w:jc w:val="both"/>
        <w:rPr>
          <w:rFonts w:ascii="Verdana" w:eastAsia="Verdana" w:hAnsi="Verdana"/>
          <w:lang w:val="es-PE"/>
        </w:rPr>
      </w:pPr>
      <w:r w:rsidRPr="004E008A">
        <w:rPr>
          <w:rFonts w:ascii="Verdana" w:eastAsia="Verdana" w:hAnsi="Verdana"/>
          <w:sz w:val="20"/>
          <w:szCs w:val="20"/>
          <w:lang w:val="es-PE"/>
        </w:rPr>
        <w:t>Las decisiones de</w:t>
      </w:r>
      <w:r w:rsidR="007A32A9" w:rsidRPr="004E008A">
        <w:rPr>
          <w:rFonts w:ascii="Verdana" w:eastAsia="Verdana" w:hAnsi="Verdana"/>
          <w:sz w:val="20"/>
          <w:szCs w:val="20"/>
          <w:lang w:val="es-PE"/>
        </w:rPr>
        <w:t xml:space="preserve"> </w:t>
      </w:r>
      <w:r w:rsidRPr="004E008A">
        <w:rPr>
          <w:rFonts w:ascii="Verdana" w:eastAsia="Verdana" w:hAnsi="Verdana"/>
          <w:sz w:val="20"/>
          <w:szCs w:val="20"/>
          <w:lang w:val="es-PE"/>
        </w:rPr>
        <w:t>l</w:t>
      </w:r>
      <w:r w:rsidR="007A32A9" w:rsidRPr="004E008A">
        <w:rPr>
          <w:rFonts w:ascii="Verdana" w:eastAsia="Verdana" w:hAnsi="Verdana"/>
          <w:sz w:val="20"/>
          <w:szCs w:val="20"/>
          <w:lang w:val="es-PE"/>
        </w:rPr>
        <w:t>a</w:t>
      </w:r>
      <w:r w:rsidRPr="004E008A">
        <w:rPr>
          <w:rFonts w:ascii="Verdana" w:eastAsia="Verdana" w:hAnsi="Verdana"/>
          <w:sz w:val="20"/>
          <w:szCs w:val="20"/>
          <w:lang w:val="es-PE"/>
        </w:rPr>
        <w:t xml:space="preserve"> </w:t>
      </w:r>
      <w:proofErr w:type="gramStart"/>
      <w:r w:rsidRPr="004E008A">
        <w:rPr>
          <w:rFonts w:ascii="Verdana" w:eastAsia="Verdana" w:hAnsi="Verdana"/>
          <w:sz w:val="20"/>
          <w:szCs w:val="20"/>
          <w:lang w:val="es-PE"/>
        </w:rPr>
        <w:t>President</w:t>
      </w:r>
      <w:r w:rsidR="007A32A9" w:rsidRPr="004E008A">
        <w:rPr>
          <w:rFonts w:ascii="Verdana" w:eastAsia="Verdana" w:hAnsi="Verdana"/>
          <w:sz w:val="20"/>
          <w:szCs w:val="20"/>
          <w:lang w:val="es-PE"/>
        </w:rPr>
        <w:t>a</w:t>
      </w:r>
      <w:proofErr w:type="gramEnd"/>
      <w:r w:rsidRPr="004E008A">
        <w:rPr>
          <w:rFonts w:ascii="Verdana" w:eastAsia="Verdana" w:hAnsi="Verdana"/>
          <w:sz w:val="20"/>
          <w:szCs w:val="20"/>
          <w:lang w:val="es-PE"/>
        </w:rPr>
        <w:t>, que no sean de mero trámite, son recurribles ante la Corte Interamericana de Derechos Humanos, en los términos del artícu</w:t>
      </w:r>
      <w:r w:rsidR="007A32A9" w:rsidRPr="004E008A">
        <w:rPr>
          <w:rFonts w:ascii="Verdana" w:eastAsia="Verdana" w:hAnsi="Verdana"/>
          <w:sz w:val="20"/>
          <w:szCs w:val="20"/>
          <w:lang w:val="es-PE"/>
        </w:rPr>
        <w:t>lo 31.2 del Reglamento de este T</w:t>
      </w:r>
      <w:r w:rsidRPr="004E008A">
        <w:rPr>
          <w:rFonts w:ascii="Verdana" w:eastAsia="Verdana" w:hAnsi="Verdana"/>
          <w:sz w:val="20"/>
          <w:szCs w:val="20"/>
          <w:lang w:val="es-PE"/>
        </w:rPr>
        <w:t>ribunal (en adelante “el Reglamento”).</w:t>
      </w:r>
    </w:p>
    <w:p w14:paraId="20891588" w14:textId="77777777" w:rsidR="006D3B70" w:rsidRPr="004E008A" w:rsidRDefault="006D3B70" w:rsidP="00B40323">
      <w:pPr>
        <w:pStyle w:val="Prrafodelista"/>
        <w:tabs>
          <w:tab w:val="left" w:pos="540"/>
        </w:tabs>
        <w:spacing w:after="0" w:line="216" w:lineRule="auto"/>
        <w:ind w:left="0" w:right="4"/>
        <w:jc w:val="both"/>
        <w:rPr>
          <w:rFonts w:ascii="Verdana" w:eastAsia="Verdana" w:hAnsi="Verdana"/>
          <w:sz w:val="20"/>
          <w:szCs w:val="20"/>
          <w:lang w:val="es-PE"/>
        </w:rPr>
      </w:pPr>
    </w:p>
    <w:p w14:paraId="460BC671" w14:textId="77777777" w:rsidR="00DA5D1B" w:rsidRPr="004E008A" w:rsidRDefault="00DA5D1B" w:rsidP="00B40323">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hAnsi="Verdana"/>
          <w:sz w:val="20"/>
          <w:szCs w:val="20"/>
        </w:rPr>
        <w:t>El ofrecimiento y la admisión de la prueba, así como la citación de presuntas víctimas, testigos y peritos se encuentran regulados en los artículos 35.1.f, 40.2.c, 41.1.c, 46, 47</w:t>
      </w:r>
      <w:r w:rsidR="00035DF8" w:rsidRPr="004E008A">
        <w:rPr>
          <w:rFonts w:ascii="Verdana" w:hAnsi="Verdana"/>
          <w:sz w:val="20"/>
          <w:szCs w:val="20"/>
        </w:rPr>
        <w:t xml:space="preserve"> a</w:t>
      </w:r>
      <w:r w:rsidRPr="004E008A">
        <w:rPr>
          <w:rFonts w:ascii="Verdana" w:hAnsi="Verdana"/>
          <w:sz w:val="20"/>
          <w:szCs w:val="20"/>
        </w:rPr>
        <w:t xml:space="preserve"> 50, 52.3, 57 y 58 del Reglamento de la Corte Interamericana.</w:t>
      </w:r>
    </w:p>
    <w:p w14:paraId="4CC8B431" w14:textId="77777777" w:rsidR="00DA5D1B" w:rsidRPr="004E008A" w:rsidRDefault="00DA5D1B" w:rsidP="00B40323">
      <w:pPr>
        <w:pStyle w:val="Prrafodelista"/>
        <w:spacing w:line="216" w:lineRule="auto"/>
        <w:rPr>
          <w:rFonts w:ascii="Verdana" w:hAnsi="Verdana"/>
          <w:sz w:val="20"/>
          <w:szCs w:val="20"/>
        </w:rPr>
      </w:pPr>
    </w:p>
    <w:p w14:paraId="4AB59F28" w14:textId="77777777" w:rsidR="00DA5D1B" w:rsidRPr="004E008A" w:rsidRDefault="006D3B70" w:rsidP="00B40323">
      <w:pPr>
        <w:pStyle w:val="Prrafodelista"/>
        <w:numPr>
          <w:ilvl w:val="0"/>
          <w:numId w:val="2"/>
        </w:numPr>
        <w:tabs>
          <w:tab w:val="left" w:pos="540"/>
        </w:tabs>
        <w:spacing w:after="0" w:line="216" w:lineRule="auto"/>
        <w:ind w:left="0" w:right="4" w:firstLine="0"/>
        <w:jc w:val="both"/>
        <w:rPr>
          <w:rFonts w:ascii="Verdana" w:eastAsia="Verdana" w:hAnsi="Verdana"/>
          <w:sz w:val="16"/>
          <w:szCs w:val="16"/>
          <w:lang w:val="es-PE"/>
        </w:rPr>
      </w:pPr>
      <w:r w:rsidRPr="004E008A">
        <w:rPr>
          <w:rFonts w:ascii="Verdana" w:hAnsi="Verdana"/>
          <w:sz w:val="20"/>
          <w:szCs w:val="20"/>
        </w:rPr>
        <w:t>La Corte tiene amplias fac</w:t>
      </w:r>
      <w:r w:rsidR="00DA5D1B" w:rsidRPr="004E008A">
        <w:rPr>
          <w:rFonts w:ascii="Verdana" w:hAnsi="Verdana"/>
          <w:sz w:val="20"/>
          <w:szCs w:val="20"/>
        </w:rPr>
        <w:t xml:space="preserve">ultades en cuanto a la admisión y </w:t>
      </w:r>
      <w:r w:rsidRPr="004E008A">
        <w:rPr>
          <w:rFonts w:ascii="Verdana" w:hAnsi="Verdana"/>
          <w:sz w:val="20"/>
          <w:szCs w:val="20"/>
        </w:rPr>
        <w:t xml:space="preserve">modalidad de recepción de la prueba, de conformidad con los artículos </w:t>
      </w:r>
      <w:r w:rsidR="00DA5D1B" w:rsidRPr="004E008A">
        <w:rPr>
          <w:rFonts w:ascii="Verdana" w:hAnsi="Verdana"/>
          <w:sz w:val="20"/>
          <w:szCs w:val="20"/>
        </w:rPr>
        <w:t xml:space="preserve">46, 49, </w:t>
      </w:r>
      <w:r w:rsidRPr="004E008A">
        <w:rPr>
          <w:rFonts w:ascii="Verdana" w:hAnsi="Verdana"/>
          <w:sz w:val="20"/>
          <w:szCs w:val="20"/>
        </w:rPr>
        <w:t>50, 57 y 58 del Reglamento</w:t>
      </w:r>
      <w:r w:rsidR="00DA5D1B" w:rsidRPr="004E008A">
        <w:rPr>
          <w:rStyle w:val="Refdenotaalpie"/>
          <w:rFonts w:ascii="Verdana" w:hAnsi="Verdana"/>
          <w:sz w:val="20"/>
          <w:szCs w:val="20"/>
        </w:rPr>
        <w:footnoteReference w:id="3"/>
      </w:r>
      <w:r w:rsidRPr="004E008A">
        <w:rPr>
          <w:rFonts w:ascii="Verdana" w:hAnsi="Verdana"/>
          <w:sz w:val="20"/>
          <w:szCs w:val="20"/>
        </w:rPr>
        <w:t xml:space="preserve">. </w:t>
      </w:r>
    </w:p>
    <w:p w14:paraId="1C2BA6C2" w14:textId="77777777" w:rsidR="000953E8" w:rsidRPr="004E008A" w:rsidRDefault="000953E8" w:rsidP="00B40323">
      <w:pPr>
        <w:pStyle w:val="Prrafodelista"/>
        <w:tabs>
          <w:tab w:val="left" w:pos="567"/>
        </w:tabs>
        <w:spacing w:after="0" w:line="216" w:lineRule="auto"/>
        <w:ind w:left="567" w:right="615"/>
        <w:jc w:val="both"/>
        <w:rPr>
          <w:rFonts w:ascii="Verdana" w:eastAsia="Verdana" w:hAnsi="Verdana"/>
          <w:sz w:val="16"/>
          <w:szCs w:val="16"/>
          <w:lang w:val="es-PE"/>
        </w:rPr>
      </w:pPr>
    </w:p>
    <w:p w14:paraId="54913CFB" w14:textId="77777777" w:rsidR="008F1F71" w:rsidRPr="004E008A" w:rsidRDefault="008F1F71" w:rsidP="00B40323">
      <w:pPr>
        <w:pStyle w:val="Prrafodelista"/>
        <w:tabs>
          <w:tab w:val="left" w:pos="567"/>
        </w:tabs>
        <w:spacing w:after="0" w:line="216" w:lineRule="auto"/>
        <w:ind w:left="567" w:right="615"/>
        <w:jc w:val="both"/>
        <w:rPr>
          <w:rFonts w:ascii="Verdana" w:eastAsia="Verdana" w:hAnsi="Verdana"/>
          <w:sz w:val="20"/>
          <w:szCs w:val="20"/>
          <w:lang w:val="es-PE"/>
        </w:rPr>
      </w:pPr>
    </w:p>
    <w:p w14:paraId="51A9118E" w14:textId="7CECCB54" w:rsidR="000953E8" w:rsidRPr="004E008A" w:rsidRDefault="000953E8" w:rsidP="00B40323">
      <w:pPr>
        <w:pStyle w:val="Prrafodelista"/>
        <w:numPr>
          <w:ilvl w:val="0"/>
          <w:numId w:val="12"/>
        </w:numPr>
        <w:tabs>
          <w:tab w:val="left" w:pos="567"/>
        </w:tabs>
        <w:spacing w:after="0" w:line="216" w:lineRule="auto"/>
        <w:ind w:right="615"/>
        <w:jc w:val="both"/>
        <w:rPr>
          <w:rFonts w:ascii="Verdana" w:eastAsia="Verdana" w:hAnsi="Verdana"/>
          <w:b/>
          <w:i/>
          <w:sz w:val="20"/>
          <w:szCs w:val="20"/>
          <w:lang w:val="es-PE"/>
        </w:rPr>
      </w:pPr>
      <w:r w:rsidRPr="004E008A">
        <w:rPr>
          <w:rFonts w:ascii="Verdana" w:eastAsia="Verdana" w:hAnsi="Verdana"/>
          <w:b/>
          <w:i/>
          <w:sz w:val="20"/>
          <w:szCs w:val="20"/>
          <w:lang w:val="es-PE"/>
        </w:rPr>
        <w:t>Sobre la</w:t>
      </w:r>
      <w:r w:rsidR="007A32A9" w:rsidRPr="004E008A">
        <w:rPr>
          <w:rFonts w:ascii="Verdana" w:eastAsia="Verdana" w:hAnsi="Verdana"/>
          <w:b/>
          <w:i/>
          <w:sz w:val="20"/>
          <w:szCs w:val="20"/>
          <w:lang w:val="es-PE"/>
        </w:rPr>
        <w:t xml:space="preserve"> solicitud de que dos declaraciones de presuntas víctimas sean brindadas por videoconferencia</w:t>
      </w:r>
    </w:p>
    <w:p w14:paraId="5E134D73" w14:textId="77777777" w:rsidR="006D3B70" w:rsidRPr="004E008A" w:rsidRDefault="006D3B70" w:rsidP="00B40323">
      <w:pPr>
        <w:pStyle w:val="Prrafodelista"/>
        <w:tabs>
          <w:tab w:val="left" w:pos="540"/>
        </w:tabs>
        <w:spacing w:after="0" w:line="216" w:lineRule="auto"/>
        <w:ind w:left="0" w:right="4"/>
        <w:jc w:val="both"/>
        <w:rPr>
          <w:rFonts w:ascii="Verdana" w:eastAsia="Verdana" w:hAnsi="Verdana"/>
          <w:sz w:val="20"/>
          <w:szCs w:val="20"/>
          <w:lang w:val="es-PE"/>
        </w:rPr>
      </w:pPr>
    </w:p>
    <w:p w14:paraId="795A83D5" w14:textId="237348E5" w:rsidR="00A37D23" w:rsidRPr="004E008A" w:rsidRDefault="007A32A9" w:rsidP="000A234B">
      <w:pPr>
        <w:pStyle w:val="Prrafodelista"/>
        <w:numPr>
          <w:ilvl w:val="0"/>
          <w:numId w:val="2"/>
        </w:numPr>
        <w:tabs>
          <w:tab w:val="left" w:pos="540"/>
        </w:tabs>
        <w:spacing w:after="0" w:line="216" w:lineRule="auto"/>
        <w:ind w:left="0" w:right="4" w:firstLine="0"/>
        <w:jc w:val="both"/>
        <w:rPr>
          <w:rFonts w:ascii="Verdana" w:hAnsi="Verdana"/>
          <w:sz w:val="20"/>
          <w:szCs w:val="20"/>
          <w:lang w:val="es-PE"/>
        </w:rPr>
      </w:pPr>
      <w:r w:rsidRPr="004E008A">
        <w:rPr>
          <w:rFonts w:ascii="Verdana" w:hAnsi="Verdana"/>
          <w:sz w:val="20"/>
          <w:szCs w:val="20"/>
        </w:rPr>
        <w:t xml:space="preserve">En su solicitud de “reconsideración” los </w:t>
      </w:r>
      <w:r w:rsidRPr="004E008A">
        <w:rPr>
          <w:rFonts w:ascii="Verdana" w:hAnsi="Verdana"/>
          <w:b/>
          <w:i/>
          <w:sz w:val="20"/>
          <w:szCs w:val="20"/>
        </w:rPr>
        <w:t>representantes</w:t>
      </w:r>
      <w:r w:rsidRPr="004E008A">
        <w:rPr>
          <w:rFonts w:ascii="Verdana" w:hAnsi="Verdana"/>
          <w:b/>
          <w:sz w:val="20"/>
          <w:szCs w:val="20"/>
        </w:rPr>
        <w:t xml:space="preserve"> </w:t>
      </w:r>
      <w:r w:rsidRPr="004E008A">
        <w:rPr>
          <w:rFonts w:ascii="Verdana" w:hAnsi="Verdana"/>
          <w:sz w:val="20"/>
          <w:szCs w:val="20"/>
        </w:rPr>
        <w:t xml:space="preserve">requirieron que la Corte disponga que las declaraciones de las presuntas víctimas </w:t>
      </w:r>
      <w:r w:rsidR="000A234B" w:rsidRPr="004E008A">
        <w:rPr>
          <w:rFonts w:ascii="Verdana" w:hAnsi="Verdana"/>
          <w:sz w:val="20"/>
          <w:szCs w:val="20"/>
          <w:lang w:eastAsia="es-ES"/>
        </w:rPr>
        <w:t xml:space="preserve">Belkis Josefina Correa Ríos y Myriam Josefina Herrera Sánchez sean dadas mediante videoconferencia. En sustento de su </w:t>
      </w:r>
      <w:r w:rsidR="00A37D23" w:rsidRPr="004E008A">
        <w:rPr>
          <w:rFonts w:ascii="Verdana" w:hAnsi="Verdana"/>
          <w:sz w:val="20"/>
          <w:szCs w:val="20"/>
          <w:lang w:eastAsia="es-ES"/>
        </w:rPr>
        <w:t>petición</w:t>
      </w:r>
      <w:r w:rsidR="000A234B" w:rsidRPr="004E008A">
        <w:rPr>
          <w:rFonts w:ascii="Verdana" w:hAnsi="Verdana"/>
          <w:sz w:val="20"/>
          <w:szCs w:val="20"/>
          <w:lang w:eastAsia="es-ES"/>
        </w:rPr>
        <w:t xml:space="preserve">, adujeron que: </w:t>
      </w:r>
    </w:p>
    <w:p w14:paraId="7980C984" w14:textId="77777777" w:rsidR="00A37D23" w:rsidRPr="004E008A" w:rsidRDefault="00A37D23" w:rsidP="00A37D23">
      <w:pPr>
        <w:pStyle w:val="Prrafodelista"/>
        <w:tabs>
          <w:tab w:val="left" w:pos="540"/>
        </w:tabs>
        <w:spacing w:after="0" w:line="216" w:lineRule="auto"/>
        <w:ind w:left="0" w:right="4"/>
        <w:jc w:val="both"/>
        <w:rPr>
          <w:rFonts w:ascii="Verdana" w:hAnsi="Verdana"/>
          <w:sz w:val="20"/>
          <w:szCs w:val="20"/>
          <w:lang w:eastAsia="es-ES"/>
        </w:rPr>
      </w:pPr>
    </w:p>
    <w:p w14:paraId="5CBFC3F0" w14:textId="77777777" w:rsidR="00A37D23" w:rsidRPr="004E008A" w:rsidRDefault="000A234B" w:rsidP="00A37D23">
      <w:pPr>
        <w:pStyle w:val="Prrafodelista"/>
        <w:tabs>
          <w:tab w:val="left" w:pos="540"/>
        </w:tabs>
        <w:spacing w:after="0" w:line="216" w:lineRule="auto"/>
        <w:ind w:left="284" w:right="4"/>
        <w:jc w:val="both"/>
        <w:rPr>
          <w:rFonts w:ascii="Verdana" w:hAnsi="Verdana"/>
          <w:sz w:val="20"/>
          <w:szCs w:val="20"/>
        </w:rPr>
      </w:pPr>
      <w:r w:rsidRPr="004E008A">
        <w:rPr>
          <w:rFonts w:ascii="Verdana" w:hAnsi="Verdana"/>
          <w:sz w:val="20"/>
          <w:szCs w:val="20"/>
          <w:lang w:eastAsia="es-ES"/>
        </w:rPr>
        <w:t xml:space="preserve">a) </w:t>
      </w:r>
      <w:r w:rsidRPr="004E008A">
        <w:rPr>
          <w:rFonts w:ascii="Verdana" w:hAnsi="Verdana"/>
          <w:sz w:val="20"/>
          <w:szCs w:val="20"/>
        </w:rPr>
        <w:t xml:space="preserve">como se desprende de las sucesivas reformas reglamentarias, que brindaron participación autónoma a las presuntas víctimas en el proceso ante la Corte, dicha participación resulta de importancia fundamental; </w:t>
      </w:r>
    </w:p>
    <w:p w14:paraId="1FE648BB" w14:textId="77777777" w:rsidR="00A37D23" w:rsidRPr="004E008A" w:rsidRDefault="000A234B" w:rsidP="00A37D23">
      <w:pPr>
        <w:pStyle w:val="Prrafodelista"/>
        <w:tabs>
          <w:tab w:val="left" w:pos="540"/>
        </w:tabs>
        <w:spacing w:after="0" w:line="216" w:lineRule="auto"/>
        <w:ind w:left="284" w:right="4"/>
        <w:jc w:val="both"/>
        <w:rPr>
          <w:rFonts w:ascii="Verdana" w:hAnsi="Verdana"/>
          <w:sz w:val="20"/>
          <w:szCs w:val="20"/>
        </w:rPr>
      </w:pPr>
      <w:r w:rsidRPr="004E008A">
        <w:rPr>
          <w:rFonts w:ascii="Verdana" w:hAnsi="Verdana"/>
          <w:sz w:val="20"/>
          <w:szCs w:val="20"/>
        </w:rPr>
        <w:t xml:space="preserve">b) si bien el Estado ha reconocido su responsabilidad en el cao, eso no hace innecesaria la presentación del “testimonio” de las presuntas víctimas; </w:t>
      </w:r>
    </w:p>
    <w:p w14:paraId="4E2E69F8" w14:textId="1BB47390" w:rsidR="00A37D23" w:rsidRPr="004E008A" w:rsidRDefault="000A234B" w:rsidP="00A37D23">
      <w:pPr>
        <w:pStyle w:val="Prrafodelista"/>
        <w:tabs>
          <w:tab w:val="left" w:pos="540"/>
        </w:tabs>
        <w:spacing w:after="0" w:line="216" w:lineRule="auto"/>
        <w:ind w:left="284" w:right="4"/>
        <w:jc w:val="both"/>
        <w:rPr>
          <w:rFonts w:ascii="Verdana" w:hAnsi="Verdana"/>
          <w:sz w:val="20"/>
          <w:szCs w:val="20"/>
        </w:rPr>
      </w:pPr>
      <w:r w:rsidRPr="004E008A">
        <w:rPr>
          <w:rFonts w:ascii="Verdana" w:hAnsi="Verdana"/>
          <w:sz w:val="20"/>
          <w:szCs w:val="20"/>
        </w:rPr>
        <w:t>c)</w:t>
      </w:r>
      <w:r w:rsidR="004E66B3" w:rsidRPr="004E008A">
        <w:rPr>
          <w:rFonts w:ascii="Verdana" w:hAnsi="Verdana"/>
          <w:sz w:val="20"/>
          <w:szCs w:val="20"/>
        </w:rPr>
        <w:t xml:space="preserve"> </w:t>
      </w:r>
      <w:r w:rsidRPr="004E008A">
        <w:rPr>
          <w:rFonts w:ascii="Verdana" w:hAnsi="Verdana"/>
          <w:sz w:val="20"/>
          <w:szCs w:val="20"/>
        </w:rPr>
        <w:t>las presuntas víctimas en el presente caso han “esperado casi 15 años una oportunidad para ser oídas en un tribunal</w:t>
      </w:r>
      <w:r w:rsidR="008F1F71" w:rsidRPr="004E008A">
        <w:rPr>
          <w:rFonts w:ascii="Verdana" w:hAnsi="Verdana"/>
          <w:sz w:val="20"/>
          <w:szCs w:val="20"/>
        </w:rPr>
        <w:t>”</w:t>
      </w:r>
      <w:r w:rsidRPr="004E008A">
        <w:rPr>
          <w:rFonts w:ascii="Verdana" w:hAnsi="Verdana"/>
          <w:sz w:val="20"/>
          <w:szCs w:val="20"/>
        </w:rPr>
        <w:t xml:space="preserve">, y </w:t>
      </w:r>
    </w:p>
    <w:p w14:paraId="350F4ECF" w14:textId="66EA286E" w:rsidR="000A234B" w:rsidRPr="004E008A" w:rsidRDefault="000A234B" w:rsidP="00A37D23">
      <w:pPr>
        <w:pStyle w:val="Prrafodelista"/>
        <w:tabs>
          <w:tab w:val="left" w:pos="540"/>
        </w:tabs>
        <w:spacing w:after="0" w:line="216" w:lineRule="auto"/>
        <w:ind w:left="284" w:right="4"/>
        <w:jc w:val="both"/>
        <w:rPr>
          <w:rFonts w:ascii="Verdana" w:hAnsi="Verdana"/>
          <w:sz w:val="20"/>
          <w:szCs w:val="20"/>
          <w:lang w:val="es-PE"/>
        </w:rPr>
      </w:pPr>
      <w:r w:rsidRPr="004E008A">
        <w:rPr>
          <w:rFonts w:ascii="Verdana" w:hAnsi="Verdana"/>
          <w:sz w:val="20"/>
        </w:rPr>
        <w:t>d)</w:t>
      </w:r>
      <w:r w:rsidR="004E66B3" w:rsidRPr="004E008A">
        <w:rPr>
          <w:rFonts w:ascii="Verdana" w:hAnsi="Verdana"/>
          <w:sz w:val="20"/>
        </w:rPr>
        <w:t xml:space="preserve"> </w:t>
      </w:r>
      <w:r w:rsidRPr="004E008A">
        <w:rPr>
          <w:rFonts w:ascii="Verdana" w:hAnsi="Verdana"/>
          <w:sz w:val="20"/>
        </w:rPr>
        <w:t xml:space="preserve">la Corte tiene potestad de realizar audiencias virtuales, como ya lo ha hecho en otras oportunidades. </w:t>
      </w:r>
    </w:p>
    <w:p w14:paraId="30AF3D91" w14:textId="32CFDF14" w:rsidR="00876EF3" w:rsidRPr="004E008A" w:rsidRDefault="00876EF3" w:rsidP="00876EF3">
      <w:pPr>
        <w:pStyle w:val="Prrafodelista"/>
        <w:tabs>
          <w:tab w:val="left" w:pos="540"/>
        </w:tabs>
        <w:spacing w:after="0" w:line="216" w:lineRule="auto"/>
        <w:ind w:left="0" w:right="4"/>
        <w:jc w:val="both"/>
        <w:rPr>
          <w:rFonts w:ascii="Verdana" w:eastAsia="Verdana" w:hAnsi="Verdana"/>
          <w:sz w:val="20"/>
          <w:szCs w:val="20"/>
          <w:lang w:val="es-PE"/>
        </w:rPr>
      </w:pPr>
    </w:p>
    <w:p w14:paraId="6BADCD91" w14:textId="632BB8FF" w:rsidR="00876EF3" w:rsidRPr="004E008A" w:rsidRDefault="00876EF3" w:rsidP="00B40323">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eastAsia="Verdana" w:hAnsi="Verdana"/>
          <w:sz w:val="20"/>
          <w:szCs w:val="20"/>
          <w:lang w:val="es-PE"/>
        </w:rPr>
        <w:t xml:space="preserve">Los representantes informaron contar con los medios técnicos necesarios para que las declaraciones de las dos presuntas víctimas antes nombradas sean recibidas por medio de video conferencia. </w:t>
      </w:r>
    </w:p>
    <w:p w14:paraId="72F3D8CA" w14:textId="77777777" w:rsidR="00876EF3" w:rsidRPr="004E008A" w:rsidRDefault="00876EF3" w:rsidP="00876EF3">
      <w:pPr>
        <w:pStyle w:val="Prrafodelista"/>
        <w:tabs>
          <w:tab w:val="left" w:pos="540"/>
        </w:tabs>
        <w:spacing w:after="0" w:line="216" w:lineRule="auto"/>
        <w:ind w:left="0" w:right="4"/>
        <w:jc w:val="both"/>
        <w:rPr>
          <w:rFonts w:ascii="Verdana" w:eastAsia="Verdana" w:hAnsi="Verdana"/>
          <w:sz w:val="20"/>
          <w:szCs w:val="20"/>
          <w:lang w:val="es-PE"/>
        </w:rPr>
      </w:pPr>
    </w:p>
    <w:p w14:paraId="3879865C" w14:textId="4073C01A" w:rsidR="00876EF3" w:rsidRPr="004E008A" w:rsidRDefault="00A37D23" w:rsidP="00876EF3">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hAnsi="Verdana"/>
          <w:sz w:val="20"/>
          <w:szCs w:val="20"/>
        </w:rPr>
        <w:t xml:space="preserve">El </w:t>
      </w:r>
      <w:r w:rsidRPr="004E008A">
        <w:rPr>
          <w:rFonts w:ascii="Verdana" w:hAnsi="Verdana"/>
          <w:b/>
          <w:i/>
          <w:sz w:val="20"/>
          <w:szCs w:val="20"/>
        </w:rPr>
        <w:t>Estado</w:t>
      </w:r>
      <w:r w:rsidRPr="004E008A">
        <w:rPr>
          <w:rFonts w:ascii="Verdana" w:hAnsi="Verdana"/>
          <w:sz w:val="20"/>
          <w:szCs w:val="20"/>
        </w:rPr>
        <w:t xml:space="preserve"> consideró </w:t>
      </w:r>
      <w:r w:rsidR="004E66B3" w:rsidRPr="004E008A">
        <w:rPr>
          <w:rFonts w:ascii="Verdana" w:hAnsi="Verdana"/>
          <w:sz w:val="20"/>
          <w:szCs w:val="20"/>
        </w:rPr>
        <w:t xml:space="preserve">“inviable”, </w:t>
      </w:r>
      <w:r w:rsidRPr="004E008A">
        <w:rPr>
          <w:rFonts w:ascii="Verdana" w:hAnsi="Verdana"/>
          <w:sz w:val="20"/>
          <w:szCs w:val="20"/>
        </w:rPr>
        <w:t>“improcedente y contrario a derecho” el requerimiento de los representantes</w:t>
      </w:r>
      <w:r w:rsidR="004E66B3" w:rsidRPr="004E008A">
        <w:rPr>
          <w:rFonts w:ascii="Verdana" w:hAnsi="Verdana"/>
          <w:sz w:val="20"/>
          <w:szCs w:val="20"/>
        </w:rPr>
        <w:t>. Afirmó que “no convalidará actuaciones que no se encuentran previstas en el Reglamento de la Corte”</w:t>
      </w:r>
      <w:r w:rsidRPr="004E008A">
        <w:rPr>
          <w:rFonts w:ascii="Verdana" w:hAnsi="Verdana"/>
          <w:sz w:val="20"/>
          <w:szCs w:val="20"/>
        </w:rPr>
        <w:t xml:space="preserve">. En sustento de su posición, expresó que </w:t>
      </w:r>
    </w:p>
    <w:p w14:paraId="6E5D2AE4" w14:textId="77777777" w:rsidR="00876EF3" w:rsidRPr="004E008A" w:rsidRDefault="00876EF3" w:rsidP="00876EF3">
      <w:pPr>
        <w:pStyle w:val="Prrafodelista"/>
        <w:spacing w:after="0"/>
        <w:rPr>
          <w:rFonts w:ascii="Verdana" w:hAnsi="Verdana"/>
          <w:sz w:val="20"/>
        </w:rPr>
      </w:pPr>
    </w:p>
    <w:p w14:paraId="06F5DB46" w14:textId="029A732C" w:rsidR="00876EF3" w:rsidRPr="004E008A" w:rsidRDefault="00876EF3" w:rsidP="00876EF3">
      <w:pPr>
        <w:pStyle w:val="Textoindependiente"/>
        <w:widowControl/>
        <w:ind w:left="284"/>
        <w:rPr>
          <w:rFonts w:ascii="Verdana" w:hAnsi="Verdana"/>
          <w:sz w:val="20"/>
        </w:rPr>
      </w:pPr>
      <w:r w:rsidRPr="004E008A">
        <w:rPr>
          <w:rFonts w:ascii="Verdana" w:hAnsi="Verdana"/>
          <w:sz w:val="20"/>
        </w:rPr>
        <w:t xml:space="preserve">a) el Reglamento de la Corte, de acuerdo a sus artículos </w:t>
      </w:r>
      <w:r w:rsidR="00AC4E87" w:rsidRPr="004E008A">
        <w:rPr>
          <w:rFonts w:ascii="Verdana" w:hAnsi="Verdana"/>
          <w:sz w:val="20"/>
        </w:rPr>
        <w:t>46, 50 y 51,</w:t>
      </w:r>
      <w:r w:rsidRPr="004E008A">
        <w:rPr>
          <w:rFonts w:ascii="Verdana" w:hAnsi="Verdana"/>
          <w:sz w:val="20"/>
        </w:rPr>
        <w:t xml:space="preserve"> solo prevé dos modalidades para la recepción de declaraciones, por affidávit o en audiencia pública; </w:t>
      </w:r>
    </w:p>
    <w:p w14:paraId="20E9B053" w14:textId="77777777" w:rsidR="00876EF3" w:rsidRPr="004E008A" w:rsidRDefault="00876EF3" w:rsidP="00876EF3">
      <w:pPr>
        <w:pStyle w:val="Textoindependiente"/>
        <w:widowControl/>
        <w:ind w:left="284"/>
        <w:rPr>
          <w:rFonts w:ascii="Verdana" w:hAnsi="Verdana"/>
          <w:sz w:val="20"/>
        </w:rPr>
      </w:pPr>
      <w:r w:rsidRPr="004E008A">
        <w:rPr>
          <w:rFonts w:ascii="Verdana" w:hAnsi="Verdana"/>
          <w:sz w:val="20"/>
        </w:rPr>
        <w:t>b) por lo tanto, para que fuera jurídicamente procedente lo solicitado por los representantes, sería necesario que la Corte convoque a “audiencia”;</w:t>
      </w:r>
    </w:p>
    <w:p w14:paraId="401E13DA" w14:textId="77777777" w:rsidR="00876EF3" w:rsidRPr="004E008A" w:rsidRDefault="00876EF3" w:rsidP="00876EF3">
      <w:pPr>
        <w:pStyle w:val="Textoindependiente"/>
        <w:widowControl/>
        <w:ind w:left="284"/>
        <w:rPr>
          <w:rFonts w:ascii="Verdana" w:hAnsi="Verdana"/>
          <w:sz w:val="20"/>
        </w:rPr>
      </w:pPr>
      <w:r w:rsidRPr="004E008A">
        <w:rPr>
          <w:rFonts w:ascii="Verdana" w:hAnsi="Verdana"/>
          <w:sz w:val="20"/>
        </w:rPr>
        <w:t xml:space="preserve">c) en el caso, la </w:t>
      </w:r>
      <w:proofErr w:type="gramStart"/>
      <w:r w:rsidRPr="004E008A">
        <w:rPr>
          <w:rFonts w:ascii="Verdana" w:hAnsi="Verdana"/>
          <w:sz w:val="20"/>
        </w:rPr>
        <w:t>Presidenta</w:t>
      </w:r>
      <w:proofErr w:type="gramEnd"/>
      <w:r w:rsidRPr="004E008A">
        <w:rPr>
          <w:rFonts w:ascii="Verdana" w:hAnsi="Verdana"/>
          <w:sz w:val="20"/>
        </w:rPr>
        <w:t xml:space="preserve"> ha decidido no convocar a audiencia, y esa determinación no ha sido cuestionada por los representantes, y</w:t>
      </w:r>
    </w:p>
    <w:p w14:paraId="5CEC78C5" w14:textId="77777777" w:rsidR="00876EF3" w:rsidRPr="004E008A" w:rsidRDefault="00876EF3" w:rsidP="00876EF3">
      <w:pPr>
        <w:pStyle w:val="Textoindependiente"/>
        <w:widowControl/>
        <w:ind w:left="284"/>
        <w:rPr>
          <w:rFonts w:ascii="Verdana" w:hAnsi="Verdana"/>
          <w:sz w:val="20"/>
        </w:rPr>
      </w:pPr>
      <w:r w:rsidRPr="004E008A">
        <w:rPr>
          <w:rFonts w:ascii="Verdana" w:hAnsi="Verdana"/>
          <w:sz w:val="20"/>
        </w:rPr>
        <w:t>d) no existe un “derecho” de las presuntas víctimas a ser escuchadas en audiencia pública.</w:t>
      </w:r>
    </w:p>
    <w:p w14:paraId="785C45FC" w14:textId="77777777" w:rsidR="00876EF3" w:rsidRPr="004E008A" w:rsidRDefault="00876EF3" w:rsidP="00876EF3">
      <w:pPr>
        <w:pStyle w:val="Prrafodelista"/>
        <w:rPr>
          <w:rFonts w:ascii="Verdana" w:hAnsi="Verdana"/>
          <w:sz w:val="20"/>
        </w:rPr>
      </w:pPr>
    </w:p>
    <w:p w14:paraId="1442C947" w14:textId="29243DA2" w:rsidR="00876EF3" w:rsidRPr="004E008A" w:rsidRDefault="00876EF3" w:rsidP="00876EF3">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hAnsi="Verdana"/>
          <w:sz w:val="20"/>
        </w:rPr>
        <w:t xml:space="preserve">Venezuela manifestó también que la decisión de convocar a audiencia es una facultad discrecional de la Corte, y que el Reglamento no permite audiencias virtuales o por videoconferencia, sino solo que en el marco de audiencias presenciales se reciban declaraciones por medios electrónicos audiovisuales. </w:t>
      </w:r>
    </w:p>
    <w:p w14:paraId="034AA253" w14:textId="77777777" w:rsidR="00876EF3" w:rsidRPr="004E008A" w:rsidRDefault="00876EF3" w:rsidP="00876EF3">
      <w:pPr>
        <w:pStyle w:val="Prrafodelista"/>
        <w:tabs>
          <w:tab w:val="left" w:pos="540"/>
        </w:tabs>
        <w:spacing w:after="0" w:line="216" w:lineRule="auto"/>
        <w:ind w:left="0" w:right="4"/>
        <w:jc w:val="both"/>
        <w:rPr>
          <w:rFonts w:ascii="Verdana" w:eastAsia="Verdana" w:hAnsi="Verdana"/>
          <w:sz w:val="20"/>
          <w:szCs w:val="20"/>
          <w:lang w:val="es-PE"/>
        </w:rPr>
      </w:pPr>
    </w:p>
    <w:p w14:paraId="59B1565A" w14:textId="480BBA72" w:rsidR="00876EF3" w:rsidRPr="004E008A" w:rsidRDefault="006E08B7" w:rsidP="00876EF3">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eastAsia="Verdana" w:hAnsi="Verdana"/>
          <w:sz w:val="20"/>
          <w:szCs w:val="20"/>
          <w:lang w:val="es-PE"/>
        </w:rPr>
        <w:t xml:space="preserve">El Estado no presentó información, pese a habérsele solicitado, sobre si cuenta con los medios técnicos </w:t>
      </w:r>
      <w:r w:rsidR="00876EF3" w:rsidRPr="004E008A">
        <w:rPr>
          <w:rFonts w:ascii="Verdana" w:eastAsia="Verdana" w:hAnsi="Verdana"/>
          <w:sz w:val="20"/>
          <w:szCs w:val="20"/>
          <w:lang w:val="es-PE"/>
        </w:rPr>
        <w:t>n</w:t>
      </w:r>
      <w:r w:rsidRPr="004E008A">
        <w:rPr>
          <w:rFonts w:ascii="Verdana" w:eastAsia="Verdana" w:hAnsi="Verdana"/>
          <w:sz w:val="20"/>
          <w:szCs w:val="20"/>
          <w:lang w:val="es-PE"/>
        </w:rPr>
        <w:t>ecesarios</w:t>
      </w:r>
      <w:r w:rsidR="00876EF3" w:rsidRPr="004E008A">
        <w:rPr>
          <w:rFonts w:ascii="Verdana" w:eastAsia="Verdana" w:hAnsi="Verdana"/>
          <w:sz w:val="20"/>
          <w:szCs w:val="20"/>
          <w:lang w:val="es-PE"/>
        </w:rPr>
        <w:t xml:space="preserve"> para estar presente en una diligencia en que las declaraciones de presuntas víctimas sean dadas por videoconferencia. </w:t>
      </w:r>
    </w:p>
    <w:p w14:paraId="52449AA0" w14:textId="77777777" w:rsidR="00876EF3" w:rsidRPr="004E008A" w:rsidRDefault="00876EF3" w:rsidP="00876EF3">
      <w:pPr>
        <w:pStyle w:val="Prrafodelista"/>
        <w:rPr>
          <w:rFonts w:ascii="Verdana" w:eastAsia="Verdana" w:hAnsi="Verdana"/>
          <w:sz w:val="20"/>
          <w:szCs w:val="20"/>
          <w:lang w:val="es-PE"/>
        </w:rPr>
      </w:pPr>
    </w:p>
    <w:p w14:paraId="38BE8F58" w14:textId="7A83EBE7" w:rsidR="006F379E" w:rsidRPr="004E008A" w:rsidRDefault="00876EF3" w:rsidP="006F379E">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eastAsia="Verdana" w:hAnsi="Verdana"/>
          <w:sz w:val="20"/>
          <w:szCs w:val="20"/>
          <w:lang w:val="es-PE"/>
        </w:rPr>
        <w:t xml:space="preserve">La </w:t>
      </w:r>
      <w:r w:rsidRPr="004E008A">
        <w:rPr>
          <w:rFonts w:ascii="Verdana" w:eastAsia="Verdana" w:hAnsi="Verdana"/>
          <w:b/>
          <w:i/>
          <w:sz w:val="20"/>
          <w:szCs w:val="20"/>
          <w:lang w:val="es-PE"/>
        </w:rPr>
        <w:t>Comisión</w:t>
      </w:r>
      <w:r w:rsidRPr="004E008A">
        <w:rPr>
          <w:rFonts w:ascii="Verdana" w:eastAsia="Verdana" w:hAnsi="Verdana"/>
          <w:i/>
          <w:sz w:val="20"/>
          <w:szCs w:val="20"/>
          <w:lang w:val="es-PE"/>
        </w:rPr>
        <w:t xml:space="preserve"> </w:t>
      </w:r>
      <w:r w:rsidR="006F379E" w:rsidRPr="004E008A">
        <w:rPr>
          <w:rFonts w:ascii="Verdana" w:eastAsia="Verdana" w:hAnsi="Verdana"/>
          <w:sz w:val="20"/>
          <w:szCs w:val="20"/>
          <w:lang w:val="es-PE"/>
        </w:rPr>
        <w:t xml:space="preserve">afirmó que </w:t>
      </w:r>
      <w:r w:rsidR="006F379E" w:rsidRPr="004E008A">
        <w:rPr>
          <w:rFonts w:ascii="Verdana" w:hAnsi="Verdana"/>
          <w:sz w:val="20"/>
        </w:rPr>
        <w:t>sería “</w:t>
      </w:r>
      <w:proofErr w:type="spellStart"/>
      <w:r w:rsidR="006F379E" w:rsidRPr="004E008A">
        <w:rPr>
          <w:rFonts w:ascii="Verdana" w:hAnsi="Verdana"/>
          <w:sz w:val="20"/>
        </w:rPr>
        <w:t>positiv</w:t>
      </w:r>
      <w:proofErr w:type="spellEnd"/>
      <w:r w:rsidR="006F379E" w:rsidRPr="004E008A">
        <w:rPr>
          <w:rFonts w:ascii="Verdana" w:hAnsi="Verdana"/>
          <w:sz w:val="20"/>
        </w:rPr>
        <w:t xml:space="preserve">[o]” que las presuntas víctimas pudieran ser escuchadas por videoconferencia, dado el “carácter reparador” que ello tendría. Entendió, además, que eso daría al Estado la posibilidad de interrogar a las personas declarantes, por lo que no se vería afectado el derecho de defensa de Venezuela ni el principio de contradicción. La Comisión manifestó también su disponibilidad para participar en la diligencia y contar con los medios técnicos para hacerlo. </w:t>
      </w:r>
    </w:p>
    <w:p w14:paraId="3F6D5FC5" w14:textId="77777777" w:rsidR="006F379E" w:rsidRPr="004E008A" w:rsidRDefault="006F379E" w:rsidP="006F379E">
      <w:pPr>
        <w:pStyle w:val="Prrafodelista"/>
        <w:rPr>
          <w:rFonts w:ascii="Verdana" w:hAnsi="Verdana"/>
          <w:sz w:val="20"/>
        </w:rPr>
      </w:pPr>
    </w:p>
    <w:p w14:paraId="22064C89" w14:textId="77777777" w:rsidR="001D6F39" w:rsidRPr="004E008A" w:rsidRDefault="006F379E" w:rsidP="001D6F39">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hAnsi="Verdana"/>
          <w:sz w:val="20"/>
        </w:rPr>
        <w:t xml:space="preserve">La </w:t>
      </w:r>
      <w:r w:rsidRPr="004E008A">
        <w:rPr>
          <w:rFonts w:ascii="Verdana" w:hAnsi="Verdana"/>
          <w:b/>
          <w:i/>
          <w:sz w:val="20"/>
        </w:rPr>
        <w:t>Corte</w:t>
      </w:r>
      <w:r w:rsidRPr="004E008A">
        <w:rPr>
          <w:rFonts w:ascii="Verdana" w:hAnsi="Verdana"/>
          <w:sz w:val="20"/>
        </w:rPr>
        <w:t xml:space="preserve"> </w:t>
      </w:r>
      <w:r w:rsidR="00BC61D0" w:rsidRPr="004E008A">
        <w:rPr>
          <w:rFonts w:ascii="Verdana" w:hAnsi="Verdana"/>
          <w:sz w:val="20"/>
        </w:rPr>
        <w:t xml:space="preserve">recuerda que en la Resolución de 30 de junio de 2020 se determinó no convocar a audiencia pública, por razones de economía procesal, considerando el reconocimiento de responsabilidad </w:t>
      </w:r>
      <w:r w:rsidR="00AC4E87" w:rsidRPr="004E008A">
        <w:rPr>
          <w:rFonts w:ascii="Verdana" w:hAnsi="Verdana"/>
          <w:sz w:val="20"/>
        </w:rPr>
        <w:t>manifestado</w:t>
      </w:r>
      <w:r w:rsidR="00BC61D0" w:rsidRPr="004E008A">
        <w:rPr>
          <w:rFonts w:ascii="Verdana" w:hAnsi="Verdana"/>
          <w:sz w:val="20"/>
        </w:rPr>
        <w:t xml:space="preserve"> por el Estado, la posibilidad de recibir declaraciones por escrito y </w:t>
      </w:r>
      <w:r w:rsidR="00BC61D0" w:rsidRPr="004E008A">
        <w:rPr>
          <w:rFonts w:ascii="Verdana" w:eastAsia="Verdana" w:hAnsi="Verdana"/>
          <w:sz w:val="20"/>
          <w:szCs w:val="20"/>
        </w:rPr>
        <w:t>“</w:t>
      </w:r>
      <w:r w:rsidR="00BC61D0" w:rsidRPr="004E008A">
        <w:rPr>
          <w:rFonts w:ascii="Verdana" w:hAnsi="Verdana"/>
          <w:sz w:val="20"/>
          <w:szCs w:val="20"/>
        </w:rPr>
        <w:t xml:space="preserve">la situación originada a causa de la pandemia por la propagación del COVID-19, cuyos efectos son de público conocimiento y persisten en la actualidad, </w:t>
      </w:r>
      <w:r w:rsidR="004F725C" w:rsidRPr="004E008A">
        <w:rPr>
          <w:rFonts w:ascii="Verdana" w:hAnsi="Verdana"/>
          <w:sz w:val="20"/>
          <w:szCs w:val="20"/>
        </w:rPr>
        <w:t xml:space="preserve">[y que] </w:t>
      </w:r>
      <w:r w:rsidR="00BC61D0" w:rsidRPr="004E008A">
        <w:rPr>
          <w:rFonts w:ascii="Verdana" w:hAnsi="Verdana"/>
          <w:sz w:val="20"/>
          <w:szCs w:val="20"/>
        </w:rPr>
        <w:t>conlleva obstáculos notorios para llevar a cabo una audiencia pública”</w:t>
      </w:r>
      <w:r w:rsidR="00BC61D0" w:rsidRPr="004E008A">
        <w:rPr>
          <w:rStyle w:val="Refdenotaalpie"/>
          <w:rFonts w:ascii="Verdana" w:hAnsi="Verdana"/>
          <w:sz w:val="20"/>
          <w:szCs w:val="20"/>
        </w:rPr>
        <w:footnoteReference w:id="4"/>
      </w:r>
      <w:r w:rsidR="00BC61D0" w:rsidRPr="004E008A">
        <w:rPr>
          <w:rFonts w:ascii="Verdana" w:hAnsi="Verdana"/>
          <w:sz w:val="20"/>
          <w:szCs w:val="20"/>
        </w:rPr>
        <w:t>.</w:t>
      </w:r>
    </w:p>
    <w:p w14:paraId="76967671" w14:textId="77777777" w:rsidR="001D6F39" w:rsidRPr="004E008A" w:rsidRDefault="001D6F39" w:rsidP="001D6F39">
      <w:pPr>
        <w:pStyle w:val="Prrafodelista"/>
        <w:rPr>
          <w:rFonts w:ascii="Verdana" w:hAnsi="Verdana" w:cs="Verdana"/>
          <w:szCs w:val="20"/>
          <w:highlight w:val="yellow"/>
          <w:lang w:val="es-ES"/>
        </w:rPr>
      </w:pPr>
    </w:p>
    <w:p w14:paraId="3A34AF7A" w14:textId="2055330A" w:rsidR="001E28E3" w:rsidRPr="004E008A" w:rsidRDefault="001E28E3" w:rsidP="0001473C">
      <w:pPr>
        <w:pStyle w:val="Prrafodelista"/>
        <w:numPr>
          <w:ilvl w:val="0"/>
          <w:numId w:val="2"/>
        </w:numPr>
        <w:tabs>
          <w:tab w:val="left" w:pos="540"/>
        </w:tabs>
        <w:spacing w:after="0" w:line="216" w:lineRule="auto"/>
        <w:ind w:left="0" w:right="4" w:firstLine="0"/>
        <w:jc w:val="both"/>
        <w:rPr>
          <w:rFonts w:ascii="Verdana" w:eastAsia="Verdana" w:hAnsi="Verdana"/>
          <w:sz w:val="20"/>
          <w:szCs w:val="20"/>
          <w:lang w:val="es-PE"/>
        </w:rPr>
      </w:pPr>
      <w:r w:rsidRPr="004E008A">
        <w:rPr>
          <w:rFonts w:ascii="Verdana" w:hAnsi="Verdana" w:cs="Verdana"/>
          <w:sz w:val="20"/>
          <w:szCs w:val="20"/>
          <w:lang w:val="es-ES"/>
        </w:rPr>
        <w:t xml:space="preserve">Los representantes, en su solicitud de </w:t>
      </w:r>
      <w:r w:rsidR="0001473C">
        <w:rPr>
          <w:rFonts w:ascii="Verdana" w:hAnsi="Verdana" w:cs="Verdana"/>
          <w:sz w:val="20"/>
          <w:szCs w:val="20"/>
          <w:lang w:val="es-ES"/>
        </w:rPr>
        <w:t>“</w:t>
      </w:r>
      <w:r w:rsidRPr="004E008A">
        <w:rPr>
          <w:rFonts w:ascii="Verdana" w:hAnsi="Verdana" w:cs="Verdana"/>
          <w:sz w:val="20"/>
          <w:szCs w:val="20"/>
          <w:lang w:val="es-ES"/>
        </w:rPr>
        <w:t>reconsideración</w:t>
      </w:r>
      <w:r w:rsidR="0001473C">
        <w:rPr>
          <w:rFonts w:ascii="Verdana" w:hAnsi="Verdana" w:cs="Verdana"/>
          <w:sz w:val="20"/>
          <w:szCs w:val="20"/>
          <w:lang w:val="es-ES"/>
        </w:rPr>
        <w:t>”</w:t>
      </w:r>
      <w:r w:rsidRPr="004E008A">
        <w:rPr>
          <w:rFonts w:ascii="Verdana" w:hAnsi="Verdana" w:cs="Verdana"/>
          <w:sz w:val="20"/>
          <w:szCs w:val="20"/>
          <w:lang w:val="es-ES"/>
        </w:rPr>
        <w:t xml:space="preserve">, no han cuestionado la determinación de la </w:t>
      </w:r>
      <w:proofErr w:type="gramStart"/>
      <w:r w:rsidRPr="004E008A">
        <w:rPr>
          <w:rFonts w:ascii="Verdana" w:hAnsi="Verdana" w:cs="Verdana"/>
          <w:sz w:val="20"/>
          <w:szCs w:val="20"/>
          <w:lang w:val="es-ES"/>
        </w:rPr>
        <w:t>Presidenta</w:t>
      </w:r>
      <w:proofErr w:type="gramEnd"/>
      <w:r w:rsidRPr="004E008A">
        <w:rPr>
          <w:rFonts w:ascii="Verdana" w:hAnsi="Verdana" w:cs="Verdana"/>
          <w:sz w:val="20"/>
          <w:szCs w:val="20"/>
          <w:lang w:val="es-ES"/>
        </w:rPr>
        <w:t xml:space="preserve">, adoptada en consulta con el Pleno de la Corte, de </w:t>
      </w:r>
      <w:r w:rsidRPr="004E008A">
        <w:rPr>
          <w:rFonts w:ascii="Verdana" w:hAnsi="Verdana"/>
          <w:sz w:val="20"/>
          <w:szCs w:val="20"/>
        </w:rPr>
        <w:t xml:space="preserve">proseguir el trámite del presente caso prescindiendo de la audiencia pública, </w:t>
      </w:r>
      <w:r w:rsidRPr="004E008A">
        <w:rPr>
          <w:rFonts w:ascii="Verdana" w:hAnsi="Verdana" w:cs="Verdana"/>
          <w:sz w:val="20"/>
          <w:szCs w:val="20"/>
          <w:lang w:val="es-ES"/>
        </w:rPr>
        <w:t>sino que han</w:t>
      </w:r>
      <w:r w:rsidR="001D6F39" w:rsidRPr="004E008A">
        <w:rPr>
          <w:rFonts w:ascii="Verdana" w:hAnsi="Verdana" w:cs="Verdana"/>
          <w:sz w:val="20"/>
          <w:szCs w:val="20"/>
          <w:lang w:val="es-ES"/>
        </w:rPr>
        <w:t xml:space="preserve"> requerido que dos</w:t>
      </w:r>
      <w:r w:rsidRPr="004E008A">
        <w:rPr>
          <w:rFonts w:ascii="Verdana" w:hAnsi="Verdana" w:cs="Verdana"/>
          <w:sz w:val="20"/>
          <w:szCs w:val="20"/>
          <w:lang w:val="es-ES"/>
        </w:rPr>
        <w:t xml:space="preserve"> de las presuntas víctimas </w:t>
      </w:r>
      <w:r w:rsidR="0001473C">
        <w:rPr>
          <w:rFonts w:ascii="Verdana" w:hAnsi="Verdana" w:cs="Verdana"/>
          <w:sz w:val="20"/>
          <w:szCs w:val="20"/>
          <w:lang w:val="es-ES"/>
        </w:rPr>
        <w:t xml:space="preserve">no </w:t>
      </w:r>
      <w:r w:rsidRPr="004E008A">
        <w:rPr>
          <w:rFonts w:ascii="Verdana" w:hAnsi="Verdana" w:cs="Verdana"/>
          <w:sz w:val="20"/>
          <w:szCs w:val="20"/>
          <w:lang w:val="es-ES"/>
        </w:rPr>
        <w:t>brinde</w:t>
      </w:r>
      <w:r w:rsidR="0001473C">
        <w:rPr>
          <w:rFonts w:ascii="Verdana" w:hAnsi="Verdana" w:cs="Verdana"/>
          <w:sz w:val="20"/>
          <w:szCs w:val="20"/>
          <w:lang w:val="es-ES"/>
        </w:rPr>
        <w:t>n</w:t>
      </w:r>
      <w:r w:rsidRPr="004E008A">
        <w:rPr>
          <w:rFonts w:ascii="Verdana" w:hAnsi="Verdana" w:cs="Verdana"/>
          <w:sz w:val="20"/>
          <w:szCs w:val="20"/>
          <w:lang w:val="es-ES"/>
        </w:rPr>
        <w:t xml:space="preserve"> su declaración por escrito</w:t>
      </w:r>
      <w:r w:rsidR="0001473C">
        <w:rPr>
          <w:rFonts w:ascii="Verdana" w:hAnsi="Verdana" w:cs="Verdana"/>
          <w:sz w:val="20"/>
          <w:szCs w:val="20"/>
          <w:lang w:val="es-ES"/>
        </w:rPr>
        <w:t>,</w:t>
      </w:r>
      <w:r w:rsidRPr="004E008A">
        <w:rPr>
          <w:rFonts w:ascii="Verdana" w:hAnsi="Verdana" w:cs="Verdana"/>
          <w:sz w:val="20"/>
          <w:szCs w:val="20"/>
          <w:lang w:val="es-ES"/>
        </w:rPr>
        <w:t xml:space="preserve"> como fue ordenado en dicha Resolución, sino que lo haga</w:t>
      </w:r>
      <w:r w:rsidR="0001473C">
        <w:rPr>
          <w:rFonts w:ascii="Verdana" w:hAnsi="Verdana" w:cs="Verdana"/>
          <w:sz w:val="20"/>
          <w:szCs w:val="20"/>
          <w:lang w:val="es-ES"/>
        </w:rPr>
        <w:t>n</w:t>
      </w:r>
      <w:r w:rsidRPr="004E008A">
        <w:rPr>
          <w:rFonts w:ascii="Verdana" w:hAnsi="Verdana" w:cs="Verdana"/>
          <w:sz w:val="20"/>
          <w:szCs w:val="20"/>
          <w:lang w:val="es-ES"/>
        </w:rPr>
        <w:t xml:space="preserve"> en forma oral, en una diligencia específica que se realizaría por medio de videoconferencia. </w:t>
      </w:r>
    </w:p>
    <w:p w14:paraId="123CBA1C" w14:textId="77777777" w:rsidR="001E28E3" w:rsidRPr="004E008A" w:rsidRDefault="001E28E3" w:rsidP="0001473C">
      <w:pPr>
        <w:pStyle w:val="Prrafodelista"/>
        <w:spacing w:after="0"/>
        <w:ind w:left="0"/>
        <w:rPr>
          <w:rFonts w:ascii="Verdana" w:hAnsi="Verdana" w:cs="Verdana"/>
          <w:strike/>
          <w:sz w:val="20"/>
          <w:szCs w:val="20"/>
          <w:lang w:val="es-ES"/>
        </w:rPr>
      </w:pPr>
    </w:p>
    <w:p w14:paraId="3EBC6F08" w14:textId="77777777" w:rsidR="001E28E3" w:rsidRPr="004E008A" w:rsidRDefault="001E28E3" w:rsidP="0001473C">
      <w:pPr>
        <w:numPr>
          <w:ilvl w:val="0"/>
          <w:numId w:val="2"/>
        </w:numPr>
        <w:ind w:left="0" w:right="18" w:firstLine="0"/>
        <w:jc w:val="both"/>
        <w:rPr>
          <w:rFonts w:cs="Verdana"/>
          <w:lang w:val="es-ES"/>
        </w:rPr>
      </w:pPr>
      <w:r w:rsidRPr="004E008A">
        <w:rPr>
          <w:rFonts w:cs="Verdana"/>
          <w:lang w:val="es-ES"/>
        </w:rPr>
        <w:t xml:space="preserve">Ante ello, la Corte advierte que las disposiciones contenidas en el Reglamento le confieren amplias facultades para disponer diligencias de prueba, como lo ponen de manifiesto los artículos 50, 57 y 58, antes citados. </w:t>
      </w:r>
      <w:r w:rsidRPr="004E008A">
        <w:rPr>
          <w:rFonts w:eastAsia="Verdana"/>
          <w:lang w:val="es-PE"/>
        </w:rPr>
        <w:t>Así, el artículo 58 del Reglamento, en su inciso a., establece que, “[e]n cualquier estado de la causa la Corte podrá […p]</w:t>
      </w:r>
      <w:proofErr w:type="spellStart"/>
      <w:r w:rsidRPr="004E008A">
        <w:rPr>
          <w:rFonts w:eastAsia="Verdana"/>
          <w:lang w:val="es-PE"/>
        </w:rPr>
        <w:t>rocurar</w:t>
      </w:r>
      <w:proofErr w:type="spellEnd"/>
      <w:r w:rsidRPr="004E008A">
        <w:rPr>
          <w:rFonts w:eastAsia="Verdana"/>
          <w:lang w:val="es-PE"/>
        </w:rPr>
        <w:t xml:space="preserve"> de oficio toda prueba que considere útil y necesaria. En particular, podrá oír en calidad de presunta víctima, testigo, perito o por otro título, a cualquier persona cuya declaración, testimonio, u opinión estime pertinente”. Por su parte, los incisos d. y e. de esa misma disposición reglamentaria autorizan al Tribunal a “[c]</w:t>
      </w:r>
      <w:proofErr w:type="spellStart"/>
      <w:r w:rsidRPr="004E008A">
        <w:rPr>
          <w:rFonts w:eastAsia="Verdana"/>
          <w:lang w:val="es-PE"/>
        </w:rPr>
        <w:t>omisionar</w:t>
      </w:r>
      <w:proofErr w:type="spellEnd"/>
      <w:r w:rsidRPr="004E008A">
        <w:rPr>
          <w:rFonts w:eastAsia="Verdana"/>
          <w:lang w:val="es-PE"/>
        </w:rPr>
        <w:t xml:space="preserve"> a uno o varios de sus miembros para que realicen cualquier medida de instrucción, incluyendo audiencias, ya sea en la sede de la Corte o fuera de esta”, y, “[e]n el caso de que sea imposible proceder en los términos del inciso anterior, […] comisionar a la Secretaría para que lleve a cabo las medidas de instrucción que se requieran”</w:t>
      </w:r>
      <w:r w:rsidRPr="004E008A">
        <w:rPr>
          <w:rStyle w:val="Refdenotaalpie"/>
          <w:rFonts w:eastAsia="Verdana"/>
          <w:lang w:val="es-PE"/>
        </w:rPr>
        <w:footnoteReference w:id="5"/>
      </w:r>
      <w:r w:rsidRPr="004E008A">
        <w:rPr>
          <w:rFonts w:eastAsia="Verdana"/>
          <w:lang w:val="es-PE"/>
        </w:rPr>
        <w:t>.</w:t>
      </w:r>
    </w:p>
    <w:p w14:paraId="5DFC5BD9" w14:textId="77777777" w:rsidR="001E28E3" w:rsidRPr="004E008A" w:rsidRDefault="001E28E3" w:rsidP="001D6F39">
      <w:pPr>
        <w:ind w:right="18"/>
        <w:rPr>
          <w:rFonts w:cs="Verdana"/>
          <w:lang w:val="es-ES"/>
        </w:rPr>
      </w:pPr>
    </w:p>
    <w:p w14:paraId="355C7AC9" w14:textId="77777777" w:rsidR="001E28E3" w:rsidRPr="004E008A" w:rsidRDefault="001E28E3" w:rsidP="001D6F39">
      <w:pPr>
        <w:numPr>
          <w:ilvl w:val="0"/>
          <w:numId w:val="2"/>
        </w:numPr>
        <w:ind w:left="0" w:right="18" w:firstLine="0"/>
        <w:jc w:val="both"/>
        <w:rPr>
          <w:rFonts w:cs="Verdana"/>
          <w:lang w:val="es-ES"/>
        </w:rPr>
      </w:pPr>
      <w:r w:rsidRPr="004E008A">
        <w:rPr>
          <w:rFonts w:cs="Verdana"/>
          <w:lang w:val="es-ES"/>
        </w:rPr>
        <w:t xml:space="preserve">En cualquier caso, </w:t>
      </w:r>
      <w:r w:rsidRPr="004E008A">
        <w:rPr>
          <w:lang w:val="es-CR"/>
        </w:rPr>
        <w:t>toda potestad o facultad de este Tribunal se ejerce con pleno respeto a los principios procesales que rigen su actuación. Es así que el procedimiento garantiza el equilibrio procesal entre las partes intervinientes, otorgando a ambas la posibilidad de presentar los medios probatorios que consideren pertinentes a su pretensión. En esa línea, la Corte considera que lo esencial en este ámbito es que no se menoscabe o restrinja el derecho de defensa de las partes en el procedimiento</w:t>
      </w:r>
      <w:r w:rsidRPr="004E008A">
        <w:rPr>
          <w:rStyle w:val="Refdenotaalpie"/>
        </w:rPr>
        <w:footnoteReference w:id="6"/>
      </w:r>
      <w:r w:rsidRPr="004E008A">
        <w:rPr>
          <w:lang w:val="es-CR"/>
        </w:rPr>
        <w:t>.</w:t>
      </w:r>
    </w:p>
    <w:p w14:paraId="37DF3A86" w14:textId="77777777" w:rsidR="001E28E3" w:rsidRPr="004E008A" w:rsidRDefault="001E28E3" w:rsidP="001D6F39">
      <w:pPr>
        <w:pStyle w:val="Prrafodelista"/>
        <w:spacing w:after="0"/>
        <w:ind w:left="0"/>
        <w:rPr>
          <w:rFonts w:ascii="Verdana" w:hAnsi="Verdana" w:cs="Verdana"/>
          <w:sz w:val="20"/>
          <w:szCs w:val="20"/>
          <w:lang w:val="es-ES"/>
        </w:rPr>
      </w:pPr>
    </w:p>
    <w:p w14:paraId="09D507CA" w14:textId="1EA89039" w:rsidR="001E28E3" w:rsidRPr="004E008A" w:rsidRDefault="001E28E3" w:rsidP="001D6F39">
      <w:pPr>
        <w:numPr>
          <w:ilvl w:val="0"/>
          <w:numId w:val="2"/>
        </w:numPr>
        <w:ind w:left="0" w:right="18" w:firstLine="0"/>
        <w:jc w:val="both"/>
        <w:rPr>
          <w:rFonts w:cs="Verdana"/>
          <w:lang w:val="es-ES"/>
        </w:rPr>
      </w:pPr>
      <w:r w:rsidRPr="004E008A">
        <w:rPr>
          <w:rFonts w:cs="Verdana"/>
          <w:lang w:val="es-ES"/>
        </w:rPr>
        <w:t>De esa cuenta, a partir de una interpretación integral y sistemática de las disposiciones contenidas en el Reg</w:t>
      </w:r>
      <w:r w:rsidR="0001473C">
        <w:rPr>
          <w:rFonts w:cs="Verdana"/>
          <w:lang w:val="es-ES"/>
        </w:rPr>
        <w:t>lamento, dirigida a hacer eficaces</w:t>
      </w:r>
      <w:r w:rsidRPr="004E008A">
        <w:rPr>
          <w:rFonts w:cs="Verdana"/>
          <w:lang w:val="es-ES"/>
        </w:rPr>
        <w:t xml:space="preserve"> los fines de la jurisdicción interamericana sobre derechos humanos con plena observancia de los derechos de las partes, se concluye que no existe limitante normativa alguna que impida disponer la recepción de una declaración, sea esta testimonial, pericial o de presuntas víctimas, por videoconferencia, aún en el supuesto de que se haya decidido no celebrar audiencia pública, como acontece en el presente caso. En tal sentido, lo esencial es que en el desarrollo de la diligencia respectiva se garantice el contradictorio.</w:t>
      </w:r>
    </w:p>
    <w:p w14:paraId="4C989371" w14:textId="77777777" w:rsidR="001E28E3" w:rsidRPr="004E008A" w:rsidRDefault="001E28E3" w:rsidP="001D6F39">
      <w:pPr>
        <w:rPr>
          <w:rFonts w:eastAsia="Verdana"/>
          <w:lang w:val="es-PE"/>
        </w:rPr>
      </w:pPr>
    </w:p>
    <w:p w14:paraId="145D45B2" w14:textId="77777777" w:rsidR="001E28E3" w:rsidRPr="004E008A" w:rsidRDefault="001E28E3" w:rsidP="001D6F39">
      <w:pPr>
        <w:numPr>
          <w:ilvl w:val="0"/>
          <w:numId w:val="2"/>
        </w:numPr>
        <w:ind w:left="0" w:firstLine="0"/>
        <w:jc w:val="both"/>
        <w:rPr>
          <w:rFonts w:eastAsia="Verdana"/>
          <w:lang w:val="es-PE"/>
        </w:rPr>
      </w:pPr>
      <w:r w:rsidRPr="004E008A">
        <w:rPr>
          <w:rFonts w:eastAsia="Verdana"/>
          <w:lang w:val="es-PE"/>
        </w:rPr>
        <w:t xml:space="preserve">La Corte advierte, asimismo, la importancia que tienen las declaraciones de las presuntas víctimas en los procesos que se siguen ante el Tribunal. Nota, además, que los representantes y la Comisión han expresado que cuentan con las condiciones técnicas necesarias para intervenir en una videoconferencia. </w:t>
      </w:r>
    </w:p>
    <w:p w14:paraId="594789DD" w14:textId="77777777" w:rsidR="001E28E3" w:rsidRPr="004E008A" w:rsidRDefault="001E28E3" w:rsidP="001D6F39">
      <w:pPr>
        <w:rPr>
          <w:rFonts w:cs="Verdana"/>
          <w:lang w:val="es-ES"/>
        </w:rPr>
      </w:pPr>
    </w:p>
    <w:p w14:paraId="2880D913" w14:textId="0FB59DA2" w:rsidR="001E28E3" w:rsidRPr="004E008A" w:rsidRDefault="001E28E3" w:rsidP="001D6F39">
      <w:pPr>
        <w:numPr>
          <w:ilvl w:val="0"/>
          <w:numId w:val="2"/>
        </w:numPr>
        <w:ind w:left="0" w:firstLine="0"/>
        <w:jc w:val="both"/>
        <w:rPr>
          <w:rFonts w:cs="Verdana"/>
          <w:lang w:val="es-ES"/>
        </w:rPr>
      </w:pPr>
      <w:r w:rsidRPr="004E008A">
        <w:rPr>
          <w:rFonts w:cs="Verdana"/>
          <w:lang w:val="es-ES"/>
        </w:rPr>
        <w:t>Con base en las consideraciones anteriores, y en atención a los motivos expresados por los representantes al solicitar que la</w:t>
      </w:r>
      <w:r w:rsidR="001D6F39" w:rsidRPr="004E008A">
        <w:rPr>
          <w:rFonts w:cs="Verdana"/>
          <w:lang w:val="es-ES"/>
        </w:rPr>
        <w:t>s</w:t>
      </w:r>
      <w:r w:rsidRPr="004E008A">
        <w:rPr>
          <w:rFonts w:cs="Verdana"/>
          <w:lang w:val="es-ES"/>
        </w:rPr>
        <w:t xml:space="preserve"> declaraci</w:t>
      </w:r>
      <w:r w:rsidR="001D6F39" w:rsidRPr="004E008A">
        <w:rPr>
          <w:rFonts w:cs="Verdana"/>
          <w:lang w:val="es-ES"/>
        </w:rPr>
        <w:t>o</w:t>
      </w:r>
      <w:r w:rsidRPr="004E008A">
        <w:rPr>
          <w:rFonts w:cs="Verdana"/>
          <w:lang w:val="es-ES"/>
        </w:rPr>
        <w:t>n</w:t>
      </w:r>
      <w:r w:rsidR="001D6F39" w:rsidRPr="004E008A">
        <w:rPr>
          <w:rFonts w:cs="Verdana"/>
          <w:lang w:val="es-ES"/>
        </w:rPr>
        <w:t>es</w:t>
      </w:r>
      <w:r w:rsidRPr="004E008A">
        <w:rPr>
          <w:rFonts w:cs="Verdana"/>
          <w:lang w:val="es-ES"/>
        </w:rPr>
        <w:t xml:space="preserve"> de la</w:t>
      </w:r>
      <w:r w:rsidR="001D6F39" w:rsidRPr="004E008A">
        <w:rPr>
          <w:rFonts w:cs="Verdana"/>
          <w:lang w:val="es-ES"/>
        </w:rPr>
        <w:t>s</w:t>
      </w:r>
      <w:r w:rsidRPr="004E008A">
        <w:rPr>
          <w:rFonts w:cs="Verdana"/>
          <w:lang w:val="es-ES"/>
        </w:rPr>
        <w:t xml:space="preserve"> señora</w:t>
      </w:r>
      <w:r w:rsidR="001D6F39" w:rsidRPr="004E008A">
        <w:rPr>
          <w:rFonts w:cs="Verdana"/>
          <w:lang w:val="es-ES"/>
        </w:rPr>
        <w:t>s</w:t>
      </w:r>
      <w:r w:rsidRPr="004E008A">
        <w:rPr>
          <w:rFonts w:cs="Verdana"/>
          <w:lang w:val="es-ES"/>
        </w:rPr>
        <w:t xml:space="preserve"> </w:t>
      </w:r>
      <w:r w:rsidR="001D6F39" w:rsidRPr="004E008A">
        <w:rPr>
          <w:lang w:val="es-CR" w:eastAsia="es-ES"/>
        </w:rPr>
        <w:t>Belkis Josefina Correa Ríos y Myriam Josefina Herrera Sánchez</w:t>
      </w:r>
      <w:r w:rsidR="001D6F39" w:rsidRPr="004E008A">
        <w:rPr>
          <w:rFonts w:cs="Verdana"/>
          <w:lang w:val="es-ES"/>
        </w:rPr>
        <w:t xml:space="preserve"> </w:t>
      </w:r>
      <w:r w:rsidRPr="004E008A">
        <w:rPr>
          <w:rFonts w:cs="Verdana"/>
          <w:lang w:val="es-ES"/>
        </w:rPr>
        <w:t>sea</w:t>
      </w:r>
      <w:r w:rsidR="001D6F39" w:rsidRPr="004E008A">
        <w:rPr>
          <w:rFonts w:cs="Verdana"/>
          <w:lang w:val="es-ES"/>
        </w:rPr>
        <w:t>n</w:t>
      </w:r>
      <w:r w:rsidRPr="004E008A">
        <w:rPr>
          <w:rFonts w:cs="Verdana"/>
          <w:lang w:val="es-ES"/>
        </w:rPr>
        <w:t xml:space="preserve"> rendida</w:t>
      </w:r>
      <w:r w:rsidR="001D6F39" w:rsidRPr="004E008A">
        <w:rPr>
          <w:rFonts w:cs="Verdana"/>
          <w:lang w:val="es-ES"/>
        </w:rPr>
        <w:t>s</w:t>
      </w:r>
      <w:r w:rsidRPr="004E008A">
        <w:rPr>
          <w:rFonts w:cs="Verdana"/>
          <w:lang w:val="es-ES"/>
        </w:rPr>
        <w:t xml:space="preserve"> en forma oral, el Tribunal estima procedente acceder a la </w:t>
      </w:r>
      <w:r w:rsidR="0001473C">
        <w:rPr>
          <w:rFonts w:cs="Verdana"/>
          <w:lang w:val="es-ES"/>
        </w:rPr>
        <w:t>“</w:t>
      </w:r>
      <w:r w:rsidRPr="004E008A">
        <w:rPr>
          <w:rFonts w:cs="Verdana"/>
          <w:lang w:val="es-ES"/>
        </w:rPr>
        <w:t>reconsideración</w:t>
      </w:r>
      <w:r w:rsidR="0001473C">
        <w:rPr>
          <w:rFonts w:cs="Verdana"/>
          <w:lang w:val="es-ES"/>
        </w:rPr>
        <w:t>”</w:t>
      </w:r>
      <w:r w:rsidRPr="004E008A">
        <w:rPr>
          <w:rFonts w:cs="Verdana"/>
          <w:lang w:val="es-ES"/>
        </w:rPr>
        <w:t xml:space="preserve"> planteada, en el sentido que dicha</w:t>
      </w:r>
      <w:r w:rsidR="001D6F39" w:rsidRPr="004E008A">
        <w:rPr>
          <w:rFonts w:cs="Verdana"/>
          <w:lang w:val="es-ES"/>
        </w:rPr>
        <w:t>s</w:t>
      </w:r>
      <w:r w:rsidRPr="004E008A">
        <w:rPr>
          <w:rFonts w:cs="Verdana"/>
          <w:lang w:val="es-ES"/>
        </w:rPr>
        <w:t xml:space="preserve"> declaraci</w:t>
      </w:r>
      <w:r w:rsidR="001D6F39" w:rsidRPr="004E008A">
        <w:rPr>
          <w:rFonts w:cs="Verdana"/>
          <w:lang w:val="es-ES"/>
        </w:rPr>
        <w:t>o</w:t>
      </w:r>
      <w:r w:rsidRPr="004E008A">
        <w:rPr>
          <w:rFonts w:cs="Verdana"/>
          <w:lang w:val="es-ES"/>
        </w:rPr>
        <w:t>n</w:t>
      </w:r>
      <w:r w:rsidR="001D6F39" w:rsidRPr="004E008A">
        <w:rPr>
          <w:rFonts w:cs="Verdana"/>
          <w:lang w:val="es-ES"/>
        </w:rPr>
        <w:t>es</w:t>
      </w:r>
      <w:r w:rsidRPr="004E008A">
        <w:rPr>
          <w:rFonts w:cs="Verdana"/>
          <w:lang w:val="es-ES"/>
        </w:rPr>
        <w:t xml:space="preserve"> será</w:t>
      </w:r>
      <w:r w:rsidR="001D6F39" w:rsidRPr="004E008A">
        <w:rPr>
          <w:rFonts w:cs="Verdana"/>
          <w:lang w:val="es-ES"/>
        </w:rPr>
        <w:t>n</w:t>
      </w:r>
      <w:r w:rsidRPr="004E008A">
        <w:rPr>
          <w:rFonts w:cs="Verdana"/>
          <w:lang w:val="es-ES"/>
        </w:rPr>
        <w:t xml:space="preserve"> recibida</w:t>
      </w:r>
      <w:r w:rsidR="001D6F39" w:rsidRPr="004E008A">
        <w:rPr>
          <w:rFonts w:cs="Verdana"/>
          <w:lang w:val="es-ES"/>
        </w:rPr>
        <w:t>s</w:t>
      </w:r>
      <w:r w:rsidRPr="004E008A">
        <w:rPr>
          <w:rFonts w:cs="Verdana"/>
          <w:lang w:val="es-ES"/>
        </w:rPr>
        <w:t xml:space="preserve"> mediante videoconferencia, con participación de las partes y la Comisión, oportunidad en la que los representantes y el Estado podrán formular preguntas de conformidad con lo que dispone el artículo 52.2 del Reglamento. Para el efecto, se especificará lo pertinente </w:t>
      </w:r>
      <w:r w:rsidRPr="004E008A">
        <w:rPr>
          <w:lang w:val="es-CR"/>
        </w:rPr>
        <w:t xml:space="preserve">en la parte resolutiva de la presente Resolución </w:t>
      </w:r>
      <w:r w:rsidRPr="004E008A">
        <w:rPr>
          <w:rFonts w:cs="Arial"/>
          <w:lang w:val="es-CR"/>
        </w:rPr>
        <w:t>(</w:t>
      </w:r>
      <w:r w:rsidRPr="004E008A">
        <w:rPr>
          <w:rFonts w:cs="Arial"/>
          <w:i/>
          <w:lang w:val="es-CR"/>
        </w:rPr>
        <w:t xml:space="preserve">infra </w:t>
      </w:r>
      <w:r w:rsidRPr="004E008A">
        <w:rPr>
          <w:rFonts w:cs="Arial"/>
          <w:lang w:val="es-CR"/>
        </w:rPr>
        <w:t>punto resolutivo 2).</w:t>
      </w:r>
    </w:p>
    <w:p w14:paraId="25794CF5" w14:textId="77777777" w:rsidR="00C50573" w:rsidRDefault="00C50573" w:rsidP="00B40323">
      <w:pPr>
        <w:pStyle w:val="Prrafodelista"/>
        <w:spacing w:line="216" w:lineRule="auto"/>
        <w:rPr>
          <w:rFonts w:ascii="Verdana" w:eastAsia="Verdana" w:hAnsi="Verdana"/>
          <w:sz w:val="20"/>
          <w:szCs w:val="20"/>
          <w:lang w:val="es-PE"/>
        </w:rPr>
      </w:pPr>
    </w:p>
    <w:p w14:paraId="49057F73" w14:textId="77777777" w:rsidR="00002403" w:rsidRDefault="00002403" w:rsidP="00B40323">
      <w:pPr>
        <w:pStyle w:val="Prrafodelista"/>
        <w:spacing w:line="216" w:lineRule="auto"/>
        <w:rPr>
          <w:rFonts w:ascii="Verdana" w:eastAsia="Verdana" w:hAnsi="Verdana"/>
          <w:sz w:val="20"/>
          <w:szCs w:val="20"/>
          <w:lang w:val="es-PE"/>
        </w:rPr>
      </w:pPr>
    </w:p>
    <w:p w14:paraId="72F7341F" w14:textId="77777777" w:rsidR="00002403" w:rsidRDefault="00002403" w:rsidP="00B40323">
      <w:pPr>
        <w:pStyle w:val="Prrafodelista"/>
        <w:spacing w:line="216" w:lineRule="auto"/>
        <w:rPr>
          <w:rFonts w:ascii="Verdana" w:eastAsia="Verdana" w:hAnsi="Verdana"/>
          <w:sz w:val="20"/>
          <w:szCs w:val="20"/>
          <w:lang w:val="es-PE"/>
        </w:rPr>
      </w:pPr>
    </w:p>
    <w:p w14:paraId="109775D6" w14:textId="77777777" w:rsidR="00002403" w:rsidRPr="004E008A" w:rsidRDefault="00002403" w:rsidP="00B40323">
      <w:pPr>
        <w:pStyle w:val="Prrafodelista"/>
        <w:spacing w:line="216" w:lineRule="auto"/>
        <w:rPr>
          <w:rFonts w:ascii="Verdana" w:eastAsia="Verdana" w:hAnsi="Verdana"/>
          <w:sz w:val="20"/>
          <w:szCs w:val="20"/>
          <w:lang w:val="es-PE"/>
        </w:rPr>
      </w:pPr>
    </w:p>
    <w:p w14:paraId="0074DF5C" w14:textId="612572FA" w:rsidR="00C50573" w:rsidRPr="004E008A" w:rsidRDefault="00C50573" w:rsidP="00EF47D0">
      <w:pPr>
        <w:pStyle w:val="Prrafodelista"/>
        <w:numPr>
          <w:ilvl w:val="0"/>
          <w:numId w:val="12"/>
        </w:numPr>
        <w:spacing w:line="216" w:lineRule="auto"/>
        <w:rPr>
          <w:rFonts w:ascii="Verdana" w:eastAsia="Verdana" w:hAnsi="Verdana"/>
          <w:b/>
          <w:i/>
          <w:sz w:val="20"/>
          <w:szCs w:val="20"/>
          <w:lang w:val="es-PE"/>
        </w:rPr>
      </w:pPr>
      <w:r w:rsidRPr="004E008A">
        <w:rPr>
          <w:rFonts w:ascii="Verdana" w:hAnsi="Verdana"/>
          <w:b/>
          <w:i/>
          <w:sz w:val="20"/>
          <w:szCs w:val="20"/>
        </w:rPr>
        <w:t xml:space="preserve">Sobre </w:t>
      </w:r>
      <w:r w:rsidR="00AB6F8F" w:rsidRPr="004E008A">
        <w:rPr>
          <w:rFonts w:ascii="Verdana" w:hAnsi="Verdana"/>
          <w:b/>
          <w:i/>
          <w:sz w:val="20"/>
          <w:szCs w:val="20"/>
        </w:rPr>
        <w:t>la extensión del plazo para presentar las declaraciones escritas</w:t>
      </w:r>
    </w:p>
    <w:p w14:paraId="74B8DBED" w14:textId="77777777" w:rsidR="00AB6F8F" w:rsidRPr="004E008A" w:rsidRDefault="00AB6F8F" w:rsidP="00AB6F8F">
      <w:pPr>
        <w:pStyle w:val="Prrafodelista"/>
        <w:spacing w:line="216" w:lineRule="auto"/>
        <w:ind w:left="927"/>
        <w:rPr>
          <w:rFonts w:ascii="Verdana" w:eastAsia="Verdana" w:hAnsi="Verdana"/>
          <w:sz w:val="20"/>
          <w:szCs w:val="20"/>
          <w:lang w:val="es-PE"/>
        </w:rPr>
      </w:pPr>
    </w:p>
    <w:p w14:paraId="03A83EBD" w14:textId="5C0C4A17" w:rsidR="00AB6F8F" w:rsidRPr="004E008A" w:rsidRDefault="00AB6F8F" w:rsidP="00AB6F8F">
      <w:pPr>
        <w:pStyle w:val="Prrafodelista"/>
        <w:numPr>
          <w:ilvl w:val="0"/>
          <w:numId w:val="2"/>
        </w:numPr>
        <w:autoSpaceDE w:val="0"/>
        <w:autoSpaceDN w:val="0"/>
        <w:adjustRightInd w:val="0"/>
        <w:spacing w:after="0" w:line="216" w:lineRule="auto"/>
        <w:ind w:left="0" w:right="4" w:firstLine="0"/>
        <w:jc w:val="both"/>
        <w:rPr>
          <w:rFonts w:ascii="Verdana" w:eastAsia="Verdana" w:hAnsi="Verdana"/>
          <w:sz w:val="20"/>
          <w:szCs w:val="20"/>
          <w:lang w:val="es-PE"/>
        </w:rPr>
      </w:pPr>
      <w:r w:rsidRPr="004E008A">
        <w:rPr>
          <w:rFonts w:ascii="Verdana" w:eastAsia="Verdana" w:hAnsi="Verdana"/>
          <w:sz w:val="20"/>
          <w:szCs w:val="20"/>
          <w:lang w:val="es-PE"/>
        </w:rPr>
        <w:t xml:space="preserve">Los </w:t>
      </w:r>
      <w:r w:rsidRPr="004E008A">
        <w:rPr>
          <w:rFonts w:ascii="Verdana" w:eastAsia="Verdana" w:hAnsi="Verdana"/>
          <w:b/>
          <w:i/>
          <w:sz w:val="20"/>
          <w:szCs w:val="20"/>
          <w:lang w:val="es-PE"/>
        </w:rPr>
        <w:t xml:space="preserve">representantes </w:t>
      </w:r>
      <w:r w:rsidRPr="004E008A">
        <w:rPr>
          <w:rFonts w:ascii="Verdana" w:eastAsia="Verdana" w:hAnsi="Verdana"/>
          <w:sz w:val="20"/>
          <w:szCs w:val="20"/>
          <w:lang w:val="es-PE"/>
        </w:rPr>
        <w:t xml:space="preserve">requirieron que la Corte disponga una “extensión” del plazo fijado en el punto resolutivo 4 de la Resolución de 30 de junio de 2020, de modo que se fije un </w:t>
      </w:r>
      <w:r w:rsidR="004F725C" w:rsidRPr="004E008A">
        <w:rPr>
          <w:rFonts w:ascii="Verdana" w:eastAsia="Verdana" w:hAnsi="Verdana"/>
          <w:sz w:val="20"/>
          <w:szCs w:val="20"/>
          <w:lang w:val="es-PE"/>
        </w:rPr>
        <w:t>término</w:t>
      </w:r>
      <w:r w:rsidRPr="004E008A">
        <w:rPr>
          <w:rFonts w:ascii="Verdana" w:eastAsia="Verdana" w:hAnsi="Verdana"/>
          <w:sz w:val="20"/>
          <w:szCs w:val="20"/>
          <w:lang w:val="es-PE"/>
        </w:rPr>
        <w:t xml:space="preserve"> “hasta el 26 de agosto de 2020” para la presentación al Tribunal de las declaraciones que, conforme la misma Resolución, deben ser rendidas por escrito ante fedatario público. Adujeron que su solicitud se debe a la existencia de dificultades derivadas de la pandemia COVID 19</w:t>
      </w:r>
      <w:r w:rsidR="007962DF" w:rsidRPr="004E008A">
        <w:rPr>
          <w:rStyle w:val="Refdenotaalpie"/>
          <w:rFonts w:ascii="Verdana" w:eastAsia="Verdana" w:hAnsi="Verdana"/>
          <w:sz w:val="20"/>
          <w:szCs w:val="20"/>
          <w:lang w:val="es-PE"/>
        </w:rPr>
        <w:footnoteReference w:id="7"/>
      </w:r>
      <w:r w:rsidRPr="004E008A">
        <w:rPr>
          <w:rFonts w:ascii="Verdana" w:eastAsia="Verdana" w:hAnsi="Verdana"/>
          <w:sz w:val="20"/>
          <w:szCs w:val="20"/>
          <w:lang w:val="es-PE"/>
        </w:rPr>
        <w:t xml:space="preserve">. </w:t>
      </w:r>
    </w:p>
    <w:p w14:paraId="5454BED1" w14:textId="77777777" w:rsidR="007962DF" w:rsidRPr="004E008A" w:rsidRDefault="007962DF" w:rsidP="007962DF">
      <w:pPr>
        <w:pStyle w:val="Prrafodelista"/>
        <w:autoSpaceDE w:val="0"/>
        <w:autoSpaceDN w:val="0"/>
        <w:adjustRightInd w:val="0"/>
        <w:spacing w:after="0" w:line="216" w:lineRule="auto"/>
        <w:ind w:left="0" w:right="4"/>
        <w:jc w:val="both"/>
        <w:rPr>
          <w:rFonts w:ascii="Verdana" w:eastAsia="Verdana" w:hAnsi="Verdana"/>
          <w:sz w:val="20"/>
          <w:szCs w:val="20"/>
          <w:lang w:val="es-PE"/>
        </w:rPr>
      </w:pPr>
    </w:p>
    <w:p w14:paraId="3C8426D8" w14:textId="55FAFACF" w:rsidR="00D87E8C" w:rsidRPr="004E008A" w:rsidRDefault="007962DF" w:rsidP="00D87E8C">
      <w:pPr>
        <w:pStyle w:val="Prrafodelista"/>
        <w:numPr>
          <w:ilvl w:val="0"/>
          <w:numId w:val="2"/>
        </w:numPr>
        <w:autoSpaceDE w:val="0"/>
        <w:autoSpaceDN w:val="0"/>
        <w:adjustRightInd w:val="0"/>
        <w:spacing w:after="0" w:line="216" w:lineRule="auto"/>
        <w:ind w:left="0" w:right="4" w:firstLine="0"/>
        <w:jc w:val="both"/>
        <w:rPr>
          <w:rFonts w:ascii="Verdana" w:hAnsi="Verdana"/>
          <w:sz w:val="20"/>
        </w:rPr>
      </w:pPr>
      <w:r w:rsidRPr="004E008A">
        <w:rPr>
          <w:rFonts w:ascii="Verdana" w:eastAsia="Verdana" w:hAnsi="Verdana"/>
          <w:sz w:val="20"/>
          <w:szCs w:val="20"/>
          <w:lang w:val="es-PE"/>
        </w:rPr>
        <w:t xml:space="preserve">El </w:t>
      </w:r>
      <w:r w:rsidRPr="004E008A">
        <w:rPr>
          <w:rFonts w:ascii="Verdana" w:eastAsia="Verdana" w:hAnsi="Verdana"/>
          <w:b/>
          <w:i/>
          <w:sz w:val="20"/>
          <w:szCs w:val="20"/>
          <w:lang w:val="es-PE"/>
        </w:rPr>
        <w:t xml:space="preserve">Estado </w:t>
      </w:r>
      <w:r w:rsidR="009D6A3C" w:rsidRPr="004E008A">
        <w:rPr>
          <w:rFonts w:ascii="Verdana" w:eastAsia="Verdana" w:hAnsi="Verdana"/>
          <w:sz w:val="20"/>
          <w:szCs w:val="20"/>
          <w:lang w:val="es-PE"/>
        </w:rPr>
        <w:t xml:space="preserve">entendió procedente la solicitud de los representantes. Aseveró que, a </w:t>
      </w:r>
      <w:r w:rsidRPr="004E008A">
        <w:rPr>
          <w:rFonts w:ascii="Verdana" w:hAnsi="Verdana"/>
          <w:sz w:val="20"/>
        </w:rPr>
        <w:t xml:space="preserve">causa de la pandemia, </w:t>
      </w:r>
      <w:r w:rsidR="009D6A3C" w:rsidRPr="004E008A">
        <w:rPr>
          <w:rFonts w:ascii="Verdana" w:hAnsi="Verdana"/>
          <w:sz w:val="20"/>
        </w:rPr>
        <w:t>Venezuela</w:t>
      </w:r>
      <w:r w:rsidRPr="004E008A">
        <w:rPr>
          <w:rFonts w:ascii="Verdana" w:hAnsi="Verdana"/>
          <w:sz w:val="20"/>
        </w:rPr>
        <w:t xml:space="preserve"> ha adoptado una serie de acciones que impiden cumplir el plazo fijado</w:t>
      </w:r>
      <w:r w:rsidR="009D6A3C" w:rsidRPr="004E008A">
        <w:rPr>
          <w:rFonts w:ascii="Verdana" w:hAnsi="Verdana"/>
          <w:sz w:val="20"/>
        </w:rPr>
        <w:t xml:space="preserve"> en la Resolución de 30 de junio de 2020, tales como</w:t>
      </w:r>
      <w:r w:rsidRPr="004E008A">
        <w:rPr>
          <w:rFonts w:ascii="Verdana" w:hAnsi="Verdana"/>
          <w:sz w:val="20"/>
        </w:rPr>
        <w:t xml:space="preserve"> </w:t>
      </w:r>
      <w:r w:rsidR="00AB7640">
        <w:rPr>
          <w:rFonts w:ascii="Verdana" w:hAnsi="Verdana"/>
          <w:sz w:val="20"/>
        </w:rPr>
        <w:t>“</w:t>
      </w:r>
      <w:r w:rsidRPr="004E008A">
        <w:rPr>
          <w:rFonts w:ascii="Verdana" w:hAnsi="Verdana"/>
          <w:sz w:val="20"/>
        </w:rPr>
        <w:t>cuarentena</w:t>
      </w:r>
      <w:r w:rsidR="00AB7640">
        <w:rPr>
          <w:rFonts w:ascii="Verdana" w:hAnsi="Verdana"/>
          <w:sz w:val="20"/>
        </w:rPr>
        <w:t>”</w:t>
      </w:r>
      <w:r w:rsidR="009D6A3C" w:rsidRPr="004E008A">
        <w:rPr>
          <w:rFonts w:ascii="Verdana" w:hAnsi="Verdana"/>
          <w:sz w:val="20"/>
        </w:rPr>
        <w:t xml:space="preserve"> o </w:t>
      </w:r>
      <w:r w:rsidR="00AB7640">
        <w:rPr>
          <w:rFonts w:ascii="Verdana" w:hAnsi="Verdana"/>
          <w:sz w:val="20"/>
        </w:rPr>
        <w:t>“</w:t>
      </w:r>
      <w:r w:rsidR="009D6A3C" w:rsidRPr="004E008A">
        <w:rPr>
          <w:rFonts w:ascii="Verdana" w:hAnsi="Verdana"/>
          <w:sz w:val="20"/>
        </w:rPr>
        <w:t>confinamiento</w:t>
      </w:r>
      <w:r w:rsidR="00AB7640">
        <w:rPr>
          <w:rFonts w:ascii="Verdana" w:hAnsi="Verdana"/>
          <w:sz w:val="20"/>
        </w:rPr>
        <w:t>”</w:t>
      </w:r>
      <w:r w:rsidR="009D6A3C" w:rsidRPr="004E008A">
        <w:rPr>
          <w:rFonts w:ascii="Verdana" w:hAnsi="Verdana"/>
          <w:sz w:val="20"/>
        </w:rPr>
        <w:t xml:space="preserve"> y</w:t>
      </w:r>
      <w:r w:rsidRPr="004E008A">
        <w:rPr>
          <w:rFonts w:ascii="Verdana" w:hAnsi="Verdana"/>
          <w:sz w:val="20"/>
        </w:rPr>
        <w:t xml:space="preserve"> suspensión de la mayoría de actividades públicas o privadas, incluyendo registros y notarías.</w:t>
      </w:r>
      <w:r w:rsidR="009D6A3C" w:rsidRPr="004E008A">
        <w:rPr>
          <w:rFonts w:ascii="Verdana" w:hAnsi="Verdana"/>
          <w:sz w:val="20"/>
        </w:rPr>
        <w:t xml:space="preserve"> Afirmó que l</w:t>
      </w:r>
      <w:r w:rsidRPr="004E008A">
        <w:rPr>
          <w:rFonts w:ascii="Verdana" w:hAnsi="Verdana"/>
          <w:sz w:val="20"/>
        </w:rPr>
        <w:t xml:space="preserve">a extensión no debería ser menor a 30 días. </w:t>
      </w:r>
    </w:p>
    <w:p w14:paraId="2088C0A6" w14:textId="77777777" w:rsidR="00D87E8C" w:rsidRPr="004E008A" w:rsidRDefault="00D87E8C" w:rsidP="00D87E8C">
      <w:pPr>
        <w:pStyle w:val="Prrafodelista"/>
        <w:rPr>
          <w:rFonts w:ascii="Verdana" w:hAnsi="Verdana"/>
          <w:sz w:val="20"/>
        </w:rPr>
      </w:pPr>
    </w:p>
    <w:p w14:paraId="5BE552C3" w14:textId="77777777" w:rsidR="00D87E8C" w:rsidRPr="004E008A" w:rsidRDefault="009D6A3C" w:rsidP="00D87E8C">
      <w:pPr>
        <w:pStyle w:val="Prrafodelista"/>
        <w:numPr>
          <w:ilvl w:val="0"/>
          <w:numId w:val="2"/>
        </w:numPr>
        <w:autoSpaceDE w:val="0"/>
        <w:autoSpaceDN w:val="0"/>
        <w:adjustRightInd w:val="0"/>
        <w:spacing w:after="0" w:line="216" w:lineRule="auto"/>
        <w:ind w:left="0" w:right="4" w:firstLine="0"/>
        <w:jc w:val="both"/>
        <w:rPr>
          <w:rFonts w:ascii="Verdana" w:hAnsi="Verdana"/>
          <w:sz w:val="20"/>
          <w:szCs w:val="20"/>
        </w:rPr>
      </w:pPr>
      <w:r w:rsidRPr="004E008A">
        <w:rPr>
          <w:rFonts w:ascii="Verdana" w:hAnsi="Verdana"/>
          <w:sz w:val="20"/>
          <w:szCs w:val="20"/>
        </w:rPr>
        <w:t xml:space="preserve">La </w:t>
      </w:r>
      <w:r w:rsidRPr="004E008A">
        <w:rPr>
          <w:rFonts w:ascii="Verdana" w:hAnsi="Verdana"/>
          <w:b/>
          <w:i/>
          <w:sz w:val="20"/>
          <w:szCs w:val="20"/>
        </w:rPr>
        <w:t>Comisión</w:t>
      </w:r>
      <w:r w:rsidR="00D87E8C" w:rsidRPr="004E008A">
        <w:rPr>
          <w:rFonts w:ascii="Verdana" w:hAnsi="Verdana"/>
          <w:sz w:val="20"/>
          <w:szCs w:val="20"/>
        </w:rPr>
        <w:t>, en el mismo sentido que el Estado, consideró razonable la solicitud de los representantes, dados los “desafíos de fuerza mayor” generados por la pandemia.</w:t>
      </w:r>
    </w:p>
    <w:p w14:paraId="79D17175" w14:textId="3D058392" w:rsidR="00D87E8C" w:rsidRPr="004E008A" w:rsidRDefault="00D87E8C" w:rsidP="00D87E8C">
      <w:pPr>
        <w:pStyle w:val="Prrafodelista"/>
        <w:autoSpaceDE w:val="0"/>
        <w:autoSpaceDN w:val="0"/>
        <w:adjustRightInd w:val="0"/>
        <w:spacing w:after="0" w:line="216" w:lineRule="auto"/>
        <w:ind w:left="0" w:right="4"/>
        <w:jc w:val="both"/>
        <w:rPr>
          <w:rFonts w:ascii="Verdana" w:hAnsi="Verdana"/>
          <w:sz w:val="20"/>
          <w:szCs w:val="20"/>
        </w:rPr>
      </w:pPr>
    </w:p>
    <w:p w14:paraId="28F970DD" w14:textId="1874B65C" w:rsidR="001D6F39" w:rsidRPr="004E008A" w:rsidRDefault="001D6F39" w:rsidP="001D6F39">
      <w:pPr>
        <w:pStyle w:val="Prrafodelista"/>
        <w:numPr>
          <w:ilvl w:val="0"/>
          <w:numId w:val="2"/>
        </w:numPr>
        <w:autoSpaceDE w:val="0"/>
        <w:autoSpaceDN w:val="0"/>
        <w:adjustRightInd w:val="0"/>
        <w:spacing w:after="0" w:line="216" w:lineRule="auto"/>
        <w:ind w:left="0" w:right="4" w:firstLine="0"/>
        <w:jc w:val="both"/>
        <w:rPr>
          <w:rFonts w:ascii="Verdana" w:hAnsi="Verdana"/>
          <w:sz w:val="20"/>
          <w:szCs w:val="20"/>
          <w:lang w:val="es-MX"/>
        </w:rPr>
      </w:pPr>
      <w:r w:rsidRPr="004E008A">
        <w:rPr>
          <w:rFonts w:ascii="Verdana" w:hAnsi="Verdana"/>
          <w:sz w:val="20"/>
          <w:szCs w:val="20"/>
          <w:lang w:val="es-CL"/>
        </w:rPr>
        <w:t xml:space="preserve">En virtud de las dificultades que conlleva la situación actual imperante en el contexto de la pandemia </w:t>
      </w:r>
      <w:r w:rsidRPr="004E008A">
        <w:rPr>
          <w:rFonts w:ascii="Verdana" w:hAnsi="Verdana"/>
          <w:sz w:val="20"/>
          <w:szCs w:val="20"/>
        </w:rPr>
        <w:t>por la propagación del COVID-19</w:t>
      </w:r>
      <w:r w:rsidR="00AB7640">
        <w:rPr>
          <w:rFonts w:ascii="Verdana" w:hAnsi="Verdana"/>
          <w:sz w:val="20"/>
          <w:szCs w:val="20"/>
        </w:rPr>
        <w:t>,</w:t>
      </w:r>
      <w:r w:rsidRPr="004E008A">
        <w:rPr>
          <w:rFonts w:ascii="Verdana" w:hAnsi="Verdana"/>
          <w:sz w:val="20"/>
          <w:szCs w:val="20"/>
        </w:rPr>
        <w:t xml:space="preserve"> y atendiendo a que no ha habido objeciones al respecto</w:t>
      </w:r>
      <w:r w:rsidRPr="004E008A">
        <w:rPr>
          <w:rFonts w:ascii="Verdana" w:hAnsi="Verdana"/>
          <w:sz w:val="20"/>
          <w:szCs w:val="20"/>
          <w:lang w:val="es-CL"/>
        </w:rPr>
        <w:t xml:space="preserve">, la </w:t>
      </w:r>
      <w:r w:rsidRPr="004E008A">
        <w:rPr>
          <w:rFonts w:ascii="Verdana" w:hAnsi="Verdana"/>
          <w:b/>
          <w:i/>
          <w:sz w:val="20"/>
          <w:szCs w:val="20"/>
          <w:lang w:val="es-CL"/>
        </w:rPr>
        <w:t>Corte</w:t>
      </w:r>
      <w:r w:rsidRPr="004E008A">
        <w:rPr>
          <w:rFonts w:ascii="Verdana" w:hAnsi="Verdana"/>
          <w:sz w:val="20"/>
          <w:szCs w:val="20"/>
          <w:lang w:val="es-CL"/>
        </w:rPr>
        <w:t xml:space="preserve"> considera pertinente en este caso acceder a la solicitud de los representantes, a la que se adhirieron el Estado y la Comisión, para lo cual se especificará lo pertinente </w:t>
      </w:r>
      <w:r w:rsidRPr="004E008A">
        <w:rPr>
          <w:rFonts w:ascii="Verdana" w:hAnsi="Verdana" w:cs="Arial"/>
          <w:sz w:val="20"/>
          <w:szCs w:val="20"/>
        </w:rPr>
        <w:t>en la parte resolutiva de la presente Resolución (</w:t>
      </w:r>
      <w:r w:rsidRPr="004E008A">
        <w:rPr>
          <w:rFonts w:ascii="Verdana" w:hAnsi="Verdana" w:cs="Arial"/>
          <w:i/>
          <w:sz w:val="20"/>
          <w:szCs w:val="20"/>
        </w:rPr>
        <w:t xml:space="preserve">infra </w:t>
      </w:r>
      <w:r w:rsidRPr="004E008A">
        <w:rPr>
          <w:rFonts w:ascii="Verdana" w:hAnsi="Verdana" w:cs="Arial"/>
          <w:sz w:val="20"/>
          <w:szCs w:val="20"/>
        </w:rPr>
        <w:t>punto resolutivo 3).</w:t>
      </w:r>
    </w:p>
    <w:p w14:paraId="7DD300C9" w14:textId="77777777" w:rsidR="006D3B70" w:rsidRPr="004E008A" w:rsidRDefault="006D3B70" w:rsidP="00B40323">
      <w:pPr>
        <w:pStyle w:val="Numberedparagraphs"/>
        <w:numPr>
          <w:ilvl w:val="0"/>
          <w:numId w:val="0"/>
        </w:numPr>
        <w:tabs>
          <w:tab w:val="left" w:pos="567"/>
        </w:tabs>
        <w:spacing w:line="216" w:lineRule="auto"/>
        <w:rPr>
          <w:lang w:val="es-PE"/>
        </w:rPr>
      </w:pPr>
    </w:p>
    <w:p w14:paraId="22D20A18" w14:textId="77777777" w:rsidR="006D3B70" w:rsidRPr="004E008A" w:rsidRDefault="006D3B70" w:rsidP="00B40323">
      <w:pPr>
        <w:pStyle w:val="PrrafodeSentencia"/>
        <w:numPr>
          <w:ilvl w:val="0"/>
          <w:numId w:val="0"/>
        </w:numPr>
        <w:spacing w:line="216" w:lineRule="auto"/>
        <w:rPr>
          <w:b/>
        </w:rPr>
      </w:pPr>
      <w:r w:rsidRPr="004E008A">
        <w:rPr>
          <w:b/>
        </w:rPr>
        <w:t>POR TANTO:</w:t>
      </w:r>
    </w:p>
    <w:p w14:paraId="6EDA03EC" w14:textId="77777777" w:rsidR="006D3B70" w:rsidRPr="004E008A" w:rsidRDefault="006D3B70" w:rsidP="00B40323">
      <w:pPr>
        <w:tabs>
          <w:tab w:val="left" w:pos="567"/>
        </w:tabs>
        <w:spacing w:line="216" w:lineRule="auto"/>
        <w:jc w:val="both"/>
        <w:rPr>
          <w:b/>
          <w:lang w:val="es-MX"/>
        </w:rPr>
      </w:pPr>
    </w:p>
    <w:p w14:paraId="3CD56055" w14:textId="77777777" w:rsidR="006D3B70" w:rsidRPr="004E008A" w:rsidRDefault="006D3B70" w:rsidP="00B40323">
      <w:pPr>
        <w:tabs>
          <w:tab w:val="left" w:pos="567"/>
        </w:tabs>
        <w:spacing w:line="216" w:lineRule="auto"/>
        <w:jc w:val="both"/>
        <w:rPr>
          <w:b/>
          <w:lang w:val="es-MX"/>
        </w:rPr>
      </w:pPr>
      <w:r w:rsidRPr="004E008A">
        <w:rPr>
          <w:b/>
          <w:lang w:val="es-MX"/>
        </w:rPr>
        <w:t>LA CORTE INTERAMERICANA DE DERECHOS HUMANOS,</w:t>
      </w:r>
    </w:p>
    <w:p w14:paraId="60DD706C" w14:textId="77777777" w:rsidR="006D3B70" w:rsidRPr="004E008A" w:rsidRDefault="006D3B70" w:rsidP="00B40323">
      <w:pPr>
        <w:tabs>
          <w:tab w:val="left" w:pos="567"/>
        </w:tabs>
        <w:spacing w:line="216" w:lineRule="auto"/>
        <w:jc w:val="both"/>
        <w:rPr>
          <w:lang w:val="es-MX"/>
        </w:rPr>
      </w:pPr>
    </w:p>
    <w:p w14:paraId="2A2ECD61" w14:textId="1088B868" w:rsidR="006D3B70" w:rsidRPr="004E008A" w:rsidRDefault="006D3B70" w:rsidP="00B40323">
      <w:pPr>
        <w:tabs>
          <w:tab w:val="left" w:pos="567"/>
        </w:tabs>
        <w:spacing w:line="216" w:lineRule="auto"/>
        <w:jc w:val="both"/>
        <w:rPr>
          <w:lang w:val="es-MX"/>
        </w:rPr>
      </w:pPr>
      <w:r w:rsidRPr="004E008A">
        <w:rPr>
          <w:lang w:val="es-MX"/>
        </w:rPr>
        <w:t>de conformidad con el artículo 25.2 del Estatuto de la</w:t>
      </w:r>
      <w:r w:rsidR="00D87E8C" w:rsidRPr="004E008A">
        <w:rPr>
          <w:lang w:val="es-MX"/>
        </w:rPr>
        <w:t xml:space="preserve"> Corte y con los artículos 31.2 y 58 </w:t>
      </w:r>
      <w:r w:rsidRPr="004E008A">
        <w:rPr>
          <w:lang w:val="es-MX"/>
        </w:rPr>
        <w:t>del Reglamento,</w:t>
      </w:r>
    </w:p>
    <w:p w14:paraId="6089DC86" w14:textId="77777777" w:rsidR="006D3B70" w:rsidRPr="004E008A" w:rsidRDefault="006D3B70" w:rsidP="00B40323">
      <w:pPr>
        <w:tabs>
          <w:tab w:val="left" w:pos="567"/>
        </w:tabs>
        <w:spacing w:line="216" w:lineRule="auto"/>
        <w:jc w:val="both"/>
        <w:rPr>
          <w:b/>
          <w:lang w:val="es-MX"/>
        </w:rPr>
      </w:pPr>
    </w:p>
    <w:p w14:paraId="23DDFC2A" w14:textId="77777777" w:rsidR="006D3B70" w:rsidRPr="004E008A" w:rsidRDefault="006D3B70" w:rsidP="00B40323">
      <w:pPr>
        <w:tabs>
          <w:tab w:val="left" w:pos="567"/>
        </w:tabs>
        <w:spacing w:line="216" w:lineRule="auto"/>
        <w:jc w:val="both"/>
        <w:rPr>
          <w:b/>
        </w:rPr>
      </w:pPr>
      <w:r w:rsidRPr="004E008A">
        <w:rPr>
          <w:b/>
          <w:lang w:val="es-MX"/>
        </w:rPr>
        <w:t>RESUELVE</w:t>
      </w:r>
      <w:r w:rsidRPr="004E008A">
        <w:rPr>
          <w:b/>
        </w:rPr>
        <w:t>:</w:t>
      </w:r>
    </w:p>
    <w:p w14:paraId="161F97EC" w14:textId="77777777" w:rsidR="006D3B70" w:rsidRPr="004E008A" w:rsidRDefault="006D3B70" w:rsidP="00B40323">
      <w:pPr>
        <w:tabs>
          <w:tab w:val="left" w:pos="567"/>
        </w:tabs>
        <w:spacing w:line="216" w:lineRule="auto"/>
        <w:jc w:val="both"/>
        <w:rPr>
          <w:b/>
        </w:rPr>
      </w:pPr>
    </w:p>
    <w:p w14:paraId="55140935" w14:textId="1FEE5397" w:rsidR="00772DA2" w:rsidRPr="004E008A" w:rsidRDefault="00772DA2" w:rsidP="00B40323">
      <w:pPr>
        <w:pStyle w:val="Prrafodelista"/>
        <w:numPr>
          <w:ilvl w:val="0"/>
          <w:numId w:val="6"/>
        </w:numPr>
        <w:tabs>
          <w:tab w:val="left" w:pos="567"/>
        </w:tabs>
        <w:spacing w:after="0" w:line="216" w:lineRule="auto"/>
        <w:ind w:left="0" w:firstLine="0"/>
        <w:jc w:val="both"/>
        <w:rPr>
          <w:rFonts w:ascii="Verdana" w:hAnsi="Verdana"/>
          <w:sz w:val="20"/>
          <w:szCs w:val="20"/>
        </w:rPr>
      </w:pPr>
      <w:r w:rsidRPr="004E008A">
        <w:rPr>
          <w:rFonts w:ascii="Verdana" w:hAnsi="Verdana"/>
          <w:sz w:val="20"/>
          <w:szCs w:val="20"/>
        </w:rPr>
        <w:t>De</w:t>
      </w:r>
      <w:r w:rsidR="00D87E8C" w:rsidRPr="004E008A">
        <w:rPr>
          <w:rFonts w:ascii="Verdana" w:hAnsi="Verdana"/>
          <w:sz w:val="20"/>
          <w:szCs w:val="20"/>
        </w:rPr>
        <w:t xml:space="preserve">clarar procedente el </w:t>
      </w:r>
      <w:r w:rsidRPr="004E008A">
        <w:rPr>
          <w:rFonts w:ascii="Verdana" w:hAnsi="Verdana"/>
          <w:sz w:val="20"/>
          <w:szCs w:val="20"/>
        </w:rPr>
        <w:t xml:space="preserve">recurso </w:t>
      </w:r>
      <w:r w:rsidR="007469DC" w:rsidRPr="004E008A">
        <w:rPr>
          <w:rFonts w:ascii="Verdana" w:hAnsi="Verdana"/>
          <w:sz w:val="20"/>
          <w:szCs w:val="20"/>
        </w:rPr>
        <w:t>presentado por l</w:t>
      </w:r>
      <w:r w:rsidR="00D87E8C" w:rsidRPr="004E008A">
        <w:rPr>
          <w:rFonts w:ascii="Verdana" w:hAnsi="Verdana"/>
          <w:sz w:val="20"/>
          <w:szCs w:val="20"/>
        </w:rPr>
        <w:t>os representantes de las presuntas víctimas</w:t>
      </w:r>
      <w:r w:rsidRPr="004E008A">
        <w:rPr>
          <w:rFonts w:ascii="Verdana" w:hAnsi="Verdana"/>
          <w:sz w:val="20"/>
          <w:szCs w:val="20"/>
        </w:rPr>
        <w:t>.</w:t>
      </w:r>
    </w:p>
    <w:p w14:paraId="7CB2133D" w14:textId="77777777" w:rsidR="00772DA2" w:rsidRPr="004E008A" w:rsidRDefault="00772DA2" w:rsidP="00B40323">
      <w:pPr>
        <w:pStyle w:val="Prrafodelista"/>
        <w:tabs>
          <w:tab w:val="left" w:pos="567"/>
        </w:tabs>
        <w:spacing w:after="0" w:line="216" w:lineRule="auto"/>
        <w:ind w:left="0"/>
        <w:jc w:val="both"/>
        <w:rPr>
          <w:rFonts w:ascii="Verdana" w:hAnsi="Verdana"/>
          <w:sz w:val="20"/>
          <w:szCs w:val="20"/>
        </w:rPr>
      </w:pPr>
    </w:p>
    <w:p w14:paraId="1AA69809" w14:textId="525AECBE" w:rsidR="00D87E8C" w:rsidRPr="004E008A" w:rsidRDefault="00772DA2" w:rsidP="00D87E8C">
      <w:pPr>
        <w:pStyle w:val="Prrafodelista"/>
        <w:numPr>
          <w:ilvl w:val="0"/>
          <w:numId w:val="6"/>
        </w:numPr>
        <w:tabs>
          <w:tab w:val="left" w:pos="567"/>
        </w:tabs>
        <w:spacing w:after="0" w:line="216" w:lineRule="auto"/>
        <w:ind w:left="0" w:firstLine="0"/>
        <w:jc w:val="both"/>
        <w:rPr>
          <w:rFonts w:ascii="Verdana" w:hAnsi="Verdana"/>
          <w:sz w:val="20"/>
          <w:szCs w:val="20"/>
        </w:rPr>
      </w:pPr>
      <w:r w:rsidRPr="004E008A">
        <w:rPr>
          <w:rFonts w:ascii="Verdana" w:hAnsi="Verdana"/>
          <w:sz w:val="20"/>
          <w:szCs w:val="20"/>
        </w:rPr>
        <w:t xml:space="preserve">Modificar, en lo pertinente, el punto resolutivo 1, </w:t>
      </w:r>
      <w:r w:rsidR="00D87E8C" w:rsidRPr="004E008A">
        <w:rPr>
          <w:rFonts w:ascii="Verdana" w:hAnsi="Verdana"/>
          <w:sz w:val="20"/>
          <w:szCs w:val="20"/>
        </w:rPr>
        <w:t>apartado A</w:t>
      </w:r>
      <w:r w:rsidRPr="004E008A">
        <w:rPr>
          <w:rFonts w:ascii="Verdana" w:hAnsi="Verdana"/>
          <w:sz w:val="20"/>
          <w:szCs w:val="20"/>
        </w:rPr>
        <w:t>), de la Resolución de</w:t>
      </w:r>
      <w:r w:rsidR="00D87E8C" w:rsidRPr="004E008A">
        <w:rPr>
          <w:rFonts w:ascii="Verdana" w:hAnsi="Verdana"/>
          <w:sz w:val="20"/>
          <w:szCs w:val="20"/>
        </w:rPr>
        <w:t xml:space="preserve"> </w:t>
      </w:r>
      <w:r w:rsidRPr="004E008A">
        <w:rPr>
          <w:rFonts w:ascii="Verdana" w:hAnsi="Verdana"/>
          <w:sz w:val="20"/>
          <w:szCs w:val="20"/>
        </w:rPr>
        <w:t>l</w:t>
      </w:r>
      <w:r w:rsidR="00D87E8C" w:rsidRPr="004E008A">
        <w:rPr>
          <w:rFonts w:ascii="Verdana" w:hAnsi="Verdana"/>
          <w:sz w:val="20"/>
          <w:szCs w:val="20"/>
        </w:rPr>
        <w:t>a</w:t>
      </w:r>
      <w:r w:rsidRPr="004E008A">
        <w:rPr>
          <w:rFonts w:ascii="Verdana" w:hAnsi="Verdana"/>
          <w:sz w:val="20"/>
          <w:szCs w:val="20"/>
        </w:rPr>
        <w:t xml:space="preserve"> President</w:t>
      </w:r>
      <w:r w:rsidR="00D87E8C" w:rsidRPr="004E008A">
        <w:rPr>
          <w:rFonts w:ascii="Verdana" w:hAnsi="Verdana"/>
          <w:sz w:val="20"/>
          <w:szCs w:val="20"/>
        </w:rPr>
        <w:t xml:space="preserve">a </w:t>
      </w:r>
      <w:r w:rsidR="00672CC7" w:rsidRPr="004E008A">
        <w:rPr>
          <w:rFonts w:ascii="Verdana" w:hAnsi="Verdana"/>
          <w:sz w:val="20"/>
          <w:szCs w:val="20"/>
        </w:rPr>
        <w:t xml:space="preserve">de la Corte Interamericana de Derechos Humanos </w:t>
      </w:r>
      <w:r w:rsidR="00D87E8C" w:rsidRPr="004E008A">
        <w:rPr>
          <w:rFonts w:ascii="Verdana" w:hAnsi="Verdana"/>
          <w:sz w:val="20"/>
          <w:szCs w:val="20"/>
        </w:rPr>
        <w:t xml:space="preserve">de 30 de junio de 2020, </w:t>
      </w:r>
      <w:r w:rsidR="00420221" w:rsidRPr="004E008A">
        <w:rPr>
          <w:rFonts w:ascii="Verdana" w:hAnsi="Verdana"/>
          <w:sz w:val="20"/>
          <w:szCs w:val="20"/>
        </w:rPr>
        <w:t>en atención al C</w:t>
      </w:r>
      <w:r w:rsidRPr="004E008A">
        <w:rPr>
          <w:rFonts w:ascii="Verdana" w:hAnsi="Verdana"/>
          <w:sz w:val="20"/>
          <w:szCs w:val="20"/>
        </w:rPr>
        <w:t xml:space="preserve">onsiderando </w:t>
      </w:r>
      <w:r w:rsidR="00AB7640">
        <w:rPr>
          <w:rFonts w:ascii="Verdana" w:hAnsi="Verdana"/>
          <w:sz w:val="20"/>
          <w:szCs w:val="20"/>
        </w:rPr>
        <w:t>16</w:t>
      </w:r>
      <w:r w:rsidRPr="004E008A">
        <w:rPr>
          <w:rFonts w:ascii="Verdana" w:hAnsi="Verdana"/>
          <w:sz w:val="20"/>
          <w:szCs w:val="20"/>
        </w:rPr>
        <w:t xml:space="preserve"> de la presente Resolución, disponiéndose</w:t>
      </w:r>
      <w:r w:rsidR="00B40323" w:rsidRPr="004E008A">
        <w:rPr>
          <w:rFonts w:ascii="Verdana" w:hAnsi="Verdana"/>
          <w:sz w:val="20"/>
          <w:szCs w:val="20"/>
        </w:rPr>
        <w:t>,</w:t>
      </w:r>
      <w:r w:rsidRPr="004E008A">
        <w:rPr>
          <w:rFonts w:ascii="Verdana" w:hAnsi="Verdana"/>
          <w:sz w:val="20"/>
          <w:szCs w:val="20"/>
        </w:rPr>
        <w:t xml:space="preserve"> por tanto</w:t>
      </w:r>
      <w:r w:rsidR="00B40323" w:rsidRPr="004E008A">
        <w:rPr>
          <w:rFonts w:ascii="Verdana" w:hAnsi="Verdana"/>
          <w:sz w:val="20"/>
          <w:szCs w:val="20"/>
        </w:rPr>
        <w:t>,</w:t>
      </w:r>
      <w:r w:rsidRPr="004E008A">
        <w:rPr>
          <w:rFonts w:ascii="Verdana" w:hAnsi="Verdana"/>
          <w:sz w:val="20"/>
          <w:szCs w:val="20"/>
        </w:rPr>
        <w:t xml:space="preserve"> que l</w:t>
      </w:r>
      <w:r w:rsidR="00D87E8C" w:rsidRPr="004E008A">
        <w:rPr>
          <w:rFonts w:ascii="Verdana" w:hAnsi="Verdana"/>
          <w:sz w:val="20"/>
          <w:szCs w:val="20"/>
        </w:rPr>
        <w:t>as</w:t>
      </w:r>
      <w:r w:rsidRPr="004E008A">
        <w:rPr>
          <w:rFonts w:ascii="Verdana" w:hAnsi="Verdana"/>
          <w:sz w:val="20"/>
          <w:szCs w:val="20"/>
        </w:rPr>
        <w:t xml:space="preserve"> señor</w:t>
      </w:r>
      <w:r w:rsidR="00D87E8C" w:rsidRPr="004E008A">
        <w:rPr>
          <w:rFonts w:ascii="Verdana" w:hAnsi="Verdana"/>
          <w:sz w:val="20"/>
          <w:szCs w:val="20"/>
        </w:rPr>
        <w:t xml:space="preserve">as </w:t>
      </w:r>
      <w:r w:rsidR="00D87E8C" w:rsidRPr="004E008A">
        <w:rPr>
          <w:rFonts w:ascii="Verdana" w:eastAsia="Verdana" w:hAnsi="Verdana"/>
          <w:sz w:val="20"/>
          <w:szCs w:val="20"/>
          <w:lang w:val="es-PE"/>
        </w:rPr>
        <w:t>B</w:t>
      </w:r>
      <w:proofErr w:type="spellStart"/>
      <w:r w:rsidR="00D87E8C" w:rsidRPr="004E008A">
        <w:rPr>
          <w:rFonts w:ascii="Verdana" w:hAnsi="Verdana"/>
          <w:sz w:val="20"/>
          <w:szCs w:val="20"/>
          <w:lang w:eastAsia="es-ES"/>
        </w:rPr>
        <w:t>elkis</w:t>
      </w:r>
      <w:proofErr w:type="spellEnd"/>
      <w:r w:rsidR="00D87E8C" w:rsidRPr="004E008A">
        <w:rPr>
          <w:rFonts w:ascii="Verdana" w:hAnsi="Verdana"/>
          <w:sz w:val="20"/>
          <w:szCs w:val="20"/>
          <w:lang w:eastAsia="es-ES"/>
        </w:rPr>
        <w:t xml:space="preserve"> Josefina Correa Ríos y Myriam Josefina Herrera Sánchez, presuntas víctimas, rindan declaración </w:t>
      </w:r>
      <w:r w:rsidR="001A072B" w:rsidRPr="004E008A">
        <w:rPr>
          <w:rFonts w:ascii="Verdana" w:hAnsi="Verdana"/>
          <w:sz w:val="20"/>
          <w:szCs w:val="20"/>
          <w:lang w:eastAsia="es-ES"/>
        </w:rPr>
        <w:t>en forma oral ante el Pleno de la Corte</w:t>
      </w:r>
      <w:r w:rsidR="00AB7640">
        <w:rPr>
          <w:rFonts w:ascii="Verdana" w:hAnsi="Verdana"/>
          <w:sz w:val="20"/>
          <w:szCs w:val="20"/>
          <w:lang w:eastAsia="es-ES"/>
        </w:rPr>
        <w:t xml:space="preserve"> Interamericana</w:t>
      </w:r>
      <w:r w:rsidR="001A072B" w:rsidRPr="004E008A">
        <w:rPr>
          <w:rFonts w:ascii="Verdana" w:hAnsi="Verdana"/>
          <w:sz w:val="20"/>
          <w:szCs w:val="20"/>
          <w:lang w:eastAsia="es-ES"/>
        </w:rPr>
        <w:t xml:space="preserve">, por medio de una videoconferencia, que tendrá lugar el </w:t>
      </w:r>
      <w:r w:rsidR="00672CC7" w:rsidRPr="004E008A">
        <w:rPr>
          <w:rFonts w:ascii="Verdana" w:hAnsi="Verdana"/>
          <w:sz w:val="20"/>
          <w:szCs w:val="20"/>
          <w:lang w:eastAsia="es-ES"/>
        </w:rPr>
        <w:t>3</w:t>
      </w:r>
      <w:r w:rsidR="001A072B" w:rsidRPr="004E008A">
        <w:rPr>
          <w:rFonts w:ascii="Verdana" w:hAnsi="Verdana"/>
          <w:sz w:val="20"/>
          <w:szCs w:val="20"/>
          <w:lang w:eastAsia="es-ES"/>
        </w:rPr>
        <w:t xml:space="preserve"> de </w:t>
      </w:r>
      <w:r w:rsidR="00672CC7" w:rsidRPr="004E008A">
        <w:rPr>
          <w:rFonts w:ascii="Verdana" w:hAnsi="Verdana"/>
          <w:sz w:val="20"/>
          <w:szCs w:val="20"/>
          <w:lang w:eastAsia="es-ES"/>
        </w:rPr>
        <w:t>septiembre</w:t>
      </w:r>
      <w:r w:rsidR="001A072B" w:rsidRPr="004E008A">
        <w:rPr>
          <w:rFonts w:ascii="Verdana" w:hAnsi="Verdana"/>
          <w:sz w:val="20"/>
          <w:szCs w:val="20"/>
          <w:lang w:eastAsia="es-ES"/>
        </w:rPr>
        <w:t xml:space="preserve"> de 2020, en la que participarán también sus representantes, el Estado y la Comisión Interamericana</w:t>
      </w:r>
      <w:r w:rsidR="00AB7640">
        <w:rPr>
          <w:rFonts w:ascii="Verdana" w:hAnsi="Verdana"/>
          <w:sz w:val="20"/>
          <w:szCs w:val="20"/>
          <w:lang w:eastAsia="es-ES"/>
        </w:rPr>
        <w:t xml:space="preserve"> de Derechos Humanos</w:t>
      </w:r>
      <w:r w:rsidR="001A072B" w:rsidRPr="004E008A">
        <w:rPr>
          <w:rFonts w:ascii="Verdana" w:hAnsi="Verdana"/>
          <w:sz w:val="20"/>
          <w:szCs w:val="20"/>
          <w:lang w:eastAsia="es-ES"/>
        </w:rPr>
        <w:t>, y cuya modalidad específica será señalada por medio de comunicaci</w:t>
      </w:r>
      <w:r w:rsidR="004F725C" w:rsidRPr="004E008A">
        <w:rPr>
          <w:rFonts w:ascii="Verdana" w:hAnsi="Verdana"/>
          <w:sz w:val="20"/>
          <w:szCs w:val="20"/>
          <w:lang w:eastAsia="es-ES"/>
        </w:rPr>
        <w:t>o</w:t>
      </w:r>
      <w:r w:rsidR="001A072B" w:rsidRPr="004E008A">
        <w:rPr>
          <w:rFonts w:ascii="Verdana" w:hAnsi="Verdana"/>
          <w:sz w:val="20"/>
          <w:szCs w:val="20"/>
          <w:lang w:eastAsia="es-ES"/>
        </w:rPr>
        <w:t>n</w:t>
      </w:r>
      <w:r w:rsidR="004F725C" w:rsidRPr="004E008A">
        <w:rPr>
          <w:rFonts w:ascii="Verdana" w:hAnsi="Verdana"/>
          <w:sz w:val="20"/>
          <w:szCs w:val="20"/>
          <w:lang w:eastAsia="es-ES"/>
        </w:rPr>
        <w:t>es</w:t>
      </w:r>
      <w:r w:rsidR="001A072B" w:rsidRPr="004E008A">
        <w:rPr>
          <w:rFonts w:ascii="Verdana" w:hAnsi="Verdana"/>
          <w:sz w:val="20"/>
          <w:szCs w:val="20"/>
          <w:lang w:eastAsia="es-ES"/>
        </w:rPr>
        <w:t xml:space="preserve"> de la Secretaría de la Corte. </w:t>
      </w:r>
    </w:p>
    <w:p w14:paraId="0A546784" w14:textId="77777777" w:rsidR="001A072B" w:rsidRPr="004E008A" w:rsidRDefault="001A072B" w:rsidP="001A072B">
      <w:pPr>
        <w:pStyle w:val="Prrafodelista"/>
        <w:rPr>
          <w:rFonts w:ascii="Verdana" w:hAnsi="Verdana"/>
          <w:sz w:val="20"/>
          <w:szCs w:val="20"/>
        </w:rPr>
      </w:pPr>
    </w:p>
    <w:p w14:paraId="38AB3655" w14:textId="4D1876E9" w:rsidR="001A072B" w:rsidRPr="004E008A" w:rsidRDefault="001A072B" w:rsidP="001A072B">
      <w:pPr>
        <w:pStyle w:val="Prrafodelista"/>
        <w:numPr>
          <w:ilvl w:val="0"/>
          <w:numId w:val="6"/>
        </w:numPr>
        <w:tabs>
          <w:tab w:val="left" w:pos="567"/>
        </w:tabs>
        <w:spacing w:after="0" w:line="216" w:lineRule="auto"/>
        <w:ind w:left="0" w:firstLine="0"/>
        <w:jc w:val="both"/>
        <w:rPr>
          <w:rFonts w:ascii="Verdana" w:hAnsi="Verdana"/>
          <w:sz w:val="20"/>
          <w:szCs w:val="20"/>
          <w:lang w:val="es-ES_tradnl"/>
        </w:rPr>
      </w:pPr>
      <w:r w:rsidRPr="004E008A">
        <w:rPr>
          <w:rFonts w:ascii="Verdana" w:hAnsi="Verdana"/>
          <w:sz w:val="20"/>
          <w:szCs w:val="20"/>
        </w:rPr>
        <w:t xml:space="preserve">Modificar, en lo pertinente, el punto resolutivo 4 de la Resolución de la </w:t>
      </w:r>
      <w:proofErr w:type="gramStart"/>
      <w:r w:rsidRPr="004E008A">
        <w:rPr>
          <w:rFonts w:ascii="Verdana" w:hAnsi="Verdana"/>
          <w:sz w:val="20"/>
          <w:szCs w:val="20"/>
        </w:rPr>
        <w:t>Presidenta</w:t>
      </w:r>
      <w:proofErr w:type="gramEnd"/>
      <w:r w:rsidRPr="004E008A">
        <w:rPr>
          <w:rFonts w:ascii="Verdana" w:hAnsi="Verdana"/>
          <w:sz w:val="20"/>
          <w:szCs w:val="20"/>
        </w:rPr>
        <w:t xml:space="preserve"> de</w:t>
      </w:r>
      <w:r w:rsidR="00AB7640">
        <w:rPr>
          <w:rFonts w:ascii="Verdana" w:hAnsi="Verdana"/>
          <w:sz w:val="20"/>
          <w:szCs w:val="20"/>
        </w:rPr>
        <w:t xml:space="preserve"> la Corte Interamericana de Derechos Humanos de</w:t>
      </w:r>
      <w:r w:rsidRPr="004E008A">
        <w:rPr>
          <w:rFonts w:ascii="Verdana" w:hAnsi="Verdana"/>
          <w:sz w:val="20"/>
          <w:szCs w:val="20"/>
        </w:rPr>
        <w:t xml:space="preserve"> 30 de junio de 2020</w:t>
      </w:r>
      <w:r w:rsidR="00AB7640">
        <w:rPr>
          <w:rFonts w:ascii="Verdana" w:hAnsi="Verdana"/>
          <w:sz w:val="20"/>
          <w:szCs w:val="20"/>
        </w:rPr>
        <w:t>, en atención al Considerando 20</w:t>
      </w:r>
      <w:r w:rsidRPr="004E008A">
        <w:rPr>
          <w:rFonts w:ascii="Verdana" w:hAnsi="Verdana"/>
          <w:sz w:val="20"/>
          <w:szCs w:val="20"/>
        </w:rPr>
        <w:t xml:space="preserve"> de la presente Resolución, disponiéndose, por tanto, que las declaraciones escritas requeridas en el punto resolutivo 1 de la Resolución de 30 de junio de 2020 deberán ser presenta</w:t>
      </w:r>
      <w:r w:rsidR="001C2A7C" w:rsidRPr="004E008A">
        <w:rPr>
          <w:rFonts w:ascii="Verdana" w:hAnsi="Verdana"/>
          <w:sz w:val="20"/>
          <w:szCs w:val="20"/>
        </w:rPr>
        <w:t>das al Tribunal a más tardar el 4</w:t>
      </w:r>
      <w:r w:rsidRPr="004E008A">
        <w:rPr>
          <w:rFonts w:ascii="Verdana" w:hAnsi="Verdana"/>
          <w:sz w:val="20"/>
          <w:szCs w:val="20"/>
        </w:rPr>
        <w:t xml:space="preserve"> de </w:t>
      </w:r>
      <w:r w:rsidR="001C2A7C" w:rsidRPr="004E008A">
        <w:rPr>
          <w:rFonts w:ascii="Verdana" w:hAnsi="Verdana"/>
          <w:sz w:val="20"/>
          <w:szCs w:val="20"/>
        </w:rPr>
        <w:t>septiembre</w:t>
      </w:r>
      <w:r w:rsidRPr="004E008A">
        <w:rPr>
          <w:rFonts w:ascii="Verdana" w:hAnsi="Verdana"/>
          <w:sz w:val="20"/>
          <w:szCs w:val="20"/>
        </w:rPr>
        <w:t xml:space="preserve"> de 2020. </w:t>
      </w:r>
    </w:p>
    <w:p w14:paraId="44FA4720" w14:textId="77777777" w:rsidR="00772DA2" w:rsidRPr="00AB7640" w:rsidRDefault="00772DA2" w:rsidP="00B40323">
      <w:pPr>
        <w:pStyle w:val="Prrafodelista"/>
        <w:spacing w:after="0" w:line="216" w:lineRule="auto"/>
        <w:ind w:left="0"/>
        <w:jc w:val="both"/>
        <w:rPr>
          <w:rFonts w:ascii="Verdana" w:hAnsi="Verdana"/>
          <w:sz w:val="20"/>
          <w:szCs w:val="20"/>
          <w:lang w:val="es-ES_tradnl"/>
        </w:rPr>
      </w:pPr>
    </w:p>
    <w:p w14:paraId="14C75EED" w14:textId="5A098D7D" w:rsidR="00287F6B" w:rsidRPr="00157ED2" w:rsidRDefault="006D3B70" w:rsidP="00014C02">
      <w:pPr>
        <w:pStyle w:val="Prrafodelista"/>
        <w:numPr>
          <w:ilvl w:val="0"/>
          <w:numId w:val="6"/>
        </w:numPr>
        <w:tabs>
          <w:tab w:val="left" w:pos="567"/>
        </w:tabs>
        <w:spacing w:after="0" w:line="216" w:lineRule="auto"/>
        <w:ind w:left="0" w:firstLine="0"/>
        <w:jc w:val="both"/>
        <w:rPr>
          <w:rFonts w:ascii="Verdana" w:hAnsi="Verdana"/>
          <w:lang w:val="es-ES"/>
        </w:rPr>
      </w:pPr>
      <w:r w:rsidRPr="00AB7640">
        <w:rPr>
          <w:rFonts w:ascii="Verdana" w:hAnsi="Verdana"/>
          <w:sz w:val="20"/>
          <w:szCs w:val="20"/>
        </w:rPr>
        <w:t>Disponer que la Secretaría de la Corte</w:t>
      </w:r>
      <w:r w:rsidR="001A072B" w:rsidRPr="00AB7640">
        <w:rPr>
          <w:rFonts w:ascii="Verdana" w:hAnsi="Verdana"/>
          <w:sz w:val="20"/>
          <w:szCs w:val="20"/>
        </w:rPr>
        <w:t xml:space="preserve"> Interamericana de Derechos Humanos </w:t>
      </w:r>
      <w:r w:rsidRPr="00AB7640">
        <w:rPr>
          <w:rFonts w:ascii="Verdana" w:hAnsi="Verdana"/>
          <w:sz w:val="20"/>
          <w:szCs w:val="20"/>
        </w:rPr>
        <w:t>notifique la presente Resolución a</w:t>
      </w:r>
      <w:r w:rsidR="001A072B" w:rsidRPr="00AB7640">
        <w:rPr>
          <w:rFonts w:ascii="Verdana" w:hAnsi="Verdana"/>
          <w:sz w:val="20"/>
          <w:szCs w:val="20"/>
        </w:rPr>
        <w:t xml:space="preserve"> la República Bolivariana de Venezuela</w:t>
      </w:r>
      <w:r w:rsidR="00497702" w:rsidRPr="00AB7640">
        <w:rPr>
          <w:rFonts w:ascii="Verdana" w:hAnsi="Verdana"/>
          <w:sz w:val="20"/>
          <w:szCs w:val="20"/>
        </w:rPr>
        <w:t xml:space="preserve">, a </w:t>
      </w:r>
      <w:r w:rsidR="00AB7640" w:rsidRPr="00AB7640">
        <w:rPr>
          <w:rFonts w:ascii="Verdana" w:hAnsi="Verdana"/>
          <w:sz w:val="20"/>
          <w:szCs w:val="20"/>
        </w:rPr>
        <w:t>lo</w:t>
      </w:r>
      <w:r w:rsidRPr="00AB7640">
        <w:rPr>
          <w:rFonts w:ascii="Verdana" w:hAnsi="Verdana"/>
          <w:sz w:val="20"/>
          <w:szCs w:val="20"/>
        </w:rPr>
        <w:t>s representantes de las presuntas víctimas y a la Comisión</w:t>
      </w:r>
      <w:r w:rsidR="001A072B" w:rsidRPr="00AB7640">
        <w:rPr>
          <w:rFonts w:ascii="Verdana" w:hAnsi="Verdana"/>
          <w:sz w:val="20"/>
          <w:szCs w:val="20"/>
        </w:rPr>
        <w:t xml:space="preserve"> Interamericana de Derechos Humanos</w:t>
      </w:r>
      <w:r w:rsidRPr="00AB7640">
        <w:rPr>
          <w:rFonts w:ascii="Verdana" w:hAnsi="Verdana"/>
          <w:sz w:val="20"/>
          <w:szCs w:val="20"/>
        </w:rPr>
        <w:t>.</w:t>
      </w:r>
    </w:p>
    <w:p w14:paraId="7AC8D0FF" w14:textId="77777777" w:rsidR="00157ED2" w:rsidRDefault="00157ED2" w:rsidP="00157ED2">
      <w:pPr>
        <w:pStyle w:val="Prrafodelista"/>
        <w:tabs>
          <w:tab w:val="left" w:pos="567"/>
        </w:tabs>
        <w:spacing w:after="0" w:line="216" w:lineRule="auto"/>
        <w:ind w:left="0"/>
        <w:jc w:val="both"/>
        <w:rPr>
          <w:rFonts w:ascii="Verdana" w:hAnsi="Verdana"/>
          <w:lang w:val="es-ES"/>
        </w:rPr>
      </w:pPr>
    </w:p>
    <w:p w14:paraId="786602C5" w14:textId="64296FCE" w:rsidR="00444644" w:rsidRPr="00444644" w:rsidRDefault="00444644" w:rsidP="00444644">
      <w:pPr>
        <w:pStyle w:val="Prrafodelista"/>
        <w:tabs>
          <w:tab w:val="left" w:pos="567"/>
        </w:tabs>
        <w:spacing w:after="0" w:line="216" w:lineRule="auto"/>
        <w:ind w:left="0"/>
        <w:jc w:val="both"/>
        <w:rPr>
          <w:rFonts w:ascii="Verdana" w:hAnsi="Verdana"/>
          <w:sz w:val="20"/>
          <w:szCs w:val="20"/>
        </w:rPr>
      </w:pPr>
      <w:bookmarkStart w:id="0" w:name="_Hlk47609481"/>
      <w:r>
        <w:rPr>
          <w:rFonts w:ascii="Verdana" w:hAnsi="Verdana"/>
          <w:sz w:val="20"/>
          <w:szCs w:val="20"/>
        </w:rPr>
        <w:t xml:space="preserve">Corteidh. </w:t>
      </w:r>
      <w:r w:rsidRPr="00444644">
        <w:rPr>
          <w:rFonts w:ascii="Verdana" w:hAnsi="Verdana"/>
          <w:i/>
          <w:sz w:val="20"/>
          <w:szCs w:val="20"/>
        </w:rPr>
        <w:t xml:space="preserve">Caso Mota </w:t>
      </w:r>
      <w:proofErr w:type="spellStart"/>
      <w:r w:rsidRPr="00444644">
        <w:rPr>
          <w:rFonts w:ascii="Verdana" w:hAnsi="Verdana"/>
          <w:i/>
          <w:sz w:val="20"/>
          <w:szCs w:val="20"/>
        </w:rPr>
        <w:t>Abarullo</w:t>
      </w:r>
      <w:proofErr w:type="spellEnd"/>
      <w:r w:rsidRPr="00444644">
        <w:rPr>
          <w:rFonts w:ascii="Verdana" w:hAnsi="Verdana"/>
          <w:i/>
          <w:sz w:val="20"/>
          <w:szCs w:val="20"/>
        </w:rPr>
        <w:t xml:space="preserve"> y otros Vs. Venezuela.</w:t>
      </w:r>
      <w:r>
        <w:rPr>
          <w:rFonts w:ascii="Verdana" w:hAnsi="Verdana"/>
          <w:sz w:val="20"/>
          <w:szCs w:val="20"/>
        </w:rPr>
        <w:t xml:space="preserve"> </w:t>
      </w:r>
      <w:r w:rsidRPr="00444644">
        <w:rPr>
          <w:rFonts w:ascii="Verdana" w:hAnsi="Verdana"/>
          <w:sz w:val="20"/>
          <w:szCs w:val="20"/>
        </w:rPr>
        <w:t>Resolución</w:t>
      </w:r>
      <w:r w:rsidR="006837AA">
        <w:rPr>
          <w:rFonts w:ascii="Verdana" w:hAnsi="Verdana"/>
          <w:sz w:val="20"/>
          <w:szCs w:val="20"/>
        </w:rPr>
        <w:t xml:space="preserve"> de </w:t>
      </w:r>
      <w:r w:rsidRPr="00444644">
        <w:rPr>
          <w:rFonts w:ascii="Verdana" w:hAnsi="Verdana"/>
          <w:sz w:val="20"/>
          <w:szCs w:val="20"/>
        </w:rPr>
        <w:t>la Corte Interamericana de Derechos Humanos</w:t>
      </w:r>
      <w:r>
        <w:rPr>
          <w:rFonts w:ascii="Verdana" w:hAnsi="Verdana"/>
          <w:sz w:val="20"/>
          <w:szCs w:val="20"/>
        </w:rPr>
        <w:t xml:space="preserve"> de 24 de agosto de 2020.</w:t>
      </w:r>
    </w:p>
    <w:p w14:paraId="61145418" w14:textId="062936D7" w:rsidR="00444644" w:rsidRPr="00444644" w:rsidRDefault="00444644" w:rsidP="00444644">
      <w:pPr>
        <w:tabs>
          <w:tab w:val="left" w:pos="567"/>
        </w:tabs>
        <w:spacing w:line="216" w:lineRule="auto"/>
        <w:jc w:val="both"/>
        <w:rPr>
          <w:lang w:val="es-ES"/>
        </w:rPr>
      </w:pPr>
      <w:bookmarkStart w:id="1" w:name="_Hlk47603500"/>
      <w:bookmarkEnd w:id="0"/>
    </w:p>
    <w:bookmarkEnd w:id="1"/>
    <w:p w14:paraId="19F24475" w14:textId="77777777" w:rsidR="006837AA" w:rsidRDefault="006837AA" w:rsidP="006837AA">
      <w:pPr>
        <w:rPr>
          <w:lang w:val="es-ES"/>
        </w:rPr>
      </w:pPr>
    </w:p>
    <w:p w14:paraId="7E390CAC" w14:textId="0BAC4018" w:rsidR="006837AA" w:rsidRDefault="006837AA" w:rsidP="006837AA">
      <w:pPr>
        <w:jc w:val="center"/>
        <w:rPr>
          <w:lang w:val="pt-BR"/>
        </w:rPr>
      </w:pPr>
    </w:p>
    <w:p w14:paraId="6DA83052" w14:textId="77777777" w:rsidR="006837AA" w:rsidRDefault="006837AA" w:rsidP="006837AA">
      <w:pPr>
        <w:jc w:val="center"/>
        <w:rPr>
          <w:lang w:val="pt-BR"/>
        </w:rPr>
      </w:pPr>
    </w:p>
    <w:p w14:paraId="6852B425" w14:textId="77777777" w:rsidR="006837AA" w:rsidRDefault="006837AA" w:rsidP="006837AA">
      <w:pPr>
        <w:jc w:val="center"/>
        <w:rPr>
          <w:lang w:val="pt-BR"/>
        </w:rPr>
      </w:pPr>
    </w:p>
    <w:p w14:paraId="47D5E11C" w14:textId="77777777" w:rsidR="006837AA" w:rsidRDefault="006837AA" w:rsidP="006837AA">
      <w:pPr>
        <w:jc w:val="center"/>
        <w:rPr>
          <w:lang w:val="pt-BR"/>
        </w:rPr>
      </w:pPr>
    </w:p>
    <w:p w14:paraId="7329B7B3" w14:textId="77777777" w:rsidR="006837AA" w:rsidRDefault="006837AA" w:rsidP="006837AA">
      <w:pPr>
        <w:tabs>
          <w:tab w:val="left" w:pos="2027"/>
        </w:tabs>
        <w:rPr>
          <w:lang w:val="pt-BR"/>
        </w:rPr>
      </w:pPr>
      <w:r>
        <w:rPr>
          <w:lang w:val="pt-BR"/>
        </w:rPr>
        <w:tab/>
      </w:r>
    </w:p>
    <w:p w14:paraId="227947A3" w14:textId="77777777" w:rsidR="006837AA" w:rsidRDefault="006837AA" w:rsidP="006837AA">
      <w:pPr>
        <w:jc w:val="center"/>
        <w:rPr>
          <w:lang w:val="pt-BR"/>
        </w:rPr>
      </w:pPr>
      <w:r>
        <w:rPr>
          <w:lang w:val="pt-BR"/>
        </w:rPr>
        <w:t xml:space="preserve">Elizabeth </w:t>
      </w:r>
      <w:proofErr w:type="spellStart"/>
      <w:r>
        <w:rPr>
          <w:lang w:val="pt-BR"/>
        </w:rPr>
        <w:t>Odio</w:t>
      </w:r>
      <w:proofErr w:type="spellEnd"/>
      <w:r>
        <w:rPr>
          <w:lang w:val="pt-BR"/>
        </w:rPr>
        <w:t xml:space="preserve"> Benito</w:t>
      </w:r>
    </w:p>
    <w:p w14:paraId="21BE0A90" w14:textId="6EC0C31D" w:rsidR="006837AA" w:rsidRDefault="006837AA" w:rsidP="006837AA">
      <w:pPr>
        <w:jc w:val="center"/>
        <w:rPr>
          <w:lang w:val="pt-BR"/>
        </w:rPr>
      </w:pPr>
      <w:r>
        <w:rPr>
          <w:lang w:val="pt-BR"/>
        </w:rPr>
        <w:t>Presidenta</w:t>
      </w:r>
    </w:p>
    <w:p w14:paraId="12A801B2" w14:textId="41F3A427" w:rsidR="006837AA" w:rsidRDefault="006837AA" w:rsidP="006837AA">
      <w:pPr>
        <w:jc w:val="center"/>
        <w:rPr>
          <w:lang w:val="pt-BR"/>
        </w:rPr>
      </w:pPr>
    </w:p>
    <w:p w14:paraId="5255B2CD" w14:textId="77777777" w:rsidR="006837AA" w:rsidRDefault="006837AA" w:rsidP="006837AA">
      <w:pPr>
        <w:jc w:val="center"/>
        <w:rPr>
          <w:lang w:val="pt-BR"/>
        </w:rPr>
      </w:pPr>
    </w:p>
    <w:p w14:paraId="3CB93199" w14:textId="77777777" w:rsidR="006837AA" w:rsidRDefault="006837AA" w:rsidP="006837AA">
      <w:pPr>
        <w:ind w:firstLine="720"/>
        <w:rPr>
          <w:lang w:val="pt-BR"/>
        </w:rPr>
      </w:pPr>
    </w:p>
    <w:p w14:paraId="27B08D3B" w14:textId="6A237EB5" w:rsidR="006837AA" w:rsidRDefault="006837AA" w:rsidP="006837AA">
      <w:pPr>
        <w:rPr>
          <w:lang w:val="pt-BR"/>
        </w:rPr>
      </w:pPr>
    </w:p>
    <w:p w14:paraId="3B26D152" w14:textId="740A15CF" w:rsidR="006837AA" w:rsidRDefault="006837AA" w:rsidP="006837AA">
      <w:pPr>
        <w:rPr>
          <w:lang w:val="pt-BR"/>
        </w:rPr>
      </w:pPr>
      <w:r>
        <w:rPr>
          <w:lang w:val="pt-BR"/>
        </w:rPr>
        <w:t xml:space="preserve">L. </w:t>
      </w:r>
      <w:proofErr w:type="spellStart"/>
      <w:r>
        <w:rPr>
          <w:lang w:val="pt-BR"/>
        </w:rPr>
        <w:t>Patricio</w:t>
      </w:r>
      <w:proofErr w:type="spellEnd"/>
      <w:r>
        <w:rPr>
          <w:lang w:val="pt-BR"/>
        </w:rPr>
        <w:t xml:space="preserve"> </w:t>
      </w:r>
      <w:proofErr w:type="spellStart"/>
      <w:r>
        <w:rPr>
          <w:lang w:val="pt-BR"/>
        </w:rPr>
        <w:t>Pazmiño</w:t>
      </w:r>
      <w:proofErr w:type="spellEnd"/>
      <w:r>
        <w:rPr>
          <w:lang w:val="pt-BR"/>
        </w:rPr>
        <w:t xml:space="preserve"> Frei</w:t>
      </w:r>
      <w:r w:rsidRPr="0019261A">
        <w:rPr>
          <w:lang w:val="pt-BR"/>
        </w:rPr>
        <w:t>re</w:t>
      </w:r>
      <w:r>
        <w:rPr>
          <w:lang w:val="pt-BR"/>
        </w:rPr>
        <w:tab/>
      </w:r>
      <w:r>
        <w:rPr>
          <w:lang w:val="pt-BR"/>
        </w:rPr>
        <w:tab/>
      </w:r>
      <w:r>
        <w:rPr>
          <w:lang w:val="pt-BR"/>
        </w:rPr>
        <w:tab/>
      </w:r>
      <w:r>
        <w:rPr>
          <w:lang w:val="pt-BR"/>
        </w:rPr>
        <w:tab/>
      </w:r>
      <w:r>
        <w:rPr>
          <w:lang w:val="pt-BR"/>
        </w:rPr>
        <w:tab/>
      </w:r>
      <w:r>
        <w:rPr>
          <w:lang w:val="pt-BR"/>
        </w:rPr>
        <w:tab/>
      </w:r>
      <w:r>
        <w:rPr>
          <w:lang w:val="pt-BR"/>
        </w:rPr>
        <w:tab/>
        <w:t xml:space="preserve">Eduardo </w:t>
      </w:r>
      <w:proofErr w:type="spellStart"/>
      <w:r>
        <w:rPr>
          <w:lang w:val="pt-BR"/>
        </w:rPr>
        <w:t>Vio</w:t>
      </w:r>
      <w:proofErr w:type="spellEnd"/>
      <w:r>
        <w:rPr>
          <w:lang w:val="pt-BR"/>
        </w:rPr>
        <w:t xml:space="preserve"> Grossi</w:t>
      </w:r>
    </w:p>
    <w:p w14:paraId="5B391C2A" w14:textId="77777777" w:rsidR="006837AA" w:rsidRDefault="006837AA" w:rsidP="006837AA">
      <w:pPr>
        <w:rPr>
          <w:lang w:val="pt-BR"/>
        </w:rPr>
      </w:pPr>
    </w:p>
    <w:p w14:paraId="38FA6E3F" w14:textId="77777777" w:rsidR="006837AA" w:rsidRDefault="006837AA" w:rsidP="006837AA">
      <w:pPr>
        <w:rPr>
          <w:lang w:val="pt-BR"/>
        </w:rPr>
      </w:pPr>
    </w:p>
    <w:p w14:paraId="7A642B71" w14:textId="77777777" w:rsidR="006837AA" w:rsidRDefault="006837AA" w:rsidP="006837AA">
      <w:pPr>
        <w:rPr>
          <w:lang w:val="pt-BR"/>
        </w:rPr>
      </w:pPr>
    </w:p>
    <w:p w14:paraId="6FE395F8" w14:textId="77777777" w:rsidR="006837AA" w:rsidRDefault="006837AA" w:rsidP="006837AA">
      <w:pPr>
        <w:rPr>
          <w:lang w:val="pt-BR"/>
        </w:rPr>
      </w:pPr>
    </w:p>
    <w:p w14:paraId="08FD381E" w14:textId="77777777" w:rsidR="006837AA" w:rsidRDefault="006837AA" w:rsidP="006837AA">
      <w:pPr>
        <w:rPr>
          <w:lang w:val="pt-BR"/>
        </w:rPr>
      </w:pPr>
    </w:p>
    <w:p w14:paraId="755E9576" w14:textId="77777777" w:rsidR="006837AA" w:rsidRDefault="006837AA" w:rsidP="006837AA">
      <w:pPr>
        <w:rPr>
          <w:lang w:val="pt-BR"/>
        </w:rPr>
      </w:pPr>
      <w:r>
        <w:rPr>
          <w:lang w:val="pt-BR"/>
        </w:rPr>
        <w:t xml:space="preserve">Humberto </w:t>
      </w:r>
      <w:proofErr w:type="spellStart"/>
      <w:r>
        <w:rPr>
          <w:lang w:val="pt-BR"/>
        </w:rPr>
        <w:t>Antonio</w:t>
      </w:r>
      <w:proofErr w:type="spellEnd"/>
      <w:r>
        <w:rPr>
          <w:lang w:val="pt-BR"/>
        </w:rPr>
        <w:t xml:space="preserve"> </w:t>
      </w:r>
      <w:proofErr w:type="spellStart"/>
      <w:r>
        <w:rPr>
          <w:lang w:val="pt-BR"/>
        </w:rPr>
        <w:t>Sierra</w:t>
      </w:r>
      <w:proofErr w:type="spellEnd"/>
      <w:r>
        <w:rPr>
          <w:lang w:val="pt-BR"/>
        </w:rPr>
        <w:t xml:space="preserve"> Porto</w:t>
      </w:r>
      <w:r>
        <w:rPr>
          <w:lang w:val="pt-BR"/>
        </w:rPr>
        <w:tab/>
      </w:r>
      <w:r>
        <w:rPr>
          <w:lang w:val="pt-BR"/>
        </w:rPr>
        <w:tab/>
      </w:r>
      <w:r>
        <w:rPr>
          <w:lang w:val="pt-BR"/>
        </w:rPr>
        <w:tab/>
      </w:r>
      <w:r>
        <w:rPr>
          <w:lang w:val="pt-BR"/>
        </w:rPr>
        <w:tab/>
        <w:t xml:space="preserve">   Eduardo Ferrer </w:t>
      </w:r>
      <w:proofErr w:type="spellStart"/>
      <w:r>
        <w:rPr>
          <w:lang w:val="pt-BR"/>
        </w:rPr>
        <w:t>Mac-Gregor</w:t>
      </w:r>
      <w:proofErr w:type="spellEnd"/>
      <w:r>
        <w:rPr>
          <w:lang w:val="pt-BR"/>
        </w:rPr>
        <w:t xml:space="preserve"> </w:t>
      </w:r>
      <w:proofErr w:type="spellStart"/>
      <w:r>
        <w:rPr>
          <w:lang w:val="pt-BR"/>
        </w:rPr>
        <w:t>Poisot</w:t>
      </w:r>
      <w:proofErr w:type="spellEnd"/>
      <w:r w:rsidRPr="0019261A">
        <w:rPr>
          <w:lang w:val="pt-BR"/>
        </w:rPr>
        <w:tab/>
      </w:r>
      <w:r>
        <w:rPr>
          <w:lang w:val="pt-BR"/>
        </w:rPr>
        <w:t xml:space="preserve">                                                   </w:t>
      </w:r>
    </w:p>
    <w:p w14:paraId="4898C368" w14:textId="0029F76C" w:rsidR="006837AA" w:rsidRDefault="006837AA" w:rsidP="006837AA">
      <w:pPr>
        <w:rPr>
          <w:lang w:val="pt-BR"/>
        </w:rPr>
      </w:pPr>
    </w:p>
    <w:p w14:paraId="278D4A38" w14:textId="3AED530C" w:rsidR="006837AA" w:rsidRDefault="006837AA" w:rsidP="006837AA">
      <w:pPr>
        <w:rPr>
          <w:lang w:val="pt-BR"/>
        </w:rPr>
      </w:pPr>
    </w:p>
    <w:p w14:paraId="72650D39" w14:textId="77777777" w:rsidR="006837AA" w:rsidRDefault="006837AA" w:rsidP="006837AA">
      <w:pPr>
        <w:rPr>
          <w:lang w:val="pt-BR"/>
        </w:rPr>
      </w:pPr>
    </w:p>
    <w:p w14:paraId="29B93D78" w14:textId="77777777" w:rsidR="006837AA" w:rsidRDefault="006837AA" w:rsidP="006837AA">
      <w:pPr>
        <w:rPr>
          <w:lang w:val="pt-BR"/>
        </w:rPr>
      </w:pPr>
    </w:p>
    <w:p w14:paraId="4277DE83" w14:textId="3D97B5E5" w:rsidR="006837AA" w:rsidRDefault="006837AA" w:rsidP="006837AA">
      <w:pPr>
        <w:rPr>
          <w:lang w:val="pt-BR"/>
        </w:rPr>
      </w:pPr>
    </w:p>
    <w:p w14:paraId="0BA03118" w14:textId="77777777" w:rsidR="006837AA" w:rsidRPr="0019261A" w:rsidRDefault="006837AA" w:rsidP="006837AA">
      <w:pPr>
        <w:rPr>
          <w:lang w:val="pt-BR"/>
        </w:rPr>
      </w:pPr>
      <w:r>
        <w:rPr>
          <w:lang w:val="pt-BR"/>
        </w:rPr>
        <w:t xml:space="preserve">Eugenio </w:t>
      </w:r>
      <w:proofErr w:type="spellStart"/>
      <w:r>
        <w:rPr>
          <w:lang w:val="pt-BR"/>
        </w:rPr>
        <w:t>Raúl</w:t>
      </w:r>
      <w:proofErr w:type="spellEnd"/>
      <w:r>
        <w:rPr>
          <w:lang w:val="pt-BR"/>
        </w:rPr>
        <w:t xml:space="preserve"> </w:t>
      </w:r>
      <w:proofErr w:type="spellStart"/>
      <w:r>
        <w:rPr>
          <w:lang w:val="pt-BR"/>
        </w:rPr>
        <w:t>Zaffaroni</w:t>
      </w:r>
      <w:proofErr w:type="spellEnd"/>
      <w:r>
        <w:rPr>
          <w:lang w:val="pt-BR"/>
        </w:rPr>
        <w:tab/>
      </w:r>
      <w:r>
        <w:rPr>
          <w:lang w:val="pt-BR"/>
        </w:rPr>
        <w:tab/>
      </w:r>
      <w:r>
        <w:rPr>
          <w:lang w:val="pt-BR"/>
        </w:rPr>
        <w:tab/>
        <w:t xml:space="preserve">                                  Ricardo C. Pérez </w:t>
      </w:r>
      <w:proofErr w:type="spellStart"/>
      <w:r>
        <w:rPr>
          <w:lang w:val="pt-BR"/>
        </w:rPr>
        <w:t>Manrique</w:t>
      </w:r>
      <w:proofErr w:type="spellEnd"/>
    </w:p>
    <w:p w14:paraId="1B880F9B" w14:textId="77777777" w:rsidR="006837AA" w:rsidRDefault="006837AA" w:rsidP="006837AA">
      <w:pPr>
        <w:rPr>
          <w:lang w:val="pt-BR"/>
        </w:rPr>
      </w:pPr>
    </w:p>
    <w:p w14:paraId="4DCB7564" w14:textId="77777777" w:rsidR="006837AA" w:rsidRDefault="006837AA" w:rsidP="006837AA">
      <w:pPr>
        <w:rPr>
          <w:lang w:val="pt-BR"/>
        </w:rPr>
      </w:pPr>
    </w:p>
    <w:p w14:paraId="11634D21" w14:textId="77777777" w:rsidR="006837AA" w:rsidRDefault="006837AA" w:rsidP="006837AA">
      <w:pPr>
        <w:rPr>
          <w:lang w:val="pt-BR"/>
        </w:rPr>
      </w:pPr>
    </w:p>
    <w:p w14:paraId="2992AFA0" w14:textId="77777777" w:rsidR="006837AA" w:rsidRPr="0019261A" w:rsidRDefault="006837AA" w:rsidP="006837AA">
      <w:pPr>
        <w:rPr>
          <w:lang w:val="pt-BR"/>
        </w:rPr>
      </w:pPr>
    </w:p>
    <w:p w14:paraId="7B684F49" w14:textId="77777777" w:rsidR="006837AA" w:rsidRPr="0019261A" w:rsidRDefault="006837AA" w:rsidP="006837AA">
      <w:pPr>
        <w:rPr>
          <w:lang w:val="pt-BR"/>
        </w:rPr>
      </w:pPr>
    </w:p>
    <w:p w14:paraId="6BB68C44" w14:textId="77777777" w:rsidR="006837AA" w:rsidRPr="00FC4051" w:rsidRDefault="006837AA" w:rsidP="006837AA">
      <w:pPr>
        <w:jc w:val="center"/>
        <w:rPr>
          <w:lang w:val="pt-BR"/>
        </w:rPr>
      </w:pPr>
      <w:r w:rsidRPr="00FC4051">
        <w:rPr>
          <w:lang w:val="pt-BR"/>
        </w:rPr>
        <w:t xml:space="preserve">Pablo Saavedra </w:t>
      </w:r>
      <w:proofErr w:type="spellStart"/>
      <w:r w:rsidRPr="00FC4051">
        <w:rPr>
          <w:lang w:val="pt-BR"/>
        </w:rPr>
        <w:t>Alessandri</w:t>
      </w:r>
      <w:proofErr w:type="spellEnd"/>
    </w:p>
    <w:p w14:paraId="55300A82" w14:textId="1686E7A7" w:rsidR="006837AA" w:rsidRDefault="006837AA" w:rsidP="006837AA">
      <w:pPr>
        <w:jc w:val="center"/>
        <w:rPr>
          <w:lang w:val="pt-BR"/>
        </w:rPr>
      </w:pPr>
      <w:r w:rsidRPr="00FC4051">
        <w:rPr>
          <w:lang w:val="pt-BR"/>
        </w:rPr>
        <w:t>Secret</w:t>
      </w:r>
      <w:r>
        <w:rPr>
          <w:lang w:val="pt-BR"/>
        </w:rPr>
        <w:t>a</w:t>
      </w:r>
      <w:r w:rsidRPr="00FC4051">
        <w:rPr>
          <w:lang w:val="pt-BR"/>
        </w:rPr>
        <w:t>rio</w:t>
      </w:r>
    </w:p>
    <w:p w14:paraId="2F0FF62B" w14:textId="774CC4F6" w:rsidR="006837AA" w:rsidRPr="00FC4051" w:rsidRDefault="006837AA" w:rsidP="006837AA">
      <w:pPr>
        <w:pStyle w:val="Textonotapie"/>
        <w:rPr>
          <w:lang w:val="pt-BR"/>
        </w:rPr>
      </w:pPr>
    </w:p>
    <w:p w14:paraId="12639A67" w14:textId="31949309" w:rsidR="006837AA" w:rsidRPr="00FC4051" w:rsidRDefault="006837AA" w:rsidP="006837AA">
      <w:pPr>
        <w:rPr>
          <w:lang w:val="pt-BR"/>
        </w:rPr>
      </w:pPr>
      <w:proofErr w:type="spellStart"/>
      <w:r>
        <w:rPr>
          <w:lang w:val="pt-BR"/>
        </w:rPr>
        <w:t>Comuníquese</w:t>
      </w:r>
      <w:proofErr w:type="spellEnd"/>
      <w:r>
        <w:rPr>
          <w:lang w:val="pt-BR"/>
        </w:rPr>
        <w:t xml:space="preserve"> y </w:t>
      </w:r>
      <w:proofErr w:type="spellStart"/>
      <w:r>
        <w:rPr>
          <w:lang w:val="pt-BR"/>
        </w:rPr>
        <w:t>ejecútese</w:t>
      </w:r>
      <w:proofErr w:type="spellEnd"/>
      <w:r w:rsidRPr="00FC4051">
        <w:rPr>
          <w:lang w:val="pt-BR"/>
        </w:rPr>
        <w:t>,</w:t>
      </w:r>
    </w:p>
    <w:p w14:paraId="12271F89" w14:textId="4B865848" w:rsidR="006837AA" w:rsidRPr="00FC4051" w:rsidRDefault="006837AA" w:rsidP="006837AA">
      <w:pPr>
        <w:rPr>
          <w:lang w:val="pt-BR"/>
        </w:rPr>
      </w:pPr>
    </w:p>
    <w:p w14:paraId="01F19481" w14:textId="37D5508C" w:rsidR="006837AA" w:rsidRDefault="006837AA" w:rsidP="006837AA">
      <w:pPr>
        <w:jc w:val="center"/>
        <w:rPr>
          <w:lang w:val="pt-BR"/>
        </w:rPr>
      </w:pPr>
    </w:p>
    <w:p w14:paraId="2BDAC226" w14:textId="77777777" w:rsidR="006837AA" w:rsidRPr="00FC4051" w:rsidRDefault="006837AA" w:rsidP="006837AA">
      <w:pPr>
        <w:jc w:val="right"/>
        <w:rPr>
          <w:lang w:val="pt-BR"/>
        </w:rPr>
      </w:pPr>
    </w:p>
    <w:p w14:paraId="025708DF" w14:textId="716A4F60" w:rsidR="006837AA" w:rsidRDefault="006837AA" w:rsidP="006837AA">
      <w:pPr>
        <w:jc w:val="center"/>
        <w:rPr>
          <w:lang w:val="pt-BR"/>
        </w:rPr>
      </w:pPr>
      <w:r>
        <w:rPr>
          <w:lang w:val="pt-BR"/>
        </w:rPr>
        <w:t xml:space="preserve">                                                                                            Elizabeth </w:t>
      </w:r>
      <w:proofErr w:type="spellStart"/>
      <w:r>
        <w:rPr>
          <w:lang w:val="pt-BR"/>
        </w:rPr>
        <w:t>Odio</w:t>
      </w:r>
      <w:proofErr w:type="spellEnd"/>
      <w:r>
        <w:rPr>
          <w:lang w:val="pt-BR"/>
        </w:rPr>
        <w:t xml:space="preserve"> Benito</w:t>
      </w:r>
    </w:p>
    <w:p w14:paraId="5FFC0E0E" w14:textId="0B1DC72D" w:rsidR="006837AA" w:rsidRDefault="006837AA" w:rsidP="006837AA">
      <w:pPr>
        <w:ind w:firstLine="720"/>
        <w:rPr>
          <w:lang w:val="pt-BR"/>
        </w:rPr>
      </w:pPr>
      <w:r>
        <w:rPr>
          <w:lang w:val="pt-BR"/>
        </w:rPr>
        <w:t xml:space="preserve">     </w:t>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r>
      <w:r>
        <w:rPr>
          <w:lang w:val="pt-BR"/>
        </w:rPr>
        <w:tab/>
        <w:t xml:space="preserve">   </w:t>
      </w:r>
      <w:r w:rsidR="00F511E4">
        <w:rPr>
          <w:lang w:val="pt-BR"/>
        </w:rPr>
        <w:t xml:space="preserve">   </w:t>
      </w:r>
      <w:r>
        <w:rPr>
          <w:lang w:val="pt-BR"/>
        </w:rPr>
        <w:t>Presidenta</w:t>
      </w:r>
    </w:p>
    <w:p w14:paraId="63B40E05" w14:textId="77777777" w:rsidR="006837AA" w:rsidRPr="00FC4051" w:rsidRDefault="006837AA" w:rsidP="006837AA">
      <w:pPr>
        <w:rPr>
          <w:lang w:val="pt-BR"/>
        </w:rPr>
      </w:pPr>
    </w:p>
    <w:p w14:paraId="0D8ACBFB" w14:textId="77777777" w:rsidR="006837AA" w:rsidRDefault="006837AA" w:rsidP="006837AA">
      <w:pPr>
        <w:rPr>
          <w:lang w:val="pt-BR"/>
        </w:rPr>
      </w:pPr>
    </w:p>
    <w:p w14:paraId="79445686" w14:textId="77777777" w:rsidR="006837AA" w:rsidRPr="00FC4051" w:rsidRDefault="006837AA" w:rsidP="006837AA">
      <w:pPr>
        <w:rPr>
          <w:lang w:val="pt-BR"/>
        </w:rPr>
      </w:pPr>
      <w:r w:rsidRPr="00FC4051">
        <w:rPr>
          <w:lang w:val="pt-BR"/>
        </w:rPr>
        <w:t xml:space="preserve">Pablo Saavedra </w:t>
      </w:r>
      <w:proofErr w:type="spellStart"/>
      <w:r w:rsidRPr="00FC4051">
        <w:rPr>
          <w:lang w:val="pt-BR"/>
        </w:rPr>
        <w:t>Alessandri</w:t>
      </w:r>
      <w:proofErr w:type="spellEnd"/>
    </w:p>
    <w:p w14:paraId="70F01F42" w14:textId="1E2E4765" w:rsidR="00343FAA" w:rsidRPr="00002403" w:rsidRDefault="006837AA" w:rsidP="00157ED2">
      <w:pPr>
        <w:rPr>
          <w:lang w:val="es-ES"/>
        </w:rPr>
      </w:pPr>
      <w:r>
        <w:rPr>
          <w:lang w:val="pt-BR"/>
        </w:rPr>
        <w:t xml:space="preserve">          </w:t>
      </w:r>
      <w:r w:rsidRPr="0019261A">
        <w:rPr>
          <w:lang w:val="es-ES"/>
        </w:rPr>
        <w:t>Secret</w:t>
      </w:r>
      <w:r>
        <w:rPr>
          <w:lang w:val="es-ES"/>
        </w:rPr>
        <w:t>ario</w:t>
      </w:r>
    </w:p>
    <w:sectPr w:rsidR="00343FAA" w:rsidRPr="00002403" w:rsidSect="00444644">
      <w:headerReference w:type="default" r:id="rId8"/>
      <w:footerReference w:type="default" r:id="rId9"/>
      <w:pgSz w:w="12240" w:h="15840"/>
      <w:pgMar w:top="1418" w:right="1418" w:bottom="1418" w:left="1418"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FFEB2" w14:textId="77777777" w:rsidR="002F3B6E" w:rsidRDefault="002F3B6E" w:rsidP="006D3B70">
      <w:r>
        <w:separator/>
      </w:r>
    </w:p>
  </w:endnote>
  <w:endnote w:type="continuationSeparator" w:id="0">
    <w:p w14:paraId="53FC2FDB" w14:textId="77777777" w:rsidR="002F3B6E" w:rsidRDefault="002F3B6E" w:rsidP="006D3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5357077"/>
      <w:docPartObj>
        <w:docPartGallery w:val="Page Numbers (Bottom of Page)"/>
        <w:docPartUnique/>
      </w:docPartObj>
    </w:sdtPr>
    <w:sdtEndPr/>
    <w:sdtContent>
      <w:p w14:paraId="01867FAC" w14:textId="6E2C2E33" w:rsidR="00B30FF1" w:rsidRPr="00773E45" w:rsidRDefault="00B30FF1" w:rsidP="00FA3D2B">
        <w:pPr>
          <w:pStyle w:val="Piedepgina"/>
          <w:tabs>
            <w:tab w:val="clear" w:pos="4680"/>
            <w:tab w:val="center" w:pos="4111"/>
          </w:tabs>
          <w:jc w:val="center"/>
        </w:pPr>
        <w:r w:rsidRPr="00773E45">
          <w:fldChar w:fldCharType="begin"/>
        </w:r>
        <w:r w:rsidRPr="00773E45">
          <w:instrText>PAGE   \* MERGEFORMAT</w:instrText>
        </w:r>
        <w:r w:rsidRPr="00773E45">
          <w:fldChar w:fldCharType="separate"/>
        </w:r>
        <w:r w:rsidR="009A4C24" w:rsidRPr="009A4C24">
          <w:rPr>
            <w:noProof/>
            <w:lang w:val="es-ES"/>
          </w:rPr>
          <w:t>5</w:t>
        </w:r>
        <w:r w:rsidRPr="00773E45">
          <w:fldChar w:fldCharType="end"/>
        </w:r>
        <w:r>
          <w:t xml:space="preserve"> </w:t>
        </w:r>
      </w:p>
    </w:sdtContent>
  </w:sdt>
  <w:p w14:paraId="1FDC8C54" w14:textId="77777777" w:rsidR="00B30FF1" w:rsidRDefault="00B30F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2E6D0" w14:textId="77777777" w:rsidR="002F3B6E" w:rsidRDefault="002F3B6E" w:rsidP="006D3B70">
      <w:r>
        <w:separator/>
      </w:r>
    </w:p>
  </w:footnote>
  <w:footnote w:type="continuationSeparator" w:id="0">
    <w:p w14:paraId="27432047" w14:textId="77777777" w:rsidR="002F3B6E" w:rsidRDefault="002F3B6E" w:rsidP="006D3B70">
      <w:r>
        <w:continuationSeparator/>
      </w:r>
    </w:p>
  </w:footnote>
  <w:footnote w:id="1">
    <w:p w14:paraId="09A7F7D8" w14:textId="78EA3A7A" w:rsidR="00FD6318" w:rsidRDefault="00FD6318" w:rsidP="00FD6318">
      <w:pPr>
        <w:pStyle w:val="Textonotapie"/>
        <w:jc w:val="both"/>
        <w:rPr>
          <w:color w:val="000000"/>
          <w:sz w:val="16"/>
          <w:szCs w:val="16"/>
          <w:shd w:val="clear" w:color="auto" w:fill="FFFFFF"/>
          <w:lang w:val="es-CR"/>
        </w:rPr>
      </w:pPr>
      <w:r w:rsidRPr="00FD6318">
        <w:rPr>
          <w:rStyle w:val="Refdenotaalpie"/>
          <w:lang w:val="es-CR"/>
        </w:rPr>
        <w:t>*</w:t>
      </w:r>
      <w:r w:rsidRPr="00FD6318">
        <w:rPr>
          <w:lang w:val="es-CR"/>
        </w:rPr>
        <w:t xml:space="preserve"> </w:t>
      </w:r>
      <w:r>
        <w:rPr>
          <w:lang w:val="es-CR"/>
        </w:rPr>
        <w:tab/>
      </w:r>
      <w:r w:rsidRPr="00FD6318">
        <w:rPr>
          <w:color w:val="000000"/>
          <w:sz w:val="16"/>
          <w:szCs w:val="16"/>
          <w:shd w:val="clear" w:color="auto" w:fill="FFFFFF"/>
          <w:lang w:val="es-CR"/>
        </w:rPr>
        <w:t xml:space="preserve">Debido a las circunstancias excepcionales ocasionadas por la pandemia COVID-19, esta Resolución </w:t>
      </w:r>
      <w:r w:rsidRPr="00216288">
        <w:rPr>
          <w:color w:val="000000"/>
          <w:sz w:val="16"/>
          <w:szCs w:val="16"/>
          <w:shd w:val="clear" w:color="auto" w:fill="FFFFFF"/>
          <w:lang w:val="es-CR"/>
        </w:rPr>
        <w:t xml:space="preserve">fue </w:t>
      </w:r>
      <w:r w:rsidR="001D6F39" w:rsidRPr="00216288">
        <w:rPr>
          <w:color w:val="000000"/>
          <w:sz w:val="16"/>
          <w:szCs w:val="16"/>
          <w:shd w:val="clear" w:color="auto" w:fill="FFFFFF"/>
          <w:lang w:val="es-CR"/>
        </w:rPr>
        <w:t>aprobada durante el 136</w:t>
      </w:r>
      <w:r w:rsidRPr="00FD6318">
        <w:rPr>
          <w:color w:val="000000"/>
          <w:sz w:val="16"/>
          <w:szCs w:val="16"/>
          <w:shd w:val="clear" w:color="auto" w:fill="FFFFFF"/>
          <w:lang w:val="es-CR"/>
        </w:rPr>
        <w:t xml:space="preserve"> Período Ordinario de Sesiones, llev</w:t>
      </w:r>
      <w:r w:rsidR="006E6123">
        <w:rPr>
          <w:color w:val="000000"/>
          <w:sz w:val="16"/>
          <w:szCs w:val="16"/>
          <w:shd w:val="clear" w:color="auto" w:fill="FFFFFF"/>
          <w:lang w:val="es-CR"/>
        </w:rPr>
        <w:t>ado</w:t>
      </w:r>
      <w:r w:rsidRPr="00FD6318">
        <w:rPr>
          <w:color w:val="000000"/>
          <w:sz w:val="16"/>
          <w:szCs w:val="16"/>
          <w:shd w:val="clear" w:color="auto" w:fill="FFFFFF"/>
          <w:lang w:val="es-CR"/>
        </w:rPr>
        <w:t xml:space="preserve"> a cabo de forma no presencial utilizando medios tecnológicos de conformidad con lo establecido en el Reglamento de la Corte.</w:t>
      </w:r>
    </w:p>
    <w:p w14:paraId="2AE4301D" w14:textId="77777777" w:rsidR="00FD6318" w:rsidRPr="00FD6318" w:rsidRDefault="00FD6318">
      <w:pPr>
        <w:pStyle w:val="Textonotapie"/>
        <w:rPr>
          <w:lang w:val="es-CR"/>
        </w:rPr>
      </w:pPr>
    </w:p>
  </w:footnote>
  <w:footnote w:id="2">
    <w:p w14:paraId="42ECDF53" w14:textId="55376A69" w:rsidR="00B30FF1" w:rsidRPr="00BC61D0" w:rsidRDefault="00B30FF1" w:rsidP="00BC61D0">
      <w:pPr>
        <w:pStyle w:val="Textonotapie"/>
        <w:jc w:val="both"/>
        <w:rPr>
          <w:sz w:val="16"/>
          <w:szCs w:val="16"/>
          <w:lang w:val="es-CR"/>
        </w:rPr>
      </w:pPr>
      <w:r w:rsidRPr="00BC61D0">
        <w:rPr>
          <w:rStyle w:val="Refdenotaalpie"/>
          <w:sz w:val="16"/>
          <w:szCs w:val="16"/>
        </w:rPr>
        <w:footnoteRef/>
      </w:r>
      <w:r w:rsidRPr="00BC61D0">
        <w:rPr>
          <w:sz w:val="16"/>
          <w:szCs w:val="16"/>
          <w:lang w:val="es-CR"/>
        </w:rPr>
        <w:t xml:space="preserve"> </w:t>
      </w:r>
      <w:r w:rsidRPr="00BC61D0">
        <w:rPr>
          <w:sz w:val="16"/>
          <w:szCs w:val="16"/>
          <w:lang w:val="es-CR"/>
        </w:rPr>
        <w:tab/>
      </w:r>
      <w:r w:rsidRPr="00BC61D0">
        <w:rPr>
          <w:i/>
          <w:sz w:val="16"/>
          <w:szCs w:val="16"/>
          <w:lang w:val="es-CR"/>
        </w:rPr>
        <w:t xml:space="preserve">Caso Mota </w:t>
      </w:r>
      <w:proofErr w:type="spellStart"/>
      <w:r w:rsidRPr="00BC61D0">
        <w:rPr>
          <w:i/>
          <w:sz w:val="16"/>
          <w:szCs w:val="16"/>
          <w:lang w:val="es-CR"/>
        </w:rPr>
        <w:t>Abarullo</w:t>
      </w:r>
      <w:proofErr w:type="spellEnd"/>
      <w:r w:rsidRPr="00BC61D0">
        <w:rPr>
          <w:i/>
          <w:sz w:val="16"/>
          <w:szCs w:val="16"/>
          <w:lang w:val="es-CR"/>
        </w:rPr>
        <w:t xml:space="preserve"> y otros Vs. Venezuela.</w:t>
      </w:r>
      <w:r w:rsidRPr="00BC61D0">
        <w:rPr>
          <w:sz w:val="16"/>
          <w:szCs w:val="16"/>
          <w:lang w:val="es-CR"/>
        </w:rPr>
        <w:t xml:space="preserve"> Resolución de la </w:t>
      </w:r>
      <w:proofErr w:type="gramStart"/>
      <w:r w:rsidRPr="00BC61D0">
        <w:rPr>
          <w:sz w:val="16"/>
          <w:szCs w:val="16"/>
          <w:lang w:val="es-CR"/>
        </w:rPr>
        <w:t>Presidenta</w:t>
      </w:r>
      <w:proofErr w:type="gramEnd"/>
      <w:r w:rsidRPr="00BC61D0">
        <w:rPr>
          <w:sz w:val="16"/>
          <w:szCs w:val="16"/>
          <w:lang w:val="es-CR"/>
        </w:rPr>
        <w:t xml:space="preserve"> de la Corte Interamericana de Derechos Humanos de 30 de junio de 2020, Considerando 8. </w:t>
      </w:r>
    </w:p>
    <w:p w14:paraId="1D773710" w14:textId="77777777" w:rsidR="00B30FF1" w:rsidRPr="00F22383" w:rsidRDefault="00B30FF1">
      <w:pPr>
        <w:pStyle w:val="Textonotapie"/>
        <w:rPr>
          <w:lang w:val="es-CR"/>
        </w:rPr>
      </w:pPr>
    </w:p>
  </w:footnote>
  <w:footnote w:id="3">
    <w:p w14:paraId="06946049" w14:textId="1DCBD24C" w:rsidR="00B30FF1" w:rsidRPr="000A234B" w:rsidRDefault="00B30FF1" w:rsidP="002D533C">
      <w:pPr>
        <w:pStyle w:val="Textonotapie"/>
        <w:spacing w:line="216" w:lineRule="auto"/>
        <w:jc w:val="both"/>
        <w:rPr>
          <w:rFonts w:cs="Arial"/>
          <w:sz w:val="16"/>
          <w:szCs w:val="16"/>
          <w:shd w:val="clear" w:color="auto" w:fill="FFFFFF"/>
          <w:lang w:val="es-CR"/>
        </w:rPr>
      </w:pPr>
      <w:r w:rsidRPr="000A234B">
        <w:rPr>
          <w:rStyle w:val="Refdenotaalpie"/>
          <w:sz w:val="16"/>
          <w:szCs w:val="16"/>
        </w:rPr>
        <w:footnoteRef/>
      </w:r>
      <w:r w:rsidRPr="000A234B">
        <w:rPr>
          <w:sz w:val="16"/>
          <w:szCs w:val="16"/>
          <w:lang w:val="es-CR"/>
        </w:rPr>
        <w:t xml:space="preserve"> </w:t>
      </w:r>
      <w:r w:rsidRPr="000A234B">
        <w:rPr>
          <w:sz w:val="16"/>
          <w:szCs w:val="16"/>
          <w:lang w:val="es-CR"/>
        </w:rPr>
        <w:tab/>
      </w:r>
      <w:r w:rsidRPr="000A234B">
        <w:rPr>
          <w:i/>
          <w:sz w:val="16"/>
          <w:szCs w:val="16"/>
          <w:lang w:val="es-CR"/>
        </w:rPr>
        <w:t>Cfr.</w:t>
      </w:r>
      <w:r w:rsidRPr="000A234B">
        <w:rPr>
          <w:sz w:val="16"/>
          <w:szCs w:val="16"/>
          <w:lang w:val="es-CR"/>
        </w:rPr>
        <w:t xml:space="preserve"> en el mismo sentido, </w:t>
      </w:r>
      <w:r w:rsidRPr="000A234B">
        <w:rPr>
          <w:i/>
          <w:sz w:val="16"/>
          <w:szCs w:val="16"/>
          <w:lang w:val="es-CR"/>
        </w:rPr>
        <w:t>C</w:t>
      </w:r>
      <w:r w:rsidRPr="000A234B">
        <w:rPr>
          <w:rStyle w:val="Textoennegrita"/>
          <w:b w:val="0"/>
          <w:i/>
          <w:color w:val="000000"/>
          <w:sz w:val="16"/>
          <w:szCs w:val="16"/>
          <w:shd w:val="clear" w:color="auto" w:fill="FFFFFF"/>
          <w:lang w:val="es-CR"/>
        </w:rPr>
        <w:t xml:space="preserve">aso Rojas Marín y otra Vs. Perú. Reconsideración de convocatoria a audiencia. </w:t>
      </w:r>
      <w:r w:rsidRPr="000A234B">
        <w:rPr>
          <w:rStyle w:val="Textoennegrita"/>
          <w:b w:val="0"/>
          <w:color w:val="000000"/>
          <w:sz w:val="16"/>
          <w:szCs w:val="16"/>
          <w:shd w:val="clear" w:color="auto" w:fill="FFFFFF"/>
          <w:lang w:val="es-CR"/>
        </w:rPr>
        <w:t xml:space="preserve">Resolución de la Corte Interamericana de Derechos Humanos de 26 de agosto de 2019, Considerando 2, y </w:t>
      </w:r>
      <w:r w:rsidRPr="000A234B">
        <w:rPr>
          <w:rFonts w:cs="Arial"/>
          <w:i/>
          <w:sz w:val="16"/>
          <w:szCs w:val="16"/>
          <w:shd w:val="clear" w:color="auto" w:fill="FFFFFF"/>
          <w:lang w:val="es-CR"/>
        </w:rPr>
        <w:t>Caso Guzmán Albarracín y otros Vs. Ecuador.</w:t>
      </w:r>
      <w:r w:rsidRPr="000A234B">
        <w:rPr>
          <w:rFonts w:cs="Arial"/>
          <w:sz w:val="16"/>
          <w:szCs w:val="16"/>
          <w:shd w:val="clear" w:color="auto" w:fill="FFFFFF"/>
          <w:lang w:val="es-CR"/>
        </w:rPr>
        <w:t xml:space="preserve"> Resolución de la Corte Interamericana de Derechos Humanos de 27 de enero de 2020, Considerando 3. </w:t>
      </w:r>
    </w:p>
    <w:p w14:paraId="2F4F69A1" w14:textId="77777777" w:rsidR="00B30FF1" w:rsidRPr="000A234B" w:rsidRDefault="00B30FF1" w:rsidP="002D533C">
      <w:pPr>
        <w:pStyle w:val="Textonotapie"/>
        <w:spacing w:line="216" w:lineRule="auto"/>
        <w:jc w:val="both"/>
        <w:rPr>
          <w:sz w:val="16"/>
          <w:szCs w:val="16"/>
          <w:lang w:val="es-CR"/>
        </w:rPr>
      </w:pPr>
    </w:p>
  </w:footnote>
  <w:footnote w:id="4">
    <w:p w14:paraId="284C000D" w14:textId="2CC2B33F" w:rsidR="00B30FF1" w:rsidRPr="00BC61D0" w:rsidRDefault="00B30FF1">
      <w:pPr>
        <w:pStyle w:val="Textonotapie"/>
        <w:rPr>
          <w:lang w:val="es-CR"/>
        </w:rPr>
      </w:pPr>
      <w:r>
        <w:rPr>
          <w:rStyle w:val="Refdenotaalpie"/>
        </w:rPr>
        <w:footnoteRef/>
      </w:r>
      <w:r w:rsidRPr="00BC61D0">
        <w:rPr>
          <w:lang w:val="es-CR"/>
        </w:rPr>
        <w:t xml:space="preserve"> </w:t>
      </w:r>
      <w:r>
        <w:rPr>
          <w:lang w:val="es-CR"/>
        </w:rPr>
        <w:tab/>
      </w:r>
      <w:r w:rsidRPr="00BC61D0">
        <w:rPr>
          <w:i/>
          <w:sz w:val="16"/>
          <w:szCs w:val="16"/>
          <w:lang w:val="es-CR"/>
        </w:rPr>
        <w:t>C</w:t>
      </w:r>
      <w:r>
        <w:rPr>
          <w:i/>
          <w:sz w:val="16"/>
          <w:szCs w:val="16"/>
          <w:lang w:val="es-CR"/>
        </w:rPr>
        <w:t>fr. C</w:t>
      </w:r>
      <w:r w:rsidRPr="00BC61D0">
        <w:rPr>
          <w:i/>
          <w:sz w:val="16"/>
          <w:szCs w:val="16"/>
          <w:lang w:val="es-CR"/>
        </w:rPr>
        <w:t xml:space="preserve">aso Mota </w:t>
      </w:r>
      <w:proofErr w:type="spellStart"/>
      <w:r w:rsidRPr="00BC61D0">
        <w:rPr>
          <w:i/>
          <w:sz w:val="16"/>
          <w:szCs w:val="16"/>
          <w:lang w:val="es-CR"/>
        </w:rPr>
        <w:t>Abarullo</w:t>
      </w:r>
      <w:proofErr w:type="spellEnd"/>
      <w:r w:rsidRPr="00BC61D0">
        <w:rPr>
          <w:i/>
          <w:sz w:val="16"/>
          <w:szCs w:val="16"/>
          <w:lang w:val="es-CR"/>
        </w:rPr>
        <w:t xml:space="preserve"> y otros Vs. Venezuela.</w:t>
      </w:r>
      <w:r w:rsidRPr="00BC61D0">
        <w:rPr>
          <w:sz w:val="16"/>
          <w:szCs w:val="16"/>
          <w:lang w:val="es-CR"/>
        </w:rPr>
        <w:t xml:space="preserve"> Resolución de la </w:t>
      </w:r>
      <w:proofErr w:type="gramStart"/>
      <w:r w:rsidRPr="00BC61D0">
        <w:rPr>
          <w:sz w:val="16"/>
          <w:szCs w:val="16"/>
          <w:lang w:val="es-CR"/>
        </w:rPr>
        <w:t>Presidenta</w:t>
      </w:r>
      <w:proofErr w:type="gramEnd"/>
      <w:r w:rsidRPr="00BC61D0">
        <w:rPr>
          <w:sz w:val="16"/>
          <w:szCs w:val="16"/>
          <w:lang w:val="es-CR"/>
        </w:rPr>
        <w:t xml:space="preserve"> de la Corte Interamericana de Derechos Humanos de 30 de junio de 2020, Considerando</w:t>
      </w:r>
      <w:r>
        <w:rPr>
          <w:sz w:val="16"/>
          <w:szCs w:val="16"/>
          <w:lang w:val="es-CR"/>
        </w:rPr>
        <w:t>s 6 a</w:t>
      </w:r>
      <w:r w:rsidRPr="00BC61D0">
        <w:rPr>
          <w:sz w:val="16"/>
          <w:szCs w:val="16"/>
          <w:lang w:val="es-CR"/>
        </w:rPr>
        <w:t xml:space="preserve"> 8.</w:t>
      </w:r>
    </w:p>
  </w:footnote>
  <w:footnote w:id="5">
    <w:p w14:paraId="7214760E" w14:textId="77777777" w:rsidR="001E28E3" w:rsidRPr="0041649C" w:rsidRDefault="001E28E3" w:rsidP="00AB7640">
      <w:pPr>
        <w:tabs>
          <w:tab w:val="left" w:pos="567"/>
        </w:tabs>
        <w:spacing w:before="120"/>
        <w:jc w:val="both"/>
        <w:rPr>
          <w:rFonts w:eastAsia="Verdana"/>
          <w:sz w:val="16"/>
          <w:szCs w:val="16"/>
          <w:lang w:val="es-PE"/>
        </w:rPr>
      </w:pPr>
      <w:r w:rsidRPr="00016165">
        <w:rPr>
          <w:rStyle w:val="Refdenotaalpie"/>
          <w:sz w:val="16"/>
          <w:szCs w:val="16"/>
        </w:rPr>
        <w:footnoteRef/>
      </w:r>
      <w:r w:rsidRPr="00016165">
        <w:rPr>
          <w:sz w:val="16"/>
          <w:szCs w:val="16"/>
          <w:lang w:val="es-CR"/>
        </w:rPr>
        <w:t xml:space="preserve"> </w:t>
      </w:r>
      <w:r w:rsidRPr="00016165">
        <w:rPr>
          <w:sz w:val="16"/>
          <w:szCs w:val="16"/>
          <w:lang w:val="es-CR"/>
        </w:rPr>
        <w:tab/>
      </w:r>
      <w:r w:rsidRPr="00016165">
        <w:rPr>
          <w:rFonts w:eastAsia="Verdana"/>
          <w:sz w:val="16"/>
          <w:szCs w:val="16"/>
          <w:lang w:val="es-PE"/>
        </w:rPr>
        <w:t>Este Tribunal, por otra parte, ya en casos anteriores ha dispuesto la recepción de declaraciones orales en diligencias particulares convocadas para el efecto.</w:t>
      </w:r>
      <w:r w:rsidRPr="00016165">
        <w:rPr>
          <w:rFonts w:eastAsia="Verdana"/>
          <w:i/>
          <w:sz w:val="16"/>
          <w:szCs w:val="16"/>
          <w:lang w:val="es-PE"/>
        </w:rPr>
        <w:t xml:space="preserve"> Cfr. </w:t>
      </w:r>
      <w:r w:rsidRPr="00016165">
        <w:rPr>
          <w:rFonts w:cs="Arial"/>
          <w:i/>
          <w:sz w:val="16"/>
          <w:szCs w:val="16"/>
          <w:shd w:val="clear" w:color="auto" w:fill="FFFFFF"/>
          <w:lang w:val="es-CR"/>
        </w:rPr>
        <w:t>Caso Cantoral Benavides Vs. Perú. Fondo.</w:t>
      </w:r>
      <w:r w:rsidRPr="00016165">
        <w:rPr>
          <w:rFonts w:cs="Arial"/>
          <w:sz w:val="16"/>
          <w:szCs w:val="16"/>
          <w:shd w:val="clear" w:color="auto" w:fill="FFFFFF"/>
          <w:lang w:val="es-CR"/>
        </w:rPr>
        <w:t xml:space="preserve"> Sentencia de 18 de</w:t>
      </w:r>
      <w:r w:rsidRPr="0041649C">
        <w:rPr>
          <w:rFonts w:cs="Arial"/>
          <w:sz w:val="16"/>
          <w:szCs w:val="16"/>
          <w:shd w:val="clear" w:color="auto" w:fill="FFFFFF"/>
          <w:lang w:val="es-CR"/>
        </w:rPr>
        <w:t xml:space="preserve"> agosto de 2000. Serie C No. 69, párr. 27; </w:t>
      </w:r>
      <w:r w:rsidRPr="0041649C">
        <w:rPr>
          <w:rFonts w:cs="Arial"/>
          <w:i/>
          <w:sz w:val="16"/>
          <w:szCs w:val="16"/>
          <w:shd w:val="clear" w:color="auto" w:fill="FFFFFF"/>
          <w:lang w:val="es-CR"/>
        </w:rPr>
        <w:t>Caso Bámaca Velásquez Vs. Guatemala. Fondo.</w:t>
      </w:r>
      <w:r w:rsidRPr="0041649C">
        <w:rPr>
          <w:rFonts w:cs="Arial"/>
          <w:sz w:val="16"/>
          <w:szCs w:val="16"/>
          <w:shd w:val="clear" w:color="auto" w:fill="FFFFFF"/>
          <w:lang w:val="es-CR"/>
        </w:rPr>
        <w:t xml:space="preserve"> Sentencia de 25 de noviembre de 2000. Serie C No. 70, párr. 44;</w:t>
      </w:r>
      <w:r w:rsidRPr="0041649C">
        <w:rPr>
          <w:rFonts w:eastAsia="Verdana"/>
          <w:sz w:val="16"/>
          <w:szCs w:val="16"/>
          <w:lang w:val="es-PE"/>
        </w:rPr>
        <w:t xml:space="preserve"> </w:t>
      </w:r>
      <w:r w:rsidRPr="0041649C">
        <w:rPr>
          <w:rFonts w:cs="Arial"/>
          <w:i/>
          <w:sz w:val="16"/>
          <w:szCs w:val="16"/>
          <w:shd w:val="clear" w:color="auto" w:fill="FFFFFF"/>
          <w:lang w:val="es-CR"/>
        </w:rPr>
        <w:t xml:space="preserve">Caso Yvon </w:t>
      </w:r>
      <w:proofErr w:type="spellStart"/>
      <w:r w:rsidRPr="0041649C">
        <w:rPr>
          <w:rFonts w:cs="Arial"/>
          <w:i/>
          <w:sz w:val="16"/>
          <w:szCs w:val="16"/>
          <w:shd w:val="clear" w:color="auto" w:fill="FFFFFF"/>
          <w:lang w:val="es-CR"/>
        </w:rPr>
        <w:t>Neptune</w:t>
      </w:r>
      <w:proofErr w:type="spellEnd"/>
      <w:r w:rsidRPr="0041649C">
        <w:rPr>
          <w:rFonts w:cs="Arial"/>
          <w:i/>
          <w:sz w:val="16"/>
          <w:szCs w:val="16"/>
          <w:shd w:val="clear" w:color="auto" w:fill="FFFFFF"/>
          <w:lang w:val="es-CR"/>
        </w:rPr>
        <w:t xml:space="preserve"> Vs. Haití</w:t>
      </w:r>
      <w:r w:rsidRPr="0041649C">
        <w:rPr>
          <w:rFonts w:cs="Arial"/>
          <w:sz w:val="16"/>
          <w:szCs w:val="16"/>
          <w:shd w:val="clear" w:color="auto" w:fill="FFFFFF"/>
          <w:lang w:val="es-CR"/>
        </w:rPr>
        <w:t xml:space="preserve">. Resolución de la Corte Interamericana de Derechos Humanos de 29 de noviembre de 2007; </w:t>
      </w:r>
      <w:r w:rsidRPr="0041649C">
        <w:rPr>
          <w:rFonts w:cs="Arial"/>
          <w:i/>
          <w:sz w:val="16"/>
          <w:szCs w:val="16"/>
          <w:shd w:val="clear" w:color="auto" w:fill="FFFFFF"/>
          <w:lang w:val="es-CR"/>
        </w:rPr>
        <w:t xml:space="preserve">Caso </w:t>
      </w:r>
      <w:proofErr w:type="spellStart"/>
      <w:r w:rsidRPr="0041649C">
        <w:rPr>
          <w:rFonts w:cs="Arial"/>
          <w:i/>
          <w:sz w:val="16"/>
          <w:szCs w:val="16"/>
          <w:shd w:val="clear" w:color="auto" w:fill="FFFFFF"/>
          <w:lang w:val="es-CR"/>
        </w:rPr>
        <w:t>Atala</w:t>
      </w:r>
      <w:proofErr w:type="spellEnd"/>
      <w:r w:rsidRPr="0041649C">
        <w:rPr>
          <w:rFonts w:cs="Arial"/>
          <w:i/>
          <w:sz w:val="16"/>
          <w:szCs w:val="16"/>
          <w:shd w:val="clear" w:color="auto" w:fill="FFFFFF"/>
          <w:lang w:val="es-CR"/>
        </w:rPr>
        <w:t xml:space="preserve"> Riffo e hijas Vs. Chile.</w:t>
      </w:r>
      <w:r w:rsidRPr="0041649C">
        <w:rPr>
          <w:rFonts w:cs="Arial"/>
          <w:sz w:val="16"/>
          <w:szCs w:val="16"/>
          <w:shd w:val="clear" w:color="auto" w:fill="FFFFFF"/>
          <w:lang w:val="es-CR"/>
        </w:rPr>
        <w:t xml:space="preserve"> Resolución de la Corte Interamericana de Derechos Humanos de 29 de noviembre de 2011, puntos resolutivos 1 y 2, y </w:t>
      </w:r>
      <w:r w:rsidRPr="0041649C">
        <w:rPr>
          <w:rFonts w:cs="Arial"/>
          <w:i/>
          <w:sz w:val="16"/>
          <w:szCs w:val="16"/>
          <w:shd w:val="clear" w:color="auto" w:fill="FFFFFF"/>
          <w:lang w:val="es-CR"/>
        </w:rPr>
        <w:t xml:space="preserve">Caso </w:t>
      </w:r>
      <w:r w:rsidRPr="0041649C">
        <w:rPr>
          <w:rFonts w:cs="Arial"/>
          <w:i/>
          <w:iCs/>
          <w:sz w:val="16"/>
          <w:szCs w:val="16"/>
          <w:shd w:val="clear" w:color="auto" w:fill="FFFFFF"/>
          <w:lang w:val="es-CR"/>
        </w:rPr>
        <w:t>V.R.P. y V.P.C.</w:t>
      </w:r>
      <w:r w:rsidRPr="0041649C">
        <w:rPr>
          <w:rFonts w:cs="Arial"/>
          <w:i/>
          <w:sz w:val="16"/>
          <w:szCs w:val="16"/>
          <w:shd w:val="clear" w:color="auto" w:fill="FFFFFF"/>
          <w:lang w:val="es-CR"/>
        </w:rPr>
        <w:t xml:space="preserve"> Vs. Nicaragua</w:t>
      </w:r>
      <w:r w:rsidRPr="0041649C">
        <w:rPr>
          <w:rFonts w:cs="Arial"/>
          <w:sz w:val="16"/>
          <w:szCs w:val="16"/>
          <w:shd w:val="clear" w:color="auto" w:fill="FFFFFF"/>
          <w:lang w:val="es-CR"/>
        </w:rPr>
        <w:t xml:space="preserve">. Convocatoria a audiencia. Resolución del </w:t>
      </w:r>
      <w:proofErr w:type="gramStart"/>
      <w:r w:rsidRPr="0041649C">
        <w:rPr>
          <w:rFonts w:cs="Arial"/>
          <w:sz w:val="16"/>
          <w:szCs w:val="16"/>
          <w:shd w:val="clear" w:color="auto" w:fill="FFFFFF"/>
          <w:lang w:val="es-CR"/>
        </w:rPr>
        <w:t>Presidente</w:t>
      </w:r>
      <w:proofErr w:type="gramEnd"/>
      <w:r w:rsidRPr="0041649C">
        <w:rPr>
          <w:rFonts w:cs="Arial"/>
          <w:sz w:val="16"/>
          <w:szCs w:val="16"/>
          <w:shd w:val="clear" w:color="auto" w:fill="FFFFFF"/>
          <w:lang w:val="es-CR"/>
        </w:rPr>
        <w:t xml:space="preserve"> de la Corte Interamericana de Derechos Humanos de 21 de septiembre de 2017, punto resolutivo 2.</w:t>
      </w:r>
    </w:p>
  </w:footnote>
  <w:footnote w:id="6">
    <w:p w14:paraId="1601F438" w14:textId="77777777" w:rsidR="001E28E3" w:rsidRPr="001E28E3" w:rsidRDefault="001E28E3" w:rsidP="00AB7640">
      <w:pPr>
        <w:pStyle w:val="Textonotapie"/>
        <w:tabs>
          <w:tab w:val="left" w:pos="567"/>
        </w:tabs>
        <w:spacing w:before="120" w:after="120"/>
        <w:jc w:val="both"/>
        <w:rPr>
          <w:sz w:val="16"/>
          <w:szCs w:val="16"/>
          <w:lang w:val="es-CR"/>
        </w:rPr>
      </w:pPr>
      <w:r w:rsidRPr="004455C9">
        <w:rPr>
          <w:rStyle w:val="Refdenotaalpie"/>
          <w:sz w:val="16"/>
          <w:szCs w:val="16"/>
        </w:rPr>
        <w:footnoteRef/>
      </w:r>
      <w:r w:rsidRPr="001E28E3">
        <w:rPr>
          <w:sz w:val="16"/>
          <w:szCs w:val="16"/>
          <w:lang w:val="es-CR"/>
        </w:rPr>
        <w:t xml:space="preserve"> </w:t>
      </w:r>
      <w:r w:rsidRPr="001E28E3">
        <w:rPr>
          <w:sz w:val="16"/>
          <w:szCs w:val="16"/>
          <w:lang w:val="es-CR"/>
        </w:rPr>
        <w:tab/>
      </w:r>
      <w:r w:rsidRPr="001E28E3">
        <w:rPr>
          <w:i/>
          <w:sz w:val="16"/>
          <w:szCs w:val="16"/>
          <w:lang w:val="es-CR"/>
        </w:rPr>
        <w:t xml:space="preserve">Cfr. Mutatis </w:t>
      </w:r>
      <w:proofErr w:type="spellStart"/>
      <w:r w:rsidRPr="001E28E3">
        <w:rPr>
          <w:i/>
          <w:sz w:val="16"/>
          <w:szCs w:val="16"/>
          <w:lang w:val="es-CR"/>
        </w:rPr>
        <w:t>mutandi</w:t>
      </w:r>
      <w:proofErr w:type="spellEnd"/>
      <w:r w:rsidRPr="001E28E3">
        <w:rPr>
          <w:i/>
          <w:sz w:val="16"/>
          <w:szCs w:val="16"/>
          <w:lang w:val="es-CR"/>
        </w:rPr>
        <w:t>,</w:t>
      </w:r>
      <w:r w:rsidRPr="001E28E3">
        <w:rPr>
          <w:sz w:val="16"/>
          <w:szCs w:val="16"/>
          <w:lang w:val="es-CR"/>
        </w:rPr>
        <w:t xml:space="preserve"> </w:t>
      </w:r>
      <w:r w:rsidRPr="001E28E3">
        <w:rPr>
          <w:i/>
          <w:sz w:val="16"/>
          <w:szCs w:val="16"/>
          <w:lang w:val="es-CR"/>
        </w:rPr>
        <w:t xml:space="preserve">Caso </w:t>
      </w:r>
      <w:proofErr w:type="spellStart"/>
      <w:r w:rsidRPr="001E28E3">
        <w:rPr>
          <w:i/>
          <w:sz w:val="16"/>
          <w:szCs w:val="16"/>
          <w:lang w:val="es-CR"/>
        </w:rPr>
        <w:t>Omeara</w:t>
      </w:r>
      <w:proofErr w:type="spellEnd"/>
      <w:r w:rsidRPr="001E28E3">
        <w:rPr>
          <w:i/>
          <w:sz w:val="16"/>
          <w:szCs w:val="16"/>
          <w:lang w:val="es-CR"/>
        </w:rPr>
        <w:t xml:space="preserve"> Carrascal y otros Vs. Colombia</w:t>
      </w:r>
      <w:r w:rsidRPr="001E28E3">
        <w:rPr>
          <w:sz w:val="16"/>
          <w:szCs w:val="16"/>
          <w:lang w:val="es-CR"/>
        </w:rPr>
        <w:t xml:space="preserve">. Resolución de la Corte Interamericana de Derechos Humanos de 15 de mayo de 2017, Considerando 12, y </w:t>
      </w:r>
      <w:r w:rsidRPr="001E28E3">
        <w:rPr>
          <w:i/>
          <w:sz w:val="16"/>
          <w:szCs w:val="16"/>
          <w:lang w:val="es-CR"/>
        </w:rPr>
        <w:t xml:space="preserve">Caso Arrom </w:t>
      </w:r>
      <w:proofErr w:type="spellStart"/>
      <w:r w:rsidRPr="001E28E3">
        <w:rPr>
          <w:i/>
          <w:sz w:val="16"/>
          <w:szCs w:val="16"/>
          <w:lang w:val="es-CR"/>
        </w:rPr>
        <w:t>Suhurt</w:t>
      </w:r>
      <w:proofErr w:type="spellEnd"/>
      <w:r w:rsidRPr="001E28E3">
        <w:rPr>
          <w:i/>
          <w:sz w:val="16"/>
          <w:szCs w:val="16"/>
          <w:lang w:val="es-CR"/>
        </w:rPr>
        <w:t xml:space="preserve"> y otros Vs. Paraguay</w:t>
      </w:r>
      <w:r w:rsidRPr="001E28E3">
        <w:rPr>
          <w:sz w:val="16"/>
          <w:szCs w:val="16"/>
          <w:lang w:val="es-CR"/>
        </w:rPr>
        <w:t>, Resolución de la Corte Interamericana de Derechos Humanos de 29 de enero de 2019, Considerando 12.</w:t>
      </w:r>
    </w:p>
  </w:footnote>
  <w:footnote w:id="7">
    <w:p w14:paraId="794BC517" w14:textId="58DA6485" w:rsidR="007962DF" w:rsidRPr="007962DF" w:rsidRDefault="007962DF" w:rsidP="007962DF">
      <w:pPr>
        <w:pStyle w:val="Textonotapie"/>
        <w:jc w:val="both"/>
        <w:rPr>
          <w:sz w:val="16"/>
          <w:szCs w:val="16"/>
          <w:lang w:val="es-CR"/>
        </w:rPr>
      </w:pPr>
      <w:r>
        <w:rPr>
          <w:rStyle w:val="Refdenotaalpie"/>
        </w:rPr>
        <w:footnoteRef/>
      </w:r>
      <w:r w:rsidRPr="007962DF">
        <w:rPr>
          <w:lang w:val="es-CR"/>
        </w:rPr>
        <w:t xml:space="preserve"> </w:t>
      </w:r>
      <w:r w:rsidR="008376EC">
        <w:rPr>
          <w:lang w:val="es-CR"/>
        </w:rPr>
        <w:t xml:space="preserve">      </w:t>
      </w:r>
      <w:r w:rsidRPr="007962DF">
        <w:rPr>
          <w:sz w:val="16"/>
          <w:szCs w:val="16"/>
          <w:lang w:val="es-PE"/>
        </w:rPr>
        <w:t xml:space="preserve">Los representantes indicaron, </w:t>
      </w:r>
      <w:r w:rsidRPr="007962DF">
        <w:rPr>
          <w:sz w:val="16"/>
          <w:szCs w:val="16"/>
          <w:lang w:val="es-CR"/>
        </w:rPr>
        <w:t>“[c]</w:t>
      </w:r>
      <w:proofErr w:type="spellStart"/>
      <w:r w:rsidRPr="007962DF">
        <w:rPr>
          <w:sz w:val="16"/>
          <w:szCs w:val="16"/>
          <w:lang w:val="es-CR"/>
        </w:rPr>
        <w:t>omo</w:t>
      </w:r>
      <w:proofErr w:type="spellEnd"/>
      <w:r w:rsidRPr="007962DF">
        <w:rPr>
          <w:sz w:val="16"/>
          <w:szCs w:val="16"/>
          <w:lang w:val="es-CR"/>
        </w:rPr>
        <w:t xml:space="preserve"> un ejemplo”, que “donde vive la [señora] Correa Ríos”, se encuentran vigentes medias que implican el “cumplimiento estricto” de una cuarentena “radical y vigilada”. Expresaron que, al igual que la señora Correa, la señora. Herrera y los peritos Vásquez y Méndez también se enfrentan a problemas significativos generados por la pandemia”. Los representantes citaron como sustento de lo dicho, dos documentos de la Vicepresidencia de la República Bolivariana de Venezuela. Las señoras Correa Ríos y Herrera Sánchez son presuntas víctimas, mismas cuyas declaraciones los representantes solicitan que sean recibidas en forma oral por videoconferencia. Magaly Vásquez González y Juan Méndez son peritos propuestos por los representantes y convocados a prestar declaración escrita en la Resolución de 30 de junio de 2020. </w:t>
      </w:r>
    </w:p>
    <w:p w14:paraId="61A5A6B9" w14:textId="5390E91C" w:rsidR="007962DF" w:rsidRPr="007962DF" w:rsidRDefault="007962DF">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545AD" w14:textId="77777777" w:rsidR="00B30FF1" w:rsidRDefault="00B30FF1" w:rsidP="00FA3D2B">
    <w:pPr>
      <w:pStyle w:val="Encabezado"/>
      <w:tabs>
        <w:tab w:val="clear" w:pos="4680"/>
        <w:tab w:val="center" w:pos="4536"/>
        <w:tab w:val="center" w:pos="4702"/>
        <w:tab w:val="left" w:pos="5610"/>
      </w:tabs>
    </w:pPr>
    <w:r>
      <w:tab/>
    </w:r>
  </w:p>
  <w:p w14:paraId="467EE001" w14:textId="77777777" w:rsidR="00B30FF1" w:rsidRDefault="00B30F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E54F9"/>
    <w:multiLevelType w:val="hybridMultilevel"/>
    <w:tmpl w:val="52CCCFF2"/>
    <w:lvl w:ilvl="0" w:tplc="347CFBE4">
      <w:start w:val="1"/>
      <w:numFmt w:val="decimal"/>
      <w:lvlText w:val="%1."/>
      <w:lvlJc w:val="left"/>
      <w:pPr>
        <w:ind w:left="720" w:hanging="360"/>
      </w:pPr>
      <w:rPr>
        <w:rFonts w:hint="default"/>
        <w:lang w:val="es-P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B62B5E"/>
    <w:multiLevelType w:val="hybridMultilevel"/>
    <w:tmpl w:val="22D47EE2"/>
    <w:lvl w:ilvl="0" w:tplc="0409000F">
      <w:start w:val="1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DF69B4"/>
    <w:multiLevelType w:val="hybridMultilevel"/>
    <w:tmpl w:val="C5DC11D0"/>
    <w:lvl w:ilvl="0" w:tplc="C8E2039C">
      <w:start w:val="1"/>
      <w:numFmt w:val="upperLetter"/>
      <w:lvlText w:val="%1)"/>
      <w:lvlJc w:val="left"/>
      <w:pPr>
        <w:ind w:left="810" w:hanging="360"/>
      </w:pPr>
      <w:rPr>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7FC1C63"/>
    <w:multiLevelType w:val="hybridMultilevel"/>
    <w:tmpl w:val="59C410AA"/>
    <w:lvl w:ilvl="0" w:tplc="3AC88DAA">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4" w15:restartNumberingAfterBreak="0">
    <w:nsid w:val="3E4E7652"/>
    <w:multiLevelType w:val="hybridMultilevel"/>
    <w:tmpl w:val="A5C4CCEC"/>
    <w:lvl w:ilvl="0" w:tplc="1A9E80C4">
      <w:start w:val="1"/>
      <w:numFmt w:val="decimal"/>
      <w:lvlText w:val="%1."/>
      <w:lvlJc w:val="left"/>
      <w:pPr>
        <w:ind w:left="786" w:hanging="360"/>
      </w:pPr>
      <w:rPr>
        <w:rFonts w:ascii="Verdana" w:hAnsi="Verdana" w:cs="Times New Roman" w:hint="default"/>
        <w:b w:val="0"/>
        <w:i w:val="0"/>
        <w:color w:val="auto"/>
        <w:sz w:val="16"/>
        <w:szCs w:val="1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7EE4C21"/>
    <w:multiLevelType w:val="hybridMultilevel"/>
    <w:tmpl w:val="118C6A78"/>
    <w:lvl w:ilvl="0" w:tplc="1136B9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71950"/>
    <w:multiLevelType w:val="hybridMultilevel"/>
    <w:tmpl w:val="AF98020E"/>
    <w:lvl w:ilvl="0" w:tplc="228C9D14">
      <w:start w:val="2"/>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FB86BEB"/>
    <w:multiLevelType w:val="hybridMultilevel"/>
    <w:tmpl w:val="D84A2196"/>
    <w:lvl w:ilvl="0" w:tplc="00EA8F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E23EA0"/>
    <w:multiLevelType w:val="hybridMultilevel"/>
    <w:tmpl w:val="CB66C4D0"/>
    <w:lvl w:ilvl="0" w:tplc="170A1FDE">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4C8295A"/>
    <w:multiLevelType w:val="hybridMultilevel"/>
    <w:tmpl w:val="AB823120"/>
    <w:lvl w:ilvl="0" w:tplc="F3AA6FAC">
      <w:start w:val="1"/>
      <w:numFmt w:val="upperLetter"/>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64109B4"/>
    <w:multiLevelType w:val="hybridMultilevel"/>
    <w:tmpl w:val="D326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154407"/>
    <w:multiLevelType w:val="hybridMultilevel"/>
    <w:tmpl w:val="8F16D208"/>
    <w:lvl w:ilvl="0" w:tplc="FD88E018">
      <w:start w:val="1"/>
      <w:numFmt w:val="decimal"/>
      <w:lvlText w:val="%1."/>
      <w:lvlJc w:val="left"/>
      <w:pPr>
        <w:tabs>
          <w:tab w:val="num" w:pos="680"/>
        </w:tabs>
      </w:pPr>
      <w:rPr>
        <w:rFonts w:hint="default"/>
        <w:b w:val="0"/>
        <w:bCs w:val="0"/>
        <w:i w:val="0"/>
        <w:iCs w:val="0"/>
        <w:strike w:val="0"/>
        <w:sz w:val="20"/>
        <w:szCs w:val="20"/>
        <w:lang w:val="es-C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05A6F5C"/>
    <w:multiLevelType w:val="hybridMultilevel"/>
    <w:tmpl w:val="F7425406"/>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5F22335"/>
    <w:multiLevelType w:val="hybridMultilevel"/>
    <w:tmpl w:val="3B465044"/>
    <w:lvl w:ilvl="0" w:tplc="BAC8F8EA">
      <w:start w:val="1"/>
      <w:numFmt w:val="decimal"/>
      <w:lvlText w:val="%1."/>
      <w:lvlJc w:val="left"/>
      <w:pPr>
        <w:ind w:left="7448" w:hanging="360"/>
      </w:pPr>
      <w:rPr>
        <w:rFonts w:ascii="Verdana" w:hAnsi="Verdana" w:hint="default"/>
        <w:sz w:val="16"/>
        <w:szCs w:val="16"/>
      </w:rPr>
    </w:lvl>
    <w:lvl w:ilvl="1" w:tplc="140A0019" w:tentative="1">
      <w:start w:val="1"/>
      <w:numFmt w:val="lowerLetter"/>
      <w:lvlText w:val="%2."/>
      <w:lvlJc w:val="left"/>
      <w:pPr>
        <w:ind w:left="8168" w:hanging="360"/>
      </w:pPr>
    </w:lvl>
    <w:lvl w:ilvl="2" w:tplc="140A001B" w:tentative="1">
      <w:start w:val="1"/>
      <w:numFmt w:val="lowerRoman"/>
      <w:lvlText w:val="%3."/>
      <w:lvlJc w:val="right"/>
      <w:pPr>
        <w:ind w:left="8888" w:hanging="180"/>
      </w:pPr>
    </w:lvl>
    <w:lvl w:ilvl="3" w:tplc="140A000F" w:tentative="1">
      <w:start w:val="1"/>
      <w:numFmt w:val="decimal"/>
      <w:lvlText w:val="%4."/>
      <w:lvlJc w:val="left"/>
      <w:pPr>
        <w:ind w:left="9608" w:hanging="360"/>
      </w:pPr>
    </w:lvl>
    <w:lvl w:ilvl="4" w:tplc="140A0019" w:tentative="1">
      <w:start w:val="1"/>
      <w:numFmt w:val="lowerLetter"/>
      <w:lvlText w:val="%5."/>
      <w:lvlJc w:val="left"/>
      <w:pPr>
        <w:ind w:left="10328" w:hanging="360"/>
      </w:pPr>
    </w:lvl>
    <w:lvl w:ilvl="5" w:tplc="140A001B" w:tentative="1">
      <w:start w:val="1"/>
      <w:numFmt w:val="lowerRoman"/>
      <w:lvlText w:val="%6."/>
      <w:lvlJc w:val="right"/>
      <w:pPr>
        <w:ind w:left="11048" w:hanging="180"/>
      </w:pPr>
    </w:lvl>
    <w:lvl w:ilvl="6" w:tplc="140A000F" w:tentative="1">
      <w:start w:val="1"/>
      <w:numFmt w:val="decimal"/>
      <w:lvlText w:val="%7."/>
      <w:lvlJc w:val="left"/>
      <w:pPr>
        <w:ind w:left="11768" w:hanging="360"/>
      </w:pPr>
    </w:lvl>
    <w:lvl w:ilvl="7" w:tplc="140A0019" w:tentative="1">
      <w:start w:val="1"/>
      <w:numFmt w:val="lowerLetter"/>
      <w:lvlText w:val="%8."/>
      <w:lvlJc w:val="left"/>
      <w:pPr>
        <w:ind w:left="12488" w:hanging="360"/>
      </w:pPr>
    </w:lvl>
    <w:lvl w:ilvl="8" w:tplc="140A001B" w:tentative="1">
      <w:start w:val="1"/>
      <w:numFmt w:val="lowerRoman"/>
      <w:lvlText w:val="%9."/>
      <w:lvlJc w:val="right"/>
      <w:pPr>
        <w:ind w:left="13208" w:hanging="180"/>
      </w:pPr>
    </w:lvl>
  </w:abstractNum>
  <w:num w:numId="1">
    <w:abstractNumId w:val="12"/>
  </w:num>
  <w:num w:numId="2">
    <w:abstractNumId w:val="5"/>
  </w:num>
  <w:num w:numId="3">
    <w:abstractNumId w:val="4"/>
  </w:num>
  <w:num w:numId="4">
    <w:abstractNumId w:val="9"/>
  </w:num>
  <w:num w:numId="5">
    <w:abstractNumId w:val="8"/>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lvlOverride w:ilvl="0">
      <w:startOverride w:val="2"/>
    </w:lvlOverride>
  </w:num>
  <w:num w:numId="10">
    <w:abstractNumId w:val="6"/>
  </w:num>
  <w:num w:numId="11">
    <w:abstractNumId w:val="0"/>
  </w:num>
  <w:num w:numId="12">
    <w:abstractNumId w:val="3"/>
  </w:num>
  <w:num w:numId="13">
    <w:abstractNumId w:val="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_tradnl" w:vendorID="64" w:dllVersion="6" w:nlCheck="1" w:checkStyle="1"/>
  <w:activeWritingStyle w:appName="MSWord" w:lang="es-CR" w:vendorID="64" w:dllVersion="6" w:nlCheck="1" w:checkStyle="0"/>
  <w:activeWritingStyle w:appName="MSWord" w:lang="es-ES" w:vendorID="64" w:dllVersion="6" w:nlCheck="1" w:checkStyle="1"/>
  <w:activeWritingStyle w:appName="MSWord" w:lang="es-PE" w:vendorID="64" w:dllVersion="6" w:nlCheck="1" w:checkStyle="0"/>
  <w:activeWritingStyle w:appName="MSWord" w:lang="en-US" w:vendorID="64" w:dllVersion="6" w:nlCheck="1" w:checkStyle="1"/>
  <w:activeWritingStyle w:appName="MSWord" w:lang="es-MX" w:vendorID="64" w:dllVersion="6" w:nlCheck="1" w:checkStyle="0"/>
  <w:activeWritingStyle w:appName="MSWord" w:lang="es-CL" w:vendorID="64" w:dllVersion="6" w:nlCheck="1" w:checkStyle="1"/>
  <w:activeWritingStyle w:appName="MSWord" w:lang="es-MX" w:vendorID="64" w:dllVersion="4096" w:nlCheck="1" w:checkStyle="0"/>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PE" w:vendorID="64" w:dllVersion="4096" w:nlCheck="1" w:checkStyle="0"/>
  <w:activeWritingStyle w:appName="MSWord" w:lang="es-ES" w:vendorID="64" w:dllVersion="4096" w:nlCheck="1" w:checkStyle="0"/>
  <w:activeWritingStyle w:appName="MSWord" w:lang="es-CL" w:vendorID="64" w:dllVersion="4096" w:nlCheck="1" w:checkStyle="0"/>
  <w:activeWritingStyle w:appName="MSWord" w:lang="es-PE"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CR" w:vendorID="64" w:dllVersion="0"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B70"/>
    <w:rsid w:val="00002403"/>
    <w:rsid w:val="00006F04"/>
    <w:rsid w:val="00010587"/>
    <w:rsid w:val="0001473C"/>
    <w:rsid w:val="00035DF8"/>
    <w:rsid w:val="00077ABF"/>
    <w:rsid w:val="000953E8"/>
    <w:rsid w:val="000A234B"/>
    <w:rsid w:val="000B539A"/>
    <w:rsid w:val="000B62F7"/>
    <w:rsid w:val="000C4E88"/>
    <w:rsid w:val="000F0F48"/>
    <w:rsid w:val="001036DB"/>
    <w:rsid w:val="001131C1"/>
    <w:rsid w:val="001279E0"/>
    <w:rsid w:val="00157ED2"/>
    <w:rsid w:val="0017003C"/>
    <w:rsid w:val="00185ECB"/>
    <w:rsid w:val="00193E9D"/>
    <w:rsid w:val="001A072B"/>
    <w:rsid w:val="001A17B2"/>
    <w:rsid w:val="001C2847"/>
    <w:rsid w:val="001C2A7C"/>
    <w:rsid w:val="001D6F39"/>
    <w:rsid w:val="001E28E3"/>
    <w:rsid w:val="00203A17"/>
    <w:rsid w:val="002130DD"/>
    <w:rsid w:val="00216288"/>
    <w:rsid w:val="0027507D"/>
    <w:rsid w:val="00287F6B"/>
    <w:rsid w:val="00297A54"/>
    <w:rsid w:val="002D533C"/>
    <w:rsid w:val="002E0033"/>
    <w:rsid w:val="002E5784"/>
    <w:rsid w:val="002F3B6E"/>
    <w:rsid w:val="002F6B79"/>
    <w:rsid w:val="002F7F58"/>
    <w:rsid w:val="003149D1"/>
    <w:rsid w:val="00320B90"/>
    <w:rsid w:val="00343FAA"/>
    <w:rsid w:val="00346A86"/>
    <w:rsid w:val="003771B4"/>
    <w:rsid w:val="003B0817"/>
    <w:rsid w:val="003B781D"/>
    <w:rsid w:val="003E1069"/>
    <w:rsid w:val="00420221"/>
    <w:rsid w:val="00442F34"/>
    <w:rsid w:val="00444644"/>
    <w:rsid w:val="00465AC0"/>
    <w:rsid w:val="00484711"/>
    <w:rsid w:val="00486356"/>
    <w:rsid w:val="00497702"/>
    <w:rsid w:val="004D3451"/>
    <w:rsid w:val="004E008A"/>
    <w:rsid w:val="004E626A"/>
    <w:rsid w:val="004E66B3"/>
    <w:rsid w:val="004F725C"/>
    <w:rsid w:val="00514699"/>
    <w:rsid w:val="00536CB9"/>
    <w:rsid w:val="00577996"/>
    <w:rsid w:val="005947FE"/>
    <w:rsid w:val="005A5B41"/>
    <w:rsid w:val="005B0266"/>
    <w:rsid w:val="005C1B33"/>
    <w:rsid w:val="005C549E"/>
    <w:rsid w:val="005E7A80"/>
    <w:rsid w:val="00613E44"/>
    <w:rsid w:val="00663210"/>
    <w:rsid w:val="00672CC7"/>
    <w:rsid w:val="00674F0E"/>
    <w:rsid w:val="006837AA"/>
    <w:rsid w:val="0069133E"/>
    <w:rsid w:val="00694276"/>
    <w:rsid w:val="006D3B70"/>
    <w:rsid w:val="006E08B7"/>
    <w:rsid w:val="006E6123"/>
    <w:rsid w:val="006F379E"/>
    <w:rsid w:val="007469DC"/>
    <w:rsid w:val="0075066C"/>
    <w:rsid w:val="00772DA2"/>
    <w:rsid w:val="007820CB"/>
    <w:rsid w:val="00795E8E"/>
    <w:rsid w:val="007962DF"/>
    <w:rsid w:val="007A32A9"/>
    <w:rsid w:val="007C02F7"/>
    <w:rsid w:val="007C60B2"/>
    <w:rsid w:val="007F275C"/>
    <w:rsid w:val="00831652"/>
    <w:rsid w:val="00835E09"/>
    <w:rsid w:val="008376EC"/>
    <w:rsid w:val="008614AA"/>
    <w:rsid w:val="00876EF3"/>
    <w:rsid w:val="00886268"/>
    <w:rsid w:val="008C0D7B"/>
    <w:rsid w:val="008D6AC9"/>
    <w:rsid w:val="008F1F71"/>
    <w:rsid w:val="00950683"/>
    <w:rsid w:val="00995587"/>
    <w:rsid w:val="009A4C24"/>
    <w:rsid w:val="009B251E"/>
    <w:rsid w:val="009B4708"/>
    <w:rsid w:val="009B6BE8"/>
    <w:rsid w:val="009C20DE"/>
    <w:rsid w:val="009D20C4"/>
    <w:rsid w:val="009D6A3C"/>
    <w:rsid w:val="00A34979"/>
    <w:rsid w:val="00A37D23"/>
    <w:rsid w:val="00A41758"/>
    <w:rsid w:val="00A56328"/>
    <w:rsid w:val="00A80A7F"/>
    <w:rsid w:val="00AB6F8F"/>
    <w:rsid w:val="00AB7640"/>
    <w:rsid w:val="00AC4E87"/>
    <w:rsid w:val="00AD3FA4"/>
    <w:rsid w:val="00AE126F"/>
    <w:rsid w:val="00B30FF1"/>
    <w:rsid w:val="00B40323"/>
    <w:rsid w:val="00B45D2D"/>
    <w:rsid w:val="00B563DD"/>
    <w:rsid w:val="00BC61D0"/>
    <w:rsid w:val="00C06DC8"/>
    <w:rsid w:val="00C50573"/>
    <w:rsid w:val="00C64392"/>
    <w:rsid w:val="00C84893"/>
    <w:rsid w:val="00CE6B6D"/>
    <w:rsid w:val="00D87E8C"/>
    <w:rsid w:val="00D928B1"/>
    <w:rsid w:val="00DA5D1B"/>
    <w:rsid w:val="00DB1B9A"/>
    <w:rsid w:val="00DB344E"/>
    <w:rsid w:val="00E410BE"/>
    <w:rsid w:val="00E869D2"/>
    <w:rsid w:val="00E93812"/>
    <w:rsid w:val="00ED3B32"/>
    <w:rsid w:val="00ED459B"/>
    <w:rsid w:val="00EE7B88"/>
    <w:rsid w:val="00F02120"/>
    <w:rsid w:val="00F0507F"/>
    <w:rsid w:val="00F22383"/>
    <w:rsid w:val="00F2667B"/>
    <w:rsid w:val="00F511E4"/>
    <w:rsid w:val="00F66C9F"/>
    <w:rsid w:val="00FA3D2B"/>
    <w:rsid w:val="00FC2834"/>
    <w:rsid w:val="00FD6318"/>
    <w:rsid w:val="00FE0A19"/>
    <w:rsid w:val="00FE5155"/>
    <w:rsid w:val="00FF3BED"/>
    <w:rsid w:val="00FF5DC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569CC"/>
  <w15:chartTrackingRefBased/>
  <w15:docId w15:val="{EB75030E-034A-4BD2-8957-6871782E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B70"/>
    <w:pPr>
      <w:spacing w:after="0" w:line="240" w:lineRule="auto"/>
    </w:pPr>
    <w:rPr>
      <w:rFonts w:ascii="Verdana" w:eastAsia="Times New Roman" w:hAnsi="Verdana" w:cs="Times New Roman"/>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ft"/>
    <w:basedOn w:val="Normal"/>
    <w:link w:val="TextonotapieCar1"/>
    <w:qFormat/>
    <w:rsid w:val="006D3B70"/>
  </w:style>
  <w:style w:type="character" w:customStyle="1" w:styleId="TextonotapieCar">
    <w:name w:val="Texto nota pie Car"/>
    <w:basedOn w:val="Fuentedeprrafopredeter"/>
    <w:uiPriority w:val="99"/>
    <w:semiHidden/>
    <w:rsid w:val="006D3B70"/>
    <w:rPr>
      <w:rFonts w:ascii="Verdana" w:eastAsia="Times New Roman" w:hAnsi="Verdana" w:cs="Times New Roman"/>
      <w:sz w:val="20"/>
      <w:szCs w:val="20"/>
      <w:lang w:val="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notentext Car,FA Fuﬂnotentext Car"/>
    <w:link w:val="Textonotapie"/>
    <w:qFormat/>
    <w:rsid w:val="006D3B70"/>
    <w:rPr>
      <w:rFonts w:ascii="Verdana" w:eastAsia="Times New Roman" w:hAnsi="Verdana" w:cs="Times New Roman"/>
      <w:sz w:val="20"/>
      <w:szCs w:val="20"/>
      <w:lang w:val="en-US"/>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Ref. de nota al"/>
    <w:link w:val="4GChar"/>
    <w:uiPriority w:val="99"/>
    <w:qFormat/>
    <w:rsid w:val="006D3B70"/>
    <w:rPr>
      <w:vertAlign w:val="superscript"/>
    </w:rPr>
  </w:style>
  <w:style w:type="paragraph" w:customStyle="1" w:styleId="Numberedparagraphs">
    <w:name w:val="Numbered paragraphs"/>
    <w:basedOn w:val="Normal"/>
    <w:link w:val="NumberedparagraphsCar"/>
    <w:qFormat/>
    <w:rsid w:val="006D3B70"/>
    <w:pPr>
      <w:numPr>
        <w:numId w:val="1"/>
      </w:numPr>
      <w:jc w:val="both"/>
    </w:pPr>
    <w:rPr>
      <w:rFonts w:eastAsia="MS Mincho"/>
      <w:color w:val="000000"/>
      <w:lang w:val="es-ES_tradnl"/>
    </w:rPr>
  </w:style>
  <w:style w:type="paragraph" w:styleId="Prrafodelista">
    <w:name w:val="List Paragraph"/>
    <w:aliases w:val="Párrafo de lista1,List Paragraph2,Lista vistosa - Énfasis 11,List Paragraph11,List Paragraph1,Footnote,Colorful List - Accent 11,Subtle Emphasis1,Footnote1,Parrafos"/>
    <w:basedOn w:val="Normal"/>
    <w:link w:val="PrrafodelistaCar"/>
    <w:uiPriority w:val="34"/>
    <w:qFormat/>
    <w:rsid w:val="006D3B70"/>
    <w:pPr>
      <w:spacing w:after="200" w:line="276" w:lineRule="auto"/>
      <w:ind w:left="720"/>
      <w:contextualSpacing/>
    </w:pPr>
    <w:rPr>
      <w:rFonts w:ascii="Calibri" w:eastAsia="Calibri" w:hAnsi="Calibri"/>
      <w:sz w:val="22"/>
      <w:szCs w:val="22"/>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D3B70"/>
    <w:pPr>
      <w:jc w:val="both"/>
    </w:pPr>
    <w:rPr>
      <w:rFonts w:asciiTheme="minorHAnsi" w:eastAsiaTheme="minorHAnsi" w:hAnsiTheme="minorHAnsi" w:cstheme="minorBidi"/>
      <w:sz w:val="22"/>
      <w:szCs w:val="22"/>
      <w:vertAlign w:val="superscript"/>
      <w:lang w:val="es-CR"/>
    </w:rPr>
  </w:style>
  <w:style w:type="paragraph" w:customStyle="1" w:styleId="PrrafodeSentencia">
    <w:name w:val="*. Párrafo de Sentencia"/>
    <w:basedOn w:val="Numberedparagraphs"/>
    <w:link w:val="PrrafodeSentenciaChar"/>
    <w:qFormat/>
    <w:rsid w:val="006D3B70"/>
    <w:pPr>
      <w:tabs>
        <w:tab w:val="clear" w:pos="720"/>
        <w:tab w:val="left" w:pos="567"/>
      </w:tabs>
    </w:pPr>
  </w:style>
  <w:style w:type="character" w:customStyle="1" w:styleId="PrrafodeSentenciaChar">
    <w:name w:val="*. Párrafo de Sentencia Char"/>
    <w:link w:val="PrrafodeSentencia"/>
    <w:rsid w:val="006D3B70"/>
    <w:rPr>
      <w:rFonts w:ascii="Verdana" w:eastAsia="MS Mincho" w:hAnsi="Verdana" w:cs="Times New Roman"/>
      <w:color w:val="000000"/>
      <w:sz w:val="20"/>
      <w:szCs w:val="20"/>
      <w:lang w:val="es-ES_tradnl"/>
    </w:rPr>
  </w:style>
  <w:style w:type="character" w:customStyle="1" w:styleId="NumberedparagraphsCar">
    <w:name w:val="Numbered paragraphs Car"/>
    <w:basedOn w:val="Fuentedeprrafopredeter"/>
    <w:link w:val="Numberedparagraphs"/>
    <w:rsid w:val="006D3B70"/>
    <w:rPr>
      <w:rFonts w:ascii="Verdana" w:eastAsia="MS Mincho" w:hAnsi="Verdana" w:cs="Times New Roman"/>
      <w:color w:val="000000"/>
      <w:sz w:val="20"/>
      <w:szCs w:val="20"/>
      <w:lang w:val="es-ES_tradnl"/>
    </w:rPr>
  </w:style>
  <w:style w:type="character" w:customStyle="1" w:styleId="PrrafodelistaCar">
    <w:name w:val="Párrafo de lista Car"/>
    <w:aliases w:val="Párrafo de lista1 Car,List Paragraph2 Car,Lista vistosa - Énfasis 11 Car,List Paragraph11 Car,List Paragraph1 Car,Footnote Car,Colorful List - Accent 11 Car,Subtle Emphasis1 Car,Footnote1 Car,Parrafos Car"/>
    <w:basedOn w:val="Fuentedeprrafopredeter"/>
    <w:link w:val="Prrafodelista"/>
    <w:uiPriority w:val="34"/>
    <w:locked/>
    <w:rsid w:val="006D3B70"/>
    <w:rPr>
      <w:rFonts w:ascii="Calibri" w:eastAsia="Calibri" w:hAnsi="Calibri" w:cs="Times New Roman"/>
    </w:rPr>
  </w:style>
  <w:style w:type="paragraph" w:styleId="Encabezado">
    <w:name w:val="header"/>
    <w:basedOn w:val="Normal"/>
    <w:link w:val="EncabezadoCar"/>
    <w:uiPriority w:val="99"/>
    <w:unhideWhenUsed/>
    <w:rsid w:val="006D3B70"/>
    <w:pPr>
      <w:tabs>
        <w:tab w:val="center" w:pos="4680"/>
        <w:tab w:val="right" w:pos="9360"/>
      </w:tabs>
    </w:pPr>
  </w:style>
  <w:style w:type="character" w:customStyle="1" w:styleId="EncabezadoCar">
    <w:name w:val="Encabezado Car"/>
    <w:basedOn w:val="Fuentedeprrafopredeter"/>
    <w:link w:val="Encabezado"/>
    <w:uiPriority w:val="99"/>
    <w:rsid w:val="006D3B70"/>
    <w:rPr>
      <w:rFonts w:ascii="Verdana" w:eastAsia="Times New Roman" w:hAnsi="Verdana" w:cs="Times New Roman"/>
      <w:sz w:val="20"/>
      <w:szCs w:val="20"/>
      <w:lang w:val="en-US"/>
    </w:rPr>
  </w:style>
  <w:style w:type="paragraph" w:styleId="Piedepgina">
    <w:name w:val="footer"/>
    <w:basedOn w:val="Normal"/>
    <w:link w:val="PiedepginaCar"/>
    <w:uiPriority w:val="99"/>
    <w:unhideWhenUsed/>
    <w:rsid w:val="006D3B70"/>
    <w:pPr>
      <w:tabs>
        <w:tab w:val="center" w:pos="4680"/>
        <w:tab w:val="right" w:pos="9360"/>
      </w:tabs>
    </w:pPr>
  </w:style>
  <w:style w:type="character" w:customStyle="1" w:styleId="PiedepginaCar">
    <w:name w:val="Pie de página Car"/>
    <w:basedOn w:val="Fuentedeprrafopredeter"/>
    <w:link w:val="Piedepgina"/>
    <w:uiPriority w:val="99"/>
    <w:rsid w:val="006D3B70"/>
    <w:rPr>
      <w:rFonts w:ascii="Verdana" w:eastAsia="Times New Roman" w:hAnsi="Verdana" w:cs="Times New Roman"/>
      <w:sz w:val="20"/>
      <w:szCs w:val="20"/>
      <w:lang w:val="en-US"/>
    </w:rPr>
  </w:style>
  <w:style w:type="paragraph" w:styleId="Ttulo">
    <w:name w:val="Title"/>
    <w:basedOn w:val="Normal"/>
    <w:next w:val="Normal"/>
    <w:link w:val="TtuloCar"/>
    <w:qFormat/>
    <w:rsid w:val="006D3B70"/>
    <w:pPr>
      <w:jc w:val="center"/>
    </w:pPr>
    <w:rPr>
      <w:rFonts w:eastAsiaTheme="minorHAnsi" w:cstheme="minorBidi"/>
      <w:b/>
      <w:szCs w:val="22"/>
    </w:rPr>
  </w:style>
  <w:style w:type="character" w:customStyle="1" w:styleId="TtuloCar">
    <w:name w:val="Título Car"/>
    <w:basedOn w:val="Fuentedeprrafopredeter"/>
    <w:link w:val="Ttulo"/>
    <w:rsid w:val="006D3B70"/>
    <w:rPr>
      <w:rFonts w:ascii="Verdana" w:hAnsi="Verdana"/>
      <w:b/>
      <w:sz w:val="20"/>
      <w:lang w:val="en-US"/>
    </w:rPr>
  </w:style>
  <w:style w:type="character" w:styleId="Textoennegrita">
    <w:name w:val="Strong"/>
    <w:basedOn w:val="Fuentedeprrafopredeter"/>
    <w:uiPriority w:val="22"/>
    <w:qFormat/>
    <w:rsid w:val="00A41758"/>
    <w:rPr>
      <w:b/>
      <w:bCs/>
    </w:rPr>
  </w:style>
  <w:style w:type="character" w:styleId="Nmerodelnea">
    <w:name w:val="line number"/>
    <w:basedOn w:val="Fuentedeprrafopredeter"/>
    <w:uiPriority w:val="99"/>
    <w:semiHidden/>
    <w:unhideWhenUsed/>
    <w:rsid w:val="00B40323"/>
  </w:style>
  <w:style w:type="paragraph" w:styleId="Textodeglobo">
    <w:name w:val="Balloon Text"/>
    <w:basedOn w:val="Normal"/>
    <w:link w:val="TextodegloboCar"/>
    <w:uiPriority w:val="99"/>
    <w:semiHidden/>
    <w:unhideWhenUsed/>
    <w:rsid w:val="00287F6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7F6B"/>
    <w:rPr>
      <w:rFonts w:ascii="Segoe UI" w:eastAsia="Times New Roman" w:hAnsi="Segoe UI" w:cs="Segoe UI"/>
      <w:sz w:val="18"/>
      <w:szCs w:val="18"/>
      <w:lang w:val="en-US"/>
    </w:rPr>
  </w:style>
  <w:style w:type="paragraph" w:styleId="NormalWeb">
    <w:name w:val="Normal (Web)"/>
    <w:basedOn w:val="Normal"/>
    <w:uiPriority w:val="99"/>
    <w:unhideWhenUsed/>
    <w:rsid w:val="001131C1"/>
    <w:pPr>
      <w:spacing w:before="100" w:beforeAutospacing="1" w:after="100" w:afterAutospacing="1"/>
    </w:pPr>
    <w:rPr>
      <w:rFonts w:ascii="Times New Roman" w:eastAsiaTheme="minorHAnsi" w:hAnsi="Times New Roman"/>
      <w:sz w:val="24"/>
      <w:szCs w:val="24"/>
      <w:lang w:val="es-ES_tradnl" w:eastAsia="es-ES_tradnl"/>
    </w:rPr>
  </w:style>
  <w:style w:type="paragraph" w:styleId="Textoindependiente">
    <w:name w:val="Body Text"/>
    <w:basedOn w:val="Normal"/>
    <w:link w:val="TextoindependienteCar"/>
    <w:rsid w:val="000A234B"/>
    <w:pPr>
      <w:widowControl w:val="0"/>
      <w:jc w:val="both"/>
    </w:pPr>
    <w:rPr>
      <w:rFonts w:ascii="Garamond" w:hAnsi="Garamond"/>
      <w:sz w:val="24"/>
      <w:lang w:val="es-ES_tradnl"/>
    </w:rPr>
  </w:style>
  <w:style w:type="character" w:customStyle="1" w:styleId="TextoindependienteCar">
    <w:name w:val="Texto independiente Car"/>
    <w:basedOn w:val="Fuentedeprrafopredeter"/>
    <w:link w:val="Textoindependiente"/>
    <w:rsid w:val="000A234B"/>
    <w:rPr>
      <w:rFonts w:ascii="Garamond" w:eastAsia="Times New Roman" w:hAnsi="Garamond" w:cs="Times New Roman"/>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19875">
      <w:bodyDiv w:val="1"/>
      <w:marLeft w:val="0"/>
      <w:marRight w:val="0"/>
      <w:marTop w:val="0"/>
      <w:marBottom w:val="0"/>
      <w:divBdr>
        <w:top w:val="none" w:sz="0" w:space="0" w:color="auto"/>
        <w:left w:val="none" w:sz="0" w:space="0" w:color="auto"/>
        <w:bottom w:val="none" w:sz="0" w:space="0" w:color="auto"/>
        <w:right w:val="none" w:sz="0" w:space="0" w:color="auto"/>
      </w:divBdr>
    </w:div>
    <w:div w:id="938178355">
      <w:bodyDiv w:val="1"/>
      <w:marLeft w:val="0"/>
      <w:marRight w:val="0"/>
      <w:marTop w:val="0"/>
      <w:marBottom w:val="0"/>
      <w:divBdr>
        <w:top w:val="none" w:sz="0" w:space="0" w:color="auto"/>
        <w:left w:val="none" w:sz="0" w:space="0" w:color="auto"/>
        <w:bottom w:val="none" w:sz="0" w:space="0" w:color="auto"/>
        <w:right w:val="none" w:sz="0" w:space="0" w:color="auto"/>
      </w:divBdr>
    </w:div>
    <w:div w:id="1041634257">
      <w:bodyDiv w:val="1"/>
      <w:marLeft w:val="0"/>
      <w:marRight w:val="0"/>
      <w:marTop w:val="0"/>
      <w:marBottom w:val="0"/>
      <w:divBdr>
        <w:top w:val="none" w:sz="0" w:space="0" w:color="auto"/>
        <w:left w:val="none" w:sz="0" w:space="0" w:color="auto"/>
        <w:bottom w:val="none" w:sz="0" w:space="0" w:color="auto"/>
        <w:right w:val="none" w:sz="0" w:space="0" w:color="auto"/>
      </w:divBdr>
    </w:div>
    <w:div w:id="1543132991">
      <w:bodyDiv w:val="1"/>
      <w:marLeft w:val="0"/>
      <w:marRight w:val="0"/>
      <w:marTop w:val="0"/>
      <w:marBottom w:val="0"/>
      <w:divBdr>
        <w:top w:val="none" w:sz="0" w:space="0" w:color="auto"/>
        <w:left w:val="none" w:sz="0" w:space="0" w:color="auto"/>
        <w:bottom w:val="none" w:sz="0" w:space="0" w:color="auto"/>
        <w:right w:val="none" w:sz="0" w:space="0" w:color="auto"/>
      </w:divBdr>
    </w:div>
    <w:div w:id="1787456793">
      <w:bodyDiv w:val="1"/>
      <w:marLeft w:val="0"/>
      <w:marRight w:val="0"/>
      <w:marTop w:val="0"/>
      <w:marBottom w:val="0"/>
      <w:divBdr>
        <w:top w:val="none" w:sz="0" w:space="0" w:color="auto"/>
        <w:left w:val="none" w:sz="0" w:space="0" w:color="auto"/>
        <w:bottom w:val="none" w:sz="0" w:space="0" w:color="auto"/>
        <w:right w:val="none" w:sz="0" w:space="0" w:color="auto"/>
      </w:divBdr>
    </w:div>
    <w:div w:id="195690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E9CC7-20FE-4942-96AB-302EF379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2407</Words>
  <Characters>13244</Characters>
  <Application>Microsoft Office Word</Application>
  <DocSecurity>0</DocSecurity>
  <Lines>110</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2</cp:revision>
  <cp:lastPrinted>2020-01-27T21:16:00Z</cp:lastPrinted>
  <dcterms:created xsi:type="dcterms:W3CDTF">2020-09-25T16:11:00Z</dcterms:created>
  <dcterms:modified xsi:type="dcterms:W3CDTF">2020-09-25T16:11:00Z</dcterms:modified>
</cp:coreProperties>
</file>