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D7809" w14:textId="77777777" w:rsidR="004A6DBC" w:rsidRPr="0041649C" w:rsidRDefault="004A6DBC" w:rsidP="0041649C">
      <w:pPr>
        <w:spacing w:after="0"/>
        <w:ind w:right="-317"/>
        <w:jc w:val="center"/>
        <w:rPr>
          <w:rFonts w:cs="Verdana Bold"/>
          <w:bCs/>
          <w:caps/>
          <w:szCs w:val="20"/>
        </w:rPr>
      </w:pPr>
    </w:p>
    <w:p w14:paraId="0892DDEB" w14:textId="77777777" w:rsidR="004A6DBC" w:rsidRPr="0041649C" w:rsidRDefault="004A6DBC" w:rsidP="0041649C">
      <w:pPr>
        <w:spacing w:after="0"/>
        <w:ind w:right="-317"/>
        <w:jc w:val="center"/>
        <w:rPr>
          <w:rFonts w:cs="Verdana Bold"/>
          <w:bCs/>
          <w:caps/>
          <w:szCs w:val="20"/>
        </w:rPr>
      </w:pPr>
    </w:p>
    <w:p w14:paraId="05584263" w14:textId="77777777" w:rsidR="004A6DBC" w:rsidRPr="0041649C" w:rsidRDefault="004A6DBC" w:rsidP="0041649C">
      <w:pPr>
        <w:spacing w:after="0"/>
        <w:ind w:right="-317"/>
        <w:jc w:val="center"/>
        <w:rPr>
          <w:rFonts w:cs="Verdana Bold"/>
          <w:bCs/>
          <w:caps/>
          <w:szCs w:val="20"/>
        </w:rPr>
      </w:pPr>
    </w:p>
    <w:p w14:paraId="25F7846B" w14:textId="77777777" w:rsidR="004A6DBC" w:rsidRPr="0041649C" w:rsidRDefault="004A6DBC" w:rsidP="0041649C">
      <w:pPr>
        <w:spacing w:after="0"/>
        <w:ind w:right="-317"/>
        <w:jc w:val="center"/>
        <w:rPr>
          <w:rFonts w:cs="Verdana Bold"/>
          <w:bCs/>
          <w:caps/>
          <w:szCs w:val="20"/>
        </w:rPr>
      </w:pPr>
    </w:p>
    <w:p w14:paraId="239FB60B" w14:textId="77777777" w:rsidR="004A6DBC" w:rsidRPr="0041649C" w:rsidRDefault="004A6DBC" w:rsidP="0041649C">
      <w:pPr>
        <w:spacing w:after="0"/>
        <w:ind w:right="-317"/>
        <w:jc w:val="center"/>
        <w:rPr>
          <w:rFonts w:cs="Verdana Bold"/>
          <w:bCs/>
          <w:caps/>
          <w:szCs w:val="20"/>
        </w:rPr>
      </w:pPr>
    </w:p>
    <w:p w14:paraId="41178E2D" w14:textId="77777777" w:rsidR="004A6DBC" w:rsidRPr="0041649C" w:rsidRDefault="004A6DBC" w:rsidP="0041649C">
      <w:pPr>
        <w:spacing w:after="0"/>
        <w:ind w:right="-317"/>
        <w:jc w:val="center"/>
        <w:rPr>
          <w:rFonts w:cs="Verdana Bold"/>
          <w:bCs/>
          <w:caps/>
          <w:szCs w:val="20"/>
        </w:rPr>
      </w:pPr>
    </w:p>
    <w:p w14:paraId="4BCD7C7F" w14:textId="77777777" w:rsidR="00D35144" w:rsidRPr="0041649C" w:rsidRDefault="00017CD7" w:rsidP="0041649C">
      <w:pPr>
        <w:spacing w:after="0"/>
        <w:jc w:val="center"/>
        <w:rPr>
          <w:rFonts w:cs="Verdana"/>
          <w:b/>
          <w:bCs/>
          <w:caps/>
          <w:szCs w:val="20"/>
          <w:lang w:val="es-ES"/>
        </w:rPr>
      </w:pPr>
      <w:r w:rsidRPr="0041649C">
        <w:rPr>
          <w:rFonts w:cs="Verdana"/>
          <w:b/>
          <w:bCs/>
          <w:caps/>
          <w:szCs w:val="20"/>
          <w:lang w:val="es-ES"/>
        </w:rPr>
        <w:t xml:space="preserve">RESOLUCIÓN DE La </w:t>
      </w:r>
    </w:p>
    <w:p w14:paraId="252DE549" w14:textId="47D0FA54" w:rsidR="00017CD7" w:rsidRPr="0041649C" w:rsidRDefault="00017CD7" w:rsidP="0041649C">
      <w:pPr>
        <w:spacing w:after="0"/>
        <w:jc w:val="center"/>
        <w:rPr>
          <w:rFonts w:cs="Verdana"/>
          <w:b/>
          <w:bCs/>
          <w:caps/>
          <w:szCs w:val="20"/>
          <w:lang w:val="es-ES"/>
        </w:rPr>
      </w:pPr>
      <w:r w:rsidRPr="0041649C">
        <w:rPr>
          <w:rFonts w:cs="Verdana"/>
          <w:b/>
          <w:bCs/>
          <w:caps/>
          <w:szCs w:val="20"/>
          <w:lang w:val="es-ES"/>
        </w:rPr>
        <w:t>corte</w:t>
      </w:r>
      <w:r w:rsidR="00D35144" w:rsidRPr="0041649C">
        <w:rPr>
          <w:rFonts w:cs="Verdana"/>
          <w:b/>
          <w:bCs/>
          <w:caps/>
          <w:szCs w:val="20"/>
          <w:lang w:val="es-ES"/>
        </w:rPr>
        <w:t xml:space="preserve"> </w:t>
      </w:r>
      <w:r w:rsidRPr="0041649C">
        <w:rPr>
          <w:rFonts w:cs="Verdana"/>
          <w:b/>
          <w:bCs/>
          <w:caps/>
          <w:szCs w:val="20"/>
          <w:lang w:val="es-ES"/>
        </w:rPr>
        <w:t xml:space="preserve">INTERAMERICANA </w:t>
      </w:r>
      <w:r w:rsidR="003B5C87" w:rsidRPr="0041649C">
        <w:rPr>
          <w:rFonts w:cs="Verdana"/>
          <w:b/>
          <w:bCs/>
          <w:caps/>
          <w:szCs w:val="20"/>
          <w:lang w:val="es-ES"/>
        </w:rPr>
        <w:t>DE DERECHOS HUMANOS</w:t>
      </w:r>
      <w:r w:rsidR="0018076C" w:rsidRPr="0041649C">
        <w:rPr>
          <w:rFonts w:cs="Verdana"/>
          <w:b/>
          <w:bCs/>
          <w:caps/>
          <w:szCs w:val="20"/>
          <w:vertAlign w:val="superscript"/>
          <w:lang w:val="es-ES"/>
        </w:rPr>
        <w:t>*</w:t>
      </w:r>
    </w:p>
    <w:p w14:paraId="6CC1F07E" w14:textId="77777777" w:rsidR="00017CD7" w:rsidRPr="0041649C" w:rsidRDefault="00017CD7" w:rsidP="0041649C">
      <w:pPr>
        <w:spacing w:after="0"/>
        <w:jc w:val="center"/>
        <w:rPr>
          <w:rFonts w:cs="Verdana"/>
          <w:b/>
          <w:bCs/>
          <w:caps/>
          <w:szCs w:val="20"/>
          <w:lang w:val="es-ES"/>
        </w:rPr>
      </w:pPr>
    </w:p>
    <w:p w14:paraId="6733FCD8" w14:textId="4B141F86" w:rsidR="00017CD7" w:rsidRPr="0041649C" w:rsidRDefault="00017CD7" w:rsidP="0041649C">
      <w:pPr>
        <w:spacing w:after="0"/>
        <w:jc w:val="center"/>
        <w:rPr>
          <w:rFonts w:cs="Verdana"/>
          <w:b/>
          <w:bCs/>
          <w:caps/>
          <w:szCs w:val="20"/>
          <w:lang w:val="es-ES"/>
        </w:rPr>
      </w:pPr>
      <w:r w:rsidRPr="00016165">
        <w:rPr>
          <w:rFonts w:cs="Verdana"/>
          <w:b/>
          <w:bCs/>
          <w:caps/>
          <w:szCs w:val="20"/>
          <w:lang w:val="es-ES"/>
        </w:rPr>
        <w:t xml:space="preserve">DE </w:t>
      </w:r>
      <w:r w:rsidR="00B24484" w:rsidRPr="00016165">
        <w:rPr>
          <w:rFonts w:cs="Verdana"/>
          <w:b/>
          <w:bCs/>
          <w:caps/>
          <w:szCs w:val="20"/>
          <w:lang w:val="es-ES"/>
        </w:rPr>
        <w:t>29</w:t>
      </w:r>
      <w:r w:rsidRPr="00016165">
        <w:rPr>
          <w:rFonts w:cs="Verdana"/>
          <w:b/>
          <w:bCs/>
          <w:caps/>
          <w:szCs w:val="20"/>
          <w:lang w:val="es-ES"/>
        </w:rPr>
        <w:t xml:space="preserve"> DE </w:t>
      </w:r>
      <w:r w:rsidR="00B24484" w:rsidRPr="00016165">
        <w:rPr>
          <w:rFonts w:cs="Verdana"/>
          <w:b/>
          <w:bCs/>
          <w:caps/>
          <w:szCs w:val="20"/>
          <w:lang w:val="es-ES"/>
        </w:rPr>
        <w:t>julio</w:t>
      </w:r>
      <w:r w:rsidR="00693CFA" w:rsidRPr="00016165">
        <w:rPr>
          <w:rFonts w:cs="Verdana"/>
          <w:b/>
          <w:bCs/>
          <w:caps/>
          <w:szCs w:val="20"/>
          <w:lang w:val="es-ES"/>
        </w:rPr>
        <w:t xml:space="preserve"> DE 20</w:t>
      </w:r>
      <w:r w:rsidR="004830A2" w:rsidRPr="00016165">
        <w:rPr>
          <w:rFonts w:cs="Verdana"/>
          <w:b/>
          <w:bCs/>
          <w:caps/>
          <w:szCs w:val="20"/>
          <w:lang w:val="es-ES"/>
        </w:rPr>
        <w:t>20</w:t>
      </w:r>
    </w:p>
    <w:p w14:paraId="5077DA09" w14:textId="77777777" w:rsidR="00F90477" w:rsidRPr="0041649C" w:rsidRDefault="00F90477" w:rsidP="0041649C">
      <w:pPr>
        <w:spacing w:after="0"/>
        <w:ind w:right="-316"/>
        <w:jc w:val="center"/>
        <w:rPr>
          <w:rFonts w:cs="Verdana Bold"/>
          <w:b/>
          <w:bCs/>
          <w:caps/>
          <w:szCs w:val="20"/>
        </w:rPr>
      </w:pPr>
    </w:p>
    <w:p w14:paraId="1F2FD8AB" w14:textId="51478901" w:rsidR="004830A2" w:rsidRPr="0041649C" w:rsidRDefault="004830A2" w:rsidP="0041649C">
      <w:pPr>
        <w:spacing w:after="0"/>
        <w:jc w:val="center"/>
        <w:rPr>
          <w:b/>
          <w:szCs w:val="20"/>
          <w:lang w:val="es-CR"/>
        </w:rPr>
      </w:pPr>
      <w:r w:rsidRPr="0041649C">
        <w:rPr>
          <w:rFonts w:cs="Verdana Bold"/>
          <w:b/>
          <w:bCs/>
          <w:szCs w:val="20"/>
          <w:lang w:val="es-CR"/>
        </w:rPr>
        <w:t xml:space="preserve">CASO </w:t>
      </w:r>
      <w:bookmarkStart w:id="0" w:name="_Hlk33197628"/>
      <w:r w:rsidRPr="0041649C">
        <w:rPr>
          <w:rFonts w:cs="Arial"/>
          <w:b/>
          <w:szCs w:val="20"/>
          <w:lang w:val="es-CR"/>
        </w:rPr>
        <w:t xml:space="preserve">OLIVARES MUÑOZ Y OTROS </w:t>
      </w:r>
      <w:r w:rsidRPr="0041649C">
        <w:rPr>
          <w:rFonts w:cs="Verdana Bold"/>
          <w:b/>
          <w:bCs/>
          <w:caps/>
          <w:szCs w:val="20"/>
          <w:lang w:val="es-CR"/>
        </w:rPr>
        <w:t xml:space="preserve">VS. </w:t>
      </w:r>
      <w:r w:rsidRPr="0041649C">
        <w:rPr>
          <w:rFonts w:cs="Verdana Bold"/>
          <w:b/>
          <w:bCs/>
          <w:caps/>
          <w:szCs w:val="20"/>
        </w:rPr>
        <w:t>VENEZUELA</w:t>
      </w:r>
      <w:bookmarkEnd w:id="0"/>
    </w:p>
    <w:p w14:paraId="61021132" w14:textId="77777777" w:rsidR="004830A2" w:rsidRPr="0041649C" w:rsidRDefault="004830A2" w:rsidP="0041649C">
      <w:pPr>
        <w:spacing w:after="0"/>
        <w:rPr>
          <w:rFonts w:cs="Verdana"/>
          <w:bCs/>
          <w:caps/>
          <w:szCs w:val="20"/>
        </w:rPr>
      </w:pPr>
    </w:p>
    <w:p w14:paraId="275AA227" w14:textId="77777777" w:rsidR="004830A2" w:rsidRPr="0041649C" w:rsidRDefault="004830A2" w:rsidP="0041649C">
      <w:pPr>
        <w:spacing w:after="0"/>
        <w:rPr>
          <w:rFonts w:cs="Verdana"/>
          <w:bCs/>
          <w:caps/>
          <w:szCs w:val="20"/>
        </w:rPr>
      </w:pPr>
    </w:p>
    <w:p w14:paraId="50F08102" w14:textId="77777777" w:rsidR="00F90477" w:rsidRPr="0041649C" w:rsidRDefault="00F90477" w:rsidP="0041649C">
      <w:pPr>
        <w:spacing w:after="0"/>
        <w:rPr>
          <w:rFonts w:cs="Verdana"/>
          <w:b/>
          <w:bCs/>
          <w:caps/>
          <w:szCs w:val="20"/>
        </w:rPr>
      </w:pPr>
      <w:r w:rsidRPr="0041649C">
        <w:rPr>
          <w:rFonts w:cs="Verdana"/>
          <w:b/>
          <w:bCs/>
          <w:caps/>
          <w:szCs w:val="20"/>
        </w:rPr>
        <w:t>Visto:</w:t>
      </w:r>
    </w:p>
    <w:p w14:paraId="359210C1" w14:textId="77777777" w:rsidR="00F90477" w:rsidRPr="0041649C" w:rsidRDefault="00F90477" w:rsidP="0041649C">
      <w:pPr>
        <w:spacing w:after="0"/>
        <w:rPr>
          <w:rFonts w:cs="Verdana"/>
          <w:b/>
          <w:bCs/>
          <w:caps/>
          <w:szCs w:val="20"/>
        </w:rPr>
      </w:pPr>
    </w:p>
    <w:p w14:paraId="072C7BDB" w14:textId="4D6EF9A4" w:rsidR="0071541F" w:rsidRPr="001E5C95" w:rsidRDefault="001F6312" w:rsidP="0041649C">
      <w:pPr>
        <w:numPr>
          <w:ilvl w:val="0"/>
          <w:numId w:val="4"/>
        </w:numPr>
        <w:tabs>
          <w:tab w:val="left" w:pos="540"/>
        </w:tabs>
        <w:autoSpaceDE w:val="0"/>
        <w:autoSpaceDN w:val="0"/>
        <w:adjustRightInd w:val="0"/>
        <w:spacing w:after="0"/>
        <w:ind w:left="0" w:right="18" w:firstLine="0"/>
        <w:contextualSpacing/>
        <w:rPr>
          <w:rFonts w:eastAsia="Verdana"/>
          <w:szCs w:val="20"/>
          <w:lang w:val="es-PE"/>
        </w:rPr>
      </w:pPr>
      <w:r w:rsidRPr="0041649C">
        <w:rPr>
          <w:rFonts w:cs="Verdana"/>
          <w:szCs w:val="20"/>
        </w:rPr>
        <w:t>La Resolución de</w:t>
      </w:r>
      <w:r w:rsidR="00CE744E" w:rsidRPr="0041649C">
        <w:rPr>
          <w:rFonts w:cs="Verdana"/>
          <w:szCs w:val="20"/>
        </w:rPr>
        <w:t xml:space="preserve"> </w:t>
      </w:r>
      <w:r w:rsidR="00CE744E" w:rsidRPr="0041649C">
        <w:rPr>
          <w:szCs w:val="20"/>
        </w:rPr>
        <w:t>la Presidenta (en a</w:t>
      </w:r>
      <w:r w:rsidR="00CE744E" w:rsidRPr="001E5C95">
        <w:rPr>
          <w:szCs w:val="20"/>
        </w:rPr>
        <w:t xml:space="preserve">delante también “la Presidenta”) de la Corte Interamericana de Derechos Humanos (en adelante también “la Corte Interamericana”, “la Corte” o “el Tribunal”) </w:t>
      </w:r>
      <w:r w:rsidRPr="001E5C95">
        <w:rPr>
          <w:rFonts w:cs="Verdana"/>
          <w:szCs w:val="20"/>
        </w:rPr>
        <w:t>de</w:t>
      </w:r>
      <w:r w:rsidR="003612DF" w:rsidRPr="001E5C95">
        <w:rPr>
          <w:rFonts w:cs="Verdana"/>
          <w:szCs w:val="20"/>
        </w:rPr>
        <w:t xml:space="preserve"> </w:t>
      </w:r>
      <w:r w:rsidR="00CE744E" w:rsidRPr="001E5C95">
        <w:rPr>
          <w:rFonts w:cs="Verdana"/>
          <w:szCs w:val="20"/>
        </w:rPr>
        <w:t xml:space="preserve">30 de junio de 2020, mediante la cual, </w:t>
      </w:r>
      <w:r w:rsidR="00CE744E" w:rsidRPr="001E5C95">
        <w:rPr>
          <w:szCs w:val="20"/>
        </w:rPr>
        <w:t xml:space="preserve">en virtud de </w:t>
      </w:r>
      <w:r w:rsidR="00B62473" w:rsidRPr="001E5C95">
        <w:rPr>
          <w:szCs w:val="20"/>
        </w:rPr>
        <w:t xml:space="preserve">que </w:t>
      </w:r>
      <w:r w:rsidR="00B62473" w:rsidRPr="001E5C95">
        <w:rPr>
          <w:rFonts w:eastAsia="Verdana"/>
          <w:szCs w:val="20"/>
          <w:lang w:val="es-PE"/>
        </w:rPr>
        <w:t>“</w:t>
      </w:r>
      <w:r w:rsidR="00B62473" w:rsidRPr="001E5C95">
        <w:t xml:space="preserve">la situación originada a causa de la pandemia por la propagación del COVID-19 […] conlleva[ría], por razones de fuerza mayor, impedimentos notorios e insuperables para llevar a cabo la audiencia pública inicialmente convocada” </w:t>
      </w:r>
      <w:r w:rsidR="00E34461" w:rsidRPr="001E5C95">
        <w:rPr>
          <w:szCs w:val="20"/>
        </w:rPr>
        <w:t>mediante Resolución de 21 de febrero de 2020</w:t>
      </w:r>
      <w:r w:rsidR="008367F3" w:rsidRPr="001E5C95">
        <w:rPr>
          <w:szCs w:val="20"/>
        </w:rPr>
        <w:t xml:space="preserve">, decidió, </w:t>
      </w:r>
      <w:r w:rsidR="00B62473" w:rsidRPr="001E5C95">
        <w:rPr>
          <w:szCs w:val="20"/>
        </w:rPr>
        <w:t>“</w:t>
      </w:r>
      <w:r w:rsidR="00CE744E" w:rsidRPr="001E5C95">
        <w:rPr>
          <w:rFonts w:cs="Verdana"/>
          <w:szCs w:val="20"/>
        </w:rPr>
        <w:t>en consulta con el Pleno de</w:t>
      </w:r>
      <w:r w:rsidR="00B62473" w:rsidRPr="001E5C95">
        <w:rPr>
          <w:rFonts w:cs="Verdana"/>
          <w:szCs w:val="20"/>
        </w:rPr>
        <w:t xml:space="preserve"> la Corte</w:t>
      </w:r>
      <w:r w:rsidR="00CE744E" w:rsidRPr="001E5C95">
        <w:rPr>
          <w:rFonts w:cs="Verdana"/>
          <w:szCs w:val="20"/>
        </w:rPr>
        <w:t xml:space="preserve">, </w:t>
      </w:r>
      <w:r w:rsidR="00CE744E" w:rsidRPr="001E5C95">
        <w:rPr>
          <w:szCs w:val="20"/>
        </w:rPr>
        <w:t>proseguir el trámite del presente caso</w:t>
      </w:r>
      <w:r w:rsidR="00B62473" w:rsidRPr="001E5C95">
        <w:rPr>
          <w:szCs w:val="20"/>
        </w:rPr>
        <w:t>”</w:t>
      </w:r>
      <w:r w:rsidR="008367F3" w:rsidRPr="001E5C95">
        <w:rPr>
          <w:szCs w:val="20"/>
        </w:rPr>
        <w:t xml:space="preserve">. De esa cuenta, </w:t>
      </w:r>
      <w:r w:rsidR="00B62473" w:rsidRPr="001E5C95">
        <w:rPr>
          <w:szCs w:val="20"/>
        </w:rPr>
        <w:t>dispuso “</w:t>
      </w:r>
      <w:r w:rsidR="00CE744E" w:rsidRPr="001E5C95">
        <w:rPr>
          <w:szCs w:val="20"/>
        </w:rPr>
        <w:t>modific</w:t>
      </w:r>
      <w:r w:rsidR="00B62473" w:rsidRPr="001E5C95">
        <w:rPr>
          <w:szCs w:val="20"/>
        </w:rPr>
        <w:t>ar</w:t>
      </w:r>
      <w:r w:rsidR="00CE744E" w:rsidRPr="001E5C95">
        <w:rPr>
          <w:szCs w:val="20"/>
        </w:rPr>
        <w:t xml:space="preserve"> la modalidad de las declaraciones admitidas en la Resolución de 21 de febrero de 2020 para ser recibidas en audiencia pública</w:t>
      </w:r>
      <w:r w:rsidR="00323458" w:rsidRPr="001E5C95">
        <w:rPr>
          <w:rStyle w:val="Refdenotaalpie"/>
          <w:szCs w:val="20"/>
        </w:rPr>
        <w:footnoteReference w:id="1"/>
      </w:r>
      <w:r w:rsidR="00B62473" w:rsidRPr="001E5C95">
        <w:rPr>
          <w:szCs w:val="20"/>
        </w:rPr>
        <w:t>”</w:t>
      </w:r>
      <w:r w:rsidR="00CE744E" w:rsidRPr="001E5C95">
        <w:rPr>
          <w:szCs w:val="20"/>
        </w:rPr>
        <w:t xml:space="preserve">, </w:t>
      </w:r>
      <w:bookmarkStart w:id="1" w:name="_Hlk43915775"/>
      <w:r w:rsidR="00CE744E" w:rsidRPr="001E5C95">
        <w:rPr>
          <w:szCs w:val="20"/>
        </w:rPr>
        <w:t xml:space="preserve">las que </w:t>
      </w:r>
      <w:r w:rsidR="008367F3" w:rsidRPr="001E5C95">
        <w:rPr>
          <w:szCs w:val="20"/>
        </w:rPr>
        <w:t>serían</w:t>
      </w:r>
      <w:r w:rsidR="00CE744E" w:rsidRPr="001E5C95">
        <w:rPr>
          <w:szCs w:val="20"/>
        </w:rPr>
        <w:t xml:space="preserve"> rendidas, </w:t>
      </w:r>
      <w:r w:rsidR="00B62473" w:rsidRPr="001E5C95">
        <w:rPr>
          <w:szCs w:val="20"/>
        </w:rPr>
        <w:t>“</w:t>
      </w:r>
      <w:r w:rsidR="00CE744E" w:rsidRPr="001E5C95">
        <w:rPr>
          <w:szCs w:val="20"/>
        </w:rPr>
        <w:t xml:space="preserve">en la medida de lo posible, ante </w:t>
      </w:r>
      <w:r w:rsidR="00CE744E" w:rsidRPr="001E5C95">
        <w:rPr>
          <w:rFonts w:eastAsia="Times New Roman"/>
          <w:szCs w:val="20"/>
        </w:rPr>
        <w:t>fedatario público (</w:t>
      </w:r>
      <w:r w:rsidR="00CE744E" w:rsidRPr="001E5C95">
        <w:rPr>
          <w:rFonts w:eastAsia="Times New Roman"/>
          <w:i/>
          <w:szCs w:val="20"/>
        </w:rPr>
        <w:t>affidávit</w:t>
      </w:r>
      <w:bookmarkEnd w:id="1"/>
      <w:r w:rsidR="00B62473" w:rsidRPr="001E5C95">
        <w:rPr>
          <w:rFonts w:eastAsia="Times New Roman"/>
          <w:szCs w:val="20"/>
        </w:rPr>
        <w:t>)”</w:t>
      </w:r>
      <w:r w:rsidR="004A6DBC" w:rsidRPr="001E5C95">
        <w:rPr>
          <w:rStyle w:val="Refdenotaalpie"/>
          <w:rFonts w:eastAsia="Times New Roman"/>
          <w:szCs w:val="20"/>
        </w:rPr>
        <w:footnoteReference w:id="2"/>
      </w:r>
      <w:r w:rsidR="00CE744E" w:rsidRPr="001E5C95">
        <w:rPr>
          <w:rFonts w:eastAsia="Times New Roman"/>
          <w:szCs w:val="20"/>
        </w:rPr>
        <w:t>.</w:t>
      </w:r>
      <w:r w:rsidR="0071541F" w:rsidRPr="001E5C95">
        <w:rPr>
          <w:rFonts w:eastAsia="Times New Roman"/>
          <w:szCs w:val="20"/>
        </w:rPr>
        <w:t xml:space="preserve"> A partir de lo anterior resolvió, </w:t>
      </w:r>
      <w:r w:rsidR="0071541F" w:rsidRPr="001E5C95">
        <w:rPr>
          <w:rFonts w:eastAsia="Times New Roman"/>
          <w:i/>
          <w:szCs w:val="20"/>
        </w:rPr>
        <w:t xml:space="preserve">inter </w:t>
      </w:r>
      <w:proofErr w:type="spellStart"/>
      <w:r w:rsidR="0071541F" w:rsidRPr="001E5C95">
        <w:rPr>
          <w:rFonts w:eastAsia="Times New Roman"/>
          <w:i/>
          <w:szCs w:val="20"/>
        </w:rPr>
        <w:t>alia</w:t>
      </w:r>
      <w:proofErr w:type="spellEnd"/>
      <w:r w:rsidR="0071541F" w:rsidRPr="001E5C95">
        <w:rPr>
          <w:rFonts w:eastAsia="Times New Roman"/>
          <w:szCs w:val="20"/>
        </w:rPr>
        <w:t>:</w:t>
      </w:r>
    </w:p>
    <w:p w14:paraId="13FF4A01" w14:textId="77777777" w:rsidR="004A6DBC" w:rsidRPr="001E5C95" w:rsidRDefault="004A6DBC" w:rsidP="0041649C">
      <w:pPr>
        <w:pStyle w:val="Textonotapie"/>
        <w:tabs>
          <w:tab w:val="left" w:pos="567"/>
        </w:tabs>
        <w:ind w:left="284" w:right="335"/>
        <w:rPr>
          <w:sz w:val="16"/>
          <w:szCs w:val="16"/>
        </w:rPr>
      </w:pPr>
    </w:p>
    <w:p w14:paraId="5F5E3D37" w14:textId="7BF57E68" w:rsidR="0071541F" w:rsidRPr="001E5C95" w:rsidRDefault="0071541F" w:rsidP="0041649C">
      <w:pPr>
        <w:pStyle w:val="Textonotapie"/>
        <w:tabs>
          <w:tab w:val="left" w:pos="567"/>
        </w:tabs>
        <w:ind w:left="284" w:right="335"/>
        <w:rPr>
          <w:sz w:val="16"/>
          <w:szCs w:val="16"/>
        </w:rPr>
      </w:pPr>
      <w:r w:rsidRPr="001E5C95">
        <w:rPr>
          <w:sz w:val="16"/>
          <w:szCs w:val="16"/>
        </w:rPr>
        <w:t>1. Requerir, de conformidad con el principio de economía procesal y la facultad que le otorga el artículo 50.1 del Reglamento de la Corte, que las siguientes personas presten su declaración ante fedatario público (</w:t>
      </w:r>
      <w:r w:rsidRPr="001E5C95">
        <w:rPr>
          <w:i/>
          <w:sz w:val="16"/>
          <w:szCs w:val="16"/>
        </w:rPr>
        <w:t>affidávit</w:t>
      </w:r>
      <w:r w:rsidRPr="001E5C95">
        <w:rPr>
          <w:sz w:val="16"/>
          <w:szCs w:val="16"/>
        </w:rPr>
        <w:t>):</w:t>
      </w:r>
    </w:p>
    <w:p w14:paraId="3B406BD8" w14:textId="77777777" w:rsidR="004A6DBC" w:rsidRPr="001E5C95" w:rsidRDefault="004A6DBC" w:rsidP="0041649C">
      <w:pPr>
        <w:pStyle w:val="Textonotapie"/>
        <w:tabs>
          <w:tab w:val="left" w:pos="567"/>
        </w:tabs>
        <w:ind w:left="284" w:right="335"/>
        <w:rPr>
          <w:b/>
          <w:sz w:val="16"/>
          <w:szCs w:val="16"/>
        </w:rPr>
      </w:pPr>
    </w:p>
    <w:p w14:paraId="3D5F5C3E" w14:textId="43C6C355" w:rsidR="0071541F" w:rsidRPr="001E5C95" w:rsidRDefault="0071541F" w:rsidP="0041649C">
      <w:pPr>
        <w:pStyle w:val="Textonotapie"/>
        <w:tabs>
          <w:tab w:val="left" w:pos="567"/>
        </w:tabs>
        <w:ind w:left="284" w:right="335"/>
        <w:rPr>
          <w:sz w:val="16"/>
          <w:szCs w:val="16"/>
        </w:rPr>
      </w:pPr>
      <w:r w:rsidRPr="001E5C95">
        <w:rPr>
          <w:b/>
          <w:sz w:val="16"/>
          <w:szCs w:val="16"/>
        </w:rPr>
        <w:t>A. Presunta víctima (propuesta por los representantes)</w:t>
      </w:r>
      <w:r w:rsidRPr="001E5C95">
        <w:rPr>
          <w:sz w:val="16"/>
          <w:szCs w:val="16"/>
        </w:rPr>
        <w:t xml:space="preserve"> </w:t>
      </w:r>
    </w:p>
    <w:p w14:paraId="195DE1B2" w14:textId="77777777" w:rsidR="004A6DBC" w:rsidRPr="001E5C95" w:rsidRDefault="004A6DBC" w:rsidP="0041649C">
      <w:pPr>
        <w:pStyle w:val="Textonotapie"/>
        <w:tabs>
          <w:tab w:val="left" w:pos="567"/>
        </w:tabs>
        <w:ind w:left="284" w:right="335"/>
        <w:rPr>
          <w:sz w:val="16"/>
          <w:szCs w:val="16"/>
        </w:rPr>
      </w:pPr>
    </w:p>
    <w:p w14:paraId="19857398" w14:textId="565D4616" w:rsidR="004A6DBC" w:rsidRPr="001E5C95" w:rsidRDefault="0071541F" w:rsidP="0041649C">
      <w:pPr>
        <w:pStyle w:val="Textonotapie"/>
        <w:tabs>
          <w:tab w:val="left" w:pos="567"/>
        </w:tabs>
        <w:ind w:left="284" w:right="335"/>
        <w:rPr>
          <w:sz w:val="16"/>
          <w:szCs w:val="16"/>
        </w:rPr>
      </w:pPr>
      <w:r w:rsidRPr="001E5C95">
        <w:rPr>
          <w:sz w:val="16"/>
          <w:szCs w:val="16"/>
        </w:rPr>
        <w:t xml:space="preserve">(1) </w:t>
      </w:r>
      <w:r w:rsidRPr="001E5C95">
        <w:rPr>
          <w:i/>
          <w:sz w:val="16"/>
          <w:szCs w:val="16"/>
        </w:rPr>
        <w:t>Lorenza Josefina Pérez de Olivares</w:t>
      </w:r>
      <w:r w:rsidRPr="001E5C95">
        <w:rPr>
          <w:sz w:val="16"/>
          <w:szCs w:val="16"/>
        </w:rPr>
        <w:t xml:space="preserve">, quien declarará sobre las circunstancias en que habría perdido la vida su esposo, Orlando Edgardo Olivares Muñoz, las gestiones que habría realizado para denunciar los hechos y exigir justicia sobre las violaciones a los derechos humanos de los que habría sido víctima, y las secuelas emocionales y físicas que habría sufrido como consecuencia de los hechos y las afectaciones a su proyecto de vida. </w:t>
      </w:r>
    </w:p>
    <w:p w14:paraId="5356AB35" w14:textId="77777777" w:rsidR="004A6DBC" w:rsidRPr="001E5C95" w:rsidRDefault="004A6DBC" w:rsidP="0041649C">
      <w:pPr>
        <w:pStyle w:val="Textonotapie"/>
        <w:tabs>
          <w:tab w:val="left" w:pos="567"/>
        </w:tabs>
        <w:ind w:left="284" w:right="335"/>
        <w:rPr>
          <w:sz w:val="16"/>
          <w:szCs w:val="16"/>
        </w:rPr>
      </w:pPr>
    </w:p>
    <w:p w14:paraId="0E91062C" w14:textId="74487552" w:rsidR="004A6DBC" w:rsidRPr="001E5C95" w:rsidRDefault="004A6DBC" w:rsidP="0041649C">
      <w:pPr>
        <w:pStyle w:val="Textonotapie"/>
        <w:tabs>
          <w:tab w:val="left" w:pos="567"/>
        </w:tabs>
        <w:ind w:left="284" w:right="335"/>
        <w:rPr>
          <w:rFonts w:eastAsia="Times New Roman"/>
          <w:bCs/>
          <w:sz w:val="16"/>
          <w:szCs w:val="16"/>
        </w:rPr>
      </w:pPr>
      <w:r w:rsidRPr="001E5C95">
        <w:rPr>
          <w:rFonts w:eastAsia="Times New Roman" w:cs="Arial"/>
          <w:bCs/>
          <w:sz w:val="16"/>
          <w:szCs w:val="16"/>
        </w:rPr>
        <w:t>[…]</w:t>
      </w:r>
    </w:p>
    <w:p w14:paraId="5E82FBCF" w14:textId="77777777" w:rsidR="004A6DBC" w:rsidRPr="001E5C95" w:rsidRDefault="004A6DBC" w:rsidP="0041649C">
      <w:pPr>
        <w:pStyle w:val="Textonotapie"/>
        <w:tabs>
          <w:tab w:val="left" w:pos="567"/>
        </w:tabs>
        <w:ind w:left="284" w:right="335"/>
        <w:rPr>
          <w:sz w:val="16"/>
          <w:szCs w:val="16"/>
        </w:rPr>
      </w:pPr>
    </w:p>
    <w:p w14:paraId="3F998C96" w14:textId="35E5187F" w:rsidR="003612DF" w:rsidRPr="001E5C95" w:rsidRDefault="004A6DBC" w:rsidP="0041649C">
      <w:pPr>
        <w:pStyle w:val="Textonotapie"/>
        <w:tabs>
          <w:tab w:val="left" w:pos="567"/>
        </w:tabs>
        <w:ind w:left="284" w:right="335"/>
        <w:rPr>
          <w:rFonts w:eastAsia="Times New Roman"/>
          <w:bCs/>
          <w:sz w:val="16"/>
          <w:szCs w:val="16"/>
        </w:rPr>
      </w:pPr>
      <w:r w:rsidRPr="001E5C95">
        <w:rPr>
          <w:sz w:val="16"/>
          <w:szCs w:val="16"/>
        </w:rPr>
        <w:t xml:space="preserve">4. </w:t>
      </w:r>
      <w:r w:rsidRPr="001E5C95">
        <w:rPr>
          <w:rFonts w:eastAsia="Times New Roman" w:cs="Arial"/>
          <w:bCs/>
          <w:sz w:val="16"/>
          <w:szCs w:val="16"/>
        </w:rPr>
        <w:t xml:space="preserve">[…] </w:t>
      </w:r>
      <w:r w:rsidRPr="001E5C95">
        <w:rPr>
          <w:sz w:val="16"/>
          <w:szCs w:val="16"/>
        </w:rPr>
        <w:t xml:space="preserve">Las declaraciones y el peritaje requeridos </w:t>
      </w:r>
      <w:r w:rsidRPr="001E5C95">
        <w:rPr>
          <w:rFonts w:eastAsia="Times New Roman" w:cs="Arial"/>
          <w:bCs/>
          <w:sz w:val="16"/>
          <w:szCs w:val="16"/>
        </w:rPr>
        <w:t xml:space="preserve">[en el punto resolutivo 1] </w:t>
      </w:r>
      <w:r w:rsidRPr="001E5C95">
        <w:rPr>
          <w:sz w:val="16"/>
          <w:szCs w:val="16"/>
        </w:rPr>
        <w:t>deberán ser presentados al Tribunal a más tardar el 29 de julio de 2020.</w:t>
      </w:r>
    </w:p>
    <w:p w14:paraId="69D47B5A" w14:textId="77777777" w:rsidR="004A6DBC" w:rsidRPr="001E5C95" w:rsidRDefault="004A6DBC" w:rsidP="0041649C">
      <w:pPr>
        <w:pStyle w:val="Textonotapie"/>
        <w:tabs>
          <w:tab w:val="left" w:pos="567"/>
        </w:tabs>
        <w:ind w:right="335"/>
        <w:rPr>
          <w:rFonts w:eastAsia="Verdana"/>
          <w:lang w:val="es-PE"/>
        </w:rPr>
      </w:pPr>
    </w:p>
    <w:p w14:paraId="4214AB27" w14:textId="0D3ACF32" w:rsidR="003C388C" w:rsidRPr="001E5C95" w:rsidRDefault="00CE744E" w:rsidP="0041649C">
      <w:pPr>
        <w:numPr>
          <w:ilvl w:val="0"/>
          <w:numId w:val="4"/>
        </w:numPr>
        <w:tabs>
          <w:tab w:val="left" w:pos="567"/>
        </w:tabs>
        <w:autoSpaceDE w:val="0"/>
        <w:autoSpaceDN w:val="0"/>
        <w:adjustRightInd w:val="0"/>
        <w:spacing w:after="0"/>
        <w:ind w:left="0" w:firstLine="0"/>
        <w:rPr>
          <w:szCs w:val="20"/>
          <w:lang w:val="es-CL"/>
        </w:rPr>
      </w:pPr>
      <w:r w:rsidRPr="001E5C95">
        <w:rPr>
          <w:rFonts w:cs="Verdana"/>
          <w:szCs w:val="20"/>
        </w:rPr>
        <w:lastRenderedPageBreak/>
        <w:t>El escrito</w:t>
      </w:r>
      <w:r w:rsidR="001F6312" w:rsidRPr="001E5C95">
        <w:rPr>
          <w:rFonts w:cs="Verdana"/>
          <w:szCs w:val="20"/>
        </w:rPr>
        <w:t xml:space="preserve"> de</w:t>
      </w:r>
      <w:r w:rsidR="008367F3" w:rsidRPr="001E5C95">
        <w:rPr>
          <w:rFonts w:cs="Verdana"/>
          <w:szCs w:val="20"/>
        </w:rPr>
        <w:t xml:space="preserve"> 10 de julio de 2020, </w:t>
      </w:r>
      <w:r w:rsidR="008367F3" w:rsidRPr="001E5C95">
        <w:rPr>
          <w:szCs w:val="20"/>
          <w:lang w:val="es-CL"/>
        </w:rPr>
        <w:t>mediante el cual</w:t>
      </w:r>
      <w:r w:rsidR="003E5534" w:rsidRPr="001E5C95">
        <w:rPr>
          <w:szCs w:val="20"/>
          <w:lang w:val="es-CL"/>
        </w:rPr>
        <w:t xml:space="preserve"> los representantes </w:t>
      </w:r>
      <w:r w:rsidR="008367F3" w:rsidRPr="001E5C95">
        <w:rPr>
          <w:szCs w:val="20"/>
        </w:rPr>
        <w:t>de las presuntas víctimas (en adelante también “los representantes”)</w:t>
      </w:r>
      <w:r w:rsidR="008367F3" w:rsidRPr="001E5C95">
        <w:rPr>
          <w:rStyle w:val="Refdenotaalpie"/>
          <w:szCs w:val="20"/>
          <w:lang w:val="es-CL"/>
        </w:rPr>
        <w:footnoteReference w:id="3"/>
      </w:r>
      <w:r w:rsidR="003C388C" w:rsidRPr="001E5C95">
        <w:rPr>
          <w:szCs w:val="20"/>
        </w:rPr>
        <w:t xml:space="preserve"> presentaron </w:t>
      </w:r>
      <w:r w:rsidR="003E5534" w:rsidRPr="001E5C95">
        <w:rPr>
          <w:szCs w:val="20"/>
          <w:lang w:val="es-CL"/>
        </w:rPr>
        <w:t>solicitud de reconsideración</w:t>
      </w:r>
      <w:r w:rsidR="003C388C" w:rsidRPr="001E5C95">
        <w:rPr>
          <w:szCs w:val="20"/>
          <w:lang w:val="es-CL"/>
        </w:rPr>
        <w:t xml:space="preserve"> de la Resolución de 30 de junio de 2020, </w:t>
      </w:r>
      <w:r w:rsidR="00E7706C" w:rsidRPr="001E5C95">
        <w:rPr>
          <w:szCs w:val="20"/>
          <w:lang w:val="es-CL"/>
        </w:rPr>
        <w:t>en el sentido de requerir</w:t>
      </w:r>
      <w:r w:rsidR="003C388C" w:rsidRPr="001E5C95">
        <w:rPr>
          <w:szCs w:val="20"/>
          <w:lang w:val="es-CL"/>
        </w:rPr>
        <w:t xml:space="preserve"> que la señora Lorenza Josefina Pérez de Olivares, presunta víctima, rinda su declaración</w:t>
      </w:r>
      <w:r w:rsidR="000C0C54" w:rsidRPr="001E5C95">
        <w:rPr>
          <w:szCs w:val="20"/>
          <w:lang w:val="es-CL"/>
        </w:rPr>
        <w:t xml:space="preserve"> en forma oral</w:t>
      </w:r>
      <w:r w:rsidR="003C388C" w:rsidRPr="001E5C95">
        <w:rPr>
          <w:szCs w:val="20"/>
          <w:lang w:val="es-CL"/>
        </w:rPr>
        <w:t xml:space="preserve"> mediante videoconferencia, y que </w:t>
      </w:r>
      <w:r w:rsidR="003C388C" w:rsidRPr="001E5C95">
        <w:rPr>
          <w:rFonts w:cs="Verdana"/>
          <w:szCs w:val="20"/>
          <w:lang w:val="es-ES"/>
        </w:rPr>
        <w:t xml:space="preserve">el plazo para el envío de las declaraciones rendidas ante fedatario público no sea menor a 30 días, contados a partir de la recepción de las preguntas a que se refiere el artículo 50.5 del Reglamento de la Corte </w:t>
      </w:r>
      <w:r w:rsidR="003C388C" w:rsidRPr="001E5C95">
        <w:rPr>
          <w:rFonts w:cs="Verdana"/>
          <w:szCs w:val="20"/>
          <w:lang w:val="es-CR"/>
        </w:rPr>
        <w:t>(en adelante también “el Reglamento”).</w:t>
      </w:r>
    </w:p>
    <w:p w14:paraId="6DF7C16E" w14:textId="77777777" w:rsidR="003C388C" w:rsidRPr="001E5C95" w:rsidRDefault="003C388C" w:rsidP="0041649C">
      <w:pPr>
        <w:autoSpaceDE w:val="0"/>
        <w:autoSpaceDN w:val="0"/>
        <w:adjustRightInd w:val="0"/>
        <w:spacing w:after="0"/>
        <w:rPr>
          <w:szCs w:val="20"/>
          <w:lang w:val="es-CL"/>
        </w:rPr>
      </w:pPr>
    </w:p>
    <w:p w14:paraId="768E55D4" w14:textId="242B71FB" w:rsidR="008C52D1" w:rsidRPr="001E5C95" w:rsidRDefault="001F6312"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La</w:t>
      </w:r>
      <w:r w:rsidR="003C388C" w:rsidRPr="001E5C95">
        <w:rPr>
          <w:rFonts w:cs="Verdana"/>
          <w:szCs w:val="20"/>
          <w:lang w:val="es-ES"/>
        </w:rPr>
        <w:t>s</w:t>
      </w:r>
      <w:r w:rsidRPr="001E5C95">
        <w:rPr>
          <w:rFonts w:cs="Verdana"/>
          <w:szCs w:val="20"/>
          <w:lang w:val="es-ES"/>
        </w:rPr>
        <w:t xml:space="preserve"> </w:t>
      </w:r>
      <w:r w:rsidR="003C388C" w:rsidRPr="001E5C95">
        <w:rPr>
          <w:rFonts w:cs="Verdana"/>
          <w:szCs w:val="20"/>
          <w:lang w:val="es-ES"/>
        </w:rPr>
        <w:t xml:space="preserve">notas de la </w:t>
      </w:r>
      <w:r w:rsidRPr="001E5C95">
        <w:rPr>
          <w:rFonts w:cs="Verdana"/>
          <w:szCs w:val="20"/>
        </w:rPr>
        <w:t xml:space="preserve">Secretaría de la Corte (en adelante </w:t>
      </w:r>
      <w:r w:rsidR="008C52D1" w:rsidRPr="001E5C95">
        <w:rPr>
          <w:rFonts w:cs="Verdana"/>
          <w:szCs w:val="20"/>
        </w:rPr>
        <w:t xml:space="preserve">también </w:t>
      </w:r>
      <w:r w:rsidRPr="001E5C95">
        <w:rPr>
          <w:rFonts w:cs="Verdana"/>
          <w:szCs w:val="20"/>
        </w:rPr>
        <w:t xml:space="preserve">“la Secretaría”) </w:t>
      </w:r>
      <w:r w:rsidR="004161CE" w:rsidRPr="001E5C95">
        <w:rPr>
          <w:rFonts w:cs="Verdana"/>
          <w:szCs w:val="20"/>
          <w:lang w:val="es-ES"/>
        </w:rPr>
        <w:t>de</w:t>
      </w:r>
      <w:r w:rsidR="00D35144" w:rsidRPr="001E5C95">
        <w:rPr>
          <w:rFonts w:cs="Verdana"/>
          <w:szCs w:val="20"/>
          <w:lang w:val="es-ES"/>
        </w:rPr>
        <w:t xml:space="preserve"> </w:t>
      </w:r>
      <w:r w:rsidR="003C388C" w:rsidRPr="001E5C95">
        <w:rPr>
          <w:rFonts w:cs="Verdana"/>
          <w:szCs w:val="20"/>
          <w:lang w:val="es-ES"/>
        </w:rPr>
        <w:t xml:space="preserve">14 de julio </w:t>
      </w:r>
      <w:r w:rsidR="008C52D1" w:rsidRPr="001E5C95">
        <w:rPr>
          <w:rFonts w:cs="Verdana"/>
          <w:szCs w:val="20"/>
          <w:lang w:val="es-ES"/>
        </w:rPr>
        <w:t>de 2020, mediante las cuales se transmitió a</w:t>
      </w:r>
      <w:r w:rsidR="00855F89" w:rsidRPr="001E5C95">
        <w:rPr>
          <w:rFonts w:cs="Verdana"/>
          <w:szCs w:val="20"/>
          <w:lang w:val="es-ES"/>
        </w:rPr>
        <w:t xml:space="preserve"> </w:t>
      </w:r>
      <w:r w:rsidR="008C52D1" w:rsidRPr="001E5C95">
        <w:rPr>
          <w:rFonts w:cs="Verdana"/>
          <w:szCs w:val="20"/>
          <w:lang w:val="es-ES"/>
        </w:rPr>
        <w:t>l</w:t>
      </w:r>
      <w:r w:rsidR="00855F89" w:rsidRPr="001E5C95">
        <w:rPr>
          <w:rFonts w:cs="Verdana"/>
          <w:szCs w:val="20"/>
          <w:lang w:val="es-ES"/>
        </w:rPr>
        <w:t>a República Bolivariana de Venezuela (en adelante “Venezuela” o “el</w:t>
      </w:r>
      <w:r w:rsidR="008C52D1" w:rsidRPr="001E5C95">
        <w:rPr>
          <w:rFonts w:cs="Verdana"/>
          <w:szCs w:val="20"/>
          <w:lang w:val="es-ES"/>
        </w:rPr>
        <w:t xml:space="preserve"> Estado</w:t>
      </w:r>
      <w:r w:rsidR="00855F89" w:rsidRPr="001E5C95">
        <w:rPr>
          <w:rFonts w:cs="Verdana"/>
          <w:szCs w:val="20"/>
          <w:lang w:val="es-ES"/>
        </w:rPr>
        <w:t>”)</w:t>
      </w:r>
      <w:r w:rsidR="008C52D1" w:rsidRPr="001E5C95">
        <w:rPr>
          <w:rFonts w:cs="Verdana"/>
          <w:szCs w:val="20"/>
          <w:lang w:val="es-ES"/>
        </w:rPr>
        <w:t xml:space="preserve"> y a la Comisión </w:t>
      </w:r>
      <w:r w:rsidR="008C52D1" w:rsidRPr="001E5C95">
        <w:rPr>
          <w:rFonts w:cs="Verdana"/>
          <w:szCs w:val="20"/>
        </w:rPr>
        <w:t xml:space="preserve">Interamericana de Derechos Humanos (en adelante también “la Comisión Interamericana” o “la Comisión”) la solicitud </w:t>
      </w:r>
      <w:r w:rsidR="008C52D1" w:rsidRPr="001E5C95">
        <w:rPr>
          <w:rFonts w:cs="Verdana"/>
          <w:szCs w:val="20"/>
          <w:lang w:val="es-ES"/>
        </w:rPr>
        <w:t xml:space="preserve">planteada por los representantes, y se les </w:t>
      </w:r>
      <w:r w:rsidR="00FF69BD" w:rsidRPr="001E5C95">
        <w:rPr>
          <w:rFonts w:cs="Verdana"/>
          <w:szCs w:val="20"/>
          <w:lang w:val="es-ES"/>
        </w:rPr>
        <w:t>confirió</w:t>
      </w:r>
      <w:r w:rsidR="008C52D1" w:rsidRPr="001E5C95">
        <w:rPr>
          <w:rFonts w:cs="Verdana"/>
          <w:szCs w:val="20"/>
          <w:lang w:val="es-ES"/>
        </w:rPr>
        <w:t xml:space="preserve"> plazo para presentar observaciones al respecto.</w:t>
      </w:r>
    </w:p>
    <w:p w14:paraId="1982B1D7" w14:textId="77777777" w:rsidR="008C52D1" w:rsidRPr="001E5C95" w:rsidRDefault="008C52D1" w:rsidP="0041649C">
      <w:pPr>
        <w:autoSpaceDE w:val="0"/>
        <w:autoSpaceDN w:val="0"/>
        <w:adjustRightInd w:val="0"/>
        <w:spacing w:after="0"/>
        <w:rPr>
          <w:rFonts w:cs="Verdana"/>
          <w:szCs w:val="20"/>
          <w:lang w:val="es-ES"/>
        </w:rPr>
      </w:pPr>
    </w:p>
    <w:p w14:paraId="651D504D" w14:textId="31C0623B" w:rsidR="008C52D1" w:rsidRPr="001E5C95" w:rsidRDefault="008C52D1"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 xml:space="preserve">La comunicación de 17 de julio de 2020, mediante la cual la Comisión se pronunció </w:t>
      </w:r>
      <w:r w:rsidR="00323458" w:rsidRPr="001E5C95">
        <w:rPr>
          <w:rFonts w:cs="Verdana"/>
          <w:szCs w:val="20"/>
          <w:lang w:val="es-ES"/>
        </w:rPr>
        <w:t xml:space="preserve">a </w:t>
      </w:r>
      <w:r w:rsidRPr="001E5C95">
        <w:rPr>
          <w:rFonts w:cs="Verdana"/>
          <w:szCs w:val="20"/>
          <w:lang w:val="es-ES"/>
        </w:rPr>
        <w:t>favor de la solicitud efectuada por los representantes.</w:t>
      </w:r>
    </w:p>
    <w:p w14:paraId="7D1DC05E" w14:textId="77777777" w:rsidR="003C388C" w:rsidRPr="001E5C95" w:rsidRDefault="003C388C" w:rsidP="0041649C">
      <w:pPr>
        <w:pStyle w:val="Prrafodelista"/>
        <w:spacing w:after="0"/>
        <w:ind w:left="0"/>
        <w:rPr>
          <w:rFonts w:cs="Verdana"/>
          <w:szCs w:val="20"/>
          <w:lang w:val="es-ES"/>
        </w:rPr>
      </w:pPr>
    </w:p>
    <w:p w14:paraId="3D7DEB80" w14:textId="3C85462E" w:rsidR="007042F0" w:rsidRPr="001E5C95" w:rsidRDefault="008C52D1"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 xml:space="preserve">Las notas de la </w:t>
      </w:r>
      <w:r w:rsidRPr="001E5C95">
        <w:rPr>
          <w:rFonts w:cs="Verdana"/>
          <w:szCs w:val="20"/>
        </w:rPr>
        <w:t xml:space="preserve">Secretaría </w:t>
      </w:r>
      <w:r w:rsidRPr="001E5C95">
        <w:rPr>
          <w:rFonts w:cs="Verdana"/>
          <w:szCs w:val="20"/>
          <w:lang w:val="es-ES"/>
        </w:rPr>
        <w:t xml:space="preserve">de </w:t>
      </w:r>
      <w:r w:rsidR="0092107C">
        <w:rPr>
          <w:rFonts w:cs="Verdana"/>
          <w:szCs w:val="20"/>
          <w:lang w:val="es-ES"/>
        </w:rPr>
        <w:t>21</w:t>
      </w:r>
      <w:r w:rsidRPr="001E5C95">
        <w:rPr>
          <w:rFonts w:cs="Verdana"/>
          <w:szCs w:val="20"/>
          <w:lang w:val="es-ES"/>
        </w:rPr>
        <w:t xml:space="preserve"> de julio de 2020, mediante las cuales</w:t>
      </w:r>
      <w:r w:rsidR="007042F0" w:rsidRPr="001E5C95">
        <w:rPr>
          <w:rFonts w:cs="Verdana"/>
          <w:szCs w:val="20"/>
          <w:lang w:val="es-ES"/>
        </w:rPr>
        <w:t xml:space="preserve">, con instrucciones de la Presidenta, se </w:t>
      </w:r>
      <w:r w:rsidR="00903BB4" w:rsidRPr="001E5C95">
        <w:rPr>
          <w:rFonts w:cs="Verdana"/>
          <w:szCs w:val="20"/>
          <w:lang w:val="es-ES"/>
        </w:rPr>
        <w:t>requirió</w:t>
      </w:r>
      <w:r w:rsidR="007042F0" w:rsidRPr="001E5C95">
        <w:rPr>
          <w:rFonts w:cs="Verdana"/>
          <w:szCs w:val="20"/>
          <w:lang w:val="es-ES"/>
        </w:rPr>
        <w:t xml:space="preserve"> a las partes y a la Comisión que, a efecto de someter el asunto a conocimiento del Pleno del Tribunal, informaran sobre la viabilidad y facilidades técnicas para recibir la declaración de la señora Lorenza Josefina Pérez de Olivares mediante videoconferencia.</w:t>
      </w:r>
    </w:p>
    <w:p w14:paraId="56C4DE8A" w14:textId="77777777" w:rsidR="007042F0" w:rsidRPr="001E5C95" w:rsidRDefault="007042F0" w:rsidP="0041649C">
      <w:pPr>
        <w:pStyle w:val="Prrafodelista"/>
        <w:spacing w:after="0"/>
        <w:ind w:left="0"/>
        <w:rPr>
          <w:rFonts w:cs="Verdana"/>
          <w:szCs w:val="20"/>
          <w:lang w:val="es-ES"/>
        </w:rPr>
      </w:pPr>
    </w:p>
    <w:p w14:paraId="418021CD" w14:textId="5FE216E5" w:rsidR="007042F0" w:rsidRPr="001E5C95" w:rsidRDefault="007042F0"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El escrito de 22 de julio de 2020, mediante el cual el Estado se opuso a la solicitud de los representantes relativa a que la declaración de la presunta víctima sea recibida mediante videoconferencia</w:t>
      </w:r>
      <w:r w:rsidR="007A1E41" w:rsidRPr="001E5C95">
        <w:rPr>
          <w:rFonts w:cs="Verdana"/>
          <w:szCs w:val="20"/>
          <w:lang w:val="es-ES"/>
        </w:rPr>
        <w:t xml:space="preserve"> y, a su vez,</w:t>
      </w:r>
      <w:r w:rsidRPr="001E5C95">
        <w:rPr>
          <w:rFonts w:cs="Verdana"/>
          <w:szCs w:val="20"/>
          <w:lang w:val="es-ES"/>
        </w:rPr>
        <w:t xml:space="preserve"> manifestó </w:t>
      </w:r>
      <w:r w:rsidR="007A1E41" w:rsidRPr="001E5C95">
        <w:rPr>
          <w:rFonts w:cs="Verdana"/>
          <w:szCs w:val="20"/>
          <w:lang w:val="es-ES"/>
        </w:rPr>
        <w:t xml:space="preserve">estar de </w:t>
      </w:r>
      <w:r w:rsidRPr="001E5C95">
        <w:rPr>
          <w:rFonts w:cs="Verdana"/>
          <w:szCs w:val="20"/>
          <w:lang w:val="es-ES"/>
        </w:rPr>
        <w:t xml:space="preserve">acuerdo </w:t>
      </w:r>
      <w:r w:rsidR="007A1E41" w:rsidRPr="001E5C95">
        <w:rPr>
          <w:rFonts w:cs="Verdana"/>
          <w:szCs w:val="20"/>
          <w:lang w:val="es-ES"/>
        </w:rPr>
        <w:t>con</w:t>
      </w:r>
      <w:r w:rsidRPr="001E5C95">
        <w:rPr>
          <w:rFonts w:cs="Verdana"/>
          <w:szCs w:val="20"/>
          <w:lang w:val="es-ES"/>
        </w:rPr>
        <w:t xml:space="preserve"> que sea extendido el plazo para la remisión de las declaraciones rendidas ante fedatario público.</w:t>
      </w:r>
    </w:p>
    <w:p w14:paraId="23570683" w14:textId="77777777" w:rsidR="007042F0" w:rsidRPr="001E5C95" w:rsidRDefault="007042F0" w:rsidP="0041649C">
      <w:pPr>
        <w:pStyle w:val="Prrafodelista"/>
        <w:spacing w:after="0"/>
        <w:ind w:left="0"/>
        <w:rPr>
          <w:rFonts w:cs="Verdana"/>
          <w:color w:val="C00000"/>
          <w:szCs w:val="20"/>
          <w:lang w:val="es-ES"/>
        </w:rPr>
      </w:pPr>
    </w:p>
    <w:p w14:paraId="72A53F03" w14:textId="1A03162F" w:rsidR="00C2310D" w:rsidRPr="001E5C95" w:rsidRDefault="00324D84"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Los</w:t>
      </w:r>
      <w:r w:rsidR="007A1E41" w:rsidRPr="001E5C95">
        <w:rPr>
          <w:rFonts w:cs="Verdana"/>
          <w:szCs w:val="20"/>
          <w:lang w:val="es-ES"/>
        </w:rPr>
        <w:t xml:space="preserve"> escrito</w:t>
      </w:r>
      <w:r w:rsidRPr="001E5C95">
        <w:rPr>
          <w:rFonts w:cs="Verdana"/>
          <w:szCs w:val="20"/>
          <w:lang w:val="es-ES"/>
        </w:rPr>
        <w:t>s</w:t>
      </w:r>
      <w:r w:rsidR="007A1E41" w:rsidRPr="001E5C95">
        <w:rPr>
          <w:rFonts w:cs="Verdana"/>
          <w:szCs w:val="20"/>
          <w:lang w:val="es-ES"/>
        </w:rPr>
        <w:t xml:space="preserve"> de 2</w:t>
      </w:r>
      <w:r w:rsidR="00E7706C" w:rsidRPr="001E5C95">
        <w:rPr>
          <w:rFonts w:cs="Verdana"/>
          <w:szCs w:val="20"/>
          <w:lang w:val="es-ES"/>
        </w:rPr>
        <w:t>3</w:t>
      </w:r>
      <w:r w:rsidRPr="001E5C95">
        <w:rPr>
          <w:rFonts w:cs="Verdana"/>
          <w:szCs w:val="20"/>
          <w:lang w:val="es-ES"/>
        </w:rPr>
        <w:t xml:space="preserve"> y 24 </w:t>
      </w:r>
      <w:r w:rsidR="007A1E41" w:rsidRPr="001E5C95">
        <w:rPr>
          <w:rFonts w:cs="Verdana"/>
          <w:szCs w:val="20"/>
          <w:lang w:val="es-ES"/>
        </w:rPr>
        <w:t>de julio de 2020, mediante l</w:t>
      </w:r>
      <w:r w:rsidR="00BD1169" w:rsidRPr="001E5C95">
        <w:rPr>
          <w:rFonts w:cs="Verdana"/>
          <w:szCs w:val="20"/>
          <w:lang w:val="es-ES"/>
        </w:rPr>
        <w:t>os</w:t>
      </w:r>
      <w:r w:rsidR="007A1E41" w:rsidRPr="001E5C95">
        <w:rPr>
          <w:rFonts w:cs="Verdana"/>
          <w:szCs w:val="20"/>
          <w:lang w:val="es-ES"/>
        </w:rPr>
        <w:t xml:space="preserve"> cual</w:t>
      </w:r>
      <w:r w:rsidR="00BD1169" w:rsidRPr="001E5C95">
        <w:rPr>
          <w:rFonts w:cs="Verdana"/>
          <w:szCs w:val="20"/>
          <w:lang w:val="es-ES"/>
        </w:rPr>
        <w:t>es</w:t>
      </w:r>
      <w:r w:rsidR="007A1E41" w:rsidRPr="001E5C95">
        <w:rPr>
          <w:rFonts w:cs="Verdana"/>
          <w:szCs w:val="20"/>
          <w:lang w:val="es-ES"/>
        </w:rPr>
        <w:t xml:space="preserve"> </w:t>
      </w:r>
      <w:r w:rsidR="00E7706C" w:rsidRPr="001E5C95">
        <w:rPr>
          <w:rFonts w:cs="Verdana"/>
          <w:szCs w:val="20"/>
          <w:lang w:val="es-ES"/>
        </w:rPr>
        <w:t xml:space="preserve">los representantes </w:t>
      </w:r>
      <w:r w:rsidRPr="001E5C95">
        <w:rPr>
          <w:rFonts w:cs="Verdana"/>
          <w:szCs w:val="20"/>
          <w:lang w:val="es-ES"/>
        </w:rPr>
        <w:t xml:space="preserve">y la Comisión </w:t>
      </w:r>
      <w:r w:rsidR="00E7706C" w:rsidRPr="001E5C95">
        <w:rPr>
          <w:rFonts w:cs="Verdana"/>
          <w:szCs w:val="20"/>
          <w:lang w:val="es-ES"/>
        </w:rPr>
        <w:t>informaron</w:t>
      </w:r>
      <w:r w:rsidRPr="001E5C95">
        <w:rPr>
          <w:rFonts w:cs="Verdana"/>
          <w:szCs w:val="20"/>
          <w:lang w:val="es-ES"/>
        </w:rPr>
        <w:t>, respectivamente,</w:t>
      </w:r>
      <w:r w:rsidR="00E7706C" w:rsidRPr="001E5C95">
        <w:rPr>
          <w:rFonts w:cs="Verdana"/>
          <w:szCs w:val="20"/>
          <w:lang w:val="es-ES"/>
        </w:rPr>
        <w:t xml:space="preserve"> </w:t>
      </w:r>
      <w:r w:rsidR="00BA0B14" w:rsidRPr="001E5C95">
        <w:rPr>
          <w:rFonts w:cs="Verdana"/>
          <w:szCs w:val="20"/>
          <w:lang w:val="es-ES"/>
        </w:rPr>
        <w:t>acerca de</w:t>
      </w:r>
      <w:r w:rsidR="00C94BEB" w:rsidRPr="001E5C95">
        <w:rPr>
          <w:rFonts w:cs="Verdana"/>
          <w:szCs w:val="20"/>
          <w:lang w:val="es-ES"/>
        </w:rPr>
        <w:t xml:space="preserve"> la viabilidad </w:t>
      </w:r>
      <w:r w:rsidR="00E7706C" w:rsidRPr="001E5C95">
        <w:rPr>
          <w:szCs w:val="20"/>
        </w:rPr>
        <w:t xml:space="preserve">técnica para </w:t>
      </w:r>
      <w:r w:rsidR="00C94BEB" w:rsidRPr="001E5C95">
        <w:rPr>
          <w:szCs w:val="20"/>
        </w:rPr>
        <w:t>que</w:t>
      </w:r>
      <w:r w:rsidR="00E7706C" w:rsidRPr="001E5C95">
        <w:rPr>
          <w:szCs w:val="20"/>
        </w:rPr>
        <w:t xml:space="preserve"> la declaración de la señora </w:t>
      </w:r>
      <w:r w:rsidRPr="001E5C95">
        <w:rPr>
          <w:szCs w:val="20"/>
        </w:rPr>
        <w:t xml:space="preserve">Lorenza Josefina </w:t>
      </w:r>
      <w:r w:rsidR="00E7706C" w:rsidRPr="001E5C95">
        <w:rPr>
          <w:szCs w:val="20"/>
        </w:rPr>
        <w:t>Pérez de Olivares</w:t>
      </w:r>
      <w:r w:rsidR="00C94BEB" w:rsidRPr="001E5C95">
        <w:rPr>
          <w:szCs w:val="20"/>
        </w:rPr>
        <w:t xml:space="preserve"> sea rendida</w:t>
      </w:r>
      <w:r w:rsidR="00E7706C" w:rsidRPr="001E5C95">
        <w:rPr>
          <w:szCs w:val="20"/>
        </w:rPr>
        <w:t xml:space="preserve"> mediante videoconferencia</w:t>
      </w:r>
      <w:r w:rsidR="007A1E41" w:rsidRPr="001E5C95">
        <w:rPr>
          <w:rFonts w:cs="Verdana"/>
          <w:szCs w:val="20"/>
          <w:lang w:val="es-ES"/>
        </w:rPr>
        <w:t>.</w:t>
      </w:r>
    </w:p>
    <w:p w14:paraId="0DAEB54C" w14:textId="77777777" w:rsidR="00BE1EE3" w:rsidRPr="001E5C95" w:rsidRDefault="00BE1EE3" w:rsidP="0041649C">
      <w:pPr>
        <w:pStyle w:val="Prrafodelista"/>
        <w:spacing w:after="0"/>
        <w:ind w:left="0"/>
        <w:rPr>
          <w:rFonts w:cs="Verdana"/>
          <w:szCs w:val="20"/>
          <w:lang w:val="es-ES"/>
        </w:rPr>
      </w:pPr>
    </w:p>
    <w:p w14:paraId="066B9997" w14:textId="0376B7C2" w:rsidR="00BE1EE3" w:rsidRPr="001E5C95" w:rsidRDefault="00BE1EE3" w:rsidP="0041649C">
      <w:pPr>
        <w:numPr>
          <w:ilvl w:val="0"/>
          <w:numId w:val="4"/>
        </w:numPr>
        <w:tabs>
          <w:tab w:val="left" w:pos="567"/>
        </w:tabs>
        <w:autoSpaceDE w:val="0"/>
        <w:autoSpaceDN w:val="0"/>
        <w:adjustRightInd w:val="0"/>
        <w:spacing w:after="0"/>
        <w:ind w:left="0" w:firstLine="0"/>
        <w:rPr>
          <w:rFonts w:cs="Verdana"/>
          <w:szCs w:val="20"/>
          <w:lang w:val="es-ES"/>
        </w:rPr>
      </w:pPr>
      <w:r w:rsidRPr="001E5C95">
        <w:rPr>
          <w:rFonts w:cs="Verdana"/>
          <w:szCs w:val="20"/>
          <w:lang w:val="es-ES"/>
        </w:rPr>
        <w:t xml:space="preserve">Las notas de Secretaría de 24 de julio de 2020, mediante las cuales, con instrucciones de la Presidenta, se informó a las partes y a la Comisión </w:t>
      </w:r>
      <w:r w:rsidR="00306D9E" w:rsidRPr="001E5C95">
        <w:rPr>
          <w:rFonts w:cs="Verdana"/>
          <w:szCs w:val="20"/>
          <w:lang w:val="es-ES"/>
        </w:rPr>
        <w:t>acerca d</w:t>
      </w:r>
      <w:r w:rsidRPr="001E5C95">
        <w:rPr>
          <w:rFonts w:cs="Verdana"/>
          <w:szCs w:val="20"/>
          <w:lang w:val="es-ES"/>
        </w:rPr>
        <w:t xml:space="preserve">e la prórroga del plazo conferido en el punto resolutivo 4 de la Resolución de 30 de junio de 2020, de manera que las declaraciones indicadas en el punto resolutivo 1 de la misma Resolución deberían ser presentadas al Tribunal a más tardar el 28 de agosto de 2020, sin perjuicio de lo que </w:t>
      </w:r>
      <w:r w:rsidR="00306D9E" w:rsidRPr="001E5C95">
        <w:rPr>
          <w:rFonts w:cs="Verdana"/>
          <w:szCs w:val="20"/>
          <w:lang w:val="es-ES"/>
        </w:rPr>
        <w:t xml:space="preserve">se </w:t>
      </w:r>
      <w:r w:rsidRPr="001E5C95">
        <w:rPr>
          <w:rFonts w:cs="Verdana"/>
          <w:szCs w:val="20"/>
          <w:lang w:val="es-ES"/>
        </w:rPr>
        <w:t>decida en virtud de la solicitud de reconsideración presentada por los representantes.</w:t>
      </w:r>
    </w:p>
    <w:p w14:paraId="03D9EF43" w14:textId="1C6EB5B7" w:rsidR="001F6312" w:rsidRPr="001E5C95" w:rsidRDefault="001F6312" w:rsidP="0041649C">
      <w:pPr>
        <w:autoSpaceDE w:val="0"/>
        <w:autoSpaceDN w:val="0"/>
        <w:adjustRightInd w:val="0"/>
        <w:spacing w:after="0"/>
        <w:rPr>
          <w:rFonts w:cs="Verdana"/>
          <w:szCs w:val="20"/>
          <w:lang w:val="es-ES"/>
        </w:rPr>
      </w:pPr>
    </w:p>
    <w:p w14:paraId="5E3DE35A" w14:textId="77777777" w:rsidR="00462C24" w:rsidRPr="001E5C95" w:rsidRDefault="00462C24" w:rsidP="0041649C">
      <w:pPr>
        <w:autoSpaceDE w:val="0"/>
        <w:autoSpaceDN w:val="0"/>
        <w:adjustRightInd w:val="0"/>
        <w:spacing w:after="0"/>
        <w:rPr>
          <w:rFonts w:cs="Verdana"/>
          <w:szCs w:val="20"/>
          <w:lang w:val="es-ES"/>
        </w:rPr>
      </w:pPr>
    </w:p>
    <w:p w14:paraId="5ABC8CFE" w14:textId="77777777" w:rsidR="005F4381" w:rsidRPr="001E5C95" w:rsidRDefault="00F90477" w:rsidP="0041649C">
      <w:pPr>
        <w:spacing w:after="0"/>
        <w:rPr>
          <w:rFonts w:eastAsia="Times New Roman" w:cs="Verdana"/>
          <w:b/>
          <w:bCs/>
          <w:szCs w:val="20"/>
          <w:lang w:val="es-CL" w:eastAsia="en-US"/>
        </w:rPr>
      </w:pPr>
      <w:r w:rsidRPr="001E5C95">
        <w:rPr>
          <w:rFonts w:eastAsia="Times New Roman" w:cs="Verdana"/>
          <w:b/>
          <w:bCs/>
          <w:szCs w:val="20"/>
          <w:lang w:val="es-CL" w:eastAsia="en-US"/>
        </w:rPr>
        <w:t>CONSIDERANDO QUE:</w:t>
      </w:r>
    </w:p>
    <w:p w14:paraId="0E79DA32" w14:textId="77777777" w:rsidR="007403DD" w:rsidRPr="001E5C95" w:rsidRDefault="007403DD" w:rsidP="0041649C">
      <w:pPr>
        <w:spacing w:after="0"/>
        <w:rPr>
          <w:rFonts w:eastAsia="Times New Roman" w:cs="Verdana"/>
          <w:b/>
          <w:bCs/>
          <w:szCs w:val="20"/>
          <w:lang w:val="es-CL" w:eastAsia="en-US"/>
        </w:rPr>
      </w:pPr>
    </w:p>
    <w:p w14:paraId="468E2712" w14:textId="77777777" w:rsidR="005049CF" w:rsidRPr="001E5C95" w:rsidRDefault="001D4D49" w:rsidP="0041649C">
      <w:pPr>
        <w:numPr>
          <w:ilvl w:val="0"/>
          <w:numId w:val="3"/>
        </w:numPr>
        <w:tabs>
          <w:tab w:val="clear" w:pos="680"/>
          <w:tab w:val="num" w:pos="567"/>
        </w:tabs>
        <w:spacing w:after="0"/>
        <w:rPr>
          <w:rFonts w:cs="Verdana"/>
          <w:szCs w:val="20"/>
        </w:rPr>
      </w:pPr>
      <w:r w:rsidRPr="001E5C95">
        <w:rPr>
          <w:rFonts w:cs="Verdana"/>
          <w:szCs w:val="20"/>
        </w:rPr>
        <w:t>Las decisiones de</w:t>
      </w:r>
      <w:r w:rsidR="007A1E41" w:rsidRPr="001E5C95">
        <w:rPr>
          <w:rFonts w:cs="Verdana"/>
          <w:szCs w:val="20"/>
        </w:rPr>
        <w:t xml:space="preserve"> la</w:t>
      </w:r>
      <w:r w:rsidRPr="001E5C95">
        <w:rPr>
          <w:rFonts w:cs="Verdana"/>
          <w:szCs w:val="20"/>
        </w:rPr>
        <w:t xml:space="preserve"> Presiden</w:t>
      </w:r>
      <w:r w:rsidR="007A1E41" w:rsidRPr="001E5C95">
        <w:rPr>
          <w:rFonts w:cs="Verdana"/>
          <w:szCs w:val="20"/>
        </w:rPr>
        <w:t>cia</w:t>
      </w:r>
      <w:r w:rsidRPr="001E5C95">
        <w:rPr>
          <w:rFonts w:cs="Verdana"/>
          <w:szCs w:val="20"/>
        </w:rPr>
        <w:t>, que no sean de mero trámite, son recurribles ante la</w:t>
      </w:r>
      <w:r w:rsidR="007A1E41" w:rsidRPr="001E5C95">
        <w:rPr>
          <w:rFonts w:cs="Verdana"/>
          <w:szCs w:val="20"/>
        </w:rPr>
        <w:t xml:space="preserve"> Corte</w:t>
      </w:r>
      <w:r w:rsidRPr="001E5C95">
        <w:rPr>
          <w:rFonts w:cs="Verdana"/>
          <w:szCs w:val="20"/>
        </w:rPr>
        <w:t xml:space="preserve"> en los términos del artículo 31.2 del Reglamento</w:t>
      </w:r>
      <w:r w:rsidRPr="001E5C95">
        <w:rPr>
          <w:rFonts w:cs="Verdana"/>
          <w:szCs w:val="20"/>
          <w:lang w:val="es-CR"/>
        </w:rPr>
        <w:t>.</w:t>
      </w:r>
      <w:r w:rsidR="005049CF" w:rsidRPr="001E5C95">
        <w:rPr>
          <w:szCs w:val="20"/>
        </w:rPr>
        <w:t xml:space="preserve"> </w:t>
      </w:r>
    </w:p>
    <w:p w14:paraId="2EC19385" w14:textId="77777777" w:rsidR="005049CF" w:rsidRPr="001E5C95" w:rsidRDefault="005049CF" w:rsidP="0041649C">
      <w:pPr>
        <w:spacing w:after="0"/>
        <w:rPr>
          <w:rFonts w:cs="Verdana"/>
          <w:szCs w:val="20"/>
        </w:rPr>
      </w:pPr>
    </w:p>
    <w:p w14:paraId="4AF253A1" w14:textId="09B12335" w:rsidR="005A2A5C" w:rsidRPr="001E5C95" w:rsidRDefault="005049CF" w:rsidP="0041649C">
      <w:pPr>
        <w:numPr>
          <w:ilvl w:val="0"/>
          <w:numId w:val="3"/>
        </w:numPr>
        <w:tabs>
          <w:tab w:val="clear" w:pos="680"/>
          <w:tab w:val="num" w:pos="567"/>
        </w:tabs>
        <w:spacing w:after="0"/>
        <w:rPr>
          <w:rFonts w:cs="Verdana"/>
          <w:szCs w:val="20"/>
        </w:rPr>
      </w:pPr>
      <w:r w:rsidRPr="001E5C95">
        <w:rPr>
          <w:szCs w:val="20"/>
        </w:rPr>
        <w:t>El ofrecimiento y la admisión de la prueba, así como la citación de presuntas víctimas, testigos y peritos se encuentran regulados en los artículos 35.1.f, 40.2.c, 41.1.c, 46, 47 a 50, 52.3, 57 y 58 del Reglamento de la Corte.</w:t>
      </w:r>
    </w:p>
    <w:p w14:paraId="23D076D3" w14:textId="77777777" w:rsidR="005A2A5C" w:rsidRPr="001E5C95" w:rsidRDefault="005A2A5C" w:rsidP="0041649C">
      <w:pPr>
        <w:spacing w:after="0"/>
        <w:rPr>
          <w:rFonts w:cs="Verdana"/>
          <w:szCs w:val="20"/>
        </w:rPr>
      </w:pPr>
    </w:p>
    <w:p w14:paraId="5B1FB895" w14:textId="3AAFBB8A" w:rsidR="001D4D49" w:rsidRPr="001E5C95" w:rsidRDefault="007A1E41" w:rsidP="0041649C">
      <w:pPr>
        <w:numPr>
          <w:ilvl w:val="0"/>
          <w:numId w:val="3"/>
        </w:numPr>
        <w:tabs>
          <w:tab w:val="clear" w:pos="680"/>
          <w:tab w:val="num" w:pos="567"/>
        </w:tabs>
        <w:spacing w:after="0"/>
        <w:rPr>
          <w:rFonts w:cs="Verdana"/>
          <w:szCs w:val="20"/>
        </w:rPr>
      </w:pPr>
      <w:r w:rsidRPr="001E5C95">
        <w:rPr>
          <w:rFonts w:cs="Verdana"/>
          <w:szCs w:val="20"/>
          <w:lang w:val="es-ES"/>
        </w:rPr>
        <w:t>El Tribunal</w:t>
      </w:r>
      <w:r w:rsidR="001D4D49" w:rsidRPr="001E5C95">
        <w:rPr>
          <w:rFonts w:cs="Verdana"/>
          <w:szCs w:val="20"/>
          <w:lang w:val="es-ES"/>
        </w:rPr>
        <w:t xml:space="preserve"> tiene amplias facultades en cuanto a la admisión y a la modalidad de recepción de la prueba, de conformidad con los artículos 50, 57 y 58 del Reglamento.</w:t>
      </w:r>
    </w:p>
    <w:p w14:paraId="7F98F57A" w14:textId="77777777" w:rsidR="00C17D55" w:rsidRPr="001E5C95" w:rsidRDefault="00C17D55" w:rsidP="0041649C">
      <w:pPr>
        <w:spacing w:after="0"/>
        <w:contextualSpacing/>
        <w:rPr>
          <w:b/>
          <w:i/>
          <w:szCs w:val="20"/>
          <w:lang w:val="es-CR"/>
        </w:rPr>
      </w:pPr>
    </w:p>
    <w:p w14:paraId="397C189B" w14:textId="7E01C31B" w:rsidR="00E20844" w:rsidRPr="00E20844" w:rsidRDefault="00C17D55" w:rsidP="00E20844">
      <w:pPr>
        <w:pStyle w:val="Prrafodelista"/>
        <w:numPr>
          <w:ilvl w:val="0"/>
          <w:numId w:val="10"/>
        </w:numPr>
        <w:spacing w:after="0"/>
        <w:contextualSpacing/>
        <w:rPr>
          <w:b/>
          <w:i/>
          <w:szCs w:val="20"/>
          <w:lang w:val="es-CR"/>
        </w:rPr>
      </w:pPr>
      <w:r w:rsidRPr="00E20844">
        <w:rPr>
          <w:b/>
          <w:i/>
          <w:szCs w:val="20"/>
          <w:lang w:val="es-CR"/>
        </w:rPr>
        <w:t xml:space="preserve">Sobre la </w:t>
      </w:r>
      <w:r w:rsidR="00E20844" w:rsidRPr="00E20844">
        <w:rPr>
          <w:b/>
          <w:i/>
          <w:szCs w:val="20"/>
          <w:lang w:val="es-CR"/>
        </w:rPr>
        <w:t>solicitud relativa a</w:t>
      </w:r>
      <w:r w:rsidR="00E20844" w:rsidRPr="00E20844">
        <w:rPr>
          <w:b/>
          <w:i/>
          <w:szCs w:val="20"/>
          <w:lang w:val="es-CL"/>
        </w:rPr>
        <w:t xml:space="preserve"> que la señora Lorenza Josefina Pérez de Olivares, presunta víctima, rinda su declaración en forma oral mediante videoconferencia</w:t>
      </w:r>
    </w:p>
    <w:p w14:paraId="3D85313C" w14:textId="77777777" w:rsidR="00855F89" w:rsidRPr="001E5C95" w:rsidRDefault="00855F89" w:rsidP="0041649C">
      <w:pPr>
        <w:spacing w:after="0"/>
        <w:rPr>
          <w:rFonts w:cs="Verdana"/>
          <w:szCs w:val="20"/>
          <w:lang w:val="es-ES"/>
        </w:rPr>
      </w:pPr>
    </w:p>
    <w:p w14:paraId="033293E5" w14:textId="7C74472B" w:rsidR="00C17D55" w:rsidRPr="001E5C95" w:rsidRDefault="00855F89" w:rsidP="00E20844">
      <w:pPr>
        <w:widowControl w:val="0"/>
        <w:numPr>
          <w:ilvl w:val="0"/>
          <w:numId w:val="3"/>
        </w:numPr>
        <w:tabs>
          <w:tab w:val="clear" w:pos="680"/>
          <w:tab w:val="left" w:pos="567"/>
        </w:tabs>
        <w:autoSpaceDE w:val="0"/>
        <w:autoSpaceDN w:val="0"/>
        <w:adjustRightInd w:val="0"/>
        <w:spacing w:after="0"/>
        <w:rPr>
          <w:bCs/>
          <w:iCs/>
          <w:szCs w:val="20"/>
          <w:lang w:val="es-CR"/>
        </w:rPr>
      </w:pPr>
      <w:r w:rsidRPr="001E5C95">
        <w:rPr>
          <w:rFonts w:cs="Verdana"/>
          <w:szCs w:val="20"/>
          <w:lang w:val="es-ES"/>
        </w:rPr>
        <w:t xml:space="preserve">Los </w:t>
      </w:r>
      <w:r w:rsidRPr="001E5C95">
        <w:rPr>
          <w:rFonts w:cs="Verdana"/>
          <w:b/>
          <w:i/>
          <w:szCs w:val="20"/>
          <w:lang w:val="es-ES"/>
        </w:rPr>
        <w:t>representantes</w:t>
      </w:r>
      <w:r w:rsidRPr="001E5C95">
        <w:rPr>
          <w:rFonts w:cs="Verdana"/>
          <w:szCs w:val="20"/>
          <w:lang w:val="es-ES"/>
        </w:rPr>
        <w:t xml:space="preserve"> solicitaron la reconsideración de la Resolución de 30 de junio de 2020, en el sentido de </w:t>
      </w:r>
      <w:r w:rsidR="00E20844" w:rsidRPr="001E5C95">
        <w:rPr>
          <w:szCs w:val="20"/>
          <w:lang w:val="es-CL"/>
        </w:rPr>
        <w:t>requerir que la señora Lorenza Josefina Pérez de Olivares, presunta víctima, rinda su declaración en forma oral mediante videoconferencia</w:t>
      </w:r>
      <w:r w:rsidRPr="001E5C95">
        <w:rPr>
          <w:rFonts w:cs="Verdana"/>
          <w:szCs w:val="20"/>
          <w:lang w:val="es-ES"/>
        </w:rPr>
        <w:t xml:space="preserve">, “con el fin que sea escuchada directamente por el Tribunal o quien este designe”, en razón de que es la única víctima sobre la cual se ha ofrecido su declaración, por lo que la solicitud “es congruente con la aplicación </w:t>
      </w:r>
      <w:r w:rsidR="00232792" w:rsidRPr="001E5C95">
        <w:rPr>
          <w:rFonts w:eastAsia="Times New Roman"/>
          <w:bCs/>
          <w:szCs w:val="20"/>
        </w:rPr>
        <w:t>[del]</w:t>
      </w:r>
      <w:r w:rsidRPr="001E5C95">
        <w:rPr>
          <w:rFonts w:cs="Verdana"/>
          <w:szCs w:val="20"/>
          <w:lang w:val="es-ES"/>
        </w:rPr>
        <w:t xml:space="preserve"> principio de economía procesal”. Asimismo, señalaron que el acto de escuchar la declaración de la presunta víctima “constituye un hecho trascendental, que en sí mismo </w:t>
      </w:r>
      <w:r w:rsidRPr="001E5C95">
        <w:rPr>
          <w:rFonts w:eastAsia="Times New Roman"/>
          <w:bCs/>
          <w:szCs w:val="20"/>
        </w:rPr>
        <w:t>[la]</w:t>
      </w:r>
      <w:r w:rsidRPr="001E5C95">
        <w:rPr>
          <w:rFonts w:cs="Verdana"/>
          <w:szCs w:val="20"/>
          <w:lang w:val="es-ES"/>
        </w:rPr>
        <w:t xml:space="preserve"> dignifica”, en coherencia con la práctica sostenida por la Corte en casos anteriores.</w:t>
      </w:r>
      <w:r w:rsidR="006D7B46" w:rsidRPr="001E5C95">
        <w:rPr>
          <w:rFonts w:cs="Verdana"/>
          <w:szCs w:val="20"/>
          <w:lang w:val="es-ES"/>
        </w:rPr>
        <w:t xml:space="preserve"> </w:t>
      </w:r>
      <w:r w:rsidRPr="001E5C95">
        <w:rPr>
          <w:rFonts w:cs="Verdana"/>
          <w:szCs w:val="20"/>
          <w:lang w:val="es-ES"/>
        </w:rPr>
        <w:t xml:space="preserve">Por último, refirieron que el artículo 47 del Reglamento faculta al Tribunal para realizar, </w:t>
      </w:r>
      <w:r w:rsidRPr="001E5C95">
        <w:rPr>
          <w:bCs/>
          <w:iCs/>
          <w:szCs w:val="20"/>
          <w:lang w:val="es-CR"/>
        </w:rPr>
        <w:t>en cualquier estado de la causa, las diligencias que juzgue pertinentes para mejor resolver, norma que “puede ser usada de forma análoga a la presente situación”.</w:t>
      </w:r>
    </w:p>
    <w:p w14:paraId="35480936" w14:textId="77777777" w:rsidR="00855F89" w:rsidRPr="001E5C95" w:rsidRDefault="00855F89" w:rsidP="0041649C">
      <w:pPr>
        <w:widowControl w:val="0"/>
        <w:autoSpaceDE w:val="0"/>
        <w:autoSpaceDN w:val="0"/>
        <w:adjustRightInd w:val="0"/>
        <w:spacing w:after="0"/>
        <w:rPr>
          <w:bCs/>
          <w:iCs/>
          <w:szCs w:val="20"/>
          <w:lang w:val="es-CR"/>
        </w:rPr>
      </w:pPr>
    </w:p>
    <w:p w14:paraId="244E321C" w14:textId="220E0111" w:rsidR="00B30E35" w:rsidRPr="001E5C95" w:rsidRDefault="00855F89" w:rsidP="0041649C">
      <w:pPr>
        <w:numPr>
          <w:ilvl w:val="0"/>
          <w:numId w:val="3"/>
        </w:numPr>
        <w:tabs>
          <w:tab w:val="clear" w:pos="680"/>
          <w:tab w:val="num" w:pos="567"/>
        </w:tabs>
        <w:spacing w:after="0"/>
        <w:rPr>
          <w:rFonts w:cs="Verdana"/>
          <w:szCs w:val="20"/>
          <w:lang w:val="es-ES"/>
        </w:rPr>
      </w:pPr>
      <w:r w:rsidRPr="001E5C95">
        <w:rPr>
          <w:rFonts w:cs="Verdana"/>
          <w:szCs w:val="20"/>
          <w:lang w:val="es-ES"/>
        </w:rPr>
        <w:t>El</w:t>
      </w:r>
      <w:r w:rsidRPr="001E5C95">
        <w:rPr>
          <w:rFonts w:cs="Verdana"/>
          <w:i/>
          <w:szCs w:val="20"/>
          <w:lang w:val="es-ES"/>
        </w:rPr>
        <w:t xml:space="preserve"> </w:t>
      </w:r>
      <w:r w:rsidRPr="001E5C95">
        <w:rPr>
          <w:rFonts w:cs="Verdana"/>
          <w:b/>
          <w:i/>
          <w:szCs w:val="20"/>
          <w:lang w:val="es-ES"/>
        </w:rPr>
        <w:t>Estado</w:t>
      </w:r>
      <w:r w:rsidRPr="001E5C95">
        <w:rPr>
          <w:rFonts w:cs="Verdana"/>
          <w:b/>
          <w:szCs w:val="20"/>
          <w:lang w:val="es-ES"/>
        </w:rPr>
        <w:t xml:space="preserve"> </w:t>
      </w:r>
      <w:r w:rsidRPr="001E5C95">
        <w:rPr>
          <w:rFonts w:cs="Verdana"/>
          <w:szCs w:val="20"/>
          <w:lang w:val="es-ES"/>
        </w:rPr>
        <w:t xml:space="preserve">se opuso a la solicitud, para lo cual argumentó que el Reglamento, en los artículos 46.1 y 50 “define con claridad las únicas dos modalidades aceptadas para la recepción de declaraciones de testigos, peritos y otros declarantes, a saber: (i) </w:t>
      </w:r>
      <w:r w:rsidRPr="001E5C95">
        <w:rPr>
          <w:rFonts w:cs="Verdana"/>
          <w:i/>
          <w:szCs w:val="20"/>
          <w:lang w:val="es-ES"/>
        </w:rPr>
        <w:t>affid</w:t>
      </w:r>
      <w:r w:rsidR="00232792" w:rsidRPr="001E5C95">
        <w:rPr>
          <w:rFonts w:cs="Verdana"/>
          <w:i/>
          <w:szCs w:val="20"/>
          <w:lang w:val="es-ES"/>
        </w:rPr>
        <w:t>á</w:t>
      </w:r>
      <w:r w:rsidRPr="001E5C95">
        <w:rPr>
          <w:rFonts w:cs="Verdana"/>
          <w:i/>
          <w:szCs w:val="20"/>
          <w:lang w:val="es-ES"/>
        </w:rPr>
        <w:t>vit</w:t>
      </w:r>
      <w:r w:rsidRPr="001E5C95">
        <w:rPr>
          <w:rFonts w:cs="Verdana"/>
          <w:szCs w:val="20"/>
          <w:lang w:val="es-ES"/>
        </w:rPr>
        <w:t xml:space="preserve"> o (ii) en audiencia pública</w:t>
      </w:r>
      <w:r w:rsidR="00B30E35" w:rsidRPr="001E5C95">
        <w:rPr>
          <w:rFonts w:cs="Verdana"/>
          <w:szCs w:val="20"/>
          <w:lang w:val="es-ES"/>
        </w:rPr>
        <w:t xml:space="preserve">”. </w:t>
      </w:r>
      <w:r w:rsidR="00B30E35" w:rsidRPr="001E5C95">
        <w:rPr>
          <w:rFonts w:eastAsia="Times New Roman"/>
          <w:bCs/>
          <w:szCs w:val="20"/>
        </w:rPr>
        <w:t>Señaló que el artículo 51.11 del citado Reglamento autoriza la recepción de declaraciones “</w:t>
      </w:r>
      <w:r w:rsidR="00B30E35" w:rsidRPr="001E5C95">
        <w:rPr>
          <w:rFonts w:cs="Verdana"/>
          <w:szCs w:val="20"/>
          <w:lang w:val="es-ES"/>
        </w:rPr>
        <w:t xml:space="preserve">haciendo uso de medios electrónicos audiovisuales en audiencias físicamente realizadas en la sede del Tribunal o en otro lugar definido por la Corte”, por lo que no existe disposición reglamentaria alguna que faculte al Tribunal para la realización de audiencias virtuales en casos contenciosos. En virtud de lo anterior, consideró “improcedente y </w:t>
      </w:r>
      <w:proofErr w:type="spellStart"/>
      <w:r w:rsidR="00B30E35" w:rsidRPr="001E5C95">
        <w:rPr>
          <w:rFonts w:cs="Verdana"/>
          <w:szCs w:val="20"/>
          <w:lang w:val="es-ES"/>
        </w:rPr>
        <w:t>contrari</w:t>
      </w:r>
      <w:proofErr w:type="spellEnd"/>
      <w:r w:rsidR="005A2A5C" w:rsidRPr="001E5C95">
        <w:rPr>
          <w:rFonts w:eastAsia="Times New Roman"/>
          <w:bCs/>
          <w:szCs w:val="20"/>
        </w:rPr>
        <w:t>[a]</w:t>
      </w:r>
      <w:r w:rsidR="00B30E35" w:rsidRPr="001E5C95">
        <w:rPr>
          <w:rFonts w:cs="Verdana"/>
          <w:szCs w:val="20"/>
          <w:lang w:val="es-ES"/>
        </w:rPr>
        <w:t xml:space="preserve"> a derecho</w:t>
      </w:r>
      <w:r w:rsidR="005A2A5C" w:rsidRPr="001E5C95">
        <w:rPr>
          <w:rFonts w:cs="Verdana"/>
          <w:szCs w:val="20"/>
          <w:lang w:val="es-ES"/>
        </w:rPr>
        <w:t>” la solicitud de los representantes.</w:t>
      </w:r>
    </w:p>
    <w:p w14:paraId="66E528BF" w14:textId="77777777" w:rsidR="00B30E35" w:rsidRPr="001E5C95" w:rsidRDefault="00B30E35" w:rsidP="0041649C">
      <w:pPr>
        <w:pStyle w:val="Prrafodelista"/>
        <w:spacing w:after="0"/>
        <w:ind w:left="0"/>
        <w:rPr>
          <w:rFonts w:cs="Verdana"/>
          <w:szCs w:val="20"/>
          <w:lang w:val="es-ES"/>
        </w:rPr>
      </w:pPr>
    </w:p>
    <w:p w14:paraId="794387C2" w14:textId="0E4BBF6C" w:rsidR="00A86B3C" w:rsidRPr="001E5C95" w:rsidRDefault="005A2A5C" w:rsidP="0041649C">
      <w:pPr>
        <w:numPr>
          <w:ilvl w:val="0"/>
          <w:numId w:val="3"/>
        </w:numPr>
        <w:tabs>
          <w:tab w:val="clear" w:pos="680"/>
          <w:tab w:val="num" w:pos="567"/>
        </w:tabs>
        <w:spacing w:after="0"/>
        <w:rPr>
          <w:rFonts w:cs="Verdana"/>
          <w:szCs w:val="20"/>
          <w:lang w:val="es-ES"/>
        </w:rPr>
      </w:pPr>
      <w:r w:rsidRPr="001E5C95">
        <w:rPr>
          <w:rFonts w:cs="Verdana"/>
          <w:szCs w:val="20"/>
          <w:lang w:val="es-ES"/>
        </w:rPr>
        <w:t xml:space="preserve">La </w:t>
      </w:r>
      <w:r w:rsidRPr="001E5C95">
        <w:rPr>
          <w:rFonts w:cs="Verdana"/>
          <w:b/>
          <w:i/>
          <w:szCs w:val="20"/>
          <w:lang w:val="es-ES"/>
        </w:rPr>
        <w:t>Comisión</w:t>
      </w:r>
      <w:r w:rsidRPr="001E5C95">
        <w:rPr>
          <w:rFonts w:cs="Verdana"/>
          <w:szCs w:val="20"/>
          <w:lang w:val="es-ES"/>
        </w:rPr>
        <w:t xml:space="preserve"> señaló </w:t>
      </w:r>
      <w:r w:rsidR="00324D84" w:rsidRPr="001E5C95">
        <w:rPr>
          <w:rFonts w:cs="Verdana"/>
          <w:szCs w:val="20"/>
          <w:lang w:val="es-ES"/>
        </w:rPr>
        <w:t xml:space="preserve">que </w:t>
      </w:r>
      <w:r w:rsidRPr="001E5C95">
        <w:rPr>
          <w:rFonts w:cs="Verdana"/>
          <w:szCs w:val="20"/>
          <w:lang w:val="es-ES"/>
        </w:rPr>
        <w:t xml:space="preserve">valora que la presunta víctima pueda ser escuchada directamente </w:t>
      </w:r>
      <w:r w:rsidR="00A86B3C" w:rsidRPr="001E5C95">
        <w:rPr>
          <w:rFonts w:cs="Verdana"/>
          <w:szCs w:val="20"/>
          <w:lang w:val="es-ES"/>
        </w:rPr>
        <w:t xml:space="preserve">por la Corte, “dado el carácter reparador que </w:t>
      </w:r>
      <w:r w:rsidR="00A86B3C" w:rsidRPr="001E5C95">
        <w:rPr>
          <w:rFonts w:eastAsia="Times New Roman"/>
          <w:bCs/>
          <w:szCs w:val="20"/>
        </w:rPr>
        <w:t>[…]</w:t>
      </w:r>
      <w:r w:rsidR="00A86B3C" w:rsidRPr="001E5C95">
        <w:rPr>
          <w:rFonts w:cs="Verdana"/>
          <w:szCs w:val="20"/>
          <w:lang w:val="es-ES"/>
        </w:rPr>
        <w:t xml:space="preserve"> tiene para las víctimas y familiares de graves violaciones a los derechos humanos comparecer presencialmente”. </w:t>
      </w:r>
      <w:r w:rsidR="00A86B3C" w:rsidRPr="00E20844">
        <w:rPr>
          <w:rFonts w:cs="Verdana"/>
          <w:szCs w:val="20"/>
          <w:lang w:val="es-ES"/>
        </w:rPr>
        <w:t>Refirió que</w:t>
      </w:r>
      <w:r w:rsidR="002F79F2" w:rsidRPr="00E20844">
        <w:rPr>
          <w:rFonts w:cs="Verdana"/>
          <w:szCs w:val="20"/>
          <w:lang w:val="es-ES"/>
        </w:rPr>
        <w:t>,</w:t>
      </w:r>
      <w:r w:rsidR="00A86B3C" w:rsidRPr="00E20844">
        <w:rPr>
          <w:rFonts w:cs="Verdana"/>
          <w:szCs w:val="20"/>
          <w:lang w:val="es-ES"/>
        </w:rPr>
        <w:t xml:space="preserve"> </w:t>
      </w:r>
      <w:r w:rsidR="00E20844" w:rsidRPr="00E20844">
        <w:rPr>
          <w:rFonts w:cs="Verdana"/>
          <w:szCs w:val="20"/>
          <w:lang w:val="es-ES"/>
        </w:rPr>
        <w:t xml:space="preserve">en caso de </w:t>
      </w:r>
      <w:r w:rsidR="00E20844">
        <w:rPr>
          <w:rFonts w:cs="Verdana"/>
          <w:szCs w:val="20"/>
          <w:lang w:val="es-ES"/>
        </w:rPr>
        <w:t>recibirse la declaración por videoconferencia</w:t>
      </w:r>
      <w:r w:rsidR="00A86B3C" w:rsidRPr="00E20844">
        <w:rPr>
          <w:rFonts w:cs="Verdana"/>
          <w:szCs w:val="20"/>
          <w:lang w:val="es-ES"/>
        </w:rPr>
        <w:t>, el Estado tendría la oportunidad de interrogar</w:t>
      </w:r>
      <w:r w:rsidR="00A86B3C" w:rsidRPr="001E5C95">
        <w:rPr>
          <w:rFonts w:cs="Verdana"/>
          <w:szCs w:val="20"/>
          <w:lang w:val="es-ES"/>
        </w:rPr>
        <w:t xml:space="preserve"> a la </w:t>
      </w:r>
      <w:r w:rsidR="005049CF" w:rsidRPr="001E5C95">
        <w:rPr>
          <w:rFonts w:cs="Verdana"/>
          <w:szCs w:val="20"/>
          <w:lang w:val="es-ES"/>
        </w:rPr>
        <w:t>declarante</w:t>
      </w:r>
      <w:r w:rsidR="00A86B3C" w:rsidRPr="001E5C95">
        <w:rPr>
          <w:rFonts w:cs="Verdana"/>
          <w:szCs w:val="20"/>
          <w:lang w:val="es-ES"/>
        </w:rPr>
        <w:t>, por lo que no resulta afectado en modo alguno su derecho de defensa y el principio de contradicción en la recepción de pruebas. Concluyó señalando que “</w:t>
      </w:r>
      <w:r w:rsidRPr="001E5C95">
        <w:rPr>
          <w:rFonts w:cs="Verdana"/>
          <w:szCs w:val="20"/>
          <w:lang w:val="es-ES"/>
        </w:rPr>
        <w:t>no advierte obstáculo para que la solicitud de los representantes pueda ser considerada procedente</w:t>
      </w:r>
      <w:r w:rsidR="00A86B3C" w:rsidRPr="001E5C95">
        <w:rPr>
          <w:rFonts w:cs="Verdana"/>
          <w:szCs w:val="20"/>
          <w:lang w:val="es-ES"/>
        </w:rPr>
        <w:t>”.</w:t>
      </w:r>
    </w:p>
    <w:p w14:paraId="2EBC0F38" w14:textId="77777777" w:rsidR="00A86B3C" w:rsidRPr="001E5C95" w:rsidRDefault="00A86B3C" w:rsidP="0041649C">
      <w:pPr>
        <w:pStyle w:val="Prrafodelista"/>
        <w:spacing w:after="0"/>
        <w:ind w:left="0"/>
        <w:rPr>
          <w:rFonts w:cs="Verdana"/>
          <w:szCs w:val="20"/>
          <w:lang w:val="es-ES"/>
        </w:rPr>
      </w:pPr>
    </w:p>
    <w:p w14:paraId="4928CFD8" w14:textId="16AE5450" w:rsidR="00306D9E" w:rsidRPr="001E5C95" w:rsidRDefault="00E20844" w:rsidP="0041649C">
      <w:pPr>
        <w:numPr>
          <w:ilvl w:val="0"/>
          <w:numId w:val="3"/>
        </w:numPr>
        <w:tabs>
          <w:tab w:val="clear" w:pos="680"/>
          <w:tab w:val="num" w:pos="567"/>
        </w:tabs>
        <w:spacing w:after="0"/>
        <w:rPr>
          <w:rFonts w:cs="Verdana"/>
          <w:szCs w:val="20"/>
          <w:lang w:val="es-ES"/>
        </w:rPr>
      </w:pPr>
      <w:r>
        <w:rPr>
          <w:rFonts w:cs="Verdana"/>
          <w:szCs w:val="20"/>
          <w:lang w:val="es-ES"/>
        </w:rPr>
        <w:t>Al respecto, l</w:t>
      </w:r>
      <w:r w:rsidR="004C7951" w:rsidRPr="001E5C95">
        <w:rPr>
          <w:rFonts w:cs="Verdana"/>
          <w:szCs w:val="20"/>
          <w:lang w:val="es-ES"/>
        </w:rPr>
        <w:t>a Corte recuerda que</w:t>
      </w:r>
      <w:r w:rsidR="007B1EBD" w:rsidRPr="001E5C95">
        <w:rPr>
          <w:rFonts w:cs="Verdana"/>
          <w:szCs w:val="20"/>
          <w:lang w:val="es-ES"/>
        </w:rPr>
        <w:t>,</w:t>
      </w:r>
      <w:r w:rsidR="004C7951" w:rsidRPr="001E5C95">
        <w:rPr>
          <w:rFonts w:cs="Verdana"/>
          <w:szCs w:val="20"/>
          <w:lang w:val="es-ES"/>
        </w:rPr>
        <w:t xml:space="preserve"> en la Resolución de 30 de junio de 2020</w:t>
      </w:r>
      <w:r w:rsidR="00306D9E" w:rsidRPr="001E5C95">
        <w:rPr>
          <w:rFonts w:cs="Verdana"/>
          <w:szCs w:val="20"/>
          <w:lang w:val="es-ES"/>
        </w:rPr>
        <w:t>, la Presidenta</w:t>
      </w:r>
      <w:r w:rsidR="004C7951" w:rsidRPr="001E5C95">
        <w:rPr>
          <w:rFonts w:cs="Verdana"/>
          <w:szCs w:val="20"/>
          <w:lang w:val="es-ES"/>
        </w:rPr>
        <w:t xml:space="preserve"> </w:t>
      </w:r>
      <w:r w:rsidR="004C7951" w:rsidRPr="001E5C95">
        <w:rPr>
          <w:szCs w:val="20"/>
        </w:rPr>
        <w:t xml:space="preserve">dispuso “modificar la modalidad de las declaraciones admitidas en la Resolución de 21 de febrero de 2020 para ser recibidas en audiencia pública”, las que serían rendidas, “en la medida de lo posible, ante </w:t>
      </w:r>
      <w:r w:rsidR="004C7951" w:rsidRPr="001E5C95">
        <w:rPr>
          <w:rFonts w:eastAsia="Times New Roman"/>
          <w:szCs w:val="20"/>
        </w:rPr>
        <w:t>fedatario público (</w:t>
      </w:r>
      <w:r w:rsidR="004C7951" w:rsidRPr="001E5C95">
        <w:rPr>
          <w:rFonts w:eastAsia="Times New Roman"/>
          <w:i/>
          <w:szCs w:val="20"/>
        </w:rPr>
        <w:t>affidávit</w:t>
      </w:r>
      <w:r w:rsidR="004C7951" w:rsidRPr="001E5C95">
        <w:rPr>
          <w:rFonts w:eastAsia="Times New Roman"/>
          <w:szCs w:val="20"/>
        </w:rPr>
        <w:t>)”</w:t>
      </w:r>
      <w:r w:rsidR="004C7951" w:rsidRPr="001E5C95">
        <w:rPr>
          <w:rFonts w:cs="Verdana"/>
          <w:szCs w:val="20"/>
          <w:lang w:val="es-ES"/>
        </w:rPr>
        <w:t>.</w:t>
      </w:r>
    </w:p>
    <w:p w14:paraId="3DBA7786" w14:textId="77777777" w:rsidR="00306D9E" w:rsidRPr="001E5C95" w:rsidRDefault="00306D9E" w:rsidP="0041649C">
      <w:pPr>
        <w:pStyle w:val="Prrafodelista"/>
        <w:spacing w:after="0"/>
        <w:ind w:left="0"/>
        <w:rPr>
          <w:rFonts w:cs="Verdana"/>
          <w:szCs w:val="20"/>
          <w:lang w:val="es-ES"/>
        </w:rPr>
      </w:pPr>
    </w:p>
    <w:p w14:paraId="7BDFAB45" w14:textId="29F32385" w:rsidR="004F5F5A" w:rsidRPr="001E5C95" w:rsidRDefault="004C7951" w:rsidP="0041649C">
      <w:pPr>
        <w:numPr>
          <w:ilvl w:val="0"/>
          <w:numId w:val="3"/>
        </w:numPr>
        <w:tabs>
          <w:tab w:val="clear" w:pos="680"/>
          <w:tab w:val="num" w:pos="567"/>
        </w:tabs>
        <w:spacing w:after="0"/>
        <w:rPr>
          <w:rFonts w:cs="Verdana"/>
          <w:szCs w:val="20"/>
          <w:lang w:val="es-ES"/>
        </w:rPr>
      </w:pPr>
      <w:r w:rsidRPr="001E5C95">
        <w:rPr>
          <w:rFonts w:cs="Verdana"/>
          <w:szCs w:val="20"/>
          <w:lang w:val="es-ES"/>
        </w:rPr>
        <w:t xml:space="preserve">Los representantes, en su solicitud de reconsideración, no han cuestionado la determinación de la Presidenta, adoptada en consulta con el Pleno de la Corte, de </w:t>
      </w:r>
      <w:r w:rsidR="00306D9E" w:rsidRPr="001E5C95">
        <w:rPr>
          <w:szCs w:val="20"/>
        </w:rPr>
        <w:t xml:space="preserve">proseguir el trámite del presente caso prescindiendo de la audiencia pública inicialmente convocada, </w:t>
      </w:r>
      <w:r w:rsidRPr="001E5C95">
        <w:rPr>
          <w:rFonts w:cs="Verdana"/>
          <w:szCs w:val="20"/>
          <w:lang w:val="es-ES"/>
        </w:rPr>
        <w:t xml:space="preserve">sino que han requerido que una </w:t>
      </w:r>
      <w:r w:rsidR="00306D9E" w:rsidRPr="001E5C95">
        <w:rPr>
          <w:rFonts w:cs="Verdana"/>
          <w:szCs w:val="20"/>
          <w:lang w:val="es-ES"/>
        </w:rPr>
        <w:t xml:space="preserve">de las </w:t>
      </w:r>
      <w:r w:rsidRPr="001E5C95">
        <w:rPr>
          <w:rFonts w:cs="Verdana"/>
          <w:szCs w:val="20"/>
          <w:lang w:val="es-ES"/>
        </w:rPr>
        <w:t>presunta</w:t>
      </w:r>
      <w:r w:rsidR="00306D9E" w:rsidRPr="001E5C95">
        <w:rPr>
          <w:rFonts w:cs="Verdana"/>
          <w:szCs w:val="20"/>
          <w:lang w:val="es-ES"/>
        </w:rPr>
        <w:t>s</w:t>
      </w:r>
      <w:r w:rsidRPr="001E5C95">
        <w:rPr>
          <w:rFonts w:cs="Verdana"/>
          <w:szCs w:val="20"/>
          <w:lang w:val="es-ES"/>
        </w:rPr>
        <w:t xml:space="preserve"> víctima</w:t>
      </w:r>
      <w:r w:rsidR="00306D9E" w:rsidRPr="001E5C95">
        <w:rPr>
          <w:rFonts w:cs="Verdana"/>
          <w:szCs w:val="20"/>
          <w:lang w:val="es-ES"/>
        </w:rPr>
        <w:t>s</w:t>
      </w:r>
      <w:r w:rsidRPr="001E5C95">
        <w:rPr>
          <w:rFonts w:cs="Verdana"/>
          <w:szCs w:val="20"/>
          <w:lang w:val="es-ES"/>
        </w:rPr>
        <w:t xml:space="preserve"> brinde su declaración</w:t>
      </w:r>
      <w:r w:rsidR="007B1EBD" w:rsidRPr="001E5C95">
        <w:rPr>
          <w:rFonts w:cs="Verdana"/>
          <w:szCs w:val="20"/>
          <w:lang w:val="es-ES"/>
        </w:rPr>
        <w:t>,</w:t>
      </w:r>
      <w:r w:rsidRPr="001E5C95">
        <w:rPr>
          <w:rFonts w:cs="Verdana"/>
          <w:szCs w:val="20"/>
          <w:lang w:val="es-ES"/>
        </w:rPr>
        <w:t xml:space="preserve"> </w:t>
      </w:r>
      <w:r w:rsidR="007B1EBD" w:rsidRPr="001E5C95">
        <w:rPr>
          <w:rFonts w:cs="Verdana"/>
          <w:szCs w:val="20"/>
          <w:lang w:val="es-ES"/>
        </w:rPr>
        <w:t xml:space="preserve">ya no </w:t>
      </w:r>
      <w:r w:rsidRPr="001E5C95">
        <w:rPr>
          <w:rFonts w:cs="Verdana"/>
          <w:szCs w:val="20"/>
          <w:lang w:val="es-ES"/>
        </w:rPr>
        <w:t xml:space="preserve">por escrito como fue ordenado en </w:t>
      </w:r>
      <w:r w:rsidR="00306D9E" w:rsidRPr="001E5C95">
        <w:rPr>
          <w:rFonts w:cs="Verdana"/>
          <w:szCs w:val="20"/>
          <w:lang w:val="es-ES"/>
        </w:rPr>
        <w:t>dicha</w:t>
      </w:r>
      <w:r w:rsidRPr="001E5C95">
        <w:rPr>
          <w:rFonts w:cs="Verdana"/>
          <w:szCs w:val="20"/>
          <w:lang w:val="es-ES"/>
        </w:rPr>
        <w:t xml:space="preserve"> Resolución, </w:t>
      </w:r>
      <w:r w:rsidR="00306D9E" w:rsidRPr="001E5C95">
        <w:rPr>
          <w:rFonts w:cs="Verdana"/>
          <w:szCs w:val="20"/>
          <w:lang w:val="es-ES"/>
        </w:rPr>
        <w:t>sino</w:t>
      </w:r>
      <w:r w:rsidRPr="001E5C95">
        <w:rPr>
          <w:rFonts w:cs="Verdana"/>
          <w:szCs w:val="20"/>
          <w:lang w:val="es-ES"/>
        </w:rPr>
        <w:t xml:space="preserve"> que lo haga en forma oral, en una diligencia específica que se realizaría </w:t>
      </w:r>
      <w:r w:rsidR="00306D9E" w:rsidRPr="001E5C95">
        <w:rPr>
          <w:rFonts w:cs="Verdana"/>
          <w:szCs w:val="20"/>
          <w:lang w:val="es-ES"/>
        </w:rPr>
        <w:t>por medio de</w:t>
      </w:r>
      <w:r w:rsidRPr="001E5C95">
        <w:rPr>
          <w:rFonts w:cs="Verdana"/>
          <w:szCs w:val="20"/>
          <w:lang w:val="es-ES"/>
        </w:rPr>
        <w:t xml:space="preserve"> videoconferencia. </w:t>
      </w:r>
    </w:p>
    <w:p w14:paraId="7245448B" w14:textId="77777777" w:rsidR="00E20844" w:rsidRPr="00313055" w:rsidRDefault="00E20844" w:rsidP="00E20844">
      <w:pPr>
        <w:pStyle w:val="Prrafodelista"/>
        <w:rPr>
          <w:rFonts w:cs="Verdana"/>
          <w:strike/>
          <w:szCs w:val="20"/>
          <w:highlight w:val="green"/>
          <w:lang w:val="es-ES"/>
        </w:rPr>
      </w:pPr>
    </w:p>
    <w:p w14:paraId="0AFBA4F5" w14:textId="6F357AA2" w:rsidR="00680B17" w:rsidRPr="00016165" w:rsidRDefault="00313055" w:rsidP="00E20844">
      <w:pPr>
        <w:numPr>
          <w:ilvl w:val="0"/>
          <w:numId w:val="3"/>
        </w:numPr>
        <w:tabs>
          <w:tab w:val="clear" w:pos="680"/>
          <w:tab w:val="num" w:pos="567"/>
        </w:tabs>
        <w:spacing w:after="0"/>
        <w:ind w:right="18"/>
        <w:rPr>
          <w:rFonts w:cs="Verdana"/>
          <w:szCs w:val="20"/>
          <w:lang w:val="es-ES"/>
        </w:rPr>
      </w:pPr>
      <w:r w:rsidRPr="00016165">
        <w:rPr>
          <w:rFonts w:cs="Verdana"/>
          <w:szCs w:val="20"/>
          <w:lang w:val="es-ES"/>
        </w:rPr>
        <w:t>Ante ello</w:t>
      </w:r>
      <w:r w:rsidR="00E20844" w:rsidRPr="00016165">
        <w:rPr>
          <w:rFonts w:cs="Verdana"/>
          <w:szCs w:val="20"/>
          <w:lang w:val="es-ES"/>
        </w:rPr>
        <w:t xml:space="preserve">, la Corte </w:t>
      </w:r>
      <w:r w:rsidRPr="00016165">
        <w:rPr>
          <w:rFonts w:cs="Verdana"/>
          <w:szCs w:val="20"/>
          <w:lang w:val="es-ES"/>
        </w:rPr>
        <w:t>advierte</w:t>
      </w:r>
      <w:r w:rsidR="00E20844" w:rsidRPr="00016165">
        <w:rPr>
          <w:rFonts w:cs="Verdana"/>
          <w:szCs w:val="20"/>
          <w:lang w:val="es-ES"/>
        </w:rPr>
        <w:t xml:space="preserve"> que las disposiciones contenidas en el Reglamento le confieren amplias facultades para disponer diligencias de prueba</w:t>
      </w:r>
      <w:r w:rsidRPr="00016165">
        <w:rPr>
          <w:rFonts w:cs="Verdana"/>
          <w:szCs w:val="20"/>
          <w:lang w:val="es-ES"/>
        </w:rPr>
        <w:t>, como lo ponen de manifiesto los artículos 50, 57 y 58, antes citados.</w:t>
      </w:r>
      <w:r w:rsidR="00E20844" w:rsidRPr="00016165">
        <w:rPr>
          <w:rFonts w:cs="Verdana"/>
          <w:szCs w:val="20"/>
          <w:lang w:val="es-ES"/>
        </w:rPr>
        <w:t xml:space="preserve"> </w:t>
      </w:r>
      <w:r w:rsidR="00680B17" w:rsidRPr="00016165">
        <w:rPr>
          <w:rFonts w:eastAsia="Verdana"/>
          <w:szCs w:val="20"/>
          <w:lang w:val="es-PE"/>
        </w:rPr>
        <w:t>Así, el artículo 58 del Reglamento, en su inciso a., establece que, “[e]n cualquier estado de la causa la Corte podrá […p]</w:t>
      </w:r>
      <w:proofErr w:type="spellStart"/>
      <w:r w:rsidR="00680B17" w:rsidRPr="00016165">
        <w:rPr>
          <w:rFonts w:eastAsia="Verdana"/>
          <w:szCs w:val="20"/>
          <w:lang w:val="es-PE"/>
        </w:rPr>
        <w:t>rocurar</w:t>
      </w:r>
      <w:proofErr w:type="spellEnd"/>
      <w:r w:rsidR="00680B17" w:rsidRPr="00016165">
        <w:rPr>
          <w:rFonts w:eastAsia="Verdana"/>
          <w:szCs w:val="20"/>
          <w:lang w:val="es-PE"/>
        </w:rPr>
        <w:t xml:space="preserve"> de oficio toda prueba que considere útil y necesaria. En particular, podrá oír en calidad de presunta víctima, testigo, perito o por otro título, a cualquier persona cuya declaración, testimonio, u opinión estime pertinente”. Por su parte, los incisos d. y e. de esa misma disposición reglamentaria autorizan al Tribunal a “[c]</w:t>
      </w:r>
      <w:proofErr w:type="spellStart"/>
      <w:r w:rsidR="00680B17" w:rsidRPr="00016165">
        <w:rPr>
          <w:rFonts w:eastAsia="Verdana"/>
          <w:szCs w:val="20"/>
          <w:lang w:val="es-PE"/>
        </w:rPr>
        <w:t>omisionar</w:t>
      </w:r>
      <w:proofErr w:type="spellEnd"/>
      <w:r w:rsidR="00680B17" w:rsidRPr="00016165">
        <w:rPr>
          <w:rFonts w:eastAsia="Verdana"/>
          <w:szCs w:val="20"/>
          <w:lang w:val="es-PE"/>
        </w:rPr>
        <w:t xml:space="preserve"> a uno o varios de sus miembros para que realicen cualquier medida de instrucción, incluyendo audiencias, ya sea en la sede de la Corte o fuera de esta”, y, “[e]n el caso de que sea imposible proceder en los términos del inciso anterior, […] comisionar a la Secretaría para que lleve a cabo las medidas de instrucción que se requieran”</w:t>
      </w:r>
      <w:r w:rsidR="00680B17" w:rsidRPr="00016165">
        <w:rPr>
          <w:rStyle w:val="Refdenotaalpie"/>
          <w:rFonts w:eastAsia="Verdana"/>
          <w:szCs w:val="20"/>
          <w:lang w:val="es-PE"/>
        </w:rPr>
        <w:footnoteReference w:id="4"/>
      </w:r>
      <w:r w:rsidR="00680B17" w:rsidRPr="00016165">
        <w:rPr>
          <w:rFonts w:eastAsia="Verdana"/>
          <w:szCs w:val="20"/>
          <w:lang w:val="es-PE"/>
        </w:rPr>
        <w:t>.</w:t>
      </w:r>
    </w:p>
    <w:p w14:paraId="3F100DA7" w14:textId="77777777" w:rsidR="00680B17" w:rsidRPr="00016165" w:rsidRDefault="00680B17" w:rsidP="00680B17">
      <w:pPr>
        <w:spacing w:after="0"/>
        <w:ind w:right="18"/>
        <w:rPr>
          <w:rFonts w:cs="Verdana"/>
          <w:szCs w:val="20"/>
          <w:lang w:val="es-ES"/>
        </w:rPr>
      </w:pPr>
    </w:p>
    <w:p w14:paraId="567E9229" w14:textId="450B001D" w:rsidR="00E20844" w:rsidRPr="00016165" w:rsidRDefault="00680B17" w:rsidP="00E20844">
      <w:pPr>
        <w:numPr>
          <w:ilvl w:val="0"/>
          <w:numId w:val="3"/>
        </w:numPr>
        <w:tabs>
          <w:tab w:val="clear" w:pos="680"/>
          <w:tab w:val="num" w:pos="567"/>
        </w:tabs>
        <w:spacing w:after="0"/>
        <w:ind w:right="18"/>
        <w:rPr>
          <w:rFonts w:cs="Verdana"/>
          <w:szCs w:val="20"/>
          <w:lang w:val="es-ES"/>
        </w:rPr>
      </w:pPr>
      <w:r w:rsidRPr="00016165">
        <w:rPr>
          <w:rFonts w:cs="Verdana"/>
          <w:szCs w:val="20"/>
          <w:lang w:val="es-ES"/>
        </w:rPr>
        <w:t>En cualquier caso,</w:t>
      </w:r>
      <w:r w:rsidR="00E20844" w:rsidRPr="00016165">
        <w:rPr>
          <w:rFonts w:cs="Verdana"/>
          <w:szCs w:val="20"/>
          <w:lang w:val="es-ES"/>
        </w:rPr>
        <w:t xml:space="preserve"> </w:t>
      </w:r>
      <w:r w:rsidR="00E20844" w:rsidRPr="00016165">
        <w:rPr>
          <w:szCs w:val="20"/>
        </w:rPr>
        <w:t xml:space="preserve">toda potestad </w:t>
      </w:r>
      <w:r w:rsidR="00806C18" w:rsidRPr="00016165">
        <w:rPr>
          <w:szCs w:val="20"/>
        </w:rPr>
        <w:t xml:space="preserve">o facultad </w:t>
      </w:r>
      <w:r w:rsidR="00E20844" w:rsidRPr="00016165">
        <w:rPr>
          <w:szCs w:val="20"/>
        </w:rPr>
        <w:t>de est</w:t>
      </w:r>
      <w:r w:rsidR="00313055" w:rsidRPr="00016165">
        <w:rPr>
          <w:szCs w:val="20"/>
        </w:rPr>
        <w:t>e</w:t>
      </w:r>
      <w:r w:rsidR="00E20844" w:rsidRPr="00016165">
        <w:rPr>
          <w:szCs w:val="20"/>
        </w:rPr>
        <w:t xml:space="preserve"> </w:t>
      </w:r>
      <w:r w:rsidR="00313055" w:rsidRPr="00016165">
        <w:rPr>
          <w:szCs w:val="20"/>
        </w:rPr>
        <w:t>Tribunal</w:t>
      </w:r>
      <w:r w:rsidR="00E20844" w:rsidRPr="00016165">
        <w:rPr>
          <w:szCs w:val="20"/>
        </w:rPr>
        <w:t xml:space="preserve"> se ejerce con pleno respeto a los principios procesales que rigen su actuación. Es así que el procedimiento garantiza el equilibrio procesal entre las partes intervinientes, otorgando a ambas la posibilidad de presentar los medios probatorios que consideren pertinentes a su pretensión. En esa línea,</w:t>
      </w:r>
      <w:r w:rsidRPr="00016165">
        <w:rPr>
          <w:szCs w:val="20"/>
        </w:rPr>
        <w:t xml:space="preserve"> la Corte</w:t>
      </w:r>
      <w:r w:rsidR="00E20844" w:rsidRPr="00016165">
        <w:rPr>
          <w:szCs w:val="20"/>
        </w:rPr>
        <w:t xml:space="preserve"> considera que lo esencial en </w:t>
      </w:r>
      <w:r w:rsidR="00313055" w:rsidRPr="00016165">
        <w:rPr>
          <w:szCs w:val="20"/>
        </w:rPr>
        <w:t>este ámbito</w:t>
      </w:r>
      <w:r w:rsidR="00E20844" w:rsidRPr="00016165">
        <w:rPr>
          <w:szCs w:val="20"/>
        </w:rPr>
        <w:t xml:space="preserve"> es que no se menoscabe o restrinja el derecho de defensa de las partes en el procedimiento</w:t>
      </w:r>
      <w:r w:rsidR="00E20844" w:rsidRPr="00016165">
        <w:rPr>
          <w:rStyle w:val="Refdenotaalpie"/>
          <w:szCs w:val="20"/>
        </w:rPr>
        <w:footnoteReference w:id="5"/>
      </w:r>
      <w:r w:rsidR="00E20844" w:rsidRPr="00016165">
        <w:rPr>
          <w:szCs w:val="20"/>
        </w:rPr>
        <w:t>.</w:t>
      </w:r>
    </w:p>
    <w:p w14:paraId="50BA0C41" w14:textId="77777777" w:rsidR="00E20844" w:rsidRPr="00016165" w:rsidRDefault="00E20844" w:rsidP="00E20844">
      <w:pPr>
        <w:pStyle w:val="Prrafodelista"/>
        <w:spacing w:after="0"/>
        <w:rPr>
          <w:rFonts w:cs="Verdana"/>
          <w:szCs w:val="20"/>
          <w:lang w:val="es-ES"/>
        </w:rPr>
      </w:pPr>
    </w:p>
    <w:p w14:paraId="20C13792" w14:textId="45F5B68E" w:rsidR="00680B17" w:rsidRPr="00016165" w:rsidRDefault="00E20844" w:rsidP="005A5252">
      <w:pPr>
        <w:numPr>
          <w:ilvl w:val="0"/>
          <w:numId w:val="3"/>
        </w:numPr>
        <w:tabs>
          <w:tab w:val="clear" w:pos="680"/>
          <w:tab w:val="num" w:pos="567"/>
        </w:tabs>
        <w:spacing w:after="0"/>
        <w:ind w:right="18"/>
        <w:rPr>
          <w:rFonts w:cs="Verdana"/>
          <w:szCs w:val="20"/>
          <w:lang w:val="es-ES"/>
        </w:rPr>
      </w:pPr>
      <w:r w:rsidRPr="00016165">
        <w:rPr>
          <w:rFonts w:cs="Verdana"/>
          <w:szCs w:val="20"/>
          <w:lang w:val="es-ES"/>
        </w:rPr>
        <w:t xml:space="preserve">De esa cuenta, a partir de una interpretación integral y sistemática de las disposiciones contenidas en el Reglamento, dirigida a hacer eficaz los fines de la jurisdicción interamericana sobre derechos humanos con plena observancia de los derechos de las partes, se concluye que no existe limitante normativa alguna que impida disponer la recepción de una declaración, sea esta testimonial, pericial o de presuntas víctimas, </w:t>
      </w:r>
      <w:r w:rsidR="00680B17" w:rsidRPr="00016165">
        <w:rPr>
          <w:rFonts w:cs="Verdana"/>
          <w:szCs w:val="20"/>
          <w:lang w:val="es-ES"/>
        </w:rPr>
        <w:t>por videoconferencia,</w:t>
      </w:r>
      <w:r w:rsidR="00806C18" w:rsidRPr="00016165">
        <w:rPr>
          <w:rFonts w:cs="Verdana"/>
          <w:szCs w:val="20"/>
          <w:lang w:val="es-ES"/>
        </w:rPr>
        <w:t xml:space="preserve"> aún en el supuesto de que se haya decidido no celebrar audiencia pública, como acontece en el presente caso</w:t>
      </w:r>
      <w:r w:rsidRPr="00016165">
        <w:rPr>
          <w:rFonts w:cs="Verdana"/>
          <w:szCs w:val="20"/>
          <w:lang w:val="es-ES"/>
        </w:rPr>
        <w:t>.</w:t>
      </w:r>
      <w:r w:rsidR="00806C18" w:rsidRPr="00016165">
        <w:rPr>
          <w:rFonts w:cs="Verdana"/>
          <w:szCs w:val="20"/>
          <w:lang w:val="es-ES"/>
        </w:rPr>
        <w:t xml:space="preserve"> En tal sentido, lo esencial es que en el desarrollo de la diligencia respectiva se garantice el contradictorio.</w:t>
      </w:r>
    </w:p>
    <w:p w14:paraId="6E9AD8F5" w14:textId="77777777" w:rsidR="00A56CDB" w:rsidRPr="00016165" w:rsidRDefault="00A56CDB" w:rsidP="0041649C">
      <w:pPr>
        <w:spacing w:after="0"/>
        <w:rPr>
          <w:rFonts w:eastAsia="Verdana"/>
          <w:szCs w:val="20"/>
          <w:lang w:val="es-PE"/>
        </w:rPr>
      </w:pPr>
    </w:p>
    <w:p w14:paraId="60F0B7E0" w14:textId="65C72F13" w:rsidR="00A56CDB" w:rsidRPr="00016165" w:rsidRDefault="00806C18" w:rsidP="0041649C">
      <w:pPr>
        <w:numPr>
          <w:ilvl w:val="0"/>
          <w:numId w:val="3"/>
        </w:numPr>
        <w:tabs>
          <w:tab w:val="clear" w:pos="680"/>
          <w:tab w:val="num" w:pos="567"/>
        </w:tabs>
        <w:spacing w:after="0"/>
        <w:rPr>
          <w:rFonts w:eastAsia="Verdana"/>
          <w:szCs w:val="20"/>
          <w:lang w:val="es-PE"/>
        </w:rPr>
      </w:pPr>
      <w:r w:rsidRPr="00016165">
        <w:rPr>
          <w:rFonts w:eastAsia="Verdana"/>
          <w:szCs w:val="20"/>
          <w:lang w:val="es-PE"/>
        </w:rPr>
        <w:t>L</w:t>
      </w:r>
      <w:r w:rsidR="00A56CDB" w:rsidRPr="00016165">
        <w:rPr>
          <w:rFonts w:eastAsia="Verdana"/>
          <w:szCs w:val="20"/>
          <w:lang w:val="es-PE"/>
        </w:rPr>
        <w:t>a Corte advierte</w:t>
      </w:r>
      <w:r w:rsidRPr="00016165">
        <w:rPr>
          <w:rFonts w:eastAsia="Verdana"/>
          <w:szCs w:val="20"/>
          <w:lang w:val="es-PE"/>
        </w:rPr>
        <w:t>, asimismo,</w:t>
      </w:r>
      <w:r w:rsidR="00A56CDB" w:rsidRPr="00016165">
        <w:rPr>
          <w:rFonts w:eastAsia="Verdana"/>
          <w:szCs w:val="20"/>
          <w:lang w:val="es-PE"/>
        </w:rPr>
        <w:t xml:space="preserve"> la importancia que tienen las declaraciones de las presuntas víctimas en los procesos que se siguen ante el Tribunal. Nota, además, que los representantes y la Comisión han expresado que cuentan con las condiciones técnicas necesarias para intervenir en una videoconferencia. </w:t>
      </w:r>
    </w:p>
    <w:p w14:paraId="0074906B" w14:textId="7BF6E8EA" w:rsidR="00A56CDB" w:rsidRPr="00016165" w:rsidRDefault="00A56CDB" w:rsidP="0041649C">
      <w:pPr>
        <w:spacing w:after="0"/>
        <w:rPr>
          <w:rFonts w:cs="Verdana"/>
          <w:szCs w:val="20"/>
          <w:lang w:val="es-ES"/>
        </w:rPr>
      </w:pPr>
    </w:p>
    <w:p w14:paraId="759B0D65" w14:textId="688B3E8B" w:rsidR="00804C08" w:rsidRPr="00B344A4" w:rsidRDefault="000B14BA" w:rsidP="0041649C">
      <w:pPr>
        <w:numPr>
          <w:ilvl w:val="0"/>
          <w:numId w:val="3"/>
        </w:numPr>
        <w:tabs>
          <w:tab w:val="clear" w:pos="680"/>
          <w:tab w:val="num" w:pos="567"/>
        </w:tabs>
        <w:spacing w:after="0"/>
        <w:rPr>
          <w:rFonts w:cs="Verdana"/>
          <w:szCs w:val="20"/>
          <w:lang w:val="es-ES"/>
        </w:rPr>
      </w:pPr>
      <w:r w:rsidRPr="00016165">
        <w:rPr>
          <w:rFonts w:cs="Verdana"/>
          <w:szCs w:val="20"/>
          <w:lang w:val="es-ES"/>
        </w:rPr>
        <w:t xml:space="preserve">Con </w:t>
      </w:r>
      <w:r w:rsidR="00466726" w:rsidRPr="00016165">
        <w:rPr>
          <w:rFonts w:cs="Verdana"/>
          <w:szCs w:val="20"/>
          <w:lang w:val="es-ES"/>
        </w:rPr>
        <w:t>base en las consideraciones anteriores</w:t>
      </w:r>
      <w:r w:rsidRPr="00016165">
        <w:rPr>
          <w:rFonts w:cs="Verdana"/>
          <w:szCs w:val="20"/>
          <w:lang w:val="es-ES"/>
        </w:rPr>
        <w:t xml:space="preserve">, y en atención a </w:t>
      </w:r>
      <w:r w:rsidR="00BD07A4" w:rsidRPr="00016165">
        <w:rPr>
          <w:rFonts w:cs="Verdana"/>
          <w:szCs w:val="20"/>
          <w:lang w:val="es-ES"/>
        </w:rPr>
        <w:t xml:space="preserve">los </w:t>
      </w:r>
      <w:r w:rsidR="0014020B" w:rsidRPr="00016165">
        <w:rPr>
          <w:rFonts w:cs="Verdana"/>
          <w:szCs w:val="20"/>
          <w:lang w:val="es-ES"/>
        </w:rPr>
        <w:t>motivos</w:t>
      </w:r>
      <w:r w:rsidR="00BD07A4" w:rsidRPr="00016165">
        <w:rPr>
          <w:rFonts w:cs="Verdana"/>
          <w:szCs w:val="20"/>
          <w:lang w:val="es-ES"/>
        </w:rPr>
        <w:t xml:space="preserve"> expresados por los representantes al solicitar </w:t>
      </w:r>
      <w:r w:rsidR="005A5252" w:rsidRPr="00016165">
        <w:rPr>
          <w:rFonts w:cs="Verdana"/>
          <w:szCs w:val="20"/>
          <w:lang w:val="es-ES"/>
        </w:rPr>
        <w:t>que</w:t>
      </w:r>
      <w:r w:rsidR="00BD07A4" w:rsidRPr="00016165">
        <w:rPr>
          <w:rFonts w:cs="Verdana"/>
          <w:szCs w:val="20"/>
          <w:lang w:val="es-ES"/>
        </w:rPr>
        <w:t xml:space="preserve"> la declaración de la señora Lorenza Josefina Pérez de Olivares</w:t>
      </w:r>
      <w:r w:rsidR="005A5252" w:rsidRPr="00016165">
        <w:rPr>
          <w:rFonts w:cs="Verdana"/>
          <w:szCs w:val="20"/>
          <w:lang w:val="es-ES"/>
        </w:rPr>
        <w:t xml:space="preserve"> sea rendida en forma oral</w:t>
      </w:r>
      <w:r w:rsidR="00BD07A4" w:rsidRPr="00016165">
        <w:rPr>
          <w:rFonts w:cs="Verdana"/>
          <w:szCs w:val="20"/>
          <w:lang w:val="es-ES"/>
        </w:rPr>
        <w:t>, el Tribunal estim</w:t>
      </w:r>
      <w:r w:rsidR="00636EDA" w:rsidRPr="00016165">
        <w:rPr>
          <w:rFonts w:cs="Verdana"/>
          <w:szCs w:val="20"/>
          <w:lang w:val="es-ES"/>
        </w:rPr>
        <w:t>a</w:t>
      </w:r>
      <w:r w:rsidR="00BD07A4" w:rsidRPr="00016165">
        <w:rPr>
          <w:rFonts w:cs="Verdana"/>
          <w:szCs w:val="20"/>
          <w:lang w:val="es-ES"/>
        </w:rPr>
        <w:t xml:space="preserve"> </w:t>
      </w:r>
      <w:r w:rsidR="00466726" w:rsidRPr="00016165">
        <w:rPr>
          <w:rFonts w:cs="Verdana"/>
          <w:szCs w:val="20"/>
          <w:lang w:val="es-ES"/>
        </w:rPr>
        <w:t xml:space="preserve">procedente </w:t>
      </w:r>
      <w:r w:rsidR="00BD07A4" w:rsidRPr="00016165">
        <w:rPr>
          <w:rFonts w:cs="Verdana"/>
          <w:szCs w:val="20"/>
          <w:lang w:val="es-ES"/>
        </w:rPr>
        <w:t xml:space="preserve">acceder a </w:t>
      </w:r>
      <w:r w:rsidR="00804C08" w:rsidRPr="00016165">
        <w:rPr>
          <w:rFonts w:cs="Verdana"/>
          <w:szCs w:val="20"/>
          <w:lang w:val="es-ES"/>
        </w:rPr>
        <w:t>la reconsideración planteada</w:t>
      </w:r>
      <w:r w:rsidR="00BD07A4" w:rsidRPr="00016165">
        <w:rPr>
          <w:rFonts w:cs="Verdana"/>
          <w:szCs w:val="20"/>
          <w:lang w:val="es-ES"/>
        </w:rPr>
        <w:t xml:space="preserve">, </w:t>
      </w:r>
      <w:r w:rsidR="00DF620E" w:rsidRPr="00016165">
        <w:rPr>
          <w:rFonts w:cs="Verdana"/>
          <w:szCs w:val="20"/>
          <w:lang w:val="es-ES"/>
        </w:rPr>
        <w:t>en el sentido que</w:t>
      </w:r>
      <w:r w:rsidR="00BD07A4" w:rsidRPr="00016165">
        <w:rPr>
          <w:rFonts w:cs="Verdana"/>
          <w:szCs w:val="20"/>
          <w:lang w:val="es-ES"/>
        </w:rPr>
        <w:t xml:space="preserve"> dicha declaración será recibida</w:t>
      </w:r>
      <w:r w:rsidR="00675503" w:rsidRPr="00016165">
        <w:rPr>
          <w:rFonts w:cs="Verdana"/>
          <w:szCs w:val="20"/>
          <w:lang w:val="es-ES"/>
        </w:rPr>
        <w:t xml:space="preserve"> mediante videoconferencia</w:t>
      </w:r>
      <w:r w:rsidR="00324D84" w:rsidRPr="00016165">
        <w:rPr>
          <w:rFonts w:cs="Verdana"/>
          <w:szCs w:val="20"/>
          <w:lang w:val="es-ES"/>
        </w:rPr>
        <w:t>, con participación de l</w:t>
      </w:r>
      <w:r w:rsidR="00CE6923" w:rsidRPr="00016165">
        <w:rPr>
          <w:rFonts w:cs="Verdana"/>
          <w:szCs w:val="20"/>
          <w:lang w:val="es-ES"/>
        </w:rPr>
        <w:t>as partes</w:t>
      </w:r>
      <w:r w:rsidR="00324D84" w:rsidRPr="00016165">
        <w:rPr>
          <w:rFonts w:cs="Verdana"/>
          <w:szCs w:val="20"/>
          <w:lang w:val="es-ES"/>
        </w:rPr>
        <w:t xml:space="preserve"> y la Comisión, oportunidad en la que </w:t>
      </w:r>
      <w:r w:rsidR="00CE6923" w:rsidRPr="00016165">
        <w:rPr>
          <w:rFonts w:cs="Verdana"/>
          <w:szCs w:val="20"/>
          <w:lang w:val="es-ES"/>
        </w:rPr>
        <w:t xml:space="preserve">los representantes y el Estado </w:t>
      </w:r>
      <w:r w:rsidR="00324D84" w:rsidRPr="00016165">
        <w:rPr>
          <w:rFonts w:cs="Verdana"/>
          <w:szCs w:val="20"/>
          <w:lang w:val="es-ES"/>
        </w:rPr>
        <w:t>podrán formular preguntas de conformidad con lo que dispone el artículo 52.2 del</w:t>
      </w:r>
      <w:r w:rsidR="00324D84" w:rsidRPr="00B344A4">
        <w:rPr>
          <w:rFonts w:cs="Verdana"/>
          <w:szCs w:val="20"/>
          <w:lang w:val="es-ES"/>
        </w:rPr>
        <w:t xml:space="preserve"> Reglamento</w:t>
      </w:r>
      <w:r w:rsidR="000C0C54" w:rsidRPr="00B344A4">
        <w:rPr>
          <w:rFonts w:cs="Verdana"/>
          <w:szCs w:val="20"/>
          <w:lang w:val="es-ES"/>
        </w:rPr>
        <w:t xml:space="preserve">. Para el efecto, se especificará lo pertinente </w:t>
      </w:r>
      <w:r w:rsidR="00804C08" w:rsidRPr="00B344A4">
        <w:rPr>
          <w:szCs w:val="20"/>
        </w:rPr>
        <w:t>en la parte resolutiva de la presente Resolución</w:t>
      </w:r>
      <w:r w:rsidR="000C0C54" w:rsidRPr="00B344A4">
        <w:rPr>
          <w:szCs w:val="20"/>
        </w:rPr>
        <w:t xml:space="preserve"> </w:t>
      </w:r>
      <w:r w:rsidR="000C0C54" w:rsidRPr="00B344A4">
        <w:rPr>
          <w:rFonts w:cs="Arial"/>
          <w:szCs w:val="20"/>
          <w:lang w:val="es-CR"/>
        </w:rPr>
        <w:t>(</w:t>
      </w:r>
      <w:r w:rsidR="000C0C54" w:rsidRPr="00B344A4">
        <w:rPr>
          <w:rFonts w:cs="Arial"/>
          <w:i/>
          <w:szCs w:val="20"/>
          <w:lang w:val="es-CR"/>
        </w:rPr>
        <w:t xml:space="preserve">infra </w:t>
      </w:r>
      <w:r w:rsidR="000C0C54" w:rsidRPr="00B344A4">
        <w:rPr>
          <w:rFonts w:cs="Arial"/>
          <w:szCs w:val="20"/>
          <w:lang w:val="es-CR"/>
        </w:rPr>
        <w:t>punto resolutivo 2).</w:t>
      </w:r>
    </w:p>
    <w:p w14:paraId="389EC068" w14:textId="19049242" w:rsidR="00BD07A4" w:rsidRPr="001E5C95" w:rsidRDefault="00BD07A4" w:rsidP="0041649C">
      <w:pPr>
        <w:spacing w:after="0"/>
        <w:contextualSpacing/>
        <w:rPr>
          <w:b/>
          <w:i/>
          <w:szCs w:val="20"/>
          <w:lang w:val="es-CR"/>
        </w:rPr>
      </w:pPr>
    </w:p>
    <w:p w14:paraId="3D4831DF" w14:textId="012E82A8" w:rsidR="00BD07A4" w:rsidRPr="001E5C95" w:rsidRDefault="00BD07A4" w:rsidP="0041649C">
      <w:pPr>
        <w:pStyle w:val="Prrafodelista"/>
        <w:spacing w:after="0"/>
        <w:ind w:left="851" w:hanging="284"/>
        <w:contextualSpacing/>
        <w:rPr>
          <w:b/>
          <w:i/>
          <w:szCs w:val="20"/>
          <w:lang w:val="es-CR"/>
        </w:rPr>
      </w:pPr>
      <w:r w:rsidRPr="001E5C95">
        <w:rPr>
          <w:b/>
          <w:i/>
          <w:szCs w:val="20"/>
          <w:lang w:val="es-CR"/>
        </w:rPr>
        <w:t>B. Sobre la extensión del plazo para la remisión de las declaraciones rendidas ante fedatario público (affidávit)</w:t>
      </w:r>
    </w:p>
    <w:p w14:paraId="15AE0005" w14:textId="77777777" w:rsidR="00BD07A4" w:rsidRPr="001E5C95" w:rsidRDefault="00BD07A4" w:rsidP="0041649C">
      <w:pPr>
        <w:pStyle w:val="Prrafodelista"/>
        <w:spacing w:after="0"/>
        <w:ind w:left="0"/>
        <w:rPr>
          <w:rFonts w:cs="Verdana"/>
          <w:szCs w:val="20"/>
          <w:lang w:val="es-ES"/>
        </w:rPr>
      </w:pPr>
    </w:p>
    <w:p w14:paraId="576D956E" w14:textId="0AFB4856" w:rsidR="00536DE4" w:rsidRPr="001E5C95" w:rsidRDefault="00BD07A4" w:rsidP="0041649C">
      <w:pPr>
        <w:pStyle w:val="Prrafodelista"/>
        <w:numPr>
          <w:ilvl w:val="0"/>
          <w:numId w:val="3"/>
        </w:numPr>
        <w:tabs>
          <w:tab w:val="clear" w:pos="680"/>
          <w:tab w:val="left" w:pos="567"/>
        </w:tabs>
        <w:spacing w:after="0"/>
        <w:ind w:left="0"/>
        <w:rPr>
          <w:rFonts w:cs="Verdana"/>
          <w:szCs w:val="20"/>
          <w:lang w:val="es-ES"/>
        </w:rPr>
      </w:pPr>
      <w:r w:rsidRPr="001E5C95">
        <w:rPr>
          <w:rFonts w:cs="Verdana"/>
          <w:szCs w:val="20"/>
          <w:lang w:val="es-ES"/>
        </w:rPr>
        <w:t xml:space="preserve">Los </w:t>
      </w:r>
      <w:r w:rsidRPr="001E5C95">
        <w:rPr>
          <w:rFonts w:cs="Verdana"/>
          <w:b/>
          <w:i/>
          <w:szCs w:val="20"/>
          <w:lang w:val="es-ES"/>
        </w:rPr>
        <w:t>representantes</w:t>
      </w:r>
      <w:r w:rsidRPr="001E5C95">
        <w:rPr>
          <w:rFonts w:cs="Verdana"/>
          <w:szCs w:val="20"/>
          <w:lang w:val="es-ES"/>
        </w:rPr>
        <w:t xml:space="preserve"> solicitaron </w:t>
      </w:r>
      <w:r w:rsidR="00536DE4" w:rsidRPr="001E5C95">
        <w:rPr>
          <w:rFonts w:cs="Verdana"/>
          <w:szCs w:val="20"/>
          <w:lang w:val="es-ES"/>
        </w:rPr>
        <w:t>que se</w:t>
      </w:r>
      <w:r w:rsidR="00855F89" w:rsidRPr="001E5C95">
        <w:rPr>
          <w:rFonts w:cs="Verdana"/>
          <w:szCs w:val="20"/>
          <w:lang w:val="es-ES"/>
        </w:rPr>
        <w:t xml:space="preserve"> ampl</w:t>
      </w:r>
      <w:r w:rsidR="00536DE4" w:rsidRPr="001E5C95">
        <w:rPr>
          <w:rFonts w:cs="Verdana"/>
          <w:szCs w:val="20"/>
          <w:lang w:val="es-ES"/>
        </w:rPr>
        <w:t>íe</w:t>
      </w:r>
      <w:r w:rsidR="00855F89" w:rsidRPr="001E5C95">
        <w:rPr>
          <w:rFonts w:cs="Verdana"/>
          <w:szCs w:val="20"/>
          <w:lang w:val="es-ES"/>
        </w:rPr>
        <w:t xml:space="preserve"> el plazo de remisión de las declaraciones rendidas ante fedatario público (</w:t>
      </w:r>
      <w:r w:rsidR="00855F89" w:rsidRPr="001E5C95">
        <w:rPr>
          <w:rFonts w:cs="Verdana"/>
          <w:i/>
          <w:szCs w:val="20"/>
          <w:lang w:val="es-ES"/>
        </w:rPr>
        <w:t>affidávit</w:t>
      </w:r>
      <w:r w:rsidR="00855F89" w:rsidRPr="001E5C95">
        <w:rPr>
          <w:rFonts w:cs="Verdana"/>
          <w:szCs w:val="20"/>
          <w:lang w:val="es-ES"/>
        </w:rPr>
        <w:t>)</w:t>
      </w:r>
      <w:r w:rsidR="005E531D" w:rsidRPr="001E5C95">
        <w:rPr>
          <w:rFonts w:cs="Verdana"/>
          <w:szCs w:val="20"/>
          <w:lang w:val="es-ES"/>
        </w:rPr>
        <w:t xml:space="preserve"> dispuesto en la Resolución de 30 de junio de 2020</w:t>
      </w:r>
      <w:r w:rsidR="00855F89" w:rsidRPr="001E5C95">
        <w:rPr>
          <w:rFonts w:cs="Verdana"/>
          <w:szCs w:val="20"/>
          <w:lang w:val="es-ES"/>
        </w:rPr>
        <w:t xml:space="preserve">, en atención a la situación que actualmente subsiste por la pandemia </w:t>
      </w:r>
      <w:r w:rsidR="00536DE4" w:rsidRPr="001E5C95">
        <w:rPr>
          <w:rFonts w:cs="Verdana"/>
          <w:szCs w:val="20"/>
          <w:lang w:val="es-ES"/>
        </w:rPr>
        <w:t xml:space="preserve">que afecta a nivel </w:t>
      </w:r>
      <w:r w:rsidR="00855F89" w:rsidRPr="001E5C95">
        <w:rPr>
          <w:rFonts w:cs="Verdana"/>
          <w:szCs w:val="20"/>
          <w:lang w:val="es-ES"/>
        </w:rPr>
        <w:t xml:space="preserve">global; </w:t>
      </w:r>
      <w:r w:rsidR="00232792" w:rsidRPr="001E5C95">
        <w:rPr>
          <w:rFonts w:cs="Verdana"/>
          <w:szCs w:val="20"/>
          <w:lang w:val="es-ES"/>
        </w:rPr>
        <w:t>en tal sentido</w:t>
      </w:r>
      <w:r w:rsidR="00855F89" w:rsidRPr="001E5C95">
        <w:rPr>
          <w:rFonts w:cs="Verdana"/>
          <w:szCs w:val="20"/>
          <w:lang w:val="es-ES"/>
        </w:rPr>
        <w:t xml:space="preserve">, </w:t>
      </w:r>
      <w:r w:rsidR="00232792" w:rsidRPr="001E5C95">
        <w:rPr>
          <w:rFonts w:cs="Verdana"/>
          <w:szCs w:val="20"/>
          <w:lang w:val="es-ES"/>
        </w:rPr>
        <w:t>requirieron</w:t>
      </w:r>
      <w:r w:rsidR="00855F89" w:rsidRPr="001E5C95">
        <w:rPr>
          <w:rFonts w:cs="Verdana"/>
          <w:szCs w:val="20"/>
          <w:lang w:val="es-ES"/>
        </w:rPr>
        <w:t xml:space="preserve"> que el plazo que se conceda “no sea menor a 30 días, luego de ser recibidas las preguntas </w:t>
      </w:r>
      <w:r w:rsidR="00855F89" w:rsidRPr="001E5C95">
        <w:rPr>
          <w:rFonts w:eastAsia="Times New Roman"/>
          <w:bCs/>
          <w:szCs w:val="20"/>
        </w:rPr>
        <w:t>[a que se refiere el]</w:t>
      </w:r>
      <w:r w:rsidR="00855F89" w:rsidRPr="001E5C95">
        <w:rPr>
          <w:rFonts w:cs="Verdana"/>
          <w:szCs w:val="20"/>
          <w:lang w:val="es-ES"/>
        </w:rPr>
        <w:t xml:space="preserve"> artículo 50.5 del Reglamento”.</w:t>
      </w:r>
    </w:p>
    <w:p w14:paraId="7AF07099" w14:textId="77777777" w:rsidR="00E6319A" w:rsidRPr="001E5C95" w:rsidRDefault="00E6319A" w:rsidP="0041649C">
      <w:pPr>
        <w:pStyle w:val="Prrafodelista"/>
        <w:tabs>
          <w:tab w:val="left" w:pos="567"/>
        </w:tabs>
        <w:spacing w:after="0"/>
        <w:ind w:left="0"/>
        <w:rPr>
          <w:rFonts w:cs="Verdana"/>
          <w:szCs w:val="20"/>
          <w:lang w:val="es-ES"/>
        </w:rPr>
      </w:pPr>
    </w:p>
    <w:p w14:paraId="5FDCD97F" w14:textId="6512C443" w:rsidR="00536DE4" w:rsidRPr="001E5C95" w:rsidRDefault="00536DE4" w:rsidP="0041649C">
      <w:pPr>
        <w:numPr>
          <w:ilvl w:val="0"/>
          <w:numId w:val="3"/>
        </w:numPr>
        <w:tabs>
          <w:tab w:val="clear" w:pos="680"/>
          <w:tab w:val="num" w:pos="567"/>
        </w:tabs>
        <w:spacing w:after="0"/>
        <w:rPr>
          <w:rFonts w:cs="Verdana"/>
          <w:szCs w:val="20"/>
          <w:lang w:val="es-ES"/>
        </w:rPr>
      </w:pPr>
      <w:r w:rsidRPr="001E5C95">
        <w:rPr>
          <w:rFonts w:cs="Verdana"/>
          <w:szCs w:val="20"/>
          <w:lang w:val="es-ES"/>
        </w:rPr>
        <w:t>El</w:t>
      </w:r>
      <w:r w:rsidRPr="001E5C95">
        <w:rPr>
          <w:rFonts w:cs="Verdana"/>
          <w:i/>
          <w:szCs w:val="20"/>
          <w:lang w:val="es-ES"/>
        </w:rPr>
        <w:t xml:space="preserve"> </w:t>
      </w:r>
      <w:r w:rsidRPr="001E5C95">
        <w:rPr>
          <w:rFonts w:cs="Verdana"/>
          <w:b/>
          <w:i/>
          <w:szCs w:val="20"/>
          <w:lang w:val="es-ES"/>
        </w:rPr>
        <w:t>Estado</w:t>
      </w:r>
      <w:r w:rsidRPr="001E5C95">
        <w:rPr>
          <w:rFonts w:cs="Verdana"/>
          <w:b/>
          <w:szCs w:val="20"/>
          <w:lang w:val="es-ES"/>
        </w:rPr>
        <w:t xml:space="preserve"> </w:t>
      </w:r>
      <w:r w:rsidRPr="001E5C95">
        <w:rPr>
          <w:rFonts w:cs="Verdana"/>
          <w:szCs w:val="20"/>
          <w:lang w:val="es-ES"/>
        </w:rPr>
        <w:t>coincidió en la necesidad de extender el plazo otorgado originalmente</w:t>
      </w:r>
      <w:r w:rsidR="00E6319A" w:rsidRPr="001E5C95">
        <w:rPr>
          <w:rFonts w:cs="Verdana"/>
          <w:szCs w:val="20"/>
          <w:lang w:val="es-ES"/>
        </w:rPr>
        <w:t xml:space="preserve"> debido a las circunstancias que perduran por los efectos de la pandemia; agregó que sería necesario preverse “la posibilidad de nuevas extensiones visto el desarrollo de la coyuntura sanitaria mundial”.</w:t>
      </w:r>
    </w:p>
    <w:p w14:paraId="3690B900" w14:textId="77777777" w:rsidR="00536DE4" w:rsidRPr="001E5C95" w:rsidRDefault="00536DE4" w:rsidP="0041649C">
      <w:pPr>
        <w:pStyle w:val="Prrafodelista"/>
        <w:spacing w:after="0"/>
        <w:ind w:left="0"/>
        <w:rPr>
          <w:rFonts w:cs="Verdana"/>
          <w:szCs w:val="20"/>
          <w:lang w:val="es-ES"/>
        </w:rPr>
      </w:pPr>
    </w:p>
    <w:p w14:paraId="7056084B" w14:textId="4BFCBF40" w:rsidR="00E7509C" w:rsidRPr="001E5C95" w:rsidRDefault="00536DE4" w:rsidP="0041649C">
      <w:pPr>
        <w:numPr>
          <w:ilvl w:val="0"/>
          <w:numId w:val="3"/>
        </w:numPr>
        <w:tabs>
          <w:tab w:val="clear" w:pos="680"/>
          <w:tab w:val="num" w:pos="567"/>
        </w:tabs>
        <w:spacing w:after="0"/>
        <w:rPr>
          <w:rFonts w:cs="Verdana"/>
          <w:szCs w:val="20"/>
          <w:lang w:val="es-ES"/>
        </w:rPr>
      </w:pPr>
      <w:r w:rsidRPr="001E5C95">
        <w:rPr>
          <w:rFonts w:cs="Verdana"/>
          <w:szCs w:val="20"/>
          <w:lang w:val="es-ES"/>
        </w:rPr>
        <w:t xml:space="preserve">La </w:t>
      </w:r>
      <w:r w:rsidRPr="001E5C95">
        <w:rPr>
          <w:rFonts w:cs="Verdana"/>
          <w:b/>
          <w:i/>
          <w:szCs w:val="20"/>
          <w:lang w:val="es-ES"/>
        </w:rPr>
        <w:t>Comisión</w:t>
      </w:r>
      <w:r w:rsidRPr="001E5C95">
        <w:rPr>
          <w:rFonts w:cs="Verdana"/>
          <w:szCs w:val="20"/>
          <w:lang w:val="es-ES"/>
        </w:rPr>
        <w:t xml:space="preserve"> </w:t>
      </w:r>
      <w:r w:rsidR="00E7509C" w:rsidRPr="001E5C95">
        <w:rPr>
          <w:rFonts w:cs="Verdana"/>
          <w:szCs w:val="20"/>
          <w:lang w:val="es-ES"/>
        </w:rPr>
        <w:t>manifestó que resulta razonable la solicitud efectuada</w:t>
      </w:r>
      <w:r w:rsidR="00CF6B7F" w:rsidRPr="001E5C95">
        <w:rPr>
          <w:rFonts w:cs="Verdana"/>
          <w:szCs w:val="20"/>
          <w:lang w:val="es-ES"/>
        </w:rPr>
        <w:t xml:space="preserve"> por los representantes</w:t>
      </w:r>
      <w:r w:rsidR="00E7509C" w:rsidRPr="001E5C95">
        <w:rPr>
          <w:rFonts w:cs="Verdana"/>
          <w:szCs w:val="20"/>
          <w:lang w:val="es-ES"/>
        </w:rPr>
        <w:t xml:space="preserve"> ante los desafíos de fuerza mayor generados por la emergencia sanitaria.</w:t>
      </w:r>
    </w:p>
    <w:p w14:paraId="3776D7C0" w14:textId="77777777" w:rsidR="00E7509C" w:rsidRPr="001E5C95" w:rsidRDefault="00E7509C" w:rsidP="0041649C">
      <w:pPr>
        <w:pStyle w:val="Prrafodelista"/>
        <w:spacing w:after="0"/>
        <w:ind w:left="0"/>
        <w:rPr>
          <w:rFonts w:cs="Verdana"/>
          <w:szCs w:val="20"/>
          <w:lang w:val="es-ES"/>
        </w:rPr>
      </w:pPr>
    </w:p>
    <w:p w14:paraId="42E5C050" w14:textId="43B04254" w:rsidR="001301CB" w:rsidRPr="001E5C95" w:rsidRDefault="00CE6923" w:rsidP="001301CB">
      <w:pPr>
        <w:widowControl w:val="0"/>
        <w:numPr>
          <w:ilvl w:val="0"/>
          <w:numId w:val="3"/>
        </w:numPr>
        <w:tabs>
          <w:tab w:val="clear" w:pos="680"/>
          <w:tab w:val="num" w:pos="567"/>
        </w:tabs>
        <w:autoSpaceDE w:val="0"/>
        <w:autoSpaceDN w:val="0"/>
        <w:adjustRightInd w:val="0"/>
        <w:spacing w:after="0"/>
        <w:rPr>
          <w:szCs w:val="20"/>
          <w:lang w:val="es-MX"/>
        </w:rPr>
      </w:pPr>
      <w:r w:rsidRPr="001E5C95">
        <w:rPr>
          <w:szCs w:val="20"/>
          <w:lang w:val="es-CL"/>
        </w:rPr>
        <w:t>En virtud de</w:t>
      </w:r>
      <w:r w:rsidR="00A757C7" w:rsidRPr="001E5C95">
        <w:rPr>
          <w:szCs w:val="20"/>
          <w:lang w:val="es-CL"/>
        </w:rPr>
        <w:t xml:space="preserve"> las dificultades que conlleva la situación actual imperante en el contexto de la pandemia</w:t>
      </w:r>
      <w:r w:rsidR="00796009" w:rsidRPr="001E5C95">
        <w:rPr>
          <w:szCs w:val="20"/>
          <w:lang w:val="es-CL"/>
        </w:rPr>
        <w:t xml:space="preserve"> </w:t>
      </w:r>
      <w:r w:rsidR="00796009" w:rsidRPr="001E5C95">
        <w:t>por la propagación del COVID-19</w:t>
      </w:r>
      <w:r w:rsidR="00236137" w:rsidRPr="001E5C95">
        <w:t xml:space="preserve"> y atendiendo a que no ha habido objeciones al respecto</w:t>
      </w:r>
      <w:r w:rsidR="00A757C7" w:rsidRPr="001E5C95">
        <w:rPr>
          <w:szCs w:val="20"/>
          <w:lang w:val="es-CL"/>
        </w:rPr>
        <w:t xml:space="preserve">, </w:t>
      </w:r>
      <w:r w:rsidR="00236137" w:rsidRPr="001E5C95">
        <w:rPr>
          <w:szCs w:val="20"/>
          <w:lang w:val="es-CL"/>
        </w:rPr>
        <w:t xml:space="preserve">la Corte </w:t>
      </w:r>
      <w:r w:rsidR="00A757C7" w:rsidRPr="001E5C95">
        <w:rPr>
          <w:szCs w:val="20"/>
          <w:lang w:val="es-CL"/>
        </w:rPr>
        <w:t xml:space="preserve">considera </w:t>
      </w:r>
      <w:r w:rsidR="00236137" w:rsidRPr="001E5C95">
        <w:rPr>
          <w:szCs w:val="20"/>
          <w:lang w:val="es-CL"/>
        </w:rPr>
        <w:t xml:space="preserve">pertinente en este caso </w:t>
      </w:r>
      <w:r w:rsidR="00A757C7" w:rsidRPr="001E5C95">
        <w:rPr>
          <w:szCs w:val="20"/>
          <w:lang w:val="es-CL"/>
        </w:rPr>
        <w:t>acceder a la solicitud de los representantes, a la que se adhirieron el Estado y la Comisión</w:t>
      </w:r>
      <w:r w:rsidR="0014020B" w:rsidRPr="001E5C95">
        <w:rPr>
          <w:szCs w:val="20"/>
          <w:lang w:val="es-CL"/>
        </w:rPr>
        <w:t xml:space="preserve">, para lo cual se especificará lo pertinente </w:t>
      </w:r>
      <w:r w:rsidR="0014020B" w:rsidRPr="001E5C95">
        <w:rPr>
          <w:rFonts w:cs="Arial"/>
          <w:szCs w:val="20"/>
          <w:lang w:val="es-CR"/>
        </w:rPr>
        <w:t>en la parte resolutiva de la presente Resolución (</w:t>
      </w:r>
      <w:r w:rsidR="0014020B" w:rsidRPr="001E5C95">
        <w:rPr>
          <w:rFonts w:cs="Arial"/>
          <w:i/>
          <w:szCs w:val="20"/>
          <w:lang w:val="es-CR"/>
        </w:rPr>
        <w:t xml:space="preserve">infra </w:t>
      </w:r>
      <w:r w:rsidR="0014020B" w:rsidRPr="001E5C95">
        <w:rPr>
          <w:rFonts w:cs="Arial"/>
          <w:szCs w:val="20"/>
          <w:lang w:val="es-CR"/>
        </w:rPr>
        <w:t xml:space="preserve">punto resolutivo </w:t>
      </w:r>
      <w:r w:rsidR="000C0C54" w:rsidRPr="001E5C95">
        <w:rPr>
          <w:rFonts w:cs="Arial"/>
          <w:szCs w:val="20"/>
          <w:lang w:val="es-CR"/>
        </w:rPr>
        <w:t>3</w:t>
      </w:r>
      <w:r w:rsidR="0014020B" w:rsidRPr="001E5C95">
        <w:rPr>
          <w:rFonts w:cs="Arial"/>
          <w:szCs w:val="20"/>
          <w:lang w:val="es-CR"/>
        </w:rPr>
        <w:t>)</w:t>
      </w:r>
      <w:r w:rsidR="002D7319" w:rsidRPr="001E5C95">
        <w:rPr>
          <w:rFonts w:cs="Arial"/>
          <w:szCs w:val="20"/>
          <w:lang w:val="es-CR"/>
        </w:rPr>
        <w:t>.</w:t>
      </w:r>
    </w:p>
    <w:p w14:paraId="0A69F4B2" w14:textId="77777777" w:rsidR="001301CB" w:rsidRPr="001E5C95" w:rsidRDefault="001301CB" w:rsidP="001301CB">
      <w:pPr>
        <w:widowControl w:val="0"/>
        <w:autoSpaceDE w:val="0"/>
        <w:autoSpaceDN w:val="0"/>
        <w:adjustRightInd w:val="0"/>
        <w:spacing w:after="0"/>
        <w:rPr>
          <w:szCs w:val="20"/>
          <w:lang w:val="es-MX"/>
        </w:rPr>
      </w:pPr>
    </w:p>
    <w:p w14:paraId="1F98C5AA" w14:textId="77777777" w:rsidR="0093539C" w:rsidRPr="001E5C95" w:rsidRDefault="0093539C" w:rsidP="0041649C">
      <w:pPr>
        <w:spacing w:after="0"/>
        <w:rPr>
          <w:rFonts w:cs="Verdana"/>
          <w:szCs w:val="20"/>
          <w:lang w:val="es-ES"/>
        </w:rPr>
      </w:pPr>
    </w:p>
    <w:p w14:paraId="42E3D34A" w14:textId="77777777" w:rsidR="00017CD7" w:rsidRPr="001E5C95" w:rsidRDefault="00017CD7" w:rsidP="0041649C">
      <w:pPr>
        <w:spacing w:after="0"/>
        <w:rPr>
          <w:rFonts w:cs="Verdana"/>
          <w:b/>
          <w:bCs/>
          <w:szCs w:val="20"/>
          <w:lang w:val="es-CR"/>
        </w:rPr>
      </w:pPr>
      <w:r w:rsidRPr="001E5C95">
        <w:rPr>
          <w:rFonts w:cs="Verdana"/>
          <w:b/>
          <w:bCs/>
          <w:szCs w:val="20"/>
          <w:lang w:val="es-CR"/>
        </w:rPr>
        <w:t>POR TANTO:</w:t>
      </w:r>
    </w:p>
    <w:p w14:paraId="392D9121" w14:textId="77777777" w:rsidR="00017CD7" w:rsidRPr="001E5C95" w:rsidRDefault="00017CD7" w:rsidP="0041649C">
      <w:pPr>
        <w:spacing w:after="0"/>
        <w:rPr>
          <w:rFonts w:cs="Verdana"/>
          <w:b/>
          <w:bCs/>
          <w:szCs w:val="20"/>
          <w:lang w:val="es-CR"/>
        </w:rPr>
      </w:pPr>
    </w:p>
    <w:p w14:paraId="24257143" w14:textId="77777777" w:rsidR="00017CD7" w:rsidRPr="001E5C95" w:rsidRDefault="00017CD7" w:rsidP="0041649C">
      <w:pPr>
        <w:spacing w:after="0"/>
        <w:rPr>
          <w:rFonts w:cs="Verdana"/>
          <w:b/>
          <w:bCs/>
          <w:szCs w:val="20"/>
          <w:lang w:val="es-CR"/>
        </w:rPr>
      </w:pPr>
      <w:r w:rsidRPr="001E5C95">
        <w:rPr>
          <w:rFonts w:cs="Verdana"/>
          <w:b/>
          <w:bCs/>
          <w:szCs w:val="20"/>
          <w:lang w:val="es-CR"/>
        </w:rPr>
        <w:t xml:space="preserve">LA CORTE INTERAMERICANA DE DERECHOS HUMANOS, </w:t>
      </w:r>
    </w:p>
    <w:p w14:paraId="4B76DBC0" w14:textId="77777777" w:rsidR="00017CD7" w:rsidRPr="001E5C95" w:rsidRDefault="00017CD7" w:rsidP="0041649C">
      <w:pPr>
        <w:autoSpaceDE w:val="0"/>
        <w:autoSpaceDN w:val="0"/>
        <w:adjustRightInd w:val="0"/>
        <w:spacing w:after="0"/>
        <w:rPr>
          <w:szCs w:val="20"/>
          <w:lang w:val="es-CR"/>
        </w:rPr>
      </w:pPr>
    </w:p>
    <w:p w14:paraId="29D9285F" w14:textId="4AFA5BD8" w:rsidR="00017CD7" w:rsidRPr="001E5C95" w:rsidRDefault="00B24484" w:rsidP="0041649C">
      <w:pPr>
        <w:autoSpaceDE w:val="0"/>
        <w:autoSpaceDN w:val="0"/>
        <w:adjustRightInd w:val="0"/>
        <w:spacing w:after="0"/>
        <w:rPr>
          <w:rFonts w:cs="Verdana"/>
          <w:b/>
          <w:bCs/>
          <w:szCs w:val="20"/>
          <w:lang w:val="es-ES"/>
        </w:rPr>
      </w:pPr>
      <w:r>
        <w:rPr>
          <w:rFonts w:cs="Verdana"/>
          <w:szCs w:val="20"/>
          <w:lang w:val="es-CR"/>
        </w:rPr>
        <w:t>d</w:t>
      </w:r>
      <w:proofErr w:type="spellStart"/>
      <w:r w:rsidR="00017CD7" w:rsidRPr="001E5C95">
        <w:rPr>
          <w:rFonts w:cs="Verdana"/>
          <w:szCs w:val="20"/>
          <w:lang w:val="es-ES"/>
        </w:rPr>
        <w:t>e</w:t>
      </w:r>
      <w:proofErr w:type="spellEnd"/>
      <w:r w:rsidR="00017CD7" w:rsidRPr="001E5C95">
        <w:rPr>
          <w:rFonts w:cs="Verdana"/>
          <w:szCs w:val="20"/>
          <w:lang w:val="es-ES"/>
        </w:rPr>
        <w:t xml:space="preserve"> conformidad con el artículo 25.2 del Estatuto de la Corte y con los </w:t>
      </w:r>
      <w:r w:rsidR="00017CD7" w:rsidRPr="001E5C95">
        <w:rPr>
          <w:rFonts w:cs="Verdana"/>
          <w:szCs w:val="20"/>
        </w:rPr>
        <w:t>artículos 31.2</w:t>
      </w:r>
      <w:r w:rsidR="00F70B30" w:rsidRPr="001E5C95">
        <w:rPr>
          <w:rFonts w:cs="Verdana"/>
          <w:szCs w:val="20"/>
        </w:rPr>
        <w:t xml:space="preserve"> </w:t>
      </w:r>
      <w:r w:rsidR="00017CD7" w:rsidRPr="001E5C95">
        <w:rPr>
          <w:rFonts w:cs="Verdana"/>
          <w:szCs w:val="20"/>
        </w:rPr>
        <w:t>y 5</w:t>
      </w:r>
      <w:r w:rsidR="001B0181" w:rsidRPr="001E5C95">
        <w:rPr>
          <w:rFonts w:cs="Verdana"/>
          <w:szCs w:val="20"/>
        </w:rPr>
        <w:t>8</w:t>
      </w:r>
      <w:r w:rsidR="00017CD7" w:rsidRPr="001E5C95">
        <w:rPr>
          <w:rFonts w:cs="Verdana"/>
          <w:szCs w:val="20"/>
        </w:rPr>
        <w:t xml:space="preserve"> del Reglamento</w:t>
      </w:r>
      <w:r w:rsidR="00017CD7" w:rsidRPr="001E5C95">
        <w:rPr>
          <w:rFonts w:cs="Verdana"/>
          <w:szCs w:val="20"/>
          <w:lang w:val="es-ES"/>
        </w:rPr>
        <w:t>,</w:t>
      </w:r>
    </w:p>
    <w:p w14:paraId="0AEE9344" w14:textId="77777777" w:rsidR="00017CD7" w:rsidRPr="001E5C95" w:rsidRDefault="00017CD7" w:rsidP="0041649C">
      <w:pPr>
        <w:autoSpaceDE w:val="0"/>
        <w:autoSpaceDN w:val="0"/>
        <w:adjustRightInd w:val="0"/>
        <w:spacing w:after="0"/>
        <w:rPr>
          <w:rFonts w:cs="Verdana"/>
          <w:b/>
          <w:bCs/>
          <w:szCs w:val="20"/>
          <w:lang w:val="es-ES"/>
        </w:rPr>
      </w:pPr>
    </w:p>
    <w:p w14:paraId="7D944781" w14:textId="77777777" w:rsidR="00017CD7" w:rsidRPr="001E5C95" w:rsidRDefault="00017CD7" w:rsidP="0041649C">
      <w:pPr>
        <w:autoSpaceDE w:val="0"/>
        <w:autoSpaceDN w:val="0"/>
        <w:adjustRightInd w:val="0"/>
        <w:spacing w:after="0"/>
        <w:rPr>
          <w:rFonts w:cs="Verdana"/>
          <w:b/>
          <w:bCs/>
          <w:szCs w:val="20"/>
          <w:lang w:val="es-ES"/>
        </w:rPr>
      </w:pPr>
      <w:r w:rsidRPr="001E5C95">
        <w:rPr>
          <w:rFonts w:cs="Verdana"/>
          <w:b/>
          <w:bCs/>
          <w:szCs w:val="20"/>
          <w:lang w:val="es-ES"/>
        </w:rPr>
        <w:t>RESUELVE:</w:t>
      </w:r>
    </w:p>
    <w:p w14:paraId="3C881BB8" w14:textId="77777777" w:rsidR="00017CD7" w:rsidRPr="001E5C95" w:rsidRDefault="00017CD7" w:rsidP="0041649C">
      <w:pPr>
        <w:autoSpaceDE w:val="0"/>
        <w:autoSpaceDN w:val="0"/>
        <w:adjustRightInd w:val="0"/>
        <w:spacing w:after="0"/>
        <w:rPr>
          <w:rFonts w:cs="Verdana"/>
          <w:szCs w:val="20"/>
          <w:lang w:val="es-ES"/>
        </w:rPr>
      </w:pPr>
    </w:p>
    <w:p w14:paraId="757504A2" w14:textId="7C54EA5B" w:rsidR="000C0C54" w:rsidRPr="001E5C95" w:rsidRDefault="000C0C54" w:rsidP="0041649C">
      <w:pPr>
        <w:widowControl w:val="0"/>
        <w:numPr>
          <w:ilvl w:val="0"/>
          <w:numId w:val="5"/>
        </w:numPr>
        <w:tabs>
          <w:tab w:val="left" w:pos="567"/>
        </w:tabs>
        <w:autoSpaceDE w:val="0"/>
        <w:autoSpaceDN w:val="0"/>
        <w:adjustRightInd w:val="0"/>
        <w:spacing w:after="0"/>
        <w:ind w:left="0" w:firstLine="0"/>
        <w:rPr>
          <w:szCs w:val="20"/>
          <w:lang w:val="es-CR"/>
        </w:rPr>
      </w:pPr>
      <w:r w:rsidRPr="001E5C95">
        <w:rPr>
          <w:szCs w:val="20"/>
        </w:rPr>
        <w:t xml:space="preserve">Declarar procedente la solicitud de reconsideración </w:t>
      </w:r>
      <w:r w:rsidR="001B0181" w:rsidRPr="001E5C95">
        <w:rPr>
          <w:szCs w:val="20"/>
        </w:rPr>
        <w:t>formulada</w:t>
      </w:r>
      <w:r w:rsidRPr="001E5C95">
        <w:rPr>
          <w:szCs w:val="20"/>
        </w:rPr>
        <w:t xml:space="preserve"> por los representantes de las presuntas víctimas.</w:t>
      </w:r>
    </w:p>
    <w:p w14:paraId="7490E383" w14:textId="77777777" w:rsidR="000C0C54" w:rsidRPr="001E5C95" w:rsidRDefault="000C0C54" w:rsidP="0041649C">
      <w:pPr>
        <w:widowControl w:val="0"/>
        <w:tabs>
          <w:tab w:val="left" w:pos="567"/>
        </w:tabs>
        <w:autoSpaceDE w:val="0"/>
        <w:autoSpaceDN w:val="0"/>
        <w:adjustRightInd w:val="0"/>
        <w:spacing w:after="0"/>
        <w:rPr>
          <w:szCs w:val="20"/>
          <w:lang w:val="es-CR"/>
        </w:rPr>
      </w:pPr>
    </w:p>
    <w:p w14:paraId="5B2D70C3" w14:textId="1478FB47" w:rsidR="000C0C54" w:rsidRPr="001E5C95" w:rsidRDefault="0014020B" w:rsidP="00CE6923">
      <w:pPr>
        <w:widowControl w:val="0"/>
        <w:numPr>
          <w:ilvl w:val="0"/>
          <w:numId w:val="5"/>
        </w:numPr>
        <w:tabs>
          <w:tab w:val="left" w:pos="567"/>
        </w:tabs>
        <w:autoSpaceDE w:val="0"/>
        <w:autoSpaceDN w:val="0"/>
        <w:adjustRightInd w:val="0"/>
        <w:spacing w:after="0"/>
        <w:ind w:left="0" w:firstLine="0"/>
        <w:rPr>
          <w:szCs w:val="20"/>
        </w:rPr>
      </w:pPr>
      <w:r w:rsidRPr="001E5C95">
        <w:rPr>
          <w:szCs w:val="20"/>
        </w:rPr>
        <w:t xml:space="preserve">Modificar, en lo pertinente, el punto resolutivo 1, inciso A, de la Resolución de la Presidenta de 30 de junio de 2020, en atención a los </w:t>
      </w:r>
      <w:r w:rsidR="000C0C54" w:rsidRPr="00016165">
        <w:rPr>
          <w:szCs w:val="20"/>
        </w:rPr>
        <w:t>C</w:t>
      </w:r>
      <w:r w:rsidRPr="00016165">
        <w:rPr>
          <w:szCs w:val="20"/>
        </w:rPr>
        <w:t xml:space="preserve">onsiderandos </w:t>
      </w:r>
      <w:r w:rsidR="008511DB" w:rsidRPr="00016165">
        <w:rPr>
          <w:szCs w:val="20"/>
        </w:rPr>
        <w:t>9</w:t>
      </w:r>
      <w:r w:rsidRPr="00016165">
        <w:rPr>
          <w:szCs w:val="20"/>
        </w:rPr>
        <w:t xml:space="preserve"> a </w:t>
      </w:r>
      <w:r w:rsidR="001B0181" w:rsidRPr="00016165">
        <w:rPr>
          <w:szCs w:val="20"/>
        </w:rPr>
        <w:t>1</w:t>
      </w:r>
      <w:r w:rsidR="00B344A4" w:rsidRPr="00016165">
        <w:rPr>
          <w:szCs w:val="20"/>
        </w:rPr>
        <w:t>3</w:t>
      </w:r>
      <w:r w:rsidRPr="00016165">
        <w:rPr>
          <w:szCs w:val="20"/>
        </w:rPr>
        <w:t xml:space="preserve"> de la presente Resolución</w:t>
      </w:r>
      <w:r w:rsidR="00C82262" w:rsidRPr="00016165">
        <w:rPr>
          <w:szCs w:val="20"/>
        </w:rPr>
        <w:t xml:space="preserve">, en el sentido que la declaración de la señora Lorenza Josefina Pérez de Olivares, presunta víctima, será recibida </w:t>
      </w:r>
      <w:r w:rsidR="000C0C54" w:rsidRPr="00016165">
        <w:rPr>
          <w:szCs w:val="20"/>
        </w:rPr>
        <w:t xml:space="preserve">en forma oral ante el Pleno de la Corte </w:t>
      </w:r>
      <w:r w:rsidR="000C0C54" w:rsidRPr="00016165">
        <w:rPr>
          <w:rFonts w:cs="Verdana"/>
          <w:szCs w:val="20"/>
          <w:lang w:val="es-ES"/>
        </w:rPr>
        <w:t xml:space="preserve">mediante </w:t>
      </w:r>
      <w:r w:rsidR="00675503" w:rsidRPr="00016165">
        <w:rPr>
          <w:rFonts w:cs="Verdana"/>
          <w:szCs w:val="20"/>
          <w:lang w:val="es-ES"/>
        </w:rPr>
        <w:t xml:space="preserve">videoconferencia </w:t>
      </w:r>
      <w:r w:rsidR="000C0C54" w:rsidRPr="00016165">
        <w:rPr>
          <w:rFonts w:cs="Verdana"/>
          <w:szCs w:val="20"/>
          <w:lang w:val="es-ES"/>
        </w:rPr>
        <w:t xml:space="preserve">el </w:t>
      </w:r>
      <w:r w:rsidR="00FC2DCF" w:rsidRPr="00016165">
        <w:rPr>
          <w:rFonts w:cs="Verdana"/>
          <w:szCs w:val="20"/>
          <w:lang w:val="es-ES"/>
        </w:rPr>
        <w:t>24</w:t>
      </w:r>
      <w:r w:rsidR="000C0C54" w:rsidRPr="00016165">
        <w:rPr>
          <w:rFonts w:cs="Verdana"/>
          <w:szCs w:val="20"/>
          <w:lang w:val="es-ES"/>
        </w:rPr>
        <w:t xml:space="preserve"> de agosto de 2020</w:t>
      </w:r>
      <w:r w:rsidR="0077740A" w:rsidRPr="00016165">
        <w:rPr>
          <w:rFonts w:cs="Verdana"/>
          <w:szCs w:val="20"/>
          <w:lang w:val="es-ES"/>
        </w:rPr>
        <w:t xml:space="preserve"> a las </w:t>
      </w:r>
      <w:r w:rsidR="00016165" w:rsidRPr="00016165">
        <w:rPr>
          <w:rFonts w:cs="Verdana"/>
          <w:szCs w:val="20"/>
          <w:lang w:val="es-ES"/>
        </w:rPr>
        <w:t>9</w:t>
      </w:r>
      <w:r w:rsidR="0077740A" w:rsidRPr="00016165">
        <w:rPr>
          <w:rFonts w:cs="Verdana"/>
          <w:szCs w:val="20"/>
          <w:lang w:val="es-ES"/>
        </w:rPr>
        <w:t>:00 horas, hora de Costa Rica</w:t>
      </w:r>
      <w:r w:rsidR="000C0C54" w:rsidRPr="00016165">
        <w:rPr>
          <w:rFonts w:cs="Verdana"/>
          <w:szCs w:val="20"/>
          <w:lang w:val="es-ES"/>
        </w:rPr>
        <w:t>,</w:t>
      </w:r>
      <w:r w:rsidR="00CE6923" w:rsidRPr="00016165">
        <w:rPr>
          <w:rFonts w:cs="Verdana"/>
          <w:szCs w:val="20"/>
          <w:lang w:val="es-ES"/>
        </w:rPr>
        <w:t xml:space="preserve"> </w:t>
      </w:r>
      <w:r w:rsidR="00016165" w:rsidRPr="00016165">
        <w:t xml:space="preserve">durante el 136 Período Ordinario de Sesiones, </w:t>
      </w:r>
      <w:r w:rsidR="00CE6923" w:rsidRPr="00016165">
        <w:rPr>
          <w:rFonts w:cs="Verdana"/>
          <w:szCs w:val="20"/>
          <w:lang w:val="es-ES"/>
        </w:rPr>
        <w:t>diligencia</w:t>
      </w:r>
      <w:r w:rsidR="000C0C54" w:rsidRPr="00016165">
        <w:rPr>
          <w:rFonts w:cs="Verdana"/>
          <w:szCs w:val="20"/>
          <w:lang w:val="es-ES"/>
        </w:rPr>
        <w:t xml:space="preserve"> </w:t>
      </w:r>
      <w:r w:rsidR="000C0C54" w:rsidRPr="00016165">
        <w:rPr>
          <w:szCs w:val="20"/>
        </w:rPr>
        <w:t xml:space="preserve">en la que participarán </w:t>
      </w:r>
      <w:r w:rsidR="00CE6923" w:rsidRPr="00016165">
        <w:rPr>
          <w:szCs w:val="20"/>
        </w:rPr>
        <w:t>las partes</w:t>
      </w:r>
      <w:r w:rsidR="000C0C54" w:rsidRPr="00016165">
        <w:rPr>
          <w:szCs w:val="20"/>
        </w:rPr>
        <w:t xml:space="preserve"> y la Comisión Interamericana</w:t>
      </w:r>
      <w:r w:rsidR="00CE6923" w:rsidRPr="00016165">
        <w:rPr>
          <w:szCs w:val="20"/>
        </w:rPr>
        <w:t xml:space="preserve">, pudiendo </w:t>
      </w:r>
      <w:r w:rsidR="00CE6923" w:rsidRPr="00016165">
        <w:rPr>
          <w:rFonts w:cs="Verdana"/>
          <w:szCs w:val="20"/>
          <w:lang w:val="es-ES"/>
        </w:rPr>
        <w:t xml:space="preserve">los representantes y el Estado </w:t>
      </w:r>
      <w:r w:rsidR="00CE6923" w:rsidRPr="001E5C95">
        <w:rPr>
          <w:rFonts w:cs="Verdana"/>
          <w:szCs w:val="20"/>
          <w:lang w:val="es-ES"/>
        </w:rPr>
        <w:t>formular preguntas de conformidad con lo que dispone el artículo 52.2 del Reglamento. E</w:t>
      </w:r>
      <w:r w:rsidR="0071541F" w:rsidRPr="001E5C95">
        <w:rPr>
          <w:szCs w:val="20"/>
        </w:rPr>
        <w:t>n su oportunidad, mediante comunicación de la Secretaría, se especificará lo pertinente para el desarrollo de dicha diligencia.</w:t>
      </w:r>
    </w:p>
    <w:p w14:paraId="6DD1D0CD" w14:textId="77777777" w:rsidR="00C82262" w:rsidRPr="001E5C95" w:rsidRDefault="00C82262" w:rsidP="0041649C">
      <w:pPr>
        <w:widowControl w:val="0"/>
        <w:tabs>
          <w:tab w:val="left" w:pos="567"/>
        </w:tabs>
        <w:autoSpaceDE w:val="0"/>
        <w:autoSpaceDN w:val="0"/>
        <w:adjustRightInd w:val="0"/>
        <w:spacing w:after="0"/>
        <w:rPr>
          <w:szCs w:val="20"/>
          <w:lang w:val="es-CR"/>
        </w:rPr>
      </w:pPr>
    </w:p>
    <w:p w14:paraId="57F730F6" w14:textId="7722E182" w:rsidR="00FC2DCF" w:rsidRPr="00B344A4" w:rsidRDefault="0014020B" w:rsidP="0041649C">
      <w:pPr>
        <w:widowControl w:val="0"/>
        <w:numPr>
          <w:ilvl w:val="0"/>
          <w:numId w:val="5"/>
        </w:numPr>
        <w:autoSpaceDE w:val="0"/>
        <w:autoSpaceDN w:val="0"/>
        <w:adjustRightInd w:val="0"/>
        <w:spacing w:after="0"/>
        <w:ind w:left="0" w:firstLine="0"/>
        <w:rPr>
          <w:szCs w:val="20"/>
        </w:rPr>
      </w:pPr>
      <w:r w:rsidRPr="00B344A4">
        <w:rPr>
          <w:szCs w:val="20"/>
        </w:rPr>
        <w:t xml:space="preserve">Modificar, en lo pertinente, el punto resolutivo </w:t>
      </w:r>
      <w:r w:rsidR="00F92B35" w:rsidRPr="00B344A4">
        <w:rPr>
          <w:szCs w:val="20"/>
        </w:rPr>
        <w:t>4</w:t>
      </w:r>
      <w:r w:rsidRPr="00B344A4">
        <w:rPr>
          <w:szCs w:val="20"/>
        </w:rPr>
        <w:t xml:space="preserve"> de la Resolución de</w:t>
      </w:r>
      <w:r w:rsidR="00F92B35" w:rsidRPr="00B344A4">
        <w:rPr>
          <w:szCs w:val="20"/>
        </w:rPr>
        <w:t xml:space="preserve"> </w:t>
      </w:r>
      <w:r w:rsidRPr="00B344A4">
        <w:rPr>
          <w:szCs w:val="20"/>
        </w:rPr>
        <w:t>l</w:t>
      </w:r>
      <w:r w:rsidR="00F92B35" w:rsidRPr="00B344A4">
        <w:rPr>
          <w:szCs w:val="20"/>
        </w:rPr>
        <w:t>a</w:t>
      </w:r>
      <w:r w:rsidRPr="00B344A4">
        <w:rPr>
          <w:szCs w:val="20"/>
        </w:rPr>
        <w:t xml:space="preserve"> President</w:t>
      </w:r>
      <w:r w:rsidR="00F92B35" w:rsidRPr="00B344A4">
        <w:rPr>
          <w:szCs w:val="20"/>
        </w:rPr>
        <w:t>a</w:t>
      </w:r>
      <w:r w:rsidRPr="00B344A4">
        <w:rPr>
          <w:szCs w:val="20"/>
        </w:rPr>
        <w:t xml:space="preserve"> de </w:t>
      </w:r>
      <w:r w:rsidR="00F92B35" w:rsidRPr="00B344A4">
        <w:rPr>
          <w:szCs w:val="20"/>
        </w:rPr>
        <w:t>30 de junio de 2020</w:t>
      </w:r>
      <w:r w:rsidRPr="00B344A4">
        <w:rPr>
          <w:szCs w:val="20"/>
        </w:rPr>
        <w:t xml:space="preserve">, en atención al </w:t>
      </w:r>
      <w:r w:rsidR="000C0C54" w:rsidRPr="00B344A4">
        <w:rPr>
          <w:szCs w:val="20"/>
        </w:rPr>
        <w:t>C</w:t>
      </w:r>
      <w:r w:rsidRPr="00B344A4">
        <w:rPr>
          <w:szCs w:val="20"/>
        </w:rPr>
        <w:t>onsiderando 1</w:t>
      </w:r>
      <w:r w:rsidR="00B344A4" w:rsidRPr="00B344A4">
        <w:rPr>
          <w:szCs w:val="20"/>
        </w:rPr>
        <w:t>7</w:t>
      </w:r>
      <w:r w:rsidRPr="00B344A4">
        <w:rPr>
          <w:szCs w:val="20"/>
        </w:rPr>
        <w:t xml:space="preserve"> de la presente Resolución</w:t>
      </w:r>
      <w:r w:rsidR="00F92B35" w:rsidRPr="00B344A4">
        <w:rPr>
          <w:szCs w:val="20"/>
        </w:rPr>
        <w:t>, en el sentido que la declaración y dictamen que, de conformidad con el punto resolutivo 1, incisos B y C, de la referida Resolución de 30 de junio</w:t>
      </w:r>
      <w:r w:rsidR="00506814" w:rsidRPr="00B344A4">
        <w:rPr>
          <w:szCs w:val="20"/>
        </w:rPr>
        <w:t xml:space="preserve"> de 2020</w:t>
      </w:r>
      <w:r w:rsidR="00F92B35" w:rsidRPr="00B344A4">
        <w:rPr>
          <w:szCs w:val="20"/>
        </w:rPr>
        <w:t xml:space="preserve">, </w:t>
      </w:r>
      <w:r w:rsidR="001301CB" w:rsidRPr="00B344A4">
        <w:rPr>
          <w:szCs w:val="20"/>
        </w:rPr>
        <w:t>serán rendidos</w:t>
      </w:r>
      <w:r w:rsidR="00791E7A" w:rsidRPr="00B344A4">
        <w:rPr>
          <w:szCs w:val="20"/>
        </w:rPr>
        <w:t>, en la medida de lo posible,</w:t>
      </w:r>
      <w:r w:rsidR="001301CB" w:rsidRPr="00B344A4">
        <w:rPr>
          <w:szCs w:val="20"/>
        </w:rPr>
        <w:t xml:space="preserve"> ante fedatario público (</w:t>
      </w:r>
      <w:r w:rsidR="001301CB" w:rsidRPr="00B344A4">
        <w:rPr>
          <w:i/>
          <w:szCs w:val="20"/>
        </w:rPr>
        <w:t>affidávit</w:t>
      </w:r>
      <w:r w:rsidR="001301CB" w:rsidRPr="00B344A4">
        <w:rPr>
          <w:szCs w:val="20"/>
        </w:rPr>
        <w:t xml:space="preserve">), deberán presentarse al Tribunal </w:t>
      </w:r>
      <w:r w:rsidR="00FC2DCF" w:rsidRPr="00B344A4">
        <w:rPr>
          <w:rFonts w:cs="Verdana"/>
          <w:szCs w:val="20"/>
          <w:lang w:val="es-ES"/>
        </w:rPr>
        <w:t xml:space="preserve">a más tardar el </w:t>
      </w:r>
      <w:r w:rsidR="002D7319" w:rsidRPr="00B344A4">
        <w:rPr>
          <w:rFonts w:cs="Verdana"/>
          <w:szCs w:val="20"/>
          <w:lang w:val="es-ES"/>
        </w:rPr>
        <w:t>4 de septiembre</w:t>
      </w:r>
      <w:r w:rsidR="00FC2DCF" w:rsidRPr="00B344A4">
        <w:rPr>
          <w:rFonts w:cs="Verdana"/>
          <w:szCs w:val="20"/>
          <w:lang w:val="es-ES"/>
        </w:rPr>
        <w:t xml:space="preserve"> de 2020.</w:t>
      </w:r>
    </w:p>
    <w:p w14:paraId="22202970" w14:textId="66E6291C" w:rsidR="00017CD7" w:rsidRPr="001E5C95" w:rsidRDefault="00017CD7" w:rsidP="0041649C">
      <w:pPr>
        <w:spacing w:after="0"/>
        <w:rPr>
          <w:szCs w:val="20"/>
          <w:lang w:val="es-CR"/>
        </w:rPr>
      </w:pPr>
    </w:p>
    <w:p w14:paraId="4E4E7749" w14:textId="0A9EFFF8" w:rsidR="001301CB" w:rsidRPr="001E5C95" w:rsidRDefault="00017CD7" w:rsidP="001301CB">
      <w:pPr>
        <w:widowControl w:val="0"/>
        <w:numPr>
          <w:ilvl w:val="0"/>
          <w:numId w:val="5"/>
        </w:numPr>
        <w:tabs>
          <w:tab w:val="left" w:pos="567"/>
        </w:tabs>
        <w:autoSpaceDE w:val="0"/>
        <w:autoSpaceDN w:val="0"/>
        <w:adjustRightInd w:val="0"/>
        <w:spacing w:after="0"/>
        <w:ind w:left="0" w:firstLine="0"/>
        <w:rPr>
          <w:szCs w:val="20"/>
          <w:lang w:val="es-CR"/>
        </w:rPr>
      </w:pPr>
      <w:r w:rsidRPr="001E5C95">
        <w:rPr>
          <w:color w:val="000000"/>
          <w:szCs w:val="20"/>
          <w:lang w:val="es-CR"/>
        </w:rPr>
        <w:t xml:space="preserve">Disponer que la Secretaría de la Corte Interamericana notifique la presente Resolución a la Comisión Interamericana de Derechos Humanos, a los representantes de las presuntas víctimas y </w:t>
      </w:r>
      <w:r w:rsidR="00A22CC3" w:rsidRPr="001E5C95">
        <w:rPr>
          <w:color w:val="000000"/>
          <w:szCs w:val="20"/>
          <w:lang w:val="es-CR"/>
        </w:rPr>
        <w:t>a</w:t>
      </w:r>
      <w:r w:rsidR="007D4158" w:rsidRPr="001E5C95">
        <w:rPr>
          <w:color w:val="000000"/>
          <w:szCs w:val="20"/>
          <w:lang w:val="es-CR"/>
        </w:rPr>
        <w:t xml:space="preserve"> Venezuela</w:t>
      </w:r>
      <w:r w:rsidRPr="001E5C95">
        <w:rPr>
          <w:color w:val="000000"/>
          <w:szCs w:val="20"/>
          <w:lang w:val="es-CR"/>
        </w:rPr>
        <w:t>.</w:t>
      </w:r>
    </w:p>
    <w:p w14:paraId="75D8D860" w14:textId="77777777" w:rsidR="00017CD7" w:rsidRPr="0041649C" w:rsidRDefault="00017CD7" w:rsidP="0041649C">
      <w:pPr>
        <w:spacing w:after="0"/>
        <w:rPr>
          <w:szCs w:val="20"/>
        </w:rPr>
      </w:pPr>
    </w:p>
    <w:p w14:paraId="27A9F572" w14:textId="58FAE8C2" w:rsidR="00D10B55" w:rsidRDefault="007D4158" w:rsidP="0041649C">
      <w:pPr>
        <w:spacing w:after="0"/>
        <w:rPr>
          <w:szCs w:val="20"/>
          <w:lang w:val="es-ES"/>
        </w:rPr>
      </w:pPr>
      <w:r w:rsidRPr="00016165">
        <w:rPr>
          <w:szCs w:val="20"/>
          <w:lang w:val="es-ES"/>
        </w:rPr>
        <w:t xml:space="preserve">Corte IDH. </w:t>
      </w:r>
      <w:r w:rsidRPr="00016165">
        <w:rPr>
          <w:i/>
          <w:szCs w:val="20"/>
          <w:lang w:val="es-ES"/>
        </w:rPr>
        <w:t xml:space="preserve">Caso </w:t>
      </w:r>
      <w:r w:rsidRPr="00016165">
        <w:rPr>
          <w:i/>
          <w:iCs/>
          <w:szCs w:val="20"/>
          <w:lang w:val="es-CR"/>
        </w:rPr>
        <w:t>Olivares Muñoz y otros Vs. Venezuela</w:t>
      </w:r>
      <w:r w:rsidRPr="00016165">
        <w:rPr>
          <w:iCs/>
          <w:szCs w:val="20"/>
          <w:lang w:val="es-CR"/>
        </w:rPr>
        <w:t>. Resolución</w:t>
      </w:r>
      <w:r w:rsidRPr="00016165">
        <w:rPr>
          <w:szCs w:val="20"/>
          <w:lang w:val="es-ES"/>
        </w:rPr>
        <w:t xml:space="preserve"> de la Corte Interamericana de Derechos Humanos de </w:t>
      </w:r>
      <w:r w:rsidR="00B24484" w:rsidRPr="00016165">
        <w:rPr>
          <w:szCs w:val="20"/>
          <w:lang w:val="es-ES"/>
        </w:rPr>
        <w:t>29</w:t>
      </w:r>
      <w:r w:rsidRPr="00016165">
        <w:rPr>
          <w:szCs w:val="20"/>
          <w:lang w:val="es-ES"/>
        </w:rPr>
        <w:t xml:space="preserve"> de </w:t>
      </w:r>
      <w:r w:rsidR="00B24484" w:rsidRPr="00016165">
        <w:rPr>
          <w:szCs w:val="20"/>
          <w:lang w:val="es-ES"/>
        </w:rPr>
        <w:t>julio</w:t>
      </w:r>
      <w:r w:rsidRPr="00016165">
        <w:rPr>
          <w:szCs w:val="20"/>
          <w:lang w:val="es-ES"/>
        </w:rPr>
        <w:t xml:space="preserve"> de 2020.</w:t>
      </w:r>
    </w:p>
    <w:p w14:paraId="541F44E1" w14:textId="77777777" w:rsidR="002C66D7" w:rsidRDefault="002C66D7" w:rsidP="002C66D7">
      <w:pPr>
        <w:spacing w:after="0"/>
        <w:rPr>
          <w:szCs w:val="20"/>
          <w:lang w:val="es-ES"/>
        </w:rPr>
      </w:pPr>
    </w:p>
    <w:p w14:paraId="29F0F862" w14:textId="30327896" w:rsidR="002C66D7" w:rsidRDefault="002C66D7" w:rsidP="002C66D7">
      <w:pPr>
        <w:spacing w:after="0"/>
        <w:jc w:val="center"/>
        <w:rPr>
          <w:lang w:val="pt-BR"/>
        </w:rPr>
      </w:pPr>
    </w:p>
    <w:p w14:paraId="76EAA08A" w14:textId="37B7B12E" w:rsidR="002C66D7" w:rsidRDefault="002C66D7" w:rsidP="002C66D7">
      <w:pPr>
        <w:spacing w:after="0"/>
        <w:jc w:val="center"/>
        <w:rPr>
          <w:lang w:val="pt-BR"/>
        </w:rPr>
      </w:pPr>
    </w:p>
    <w:p w14:paraId="221DCD70" w14:textId="138E792F" w:rsidR="002C66D7" w:rsidRDefault="002C66D7" w:rsidP="002C66D7">
      <w:pPr>
        <w:spacing w:after="0"/>
        <w:jc w:val="center"/>
        <w:rPr>
          <w:lang w:val="pt-BR"/>
        </w:rPr>
      </w:pPr>
    </w:p>
    <w:p w14:paraId="6C5F0C8A" w14:textId="60C695C9" w:rsidR="002C66D7" w:rsidRDefault="002C66D7" w:rsidP="002C66D7">
      <w:pPr>
        <w:spacing w:after="0"/>
        <w:jc w:val="center"/>
        <w:rPr>
          <w:lang w:val="pt-BR"/>
        </w:rPr>
      </w:pPr>
    </w:p>
    <w:p w14:paraId="1570F595" w14:textId="70CAC294" w:rsidR="002C66D7" w:rsidRDefault="002638B2" w:rsidP="002638B2">
      <w:pPr>
        <w:tabs>
          <w:tab w:val="left" w:pos="2027"/>
        </w:tabs>
        <w:spacing w:after="0"/>
        <w:rPr>
          <w:lang w:val="pt-BR"/>
        </w:rPr>
      </w:pPr>
      <w:r>
        <w:rPr>
          <w:lang w:val="pt-BR"/>
        </w:rPr>
        <w:tab/>
      </w:r>
    </w:p>
    <w:p w14:paraId="1C7599E0" w14:textId="4BCA102C" w:rsidR="002C66D7" w:rsidRDefault="002C66D7" w:rsidP="002C66D7">
      <w:pPr>
        <w:spacing w:after="0"/>
        <w:jc w:val="center"/>
        <w:rPr>
          <w:lang w:val="pt-BR"/>
        </w:rPr>
      </w:pPr>
      <w:r>
        <w:rPr>
          <w:lang w:val="pt-BR"/>
        </w:rPr>
        <w:t>Elizabeth Odio Benito</w:t>
      </w:r>
    </w:p>
    <w:p w14:paraId="669CEAC8" w14:textId="4ED032D1" w:rsidR="002C66D7" w:rsidRDefault="002C66D7" w:rsidP="002C66D7">
      <w:pPr>
        <w:spacing w:after="0"/>
        <w:jc w:val="center"/>
        <w:rPr>
          <w:lang w:val="pt-BR"/>
        </w:rPr>
      </w:pPr>
      <w:r>
        <w:rPr>
          <w:lang w:val="pt-BR"/>
        </w:rPr>
        <w:t>Presidenta</w:t>
      </w:r>
    </w:p>
    <w:p w14:paraId="2CE7F4A4" w14:textId="1B48CF69" w:rsidR="002C66D7" w:rsidRDefault="002C66D7" w:rsidP="002C66D7">
      <w:pPr>
        <w:spacing w:after="0"/>
        <w:jc w:val="center"/>
        <w:rPr>
          <w:lang w:val="pt-BR"/>
        </w:rPr>
      </w:pPr>
    </w:p>
    <w:p w14:paraId="59A10654" w14:textId="69E83751" w:rsidR="002C66D7" w:rsidRDefault="002C66D7" w:rsidP="00C2785C">
      <w:pPr>
        <w:spacing w:after="0"/>
        <w:rPr>
          <w:lang w:val="pt-BR"/>
        </w:rPr>
      </w:pPr>
    </w:p>
    <w:p w14:paraId="117C9AB0" w14:textId="12B89499" w:rsidR="002C66D7" w:rsidRDefault="002C66D7" w:rsidP="002638B2">
      <w:pPr>
        <w:spacing w:after="0"/>
        <w:ind w:firstLine="720"/>
        <w:rPr>
          <w:lang w:val="pt-BR"/>
        </w:rPr>
      </w:pPr>
    </w:p>
    <w:p w14:paraId="74470111" w14:textId="243A52FF" w:rsidR="002C66D7" w:rsidRDefault="002C66D7" w:rsidP="002C66D7">
      <w:pPr>
        <w:spacing w:after="0"/>
        <w:rPr>
          <w:lang w:val="pt-BR"/>
        </w:rPr>
      </w:pPr>
    </w:p>
    <w:p w14:paraId="6300CCAE" w14:textId="5349BC78" w:rsidR="002C66D7" w:rsidRDefault="002C66D7" w:rsidP="002C66D7">
      <w:pPr>
        <w:spacing w:after="0"/>
        <w:rPr>
          <w:lang w:val="pt-BR"/>
        </w:rPr>
      </w:pPr>
      <w:r>
        <w:rPr>
          <w:lang w:val="pt-BR"/>
        </w:rPr>
        <w:t>L. Patricio Pazmiño Frei</w:t>
      </w:r>
      <w:r w:rsidRPr="0019261A">
        <w:rPr>
          <w:lang w:val="pt-BR"/>
        </w:rPr>
        <w:t>re</w:t>
      </w:r>
      <w:r>
        <w:rPr>
          <w:lang w:val="pt-BR"/>
        </w:rPr>
        <w:tab/>
      </w:r>
      <w:r>
        <w:rPr>
          <w:lang w:val="pt-BR"/>
        </w:rPr>
        <w:tab/>
      </w:r>
      <w:r>
        <w:rPr>
          <w:lang w:val="pt-BR"/>
        </w:rPr>
        <w:tab/>
      </w:r>
      <w:r>
        <w:rPr>
          <w:lang w:val="pt-BR"/>
        </w:rPr>
        <w:tab/>
      </w:r>
      <w:r>
        <w:rPr>
          <w:lang w:val="pt-BR"/>
        </w:rPr>
        <w:tab/>
      </w:r>
      <w:r>
        <w:rPr>
          <w:lang w:val="pt-BR"/>
        </w:rPr>
        <w:tab/>
      </w:r>
      <w:r>
        <w:rPr>
          <w:lang w:val="pt-BR"/>
        </w:rPr>
        <w:tab/>
        <w:t>Eduardo Vio Grossi</w:t>
      </w:r>
    </w:p>
    <w:p w14:paraId="30B91171" w14:textId="78C68867" w:rsidR="002C66D7" w:rsidRDefault="002C66D7" w:rsidP="002C66D7">
      <w:pPr>
        <w:spacing w:after="0"/>
        <w:rPr>
          <w:lang w:val="pt-BR"/>
        </w:rPr>
      </w:pPr>
    </w:p>
    <w:p w14:paraId="46DEFAE9" w14:textId="187FF454" w:rsidR="002C66D7" w:rsidRDefault="002C66D7" w:rsidP="002C66D7">
      <w:pPr>
        <w:spacing w:after="0"/>
        <w:rPr>
          <w:lang w:val="pt-BR"/>
        </w:rPr>
      </w:pPr>
    </w:p>
    <w:p w14:paraId="734C94D5" w14:textId="2BCE4C17" w:rsidR="002C66D7" w:rsidRDefault="002C66D7" w:rsidP="002C66D7">
      <w:pPr>
        <w:spacing w:after="0"/>
        <w:rPr>
          <w:lang w:val="pt-BR"/>
        </w:rPr>
      </w:pPr>
    </w:p>
    <w:p w14:paraId="5BF6A790" w14:textId="673A8CDE" w:rsidR="002C66D7" w:rsidRDefault="002C66D7" w:rsidP="002C66D7">
      <w:pPr>
        <w:spacing w:after="0"/>
        <w:rPr>
          <w:lang w:val="pt-BR"/>
        </w:rPr>
      </w:pPr>
    </w:p>
    <w:p w14:paraId="208726A4" w14:textId="4F0B0302" w:rsidR="002C66D7" w:rsidRDefault="002C66D7" w:rsidP="002C66D7">
      <w:pPr>
        <w:spacing w:after="0"/>
        <w:rPr>
          <w:lang w:val="pt-BR"/>
        </w:rPr>
      </w:pPr>
    </w:p>
    <w:p w14:paraId="7BE2278F" w14:textId="17520E66" w:rsidR="002C66D7" w:rsidRDefault="002C66D7" w:rsidP="002C66D7">
      <w:pPr>
        <w:spacing w:after="0"/>
        <w:rPr>
          <w:lang w:val="pt-BR"/>
        </w:rPr>
      </w:pPr>
      <w:r>
        <w:rPr>
          <w:lang w:val="pt-BR"/>
        </w:rPr>
        <w:t>Humberto Antonio Sierra Porto</w:t>
      </w:r>
      <w:r>
        <w:rPr>
          <w:lang w:val="pt-BR"/>
        </w:rPr>
        <w:tab/>
      </w:r>
      <w:r>
        <w:rPr>
          <w:lang w:val="pt-BR"/>
        </w:rPr>
        <w:tab/>
      </w:r>
      <w:r>
        <w:rPr>
          <w:lang w:val="pt-BR"/>
        </w:rPr>
        <w:tab/>
      </w:r>
      <w:r>
        <w:rPr>
          <w:lang w:val="pt-BR"/>
        </w:rPr>
        <w:tab/>
        <w:t xml:space="preserve">   Eduardo Ferrer Mac-Gregor Poisot</w:t>
      </w:r>
      <w:r w:rsidRPr="0019261A">
        <w:rPr>
          <w:lang w:val="pt-BR"/>
        </w:rPr>
        <w:tab/>
      </w:r>
      <w:r>
        <w:rPr>
          <w:lang w:val="pt-BR"/>
        </w:rPr>
        <w:t xml:space="preserve">                                                   </w:t>
      </w:r>
    </w:p>
    <w:p w14:paraId="2E148BD1" w14:textId="04D670EE" w:rsidR="002C66D7" w:rsidRDefault="002C66D7" w:rsidP="002C66D7">
      <w:pPr>
        <w:spacing w:after="0"/>
        <w:rPr>
          <w:lang w:val="pt-BR"/>
        </w:rPr>
      </w:pPr>
    </w:p>
    <w:p w14:paraId="654495EF" w14:textId="6C8EB6A8" w:rsidR="002C66D7" w:rsidRDefault="002C66D7" w:rsidP="002C66D7">
      <w:pPr>
        <w:spacing w:after="0"/>
        <w:rPr>
          <w:lang w:val="pt-BR"/>
        </w:rPr>
      </w:pPr>
    </w:p>
    <w:p w14:paraId="1338D6D5" w14:textId="3B49BC9C" w:rsidR="002C66D7" w:rsidRDefault="002C66D7" w:rsidP="002C66D7">
      <w:pPr>
        <w:spacing w:after="0"/>
        <w:rPr>
          <w:lang w:val="pt-BR"/>
        </w:rPr>
      </w:pPr>
    </w:p>
    <w:p w14:paraId="0696572A" w14:textId="6B677BDE" w:rsidR="002C66D7" w:rsidRDefault="002C66D7" w:rsidP="002C66D7">
      <w:pPr>
        <w:spacing w:after="0"/>
        <w:rPr>
          <w:lang w:val="pt-BR"/>
        </w:rPr>
      </w:pPr>
    </w:p>
    <w:p w14:paraId="509A990F" w14:textId="3A0249D0" w:rsidR="002C66D7" w:rsidRDefault="002C66D7" w:rsidP="002C66D7">
      <w:pPr>
        <w:spacing w:after="0"/>
        <w:rPr>
          <w:lang w:val="pt-BR"/>
        </w:rPr>
      </w:pPr>
    </w:p>
    <w:p w14:paraId="55EEB422" w14:textId="3D661A02" w:rsidR="002C66D7" w:rsidRPr="0019261A" w:rsidRDefault="002C66D7" w:rsidP="002C66D7">
      <w:pPr>
        <w:spacing w:after="0"/>
        <w:rPr>
          <w:lang w:val="pt-BR"/>
        </w:rPr>
      </w:pPr>
      <w:r>
        <w:rPr>
          <w:lang w:val="pt-BR"/>
        </w:rPr>
        <w:t>Eugenio Raúl Zaffaroni</w:t>
      </w:r>
      <w:r>
        <w:rPr>
          <w:lang w:val="pt-BR"/>
        </w:rPr>
        <w:tab/>
      </w:r>
      <w:r>
        <w:rPr>
          <w:lang w:val="pt-BR"/>
        </w:rPr>
        <w:tab/>
      </w:r>
      <w:r>
        <w:rPr>
          <w:lang w:val="pt-BR"/>
        </w:rPr>
        <w:tab/>
        <w:t xml:space="preserve">                                  Ricardo C. Pérez Manrique</w:t>
      </w:r>
    </w:p>
    <w:p w14:paraId="41815478" w14:textId="28DCFA16" w:rsidR="002C66D7" w:rsidRDefault="002C66D7" w:rsidP="002C66D7">
      <w:pPr>
        <w:spacing w:after="0"/>
        <w:rPr>
          <w:lang w:val="pt-BR"/>
        </w:rPr>
      </w:pPr>
    </w:p>
    <w:p w14:paraId="19924A73" w14:textId="7F1FC3F2" w:rsidR="002C66D7" w:rsidRDefault="002C66D7" w:rsidP="002C66D7">
      <w:pPr>
        <w:spacing w:after="0"/>
        <w:rPr>
          <w:lang w:val="pt-BR"/>
        </w:rPr>
      </w:pPr>
    </w:p>
    <w:p w14:paraId="1C3EE2DD" w14:textId="0303F081" w:rsidR="002C66D7" w:rsidRDefault="002C66D7" w:rsidP="002C66D7">
      <w:pPr>
        <w:spacing w:after="0"/>
        <w:rPr>
          <w:lang w:val="pt-BR"/>
        </w:rPr>
      </w:pPr>
    </w:p>
    <w:p w14:paraId="3391FDE5" w14:textId="4FFB41A6" w:rsidR="002C66D7" w:rsidRPr="0019261A" w:rsidRDefault="002C66D7" w:rsidP="002C66D7">
      <w:pPr>
        <w:spacing w:after="0"/>
        <w:rPr>
          <w:lang w:val="pt-BR"/>
        </w:rPr>
      </w:pPr>
    </w:p>
    <w:p w14:paraId="02C60A38" w14:textId="6D1E4041" w:rsidR="002C66D7" w:rsidRPr="0019261A" w:rsidRDefault="002C66D7" w:rsidP="002C66D7">
      <w:pPr>
        <w:spacing w:after="0"/>
        <w:rPr>
          <w:lang w:val="pt-BR"/>
        </w:rPr>
      </w:pPr>
    </w:p>
    <w:p w14:paraId="0282B986" w14:textId="6FF9152B" w:rsidR="002C66D7" w:rsidRPr="00FC4051" w:rsidRDefault="002C66D7" w:rsidP="002C66D7">
      <w:pPr>
        <w:spacing w:after="0"/>
        <w:jc w:val="center"/>
        <w:rPr>
          <w:lang w:val="pt-BR"/>
        </w:rPr>
      </w:pPr>
      <w:r w:rsidRPr="00FC4051">
        <w:rPr>
          <w:lang w:val="pt-BR"/>
        </w:rPr>
        <w:t>Pablo Saavedra Alessandri</w:t>
      </w:r>
    </w:p>
    <w:p w14:paraId="6C13FF7A" w14:textId="06834231" w:rsidR="002C66D7" w:rsidRDefault="002C66D7" w:rsidP="002C66D7">
      <w:pPr>
        <w:spacing w:after="0"/>
        <w:jc w:val="center"/>
        <w:rPr>
          <w:lang w:val="pt-BR"/>
        </w:rPr>
      </w:pPr>
      <w:r w:rsidRPr="00FC4051">
        <w:rPr>
          <w:lang w:val="pt-BR"/>
        </w:rPr>
        <w:t>Secret</w:t>
      </w:r>
      <w:r>
        <w:rPr>
          <w:lang w:val="pt-BR"/>
        </w:rPr>
        <w:t>a</w:t>
      </w:r>
      <w:r w:rsidRPr="00FC4051">
        <w:rPr>
          <w:lang w:val="pt-BR"/>
        </w:rPr>
        <w:t>rio</w:t>
      </w:r>
    </w:p>
    <w:p w14:paraId="563CEC31" w14:textId="1DA89AD5" w:rsidR="002C66D7" w:rsidRPr="00FC4051" w:rsidRDefault="002C66D7" w:rsidP="002C66D7">
      <w:pPr>
        <w:pStyle w:val="Textonotapie"/>
        <w:rPr>
          <w:lang w:val="pt-BR"/>
        </w:rPr>
      </w:pPr>
    </w:p>
    <w:p w14:paraId="361FEF40" w14:textId="25DD16D9" w:rsidR="002C66D7" w:rsidRPr="00FC4051" w:rsidRDefault="002C66D7" w:rsidP="002C66D7">
      <w:pPr>
        <w:spacing w:after="0"/>
        <w:rPr>
          <w:lang w:val="pt-BR"/>
        </w:rPr>
      </w:pPr>
      <w:r>
        <w:rPr>
          <w:lang w:val="pt-BR"/>
        </w:rPr>
        <w:t>Comuníquese y ejecútese</w:t>
      </w:r>
      <w:r w:rsidRPr="00FC4051">
        <w:rPr>
          <w:lang w:val="pt-BR"/>
        </w:rPr>
        <w:t>,</w:t>
      </w:r>
    </w:p>
    <w:p w14:paraId="022A321C" w14:textId="14B99002" w:rsidR="002C66D7" w:rsidRPr="00FC4051" w:rsidRDefault="002C66D7" w:rsidP="002C66D7">
      <w:pPr>
        <w:spacing w:after="0"/>
        <w:rPr>
          <w:lang w:val="pt-BR"/>
        </w:rPr>
      </w:pPr>
    </w:p>
    <w:p w14:paraId="1B6EB82E" w14:textId="792E07C9" w:rsidR="002C66D7" w:rsidRDefault="002C66D7" w:rsidP="002C66D7">
      <w:pPr>
        <w:spacing w:after="0"/>
        <w:jc w:val="center"/>
        <w:rPr>
          <w:lang w:val="pt-BR"/>
        </w:rPr>
      </w:pPr>
    </w:p>
    <w:p w14:paraId="019C6E64" w14:textId="2D8D37F6" w:rsidR="002C66D7" w:rsidRPr="00FC4051" w:rsidRDefault="002C66D7" w:rsidP="002C66D7">
      <w:pPr>
        <w:spacing w:after="0"/>
        <w:jc w:val="right"/>
        <w:rPr>
          <w:lang w:val="pt-BR"/>
        </w:rPr>
      </w:pPr>
    </w:p>
    <w:p w14:paraId="6943B636" w14:textId="345CAF01" w:rsidR="002C66D7" w:rsidRDefault="002C66D7" w:rsidP="002C66D7">
      <w:pPr>
        <w:spacing w:after="0"/>
        <w:jc w:val="center"/>
        <w:rPr>
          <w:lang w:val="pt-BR"/>
        </w:rPr>
      </w:pPr>
      <w:r>
        <w:rPr>
          <w:lang w:val="pt-BR"/>
        </w:rPr>
        <w:t xml:space="preserve">                                                                                                Elizabeth Odio Benito</w:t>
      </w:r>
    </w:p>
    <w:p w14:paraId="65B2252F" w14:textId="4A3F1427" w:rsidR="002C66D7" w:rsidRDefault="002C66D7" w:rsidP="002C66D7">
      <w:pPr>
        <w:spacing w:after="0"/>
        <w:ind w:firstLine="720"/>
        <w:rPr>
          <w:lang w:val="pt-BR"/>
        </w:rPr>
      </w:pPr>
      <w:r>
        <w:rPr>
          <w:lang w:val="pt-BR"/>
        </w:rPr>
        <w:t xml:space="preserve">     </w:t>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Presidenta</w:t>
      </w:r>
    </w:p>
    <w:p w14:paraId="7E497322" w14:textId="61D66680" w:rsidR="002C66D7" w:rsidRPr="00FC4051" w:rsidRDefault="002C66D7" w:rsidP="002C66D7">
      <w:pPr>
        <w:spacing w:after="0"/>
        <w:rPr>
          <w:lang w:val="pt-BR"/>
        </w:rPr>
      </w:pPr>
    </w:p>
    <w:p w14:paraId="4CB214F5" w14:textId="3F5BE7ED" w:rsidR="002C66D7" w:rsidRDefault="002C66D7" w:rsidP="002C66D7">
      <w:pPr>
        <w:spacing w:after="0"/>
        <w:rPr>
          <w:lang w:val="pt-BR"/>
        </w:rPr>
      </w:pPr>
    </w:p>
    <w:p w14:paraId="66DAE83F" w14:textId="5A473523" w:rsidR="002C66D7" w:rsidRDefault="002C66D7" w:rsidP="002C66D7">
      <w:pPr>
        <w:spacing w:after="0"/>
        <w:rPr>
          <w:lang w:val="pt-BR"/>
        </w:rPr>
      </w:pPr>
    </w:p>
    <w:p w14:paraId="770CB2A4" w14:textId="77777777" w:rsidR="002C66D7" w:rsidRPr="00FC4051" w:rsidRDefault="002C66D7" w:rsidP="002C66D7">
      <w:pPr>
        <w:spacing w:after="0"/>
        <w:rPr>
          <w:lang w:val="pt-BR"/>
        </w:rPr>
      </w:pPr>
    </w:p>
    <w:p w14:paraId="3D2E4426" w14:textId="77777777" w:rsidR="002C66D7" w:rsidRPr="00FC4051" w:rsidRDefault="002C66D7" w:rsidP="002C66D7">
      <w:pPr>
        <w:spacing w:after="0"/>
        <w:rPr>
          <w:lang w:val="pt-BR"/>
        </w:rPr>
      </w:pPr>
      <w:r w:rsidRPr="00FC4051">
        <w:rPr>
          <w:lang w:val="pt-BR"/>
        </w:rPr>
        <w:t>Pablo Saavedra Alessandri</w:t>
      </w:r>
    </w:p>
    <w:p w14:paraId="4EA246A0" w14:textId="298A1AE4" w:rsidR="002C66D7" w:rsidRPr="0041649C" w:rsidRDefault="002C66D7" w:rsidP="002C66D7">
      <w:pPr>
        <w:spacing w:after="0"/>
        <w:rPr>
          <w:szCs w:val="20"/>
          <w:lang w:val="es-ES"/>
        </w:rPr>
      </w:pPr>
      <w:r>
        <w:rPr>
          <w:lang w:val="pt-BR"/>
        </w:rPr>
        <w:t xml:space="preserve">          </w:t>
      </w:r>
      <w:r w:rsidRPr="0019261A">
        <w:rPr>
          <w:lang w:val="es-ES"/>
        </w:rPr>
        <w:t>Secret</w:t>
      </w:r>
      <w:r>
        <w:rPr>
          <w:lang w:val="es-ES"/>
        </w:rPr>
        <w:t>ario</w:t>
      </w:r>
    </w:p>
    <w:sectPr w:rsidR="002C66D7" w:rsidRPr="0041649C" w:rsidSect="003B5C87">
      <w:headerReference w:type="default" r:id="rId8"/>
      <w:footerReference w:type="default" r:id="rId9"/>
      <w:footerReference w:type="first" r:id="rId1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E732" w14:textId="77777777" w:rsidR="00A03CF3" w:rsidRDefault="00A03CF3" w:rsidP="001F6312">
      <w:pPr>
        <w:spacing w:after="0"/>
      </w:pPr>
      <w:r>
        <w:separator/>
      </w:r>
    </w:p>
  </w:endnote>
  <w:endnote w:type="continuationSeparator" w:id="0">
    <w:p w14:paraId="143AF19D" w14:textId="77777777" w:rsidR="00A03CF3" w:rsidRDefault="00A03CF3" w:rsidP="001F63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2745459"/>
      <w:docPartObj>
        <w:docPartGallery w:val="Page Numbers (Bottom of Page)"/>
        <w:docPartUnique/>
      </w:docPartObj>
    </w:sdtPr>
    <w:sdtEndPr>
      <w:rPr>
        <w:noProof/>
      </w:rPr>
    </w:sdtEndPr>
    <w:sdtContent>
      <w:p w14:paraId="54C8AEA3" w14:textId="02D430D4" w:rsidR="00536DE4" w:rsidRDefault="00536DE4">
        <w:pPr>
          <w:pStyle w:val="Piedepgina"/>
          <w:jc w:val="center"/>
        </w:pPr>
        <w:r>
          <w:fldChar w:fldCharType="begin"/>
        </w:r>
        <w:r>
          <w:instrText xml:space="preserve"> PAGE   \* MERGEFORMAT </w:instrText>
        </w:r>
        <w:r>
          <w:fldChar w:fldCharType="separate"/>
        </w:r>
        <w:r w:rsidR="00C2785C">
          <w:rPr>
            <w:noProof/>
          </w:rPr>
          <w:t>5</w:t>
        </w:r>
        <w:r>
          <w:rPr>
            <w:noProof/>
          </w:rPr>
          <w:fldChar w:fldCharType="end"/>
        </w:r>
      </w:p>
    </w:sdtContent>
  </w:sdt>
  <w:p w14:paraId="31E07437" w14:textId="77777777" w:rsidR="00536DE4" w:rsidRDefault="00536D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743C4" w14:textId="77777777" w:rsidR="00536DE4" w:rsidRDefault="00536DE4">
    <w:pPr>
      <w:pStyle w:val="Piedepgina"/>
      <w:jc w:val="center"/>
    </w:pPr>
  </w:p>
  <w:p w14:paraId="669FA4F2" w14:textId="77777777" w:rsidR="00536DE4" w:rsidRDefault="00536D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FF08D" w14:textId="77777777" w:rsidR="00A03CF3" w:rsidRDefault="00A03CF3" w:rsidP="001F6312">
      <w:pPr>
        <w:spacing w:after="0"/>
      </w:pPr>
      <w:r>
        <w:separator/>
      </w:r>
    </w:p>
  </w:footnote>
  <w:footnote w:type="continuationSeparator" w:id="0">
    <w:p w14:paraId="016C498E" w14:textId="77777777" w:rsidR="00A03CF3" w:rsidRDefault="00A03CF3" w:rsidP="001F6312">
      <w:pPr>
        <w:spacing w:after="0"/>
      </w:pPr>
      <w:r>
        <w:continuationSeparator/>
      </w:r>
    </w:p>
  </w:footnote>
  <w:footnote w:id="1">
    <w:p w14:paraId="471FC51E" w14:textId="0F19049E" w:rsidR="00F4655F" w:rsidRPr="0041649C" w:rsidRDefault="00F4655F" w:rsidP="0041649C">
      <w:pPr>
        <w:pStyle w:val="Textonotapie"/>
        <w:tabs>
          <w:tab w:val="left" w:pos="567"/>
        </w:tabs>
        <w:spacing w:before="120" w:after="120"/>
        <w:rPr>
          <w:sz w:val="16"/>
          <w:szCs w:val="16"/>
        </w:rPr>
      </w:pPr>
      <w:r w:rsidRPr="0041649C">
        <w:rPr>
          <w:color w:val="000000"/>
          <w:sz w:val="16"/>
          <w:szCs w:val="16"/>
          <w:shd w:val="clear" w:color="auto" w:fill="FFFFFF"/>
          <w:vertAlign w:val="superscript"/>
        </w:rPr>
        <w:t>*</w:t>
      </w:r>
      <w:r w:rsidRPr="0041649C">
        <w:rPr>
          <w:color w:val="000000"/>
          <w:sz w:val="16"/>
          <w:szCs w:val="16"/>
          <w:shd w:val="clear" w:color="auto" w:fill="FFFFFF"/>
          <w:vertAlign w:val="superscript"/>
        </w:rPr>
        <w:tab/>
      </w:r>
      <w:r w:rsidRPr="0041649C">
        <w:rPr>
          <w:color w:val="000000"/>
          <w:sz w:val="16"/>
          <w:szCs w:val="16"/>
          <w:shd w:val="clear" w:color="auto" w:fill="FFFFFF"/>
        </w:rPr>
        <w:t xml:space="preserve">Debido a las circunstancias excepcionales ocasionadas por la pandemia COVID-19, esta Resolución fue deliberada y aprobada durante el </w:t>
      </w:r>
      <w:r w:rsidR="00C63B8C">
        <w:rPr>
          <w:color w:val="000000"/>
          <w:sz w:val="16"/>
          <w:szCs w:val="16"/>
          <w:shd w:val="clear" w:color="auto" w:fill="FFFFFF"/>
        </w:rPr>
        <w:t>135</w:t>
      </w:r>
      <w:r w:rsidRPr="0041649C">
        <w:rPr>
          <w:color w:val="000000"/>
          <w:sz w:val="16"/>
          <w:szCs w:val="16"/>
          <w:shd w:val="clear" w:color="auto" w:fill="FFFFFF"/>
        </w:rPr>
        <w:t xml:space="preserve"> Período Ordinario de Sesiones, el cual se llevó a cabo de forma no presencial utilizando medios tecnológicos de conformidad con lo establecido en el Reglamento de la Corte.</w:t>
      </w:r>
    </w:p>
    <w:p w14:paraId="07A1CE81" w14:textId="0B1042B3" w:rsidR="00536DE4" w:rsidRPr="0041649C" w:rsidRDefault="00536DE4" w:rsidP="0041649C">
      <w:pPr>
        <w:pStyle w:val="Textonotapie"/>
        <w:tabs>
          <w:tab w:val="left" w:pos="567"/>
        </w:tabs>
        <w:spacing w:before="120" w:after="120"/>
        <w:rPr>
          <w:sz w:val="16"/>
          <w:szCs w:val="16"/>
          <w:lang w:val="es-GT"/>
        </w:rPr>
      </w:pPr>
      <w:r w:rsidRPr="0041649C">
        <w:rPr>
          <w:rStyle w:val="Refdenotaalpie"/>
          <w:sz w:val="16"/>
          <w:szCs w:val="16"/>
        </w:rPr>
        <w:footnoteRef/>
      </w:r>
      <w:r w:rsidRPr="0041649C">
        <w:rPr>
          <w:sz w:val="16"/>
          <w:szCs w:val="16"/>
        </w:rPr>
        <w:t xml:space="preserve"> </w:t>
      </w:r>
      <w:r w:rsidRPr="0041649C">
        <w:rPr>
          <w:sz w:val="16"/>
          <w:szCs w:val="16"/>
          <w:lang w:val="es-GT"/>
        </w:rPr>
        <w:tab/>
        <w:t xml:space="preserve">En dicha Resolución fueron admitidas las </w:t>
      </w:r>
      <w:r w:rsidRPr="0041649C">
        <w:rPr>
          <w:sz w:val="16"/>
          <w:szCs w:val="16"/>
        </w:rPr>
        <w:t xml:space="preserve">declaraciones de las siguientes personas: a) Lorenza Josefina Pérez de Olivares (presunta víctima, propuesta por los representantes); b) </w:t>
      </w:r>
      <w:r w:rsidRPr="0041649C">
        <w:rPr>
          <w:rFonts w:cs="TimesNewRomanPS-BoldMT"/>
          <w:sz w:val="16"/>
          <w:szCs w:val="16"/>
          <w:lang w:val="es-CR" w:eastAsia="es-CR"/>
        </w:rPr>
        <w:t xml:space="preserve">Antonieta </w:t>
      </w:r>
      <w:proofErr w:type="spellStart"/>
      <w:r w:rsidRPr="0041649C">
        <w:rPr>
          <w:rFonts w:cs="TimesNewRomanPS-BoldMT"/>
          <w:sz w:val="16"/>
          <w:szCs w:val="16"/>
          <w:lang w:val="es-CR" w:eastAsia="es-CR"/>
        </w:rPr>
        <w:t>Dominicis</w:t>
      </w:r>
      <w:proofErr w:type="spellEnd"/>
      <w:r w:rsidRPr="0041649C">
        <w:rPr>
          <w:rFonts w:cs="TimesNewRomanPS-BoldMT"/>
          <w:sz w:val="16"/>
          <w:szCs w:val="16"/>
          <w:lang w:eastAsia="es-CR"/>
        </w:rPr>
        <w:t xml:space="preserve"> (testigo,</w:t>
      </w:r>
      <w:r w:rsidRPr="0041649C">
        <w:rPr>
          <w:rFonts w:cs="TimesNewRomanPS-BoldMT"/>
          <w:i/>
          <w:sz w:val="16"/>
          <w:szCs w:val="16"/>
          <w:lang w:eastAsia="es-CR"/>
        </w:rPr>
        <w:t xml:space="preserve"> </w:t>
      </w:r>
      <w:r w:rsidRPr="0041649C">
        <w:rPr>
          <w:sz w:val="16"/>
          <w:szCs w:val="16"/>
        </w:rPr>
        <w:t xml:space="preserve">propuesta por los representantes), y c) </w:t>
      </w:r>
      <w:r w:rsidRPr="0041649C">
        <w:rPr>
          <w:rFonts w:cs="Arial-BoldMT"/>
          <w:sz w:val="16"/>
          <w:szCs w:val="16"/>
          <w:lang w:val="es-ES"/>
        </w:rPr>
        <w:t>María Lucrecia Hernández</w:t>
      </w:r>
      <w:r w:rsidRPr="0041649C">
        <w:rPr>
          <w:sz w:val="16"/>
          <w:szCs w:val="16"/>
        </w:rPr>
        <w:t xml:space="preserve"> (perita, propuesta por el Estado). </w:t>
      </w:r>
      <w:r w:rsidRPr="0041649C">
        <w:rPr>
          <w:i/>
          <w:sz w:val="16"/>
          <w:szCs w:val="16"/>
          <w:lang w:val="es-AR"/>
        </w:rPr>
        <w:t xml:space="preserve">Caso Olivares Muñoz y otros Vs. </w:t>
      </w:r>
      <w:r w:rsidRPr="0041649C">
        <w:rPr>
          <w:i/>
          <w:sz w:val="16"/>
          <w:szCs w:val="16"/>
        </w:rPr>
        <w:t xml:space="preserve">Venezuela. </w:t>
      </w:r>
      <w:r w:rsidRPr="0041649C">
        <w:rPr>
          <w:i/>
          <w:sz w:val="16"/>
          <w:szCs w:val="16"/>
          <w:lang w:val="es-AR"/>
        </w:rPr>
        <w:t xml:space="preserve">Convocatoria a Audiencia. </w:t>
      </w:r>
      <w:r w:rsidRPr="0041649C">
        <w:rPr>
          <w:sz w:val="16"/>
          <w:szCs w:val="16"/>
          <w:lang w:val="es-AR"/>
        </w:rPr>
        <w:t xml:space="preserve">Resolución de la Presidenta de la Corte Interamericana de 21 de febrero de 2020. Disponible en: </w:t>
      </w:r>
      <w:hyperlink r:id="rId1" w:history="1">
        <w:r w:rsidRPr="0041649C">
          <w:rPr>
            <w:rStyle w:val="Hipervnculo"/>
            <w:sz w:val="16"/>
            <w:szCs w:val="16"/>
            <w:lang w:val="es-AR"/>
          </w:rPr>
          <w:t>http://www.corteidh.or.cr/docs/asuntos/olivares_munoz_y_otros_21_02_2020.pdf</w:t>
        </w:r>
      </w:hyperlink>
      <w:r w:rsidRPr="0041649C">
        <w:rPr>
          <w:sz w:val="16"/>
          <w:szCs w:val="16"/>
          <w:lang w:val="es-AR"/>
        </w:rPr>
        <w:t>.</w:t>
      </w:r>
    </w:p>
  </w:footnote>
  <w:footnote w:id="2">
    <w:p w14:paraId="357AA069" w14:textId="791B4C8A" w:rsidR="004A6DBC" w:rsidRPr="0041649C" w:rsidRDefault="004A6DBC" w:rsidP="0041649C">
      <w:pPr>
        <w:pStyle w:val="Textonotapie"/>
        <w:tabs>
          <w:tab w:val="left" w:pos="567"/>
        </w:tabs>
        <w:spacing w:before="120" w:after="120"/>
        <w:rPr>
          <w:sz w:val="16"/>
          <w:szCs w:val="16"/>
          <w:lang w:val="es-GT"/>
        </w:rPr>
      </w:pPr>
      <w:r w:rsidRPr="0041649C">
        <w:rPr>
          <w:rStyle w:val="Refdenotaalpie"/>
          <w:sz w:val="16"/>
          <w:szCs w:val="16"/>
        </w:rPr>
        <w:footnoteRef/>
      </w:r>
      <w:r w:rsidRPr="0041649C">
        <w:rPr>
          <w:sz w:val="16"/>
          <w:szCs w:val="16"/>
        </w:rPr>
        <w:t xml:space="preserve"> </w:t>
      </w:r>
      <w:r w:rsidRPr="0041649C">
        <w:rPr>
          <w:sz w:val="16"/>
          <w:szCs w:val="16"/>
          <w:lang w:val="es-GT"/>
        </w:rPr>
        <w:tab/>
      </w:r>
      <w:r w:rsidRPr="0041649C">
        <w:rPr>
          <w:i/>
          <w:sz w:val="16"/>
          <w:szCs w:val="16"/>
          <w:lang w:val="es-AR"/>
        </w:rPr>
        <w:t xml:space="preserve">Caso Olivares Muñoz y otros Vs. </w:t>
      </w:r>
      <w:r w:rsidRPr="0041649C">
        <w:rPr>
          <w:i/>
          <w:sz w:val="16"/>
          <w:szCs w:val="16"/>
        </w:rPr>
        <w:t xml:space="preserve">Venezuela. </w:t>
      </w:r>
      <w:r w:rsidRPr="0041649C">
        <w:rPr>
          <w:sz w:val="16"/>
          <w:szCs w:val="16"/>
          <w:lang w:val="es-AR"/>
        </w:rPr>
        <w:t xml:space="preserve">Resolución de la Presidenta de la Corte Interamericana de 30 de junio de 2020. Disponible en: </w:t>
      </w:r>
      <w:hyperlink r:id="rId2" w:history="1">
        <w:r w:rsidR="0092107C" w:rsidRPr="00366099">
          <w:rPr>
            <w:rStyle w:val="Hipervnculo"/>
            <w:sz w:val="16"/>
            <w:szCs w:val="16"/>
          </w:rPr>
          <w:t>http://www.corteidh.or.cr/docs/asuntos/olivaresmuñozyotros_30_06_20.pdf</w:t>
        </w:r>
      </w:hyperlink>
      <w:r w:rsidRPr="0041649C">
        <w:rPr>
          <w:sz w:val="16"/>
          <w:szCs w:val="16"/>
        </w:rPr>
        <w:t>.</w:t>
      </w:r>
    </w:p>
  </w:footnote>
  <w:footnote w:id="3">
    <w:p w14:paraId="068DE5D7" w14:textId="2943465E" w:rsidR="00536DE4" w:rsidRPr="0041649C" w:rsidRDefault="00536DE4" w:rsidP="0041649C">
      <w:pPr>
        <w:pStyle w:val="Textonotapie"/>
        <w:tabs>
          <w:tab w:val="left" w:pos="567"/>
        </w:tabs>
        <w:spacing w:before="120" w:after="120"/>
        <w:rPr>
          <w:sz w:val="16"/>
          <w:szCs w:val="16"/>
          <w:lang w:val="es-CR"/>
        </w:rPr>
      </w:pPr>
      <w:r w:rsidRPr="0041649C">
        <w:rPr>
          <w:rStyle w:val="Refdenotaalpie"/>
          <w:sz w:val="16"/>
          <w:szCs w:val="16"/>
        </w:rPr>
        <w:footnoteRef/>
      </w:r>
      <w:r w:rsidRPr="0041649C">
        <w:rPr>
          <w:sz w:val="16"/>
          <w:szCs w:val="16"/>
          <w:lang w:val="es-AR"/>
        </w:rPr>
        <w:t xml:space="preserve"> </w:t>
      </w:r>
      <w:r w:rsidRPr="0041649C">
        <w:rPr>
          <w:sz w:val="16"/>
          <w:szCs w:val="16"/>
          <w:lang w:val="es-AR"/>
        </w:rPr>
        <w:tab/>
      </w:r>
      <w:r w:rsidRPr="0041649C">
        <w:rPr>
          <w:sz w:val="16"/>
          <w:szCs w:val="16"/>
          <w:lang w:val="es-CR"/>
        </w:rPr>
        <w:t>El Observatorio Venezolano de Prisiones ejerce la representación de Lorenza Josefina Pérez, presunta víctima</w:t>
      </w:r>
      <w:r w:rsidR="00B62473" w:rsidRPr="0041649C">
        <w:rPr>
          <w:sz w:val="16"/>
          <w:szCs w:val="16"/>
          <w:lang w:val="es-CR"/>
        </w:rPr>
        <w:t xml:space="preserve"> </w:t>
      </w:r>
      <w:r w:rsidRPr="0041649C">
        <w:rPr>
          <w:sz w:val="16"/>
          <w:szCs w:val="16"/>
          <w:lang w:val="es-CR"/>
        </w:rPr>
        <w:t>en el presente caso.</w:t>
      </w:r>
    </w:p>
  </w:footnote>
  <w:footnote w:id="4">
    <w:p w14:paraId="0CAA3217" w14:textId="77777777" w:rsidR="00680B17" w:rsidRPr="0041649C" w:rsidRDefault="00680B17" w:rsidP="00680B17">
      <w:pPr>
        <w:tabs>
          <w:tab w:val="left" w:pos="567"/>
        </w:tabs>
        <w:spacing w:before="120"/>
        <w:rPr>
          <w:rFonts w:eastAsia="Verdana"/>
          <w:sz w:val="16"/>
          <w:szCs w:val="16"/>
          <w:lang w:val="es-PE"/>
        </w:rPr>
      </w:pPr>
      <w:r w:rsidRPr="00016165">
        <w:rPr>
          <w:rStyle w:val="Refdenotaalpie"/>
          <w:sz w:val="16"/>
          <w:szCs w:val="16"/>
        </w:rPr>
        <w:footnoteRef/>
      </w:r>
      <w:r w:rsidRPr="00016165">
        <w:rPr>
          <w:sz w:val="16"/>
          <w:szCs w:val="16"/>
          <w:lang w:val="es-CR"/>
        </w:rPr>
        <w:t xml:space="preserve"> </w:t>
      </w:r>
      <w:r w:rsidRPr="00016165">
        <w:rPr>
          <w:sz w:val="16"/>
          <w:szCs w:val="16"/>
          <w:lang w:val="es-CR"/>
        </w:rPr>
        <w:tab/>
      </w:r>
      <w:r w:rsidRPr="00016165">
        <w:rPr>
          <w:rFonts w:eastAsia="Verdana"/>
          <w:sz w:val="16"/>
          <w:szCs w:val="16"/>
          <w:lang w:val="es-PE"/>
        </w:rPr>
        <w:t>Este Tribunal, por otra parte, ya en casos anteriores ha dispuesto la recepción de declaraciones orales en diligencias particulares convocadas para el efecto.</w:t>
      </w:r>
      <w:r w:rsidRPr="00016165">
        <w:rPr>
          <w:rFonts w:eastAsia="Verdana"/>
          <w:i/>
          <w:sz w:val="16"/>
          <w:szCs w:val="16"/>
          <w:lang w:val="es-PE"/>
        </w:rPr>
        <w:t xml:space="preserve"> Cfr. </w:t>
      </w:r>
      <w:r w:rsidRPr="00016165">
        <w:rPr>
          <w:rFonts w:cs="Arial"/>
          <w:i/>
          <w:sz w:val="16"/>
          <w:szCs w:val="16"/>
          <w:shd w:val="clear" w:color="auto" w:fill="FFFFFF"/>
          <w:lang w:val="es-CR"/>
        </w:rPr>
        <w:t>Caso Cantoral Benavides Vs. Perú. Fondo.</w:t>
      </w:r>
      <w:r w:rsidRPr="00016165">
        <w:rPr>
          <w:rFonts w:cs="Arial"/>
          <w:sz w:val="16"/>
          <w:szCs w:val="16"/>
          <w:shd w:val="clear" w:color="auto" w:fill="FFFFFF"/>
          <w:lang w:val="es-CR"/>
        </w:rPr>
        <w:t xml:space="preserve"> Sentencia de 18 de</w:t>
      </w:r>
      <w:r w:rsidRPr="0041649C">
        <w:rPr>
          <w:rFonts w:cs="Arial"/>
          <w:sz w:val="16"/>
          <w:szCs w:val="16"/>
          <w:shd w:val="clear" w:color="auto" w:fill="FFFFFF"/>
          <w:lang w:val="es-CR"/>
        </w:rPr>
        <w:t xml:space="preserve"> agosto de 2000. Serie C No. 69, párr. 27; </w:t>
      </w:r>
      <w:r w:rsidRPr="0041649C">
        <w:rPr>
          <w:rFonts w:cs="Arial"/>
          <w:i/>
          <w:sz w:val="16"/>
          <w:szCs w:val="16"/>
          <w:shd w:val="clear" w:color="auto" w:fill="FFFFFF"/>
          <w:lang w:val="es-CR"/>
        </w:rPr>
        <w:t>Caso Bámaca Velásquez Vs. Guatemala. Fondo.</w:t>
      </w:r>
      <w:r w:rsidRPr="0041649C">
        <w:rPr>
          <w:rFonts w:cs="Arial"/>
          <w:sz w:val="16"/>
          <w:szCs w:val="16"/>
          <w:shd w:val="clear" w:color="auto" w:fill="FFFFFF"/>
          <w:lang w:val="es-CR"/>
        </w:rPr>
        <w:t xml:space="preserve"> Sentencia de 25 de noviembre de 2000. Serie C No. 70, párr. 44;</w:t>
      </w:r>
      <w:r w:rsidRPr="0041649C">
        <w:rPr>
          <w:rFonts w:eastAsia="Verdana"/>
          <w:sz w:val="16"/>
          <w:szCs w:val="16"/>
          <w:lang w:val="es-PE"/>
        </w:rPr>
        <w:t xml:space="preserve"> </w:t>
      </w:r>
      <w:r w:rsidRPr="0041649C">
        <w:rPr>
          <w:rFonts w:cs="Arial"/>
          <w:i/>
          <w:sz w:val="16"/>
          <w:szCs w:val="16"/>
          <w:shd w:val="clear" w:color="auto" w:fill="FFFFFF"/>
          <w:lang w:val="es-CR"/>
        </w:rPr>
        <w:t xml:space="preserve">Caso Yvon </w:t>
      </w:r>
      <w:proofErr w:type="spellStart"/>
      <w:r w:rsidRPr="0041649C">
        <w:rPr>
          <w:rFonts w:cs="Arial"/>
          <w:i/>
          <w:sz w:val="16"/>
          <w:szCs w:val="16"/>
          <w:shd w:val="clear" w:color="auto" w:fill="FFFFFF"/>
          <w:lang w:val="es-CR"/>
        </w:rPr>
        <w:t>Neptune</w:t>
      </w:r>
      <w:proofErr w:type="spellEnd"/>
      <w:r w:rsidRPr="0041649C">
        <w:rPr>
          <w:rFonts w:cs="Arial"/>
          <w:i/>
          <w:sz w:val="16"/>
          <w:szCs w:val="16"/>
          <w:shd w:val="clear" w:color="auto" w:fill="FFFFFF"/>
          <w:lang w:val="es-CR"/>
        </w:rPr>
        <w:t xml:space="preserve"> Vs. Haití</w:t>
      </w:r>
      <w:r w:rsidRPr="0041649C">
        <w:rPr>
          <w:rFonts w:cs="Arial"/>
          <w:sz w:val="16"/>
          <w:szCs w:val="16"/>
          <w:shd w:val="clear" w:color="auto" w:fill="FFFFFF"/>
          <w:lang w:val="es-CR"/>
        </w:rPr>
        <w:t xml:space="preserve">. Resolución de la Corte Interamericana de Derechos Humanos de 29 de noviembre de 2007; </w:t>
      </w:r>
      <w:r w:rsidRPr="0041649C">
        <w:rPr>
          <w:rFonts w:cs="Arial"/>
          <w:i/>
          <w:sz w:val="16"/>
          <w:szCs w:val="16"/>
          <w:shd w:val="clear" w:color="auto" w:fill="FFFFFF"/>
          <w:lang w:val="es-CR"/>
        </w:rPr>
        <w:t xml:space="preserve">Caso </w:t>
      </w:r>
      <w:proofErr w:type="spellStart"/>
      <w:r w:rsidRPr="0041649C">
        <w:rPr>
          <w:rFonts w:cs="Arial"/>
          <w:i/>
          <w:sz w:val="16"/>
          <w:szCs w:val="16"/>
          <w:shd w:val="clear" w:color="auto" w:fill="FFFFFF"/>
          <w:lang w:val="es-CR"/>
        </w:rPr>
        <w:t>Atala</w:t>
      </w:r>
      <w:proofErr w:type="spellEnd"/>
      <w:r w:rsidRPr="0041649C">
        <w:rPr>
          <w:rFonts w:cs="Arial"/>
          <w:i/>
          <w:sz w:val="16"/>
          <w:szCs w:val="16"/>
          <w:shd w:val="clear" w:color="auto" w:fill="FFFFFF"/>
          <w:lang w:val="es-CR"/>
        </w:rPr>
        <w:t xml:space="preserve"> Riffo e hijas Vs. Chile.</w:t>
      </w:r>
      <w:r w:rsidRPr="0041649C">
        <w:rPr>
          <w:rFonts w:cs="Arial"/>
          <w:sz w:val="16"/>
          <w:szCs w:val="16"/>
          <w:shd w:val="clear" w:color="auto" w:fill="FFFFFF"/>
          <w:lang w:val="es-CR"/>
        </w:rPr>
        <w:t xml:space="preserve"> Resolución de la Corte Interamericana de Derechos Humanos de 29 de noviembre de 2011, puntos resolutivos 1 y 2, y </w:t>
      </w:r>
      <w:r w:rsidRPr="0041649C">
        <w:rPr>
          <w:rFonts w:cs="Arial"/>
          <w:i/>
          <w:sz w:val="16"/>
          <w:szCs w:val="16"/>
          <w:shd w:val="clear" w:color="auto" w:fill="FFFFFF"/>
          <w:lang w:val="es-CR"/>
        </w:rPr>
        <w:t xml:space="preserve">Caso </w:t>
      </w:r>
      <w:r w:rsidRPr="0041649C">
        <w:rPr>
          <w:rFonts w:cs="Arial"/>
          <w:i/>
          <w:iCs/>
          <w:sz w:val="16"/>
          <w:szCs w:val="16"/>
          <w:shd w:val="clear" w:color="auto" w:fill="FFFFFF"/>
          <w:lang w:val="es-CR"/>
        </w:rPr>
        <w:t>V.R.P. y V.P.C.</w:t>
      </w:r>
      <w:r w:rsidRPr="0041649C">
        <w:rPr>
          <w:rFonts w:cs="Arial"/>
          <w:i/>
          <w:sz w:val="16"/>
          <w:szCs w:val="16"/>
          <w:shd w:val="clear" w:color="auto" w:fill="FFFFFF"/>
          <w:lang w:val="es-CR"/>
        </w:rPr>
        <w:t xml:space="preserve"> Vs. Nicaragua</w:t>
      </w:r>
      <w:r w:rsidRPr="0041649C">
        <w:rPr>
          <w:rFonts w:cs="Arial"/>
          <w:sz w:val="16"/>
          <w:szCs w:val="16"/>
          <w:shd w:val="clear" w:color="auto" w:fill="FFFFFF"/>
          <w:lang w:val="es-CR"/>
        </w:rPr>
        <w:t>. Convocatoria a audiencia. Resolución del Presidente de la Corte Interamericana de Derechos Humanos de 21 de septiembre de 2017, punto resolutivo 2.</w:t>
      </w:r>
    </w:p>
  </w:footnote>
  <w:footnote w:id="5">
    <w:p w14:paraId="7F89A557" w14:textId="40100C21" w:rsidR="00E20844" w:rsidRPr="004455C9" w:rsidRDefault="00E20844" w:rsidP="00E20844">
      <w:pPr>
        <w:pStyle w:val="Textonotapie"/>
        <w:tabs>
          <w:tab w:val="left" w:pos="567"/>
        </w:tabs>
        <w:spacing w:before="120" w:after="120"/>
        <w:rPr>
          <w:sz w:val="16"/>
          <w:szCs w:val="16"/>
        </w:rPr>
      </w:pPr>
      <w:r w:rsidRPr="004455C9">
        <w:rPr>
          <w:rStyle w:val="Refdenotaalpie"/>
          <w:sz w:val="16"/>
          <w:szCs w:val="16"/>
        </w:rPr>
        <w:footnoteRef/>
      </w:r>
      <w:r w:rsidRPr="004455C9">
        <w:rPr>
          <w:sz w:val="16"/>
          <w:szCs w:val="16"/>
        </w:rPr>
        <w:t xml:space="preserve"> </w:t>
      </w:r>
      <w:r w:rsidRPr="004455C9">
        <w:rPr>
          <w:sz w:val="16"/>
          <w:szCs w:val="16"/>
        </w:rPr>
        <w:tab/>
      </w:r>
      <w:r w:rsidR="00313055" w:rsidRPr="00313055">
        <w:rPr>
          <w:i/>
          <w:sz w:val="16"/>
          <w:szCs w:val="16"/>
        </w:rPr>
        <w:t xml:space="preserve">Cfr. Mutatis </w:t>
      </w:r>
      <w:proofErr w:type="spellStart"/>
      <w:r w:rsidR="00313055" w:rsidRPr="00313055">
        <w:rPr>
          <w:i/>
          <w:sz w:val="16"/>
          <w:szCs w:val="16"/>
        </w:rPr>
        <w:t>mutandi</w:t>
      </w:r>
      <w:proofErr w:type="spellEnd"/>
      <w:r w:rsidR="00313055" w:rsidRPr="00313055">
        <w:rPr>
          <w:i/>
          <w:sz w:val="16"/>
          <w:szCs w:val="16"/>
        </w:rPr>
        <w:t>,</w:t>
      </w:r>
      <w:r w:rsidRPr="004455C9">
        <w:rPr>
          <w:sz w:val="16"/>
          <w:szCs w:val="16"/>
        </w:rPr>
        <w:t xml:space="preserve"> </w:t>
      </w:r>
      <w:r w:rsidRPr="004455C9">
        <w:rPr>
          <w:i/>
          <w:sz w:val="16"/>
          <w:szCs w:val="16"/>
        </w:rPr>
        <w:t xml:space="preserve">Caso </w:t>
      </w:r>
      <w:proofErr w:type="spellStart"/>
      <w:r w:rsidRPr="004455C9">
        <w:rPr>
          <w:i/>
          <w:sz w:val="16"/>
          <w:szCs w:val="16"/>
        </w:rPr>
        <w:t>Omeara</w:t>
      </w:r>
      <w:proofErr w:type="spellEnd"/>
      <w:r w:rsidRPr="004455C9">
        <w:rPr>
          <w:i/>
          <w:sz w:val="16"/>
          <w:szCs w:val="16"/>
        </w:rPr>
        <w:t xml:space="preserve"> Carrascal y otros Vs. Colombia</w:t>
      </w:r>
      <w:r w:rsidRPr="004455C9">
        <w:rPr>
          <w:sz w:val="16"/>
          <w:szCs w:val="16"/>
        </w:rPr>
        <w:t xml:space="preserve">. Resolución de la Corte Interamericana de Derechos Humanos de 15 de mayo de 2017, </w:t>
      </w:r>
      <w:r>
        <w:rPr>
          <w:sz w:val="16"/>
          <w:szCs w:val="16"/>
        </w:rPr>
        <w:t>C</w:t>
      </w:r>
      <w:r w:rsidRPr="004455C9">
        <w:rPr>
          <w:sz w:val="16"/>
          <w:szCs w:val="16"/>
        </w:rPr>
        <w:t xml:space="preserve">onsiderando 12, y </w:t>
      </w:r>
      <w:r w:rsidRPr="004455C9">
        <w:rPr>
          <w:i/>
          <w:sz w:val="16"/>
          <w:szCs w:val="16"/>
        </w:rPr>
        <w:t xml:space="preserve">Caso Arrom </w:t>
      </w:r>
      <w:proofErr w:type="spellStart"/>
      <w:r w:rsidRPr="004455C9">
        <w:rPr>
          <w:i/>
          <w:sz w:val="16"/>
          <w:szCs w:val="16"/>
        </w:rPr>
        <w:t>Suhurt</w:t>
      </w:r>
      <w:proofErr w:type="spellEnd"/>
      <w:r w:rsidRPr="004455C9">
        <w:rPr>
          <w:i/>
          <w:sz w:val="16"/>
          <w:szCs w:val="16"/>
        </w:rPr>
        <w:t xml:space="preserve"> y otros Vs. Paraguay</w:t>
      </w:r>
      <w:r w:rsidRPr="004455C9">
        <w:rPr>
          <w:sz w:val="16"/>
          <w:szCs w:val="16"/>
        </w:rPr>
        <w:t xml:space="preserve">, Resolución de la Corte Interamericana de Derechos Humanos de 29 de enero de 2019, </w:t>
      </w:r>
      <w:r>
        <w:rPr>
          <w:sz w:val="16"/>
          <w:szCs w:val="16"/>
        </w:rPr>
        <w:t>C</w:t>
      </w:r>
      <w:r w:rsidRPr="004455C9">
        <w:rPr>
          <w:sz w:val="16"/>
          <w:szCs w:val="16"/>
        </w:rPr>
        <w:t>onsiderando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4001D" w14:textId="77777777" w:rsidR="00536DE4" w:rsidRDefault="00536DE4">
    <w:pPr>
      <w:pStyle w:val="Encabezado"/>
      <w:jc w:val="center"/>
    </w:pPr>
  </w:p>
  <w:p w14:paraId="19B52B42" w14:textId="77777777" w:rsidR="00536DE4" w:rsidRDefault="00536D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 w15:restartNumberingAfterBreak="0">
    <w:nsid w:val="605E508E"/>
    <w:multiLevelType w:val="hybridMultilevel"/>
    <w:tmpl w:val="4796CDBE"/>
    <w:lvl w:ilvl="0" w:tplc="6784A05E">
      <w:start w:val="2"/>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5" w15:restartNumberingAfterBreak="0">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6" w15:restartNumberingAfterBreak="0">
    <w:nsid w:val="664109B4"/>
    <w:multiLevelType w:val="hybridMultilevel"/>
    <w:tmpl w:val="D32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7F4948"/>
    <w:multiLevelType w:val="hybridMultilevel"/>
    <w:tmpl w:val="62BE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7460891"/>
    <w:multiLevelType w:val="hybridMultilevel"/>
    <w:tmpl w:val="65DE7456"/>
    <w:lvl w:ilvl="0" w:tplc="5318207A">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2"/>
  </w:num>
  <w:num w:numId="5">
    <w:abstractNumId w:val="0"/>
  </w:num>
  <w:num w:numId="6">
    <w:abstractNumId w:val="7"/>
  </w:num>
  <w:num w:numId="7">
    <w:abstractNumId w:val="1"/>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L" w:vendorID="64" w:dllVersion="6" w:nlCheck="1" w:checkStyle="1"/>
  <w:activeWritingStyle w:appName="MSWord" w:lang="es-CR" w:vendorID="64" w:dllVersion="6" w:nlCheck="1" w:checkStyle="1"/>
  <w:activeWritingStyle w:appName="MSWord" w:lang="es-AR" w:vendorID="64" w:dllVersion="6" w:nlCheck="1" w:checkStyle="1"/>
  <w:activeWritingStyle w:appName="MSWord" w:lang="es-PE" w:vendorID="64" w:dllVersion="6" w:nlCheck="1" w:checkStyle="1"/>
  <w:activeWritingStyle w:appName="MSWord" w:lang="es-GT"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PE" w:vendorID="64" w:dllVersion="4096" w:nlCheck="1" w:checkStyle="0"/>
  <w:activeWritingStyle w:appName="MSWord" w:lang="es-CR" w:vendorID="64" w:dllVersion="4096" w:nlCheck="1" w:checkStyle="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477"/>
    <w:rsid w:val="00016165"/>
    <w:rsid w:val="00017CD7"/>
    <w:rsid w:val="000335C1"/>
    <w:rsid w:val="00096B97"/>
    <w:rsid w:val="000A64BF"/>
    <w:rsid w:val="000B14BA"/>
    <w:rsid w:val="000B60E7"/>
    <w:rsid w:val="000C0C54"/>
    <w:rsid w:val="000D32C6"/>
    <w:rsid w:val="000F67D8"/>
    <w:rsid w:val="00102E1F"/>
    <w:rsid w:val="00103EA3"/>
    <w:rsid w:val="00113CF3"/>
    <w:rsid w:val="0012159C"/>
    <w:rsid w:val="001239DB"/>
    <w:rsid w:val="00125B7E"/>
    <w:rsid w:val="001301CB"/>
    <w:rsid w:val="0014020B"/>
    <w:rsid w:val="00141BA7"/>
    <w:rsid w:val="00142903"/>
    <w:rsid w:val="00155C63"/>
    <w:rsid w:val="00163898"/>
    <w:rsid w:val="0016636B"/>
    <w:rsid w:val="001663FC"/>
    <w:rsid w:val="0017030E"/>
    <w:rsid w:val="001711AE"/>
    <w:rsid w:val="0018076C"/>
    <w:rsid w:val="0018203B"/>
    <w:rsid w:val="00186F36"/>
    <w:rsid w:val="001B0181"/>
    <w:rsid w:val="001B4E4C"/>
    <w:rsid w:val="001B7547"/>
    <w:rsid w:val="001D396F"/>
    <w:rsid w:val="001D4D49"/>
    <w:rsid w:val="001E5C95"/>
    <w:rsid w:val="001E7450"/>
    <w:rsid w:val="001F6312"/>
    <w:rsid w:val="002127CA"/>
    <w:rsid w:val="002260FB"/>
    <w:rsid w:val="00232792"/>
    <w:rsid w:val="002356A8"/>
    <w:rsid w:val="00236137"/>
    <w:rsid w:val="00252871"/>
    <w:rsid w:val="002638B2"/>
    <w:rsid w:val="00296391"/>
    <w:rsid w:val="00296EFE"/>
    <w:rsid w:val="00297165"/>
    <w:rsid w:val="002A1C73"/>
    <w:rsid w:val="002A3A7A"/>
    <w:rsid w:val="002B506C"/>
    <w:rsid w:val="002C66D7"/>
    <w:rsid w:val="002C7AB5"/>
    <w:rsid w:val="002D7319"/>
    <w:rsid w:val="002F2D64"/>
    <w:rsid w:val="002F79F2"/>
    <w:rsid w:val="00302535"/>
    <w:rsid w:val="00306D9E"/>
    <w:rsid w:val="00313055"/>
    <w:rsid w:val="00323458"/>
    <w:rsid w:val="00324D84"/>
    <w:rsid w:val="00326186"/>
    <w:rsid w:val="00326C06"/>
    <w:rsid w:val="00333F33"/>
    <w:rsid w:val="00336F9B"/>
    <w:rsid w:val="003612DF"/>
    <w:rsid w:val="00361AEE"/>
    <w:rsid w:val="00363806"/>
    <w:rsid w:val="00384CB3"/>
    <w:rsid w:val="003A2C03"/>
    <w:rsid w:val="003B5C87"/>
    <w:rsid w:val="003C388C"/>
    <w:rsid w:val="003C657B"/>
    <w:rsid w:val="003D36F7"/>
    <w:rsid w:val="003D3798"/>
    <w:rsid w:val="003E5534"/>
    <w:rsid w:val="004161CE"/>
    <w:rsid w:val="0041649C"/>
    <w:rsid w:val="004214E1"/>
    <w:rsid w:val="004455C9"/>
    <w:rsid w:val="004506B5"/>
    <w:rsid w:val="004564F8"/>
    <w:rsid w:val="00462C24"/>
    <w:rsid w:val="00466726"/>
    <w:rsid w:val="00482BB9"/>
    <w:rsid w:val="004830A2"/>
    <w:rsid w:val="00496337"/>
    <w:rsid w:val="004A6DBC"/>
    <w:rsid w:val="004C2C33"/>
    <w:rsid w:val="004C7951"/>
    <w:rsid w:val="004F5F5A"/>
    <w:rsid w:val="005049CF"/>
    <w:rsid w:val="00506814"/>
    <w:rsid w:val="00521BC5"/>
    <w:rsid w:val="00536DE4"/>
    <w:rsid w:val="005661FE"/>
    <w:rsid w:val="0057068D"/>
    <w:rsid w:val="00574166"/>
    <w:rsid w:val="0057785F"/>
    <w:rsid w:val="005A2A5C"/>
    <w:rsid w:val="005A5252"/>
    <w:rsid w:val="005A6C53"/>
    <w:rsid w:val="005E531D"/>
    <w:rsid w:val="005F4381"/>
    <w:rsid w:val="00636EDA"/>
    <w:rsid w:val="00640818"/>
    <w:rsid w:val="0065690E"/>
    <w:rsid w:val="006678A8"/>
    <w:rsid w:val="0067284F"/>
    <w:rsid w:val="00675503"/>
    <w:rsid w:val="00680B17"/>
    <w:rsid w:val="006868DE"/>
    <w:rsid w:val="00693822"/>
    <w:rsid w:val="00693CFA"/>
    <w:rsid w:val="00696224"/>
    <w:rsid w:val="006B13B9"/>
    <w:rsid w:val="006C46B0"/>
    <w:rsid w:val="006D7B46"/>
    <w:rsid w:val="006E3E92"/>
    <w:rsid w:val="007042F0"/>
    <w:rsid w:val="0071541F"/>
    <w:rsid w:val="0072149E"/>
    <w:rsid w:val="007403DD"/>
    <w:rsid w:val="00741A91"/>
    <w:rsid w:val="00747353"/>
    <w:rsid w:val="0075211C"/>
    <w:rsid w:val="007729E1"/>
    <w:rsid w:val="00775E98"/>
    <w:rsid w:val="0077740A"/>
    <w:rsid w:val="00785B63"/>
    <w:rsid w:val="00791E7A"/>
    <w:rsid w:val="00796009"/>
    <w:rsid w:val="007A1E41"/>
    <w:rsid w:val="007B1EBD"/>
    <w:rsid w:val="007B27A7"/>
    <w:rsid w:val="007B79A0"/>
    <w:rsid w:val="007C345C"/>
    <w:rsid w:val="007D2FC8"/>
    <w:rsid w:val="007D4158"/>
    <w:rsid w:val="007E1123"/>
    <w:rsid w:val="007E4790"/>
    <w:rsid w:val="007E7879"/>
    <w:rsid w:val="008039C7"/>
    <w:rsid w:val="00804C08"/>
    <w:rsid w:val="00806C18"/>
    <w:rsid w:val="00830324"/>
    <w:rsid w:val="008367F3"/>
    <w:rsid w:val="008432B1"/>
    <w:rsid w:val="00844F20"/>
    <w:rsid w:val="008511DB"/>
    <w:rsid w:val="00855F89"/>
    <w:rsid w:val="00864872"/>
    <w:rsid w:val="008822B2"/>
    <w:rsid w:val="00884A05"/>
    <w:rsid w:val="008A2591"/>
    <w:rsid w:val="008A4B4D"/>
    <w:rsid w:val="008C042F"/>
    <w:rsid w:val="008C52D1"/>
    <w:rsid w:val="008D01C2"/>
    <w:rsid w:val="008E61BA"/>
    <w:rsid w:val="008E6F73"/>
    <w:rsid w:val="00903BB4"/>
    <w:rsid w:val="00906308"/>
    <w:rsid w:val="0090667A"/>
    <w:rsid w:val="00920D4C"/>
    <w:rsid w:val="0092107C"/>
    <w:rsid w:val="0093539C"/>
    <w:rsid w:val="00972178"/>
    <w:rsid w:val="00982D54"/>
    <w:rsid w:val="009D1DF5"/>
    <w:rsid w:val="009D1F63"/>
    <w:rsid w:val="00A00BD8"/>
    <w:rsid w:val="00A03CF3"/>
    <w:rsid w:val="00A22CC3"/>
    <w:rsid w:val="00A336C6"/>
    <w:rsid w:val="00A42054"/>
    <w:rsid w:val="00A54E10"/>
    <w:rsid w:val="00A56CDB"/>
    <w:rsid w:val="00A57349"/>
    <w:rsid w:val="00A757C7"/>
    <w:rsid w:val="00A86B3C"/>
    <w:rsid w:val="00AA6592"/>
    <w:rsid w:val="00AB3C28"/>
    <w:rsid w:val="00AD11F2"/>
    <w:rsid w:val="00AF2CD5"/>
    <w:rsid w:val="00AF36B7"/>
    <w:rsid w:val="00B03051"/>
    <w:rsid w:val="00B03656"/>
    <w:rsid w:val="00B24484"/>
    <w:rsid w:val="00B30E35"/>
    <w:rsid w:val="00B344A4"/>
    <w:rsid w:val="00B6001F"/>
    <w:rsid w:val="00B62473"/>
    <w:rsid w:val="00B66DBE"/>
    <w:rsid w:val="00B70DD8"/>
    <w:rsid w:val="00BA0B14"/>
    <w:rsid w:val="00BA2B21"/>
    <w:rsid w:val="00BA7CC6"/>
    <w:rsid w:val="00BC1A80"/>
    <w:rsid w:val="00BC55FC"/>
    <w:rsid w:val="00BD07A4"/>
    <w:rsid w:val="00BD1169"/>
    <w:rsid w:val="00BD45F8"/>
    <w:rsid w:val="00BE1EE3"/>
    <w:rsid w:val="00BE5161"/>
    <w:rsid w:val="00C17D55"/>
    <w:rsid w:val="00C2310D"/>
    <w:rsid w:val="00C2785C"/>
    <w:rsid w:val="00C348A8"/>
    <w:rsid w:val="00C42C70"/>
    <w:rsid w:val="00C63B8C"/>
    <w:rsid w:val="00C7197E"/>
    <w:rsid w:val="00C82262"/>
    <w:rsid w:val="00C94BEB"/>
    <w:rsid w:val="00CB1481"/>
    <w:rsid w:val="00CB3D8D"/>
    <w:rsid w:val="00CC7255"/>
    <w:rsid w:val="00CE6923"/>
    <w:rsid w:val="00CE744E"/>
    <w:rsid w:val="00CF1943"/>
    <w:rsid w:val="00CF1BA4"/>
    <w:rsid w:val="00CF6B7F"/>
    <w:rsid w:val="00CF74B5"/>
    <w:rsid w:val="00D069BB"/>
    <w:rsid w:val="00D10B55"/>
    <w:rsid w:val="00D228E7"/>
    <w:rsid w:val="00D25499"/>
    <w:rsid w:val="00D3370F"/>
    <w:rsid w:val="00D35144"/>
    <w:rsid w:val="00D40513"/>
    <w:rsid w:val="00D635CC"/>
    <w:rsid w:val="00D92738"/>
    <w:rsid w:val="00D94877"/>
    <w:rsid w:val="00DB6221"/>
    <w:rsid w:val="00DD0280"/>
    <w:rsid w:val="00DE1D08"/>
    <w:rsid w:val="00DF620E"/>
    <w:rsid w:val="00E02D5A"/>
    <w:rsid w:val="00E043E0"/>
    <w:rsid w:val="00E14A9A"/>
    <w:rsid w:val="00E16B1A"/>
    <w:rsid w:val="00E17BE7"/>
    <w:rsid w:val="00E20844"/>
    <w:rsid w:val="00E27B55"/>
    <w:rsid w:val="00E34461"/>
    <w:rsid w:val="00E453A2"/>
    <w:rsid w:val="00E47BE0"/>
    <w:rsid w:val="00E6259F"/>
    <w:rsid w:val="00E6319A"/>
    <w:rsid w:val="00E7509C"/>
    <w:rsid w:val="00E7706C"/>
    <w:rsid w:val="00E84793"/>
    <w:rsid w:val="00E96BEF"/>
    <w:rsid w:val="00EA1DAD"/>
    <w:rsid w:val="00EB6210"/>
    <w:rsid w:val="00EC6EE9"/>
    <w:rsid w:val="00EC6F70"/>
    <w:rsid w:val="00EF7C61"/>
    <w:rsid w:val="00F262C0"/>
    <w:rsid w:val="00F4655F"/>
    <w:rsid w:val="00F50AEF"/>
    <w:rsid w:val="00F61A3E"/>
    <w:rsid w:val="00F635F2"/>
    <w:rsid w:val="00F70B30"/>
    <w:rsid w:val="00F90477"/>
    <w:rsid w:val="00F91B2B"/>
    <w:rsid w:val="00F92B35"/>
    <w:rsid w:val="00F93828"/>
    <w:rsid w:val="00FA4E30"/>
    <w:rsid w:val="00FC2DCF"/>
    <w:rsid w:val="00FF17CA"/>
    <w:rsid w:val="00FF6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1FA3A"/>
  <w15:docId w15:val="{FA059360-C2E7-434D-9466-6FE6AA6D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77"/>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F90477"/>
    <w:rPr>
      <w:vertAlign w:val="superscript"/>
    </w:rPr>
  </w:style>
  <w:style w:type="paragraph" w:customStyle="1" w:styleId="Listavistosa-nfasis11">
    <w:name w:val="Lista vistosa - Énfasis 11"/>
    <w:basedOn w:val="Normal"/>
    <w:uiPriority w:val="99"/>
    <w:qFormat/>
    <w:rsid w:val="00F90477"/>
    <w:pPr>
      <w:numPr>
        <w:ilvl w:val="1"/>
        <w:numId w:val="2"/>
      </w:numPr>
      <w:contextualSpacing/>
    </w:pPr>
  </w:style>
  <w:style w:type="paragraph" w:styleId="Prrafodelista">
    <w:name w:val="List Paragraph"/>
    <w:aliases w:val="Footnote,List Paragraph2,List Paragraph1,Párrafo de lista1,List Paragraph11,Colorful List - Accent 11,Subtle Emphasis1,Footnote1,Parrafos"/>
    <w:basedOn w:val="Normal"/>
    <w:link w:val="PrrafodelistaCar"/>
    <w:qFormat/>
    <w:rsid w:val="00F90477"/>
    <w:pPr>
      <w:ind w:left="708"/>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1F6312"/>
    <w:pPr>
      <w:spacing w:after="0"/>
    </w:pPr>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1F6312"/>
    <w:rPr>
      <w:rFonts w:ascii="Verdana" w:eastAsia="Calibri" w:hAnsi="Verdana" w:cs="Times"/>
      <w:sz w:val="20"/>
      <w:szCs w:val="20"/>
      <w:lang w:val="es-ES_tradnl" w:eastAsia="es-E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locked/>
    <w:rsid w:val="00017CD7"/>
    <w:rPr>
      <w:rFonts w:ascii="Verdana" w:eastAsia="Calibri" w:hAnsi="Verdana" w:cs="Verdana"/>
      <w:sz w:val="16"/>
      <w:szCs w:val="16"/>
      <w:lang w:val="es-ES_tradnl" w:eastAsia="es-ES"/>
    </w:rPr>
  </w:style>
  <w:style w:type="paragraph" w:styleId="Encabezado">
    <w:name w:val="header"/>
    <w:basedOn w:val="Normal"/>
    <w:link w:val="EncabezadoCar"/>
    <w:uiPriority w:val="99"/>
    <w:unhideWhenUsed/>
    <w:rsid w:val="00296EFE"/>
    <w:pPr>
      <w:tabs>
        <w:tab w:val="center" w:pos="4680"/>
        <w:tab w:val="right" w:pos="9360"/>
      </w:tabs>
      <w:spacing w:after="0"/>
    </w:pPr>
  </w:style>
  <w:style w:type="character" w:customStyle="1" w:styleId="EncabezadoCar">
    <w:name w:val="Encabezado Car"/>
    <w:basedOn w:val="Fuentedeprrafopredeter"/>
    <w:link w:val="Encabezado"/>
    <w:uiPriority w:val="99"/>
    <w:rsid w:val="00296EFE"/>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296EFE"/>
    <w:pPr>
      <w:tabs>
        <w:tab w:val="center" w:pos="4680"/>
        <w:tab w:val="right" w:pos="9360"/>
      </w:tabs>
      <w:spacing w:after="0"/>
    </w:pPr>
  </w:style>
  <w:style w:type="character" w:customStyle="1" w:styleId="PiedepginaCar">
    <w:name w:val="Pie de página Car"/>
    <w:basedOn w:val="Fuentedeprrafopredeter"/>
    <w:link w:val="Piedepgina"/>
    <w:uiPriority w:val="99"/>
    <w:rsid w:val="00296EFE"/>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EC6F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70"/>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 Paragraph1 Car,Párrafo de lista1 Car,List Paragraph11 Car,Colorful List - Accent 11 Car,Subtle Emphasis1 Car,Footnote1 Car,Parrafos Car"/>
    <w:link w:val="Prrafodelista"/>
    <w:locked/>
    <w:rsid w:val="001D396F"/>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57349"/>
    <w:rPr>
      <w:sz w:val="16"/>
      <w:szCs w:val="16"/>
    </w:rPr>
  </w:style>
  <w:style w:type="paragraph" w:styleId="Textocomentario">
    <w:name w:val="annotation text"/>
    <w:basedOn w:val="Normal"/>
    <w:link w:val="TextocomentarioCar"/>
    <w:uiPriority w:val="99"/>
    <w:semiHidden/>
    <w:unhideWhenUsed/>
    <w:rsid w:val="00A57349"/>
    <w:rPr>
      <w:szCs w:val="20"/>
    </w:rPr>
  </w:style>
  <w:style w:type="character" w:customStyle="1" w:styleId="TextocomentarioCar">
    <w:name w:val="Texto comentario Car"/>
    <w:basedOn w:val="Fuentedeprrafopredeter"/>
    <w:link w:val="Textocomentario"/>
    <w:uiPriority w:val="99"/>
    <w:semiHidden/>
    <w:rsid w:val="00A57349"/>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57349"/>
    <w:rPr>
      <w:b/>
      <w:bCs/>
    </w:rPr>
  </w:style>
  <w:style w:type="character" w:customStyle="1" w:styleId="AsuntodelcomentarioCar">
    <w:name w:val="Asunto del comentario Car"/>
    <w:basedOn w:val="TextocomentarioCar"/>
    <w:link w:val="Asuntodelcomentario"/>
    <w:uiPriority w:val="99"/>
    <w:semiHidden/>
    <w:rsid w:val="00A57349"/>
    <w:rPr>
      <w:rFonts w:ascii="Verdana" w:eastAsia="Calibri" w:hAnsi="Verdana" w:cs="Times"/>
      <w:b/>
      <w:bCs/>
      <w:sz w:val="20"/>
      <w:szCs w:val="2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367F3"/>
    <w:pPr>
      <w:spacing w:after="0"/>
    </w:pPr>
    <w:rPr>
      <w:rFonts w:asciiTheme="minorHAnsi" w:eastAsiaTheme="minorHAnsi" w:hAnsiTheme="minorHAnsi" w:cstheme="minorBidi"/>
      <w:sz w:val="22"/>
      <w:szCs w:val="22"/>
      <w:vertAlign w:val="superscript"/>
      <w:lang w:val="en-US" w:eastAsia="en-US"/>
    </w:rPr>
  </w:style>
  <w:style w:type="character" w:styleId="Hipervnculo">
    <w:name w:val="Hyperlink"/>
    <w:basedOn w:val="Fuentedeprrafopredeter"/>
    <w:uiPriority w:val="99"/>
    <w:unhideWhenUsed/>
    <w:rsid w:val="00323458"/>
    <w:rPr>
      <w:color w:val="0000FF" w:themeColor="hyperlink"/>
      <w:u w:val="single"/>
    </w:rPr>
  </w:style>
  <w:style w:type="character" w:styleId="Textoennegrita">
    <w:name w:val="Strong"/>
    <w:basedOn w:val="Fuentedeprrafopredeter"/>
    <w:uiPriority w:val="22"/>
    <w:qFormat/>
    <w:rsid w:val="005049CF"/>
    <w:rPr>
      <w:b/>
      <w:bCs/>
    </w:rPr>
  </w:style>
  <w:style w:type="character" w:customStyle="1" w:styleId="Mencinsinresolver1">
    <w:name w:val="Mención sin resolver1"/>
    <w:basedOn w:val="Fuentedeprrafopredeter"/>
    <w:uiPriority w:val="99"/>
    <w:semiHidden/>
    <w:unhideWhenUsed/>
    <w:rsid w:val="00B62473"/>
    <w:rPr>
      <w:color w:val="605E5C"/>
      <w:shd w:val="clear" w:color="auto" w:fill="E1DFDD"/>
    </w:rPr>
  </w:style>
  <w:style w:type="character" w:customStyle="1" w:styleId="Mencinsinresolver2">
    <w:name w:val="Mención sin resolver2"/>
    <w:basedOn w:val="Fuentedeprrafopredeter"/>
    <w:uiPriority w:val="99"/>
    <w:semiHidden/>
    <w:unhideWhenUsed/>
    <w:rsid w:val="00921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asuntos/olivaresmu&#241;ozyotros_30_06_20.pdf" TargetMode="External"/><Relationship Id="rId1" Type="http://schemas.openxmlformats.org/officeDocument/2006/relationships/hyperlink" Target="http://www.corteidh.or.cr/docs/asuntos/olivares_munoz_y_otros_21_02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DADDB-3DE0-403E-923C-3B4400BDD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2503</Words>
  <Characters>13296</Characters>
  <Application>Microsoft Office Word</Application>
  <DocSecurity>0</DocSecurity>
  <Lines>316</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2019-03-05T00:48:00Z</cp:lastPrinted>
  <dcterms:created xsi:type="dcterms:W3CDTF">2020-09-25T16:20:00Z</dcterms:created>
  <dcterms:modified xsi:type="dcterms:W3CDTF">2020-09-25T16:20:00Z</dcterms:modified>
</cp:coreProperties>
</file>