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3B15BC" w14:textId="77777777" w:rsidR="00003A9A" w:rsidRDefault="00003A9A" w:rsidP="00A41A32">
      <w:pPr>
        <w:spacing w:line="276" w:lineRule="auto"/>
        <w:jc w:val="center"/>
        <w:rPr>
          <w:rFonts w:ascii="Verdana" w:hAnsi="Verdana"/>
          <w:b/>
          <w:sz w:val="20"/>
          <w:szCs w:val="20"/>
        </w:rPr>
      </w:pPr>
    </w:p>
    <w:p w14:paraId="34BDAC9B" w14:textId="77777777" w:rsidR="00A1229E" w:rsidRDefault="00A1229E" w:rsidP="00A41A32">
      <w:pPr>
        <w:spacing w:line="276" w:lineRule="auto"/>
        <w:jc w:val="center"/>
        <w:rPr>
          <w:rFonts w:ascii="Verdana" w:hAnsi="Verdana"/>
          <w:b/>
          <w:sz w:val="20"/>
          <w:szCs w:val="20"/>
        </w:rPr>
      </w:pPr>
    </w:p>
    <w:p w14:paraId="6B9391F2" w14:textId="77777777" w:rsidR="00A1229E" w:rsidRDefault="00A1229E" w:rsidP="00A41A32">
      <w:pPr>
        <w:spacing w:line="276" w:lineRule="auto"/>
        <w:jc w:val="center"/>
        <w:rPr>
          <w:rFonts w:ascii="Verdana" w:hAnsi="Verdana"/>
          <w:b/>
          <w:sz w:val="20"/>
          <w:szCs w:val="20"/>
        </w:rPr>
      </w:pPr>
    </w:p>
    <w:p w14:paraId="1752D060" w14:textId="77777777" w:rsidR="00A1229E" w:rsidRDefault="00A1229E" w:rsidP="00A41A32">
      <w:pPr>
        <w:spacing w:line="276" w:lineRule="auto"/>
        <w:jc w:val="center"/>
        <w:rPr>
          <w:rFonts w:ascii="Verdana" w:hAnsi="Verdana"/>
          <w:b/>
          <w:sz w:val="20"/>
          <w:szCs w:val="20"/>
        </w:rPr>
      </w:pPr>
    </w:p>
    <w:p w14:paraId="5F10B63C" w14:textId="77777777" w:rsidR="00A1229E" w:rsidRDefault="00A1229E" w:rsidP="00A41A32">
      <w:pPr>
        <w:spacing w:line="276" w:lineRule="auto"/>
        <w:jc w:val="center"/>
        <w:rPr>
          <w:rFonts w:ascii="Verdana" w:hAnsi="Verdana"/>
          <w:b/>
          <w:sz w:val="20"/>
          <w:szCs w:val="20"/>
        </w:rPr>
      </w:pPr>
    </w:p>
    <w:p w14:paraId="1F2C00F4" w14:textId="77777777" w:rsidR="00A1229E" w:rsidRDefault="00A1229E" w:rsidP="00A41A32">
      <w:pPr>
        <w:spacing w:line="276" w:lineRule="auto"/>
        <w:jc w:val="center"/>
        <w:rPr>
          <w:rFonts w:ascii="Verdana" w:hAnsi="Verdana"/>
          <w:b/>
          <w:sz w:val="20"/>
          <w:szCs w:val="20"/>
        </w:rPr>
      </w:pPr>
    </w:p>
    <w:p w14:paraId="762D4C5B" w14:textId="77777777" w:rsidR="00A1229E" w:rsidRDefault="00A1229E" w:rsidP="00A41A32">
      <w:pPr>
        <w:spacing w:line="276" w:lineRule="auto"/>
        <w:jc w:val="center"/>
        <w:rPr>
          <w:rFonts w:ascii="Verdana" w:hAnsi="Verdana"/>
          <w:b/>
          <w:sz w:val="20"/>
          <w:szCs w:val="20"/>
        </w:rPr>
      </w:pPr>
    </w:p>
    <w:p w14:paraId="42D73658" w14:textId="77777777" w:rsidR="00A1229E" w:rsidRDefault="00A1229E" w:rsidP="00A41A32">
      <w:pPr>
        <w:spacing w:line="276" w:lineRule="auto"/>
        <w:jc w:val="center"/>
        <w:rPr>
          <w:rFonts w:ascii="Verdana" w:hAnsi="Verdana"/>
          <w:b/>
          <w:sz w:val="20"/>
          <w:szCs w:val="20"/>
        </w:rPr>
      </w:pPr>
    </w:p>
    <w:p w14:paraId="554CAE67" w14:textId="77777777" w:rsidR="000E2597" w:rsidRDefault="00F621BC" w:rsidP="00730F03">
      <w:pPr>
        <w:spacing w:before="120" w:after="120" w:line="276" w:lineRule="auto"/>
        <w:jc w:val="center"/>
        <w:rPr>
          <w:rFonts w:ascii="Verdana" w:hAnsi="Verdana"/>
          <w:b/>
          <w:sz w:val="20"/>
          <w:szCs w:val="20"/>
        </w:rPr>
      </w:pPr>
      <w:r w:rsidRPr="00A861F2">
        <w:rPr>
          <w:rFonts w:ascii="Verdana" w:hAnsi="Verdana"/>
          <w:b/>
          <w:sz w:val="20"/>
          <w:szCs w:val="20"/>
        </w:rPr>
        <w:t>RESOLUCIÓN DE LA</w:t>
      </w:r>
    </w:p>
    <w:p w14:paraId="79CB767D" w14:textId="77777777" w:rsidR="004322E1" w:rsidRPr="004014FC" w:rsidRDefault="00F621BC" w:rsidP="00730F03">
      <w:pPr>
        <w:spacing w:before="120" w:after="120" w:line="276" w:lineRule="auto"/>
        <w:jc w:val="center"/>
        <w:rPr>
          <w:rFonts w:ascii="Verdana" w:hAnsi="Verdana"/>
          <w:b/>
          <w:sz w:val="20"/>
          <w:szCs w:val="20"/>
        </w:rPr>
      </w:pPr>
      <w:r w:rsidRPr="004014FC">
        <w:rPr>
          <w:rFonts w:ascii="Verdana" w:hAnsi="Verdana"/>
          <w:b/>
          <w:sz w:val="20"/>
          <w:szCs w:val="20"/>
        </w:rPr>
        <w:t>CORTE INTERAMERICANA DE DERECHOS HUMANOS</w:t>
      </w:r>
      <w:r w:rsidR="000E623A">
        <w:rPr>
          <w:rStyle w:val="Refdenotaalpie"/>
          <w:rFonts w:ascii="Verdana" w:hAnsi="Verdana" w:cs="Arial"/>
          <w:b/>
          <w:bCs/>
          <w:color w:val="000000"/>
          <w:sz w:val="20"/>
          <w:szCs w:val="20"/>
          <w:lang w:val="es-CR"/>
        </w:rPr>
        <w:footnoteReference w:customMarkFollows="1" w:id="1"/>
        <w:t>*</w:t>
      </w:r>
    </w:p>
    <w:p w14:paraId="0D8D87C8" w14:textId="77777777" w:rsidR="004322E1" w:rsidRPr="004014FC" w:rsidRDefault="00BC5059" w:rsidP="00730F03">
      <w:pPr>
        <w:spacing w:before="120" w:after="120" w:line="276" w:lineRule="auto"/>
        <w:jc w:val="center"/>
        <w:rPr>
          <w:rFonts w:ascii="Verdana" w:hAnsi="Verdana"/>
          <w:b/>
          <w:sz w:val="20"/>
          <w:szCs w:val="20"/>
        </w:rPr>
      </w:pPr>
      <w:r w:rsidRPr="004014FC">
        <w:rPr>
          <w:rFonts w:ascii="Verdana" w:hAnsi="Verdana"/>
          <w:b/>
          <w:sz w:val="20"/>
          <w:szCs w:val="20"/>
        </w:rPr>
        <w:t xml:space="preserve">DE </w:t>
      </w:r>
      <w:r w:rsidR="00DA7312">
        <w:rPr>
          <w:rFonts w:ascii="Verdana" w:hAnsi="Verdana"/>
          <w:b/>
          <w:sz w:val="20"/>
          <w:szCs w:val="20"/>
        </w:rPr>
        <w:t>8</w:t>
      </w:r>
      <w:r w:rsidRPr="004014FC">
        <w:rPr>
          <w:rFonts w:ascii="Verdana" w:hAnsi="Verdana"/>
          <w:b/>
          <w:sz w:val="20"/>
          <w:szCs w:val="20"/>
        </w:rPr>
        <w:t xml:space="preserve"> DE </w:t>
      </w:r>
      <w:r w:rsidR="00205324">
        <w:rPr>
          <w:rFonts w:ascii="Verdana" w:hAnsi="Verdana"/>
          <w:b/>
          <w:sz w:val="20"/>
          <w:szCs w:val="20"/>
        </w:rPr>
        <w:t>JULIO</w:t>
      </w:r>
      <w:r w:rsidRPr="004014FC">
        <w:rPr>
          <w:rFonts w:ascii="Verdana" w:hAnsi="Verdana"/>
          <w:b/>
          <w:sz w:val="20"/>
          <w:szCs w:val="20"/>
        </w:rPr>
        <w:t xml:space="preserve"> DE 20</w:t>
      </w:r>
      <w:r w:rsidR="00D039C7">
        <w:rPr>
          <w:rFonts w:ascii="Verdana" w:hAnsi="Verdana"/>
          <w:b/>
          <w:sz w:val="20"/>
          <w:szCs w:val="20"/>
        </w:rPr>
        <w:t>20</w:t>
      </w:r>
    </w:p>
    <w:p w14:paraId="099ECC91" w14:textId="77777777" w:rsidR="004014FC" w:rsidRDefault="004014FC" w:rsidP="00730F03">
      <w:pPr>
        <w:spacing w:before="120" w:after="120" w:line="276" w:lineRule="auto"/>
        <w:jc w:val="center"/>
        <w:rPr>
          <w:rFonts w:ascii="Verdana" w:hAnsi="Verdana"/>
          <w:b/>
          <w:sz w:val="20"/>
          <w:szCs w:val="20"/>
        </w:rPr>
      </w:pPr>
    </w:p>
    <w:p w14:paraId="2C1A800A" w14:textId="77777777" w:rsidR="0018275E" w:rsidRPr="00A861F2" w:rsidRDefault="00F621BC" w:rsidP="00730F03">
      <w:pPr>
        <w:spacing w:before="120" w:after="120" w:line="276" w:lineRule="auto"/>
        <w:jc w:val="center"/>
        <w:rPr>
          <w:rFonts w:ascii="Verdana" w:hAnsi="Verdana"/>
          <w:b/>
          <w:sz w:val="20"/>
          <w:szCs w:val="20"/>
        </w:rPr>
      </w:pPr>
      <w:r w:rsidRPr="004014FC">
        <w:rPr>
          <w:rFonts w:ascii="Verdana" w:hAnsi="Verdana"/>
          <w:b/>
          <w:sz w:val="20"/>
          <w:szCs w:val="20"/>
        </w:rPr>
        <w:t>MEDIDAS PROVISIONALES</w:t>
      </w:r>
    </w:p>
    <w:p w14:paraId="0FAEBD4D" w14:textId="77777777" w:rsidR="00F60C9D" w:rsidRPr="00A861F2" w:rsidRDefault="00F621BC" w:rsidP="00730F03">
      <w:pPr>
        <w:spacing w:before="120" w:after="120" w:line="276" w:lineRule="auto"/>
        <w:jc w:val="center"/>
        <w:rPr>
          <w:rFonts w:ascii="Verdana" w:hAnsi="Verdana"/>
          <w:b/>
          <w:sz w:val="20"/>
          <w:szCs w:val="20"/>
        </w:rPr>
      </w:pPr>
      <w:r w:rsidRPr="00A861F2">
        <w:rPr>
          <w:rFonts w:ascii="Verdana" w:hAnsi="Verdana"/>
          <w:b/>
          <w:sz w:val="20"/>
          <w:szCs w:val="20"/>
        </w:rPr>
        <w:t>RESPECTO DE VENEZUELA</w:t>
      </w:r>
    </w:p>
    <w:p w14:paraId="3DA0F942" w14:textId="77777777" w:rsidR="004322E1" w:rsidRPr="00A861F2" w:rsidRDefault="004322E1" w:rsidP="00730F03">
      <w:pPr>
        <w:spacing w:before="120" w:after="120" w:line="276" w:lineRule="auto"/>
        <w:jc w:val="center"/>
        <w:rPr>
          <w:rFonts w:ascii="Verdana" w:hAnsi="Verdana"/>
          <w:b/>
          <w:sz w:val="20"/>
          <w:szCs w:val="20"/>
        </w:rPr>
      </w:pPr>
    </w:p>
    <w:p w14:paraId="63871AFD" w14:textId="77777777" w:rsidR="0057165C" w:rsidRDefault="00F621BC" w:rsidP="00730F03">
      <w:pPr>
        <w:pStyle w:val="Textoindependiente"/>
        <w:spacing w:before="120" w:after="120" w:line="276" w:lineRule="auto"/>
        <w:jc w:val="center"/>
        <w:rPr>
          <w:rFonts w:ascii="Verdana" w:hAnsi="Verdana"/>
          <w:b/>
        </w:rPr>
      </w:pPr>
      <w:r w:rsidRPr="00446B9C">
        <w:rPr>
          <w:rFonts w:ascii="Verdana" w:hAnsi="Verdana"/>
          <w:b/>
        </w:rPr>
        <w:t>ASUNTO</w:t>
      </w:r>
      <w:r w:rsidR="00730F03">
        <w:rPr>
          <w:rFonts w:ascii="Verdana" w:hAnsi="Verdana"/>
          <w:b/>
        </w:rPr>
        <w:t>S</w:t>
      </w:r>
      <w:r w:rsidRPr="00446B9C">
        <w:rPr>
          <w:rFonts w:ascii="Verdana" w:hAnsi="Verdana"/>
          <w:b/>
        </w:rPr>
        <w:t xml:space="preserve"> </w:t>
      </w:r>
      <w:r w:rsidR="000A1623" w:rsidRPr="00446B9C">
        <w:rPr>
          <w:rFonts w:ascii="Verdana" w:hAnsi="Verdana"/>
          <w:b/>
        </w:rPr>
        <w:t xml:space="preserve">DE </w:t>
      </w:r>
      <w:r w:rsidRPr="00446B9C">
        <w:rPr>
          <w:rFonts w:ascii="Verdana" w:hAnsi="Verdana"/>
          <w:b/>
        </w:rPr>
        <w:t>DETERMINADOS CENTROS PENITENCIARIOS DE VENEZUELA</w:t>
      </w:r>
    </w:p>
    <w:p w14:paraId="512336B9" w14:textId="77777777" w:rsidR="00CA00FC" w:rsidRDefault="00F641D2" w:rsidP="00730F03">
      <w:pPr>
        <w:pStyle w:val="Textoindependiente"/>
        <w:spacing w:before="120" w:after="120" w:line="276" w:lineRule="auto"/>
        <w:jc w:val="center"/>
        <w:rPr>
          <w:rFonts w:ascii="Verdana" w:hAnsi="Verdana"/>
          <w:b/>
        </w:rPr>
      </w:pPr>
      <w:r w:rsidRPr="00A06259">
        <w:rPr>
          <w:rFonts w:ascii="Verdana" w:hAnsi="Verdana"/>
          <w:b/>
        </w:rPr>
        <w:t>HUMBERTO PRADO</w:t>
      </w:r>
    </w:p>
    <w:p w14:paraId="4EF736BD" w14:textId="77777777" w:rsidR="00F641D2" w:rsidRPr="00446B9C" w:rsidRDefault="00F641D2" w:rsidP="00730F03">
      <w:pPr>
        <w:pStyle w:val="Textoindependiente"/>
        <w:spacing w:before="120" w:after="120" w:line="276" w:lineRule="auto"/>
        <w:jc w:val="center"/>
        <w:rPr>
          <w:rFonts w:ascii="Verdana" w:hAnsi="Verdana"/>
          <w:b/>
        </w:rPr>
      </w:pPr>
      <w:r w:rsidRPr="00A06259">
        <w:rPr>
          <w:rFonts w:ascii="Verdana" w:hAnsi="Verdana"/>
          <w:b/>
        </w:rPr>
        <w:t>MARIANELA SÁNCHEZ ORTIZ</w:t>
      </w:r>
      <w:r>
        <w:rPr>
          <w:rFonts w:ascii="Verdana" w:hAnsi="Verdana"/>
          <w:b/>
        </w:rPr>
        <w:t xml:space="preserve"> Y FAMILIA</w:t>
      </w:r>
    </w:p>
    <w:p w14:paraId="7CFBE133" w14:textId="77777777" w:rsidR="008E003C" w:rsidRPr="00F641D2" w:rsidRDefault="008E003C" w:rsidP="00635BD2">
      <w:pPr>
        <w:jc w:val="both"/>
        <w:rPr>
          <w:rFonts w:ascii="Verdana" w:hAnsi="Verdana"/>
          <w:b/>
          <w:smallCaps/>
          <w:sz w:val="20"/>
          <w:szCs w:val="20"/>
        </w:rPr>
      </w:pPr>
    </w:p>
    <w:p w14:paraId="65FB5AFC" w14:textId="77777777" w:rsidR="00222A11" w:rsidRPr="00A861F2" w:rsidRDefault="00222A11" w:rsidP="00635BD2">
      <w:pPr>
        <w:jc w:val="both"/>
        <w:rPr>
          <w:rFonts w:ascii="Verdana" w:hAnsi="Verdana"/>
          <w:b/>
          <w:smallCaps/>
          <w:sz w:val="20"/>
          <w:szCs w:val="20"/>
          <w:lang w:val="es-ES_tradnl"/>
        </w:rPr>
      </w:pPr>
    </w:p>
    <w:p w14:paraId="76DE6051" w14:textId="77777777" w:rsidR="004322E1" w:rsidRPr="00A861F2" w:rsidRDefault="005152EA" w:rsidP="00635BD2">
      <w:pPr>
        <w:rPr>
          <w:rFonts w:ascii="Verdana" w:hAnsi="Verdana"/>
          <w:b/>
          <w:sz w:val="20"/>
          <w:szCs w:val="20"/>
        </w:rPr>
      </w:pPr>
      <w:r w:rsidRPr="00A861F2">
        <w:rPr>
          <w:rFonts w:ascii="Verdana" w:hAnsi="Verdana"/>
          <w:b/>
          <w:sz w:val="20"/>
          <w:szCs w:val="20"/>
        </w:rPr>
        <w:t>VISTO:</w:t>
      </w:r>
    </w:p>
    <w:p w14:paraId="4C21FD69" w14:textId="77777777" w:rsidR="0018275E" w:rsidRPr="00A861F2" w:rsidRDefault="0018275E" w:rsidP="00635BD2">
      <w:pPr>
        <w:jc w:val="both"/>
        <w:rPr>
          <w:rFonts w:ascii="Verdana" w:hAnsi="Verdana"/>
          <w:b/>
          <w:smallCaps/>
          <w:sz w:val="20"/>
          <w:szCs w:val="20"/>
          <w:lang w:val="es-ES_tradnl"/>
        </w:rPr>
      </w:pPr>
    </w:p>
    <w:p w14:paraId="4F0373E5" w14:textId="77777777" w:rsidR="00214817" w:rsidRPr="00A41A32" w:rsidRDefault="0018275E" w:rsidP="00A41A32">
      <w:pPr>
        <w:widowControl w:val="0"/>
        <w:numPr>
          <w:ilvl w:val="0"/>
          <w:numId w:val="1"/>
        </w:numPr>
        <w:tabs>
          <w:tab w:val="clear" w:pos="851"/>
        </w:tabs>
        <w:autoSpaceDE w:val="0"/>
        <w:autoSpaceDN w:val="0"/>
        <w:adjustRightInd w:val="0"/>
        <w:jc w:val="both"/>
        <w:rPr>
          <w:rFonts w:ascii="Verdana" w:hAnsi="Verdana" w:cs="Arial"/>
          <w:sz w:val="20"/>
          <w:szCs w:val="20"/>
        </w:rPr>
      </w:pPr>
      <w:r w:rsidRPr="00A861F2">
        <w:rPr>
          <w:rFonts w:ascii="Verdana" w:hAnsi="Verdana"/>
          <w:sz w:val="20"/>
          <w:szCs w:val="20"/>
          <w:lang w:val="es-ES_tradnl"/>
        </w:rPr>
        <w:t>La</w:t>
      </w:r>
      <w:r w:rsidR="000E623A">
        <w:rPr>
          <w:rFonts w:ascii="Verdana" w:hAnsi="Verdana"/>
          <w:sz w:val="20"/>
          <w:szCs w:val="20"/>
          <w:lang w:val="es-ES_tradnl"/>
        </w:rPr>
        <w:t>s</w:t>
      </w:r>
      <w:r w:rsidR="001E47DD">
        <w:rPr>
          <w:rFonts w:ascii="Verdana" w:hAnsi="Verdana"/>
          <w:sz w:val="20"/>
          <w:szCs w:val="20"/>
          <w:lang w:val="es-ES_tradnl"/>
        </w:rPr>
        <w:t xml:space="preserve"> Resoluci</w:t>
      </w:r>
      <w:r w:rsidR="00CF4306">
        <w:rPr>
          <w:rFonts w:ascii="Verdana" w:hAnsi="Verdana"/>
          <w:sz w:val="20"/>
          <w:szCs w:val="20"/>
          <w:lang w:val="es-ES_tradnl"/>
        </w:rPr>
        <w:t>o</w:t>
      </w:r>
      <w:r w:rsidR="001E47DD">
        <w:rPr>
          <w:rFonts w:ascii="Verdana" w:hAnsi="Verdana"/>
          <w:sz w:val="20"/>
          <w:szCs w:val="20"/>
          <w:lang w:val="es-ES_tradnl"/>
        </w:rPr>
        <w:t>n</w:t>
      </w:r>
      <w:r w:rsidR="00CF4306">
        <w:rPr>
          <w:rFonts w:ascii="Verdana" w:hAnsi="Verdana"/>
          <w:sz w:val="20"/>
          <w:szCs w:val="20"/>
          <w:lang w:val="es-ES_tradnl"/>
        </w:rPr>
        <w:t>es</w:t>
      </w:r>
      <w:r w:rsidR="001E47DD">
        <w:rPr>
          <w:rFonts w:ascii="Verdana" w:hAnsi="Verdana"/>
          <w:sz w:val="20"/>
          <w:szCs w:val="20"/>
          <w:lang w:val="es-ES_tradnl"/>
        </w:rPr>
        <w:t xml:space="preserve"> de la Corte Interame</w:t>
      </w:r>
      <w:r w:rsidRPr="00A861F2">
        <w:rPr>
          <w:rFonts w:ascii="Verdana" w:hAnsi="Verdana"/>
          <w:sz w:val="20"/>
          <w:szCs w:val="20"/>
          <w:lang w:val="es-ES_tradnl"/>
        </w:rPr>
        <w:t xml:space="preserve">ricana </w:t>
      </w:r>
      <w:r w:rsidR="00F60C9D" w:rsidRPr="00A861F2">
        <w:rPr>
          <w:rFonts w:ascii="Verdana" w:hAnsi="Verdana"/>
          <w:sz w:val="20"/>
          <w:szCs w:val="20"/>
          <w:lang w:val="es-ES_tradnl"/>
        </w:rPr>
        <w:t>de Derechos Humanos (en adelante</w:t>
      </w:r>
      <w:r w:rsidR="00DA7312">
        <w:rPr>
          <w:rFonts w:ascii="Verdana" w:hAnsi="Verdana"/>
          <w:sz w:val="20"/>
          <w:szCs w:val="20"/>
          <w:lang w:val="es-ES_tradnl"/>
        </w:rPr>
        <w:t xml:space="preserve"> también</w:t>
      </w:r>
      <w:r w:rsidR="00F60C9D" w:rsidRPr="00A861F2">
        <w:rPr>
          <w:rFonts w:ascii="Verdana" w:hAnsi="Verdana"/>
          <w:sz w:val="20"/>
          <w:szCs w:val="20"/>
          <w:lang w:val="es-ES_tradnl"/>
        </w:rPr>
        <w:t xml:space="preserve"> “la Corte Interamericana”, “la Corte” o “el Tribunal”) </w:t>
      </w:r>
      <w:r w:rsidRPr="00A861F2">
        <w:rPr>
          <w:rFonts w:ascii="Verdana" w:hAnsi="Verdana"/>
          <w:sz w:val="20"/>
          <w:szCs w:val="20"/>
          <w:lang w:val="es-ES_tradnl"/>
        </w:rPr>
        <w:t xml:space="preserve">de </w:t>
      </w:r>
      <w:r w:rsidR="00461F99">
        <w:rPr>
          <w:rFonts w:ascii="Verdana" w:hAnsi="Verdana"/>
          <w:sz w:val="20"/>
          <w:szCs w:val="20"/>
          <w:lang w:val="es-ES_tradnl"/>
        </w:rPr>
        <w:t>24</w:t>
      </w:r>
      <w:r w:rsidR="00CA17A2">
        <w:rPr>
          <w:rFonts w:ascii="Verdana" w:hAnsi="Verdana"/>
          <w:sz w:val="20"/>
          <w:szCs w:val="20"/>
          <w:lang w:val="es-ES_tradnl"/>
        </w:rPr>
        <w:t xml:space="preserve"> de </w:t>
      </w:r>
      <w:r w:rsidR="00461F99">
        <w:rPr>
          <w:rFonts w:ascii="Verdana" w:hAnsi="Verdana"/>
          <w:sz w:val="20"/>
          <w:szCs w:val="20"/>
          <w:lang w:val="es-ES_tradnl"/>
        </w:rPr>
        <w:t>noviembre de 2009</w:t>
      </w:r>
      <w:r w:rsidR="00CA17A2" w:rsidRPr="00A861F2">
        <w:rPr>
          <w:rFonts w:ascii="Verdana" w:hAnsi="Verdana"/>
          <w:sz w:val="20"/>
          <w:szCs w:val="20"/>
        </w:rPr>
        <w:t xml:space="preserve">, </w:t>
      </w:r>
      <w:r w:rsidR="00237258">
        <w:rPr>
          <w:rFonts w:ascii="Verdana" w:hAnsi="Verdana"/>
          <w:sz w:val="20"/>
          <w:szCs w:val="20"/>
        </w:rPr>
        <w:t>6 de julio de 2011</w:t>
      </w:r>
      <w:r w:rsidR="00DB226B" w:rsidRPr="00F57281">
        <w:rPr>
          <w:rFonts w:ascii="Verdana" w:hAnsi="Verdana"/>
          <w:sz w:val="20"/>
          <w:szCs w:val="20"/>
          <w:lang w:val="es-ES_tradnl"/>
        </w:rPr>
        <w:t xml:space="preserve">, </w:t>
      </w:r>
      <w:r w:rsidR="00214817">
        <w:rPr>
          <w:rFonts w:ascii="Verdana" w:hAnsi="Verdana"/>
          <w:sz w:val="20"/>
          <w:szCs w:val="20"/>
          <w:lang w:val="es-ES_tradnl"/>
        </w:rPr>
        <w:t>6 de septiembre de 2012</w:t>
      </w:r>
      <w:r w:rsidR="00DE199D">
        <w:rPr>
          <w:rFonts w:ascii="Verdana" w:hAnsi="Verdana"/>
          <w:sz w:val="20"/>
          <w:szCs w:val="20"/>
          <w:lang w:val="es-ES_tradnl"/>
        </w:rPr>
        <w:t xml:space="preserve"> y</w:t>
      </w:r>
      <w:r w:rsidR="00214817">
        <w:rPr>
          <w:rFonts w:ascii="Verdana" w:hAnsi="Verdana"/>
          <w:sz w:val="20"/>
          <w:szCs w:val="20"/>
          <w:lang w:val="es-ES_tradnl"/>
        </w:rPr>
        <w:t xml:space="preserve"> 13 de noviembre de 2015</w:t>
      </w:r>
      <w:r w:rsidR="00DA7312">
        <w:rPr>
          <w:rFonts w:ascii="Verdana" w:hAnsi="Verdana"/>
          <w:sz w:val="20"/>
          <w:szCs w:val="20"/>
          <w:lang w:val="es-ES_tradnl"/>
        </w:rPr>
        <w:t>. En el marco de esta última R</w:t>
      </w:r>
      <w:r w:rsidR="00CF4306">
        <w:rPr>
          <w:rFonts w:ascii="Verdana" w:hAnsi="Verdana"/>
          <w:sz w:val="20"/>
          <w:szCs w:val="20"/>
          <w:lang w:val="es-ES_tradnl"/>
        </w:rPr>
        <w:t>esolución, la Corte resolvió, entre otros:</w:t>
      </w:r>
      <w:r w:rsidR="00CF4306" w:rsidRPr="00A41A32">
        <w:rPr>
          <w:rFonts w:ascii="Verdana" w:hAnsi="Verdana"/>
          <w:sz w:val="20"/>
          <w:szCs w:val="20"/>
          <w:lang w:val="es-ES_tradnl"/>
        </w:rPr>
        <w:t xml:space="preserve"> “</w:t>
      </w:r>
      <w:r w:rsidR="003C1401">
        <w:rPr>
          <w:rFonts w:ascii="Verdana" w:hAnsi="Verdana"/>
          <w:sz w:val="20"/>
          <w:szCs w:val="20"/>
          <w:lang w:val="es-ES_tradnl"/>
        </w:rPr>
        <w:t>[r]</w:t>
      </w:r>
      <w:proofErr w:type="spellStart"/>
      <w:r w:rsidR="00214817" w:rsidRPr="00A41A32">
        <w:rPr>
          <w:rFonts w:ascii="Verdana" w:hAnsi="Verdana"/>
          <w:sz w:val="20"/>
          <w:szCs w:val="20"/>
        </w:rPr>
        <w:t>eiterar</w:t>
      </w:r>
      <w:proofErr w:type="spellEnd"/>
      <w:r w:rsidR="00214817" w:rsidRPr="00A41A32">
        <w:rPr>
          <w:rFonts w:ascii="Verdana" w:hAnsi="Verdana"/>
          <w:sz w:val="20"/>
          <w:szCs w:val="20"/>
        </w:rPr>
        <w:t xml:space="preserve"> al Estado que debe adoptar todas las medidas necesarias para proteger la vida e integridad personal de […] Humberto Prado […]</w:t>
      </w:r>
      <w:r w:rsidR="00CF4306" w:rsidRPr="00A41A32">
        <w:rPr>
          <w:rFonts w:ascii="Verdana" w:hAnsi="Verdana"/>
          <w:sz w:val="20"/>
          <w:szCs w:val="20"/>
        </w:rPr>
        <w:t>”.</w:t>
      </w:r>
    </w:p>
    <w:p w14:paraId="5281EE5C" w14:textId="77777777" w:rsidR="00214817" w:rsidRPr="00214817" w:rsidRDefault="00214817" w:rsidP="00214817">
      <w:pPr>
        <w:pStyle w:val="Listavistosa-nfasis11"/>
        <w:ind w:left="709" w:right="582"/>
        <w:rPr>
          <w:rFonts w:ascii="Verdana" w:hAnsi="Verdana" w:cs="Arial"/>
          <w:sz w:val="16"/>
          <w:szCs w:val="16"/>
        </w:rPr>
      </w:pPr>
    </w:p>
    <w:p w14:paraId="5DA214EA" w14:textId="77777777" w:rsidR="004D70C3" w:rsidRPr="00A41A32" w:rsidRDefault="00214817" w:rsidP="00A41A32">
      <w:pPr>
        <w:widowControl w:val="0"/>
        <w:numPr>
          <w:ilvl w:val="0"/>
          <w:numId w:val="1"/>
        </w:numPr>
        <w:autoSpaceDE w:val="0"/>
        <w:autoSpaceDN w:val="0"/>
        <w:adjustRightInd w:val="0"/>
        <w:jc w:val="both"/>
        <w:rPr>
          <w:rFonts w:ascii="Verdana" w:hAnsi="Verdana"/>
          <w:sz w:val="20"/>
          <w:szCs w:val="20"/>
          <w:lang w:val="es-ES_tradnl"/>
        </w:rPr>
      </w:pPr>
      <w:r>
        <w:rPr>
          <w:rFonts w:ascii="Verdana" w:hAnsi="Verdana"/>
          <w:sz w:val="20"/>
          <w:szCs w:val="20"/>
        </w:rPr>
        <w:t>Las com</w:t>
      </w:r>
      <w:r w:rsidR="00AC216D">
        <w:rPr>
          <w:rFonts w:ascii="Verdana" w:hAnsi="Verdana"/>
          <w:sz w:val="20"/>
          <w:szCs w:val="20"/>
        </w:rPr>
        <w:t>unicaciones de</w:t>
      </w:r>
      <w:r>
        <w:rPr>
          <w:rFonts w:ascii="Verdana" w:hAnsi="Verdana"/>
          <w:sz w:val="20"/>
          <w:szCs w:val="20"/>
        </w:rPr>
        <w:t xml:space="preserve"> la Secretaría de la Corte Interamericana de D</w:t>
      </w:r>
      <w:r w:rsidR="007F000D">
        <w:rPr>
          <w:rFonts w:ascii="Verdana" w:hAnsi="Verdana"/>
          <w:sz w:val="20"/>
          <w:szCs w:val="20"/>
        </w:rPr>
        <w:t>erechos Humanos (en adelante, “</w:t>
      </w:r>
      <w:r>
        <w:rPr>
          <w:rFonts w:ascii="Verdana" w:hAnsi="Verdana"/>
          <w:sz w:val="20"/>
          <w:szCs w:val="20"/>
        </w:rPr>
        <w:t>la Se</w:t>
      </w:r>
      <w:r w:rsidR="00776DD2">
        <w:rPr>
          <w:rFonts w:ascii="Verdana" w:hAnsi="Verdana"/>
          <w:sz w:val="20"/>
          <w:szCs w:val="20"/>
        </w:rPr>
        <w:t>c</w:t>
      </w:r>
      <w:r>
        <w:rPr>
          <w:rFonts w:ascii="Verdana" w:hAnsi="Verdana"/>
          <w:sz w:val="20"/>
          <w:szCs w:val="20"/>
        </w:rPr>
        <w:t>retaría</w:t>
      </w:r>
      <w:r w:rsidR="00DA7312">
        <w:rPr>
          <w:rFonts w:ascii="Verdana" w:hAnsi="Verdana"/>
          <w:sz w:val="20"/>
          <w:szCs w:val="20"/>
        </w:rPr>
        <w:t xml:space="preserve"> de la Corte</w:t>
      </w:r>
      <w:r w:rsidR="007F000D">
        <w:rPr>
          <w:rFonts w:ascii="Verdana" w:hAnsi="Verdana"/>
          <w:sz w:val="20"/>
          <w:szCs w:val="20"/>
        </w:rPr>
        <w:t>”</w:t>
      </w:r>
      <w:r w:rsidR="00DA7312">
        <w:rPr>
          <w:rFonts w:ascii="Verdana" w:hAnsi="Verdana"/>
          <w:sz w:val="20"/>
          <w:szCs w:val="20"/>
        </w:rPr>
        <w:t xml:space="preserve"> o “la Secretaría del Tribunal”</w:t>
      </w:r>
      <w:r>
        <w:rPr>
          <w:rFonts w:ascii="Verdana" w:hAnsi="Verdana"/>
          <w:sz w:val="20"/>
          <w:szCs w:val="20"/>
        </w:rPr>
        <w:t xml:space="preserve">) de </w:t>
      </w:r>
      <w:r w:rsidR="00776DD2">
        <w:rPr>
          <w:rFonts w:ascii="Verdana" w:hAnsi="Verdana"/>
          <w:sz w:val="20"/>
          <w:szCs w:val="20"/>
        </w:rPr>
        <w:t>11 de noviembre de 2019, en la</w:t>
      </w:r>
      <w:r w:rsidR="00CE13AE">
        <w:rPr>
          <w:rFonts w:ascii="Verdana" w:hAnsi="Verdana"/>
          <w:sz w:val="20"/>
          <w:szCs w:val="20"/>
        </w:rPr>
        <w:t>s</w:t>
      </w:r>
      <w:r w:rsidR="00776DD2">
        <w:rPr>
          <w:rFonts w:ascii="Verdana" w:hAnsi="Verdana"/>
          <w:sz w:val="20"/>
          <w:szCs w:val="20"/>
        </w:rPr>
        <w:t xml:space="preserve"> que, siguiendo instrucciones </w:t>
      </w:r>
      <w:r w:rsidR="00CE13AE">
        <w:rPr>
          <w:rFonts w:ascii="Verdana" w:hAnsi="Verdana"/>
          <w:sz w:val="20"/>
          <w:szCs w:val="20"/>
        </w:rPr>
        <w:t>de</w:t>
      </w:r>
      <w:r w:rsidR="00AC216D">
        <w:rPr>
          <w:rFonts w:ascii="Verdana" w:hAnsi="Verdana"/>
          <w:sz w:val="20"/>
          <w:szCs w:val="20"/>
        </w:rPr>
        <w:t xml:space="preserve"> </w:t>
      </w:r>
      <w:r w:rsidR="00CE13AE">
        <w:rPr>
          <w:rFonts w:ascii="Verdana" w:hAnsi="Verdana"/>
          <w:sz w:val="20"/>
          <w:szCs w:val="20"/>
        </w:rPr>
        <w:t>l</w:t>
      </w:r>
      <w:r w:rsidR="00AC216D">
        <w:rPr>
          <w:rFonts w:ascii="Verdana" w:hAnsi="Verdana"/>
          <w:sz w:val="20"/>
          <w:szCs w:val="20"/>
        </w:rPr>
        <w:t>a</w:t>
      </w:r>
      <w:r w:rsidR="00CE13AE">
        <w:rPr>
          <w:rFonts w:ascii="Verdana" w:hAnsi="Verdana"/>
          <w:sz w:val="20"/>
          <w:szCs w:val="20"/>
        </w:rPr>
        <w:t xml:space="preserve"> Corte, se informó a los representantes de las personas beneficiarias</w:t>
      </w:r>
      <w:r w:rsidR="00DA7312">
        <w:rPr>
          <w:rFonts w:ascii="Verdana" w:hAnsi="Verdana"/>
          <w:sz w:val="20"/>
          <w:szCs w:val="20"/>
        </w:rPr>
        <w:t xml:space="preserve"> (en adelante también</w:t>
      </w:r>
      <w:r w:rsidR="00AC216D">
        <w:rPr>
          <w:rFonts w:ascii="Verdana" w:hAnsi="Verdana"/>
          <w:sz w:val="20"/>
          <w:szCs w:val="20"/>
        </w:rPr>
        <w:t xml:space="preserve"> “los representantes”)</w:t>
      </w:r>
      <w:r w:rsidR="00CE13AE">
        <w:rPr>
          <w:rFonts w:ascii="Verdana" w:hAnsi="Verdana"/>
          <w:sz w:val="20"/>
          <w:szCs w:val="20"/>
        </w:rPr>
        <w:t>, a</w:t>
      </w:r>
      <w:r w:rsidR="00AC216D">
        <w:rPr>
          <w:rFonts w:ascii="Verdana" w:hAnsi="Verdana"/>
          <w:sz w:val="20"/>
          <w:szCs w:val="20"/>
        </w:rPr>
        <w:t xml:space="preserve"> </w:t>
      </w:r>
      <w:r w:rsidR="00CE13AE">
        <w:rPr>
          <w:rFonts w:ascii="Verdana" w:hAnsi="Verdana"/>
          <w:sz w:val="20"/>
          <w:szCs w:val="20"/>
        </w:rPr>
        <w:t>l</w:t>
      </w:r>
      <w:r w:rsidR="00AC216D">
        <w:rPr>
          <w:rFonts w:ascii="Verdana" w:hAnsi="Verdana"/>
          <w:sz w:val="20"/>
          <w:szCs w:val="20"/>
        </w:rPr>
        <w:t>a República Bolivariana de Venezuela (en adelante</w:t>
      </w:r>
      <w:r w:rsidR="00DA7312">
        <w:rPr>
          <w:rFonts w:ascii="Verdana" w:hAnsi="Verdana"/>
          <w:sz w:val="20"/>
          <w:szCs w:val="20"/>
        </w:rPr>
        <w:t xml:space="preserve"> también</w:t>
      </w:r>
      <w:r w:rsidR="00AC216D">
        <w:rPr>
          <w:rFonts w:ascii="Verdana" w:hAnsi="Verdana"/>
          <w:sz w:val="20"/>
          <w:szCs w:val="20"/>
        </w:rPr>
        <w:t xml:space="preserve"> “el</w:t>
      </w:r>
      <w:r w:rsidR="00CE13AE">
        <w:rPr>
          <w:rFonts w:ascii="Verdana" w:hAnsi="Verdana"/>
          <w:sz w:val="20"/>
          <w:szCs w:val="20"/>
        </w:rPr>
        <w:t xml:space="preserve"> Estado</w:t>
      </w:r>
      <w:r w:rsidR="00AC216D">
        <w:rPr>
          <w:rFonts w:ascii="Verdana" w:hAnsi="Verdana"/>
          <w:sz w:val="20"/>
          <w:szCs w:val="20"/>
        </w:rPr>
        <w:t>” o “Venezuela”) y</w:t>
      </w:r>
      <w:r w:rsidR="00CE13AE">
        <w:rPr>
          <w:rFonts w:ascii="Verdana" w:hAnsi="Verdana"/>
          <w:sz w:val="20"/>
          <w:szCs w:val="20"/>
        </w:rPr>
        <w:t xml:space="preserve"> a la Comisión Interamericana d</w:t>
      </w:r>
      <w:r w:rsidR="00DA7312">
        <w:rPr>
          <w:rFonts w:ascii="Verdana" w:hAnsi="Verdana"/>
          <w:sz w:val="20"/>
          <w:szCs w:val="20"/>
        </w:rPr>
        <w:t>e Derechos Humanos (en adelante también</w:t>
      </w:r>
      <w:r w:rsidR="00CE13AE">
        <w:rPr>
          <w:rFonts w:ascii="Verdana" w:hAnsi="Verdana"/>
          <w:sz w:val="20"/>
          <w:szCs w:val="20"/>
        </w:rPr>
        <w:t xml:space="preserve"> “la Comisión”, o “la Comisión Interamericana”), </w:t>
      </w:r>
      <w:r w:rsidR="00DE199D">
        <w:rPr>
          <w:rFonts w:ascii="Verdana" w:hAnsi="Verdana"/>
          <w:sz w:val="20"/>
          <w:szCs w:val="20"/>
          <w:lang w:val="es-ES_tradnl"/>
        </w:rPr>
        <w:t>que no correspondía</w:t>
      </w:r>
      <w:r w:rsidR="00DE199D" w:rsidRPr="00DE199D">
        <w:rPr>
          <w:rFonts w:ascii="Verdana" w:hAnsi="Verdana"/>
          <w:sz w:val="20"/>
          <w:szCs w:val="20"/>
          <w:lang w:val="es-ES_tradnl"/>
        </w:rPr>
        <w:t xml:space="preserve"> admitir la </w:t>
      </w:r>
      <w:r w:rsidR="00CE13AE">
        <w:rPr>
          <w:rFonts w:ascii="Verdana" w:hAnsi="Verdana"/>
          <w:sz w:val="20"/>
          <w:szCs w:val="20"/>
        </w:rPr>
        <w:t>solicitud de ampliación de las medidas provisionales a favor de familiares del señor Humberto Prado que había sido formulada el 7 de septiembre del mismo año</w:t>
      </w:r>
      <w:r w:rsidR="004D70C3">
        <w:rPr>
          <w:rFonts w:ascii="Verdana" w:hAnsi="Verdana"/>
          <w:sz w:val="20"/>
          <w:szCs w:val="20"/>
        </w:rPr>
        <w:t>.</w:t>
      </w:r>
    </w:p>
    <w:p w14:paraId="2E093884" w14:textId="77777777" w:rsidR="00AA329F" w:rsidRDefault="00AA329F" w:rsidP="00A41A32">
      <w:pPr>
        <w:widowControl w:val="0"/>
        <w:autoSpaceDE w:val="0"/>
        <w:autoSpaceDN w:val="0"/>
        <w:adjustRightInd w:val="0"/>
        <w:jc w:val="both"/>
        <w:rPr>
          <w:rFonts w:ascii="Verdana" w:hAnsi="Verdana"/>
          <w:sz w:val="20"/>
          <w:szCs w:val="20"/>
          <w:lang w:val="es-ES_tradnl"/>
        </w:rPr>
      </w:pPr>
    </w:p>
    <w:p w14:paraId="32C9DBD2" w14:textId="77777777" w:rsidR="00AC216D" w:rsidRDefault="00AA329F" w:rsidP="009F70FA">
      <w:pPr>
        <w:widowControl w:val="0"/>
        <w:numPr>
          <w:ilvl w:val="0"/>
          <w:numId w:val="1"/>
        </w:numPr>
        <w:autoSpaceDE w:val="0"/>
        <w:autoSpaceDN w:val="0"/>
        <w:adjustRightInd w:val="0"/>
        <w:jc w:val="both"/>
        <w:rPr>
          <w:rFonts w:ascii="Verdana" w:hAnsi="Verdana"/>
          <w:sz w:val="20"/>
          <w:szCs w:val="20"/>
          <w:lang w:val="es-ES_tradnl"/>
        </w:rPr>
      </w:pPr>
      <w:r>
        <w:rPr>
          <w:rFonts w:ascii="Verdana" w:hAnsi="Verdana"/>
          <w:sz w:val="20"/>
          <w:szCs w:val="20"/>
          <w:lang w:val="es-ES_tradnl"/>
        </w:rPr>
        <w:t>L</w:t>
      </w:r>
      <w:r w:rsidR="00AC216D">
        <w:rPr>
          <w:rFonts w:ascii="Verdana" w:hAnsi="Verdana"/>
          <w:sz w:val="20"/>
          <w:szCs w:val="20"/>
          <w:lang w:val="es-ES_tradnl"/>
        </w:rPr>
        <w:t xml:space="preserve">os </w:t>
      </w:r>
      <w:r>
        <w:rPr>
          <w:rFonts w:ascii="Verdana" w:hAnsi="Verdana"/>
          <w:sz w:val="20"/>
          <w:szCs w:val="20"/>
          <w:lang w:val="es-ES_tradnl"/>
        </w:rPr>
        <w:t xml:space="preserve">escritos </w:t>
      </w:r>
      <w:r w:rsidR="000A631F">
        <w:rPr>
          <w:rFonts w:ascii="Verdana" w:hAnsi="Verdana"/>
          <w:sz w:val="20"/>
          <w:szCs w:val="20"/>
          <w:lang w:val="es-ES_tradnl"/>
        </w:rPr>
        <w:t xml:space="preserve">recibidos </w:t>
      </w:r>
      <w:r w:rsidR="00DA7312">
        <w:rPr>
          <w:rFonts w:ascii="Verdana" w:hAnsi="Verdana"/>
          <w:sz w:val="20"/>
          <w:szCs w:val="20"/>
          <w:lang w:val="es-ES_tradnl"/>
        </w:rPr>
        <w:t>por</w:t>
      </w:r>
      <w:r w:rsidR="00254880">
        <w:rPr>
          <w:rFonts w:ascii="Verdana" w:hAnsi="Verdana"/>
          <w:sz w:val="20"/>
          <w:szCs w:val="20"/>
          <w:lang w:val="es-ES_tradnl"/>
        </w:rPr>
        <w:t xml:space="preserve"> </w:t>
      </w:r>
      <w:r w:rsidR="000A631F">
        <w:rPr>
          <w:rFonts w:ascii="Verdana" w:hAnsi="Verdana"/>
          <w:sz w:val="20"/>
          <w:szCs w:val="20"/>
          <w:lang w:val="es-ES_tradnl"/>
        </w:rPr>
        <w:t xml:space="preserve">la Secretaría </w:t>
      </w:r>
      <w:r w:rsidR="00254880">
        <w:rPr>
          <w:rFonts w:ascii="Verdana" w:hAnsi="Verdana"/>
          <w:sz w:val="20"/>
          <w:szCs w:val="20"/>
          <w:lang w:val="es-ES_tradnl"/>
        </w:rPr>
        <w:t xml:space="preserve">de la Corte </w:t>
      </w:r>
      <w:r w:rsidR="000A631F">
        <w:rPr>
          <w:rFonts w:ascii="Verdana" w:hAnsi="Verdana"/>
          <w:sz w:val="20"/>
          <w:szCs w:val="20"/>
          <w:lang w:val="es-ES_tradnl"/>
        </w:rPr>
        <w:t>los días</w:t>
      </w:r>
      <w:r w:rsidR="00AC216D">
        <w:rPr>
          <w:rFonts w:ascii="Verdana" w:hAnsi="Verdana"/>
          <w:sz w:val="20"/>
          <w:szCs w:val="20"/>
          <w:lang w:val="es-ES_tradnl"/>
        </w:rPr>
        <w:t xml:space="preserve"> de 6 </w:t>
      </w:r>
      <w:r w:rsidR="000A631F">
        <w:rPr>
          <w:rFonts w:ascii="Verdana" w:hAnsi="Verdana"/>
          <w:sz w:val="20"/>
          <w:szCs w:val="20"/>
          <w:lang w:val="es-ES_tradnl"/>
        </w:rPr>
        <w:t xml:space="preserve">y 27 </w:t>
      </w:r>
      <w:r>
        <w:rPr>
          <w:rFonts w:ascii="Verdana" w:hAnsi="Verdana"/>
          <w:sz w:val="20"/>
          <w:szCs w:val="20"/>
          <w:lang w:val="es-ES_tradnl"/>
        </w:rPr>
        <w:t>de abril y</w:t>
      </w:r>
      <w:r w:rsidR="000A631F">
        <w:rPr>
          <w:rFonts w:ascii="Verdana" w:hAnsi="Verdana"/>
          <w:sz w:val="20"/>
          <w:szCs w:val="20"/>
          <w:lang w:val="es-ES_tradnl"/>
        </w:rPr>
        <w:t xml:space="preserve"> 4 y 28 de mayo de 2020, mediante los cuales </w:t>
      </w:r>
      <w:r w:rsidR="00E470B6">
        <w:rPr>
          <w:rFonts w:ascii="Verdana" w:hAnsi="Verdana"/>
          <w:sz w:val="20"/>
          <w:szCs w:val="20"/>
          <w:lang w:val="es-ES_tradnl"/>
        </w:rPr>
        <w:t xml:space="preserve">los representantes </w:t>
      </w:r>
      <w:r w:rsidR="000A631F">
        <w:rPr>
          <w:rFonts w:ascii="Verdana" w:hAnsi="Verdana"/>
          <w:sz w:val="20"/>
          <w:szCs w:val="20"/>
          <w:lang w:val="es-ES_tradnl"/>
        </w:rPr>
        <w:t xml:space="preserve">solicitaron </w:t>
      </w:r>
      <w:r w:rsidR="00254880">
        <w:rPr>
          <w:rFonts w:ascii="Verdana" w:hAnsi="Verdana"/>
          <w:sz w:val="20"/>
          <w:szCs w:val="20"/>
          <w:lang w:val="es-ES_tradnl"/>
        </w:rPr>
        <w:t xml:space="preserve">la </w:t>
      </w:r>
      <w:r w:rsidR="00084E16">
        <w:rPr>
          <w:rFonts w:ascii="Verdana" w:hAnsi="Verdana"/>
          <w:sz w:val="20"/>
          <w:szCs w:val="20"/>
          <w:lang w:val="es-ES_tradnl"/>
        </w:rPr>
        <w:t>extensión</w:t>
      </w:r>
      <w:r w:rsidR="00254880">
        <w:rPr>
          <w:rFonts w:ascii="Verdana" w:hAnsi="Verdana"/>
          <w:sz w:val="20"/>
          <w:szCs w:val="20"/>
          <w:lang w:val="es-ES_tradnl"/>
        </w:rPr>
        <w:t xml:space="preserve"> </w:t>
      </w:r>
      <w:r w:rsidR="000A631F">
        <w:rPr>
          <w:rFonts w:ascii="Verdana" w:hAnsi="Verdana"/>
          <w:sz w:val="20"/>
          <w:szCs w:val="20"/>
          <w:lang w:val="es-ES_tradnl"/>
        </w:rPr>
        <w:t xml:space="preserve">de las medidas provisionales vigentes a favor de cuatro personas, familiares de Humberto Prado. </w:t>
      </w:r>
      <w:r w:rsidR="00AC216D">
        <w:rPr>
          <w:rFonts w:ascii="Verdana" w:hAnsi="Verdana"/>
          <w:sz w:val="20"/>
          <w:szCs w:val="20"/>
          <w:lang w:val="es-ES_tradnl"/>
        </w:rPr>
        <w:t xml:space="preserve"> </w:t>
      </w:r>
    </w:p>
    <w:p w14:paraId="0502E627" w14:textId="77777777" w:rsidR="00AC216D" w:rsidRDefault="00AC216D" w:rsidP="00AC216D">
      <w:pPr>
        <w:widowControl w:val="0"/>
        <w:autoSpaceDE w:val="0"/>
        <w:autoSpaceDN w:val="0"/>
        <w:adjustRightInd w:val="0"/>
        <w:jc w:val="both"/>
        <w:rPr>
          <w:rFonts w:ascii="Verdana" w:hAnsi="Verdana"/>
          <w:sz w:val="20"/>
          <w:szCs w:val="20"/>
          <w:lang w:val="es-ES_tradnl"/>
        </w:rPr>
      </w:pPr>
    </w:p>
    <w:p w14:paraId="5B4417FE" w14:textId="77777777" w:rsidR="00AC216D" w:rsidRDefault="00AC216D" w:rsidP="009F70FA">
      <w:pPr>
        <w:widowControl w:val="0"/>
        <w:numPr>
          <w:ilvl w:val="0"/>
          <w:numId w:val="1"/>
        </w:numPr>
        <w:autoSpaceDE w:val="0"/>
        <w:autoSpaceDN w:val="0"/>
        <w:adjustRightInd w:val="0"/>
        <w:jc w:val="both"/>
        <w:rPr>
          <w:rFonts w:ascii="Verdana" w:hAnsi="Verdana"/>
          <w:sz w:val="20"/>
          <w:szCs w:val="20"/>
          <w:lang w:val="es-ES_tradnl"/>
        </w:rPr>
      </w:pPr>
      <w:r>
        <w:rPr>
          <w:rFonts w:ascii="Verdana" w:hAnsi="Verdana"/>
          <w:sz w:val="20"/>
          <w:szCs w:val="20"/>
          <w:lang w:val="es-ES_tradnl"/>
        </w:rPr>
        <w:lastRenderedPageBreak/>
        <w:t xml:space="preserve">Los escritos de 14 </w:t>
      </w:r>
      <w:r w:rsidR="000A631F">
        <w:rPr>
          <w:rFonts w:ascii="Verdana" w:hAnsi="Verdana"/>
          <w:sz w:val="20"/>
          <w:szCs w:val="20"/>
          <w:lang w:val="es-ES_tradnl"/>
        </w:rPr>
        <w:t xml:space="preserve">y 27 </w:t>
      </w:r>
      <w:r>
        <w:rPr>
          <w:rFonts w:ascii="Verdana" w:hAnsi="Verdana"/>
          <w:sz w:val="20"/>
          <w:szCs w:val="20"/>
          <w:lang w:val="es-ES_tradnl"/>
        </w:rPr>
        <w:t>de abril</w:t>
      </w:r>
      <w:r w:rsidR="000A631F">
        <w:rPr>
          <w:rFonts w:ascii="Verdana" w:hAnsi="Verdana"/>
          <w:sz w:val="20"/>
          <w:szCs w:val="20"/>
          <w:lang w:val="es-ES_tradnl"/>
        </w:rPr>
        <w:t>, 13 y 20 de mayo y 5 de junio de 2020</w:t>
      </w:r>
      <w:r w:rsidR="00AA329F">
        <w:rPr>
          <w:rFonts w:ascii="Verdana" w:hAnsi="Verdana"/>
          <w:sz w:val="20"/>
          <w:szCs w:val="20"/>
          <w:lang w:val="es-ES_tradnl"/>
        </w:rPr>
        <w:t xml:space="preserve">, por medio de los cuales </w:t>
      </w:r>
      <w:r w:rsidR="00E470B6">
        <w:rPr>
          <w:rFonts w:ascii="Verdana" w:hAnsi="Verdana"/>
          <w:sz w:val="20"/>
          <w:szCs w:val="20"/>
          <w:lang w:val="es-ES_tradnl"/>
        </w:rPr>
        <w:t xml:space="preserve">el Estado </w:t>
      </w:r>
      <w:r w:rsidR="00AA329F">
        <w:rPr>
          <w:rFonts w:ascii="Verdana" w:hAnsi="Verdana"/>
          <w:sz w:val="20"/>
          <w:szCs w:val="20"/>
          <w:lang w:val="es-ES_tradnl"/>
        </w:rPr>
        <w:t>solicitó que se rechace la solicitud de los representantes</w:t>
      </w:r>
      <w:r w:rsidR="00DA7312">
        <w:rPr>
          <w:rFonts w:ascii="Verdana" w:hAnsi="Verdana"/>
          <w:sz w:val="20"/>
          <w:szCs w:val="20"/>
          <w:lang w:val="es-ES_tradnl"/>
        </w:rPr>
        <w:t xml:space="preserve"> y</w:t>
      </w:r>
      <w:r w:rsidR="00AA329F">
        <w:rPr>
          <w:rFonts w:ascii="Verdana" w:hAnsi="Verdana"/>
          <w:sz w:val="20"/>
          <w:szCs w:val="20"/>
          <w:lang w:val="es-ES_tradnl"/>
        </w:rPr>
        <w:t xml:space="preserve"> </w:t>
      </w:r>
      <w:r w:rsidR="00E24641">
        <w:rPr>
          <w:rFonts w:ascii="Verdana" w:hAnsi="Verdana"/>
          <w:sz w:val="20"/>
          <w:szCs w:val="20"/>
          <w:lang w:val="es-ES_tradnl"/>
        </w:rPr>
        <w:t xml:space="preserve">se decida </w:t>
      </w:r>
      <w:r w:rsidR="00AA329F">
        <w:rPr>
          <w:rFonts w:ascii="Verdana" w:hAnsi="Verdana"/>
          <w:sz w:val="20"/>
          <w:szCs w:val="20"/>
          <w:lang w:val="es-ES_tradnl"/>
        </w:rPr>
        <w:t xml:space="preserve">el levantamiento de </w:t>
      </w:r>
      <w:r w:rsidR="00505599">
        <w:rPr>
          <w:rFonts w:ascii="Verdana" w:hAnsi="Verdana"/>
          <w:sz w:val="20"/>
          <w:szCs w:val="20"/>
          <w:lang w:val="es-ES_tradnl"/>
        </w:rPr>
        <w:t>las</w:t>
      </w:r>
      <w:r w:rsidR="00AA329F">
        <w:rPr>
          <w:rFonts w:ascii="Verdana" w:hAnsi="Verdana"/>
          <w:sz w:val="20"/>
          <w:szCs w:val="20"/>
          <w:lang w:val="es-ES_tradnl"/>
        </w:rPr>
        <w:t xml:space="preserve"> medidas provisionales </w:t>
      </w:r>
      <w:r w:rsidR="00505599">
        <w:rPr>
          <w:rFonts w:ascii="Verdana" w:hAnsi="Verdana"/>
          <w:sz w:val="20"/>
          <w:szCs w:val="20"/>
          <w:lang w:val="es-ES_tradnl"/>
        </w:rPr>
        <w:t xml:space="preserve">vigentes </w:t>
      </w:r>
      <w:r w:rsidR="00AA329F">
        <w:rPr>
          <w:rFonts w:ascii="Verdana" w:hAnsi="Verdana"/>
          <w:sz w:val="20"/>
          <w:szCs w:val="20"/>
          <w:lang w:val="es-ES_tradnl"/>
        </w:rPr>
        <w:t>a favor de Humberto Prad</w:t>
      </w:r>
      <w:r w:rsidR="00B81476">
        <w:rPr>
          <w:rFonts w:ascii="Verdana" w:hAnsi="Verdana"/>
          <w:sz w:val="20"/>
          <w:szCs w:val="20"/>
          <w:lang w:val="es-ES_tradnl"/>
        </w:rPr>
        <w:t xml:space="preserve">o, </w:t>
      </w:r>
      <w:r w:rsidR="00505599">
        <w:rPr>
          <w:rFonts w:ascii="Verdana" w:hAnsi="Verdana"/>
          <w:sz w:val="20"/>
          <w:szCs w:val="20"/>
          <w:lang w:val="es-ES_tradnl"/>
        </w:rPr>
        <w:t xml:space="preserve">así como </w:t>
      </w:r>
      <w:r w:rsidR="00B81476">
        <w:rPr>
          <w:rFonts w:ascii="Verdana" w:hAnsi="Verdana"/>
          <w:sz w:val="20"/>
          <w:szCs w:val="20"/>
          <w:lang w:val="es-ES_tradnl"/>
        </w:rPr>
        <w:t>el escrito de Venezuela de 26 de mayo de 2020, por el cual remitió información sobre medidas provisionales adoptadas res</w:t>
      </w:r>
      <w:r w:rsidR="004419EA">
        <w:rPr>
          <w:rFonts w:ascii="Verdana" w:hAnsi="Verdana"/>
          <w:sz w:val="20"/>
          <w:szCs w:val="20"/>
          <w:lang w:val="es-ES_tradnl"/>
        </w:rPr>
        <w:t xml:space="preserve">pecto a centros penitenciarios durante los años 2018 y 2019. </w:t>
      </w:r>
    </w:p>
    <w:p w14:paraId="5E596375" w14:textId="77777777" w:rsidR="00AC216D" w:rsidRDefault="00AC216D" w:rsidP="00AC216D">
      <w:pPr>
        <w:widowControl w:val="0"/>
        <w:autoSpaceDE w:val="0"/>
        <w:autoSpaceDN w:val="0"/>
        <w:adjustRightInd w:val="0"/>
        <w:jc w:val="both"/>
        <w:rPr>
          <w:rFonts w:ascii="Verdana" w:hAnsi="Verdana"/>
          <w:sz w:val="20"/>
          <w:szCs w:val="20"/>
          <w:lang w:val="es-ES_tradnl"/>
        </w:rPr>
      </w:pPr>
    </w:p>
    <w:p w14:paraId="264966D5" w14:textId="77777777" w:rsidR="00AC216D" w:rsidRDefault="00AC216D" w:rsidP="009F70FA">
      <w:pPr>
        <w:widowControl w:val="0"/>
        <w:numPr>
          <w:ilvl w:val="0"/>
          <w:numId w:val="1"/>
        </w:numPr>
        <w:autoSpaceDE w:val="0"/>
        <w:autoSpaceDN w:val="0"/>
        <w:adjustRightInd w:val="0"/>
        <w:jc w:val="both"/>
        <w:rPr>
          <w:rFonts w:ascii="Verdana" w:hAnsi="Verdana"/>
          <w:sz w:val="20"/>
          <w:szCs w:val="20"/>
          <w:lang w:val="es-ES_tradnl"/>
        </w:rPr>
      </w:pPr>
      <w:r>
        <w:rPr>
          <w:rFonts w:ascii="Verdana" w:hAnsi="Verdana"/>
          <w:sz w:val="20"/>
          <w:szCs w:val="20"/>
          <w:lang w:val="es-ES_tradnl"/>
        </w:rPr>
        <w:t>Los escrito</w:t>
      </w:r>
      <w:r w:rsidR="004D70C3">
        <w:rPr>
          <w:rFonts w:ascii="Verdana" w:hAnsi="Verdana"/>
          <w:sz w:val="20"/>
          <w:szCs w:val="20"/>
          <w:lang w:val="es-ES_tradnl"/>
        </w:rPr>
        <w:t>s</w:t>
      </w:r>
      <w:r>
        <w:rPr>
          <w:rFonts w:ascii="Verdana" w:hAnsi="Verdana"/>
          <w:sz w:val="20"/>
          <w:szCs w:val="20"/>
          <w:lang w:val="es-ES_tradnl"/>
        </w:rPr>
        <w:t xml:space="preserve"> de 14 </w:t>
      </w:r>
      <w:r w:rsidR="000A631F">
        <w:rPr>
          <w:rFonts w:ascii="Verdana" w:hAnsi="Verdana"/>
          <w:sz w:val="20"/>
          <w:szCs w:val="20"/>
          <w:lang w:val="es-ES_tradnl"/>
        </w:rPr>
        <w:t xml:space="preserve">y 27 </w:t>
      </w:r>
      <w:r>
        <w:rPr>
          <w:rFonts w:ascii="Verdana" w:hAnsi="Verdana"/>
          <w:sz w:val="20"/>
          <w:szCs w:val="20"/>
          <w:lang w:val="es-ES_tradnl"/>
        </w:rPr>
        <w:t>de abril</w:t>
      </w:r>
      <w:r w:rsidR="000A631F">
        <w:rPr>
          <w:rFonts w:ascii="Verdana" w:hAnsi="Verdana"/>
          <w:sz w:val="20"/>
          <w:szCs w:val="20"/>
          <w:lang w:val="es-ES_tradnl"/>
        </w:rPr>
        <w:t>, 7 de mayo y 12 de junio de 2020</w:t>
      </w:r>
      <w:r w:rsidR="00AA329F">
        <w:rPr>
          <w:rFonts w:ascii="Verdana" w:hAnsi="Verdana"/>
          <w:sz w:val="20"/>
          <w:szCs w:val="20"/>
          <w:lang w:val="es-ES_tradnl"/>
        </w:rPr>
        <w:t xml:space="preserve">, por medio de los que </w:t>
      </w:r>
      <w:r w:rsidR="0018544D">
        <w:rPr>
          <w:rFonts w:ascii="Verdana" w:hAnsi="Verdana"/>
          <w:sz w:val="20"/>
          <w:szCs w:val="20"/>
          <w:lang w:val="es-ES_tradnl"/>
        </w:rPr>
        <w:t>la Comisión</w:t>
      </w:r>
      <w:r w:rsidR="00AD2001">
        <w:rPr>
          <w:rFonts w:ascii="Verdana" w:hAnsi="Verdana"/>
          <w:sz w:val="20"/>
          <w:szCs w:val="20"/>
          <w:lang w:val="es-ES_tradnl"/>
        </w:rPr>
        <w:t xml:space="preserve"> Interamericana</w:t>
      </w:r>
      <w:r w:rsidR="0018544D">
        <w:rPr>
          <w:rFonts w:ascii="Verdana" w:hAnsi="Verdana"/>
          <w:sz w:val="20"/>
          <w:szCs w:val="20"/>
          <w:lang w:val="es-ES_tradnl"/>
        </w:rPr>
        <w:t xml:space="preserve"> </w:t>
      </w:r>
      <w:r w:rsidR="00AA329F">
        <w:rPr>
          <w:rFonts w:ascii="Verdana" w:hAnsi="Verdana"/>
          <w:sz w:val="20"/>
          <w:szCs w:val="20"/>
          <w:lang w:val="es-ES_tradnl"/>
        </w:rPr>
        <w:t xml:space="preserve">presentó observaciones a la solicitud de </w:t>
      </w:r>
      <w:r w:rsidR="00084E16">
        <w:rPr>
          <w:rFonts w:ascii="Verdana" w:hAnsi="Verdana"/>
          <w:sz w:val="20"/>
          <w:szCs w:val="20"/>
          <w:lang w:val="es-ES_tradnl"/>
        </w:rPr>
        <w:t>extensión</w:t>
      </w:r>
      <w:r w:rsidR="00AA329F">
        <w:rPr>
          <w:rFonts w:ascii="Verdana" w:hAnsi="Verdana"/>
          <w:sz w:val="20"/>
          <w:szCs w:val="20"/>
          <w:lang w:val="es-ES_tradnl"/>
        </w:rPr>
        <w:t xml:space="preserve"> de medidas provisionales formulada por los representantes. </w:t>
      </w:r>
    </w:p>
    <w:p w14:paraId="68FABF5C" w14:textId="77777777" w:rsidR="00AC216D" w:rsidRDefault="00AC216D" w:rsidP="00AC216D">
      <w:pPr>
        <w:pStyle w:val="Listavistosa-nfasis11"/>
        <w:rPr>
          <w:rFonts w:ascii="Verdana" w:hAnsi="Verdana"/>
          <w:sz w:val="20"/>
          <w:szCs w:val="20"/>
          <w:lang w:val="es-ES_tradnl"/>
        </w:rPr>
      </w:pPr>
    </w:p>
    <w:p w14:paraId="768C1F49" w14:textId="77777777" w:rsidR="000916E4" w:rsidRPr="00B901F0" w:rsidRDefault="000916E4" w:rsidP="00B901F0">
      <w:pPr>
        <w:widowControl w:val="0"/>
        <w:autoSpaceDE w:val="0"/>
        <w:autoSpaceDN w:val="0"/>
        <w:adjustRightInd w:val="0"/>
        <w:jc w:val="both"/>
        <w:rPr>
          <w:rFonts w:ascii="Verdana" w:hAnsi="Verdana"/>
          <w:sz w:val="20"/>
          <w:szCs w:val="20"/>
          <w:lang w:val="es-ES_tradnl"/>
        </w:rPr>
      </w:pPr>
    </w:p>
    <w:p w14:paraId="78991ED0" w14:textId="77777777" w:rsidR="000916E4" w:rsidRDefault="000916E4" w:rsidP="000916E4">
      <w:pPr>
        <w:pStyle w:val="Ttulo4"/>
        <w:spacing w:beforeLines="20" w:before="48" w:after="0"/>
        <w:jc w:val="both"/>
        <w:rPr>
          <w:rFonts w:ascii="Verdana" w:hAnsi="Verdana"/>
          <w:sz w:val="20"/>
          <w:szCs w:val="20"/>
        </w:rPr>
      </w:pPr>
      <w:r w:rsidRPr="00FB1C96">
        <w:rPr>
          <w:rFonts w:ascii="Verdana" w:hAnsi="Verdana"/>
          <w:sz w:val="20"/>
          <w:szCs w:val="20"/>
        </w:rPr>
        <w:t>CONSIDERANDO QUE:</w:t>
      </w:r>
    </w:p>
    <w:p w14:paraId="254015F6" w14:textId="77777777" w:rsidR="004D70C3" w:rsidRPr="00A41A32" w:rsidRDefault="004D70C3" w:rsidP="00A41A32">
      <w:pPr>
        <w:rPr>
          <w:lang w:val="es-ES_tradnl"/>
        </w:rPr>
      </w:pPr>
    </w:p>
    <w:p w14:paraId="269756B6" w14:textId="77777777" w:rsidR="009D6885" w:rsidRPr="00554881" w:rsidRDefault="00F34D57" w:rsidP="00F34D57">
      <w:pPr>
        <w:widowControl w:val="0"/>
        <w:numPr>
          <w:ilvl w:val="0"/>
          <w:numId w:val="46"/>
        </w:numPr>
        <w:autoSpaceDE w:val="0"/>
        <w:autoSpaceDN w:val="0"/>
        <w:adjustRightInd w:val="0"/>
        <w:jc w:val="both"/>
        <w:rPr>
          <w:rFonts w:ascii="Verdana" w:hAnsi="Verdana"/>
          <w:sz w:val="20"/>
        </w:rPr>
      </w:pPr>
      <w:r w:rsidRPr="00F34D57">
        <w:rPr>
          <w:rFonts w:ascii="Verdana" w:hAnsi="Verdana"/>
          <w:sz w:val="20"/>
        </w:rPr>
        <w:t>Venezuela fue Estado Parte en la Convención Americana sobre Derechos Humanos desde el 9 de agosto de 1977</w:t>
      </w:r>
      <w:r w:rsidRPr="00D17038">
        <w:rPr>
          <w:rFonts w:ascii="Verdana" w:hAnsi="Verdana"/>
          <w:sz w:val="20"/>
        </w:rPr>
        <w:t xml:space="preserve"> hasta el 10 de septiembre de 2013,</w:t>
      </w:r>
      <w:r w:rsidRPr="008753D6">
        <w:rPr>
          <w:rFonts w:ascii="Verdana" w:hAnsi="Verdana"/>
          <w:sz w:val="20"/>
        </w:rPr>
        <w:t xml:space="preserve"> y reconoció la competencia contenciosa de la Corte el 24 de junio de 1981. </w:t>
      </w:r>
      <w:r w:rsidR="00046A27" w:rsidRPr="0095271E">
        <w:rPr>
          <w:rFonts w:ascii="Verdana" w:hAnsi="Verdana"/>
          <w:sz w:val="20"/>
        </w:rPr>
        <w:t>E</w:t>
      </w:r>
      <w:r w:rsidR="009D6885" w:rsidRPr="00B51AF0">
        <w:rPr>
          <w:rFonts w:ascii="Verdana" w:hAnsi="Verdana"/>
          <w:sz w:val="20"/>
        </w:rPr>
        <w:t xml:space="preserve">l 10 de septiembre de 2012 Venezuela </w:t>
      </w:r>
      <w:r w:rsidR="00046A27" w:rsidRPr="00B51AF0">
        <w:rPr>
          <w:rFonts w:ascii="Verdana" w:hAnsi="Verdana" w:cs="Estrangelo Edessa"/>
          <w:color w:val="000000"/>
          <w:sz w:val="20"/>
          <w:szCs w:val="20"/>
        </w:rPr>
        <w:t>notificó a la Organización de Estados Americanos de su denuncia de la Convención</w:t>
      </w:r>
      <w:r w:rsidR="00046A27" w:rsidRPr="00B51AF0">
        <w:rPr>
          <w:rFonts w:ascii="Verdana" w:hAnsi="Verdana"/>
          <w:sz w:val="20"/>
        </w:rPr>
        <w:t xml:space="preserve"> </w:t>
      </w:r>
      <w:r w:rsidR="00046A27" w:rsidRPr="0002035D">
        <w:rPr>
          <w:rFonts w:ascii="Verdana" w:hAnsi="Verdana"/>
          <w:sz w:val="20"/>
        </w:rPr>
        <w:t>Americana</w:t>
      </w:r>
      <w:r w:rsidR="00046A27" w:rsidRPr="0002035D">
        <w:rPr>
          <w:rFonts w:ascii="Verdana" w:hAnsi="Verdana" w:cs="Estrangelo Edessa"/>
          <w:color w:val="000000"/>
          <w:sz w:val="20"/>
          <w:szCs w:val="20"/>
        </w:rPr>
        <w:t xml:space="preserve">, la cual, en virtud del artículo 78.1 de la misma, se tornó efectiva a partir del </w:t>
      </w:r>
      <w:r w:rsidR="00046A27" w:rsidRPr="0002035D">
        <w:rPr>
          <w:rFonts w:ascii="Verdana" w:hAnsi="Verdana"/>
          <w:sz w:val="20"/>
        </w:rPr>
        <w:t xml:space="preserve">10 de septiembre de 2013. </w:t>
      </w:r>
      <w:r w:rsidR="00046A27" w:rsidRPr="0002035D">
        <w:rPr>
          <w:rFonts w:ascii="Verdana" w:hAnsi="Verdana" w:cs="Estrangelo Edessa"/>
          <w:color w:val="000000"/>
          <w:sz w:val="20"/>
          <w:szCs w:val="20"/>
        </w:rPr>
        <w:t>Sin embargo, de conformidad con el a</w:t>
      </w:r>
      <w:r w:rsidR="00046A27" w:rsidRPr="009D2587">
        <w:rPr>
          <w:rFonts w:ascii="Verdana" w:hAnsi="Verdana" w:cs="Estrangelo Edessa"/>
          <w:color w:val="000000"/>
          <w:sz w:val="20"/>
          <w:szCs w:val="20"/>
        </w:rPr>
        <w:t xml:space="preserve">rtículo 78.2 de la Convención, “[d]icha denuncia no tendrá por efecto desligar al Estado parte interesado de las obligaciones contenidas en [la] Convención en lo que concierne a todo hecho que, </w:t>
      </w:r>
      <w:r w:rsidR="00046A27" w:rsidRPr="00554881">
        <w:rPr>
          <w:rFonts w:ascii="Verdana" w:hAnsi="Verdana"/>
          <w:sz w:val="20"/>
          <w:szCs w:val="20"/>
          <w:lang w:val="es-CR"/>
        </w:rPr>
        <w:t>pudiendo constituir una violación de esas obligaciones, haya sido cumplido por él anteriormente a la fecha en la cual la denuncia produce efecto”.</w:t>
      </w:r>
    </w:p>
    <w:p w14:paraId="16E63D84" w14:textId="77777777" w:rsidR="009D6885" w:rsidRDefault="009D6885" w:rsidP="009D6885">
      <w:pPr>
        <w:widowControl w:val="0"/>
        <w:autoSpaceDE w:val="0"/>
        <w:autoSpaceDN w:val="0"/>
        <w:adjustRightInd w:val="0"/>
        <w:jc w:val="both"/>
        <w:rPr>
          <w:rFonts w:ascii="Verdana" w:hAnsi="Verdana"/>
          <w:sz w:val="20"/>
        </w:rPr>
      </w:pPr>
    </w:p>
    <w:p w14:paraId="19D2A9AD" w14:textId="77777777" w:rsidR="004D70C3" w:rsidRPr="00A41A32" w:rsidRDefault="004D70C3" w:rsidP="004D70C3">
      <w:pPr>
        <w:pStyle w:val="Listavistosa-nfasis11"/>
        <w:numPr>
          <w:ilvl w:val="0"/>
          <w:numId w:val="46"/>
        </w:numPr>
        <w:autoSpaceDE w:val="0"/>
        <w:autoSpaceDN w:val="0"/>
        <w:adjustRightInd w:val="0"/>
        <w:contextualSpacing/>
        <w:jc w:val="both"/>
        <w:rPr>
          <w:rFonts w:ascii="Verdana" w:hAnsi="Verdana" w:cs="Arial"/>
          <w:color w:val="000000"/>
          <w:sz w:val="20"/>
          <w:szCs w:val="20"/>
          <w:lang w:val="es-CR" w:eastAsia="es-AR"/>
        </w:rPr>
      </w:pPr>
      <w:r>
        <w:rPr>
          <w:rFonts w:ascii="Verdana" w:hAnsi="Verdana"/>
          <w:sz w:val="20"/>
          <w:szCs w:val="20"/>
          <w:lang w:val="es-CR"/>
        </w:rPr>
        <w:t>El artículo 63.2 de la Convención Americana dispone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 La orden de adoptar medidas es aplicable siempre y cuando se reúnan los requisitos básicos de extrema gravedad y urgencia y de la necesidad de prevención de daños irreparables a las personas. Estos tres requisitos son coexistentes y deben persistir para que la Corte mantenga la protección ordenada</w:t>
      </w:r>
      <w:r>
        <w:rPr>
          <w:rStyle w:val="Refdenotaalpie"/>
          <w:rFonts w:ascii="Verdana" w:hAnsi="Verdana" w:cs="Arial"/>
          <w:color w:val="000000"/>
          <w:sz w:val="20"/>
          <w:szCs w:val="20"/>
          <w:lang w:val="es-CR"/>
        </w:rPr>
        <w:footnoteReference w:id="2"/>
      </w:r>
      <w:r>
        <w:rPr>
          <w:rFonts w:ascii="Verdana" w:hAnsi="Verdana"/>
          <w:sz w:val="20"/>
          <w:szCs w:val="20"/>
          <w:lang w:val="es-CR"/>
        </w:rPr>
        <w:t xml:space="preserve">. </w:t>
      </w:r>
    </w:p>
    <w:p w14:paraId="41C41895" w14:textId="77777777" w:rsidR="004D70C3" w:rsidRDefault="004D70C3" w:rsidP="00A41A32">
      <w:pPr>
        <w:pStyle w:val="Listavistosa-nfasis11"/>
        <w:autoSpaceDE w:val="0"/>
        <w:autoSpaceDN w:val="0"/>
        <w:adjustRightInd w:val="0"/>
        <w:ind w:left="0"/>
        <w:contextualSpacing/>
        <w:jc w:val="both"/>
        <w:rPr>
          <w:rFonts w:ascii="Verdana" w:hAnsi="Verdana" w:cs="Arial"/>
          <w:color w:val="000000"/>
          <w:sz w:val="20"/>
          <w:szCs w:val="20"/>
          <w:lang w:val="es-CR" w:eastAsia="es-AR"/>
        </w:rPr>
      </w:pPr>
    </w:p>
    <w:p w14:paraId="1AEFD197" w14:textId="77777777" w:rsidR="00F35F44" w:rsidRDefault="004D70C3" w:rsidP="00A41A32">
      <w:pPr>
        <w:pStyle w:val="Listavistosa-nfasis11"/>
        <w:numPr>
          <w:ilvl w:val="0"/>
          <w:numId w:val="46"/>
        </w:numPr>
        <w:autoSpaceDE w:val="0"/>
        <w:autoSpaceDN w:val="0"/>
        <w:adjustRightInd w:val="0"/>
        <w:contextualSpacing/>
        <w:jc w:val="both"/>
        <w:rPr>
          <w:rFonts w:ascii="Verdana" w:hAnsi="Verdana"/>
          <w:sz w:val="20"/>
        </w:rPr>
      </w:pPr>
      <w:r>
        <w:rPr>
          <w:rFonts w:ascii="Verdana" w:hAnsi="Verdana" w:cs="Arial"/>
          <w:color w:val="000000"/>
          <w:sz w:val="20"/>
          <w:szCs w:val="20"/>
          <w:lang w:val="es-CR"/>
        </w:rPr>
        <w:t xml:space="preserve">Este Tribunal recuerda que las medidas provisionales </w:t>
      </w:r>
      <w:r w:rsidR="00DB2C81" w:rsidRPr="001E33FF">
        <w:rPr>
          <w:rFonts w:ascii="Verdana" w:hAnsi="Verdana" w:cs="Arial"/>
          <w:sz w:val="20"/>
          <w:szCs w:val="20"/>
          <w:lang w:val="es-CR"/>
        </w:rPr>
        <w:t>a favor de Humberto Prado fueron adoptadas por esta Corte en el año 2009</w:t>
      </w:r>
      <w:r w:rsidR="00DB2C81">
        <w:rPr>
          <w:rFonts w:ascii="Verdana" w:hAnsi="Verdana" w:cs="Arial"/>
          <w:sz w:val="20"/>
          <w:szCs w:val="20"/>
          <w:lang w:val="es-CR"/>
        </w:rPr>
        <w:t xml:space="preserve">. </w:t>
      </w:r>
      <w:r w:rsidR="009D6885" w:rsidRPr="00FF7333">
        <w:rPr>
          <w:rFonts w:ascii="Verdana" w:hAnsi="Verdana"/>
          <w:sz w:val="20"/>
          <w:szCs w:val="20"/>
        </w:rPr>
        <w:t xml:space="preserve">De </w:t>
      </w:r>
      <w:r w:rsidR="009D6885" w:rsidRPr="009D6885">
        <w:rPr>
          <w:rFonts w:ascii="Verdana" w:hAnsi="Verdana"/>
          <w:sz w:val="20"/>
        </w:rPr>
        <w:t>acuerdo</w:t>
      </w:r>
      <w:r w:rsidR="00DB2C81">
        <w:rPr>
          <w:rFonts w:ascii="Verdana" w:hAnsi="Verdana"/>
          <w:sz w:val="20"/>
          <w:szCs w:val="20"/>
        </w:rPr>
        <w:t xml:space="preserve"> a la Resolución</w:t>
      </w:r>
      <w:r w:rsidR="009D6885" w:rsidRPr="00FF7333">
        <w:rPr>
          <w:rFonts w:ascii="Verdana" w:hAnsi="Verdana"/>
          <w:sz w:val="20"/>
          <w:szCs w:val="20"/>
        </w:rPr>
        <w:t xml:space="preserve"> de la Corte Interamericana de </w:t>
      </w:r>
      <w:r w:rsidR="00DB2C81">
        <w:rPr>
          <w:rFonts w:ascii="Verdana" w:hAnsi="Verdana"/>
          <w:sz w:val="20"/>
          <w:szCs w:val="20"/>
          <w:lang w:val="es-ES_tradnl"/>
        </w:rPr>
        <w:t>24 de noviembre de ese año</w:t>
      </w:r>
      <w:r w:rsidR="00DB2C81">
        <w:rPr>
          <w:rFonts w:ascii="Verdana" w:hAnsi="Verdana"/>
          <w:sz w:val="20"/>
          <w:szCs w:val="20"/>
        </w:rPr>
        <w:t xml:space="preserve"> y las posteriores</w:t>
      </w:r>
      <w:r w:rsidR="00084E16">
        <w:rPr>
          <w:rFonts w:ascii="Verdana" w:hAnsi="Verdana"/>
          <w:sz w:val="20"/>
          <w:szCs w:val="20"/>
        </w:rPr>
        <w:t xml:space="preserve">, de </w:t>
      </w:r>
      <w:r w:rsidR="009D6885">
        <w:rPr>
          <w:rFonts w:ascii="Verdana" w:hAnsi="Verdana"/>
          <w:sz w:val="20"/>
          <w:szCs w:val="20"/>
        </w:rPr>
        <w:t>6</w:t>
      </w:r>
      <w:r w:rsidR="009D6885" w:rsidRPr="00FF7333">
        <w:rPr>
          <w:rFonts w:ascii="Verdana" w:hAnsi="Verdana"/>
          <w:sz w:val="20"/>
          <w:szCs w:val="20"/>
        </w:rPr>
        <w:t xml:space="preserve"> de julio de 2011</w:t>
      </w:r>
      <w:r w:rsidR="00DB2C81">
        <w:rPr>
          <w:rFonts w:ascii="Verdana" w:hAnsi="Verdana"/>
          <w:sz w:val="20"/>
          <w:szCs w:val="20"/>
        </w:rPr>
        <w:t>,</w:t>
      </w:r>
      <w:r w:rsidR="009D6885">
        <w:rPr>
          <w:rFonts w:ascii="Verdana" w:hAnsi="Verdana"/>
          <w:sz w:val="20"/>
          <w:szCs w:val="20"/>
        </w:rPr>
        <w:t xml:space="preserve"> 6 de septiembre de 2012</w:t>
      </w:r>
      <w:r w:rsidR="009D6885" w:rsidRPr="00FF7333">
        <w:rPr>
          <w:rFonts w:ascii="Verdana" w:hAnsi="Verdana"/>
          <w:sz w:val="20"/>
          <w:szCs w:val="20"/>
        </w:rPr>
        <w:t xml:space="preserve"> </w:t>
      </w:r>
      <w:r w:rsidR="00DB2C81">
        <w:rPr>
          <w:rFonts w:ascii="Verdana" w:hAnsi="Verdana"/>
          <w:sz w:val="20"/>
          <w:szCs w:val="20"/>
        </w:rPr>
        <w:t>y 13 de noviembre de 2015,</w:t>
      </w:r>
      <w:r w:rsidR="00DB2C81" w:rsidRPr="00FF7333">
        <w:rPr>
          <w:rFonts w:ascii="Verdana" w:hAnsi="Verdana"/>
          <w:sz w:val="20"/>
          <w:szCs w:val="20"/>
        </w:rPr>
        <w:t xml:space="preserve"> el Estado debe, </w:t>
      </w:r>
      <w:r w:rsidR="00DB2C81" w:rsidRPr="00FF7333">
        <w:rPr>
          <w:rFonts w:ascii="Verdana" w:hAnsi="Verdana"/>
          <w:i/>
          <w:sz w:val="20"/>
          <w:szCs w:val="20"/>
        </w:rPr>
        <w:t>inter alia,</w:t>
      </w:r>
      <w:r w:rsidR="00DB2C81" w:rsidRPr="00FF7333">
        <w:rPr>
          <w:rFonts w:ascii="Verdana" w:hAnsi="Verdana"/>
          <w:sz w:val="20"/>
          <w:szCs w:val="20"/>
        </w:rPr>
        <w:t xml:space="preserve"> proteger la vida e integridad personal de </w:t>
      </w:r>
      <w:r w:rsidR="00DB2C81">
        <w:rPr>
          <w:rFonts w:ascii="Verdana" w:hAnsi="Verdana"/>
          <w:sz w:val="20"/>
          <w:szCs w:val="20"/>
        </w:rPr>
        <w:t>Humberto Prado.</w:t>
      </w:r>
    </w:p>
    <w:p w14:paraId="7D484FF0" w14:textId="77777777" w:rsidR="00F35F44" w:rsidRDefault="00F35F44" w:rsidP="00F35F44">
      <w:pPr>
        <w:pStyle w:val="Listavistosa-nfasis11"/>
        <w:rPr>
          <w:rFonts w:ascii="Verdana" w:hAnsi="Verdana"/>
          <w:sz w:val="20"/>
        </w:rPr>
      </w:pPr>
    </w:p>
    <w:p w14:paraId="5A2FB255" w14:textId="77777777" w:rsidR="00736656" w:rsidRPr="00A41A32" w:rsidRDefault="00DB2C81" w:rsidP="00A41A32">
      <w:pPr>
        <w:widowControl w:val="0"/>
        <w:numPr>
          <w:ilvl w:val="0"/>
          <w:numId w:val="46"/>
        </w:numPr>
        <w:autoSpaceDE w:val="0"/>
        <w:autoSpaceDN w:val="0"/>
        <w:adjustRightInd w:val="0"/>
        <w:jc w:val="both"/>
        <w:rPr>
          <w:rFonts w:ascii="Verdana" w:hAnsi="Verdana"/>
          <w:sz w:val="20"/>
        </w:rPr>
      </w:pPr>
      <w:r w:rsidRPr="00F35F44">
        <w:rPr>
          <w:rFonts w:ascii="Verdana" w:hAnsi="Verdana"/>
          <w:sz w:val="20"/>
        </w:rPr>
        <w:t>De conformidad con su escrito de 6 de abril de 2020 y con los posteriores (</w:t>
      </w:r>
      <w:r w:rsidRPr="00F35F44">
        <w:rPr>
          <w:rFonts w:ascii="Verdana" w:hAnsi="Verdana"/>
          <w:i/>
          <w:sz w:val="20"/>
        </w:rPr>
        <w:t xml:space="preserve">supra </w:t>
      </w:r>
      <w:r w:rsidRPr="00F35F44">
        <w:rPr>
          <w:rFonts w:ascii="Verdana" w:hAnsi="Verdana"/>
          <w:sz w:val="20"/>
        </w:rPr>
        <w:t>Visto</w:t>
      </w:r>
      <w:r w:rsidR="00003A9A">
        <w:rPr>
          <w:rFonts w:ascii="Verdana" w:hAnsi="Verdana"/>
          <w:sz w:val="20"/>
        </w:rPr>
        <w:t xml:space="preserve"> </w:t>
      </w:r>
      <w:r w:rsidR="00A41A32">
        <w:rPr>
          <w:rFonts w:ascii="Verdana" w:hAnsi="Verdana"/>
          <w:sz w:val="20"/>
        </w:rPr>
        <w:t>3</w:t>
      </w:r>
      <w:r w:rsidRPr="00F35F44">
        <w:rPr>
          <w:rFonts w:ascii="Verdana" w:hAnsi="Verdana"/>
          <w:sz w:val="20"/>
        </w:rPr>
        <w:t xml:space="preserve">) los representantes solicitaron una “extensión” de las medidas provisionales ordenadas a favor de Humberto Prado </w:t>
      </w:r>
      <w:r w:rsidR="00F34D57">
        <w:rPr>
          <w:rFonts w:ascii="Verdana" w:hAnsi="Verdana"/>
          <w:sz w:val="20"/>
        </w:rPr>
        <w:t>para proteger la vida e integridad personal</w:t>
      </w:r>
      <w:r w:rsidRPr="00F35F44">
        <w:rPr>
          <w:rFonts w:ascii="Verdana" w:hAnsi="Verdana"/>
          <w:sz w:val="20"/>
        </w:rPr>
        <w:t xml:space="preserve"> de Beatriz Carolina Girón, Julio César Prado Girón</w:t>
      </w:r>
      <w:r w:rsidR="00DF0753" w:rsidRPr="00F35F44">
        <w:rPr>
          <w:rFonts w:ascii="Verdana" w:hAnsi="Verdana"/>
          <w:sz w:val="20"/>
        </w:rPr>
        <w:t>,</w:t>
      </w:r>
      <w:r w:rsidRPr="00F35F44">
        <w:rPr>
          <w:rFonts w:ascii="Verdana" w:hAnsi="Verdana"/>
          <w:sz w:val="20"/>
        </w:rPr>
        <w:t xml:space="preserve"> Andrés Prado Girón</w:t>
      </w:r>
      <w:r w:rsidR="00DF0753" w:rsidRPr="00F35F44">
        <w:rPr>
          <w:rFonts w:ascii="Verdana" w:hAnsi="Verdana"/>
          <w:sz w:val="20"/>
        </w:rPr>
        <w:t xml:space="preserve"> y Melchor Prado Girón</w:t>
      </w:r>
      <w:r w:rsidRPr="00F35F44">
        <w:rPr>
          <w:rFonts w:ascii="Verdana" w:hAnsi="Verdana"/>
          <w:sz w:val="20"/>
        </w:rPr>
        <w:t xml:space="preserve">, quienes son, respectivamente, </w:t>
      </w:r>
      <w:r w:rsidR="00DF0753" w:rsidRPr="00F35F44">
        <w:rPr>
          <w:rFonts w:ascii="Verdana" w:hAnsi="Verdana"/>
          <w:sz w:val="20"/>
        </w:rPr>
        <w:t xml:space="preserve">la </w:t>
      </w:r>
      <w:r w:rsidRPr="00F35F44">
        <w:rPr>
          <w:rFonts w:ascii="Verdana" w:hAnsi="Verdana"/>
          <w:sz w:val="20"/>
        </w:rPr>
        <w:t>esposa</w:t>
      </w:r>
      <w:r w:rsidR="00DF0753" w:rsidRPr="00F35F44">
        <w:rPr>
          <w:rFonts w:ascii="Verdana" w:hAnsi="Verdana"/>
          <w:sz w:val="20"/>
        </w:rPr>
        <w:t xml:space="preserve"> del señor Humberto Prado y sus</w:t>
      </w:r>
      <w:r w:rsidRPr="00F35F44">
        <w:rPr>
          <w:rFonts w:ascii="Verdana" w:hAnsi="Verdana"/>
          <w:sz w:val="20"/>
        </w:rPr>
        <w:t xml:space="preserve"> hijo</w:t>
      </w:r>
      <w:r w:rsidR="00DF0753" w:rsidRPr="00F35F44">
        <w:rPr>
          <w:rFonts w:ascii="Verdana" w:hAnsi="Verdana"/>
          <w:sz w:val="20"/>
        </w:rPr>
        <w:t>s</w:t>
      </w:r>
      <w:r w:rsidRPr="00F35F44">
        <w:rPr>
          <w:rFonts w:ascii="Verdana" w:hAnsi="Verdana"/>
          <w:sz w:val="20"/>
        </w:rPr>
        <w:t xml:space="preserve">. </w:t>
      </w:r>
      <w:r w:rsidR="00DF0753" w:rsidRPr="00F35F44">
        <w:rPr>
          <w:rFonts w:ascii="Verdana" w:hAnsi="Verdana"/>
          <w:sz w:val="20"/>
        </w:rPr>
        <w:t>El Estado se opuso a la solicitud de los representantes y requirió que se levantara</w:t>
      </w:r>
      <w:r w:rsidR="00F34D57">
        <w:rPr>
          <w:rFonts w:ascii="Verdana" w:hAnsi="Verdana"/>
          <w:sz w:val="20"/>
        </w:rPr>
        <w:t>n</w:t>
      </w:r>
      <w:r w:rsidR="00DF0753" w:rsidRPr="00F35F44">
        <w:rPr>
          <w:rFonts w:ascii="Verdana" w:hAnsi="Verdana"/>
          <w:sz w:val="20"/>
        </w:rPr>
        <w:t xml:space="preserve"> </w:t>
      </w:r>
      <w:r w:rsidR="00F34D57">
        <w:rPr>
          <w:rFonts w:ascii="Verdana" w:hAnsi="Verdana"/>
          <w:sz w:val="20"/>
        </w:rPr>
        <w:t>las</w:t>
      </w:r>
      <w:r w:rsidR="00DF0753" w:rsidRPr="00F35F44">
        <w:rPr>
          <w:rFonts w:ascii="Verdana" w:hAnsi="Verdana"/>
          <w:sz w:val="20"/>
        </w:rPr>
        <w:t xml:space="preserve"> medidas de protección </w:t>
      </w:r>
      <w:r w:rsidR="00D17038">
        <w:rPr>
          <w:rFonts w:ascii="Verdana" w:hAnsi="Verdana"/>
          <w:sz w:val="20"/>
        </w:rPr>
        <w:t xml:space="preserve">vigentes </w:t>
      </w:r>
      <w:r w:rsidR="00DF0753" w:rsidRPr="00F35F44">
        <w:rPr>
          <w:rFonts w:ascii="Verdana" w:hAnsi="Verdana"/>
          <w:sz w:val="20"/>
        </w:rPr>
        <w:t>a favor de Humberto Prado. A continuación</w:t>
      </w:r>
      <w:r w:rsidR="004D70C3">
        <w:rPr>
          <w:rFonts w:ascii="Verdana" w:hAnsi="Verdana"/>
          <w:sz w:val="20"/>
        </w:rPr>
        <w:t>,</w:t>
      </w:r>
      <w:r w:rsidR="00DF0753" w:rsidRPr="00F35F44">
        <w:rPr>
          <w:rFonts w:ascii="Verdana" w:hAnsi="Verdana"/>
          <w:sz w:val="20"/>
        </w:rPr>
        <w:t xml:space="preserve"> se expone la información y argumentos expresados por los representantes y por Venezuela, así como las observaciones de la Comisión</w:t>
      </w:r>
      <w:r w:rsidR="00AD2001">
        <w:rPr>
          <w:rFonts w:ascii="Verdana" w:hAnsi="Verdana"/>
          <w:sz w:val="20"/>
        </w:rPr>
        <w:t>;</w:t>
      </w:r>
      <w:r w:rsidR="00DF0753" w:rsidRPr="00F35F44">
        <w:rPr>
          <w:rFonts w:ascii="Verdana" w:hAnsi="Verdana"/>
          <w:sz w:val="20"/>
        </w:rPr>
        <w:t xml:space="preserve"> </w:t>
      </w:r>
      <w:r w:rsidR="00AD2001">
        <w:rPr>
          <w:rFonts w:ascii="Verdana" w:hAnsi="Verdana"/>
          <w:sz w:val="20"/>
        </w:rPr>
        <w:t>con posterioridad se presentan</w:t>
      </w:r>
      <w:r w:rsidR="00DF0753" w:rsidRPr="00F35F44">
        <w:rPr>
          <w:rFonts w:ascii="Verdana" w:hAnsi="Verdana"/>
          <w:sz w:val="20"/>
        </w:rPr>
        <w:t xml:space="preserve"> las consideraciones de la Corte. </w:t>
      </w:r>
    </w:p>
    <w:p w14:paraId="72D9425D" w14:textId="77777777" w:rsidR="00003A9A" w:rsidRDefault="00003A9A" w:rsidP="00736656">
      <w:pPr>
        <w:widowControl w:val="0"/>
        <w:autoSpaceDE w:val="0"/>
        <w:autoSpaceDN w:val="0"/>
        <w:adjustRightInd w:val="0"/>
        <w:jc w:val="both"/>
        <w:rPr>
          <w:rFonts w:ascii="Verdana" w:hAnsi="Verdana"/>
          <w:sz w:val="20"/>
        </w:rPr>
      </w:pPr>
    </w:p>
    <w:p w14:paraId="13D3E1AC" w14:textId="77777777" w:rsidR="00736656" w:rsidRPr="00736656" w:rsidRDefault="00736656" w:rsidP="00736656">
      <w:pPr>
        <w:widowControl w:val="0"/>
        <w:numPr>
          <w:ilvl w:val="0"/>
          <w:numId w:val="44"/>
        </w:numPr>
        <w:autoSpaceDE w:val="0"/>
        <w:autoSpaceDN w:val="0"/>
        <w:adjustRightInd w:val="0"/>
        <w:jc w:val="both"/>
        <w:rPr>
          <w:rFonts w:ascii="Verdana" w:hAnsi="Verdana"/>
          <w:b/>
          <w:i/>
          <w:sz w:val="20"/>
        </w:rPr>
      </w:pPr>
      <w:r w:rsidRPr="00736656">
        <w:rPr>
          <w:rFonts w:ascii="Verdana" w:hAnsi="Verdana"/>
          <w:b/>
          <w:i/>
          <w:sz w:val="20"/>
        </w:rPr>
        <w:t xml:space="preserve">Información y consideraciones presentadas por los representantes, el Estado y la Comisión </w:t>
      </w:r>
    </w:p>
    <w:p w14:paraId="42854EF0" w14:textId="77777777" w:rsidR="003F3F1C" w:rsidRPr="003F3F1C" w:rsidRDefault="003F3F1C" w:rsidP="003F3F1C">
      <w:pPr>
        <w:widowControl w:val="0"/>
        <w:autoSpaceDE w:val="0"/>
        <w:autoSpaceDN w:val="0"/>
        <w:adjustRightInd w:val="0"/>
        <w:jc w:val="both"/>
        <w:rPr>
          <w:rFonts w:ascii="Verdana" w:hAnsi="Verdana"/>
          <w:sz w:val="20"/>
        </w:rPr>
      </w:pPr>
    </w:p>
    <w:p w14:paraId="0F3223A8" w14:textId="77777777" w:rsidR="00B155F4" w:rsidRPr="00B155F4" w:rsidRDefault="00736656" w:rsidP="00B155F4">
      <w:pPr>
        <w:widowControl w:val="0"/>
        <w:numPr>
          <w:ilvl w:val="0"/>
          <w:numId w:val="46"/>
        </w:numPr>
        <w:autoSpaceDE w:val="0"/>
        <w:autoSpaceDN w:val="0"/>
        <w:adjustRightInd w:val="0"/>
        <w:contextualSpacing/>
        <w:jc w:val="both"/>
        <w:rPr>
          <w:rFonts w:ascii="Verdana" w:hAnsi="Verdana"/>
          <w:sz w:val="20"/>
        </w:rPr>
      </w:pPr>
      <w:r w:rsidRPr="00736656">
        <w:rPr>
          <w:rFonts w:ascii="Verdana" w:hAnsi="Verdana"/>
          <w:sz w:val="20"/>
        </w:rPr>
        <w:t xml:space="preserve">Los </w:t>
      </w:r>
      <w:r w:rsidRPr="00736656">
        <w:rPr>
          <w:rFonts w:ascii="Verdana" w:hAnsi="Verdana"/>
          <w:b/>
          <w:i/>
          <w:sz w:val="20"/>
        </w:rPr>
        <w:t>representantes</w:t>
      </w:r>
      <w:r w:rsidRPr="00736656">
        <w:rPr>
          <w:rFonts w:ascii="Verdana" w:hAnsi="Verdana"/>
          <w:sz w:val="20"/>
        </w:rPr>
        <w:t xml:space="preserve"> señalaron que el 13 de marzo de 2020 el Estado decretó un “estado de alarma” por la pandemia del Covid-19, y </w:t>
      </w:r>
      <w:r w:rsidR="00AD2001">
        <w:rPr>
          <w:rFonts w:ascii="Verdana" w:hAnsi="Verdana"/>
          <w:sz w:val="20"/>
        </w:rPr>
        <w:t xml:space="preserve">que </w:t>
      </w:r>
      <w:r w:rsidRPr="00736656">
        <w:rPr>
          <w:rFonts w:ascii="Verdana" w:hAnsi="Verdana"/>
          <w:sz w:val="20"/>
        </w:rPr>
        <w:t xml:space="preserve">en </w:t>
      </w:r>
      <w:r w:rsidR="004131C6">
        <w:rPr>
          <w:rFonts w:ascii="Verdana" w:hAnsi="Verdana"/>
          <w:sz w:val="20"/>
        </w:rPr>
        <w:t>e</w:t>
      </w:r>
      <w:r w:rsidRPr="00736656">
        <w:rPr>
          <w:rFonts w:ascii="Verdana" w:hAnsi="Verdana"/>
          <w:sz w:val="20"/>
        </w:rPr>
        <w:t xml:space="preserve">se </w:t>
      </w:r>
      <w:r w:rsidR="00B155F4">
        <w:rPr>
          <w:rFonts w:ascii="Verdana" w:hAnsi="Verdana"/>
          <w:sz w:val="20"/>
        </w:rPr>
        <w:t>contex</w:t>
      </w:r>
      <w:r w:rsidR="00B155F4" w:rsidRPr="00736656">
        <w:rPr>
          <w:rFonts w:ascii="Verdana" w:hAnsi="Verdana"/>
          <w:sz w:val="20"/>
        </w:rPr>
        <w:t>t</w:t>
      </w:r>
      <w:r w:rsidR="004131C6">
        <w:rPr>
          <w:rFonts w:ascii="Verdana" w:hAnsi="Verdana"/>
          <w:sz w:val="20"/>
        </w:rPr>
        <w:t>o</w:t>
      </w:r>
      <w:r w:rsidRPr="00736656">
        <w:rPr>
          <w:rFonts w:ascii="Verdana" w:hAnsi="Verdana"/>
          <w:sz w:val="20"/>
        </w:rPr>
        <w:t xml:space="preserve"> “ha</w:t>
      </w:r>
      <w:r w:rsidR="0095271E">
        <w:rPr>
          <w:rFonts w:ascii="Verdana" w:hAnsi="Verdana"/>
          <w:sz w:val="20"/>
        </w:rPr>
        <w:t>[bría]</w:t>
      </w:r>
      <w:r w:rsidRPr="00736656">
        <w:rPr>
          <w:rFonts w:ascii="Verdana" w:hAnsi="Verdana"/>
          <w:sz w:val="20"/>
        </w:rPr>
        <w:t xml:space="preserve"> recrudecido su política de control social y represión”. </w:t>
      </w:r>
    </w:p>
    <w:p w14:paraId="118EAF0A" w14:textId="77777777" w:rsidR="00B155F4" w:rsidRDefault="00B155F4" w:rsidP="00B155F4">
      <w:pPr>
        <w:widowControl w:val="0"/>
        <w:autoSpaceDE w:val="0"/>
        <w:autoSpaceDN w:val="0"/>
        <w:adjustRightInd w:val="0"/>
        <w:contextualSpacing/>
        <w:jc w:val="both"/>
        <w:rPr>
          <w:rFonts w:ascii="Verdana" w:hAnsi="Verdana"/>
          <w:sz w:val="20"/>
        </w:rPr>
      </w:pPr>
    </w:p>
    <w:p w14:paraId="29DDBF4B" w14:textId="77777777" w:rsidR="00B155F4" w:rsidRPr="00B84FDE" w:rsidRDefault="00B155F4" w:rsidP="00B84FDE">
      <w:pPr>
        <w:widowControl w:val="0"/>
        <w:numPr>
          <w:ilvl w:val="0"/>
          <w:numId w:val="46"/>
        </w:numPr>
        <w:autoSpaceDE w:val="0"/>
        <w:autoSpaceDN w:val="0"/>
        <w:adjustRightInd w:val="0"/>
        <w:contextualSpacing/>
        <w:jc w:val="both"/>
        <w:rPr>
          <w:rFonts w:ascii="Verdana" w:hAnsi="Verdana"/>
          <w:sz w:val="20"/>
        </w:rPr>
      </w:pPr>
      <w:r>
        <w:rPr>
          <w:rFonts w:ascii="Verdana" w:hAnsi="Verdana"/>
          <w:sz w:val="20"/>
        </w:rPr>
        <w:t>Los representantes a</w:t>
      </w:r>
      <w:r w:rsidRPr="00736656">
        <w:rPr>
          <w:rFonts w:ascii="Verdana" w:hAnsi="Verdana"/>
          <w:sz w:val="20"/>
        </w:rPr>
        <w:t xml:space="preserve">severaron que </w:t>
      </w:r>
      <w:r w:rsidR="00B84FDE" w:rsidRPr="00B84FDE">
        <w:rPr>
          <w:rFonts w:ascii="Verdana" w:hAnsi="Verdana"/>
          <w:sz w:val="20"/>
        </w:rPr>
        <w:t xml:space="preserve">las autoridades del Estado </w:t>
      </w:r>
      <w:r w:rsidR="00B51AF0">
        <w:rPr>
          <w:rFonts w:ascii="Verdana" w:hAnsi="Verdana"/>
          <w:sz w:val="20"/>
        </w:rPr>
        <w:t>“</w:t>
      </w:r>
      <w:r w:rsidR="00B84FDE" w:rsidRPr="00B84FDE">
        <w:rPr>
          <w:rFonts w:ascii="Verdana" w:hAnsi="Verdana"/>
          <w:sz w:val="20"/>
        </w:rPr>
        <w:t>ha</w:t>
      </w:r>
      <w:r w:rsidR="00B51AF0">
        <w:rPr>
          <w:rFonts w:ascii="Verdana" w:hAnsi="Verdana"/>
          <w:sz w:val="20"/>
        </w:rPr>
        <w:t>[bría</w:t>
      </w:r>
      <w:r w:rsidR="00B84FDE" w:rsidRPr="00B84FDE">
        <w:rPr>
          <w:rFonts w:ascii="Verdana" w:hAnsi="Verdana"/>
          <w:sz w:val="20"/>
        </w:rPr>
        <w:t>n</w:t>
      </w:r>
      <w:r w:rsidR="00B51AF0">
        <w:rPr>
          <w:rFonts w:ascii="Verdana" w:hAnsi="Verdana"/>
          <w:sz w:val="20"/>
        </w:rPr>
        <w:t>]</w:t>
      </w:r>
      <w:r w:rsidR="00B84FDE" w:rsidRPr="00B84FDE">
        <w:rPr>
          <w:rFonts w:ascii="Verdana" w:hAnsi="Verdana"/>
          <w:sz w:val="20"/>
        </w:rPr>
        <w:t xml:space="preserve"> instaurado la represión y el control social como política de Estado</w:t>
      </w:r>
      <w:r w:rsidR="00B84FDE">
        <w:rPr>
          <w:rFonts w:ascii="Verdana" w:hAnsi="Verdana"/>
          <w:sz w:val="20"/>
        </w:rPr>
        <w:t>,</w:t>
      </w:r>
      <w:r w:rsidR="00B84FDE" w:rsidRPr="00B84FDE">
        <w:rPr>
          <w:rFonts w:ascii="Verdana" w:hAnsi="Verdana"/>
          <w:sz w:val="20"/>
        </w:rPr>
        <w:t xml:space="preserve"> donde las personas que exigen, defienden y promueven derechos humanos son considerad</w:t>
      </w:r>
      <w:r w:rsidR="00872397">
        <w:rPr>
          <w:rFonts w:ascii="Verdana" w:hAnsi="Verdana"/>
          <w:sz w:val="20"/>
        </w:rPr>
        <w:t>[a]</w:t>
      </w:r>
      <w:r w:rsidR="00B84FDE" w:rsidRPr="00B84FDE">
        <w:rPr>
          <w:rFonts w:ascii="Verdana" w:hAnsi="Verdana"/>
          <w:sz w:val="20"/>
        </w:rPr>
        <w:t>s ‘enemig</w:t>
      </w:r>
      <w:r w:rsidR="00872397">
        <w:rPr>
          <w:rFonts w:ascii="Verdana" w:hAnsi="Verdana"/>
          <w:sz w:val="20"/>
        </w:rPr>
        <w:t>[a]</w:t>
      </w:r>
      <w:r w:rsidR="00B84FDE" w:rsidRPr="00B84FDE">
        <w:rPr>
          <w:rFonts w:ascii="Verdana" w:hAnsi="Verdana"/>
          <w:sz w:val="20"/>
        </w:rPr>
        <w:t>s’ que deben ser neutralizad</w:t>
      </w:r>
      <w:r w:rsidR="00872397">
        <w:rPr>
          <w:rFonts w:ascii="Verdana" w:hAnsi="Verdana"/>
          <w:sz w:val="20"/>
        </w:rPr>
        <w:t>[a]</w:t>
      </w:r>
      <w:r w:rsidR="00B84FDE" w:rsidRPr="00B84FDE">
        <w:rPr>
          <w:rFonts w:ascii="Verdana" w:hAnsi="Verdana"/>
          <w:sz w:val="20"/>
        </w:rPr>
        <w:t>s”</w:t>
      </w:r>
      <w:r w:rsidR="00B84FDE">
        <w:rPr>
          <w:rFonts w:ascii="Verdana" w:hAnsi="Verdana"/>
          <w:sz w:val="20"/>
        </w:rPr>
        <w:t xml:space="preserve">. Expresaron que </w:t>
      </w:r>
      <w:r w:rsidRPr="00B84FDE">
        <w:rPr>
          <w:rFonts w:ascii="Verdana" w:hAnsi="Verdana"/>
          <w:sz w:val="20"/>
        </w:rPr>
        <w:t xml:space="preserve">en las “últimas semanas” previas al 6 de abril de 2020 las autoridades </w:t>
      </w:r>
      <w:r w:rsidR="0002035D">
        <w:rPr>
          <w:rFonts w:ascii="Verdana" w:hAnsi="Verdana"/>
          <w:sz w:val="20"/>
        </w:rPr>
        <w:t>venezolanas</w:t>
      </w:r>
      <w:r w:rsidRPr="00B84FDE">
        <w:rPr>
          <w:rFonts w:ascii="Verdana" w:hAnsi="Verdana"/>
          <w:sz w:val="20"/>
        </w:rPr>
        <w:t xml:space="preserve"> </w:t>
      </w:r>
      <w:r w:rsidR="00B84FDE">
        <w:rPr>
          <w:rFonts w:ascii="Verdana" w:hAnsi="Verdana"/>
          <w:sz w:val="20"/>
        </w:rPr>
        <w:t>h</w:t>
      </w:r>
      <w:r w:rsidR="0002035D">
        <w:rPr>
          <w:rFonts w:ascii="Verdana" w:hAnsi="Verdana"/>
          <w:sz w:val="20"/>
        </w:rPr>
        <w:t>abrían hecho</w:t>
      </w:r>
      <w:r w:rsidR="00B84FDE">
        <w:rPr>
          <w:rFonts w:ascii="Verdana" w:hAnsi="Verdana"/>
          <w:sz w:val="20"/>
        </w:rPr>
        <w:t xml:space="preserve"> </w:t>
      </w:r>
      <w:r w:rsidRPr="00B84FDE">
        <w:rPr>
          <w:rFonts w:ascii="Verdana" w:hAnsi="Verdana"/>
          <w:sz w:val="20"/>
        </w:rPr>
        <w:t xml:space="preserve">“un </w:t>
      </w:r>
      <w:proofErr w:type="gramStart"/>
      <w:r w:rsidRPr="00B84FDE">
        <w:rPr>
          <w:rFonts w:ascii="Verdana" w:hAnsi="Verdana"/>
          <w:sz w:val="20"/>
        </w:rPr>
        <w:t>llamado</w:t>
      </w:r>
      <w:r w:rsidR="00E24641">
        <w:rPr>
          <w:rFonts w:ascii="Verdana" w:hAnsi="Verdana"/>
          <w:sz w:val="20"/>
        </w:rPr>
        <w:t>[</w:t>
      </w:r>
      <w:proofErr w:type="gramEnd"/>
      <w:r w:rsidR="00E24641">
        <w:rPr>
          <w:rFonts w:ascii="Verdana" w:hAnsi="Verdana"/>
          <w:sz w:val="20"/>
        </w:rPr>
        <w:t>,]</w:t>
      </w:r>
      <w:r w:rsidRPr="00B84FDE">
        <w:rPr>
          <w:rFonts w:ascii="Verdana" w:hAnsi="Verdana"/>
          <w:sz w:val="20"/>
        </w:rPr>
        <w:t xml:space="preserve"> a través de distintas vías</w:t>
      </w:r>
      <w:r w:rsidR="00E24641">
        <w:rPr>
          <w:rFonts w:ascii="Verdana" w:hAnsi="Verdana"/>
          <w:sz w:val="20"/>
        </w:rPr>
        <w:t>[,]</w:t>
      </w:r>
      <w:r w:rsidRPr="00B84FDE">
        <w:rPr>
          <w:rFonts w:ascii="Verdana" w:hAnsi="Verdana"/>
          <w:sz w:val="20"/>
        </w:rPr>
        <w:t xml:space="preserve"> a la activación de la ‘Furia Bolivariana’, para ir contra cualquier persona que sea considerada un</w:t>
      </w:r>
      <w:r w:rsidR="00872397">
        <w:rPr>
          <w:rFonts w:ascii="Verdana" w:hAnsi="Verdana"/>
          <w:sz w:val="20"/>
        </w:rPr>
        <w:t>[a]</w:t>
      </w:r>
      <w:r w:rsidRPr="00B84FDE">
        <w:rPr>
          <w:rFonts w:ascii="Verdana" w:hAnsi="Verdana"/>
          <w:sz w:val="20"/>
        </w:rPr>
        <w:t xml:space="preserve"> enemig</w:t>
      </w:r>
      <w:r w:rsidR="00872397">
        <w:rPr>
          <w:rFonts w:ascii="Verdana" w:hAnsi="Verdana"/>
          <w:sz w:val="20"/>
        </w:rPr>
        <w:t>[a]</w:t>
      </w:r>
      <w:r w:rsidRPr="00B84FDE">
        <w:rPr>
          <w:rFonts w:ascii="Verdana" w:hAnsi="Verdana"/>
          <w:sz w:val="20"/>
        </w:rPr>
        <w:t xml:space="preserve"> o un</w:t>
      </w:r>
      <w:r w:rsidR="00872397">
        <w:rPr>
          <w:rFonts w:ascii="Verdana" w:hAnsi="Verdana"/>
          <w:sz w:val="20"/>
        </w:rPr>
        <w:t>[a]</w:t>
      </w:r>
      <w:r w:rsidRPr="00B84FDE">
        <w:rPr>
          <w:rFonts w:ascii="Verdana" w:hAnsi="Verdana"/>
          <w:sz w:val="20"/>
        </w:rPr>
        <w:t xml:space="preserve"> agente desestabilizador</w:t>
      </w:r>
      <w:r w:rsidR="00872397">
        <w:rPr>
          <w:rFonts w:ascii="Verdana" w:hAnsi="Verdana"/>
          <w:sz w:val="20"/>
        </w:rPr>
        <w:t>[a]</w:t>
      </w:r>
      <w:r w:rsidRPr="00B84FDE">
        <w:rPr>
          <w:rFonts w:ascii="Verdana" w:hAnsi="Verdana"/>
          <w:sz w:val="20"/>
        </w:rPr>
        <w:t xml:space="preserve"> y así ‘proteger la revolución’”. Afirmaron que</w:t>
      </w:r>
      <w:r w:rsidR="0002035D">
        <w:rPr>
          <w:rFonts w:ascii="Verdana" w:hAnsi="Verdana"/>
          <w:sz w:val="20"/>
        </w:rPr>
        <w:t>,</w:t>
      </w:r>
      <w:r w:rsidRPr="00B84FDE">
        <w:rPr>
          <w:rFonts w:ascii="Verdana" w:hAnsi="Verdana"/>
          <w:sz w:val="20"/>
        </w:rPr>
        <w:t xml:space="preserve"> en ese </w:t>
      </w:r>
      <w:r w:rsidR="00696848" w:rsidRPr="00B84FDE">
        <w:rPr>
          <w:rFonts w:ascii="Verdana" w:hAnsi="Verdana"/>
          <w:sz w:val="20"/>
        </w:rPr>
        <w:t>marco</w:t>
      </w:r>
      <w:r w:rsidR="0002035D">
        <w:rPr>
          <w:rFonts w:ascii="Verdana" w:hAnsi="Verdana"/>
          <w:sz w:val="20"/>
        </w:rPr>
        <w:t>,</w:t>
      </w:r>
      <w:r w:rsidR="00696848">
        <w:rPr>
          <w:rFonts w:ascii="Verdana" w:hAnsi="Verdana"/>
          <w:sz w:val="20"/>
        </w:rPr>
        <w:t xml:space="preserve"> “</w:t>
      </w:r>
      <w:r w:rsidR="00736656" w:rsidRPr="00B84FDE">
        <w:rPr>
          <w:rFonts w:ascii="Verdana" w:hAnsi="Verdana"/>
          <w:sz w:val="20"/>
        </w:rPr>
        <w:t>[h]a habido un especial ensañamiento y una nueva ola de agresiones en contra de per</w:t>
      </w:r>
      <w:r w:rsidRPr="00B84FDE">
        <w:rPr>
          <w:rFonts w:ascii="Verdana" w:hAnsi="Verdana"/>
          <w:sz w:val="20"/>
        </w:rPr>
        <w:t>sonas allegadas al círculo del P</w:t>
      </w:r>
      <w:r w:rsidR="00736656" w:rsidRPr="00B84FDE">
        <w:rPr>
          <w:rFonts w:ascii="Verdana" w:hAnsi="Verdana"/>
          <w:sz w:val="20"/>
        </w:rPr>
        <w:t xml:space="preserve">residente de la Asamblea </w:t>
      </w:r>
      <w:proofErr w:type="gramStart"/>
      <w:r w:rsidR="00736656" w:rsidRPr="00B84FDE">
        <w:rPr>
          <w:rFonts w:ascii="Verdana" w:hAnsi="Verdana"/>
          <w:sz w:val="20"/>
        </w:rPr>
        <w:t>Nacional</w:t>
      </w:r>
      <w:r w:rsidR="00E24641">
        <w:rPr>
          <w:rFonts w:ascii="Verdana" w:hAnsi="Verdana"/>
          <w:sz w:val="20"/>
        </w:rPr>
        <w:t>[</w:t>
      </w:r>
      <w:proofErr w:type="gramEnd"/>
      <w:r w:rsidR="00E24641">
        <w:rPr>
          <w:rFonts w:ascii="Verdana" w:hAnsi="Verdana"/>
          <w:sz w:val="20"/>
        </w:rPr>
        <w:t>,]</w:t>
      </w:r>
      <w:r w:rsidR="00736656" w:rsidRPr="00B84FDE">
        <w:rPr>
          <w:rFonts w:ascii="Verdana" w:hAnsi="Verdana"/>
          <w:sz w:val="20"/>
        </w:rPr>
        <w:t xml:space="preserve"> Juan Guaidó, y a familiares de las personas perseguidas”. </w:t>
      </w:r>
      <w:r w:rsidRPr="00B84FDE">
        <w:rPr>
          <w:rFonts w:ascii="Verdana" w:hAnsi="Verdana"/>
          <w:sz w:val="20"/>
        </w:rPr>
        <w:t>Así, mencionaron la ocurrencia de “</w:t>
      </w:r>
      <w:r w:rsidR="00736656" w:rsidRPr="00B84FDE">
        <w:rPr>
          <w:rFonts w:ascii="Verdana" w:hAnsi="Verdana"/>
          <w:sz w:val="20"/>
        </w:rPr>
        <w:t xml:space="preserve">nuevos ataques para obstaculizar el trabajo de las organizaciones de derechos humanos” y </w:t>
      </w:r>
      <w:r w:rsidRPr="00B84FDE">
        <w:rPr>
          <w:rFonts w:ascii="Verdana" w:hAnsi="Verdana"/>
          <w:sz w:val="20"/>
        </w:rPr>
        <w:t>de</w:t>
      </w:r>
      <w:r w:rsidR="006618AE">
        <w:rPr>
          <w:rFonts w:ascii="Verdana" w:hAnsi="Verdana"/>
          <w:sz w:val="20"/>
        </w:rPr>
        <w:t xml:space="preserve"> supuestas</w:t>
      </w:r>
      <w:r w:rsidRPr="00B84FDE">
        <w:rPr>
          <w:rFonts w:ascii="Verdana" w:hAnsi="Verdana"/>
          <w:sz w:val="20"/>
        </w:rPr>
        <w:t xml:space="preserve"> </w:t>
      </w:r>
      <w:r w:rsidR="006618AE">
        <w:rPr>
          <w:rFonts w:ascii="Verdana" w:hAnsi="Verdana"/>
          <w:sz w:val="20"/>
        </w:rPr>
        <w:t>“</w:t>
      </w:r>
      <w:r w:rsidRPr="00B84FDE">
        <w:rPr>
          <w:rFonts w:ascii="Verdana" w:hAnsi="Verdana"/>
          <w:sz w:val="20"/>
        </w:rPr>
        <w:t xml:space="preserve">amenazas a </w:t>
      </w:r>
      <w:r w:rsidR="00736656" w:rsidRPr="00B84FDE">
        <w:rPr>
          <w:rFonts w:ascii="Verdana" w:hAnsi="Verdana"/>
          <w:sz w:val="20"/>
        </w:rPr>
        <w:t>diversos dirigente</w:t>
      </w:r>
      <w:r w:rsidRPr="00B84FDE">
        <w:rPr>
          <w:rFonts w:ascii="Verdana" w:hAnsi="Verdana"/>
          <w:sz w:val="20"/>
        </w:rPr>
        <w:t>s</w:t>
      </w:r>
      <w:r w:rsidR="006618AE">
        <w:rPr>
          <w:rFonts w:ascii="Verdana" w:hAnsi="Verdana"/>
          <w:sz w:val="20"/>
        </w:rPr>
        <w:t>”</w:t>
      </w:r>
      <w:r w:rsidR="00736656" w:rsidRPr="00B84FDE">
        <w:rPr>
          <w:rFonts w:ascii="Verdana" w:hAnsi="Verdana"/>
          <w:sz w:val="20"/>
        </w:rPr>
        <w:t>.</w:t>
      </w:r>
    </w:p>
    <w:p w14:paraId="3B005D9D" w14:textId="77777777" w:rsidR="00B155F4" w:rsidRDefault="00B155F4" w:rsidP="00B155F4">
      <w:pPr>
        <w:pStyle w:val="Listavistosa-nfasis11"/>
        <w:rPr>
          <w:rFonts w:ascii="Verdana" w:hAnsi="Verdana"/>
          <w:sz w:val="20"/>
        </w:rPr>
      </w:pPr>
    </w:p>
    <w:p w14:paraId="181420D0" w14:textId="77777777" w:rsidR="00626769" w:rsidRPr="00626769" w:rsidRDefault="00B155F4" w:rsidP="00626769">
      <w:pPr>
        <w:widowControl w:val="0"/>
        <w:numPr>
          <w:ilvl w:val="0"/>
          <w:numId w:val="46"/>
        </w:numPr>
        <w:autoSpaceDE w:val="0"/>
        <w:autoSpaceDN w:val="0"/>
        <w:adjustRightInd w:val="0"/>
        <w:contextualSpacing/>
        <w:jc w:val="both"/>
        <w:rPr>
          <w:rFonts w:ascii="Verdana" w:hAnsi="Verdana"/>
          <w:sz w:val="20"/>
        </w:rPr>
      </w:pPr>
      <w:r>
        <w:rPr>
          <w:rFonts w:ascii="Verdana" w:hAnsi="Verdana"/>
          <w:sz w:val="20"/>
        </w:rPr>
        <w:t xml:space="preserve">La situación aludida fue caracterizada por los representantes como </w:t>
      </w:r>
      <w:r w:rsidRPr="00B155F4">
        <w:rPr>
          <w:rFonts w:ascii="Verdana" w:hAnsi="Verdana"/>
          <w:sz w:val="20"/>
        </w:rPr>
        <w:t xml:space="preserve">“un cuadro peligroso, en el cual diversos agentes y representantes del Estado venezolano, de manera constante y sistemática, desprestigian, desacreditan y criminalizan a los </w:t>
      </w:r>
      <w:r>
        <w:rPr>
          <w:rFonts w:ascii="Verdana" w:hAnsi="Verdana"/>
          <w:sz w:val="20"/>
        </w:rPr>
        <w:t xml:space="preserve">defensores de derechos humanos”. </w:t>
      </w:r>
      <w:r w:rsidR="00B84FDE">
        <w:rPr>
          <w:rFonts w:ascii="Verdana" w:hAnsi="Verdana"/>
          <w:sz w:val="20"/>
        </w:rPr>
        <w:t>Expresaron</w:t>
      </w:r>
      <w:r>
        <w:rPr>
          <w:rFonts w:ascii="Verdana" w:hAnsi="Verdana"/>
          <w:sz w:val="20"/>
        </w:rPr>
        <w:t xml:space="preserve"> que dicha situación, si bien no es nueva, “</w:t>
      </w:r>
      <w:r w:rsidRPr="00B155F4">
        <w:rPr>
          <w:rFonts w:ascii="Verdana" w:hAnsi="Verdana"/>
          <w:sz w:val="20"/>
        </w:rPr>
        <w:t xml:space="preserve">se </w:t>
      </w:r>
      <w:r>
        <w:rPr>
          <w:rFonts w:ascii="Verdana" w:hAnsi="Verdana"/>
          <w:sz w:val="20"/>
        </w:rPr>
        <w:t>[ha</w:t>
      </w:r>
      <w:r w:rsidR="00CD2DBF">
        <w:rPr>
          <w:rFonts w:ascii="Verdana" w:hAnsi="Verdana"/>
          <w:sz w:val="20"/>
        </w:rPr>
        <w:t>bría</w:t>
      </w:r>
      <w:r>
        <w:rPr>
          <w:rFonts w:ascii="Verdana" w:hAnsi="Verdana"/>
          <w:sz w:val="20"/>
        </w:rPr>
        <w:t xml:space="preserve">] </w:t>
      </w:r>
      <w:proofErr w:type="spellStart"/>
      <w:r w:rsidRPr="00B155F4">
        <w:rPr>
          <w:rFonts w:ascii="Verdana" w:hAnsi="Verdana"/>
          <w:sz w:val="20"/>
        </w:rPr>
        <w:t>profundiz</w:t>
      </w:r>
      <w:proofErr w:type="spellEnd"/>
      <w:r>
        <w:rPr>
          <w:rFonts w:ascii="Verdana" w:hAnsi="Verdana"/>
          <w:sz w:val="20"/>
        </w:rPr>
        <w:t>[</w:t>
      </w:r>
      <w:proofErr w:type="spellStart"/>
      <w:r>
        <w:rPr>
          <w:rFonts w:ascii="Verdana" w:hAnsi="Verdana"/>
          <w:sz w:val="20"/>
        </w:rPr>
        <w:t>ado</w:t>
      </w:r>
      <w:proofErr w:type="spellEnd"/>
      <w:r>
        <w:rPr>
          <w:rFonts w:ascii="Verdana" w:hAnsi="Verdana"/>
          <w:sz w:val="20"/>
        </w:rPr>
        <w:t>]” a partir de</w:t>
      </w:r>
      <w:r w:rsidRPr="00B155F4">
        <w:rPr>
          <w:rFonts w:ascii="Verdana" w:hAnsi="Verdana"/>
          <w:sz w:val="20"/>
        </w:rPr>
        <w:t xml:space="preserve"> 2019. </w:t>
      </w:r>
      <w:r>
        <w:rPr>
          <w:rFonts w:ascii="Verdana" w:hAnsi="Verdana"/>
          <w:sz w:val="20"/>
        </w:rPr>
        <w:t xml:space="preserve">Informaron que </w:t>
      </w:r>
      <w:r w:rsidRPr="00B155F4">
        <w:rPr>
          <w:rFonts w:ascii="Verdana" w:hAnsi="Verdana"/>
          <w:sz w:val="20"/>
        </w:rPr>
        <w:t xml:space="preserve">entre 2018 y 2020 se </w:t>
      </w:r>
      <w:r w:rsidR="00CD2DBF">
        <w:rPr>
          <w:rFonts w:ascii="Verdana" w:hAnsi="Verdana"/>
          <w:sz w:val="20"/>
        </w:rPr>
        <w:t xml:space="preserve">habrían </w:t>
      </w:r>
      <w:r w:rsidRPr="00B155F4">
        <w:rPr>
          <w:rFonts w:ascii="Verdana" w:hAnsi="Verdana"/>
          <w:sz w:val="20"/>
        </w:rPr>
        <w:t>documenta</w:t>
      </w:r>
      <w:r w:rsidR="00CD2DBF">
        <w:rPr>
          <w:rFonts w:ascii="Verdana" w:hAnsi="Verdana"/>
          <w:sz w:val="20"/>
        </w:rPr>
        <w:t>d</w:t>
      </w:r>
      <w:r w:rsidRPr="00B155F4">
        <w:rPr>
          <w:rFonts w:ascii="Verdana" w:hAnsi="Verdana"/>
          <w:sz w:val="20"/>
        </w:rPr>
        <w:t>o 172 agresiones contra</w:t>
      </w:r>
      <w:r>
        <w:rPr>
          <w:rFonts w:ascii="Verdana" w:hAnsi="Verdana"/>
          <w:sz w:val="20"/>
        </w:rPr>
        <w:t xml:space="preserve"> defensores de derechos humanos, y que e</w:t>
      </w:r>
      <w:r w:rsidRPr="00B155F4">
        <w:rPr>
          <w:rFonts w:ascii="Verdana" w:hAnsi="Verdana"/>
          <w:sz w:val="20"/>
        </w:rPr>
        <w:t xml:space="preserve">n lo que va de 2020 </w:t>
      </w:r>
      <w:r>
        <w:rPr>
          <w:rFonts w:ascii="Verdana" w:hAnsi="Verdana"/>
          <w:sz w:val="20"/>
        </w:rPr>
        <w:t>ha habido</w:t>
      </w:r>
      <w:r w:rsidRPr="00B155F4">
        <w:rPr>
          <w:rFonts w:ascii="Verdana" w:hAnsi="Verdana"/>
          <w:sz w:val="20"/>
        </w:rPr>
        <w:t xml:space="preserve"> 51 “ataques e incidentes de seguridad”</w:t>
      </w:r>
      <w:r>
        <w:rPr>
          <w:rFonts w:ascii="Verdana" w:hAnsi="Verdana"/>
          <w:sz w:val="20"/>
        </w:rPr>
        <w:t>. De acuerdo a lo que adujeron,</w:t>
      </w:r>
      <w:r w:rsidR="004131C6">
        <w:rPr>
          <w:rFonts w:ascii="Verdana" w:hAnsi="Verdana"/>
          <w:sz w:val="20"/>
        </w:rPr>
        <w:t xml:space="preserve"> </w:t>
      </w:r>
      <w:r w:rsidRPr="00B155F4">
        <w:rPr>
          <w:rFonts w:ascii="Verdana" w:hAnsi="Verdana"/>
          <w:sz w:val="20"/>
        </w:rPr>
        <w:t>“[m]edios de comunicación o funcionarios estatales encabeza</w:t>
      </w:r>
      <w:r w:rsidR="009D2587">
        <w:rPr>
          <w:rFonts w:ascii="Verdana" w:hAnsi="Verdana"/>
          <w:sz w:val="20"/>
        </w:rPr>
        <w:t>[ría]</w:t>
      </w:r>
      <w:r w:rsidRPr="00B155F4">
        <w:rPr>
          <w:rFonts w:ascii="Verdana" w:hAnsi="Verdana"/>
          <w:sz w:val="20"/>
        </w:rPr>
        <w:t>n el listado de los responsables de estos ataques”.</w:t>
      </w:r>
    </w:p>
    <w:p w14:paraId="573B77B2" w14:textId="77777777" w:rsidR="00626769" w:rsidRDefault="00626769" w:rsidP="00626769">
      <w:pPr>
        <w:pStyle w:val="Listavistosa-nfasis11"/>
        <w:rPr>
          <w:rFonts w:ascii="Verdana" w:hAnsi="Verdana"/>
          <w:sz w:val="20"/>
        </w:rPr>
      </w:pPr>
    </w:p>
    <w:p w14:paraId="1F6BC0FB" w14:textId="77777777" w:rsidR="00626769" w:rsidRDefault="00626769" w:rsidP="00626769">
      <w:pPr>
        <w:widowControl w:val="0"/>
        <w:numPr>
          <w:ilvl w:val="0"/>
          <w:numId w:val="46"/>
        </w:numPr>
        <w:autoSpaceDE w:val="0"/>
        <w:autoSpaceDN w:val="0"/>
        <w:adjustRightInd w:val="0"/>
        <w:contextualSpacing/>
        <w:jc w:val="both"/>
        <w:rPr>
          <w:rFonts w:ascii="Verdana" w:hAnsi="Verdana"/>
          <w:sz w:val="20"/>
        </w:rPr>
      </w:pPr>
      <w:r>
        <w:rPr>
          <w:rFonts w:ascii="Verdana" w:hAnsi="Verdana"/>
          <w:sz w:val="20"/>
        </w:rPr>
        <w:t>A lo anterior</w:t>
      </w:r>
      <w:r w:rsidR="009D2587">
        <w:rPr>
          <w:rFonts w:ascii="Verdana" w:hAnsi="Verdana"/>
          <w:sz w:val="20"/>
        </w:rPr>
        <w:t>,</w:t>
      </w:r>
      <w:r>
        <w:rPr>
          <w:rFonts w:ascii="Verdana" w:hAnsi="Verdana"/>
          <w:sz w:val="20"/>
        </w:rPr>
        <w:t xml:space="preserve"> los representantes agregaron información y consideraciones puntuales sobre el beneficiario </w:t>
      </w:r>
      <w:r w:rsidRPr="00626769">
        <w:rPr>
          <w:rFonts w:ascii="Verdana" w:hAnsi="Verdana"/>
          <w:sz w:val="20"/>
        </w:rPr>
        <w:t xml:space="preserve">Humberto Prado </w:t>
      </w:r>
      <w:r>
        <w:rPr>
          <w:rFonts w:ascii="Verdana" w:hAnsi="Verdana"/>
          <w:sz w:val="20"/>
        </w:rPr>
        <w:t xml:space="preserve">y sus familiares. </w:t>
      </w:r>
    </w:p>
    <w:p w14:paraId="03D72472" w14:textId="77777777" w:rsidR="00626769" w:rsidRDefault="00626769" w:rsidP="00626769">
      <w:pPr>
        <w:pStyle w:val="Listavistosa-nfasis11"/>
        <w:rPr>
          <w:rFonts w:ascii="Verdana" w:hAnsi="Verdana"/>
          <w:sz w:val="20"/>
        </w:rPr>
      </w:pPr>
    </w:p>
    <w:p w14:paraId="6F9DD2EC" w14:textId="77777777" w:rsidR="00626769" w:rsidRDefault="00626769" w:rsidP="00626769">
      <w:pPr>
        <w:widowControl w:val="0"/>
        <w:numPr>
          <w:ilvl w:val="0"/>
          <w:numId w:val="46"/>
        </w:numPr>
        <w:autoSpaceDE w:val="0"/>
        <w:autoSpaceDN w:val="0"/>
        <w:adjustRightInd w:val="0"/>
        <w:contextualSpacing/>
        <w:jc w:val="both"/>
        <w:rPr>
          <w:rFonts w:ascii="Verdana" w:hAnsi="Verdana"/>
          <w:sz w:val="20"/>
        </w:rPr>
      </w:pPr>
      <w:r>
        <w:rPr>
          <w:rFonts w:ascii="Verdana" w:hAnsi="Verdana"/>
          <w:sz w:val="20"/>
        </w:rPr>
        <w:t xml:space="preserve">Al respecto, debe recordarse que en septiembre de 2019 los representantes informaron que Humberto Prado </w:t>
      </w:r>
      <w:r w:rsidRPr="00626769">
        <w:rPr>
          <w:rFonts w:ascii="Verdana" w:hAnsi="Verdana"/>
          <w:sz w:val="20"/>
        </w:rPr>
        <w:t xml:space="preserve">fue designado por Juan Guaidó, </w:t>
      </w:r>
      <w:r>
        <w:rPr>
          <w:rFonts w:ascii="Verdana" w:hAnsi="Verdana"/>
          <w:sz w:val="20"/>
        </w:rPr>
        <w:t xml:space="preserve">a quien señalaron como </w:t>
      </w:r>
      <w:r w:rsidRPr="00626769">
        <w:rPr>
          <w:rFonts w:ascii="Verdana" w:hAnsi="Verdana"/>
          <w:sz w:val="20"/>
        </w:rPr>
        <w:t>“</w:t>
      </w:r>
      <w:proofErr w:type="gramStart"/>
      <w:r w:rsidRPr="00626769">
        <w:rPr>
          <w:rFonts w:ascii="Verdana" w:hAnsi="Verdana"/>
          <w:sz w:val="20"/>
        </w:rPr>
        <w:t>Presidente</w:t>
      </w:r>
      <w:proofErr w:type="gramEnd"/>
      <w:r w:rsidRPr="00626769">
        <w:rPr>
          <w:rFonts w:ascii="Verdana" w:hAnsi="Verdana"/>
          <w:sz w:val="20"/>
        </w:rPr>
        <w:t xml:space="preserve"> encargado” de Venezuela, como </w:t>
      </w:r>
      <w:r w:rsidR="00003A9A">
        <w:rPr>
          <w:rFonts w:ascii="Verdana" w:hAnsi="Verdana"/>
          <w:sz w:val="20"/>
        </w:rPr>
        <w:t>“</w:t>
      </w:r>
      <w:r w:rsidRPr="00626769">
        <w:rPr>
          <w:rFonts w:ascii="Verdana" w:hAnsi="Verdana"/>
          <w:sz w:val="20"/>
        </w:rPr>
        <w:t>Comisionado Presidencial para los Derechos Humanos</w:t>
      </w:r>
      <w:r w:rsidR="00003A9A">
        <w:rPr>
          <w:rFonts w:ascii="Verdana" w:hAnsi="Verdana"/>
          <w:sz w:val="20"/>
        </w:rPr>
        <w:t>”</w:t>
      </w:r>
      <w:r w:rsidRPr="00626769">
        <w:rPr>
          <w:rFonts w:ascii="Verdana" w:hAnsi="Verdana"/>
          <w:sz w:val="20"/>
        </w:rPr>
        <w:t>,</w:t>
      </w:r>
      <w:r>
        <w:rPr>
          <w:rFonts w:ascii="Verdana" w:hAnsi="Verdana"/>
          <w:sz w:val="20"/>
        </w:rPr>
        <w:t xml:space="preserve"> y que</w:t>
      </w:r>
      <w:r w:rsidRPr="00626769">
        <w:rPr>
          <w:rFonts w:ascii="Verdana" w:hAnsi="Verdana"/>
          <w:sz w:val="20"/>
        </w:rPr>
        <w:t xml:space="preserve"> su esposa, Carolina Girón de Prado, se había integrado como representante del Observatorio Venezolano de Prisiones</w:t>
      </w:r>
      <w:r>
        <w:rPr>
          <w:rFonts w:ascii="Verdana" w:hAnsi="Verdana"/>
          <w:sz w:val="20"/>
        </w:rPr>
        <w:t xml:space="preserve"> (OVP). En las comunicaciones presentadas a partir de abril de 2020 (</w:t>
      </w:r>
      <w:r>
        <w:rPr>
          <w:rFonts w:ascii="Verdana" w:hAnsi="Verdana"/>
          <w:i/>
          <w:sz w:val="20"/>
        </w:rPr>
        <w:t xml:space="preserve">supra </w:t>
      </w:r>
      <w:r>
        <w:rPr>
          <w:rFonts w:ascii="Verdana" w:hAnsi="Verdana"/>
          <w:sz w:val="20"/>
        </w:rPr>
        <w:t xml:space="preserve">Visto </w:t>
      </w:r>
      <w:r w:rsidR="00A41A32">
        <w:rPr>
          <w:rFonts w:ascii="Verdana" w:hAnsi="Verdana"/>
          <w:sz w:val="20"/>
        </w:rPr>
        <w:t>3</w:t>
      </w:r>
      <w:r>
        <w:rPr>
          <w:rFonts w:ascii="Verdana" w:hAnsi="Verdana"/>
          <w:sz w:val="20"/>
        </w:rPr>
        <w:t xml:space="preserve">), los representantes </w:t>
      </w:r>
      <w:r w:rsidR="00F95BDF">
        <w:rPr>
          <w:rFonts w:ascii="Verdana" w:hAnsi="Verdana"/>
          <w:sz w:val="20"/>
        </w:rPr>
        <w:t xml:space="preserve">reiteraron lo señalado y </w:t>
      </w:r>
      <w:r>
        <w:rPr>
          <w:rFonts w:ascii="Verdana" w:hAnsi="Verdana"/>
          <w:sz w:val="20"/>
        </w:rPr>
        <w:t>aclararon que el señor Humberto Prado</w:t>
      </w:r>
      <w:r w:rsidR="00F95BDF">
        <w:rPr>
          <w:rFonts w:ascii="Verdana" w:hAnsi="Verdana"/>
          <w:sz w:val="20"/>
        </w:rPr>
        <w:t xml:space="preserve"> continúa ejerciendo actividades de defensa de los derechos humanos</w:t>
      </w:r>
      <w:r w:rsidR="00872397">
        <w:rPr>
          <w:rFonts w:ascii="Verdana" w:hAnsi="Verdana"/>
          <w:sz w:val="20"/>
        </w:rPr>
        <w:t>,</w:t>
      </w:r>
      <w:r w:rsidR="00F95BDF">
        <w:rPr>
          <w:rFonts w:ascii="Verdana" w:hAnsi="Verdana"/>
          <w:sz w:val="20"/>
        </w:rPr>
        <w:t xml:space="preserve"> y</w:t>
      </w:r>
      <w:r>
        <w:rPr>
          <w:rFonts w:ascii="Verdana" w:hAnsi="Verdana"/>
          <w:sz w:val="20"/>
        </w:rPr>
        <w:t xml:space="preserve"> </w:t>
      </w:r>
      <w:r w:rsidR="00872397">
        <w:rPr>
          <w:rFonts w:ascii="Verdana" w:hAnsi="Verdana"/>
          <w:sz w:val="20"/>
        </w:rPr>
        <w:t xml:space="preserve">que </w:t>
      </w:r>
      <w:r w:rsidRPr="00626769">
        <w:rPr>
          <w:rFonts w:ascii="Verdana" w:hAnsi="Verdana"/>
          <w:sz w:val="20"/>
        </w:rPr>
        <w:t xml:space="preserve">no ha cesado en su trabajo en </w:t>
      </w:r>
      <w:r w:rsidR="00F95BDF">
        <w:rPr>
          <w:rFonts w:ascii="Verdana" w:hAnsi="Verdana"/>
          <w:sz w:val="20"/>
        </w:rPr>
        <w:t xml:space="preserve">defensa de los derechos </w:t>
      </w:r>
      <w:r w:rsidRPr="00626769">
        <w:rPr>
          <w:rFonts w:ascii="Verdana" w:hAnsi="Verdana"/>
          <w:sz w:val="20"/>
        </w:rPr>
        <w:t>de las personas privadas de libertad</w:t>
      </w:r>
      <w:r w:rsidR="00F95BDF">
        <w:rPr>
          <w:rFonts w:ascii="Verdana" w:hAnsi="Verdana"/>
          <w:sz w:val="20"/>
        </w:rPr>
        <w:t>. Señalaron, en particular,</w:t>
      </w:r>
      <w:r w:rsidRPr="00626769">
        <w:rPr>
          <w:rFonts w:ascii="Verdana" w:hAnsi="Verdana"/>
          <w:sz w:val="20"/>
        </w:rPr>
        <w:t xml:space="preserve"> </w:t>
      </w:r>
      <w:r w:rsidR="00F95BDF">
        <w:rPr>
          <w:rFonts w:ascii="Verdana" w:hAnsi="Verdana"/>
          <w:sz w:val="20"/>
        </w:rPr>
        <w:t>que “</w:t>
      </w:r>
      <w:r w:rsidRPr="00626769">
        <w:rPr>
          <w:rFonts w:ascii="Verdana" w:hAnsi="Verdana"/>
          <w:sz w:val="20"/>
        </w:rPr>
        <w:t xml:space="preserve">en ningún momento el señor Prado ha desistido de la representación que ejerce ante el Tribunal”. </w:t>
      </w:r>
    </w:p>
    <w:p w14:paraId="14B199B4" w14:textId="77777777" w:rsidR="00626769" w:rsidRDefault="00626769" w:rsidP="00626769">
      <w:pPr>
        <w:pStyle w:val="Listavistosa-nfasis11"/>
        <w:rPr>
          <w:rFonts w:ascii="Verdana" w:hAnsi="Verdana"/>
          <w:sz w:val="20"/>
        </w:rPr>
      </w:pPr>
    </w:p>
    <w:p w14:paraId="7C624C81" w14:textId="77777777" w:rsidR="00536D4E" w:rsidRDefault="00626769" w:rsidP="00760A8E">
      <w:pPr>
        <w:widowControl w:val="0"/>
        <w:numPr>
          <w:ilvl w:val="0"/>
          <w:numId w:val="46"/>
        </w:numPr>
        <w:autoSpaceDE w:val="0"/>
        <w:autoSpaceDN w:val="0"/>
        <w:adjustRightInd w:val="0"/>
        <w:contextualSpacing/>
        <w:jc w:val="both"/>
        <w:rPr>
          <w:rFonts w:ascii="Verdana" w:hAnsi="Verdana"/>
          <w:sz w:val="20"/>
        </w:rPr>
      </w:pPr>
      <w:r w:rsidRPr="00F95BDF">
        <w:rPr>
          <w:rFonts w:ascii="Verdana" w:hAnsi="Verdana"/>
          <w:sz w:val="20"/>
        </w:rPr>
        <w:t>Los representantes adujeron que Humberto Prado ha</w:t>
      </w:r>
      <w:r w:rsidR="00554881">
        <w:rPr>
          <w:rFonts w:ascii="Verdana" w:hAnsi="Verdana"/>
          <w:sz w:val="20"/>
        </w:rPr>
        <w:t>bría</w:t>
      </w:r>
      <w:r w:rsidRPr="00F95BDF">
        <w:rPr>
          <w:rFonts w:ascii="Verdana" w:hAnsi="Verdana"/>
          <w:sz w:val="20"/>
        </w:rPr>
        <w:t xml:space="preserve"> sufrido una “campaña de ataques y desprestigio” que “retomó fuerza” a partir de 2014. Manifestaron que entre 2015 y 2020 hubo más de 20 señalamientos en medios públicos, sobre todo en el programa televisivo “Con Mazo Dando”, conducido por Diosdado Cabello, </w:t>
      </w:r>
      <w:proofErr w:type="gramStart"/>
      <w:r w:rsidR="00E15E71">
        <w:rPr>
          <w:rFonts w:ascii="Verdana" w:hAnsi="Verdana"/>
          <w:sz w:val="20"/>
        </w:rPr>
        <w:t>Presidente</w:t>
      </w:r>
      <w:proofErr w:type="gramEnd"/>
      <w:r w:rsidR="00E15E71">
        <w:rPr>
          <w:rFonts w:ascii="Verdana" w:hAnsi="Verdana"/>
          <w:sz w:val="20"/>
        </w:rPr>
        <w:t xml:space="preserve"> de la Asamblea General Constituyente</w:t>
      </w:r>
      <w:r w:rsidRPr="00F95BDF">
        <w:rPr>
          <w:rFonts w:ascii="Verdana" w:hAnsi="Verdana"/>
          <w:sz w:val="20"/>
        </w:rPr>
        <w:t xml:space="preserve">, y </w:t>
      </w:r>
      <w:r w:rsidR="00CE706F" w:rsidRPr="00F95BDF">
        <w:rPr>
          <w:rFonts w:ascii="Verdana" w:hAnsi="Verdana"/>
          <w:sz w:val="20"/>
        </w:rPr>
        <w:t xml:space="preserve">que </w:t>
      </w:r>
      <w:r w:rsidRPr="00F95BDF">
        <w:rPr>
          <w:rFonts w:ascii="Verdana" w:hAnsi="Verdana"/>
          <w:sz w:val="20"/>
        </w:rPr>
        <w:t>el beneficiario sufrió “acciones de hostigamiento en aeropuertos venezolanos, intervención y exposición pública de comunicaciones privadas, amenazas de invalidación de documentos de identificación”, como también “revisiones injustificadas” y “seguimientos”.</w:t>
      </w:r>
      <w:r w:rsidR="00CB59EC" w:rsidRPr="00F95BDF">
        <w:rPr>
          <w:rFonts w:ascii="Verdana" w:hAnsi="Verdana"/>
          <w:sz w:val="20"/>
        </w:rPr>
        <w:t xml:space="preserve"> Indicaron que también Carolina Girón, desde hace “varios años”, ha sufrido actos de hostigamiento, vigilancia en su lugar</w:t>
      </w:r>
      <w:r w:rsidR="00F95BDF" w:rsidRPr="00F95BDF">
        <w:rPr>
          <w:rFonts w:ascii="Verdana" w:hAnsi="Verdana"/>
          <w:sz w:val="20"/>
        </w:rPr>
        <w:t xml:space="preserve"> de residencia y persecución. En ese sentido, mencionaron que </w:t>
      </w:r>
      <w:r w:rsidR="00536D4E" w:rsidRPr="00F95BDF">
        <w:rPr>
          <w:rFonts w:ascii="Verdana" w:hAnsi="Verdana"/>
          <w:sz w:val="20"/>
        </w:rPr>
        <w:t xml:space="preserve">el 26 de octubre de 2016, Diosdado Cabello </w:t>
      </w:r>
      <w:r w:rsidR="00640448">
        <w:rPr>
          <w:rFonts w:ascii="Verdana" w:hAnsi="Verdana"/>
          <w:sz w:val="20"/>
        </w:rPr>
        <w:t xml:space="preserve">habría </w:t>
      </w:r>
      <w:r w:rsidR="00536D4E" w:rsidRPr="00F95BDF">
        <w:rPr>
          <w:rFonts w:ascii="Verdana" w:hAnsi="Verdana"/>
          <w:sz w:val="20"/>
        </w:rPr>
        <w:t>acus</w:t>
      </w:r>
      <w:r w:rsidR="00640448">
        <w:rPr>
          <w:rFonts w:ascii="Verdana" w:hAnsi="Verdana"/>
          <w:sz w:val="20"/>
        </w:rPr>
        <w:t>ad</w:t>
      </w:r>
      <w:r w:rsidR="00536D4E" w:rsidRPr="00F95BDF">
        <w:rPr>
          <w:rFonts w:ascii="Verdana" w:hAnsi="Verdana"/>
          <w:sz w:val="20"/>
        </w:rPr>
        <w:t>o a la señora Girón de tener una compañía en Panamá dedicada a la</w:t>
      </w:r>
      <w:r w:rsidR="00F95BDF" w:rsidRPr="00F95BDF">
        <w:rPr>
          <w:rFonts w:ascii="Verdana" w:hAnsi="Verdana"/>
          <w:sz w:val="20"/>
        </w:rPr>
        <w:t xml:space="preserve"> compraventa de material bélico. </w:t>
      </w:r>
    </w:p>
    <w:p w14:paraId="621DE0F4" w14:textId="77777777" w:rsidR="00F95BDF" w:rsidRPr="00F95BDF" w:rsidRDefault="00F95BDF" w:rsidP="00F95BDF">
      <w:pPr>
        <w:widowControl w:val="0"/>
        <w:autoSpaceDE w:val="0"/>
        <w:autoSpaceDN w:val="0"/>
        <w:adjustRightInd w:val="0"/>
        <w:contextualSpacing/>
        <w:jc w:val="both"/>
        <w:rPr>
          <w:rFonts w:ascii="Verdana" w:hAnsi="Verdana"/>
          <w:sz w:val="20"/>
        </w:rPr>
      </w:pPr>
    </w:p>
    <w:p w14:paraId="2F4BE6A7" w14:textId="77777777" w:rsidR="00F95BDF" w:rsidRPr="00F95BDF" w:rsidRDefault="003C69DF" w:rsidP="00F95BDF">
      <w:pPr>
        <w:widowControl w:val="0"/>
        <w:numPr>
          <w:ilvl w:val="0"/>
          <w:numId w:val="46"/>
        </w:numPr>
        <w:autoSpaceDE w:val="0"/>
        <w:autoSpaceDN w:val="0"/>
        <w:adjustRightInd w:val="0"/>
        <w:contextualSpacing/>
        <w:jc w:val="both"/>
        <w:rPr>
          <w:rFonts w:ascii="Verdana" w:hAnsi="Verdana"/>
          <w:sz w:val="20"/>
        </w:rPr>
      </w:pPr>
      <w:r>
        <w:rPr>
          <w:rFonts w:ascii="Verdana" w:hAnsi="Verdana"/>
          <w:sz w:val="20"/>
        </w:rPr>
        <w:t>Los representantes también a</w:t>
      </w:r>
      <w:r w:rsidR="00CE706F">
        <w:rPr>
          <w:rFonts w:ascii="Verdana" w:hAnsi="Verdana"/>
          <w:sz w:val="20"/>
        </w:rPr>
        <w:t>firmaron que s</w:t>
      </w:r>
      <w:r w:rsidR="00626769" w:rsidRPr="00CE706F">
        <w:rPr>
          <w:rFonts w:ascii="Verdana" w:hAnsi="Verdana"/>
          <w:sz w:val="20"/>
        </w:rPr>
        <w:t>e han producido “hechos más recientes” que afectan a Humberto Prado, su familia y quienes trabajan en el OVP</w:t>
      </w:r>
      <w:r>
        <w:rPr>
          <w:rFonts w:ascii="Verdana" w:hAnsi="Verdana"/>
          <w:sz w:val="20"/>
        </w:rPr>
        <w:t>, a saber</w:t>
      </w:r>
      <w:r w:rsidR="00626769" w:rsidRPr="00CE706F">
        <w:rPr>
          <w:rFonts w:ascii="Verdana" w:hAnsi="Verdana"/>
          <w:sz w:val="20"/>
        </w:rPr>
        <w:t>: a) entre los días 27 y 29 de abril de 2018, un abogado y Humberto Prado, ent</w:t>
      </w:r>
      <w:r w:rsidR="001A2863">
        <w:rPr>
          <w:rFonts w:ascii="Verdana" w:hAnsi="Verdana"/>
          <w:sz w:val="20"/>
        </w:rPr>
        <w:t>r</w:t>
      </w:r>
      <w:r w:rsidR="00626769" w:rsidRPr="00CE706F">
        <w:rPr>
          <w:rFonts w:ascii="Verdana" w:hAnsi="Verdana"/>
          <w:sz w:val="20"/>
        </w:rPr>
        <w:t xml:space="preserve">ando en el </w:t>
      </w:r>
      <w:r w:rsidR="001A2863">
        <w:rPr>
          <w:rFonts w:ascii="Verdana" w:hAnsi="Verdana"/>
          <w:sz w:val="20"/>
        </w:rPr>
        <w:t>e</w:t>
      </w:r>
      <w:r w:rsidR="00626769" w:rsidRPr="00CE706F">
        <w:rPr>
          <w:rFonts w:ascii="Verdana" w:hAnsi="Verdana"/>
          <w:sz w:val="20"/>
        </w:rPr>
        <w:t xml:space="preserve">stado Amazonas, fueron seguidos por agentes estatales (quienes </w:t>
      </w:r>
      <w:r w:rsidR="009C7828">
        <w:rPr>
          <w:rFonts w:ascii="Verdana" w:hAnsi="Verdana"/>
          <w:sz w:val="20"/>
        </w:rPr>
        <w:t xml:space="preserve">habrían </w:t>
      </w:r>
      <w:r w:rsidR="00626769" w:rsidRPr="00CE706F">
        <w:rPr>
          <w:rFonts w:ascii="Verdana" w:hAnsi="Verdana"/>
          <w:sz w:val="20"/>
        </w:rPr>
        <w:t>afirma</w:t>
      </w:r>
      <w:r w:rsidR="009C7828">
        <w:rPr>
          <w:rFonts w:ascii="Verdana" w:hAnsi="Verdana"/>
          <w:sz w:val="20"/>
        </w:rPr>
        <w:t>do</w:t>
      </w:r>
      <w:r w:rsidR="00626769" w:rsidRPr="00CE706F">
        <w:rPr>
          <w:rFonts w:ascii="Verdana" w:hAnsi="Verdana"/>
          <w:sz w:val="20"/>
        </w:rPr>
        <w:t xml:space="preserve"> estar cuidándolos, por ser un </w:t>
      </w:r>
      <w:r w:rsidR="00A25C7D">
        <w:rPr>
          <w:rFonts w:ascii="Verdana" w:hAnsi="Verdana"/>
          <w:sz w:val="20"/>
        </w:rPr>
        <w:t>e</w:t>
      </w:r>
      <w:r w:rsidR="00626769" w:rsidRPr="00CE706F">
        <w:rPr>
          <w:rFonts w:ascii="Verdana" w:hAnsi="Verdana"/>
          <w:sz w:val="20"/>
        </w:rPr>
        <w:t xml:space="preserve">stado peligroso); b) el 25 de abril de 2019 un abogado del OVP fue abordado por policías cuando el primero se dirigía en su vehículo a su casa, los funcionarios lo llamaron por su nombre sin que previamente vieran un documento de identidad; c) el 5 de junio de 2019 Diosdado Cabello señaló en su programa de televisión a Humberto Prado como “chulo” y “pran” (líder negativo en las cárceles); d) el 20 de agosto de 2019, en un medio digital (“Aporrea”), se indicó que Humberto Prado </w:t>
      </w:r>
      <w:r w:rsidR="009C7828">
        <w:rPr>
          <w:rFonts w:ascii="Verdana" w:hAnsi="Verdana"/>
          <w:sz w:val="20"/>
        </w:rPr>
        <w:t>“</w:t>
      </w:r>
      <w:r w:rsidR="00626769" w:rsidRPr="00CE706F">
        <w:rPr>
          <w:rFonts w:ascii="Verdana" w:hAnsi="Verdana"/>
          <w:sz w:val="20"/>
        </w:rPr>
        <w:t>tenía una posición política</w:t>
      </w:r>
      <w:r w:rsidR="00604572">
        <w:rPr>
          <w:rFonts w:ascii="Verdana" w:hAnsi="Verdana"/>
          <w:sz w:val="20"/>
        </w:rPr>
        <w:t>mente</w:t>
      </w:r>
      <w:r w:rsidR="00626769" w:rsidRPr="00CE706F">
        <w:rPr>
          <w:rFonts w:ascii="Verdana" w:hAnsi="Verdana"/>
          <w:sz w:val="20"/>
        </w:rPr>
        <w:t xml:space="preserve"> errada</w:t>
      </w:r>
      <w:r w:rsidR="00C22283">
        <w:rPr>
          <w:rFonts w:ascii="Verdana" w:hAnsi="Verdana"/>
          <w:sz w:val="20"/>
        </w:rPr>
        <w:t xml:space="preserve"> [y que]</w:t>
      </w:r>
      <w:r w:rsidR="00626769" w:rsidRPr="00CE706F">
        <w:rPr>
          <w:rFonts w:ascii="Verdana" w:hAnsi="Verdana"/>
          <w:sz w:val="20"/>
        </w:rPr>
        <w:t xml:space="preserve"> </w:t>
      </w:r>
      <w:proofErr w:type="spellStart"/>
      <w:r w:rsidR="00626769" w:rsidRPr="00CE706F">
        <w:rPr>
          <w:rFonts w:ascii="Verdana" w:hAnsi="Verdana"/>
          <w:sz w:val="20"/>
        </w:rPr>
        <w:t>recib</w:t>
      </w:r>
      <w:r w:rsidR="00C22283">
        <w:rPr>
          <w:rFonts w:ascii="Verdana" w:hAnsi="Verdana"/>
          <w:sz w:val="20"/>
        </w:rPr>
        <w:t>i</w:t>
      </w:r>
      <w:proofErr w:type="spellEnd"/>
      <w:r w:rsidR="00C22283">
        <w:rPr>
          <w:rFonts w:ascii="Verdana" w:hAnsi="Verdana"/>
          <w:sz w:val="20"/>
        </w:rPr>
        <w:t>[</w:t>
      </w:r>
      <w:proofErr w:type="spellStart"/>
      <w:r w:rsidR="00C22283">
        <w:rPr>
          <w:rFonts w:ascii="Verdana" w:hAnsi="Verdana"/>
          <w:sz w:val="20"/>
        </w:rPr>
        <w:t>ó</w:t>
      </w:r>
      <w:proofErr w:type="spellEnd"/>
      <w:r w:rsidR="00C22283">
        <w:rPr>
          <w:rFonts w:ascii="Verdana" w:hAnsi="Verdana"/>
          <w:sz w:val="20"/>
        </w:rPr>
        <w:t>]</w:t>
      </w:r>
      <w:r w:rsidR="00626769" w:rsidRPr="00CE706F">
        <w:rPr>
          <w:rFonts w:ascii="Verdana" w:hAnsi="Verdana"/>
          <w:sz w:val="20"/>
        </w:rPr>
        <w:t xml:space="preserve"> financiamiento de </w:t>
      </w:r>
      <w:r w:rsidR="00C22283">
        <w:rPr>
          <w:rFonts w:ascii="Verdana" w:hAnsi="Verdana"/>
          <w:sz w:val="20"/>
        </w:rPr>
        <w:t>[</w:t>
      </w:r>
      <w:r w:rsidR="00626769" w:rsidRPr="00CE706F">
        <w:rPr>
          <w:rFonts w:ascii="Verdana" w:hAnsi="Verdana"/>
          <w:sz w:val="20"/>
        </w:rPr>
        <w:t>a</w:t>
      </w:r>
      <w:r w:rsidR="00C22283">
        <w:rPr>
          <w:rFonts w:ascii="Verdana" w:hAnsi="Verdana"/>
          <w:sz w:val="20"/>
        </w:rPr>
        <w:t>]</w:t>
      </w:r>
      <w:proofErr w:type="spellStart"/>
      <w:r w:rsidR="00626769" w:rsidRPr="00CE706F">
        <w:rPr>
          <w:rFonts w:ascii="Verdana" w:hAnsi="Verdana"/>
          <w:sz w:val="20"/>
        </w:rPr>
        <w:t>gencias</w:t>
      </w:r>
      <w:proofErr w:type="spellEnd"/>
      <w:r w:rsidR="00626769" w:rsidRPr="00CE706F">
        <w:rPr>
          <w:rFonts w:ascii="Verdana" w:hAnsi="Verdana"/>
          <w:sz w:val="20"/>
        </w:rPr>
        <w:t xml:space="preserve"> de inteligencia de E</w:t>
      </w:r>
      <w:r w:rsidR="00CE706F">
        <w:rPr>
          <w:rFonts w:ascii="Verdana" w:hAnsi="Verdana"/>
          <w:sz w:val="20"/>
        </w:rPr>
        <w:t xml:space="preserve">stados </w:t>
      </w:r>
      <w:r w:rsidR="00626769" w:rsidRPr="00CE706F">
        <w:rPr>
          <w:rFonts w:ascii="Verdana" w:hAnsi="Verdana"/>
          <w:sz w:val="20"/>
        </w:rPr>
        <w:t>U</w:t>
      </w:r>
      <w:r w:rsidR="00CE706F">
        <w:rPr>
          <w:rFonts w:ascii="Verdana" w:hAnsi="Verdana"/>
          <w:sz w:val="20"/>
        </w:rPr>
        <w:t>nidos de América</w:t>
      </w:r>
      <w:r w:rsidR="009C7828">
        <w:rPr>
          <w:rFonts w:ascii="Verdana" w:hAnsi="Verdana"/>
          <w:sz w:val="20"/>
        </w:rPr>
        <w:t>”</w:t>
      </w:r>
      <w:r w:rsidR="00626769" w:rsidRPr="00CE706F">
        <w:rPr>
          <w:rFonts w:ascii="Verdana" w:hAnsi="Verdana"/>
          <w:sz w:val="20"/>
        </w:rPr>
        <w:t xml:space="preserve">; e) el 29 de agosto de 2019 un sitio de internet oficialista (“La iguana TV”) señaló que Humberto Prado es Director del OVP y que esa organización recibe fondos de </w:t>
      </w:r>
      <w:r w:rsidR="00626769" w:rsidRPr="00CE706F">
        <w:rPr>
          <w:rFonts w:ascii="Verdana" w:hAnsi="Verdana"/>
          <w:i/>
          <w:sz w:val="20"/>
        </w:rPr>
        <w:t>Freedom House</w:t>
      </w:r>
      <w:r w:rsidR="00626769" w:rsidRPr="00CE706F">
        <w:rPr>
          <w:rFonts w:ascii="Verdana" w:hAnsi="Verdana"/>
          <w:sz w:val="20"/>
        </w:rPr>
        <w:t>, una organización asociada al Departamento de Estado</w:t>
      </w:r>
      <w:r w:rsidR="00CE706F">
        <w:rPr>
          <w:rFonts w:ascii="Verdana" w:hAnsi="Verdana"/>
          <w:sz w:val="20"/>
        </w:rPr>
        <w:t xml:space="preserve"> de Estados Unidos de América</w:t>
      </w:r>
      <w:r w:rsidR="00626769" w:rsidRPr="00CE706F">
        <w:rPr>
          <w:rFonts w:ascii="Verdana" w:hAnsi="Verdana"/>
          <w:sz w:val="20"/>
        </w:rPr>
        <w:t xml:space="preserve">; f) el 26 de septiembre de 2019 funcionarios de fuerzas armadas estacionaron sus vehículos frente a la residencia de la familia Girón y sacaron fotografías y, desde entonces, hacen rondas en la zona de residencia de la familia “como forma de intimidación”; </w:t>
      </w:r>
      <w:r w:rsidR="00F95BDF">
        <w:rPr>
          <w:rFonts w:ascii="Verdana" w:hAnsi="Verdana"/>
          <w:sz w:val="20"/>
        </w:rPr>
        <w:t>g) e</w:t>
      </w:r>
      <w:r w:rsidR="00F95BDF" w:rsidRPr="00F95BDF">
        <w:rPr>
          <w:rFonts w:ascii="Verdana" w:hAnsi="Verdana"/>
          <w:sz w:val="20"/>
        </w:rPr>
        <w:t xml:space="preserve">n diciembre de 2019 </w:t>
      </w:r>
      <w:r w:rsidR="00F95BDF">
        <w:rPr>
          <w:rFonts w:ascii="Verdana" w:hAnsi="Verdana"/>
          <w:sz w:val="20"/>
        </w:rPr>
        <w:t>Carolina Girón</w:t>
      </w:r>
      <w:r w:rsidR="00F95BDF" w:rsidRPr="00F95BDF">
        <w:rPr>
          <w:rFonts w:ascii="Verdana" w:hAnsi="Verdana"/>
          <w:sz w:val="20"/>
        </w:rPr>
        <w:t xml:space="preserve"> fue seguida por integrantes de orga</w:t>
      </w:r>
      <w:r w:rsidR="00F95BDF">
        <w:rPr>
          <w:rFonts w:ascii="Verdana" w:hAnsi="Verdana"/>
          <w:sz w:val="20"/>
        </w:rPr>
        <w:t>nismos de seguridad del Estado; h)</w:t>
      </w:r>
      <w:r w:rsidR="00626769" w:rsidRPr="00F95BDF">
        <w:rPr>
          <w:rFonts w:ascii="Verdana" w:hAnsi="Verdana"/>
          <w:sz w:val="20"/>
        </w:rPr>
        <w:t xml:space="preserve"> el 9 de diciembre de 2019 la Ministra para Asuntos Penitenciarios dijo que el OVP es un “instrumento financiado por […] agencias del Departamento de Estado”</w:t>
      </w:r>
      <w:r w:rsidR="00CB59EC" w:rsidRPr="00F95BDF">
        <w:rPr>
          <w:rFonts w:ascii="Verdana" w:hAnsi="Verdana"/>
          <w:sz w:val="20"/>
        </w:rPr>
        <w:t xml:space="preserve"> de Estados Unidos de América</w:t>
      </w:r>
      <w:r w:rsidR="00626769" w:rsidRPr="00F95BDF">
        <w:rPr>
          <w:rFonts w:ascii="Verdana" w:hAnsi="Verdana"/>
          <w:sz w:val="20"/>
        </w:rPr>
        <w:t xml:space="preserve">, por lo cual se sabe “cuál es su orientación política”, y que Humberto Prado fue considerado “persona no grata” por más de 50.000 personas privadas de la libertad; </w:t>
      </w:r>
      <w:r w:rsidR="00F95BDF">
        <w:rPr>
          <w:rFonts w:ascii="Verdana" w:hAnsi="Verdana"/>
          <w:sz w:val="20"/>
        </w:rPr>
        <w:t>i</w:t>
      </w:r>
      <w:r w:rsidR="00626769" w:rsidRPr="00F95BDF">
        <w:rPr>
          <w:rFonts w:ascii="Verdana" w:hAnsi="Verdana"/>
          <w:sz w:val="20"/>
        </w:rPr>
        <w:t>) el 5 de febrero de 2020 Diosdado Cabello, en su programa de televisión, haciendo referencia a la noticia de que se impedía a una delegación de la Comisión Interamericana llegar a Venezuela, mostró dos videos con declaraci</w:t>
      </w:r>
      <w:r w:rsidR="00F95BDF">
        <w:rPr>
          <w:rFonts w:ascii="Verdana" w:hAnsi="Verdana"/>
          <w:sz w:val="20"/>
        </w:rPr>
        <w:t>ones de Humberto Prado, y</w:t>
      </w:r>
      <w:r w:rsidR="00626769" w:rsidRPr="00F95BDF">
        <w:rPr>
          <w:rFonts w:ascii="Verdana" w:hAnsi="Verdana"/>
          <w:sz w:val="20"/>
        </w:rPr>
        <w:t xml:space="preserve"> </w:t>
      </w:r>
      <w:r w:rsidR="00F95BDF">
        <w:rPr>
          <w:rFonts w:ascii="Verdana" w:hAnsi="Verdana"/>
          <w:sz w:val="20"/>
        </w:rPr>
        <w:t>j</w:t>
      </w:r>
      <w:r w:rsidR="00626769" w:rsidRPr="00F95BDF">
        <w:rPr>
          <w:rFonts w:ascii="Verdana" w:hAnsi="Verdana"/>
          <w:sz w:val="20"/>
        </w:rPr>
        <w:t xml:space="preserve">) el 23 de marzo de 2020 el OVP fue “víctima de un ataque digital” a su cuenta de </w:t>
      </w:r>
      <w:r w:rsidR="00626769" w:rsidRPr="00F95BDF">
        <w:rPr>
          <w:rFonts w:ascii="Verdana" w:hAnsi="Verdana"/>
          <w:i/>
          <w:sz w:val="20"/>
        </w:rPr>
        <w:t>Twitter</w:t>
      </w:r>
      <w:r w:rsidR="00CB59EC" w:rsidRPr="00F95BDF">
        <w:rPr>
          <w:rFonts w:ascii="Verdana" w:hAnsi="Verdana"/>
          <w:i/>
          <w:sz w:val="20"/>
        </w:rPr>
        <w:t>.</w:t>
      </w:r>
      <w:r w:rsidR="00626769" w:rsidRPr="00F95BDF">
        <w:rPr>
          <w:rFonts w:ascii="Verdana" w:hAnsi="Verdana"/>
          <w:i/>
          <w:sz w:val="20"/>
        </w:rPr>
        <w:t xml:space="preserve"> </w:t>
      </w:r>
      <w:r w:rsidR="00DA4C54">
        <w:rPr>
          <w:rFonts w:ascii="Verdana" w:hAnsi="Verdana"/>
          <w:sz w:val="20"/>
        </w:rPr>
        <w:t xml:space="preserve">Además, sin indicar fechas precisas, los representantes adujeron que en diversas oportunidades Humberto Prado </w:t>
      </w:r>
      <w:r w:rsidR="009C7828">
        <w:rPr>
          <w:rFonts w:ascii="Verdana" w:hAnsi="Verdana"/>
          <w:sz w:val="20"/>
        </w:rPr>
        <w:t xml:space="preserve">habría sido </w:t>
      </w:r>
      <w:r w:rsidR="00DA4C54">
        <w:rPr>
          <w:rFonts w:ascii="Verdana" w:hAnsi="Verdana"/>
          <w:sz w:val="20"/>
        </w:rPr>
        <w:t xml:space="preserve">sometido a revisiones injustificadas en el aeropuerto Simón Bolivar, las que, en su apreciación, resultaron una “forma de intimidación”. </w:t>
      </w:r>
    </w:p>
    <w:p w14:paraId="0DDC71BB" w14:textId="77777777" w:rsidR="00F95BDF" w:rsidRPr="00F95BDF" w:rsidRDefault="00F95BDF" w:rsidP="00F95BDF">
      <w:pPr>
        <w:widowControl w:val="0"/>
        <w:autoSpaceDE w:val="0"/>
        <w:autoSpaceDN w:val="0"/>
        <w:adjustRightInd w:val="0"/>
        <w:contextualSpacing/>
        <w:jc w:val="both"/>
        <w:rPr>
          <w:rFonts w:ascii="Verdana" w:hAnsi="Verdana"/>
          <w:sz w:val="20"/>
        </w:rPr>
      </w:pPr>
    </w:p>
    <w:p w14:paraId="5D03DD56" w14:textId="77777777" w:rsidR="00626769" w:rsidRPr="00F95BDF" w:rsidRDefault="00F95BDF" w:rsidP="00F95BDF">
      <w:pPr>
        <w:widowControl w:val="0"/>
        <w:numPr>
          <w:ilvl w:val="0"/>
          <w:numId w:val="46"/>
        </w:numPr>
        <w:autoSpaceDE w:val="0"/>
        <w:autoSpaceDN w:val="0"/>
        <w:adjustRightInd w:val="0"/>
        <w:contextualSpacing/>
        <w:jc w:val="both"/>
        <w:rPr>
          <w:rFonts w:ascii="Verdana" w:hAnsi="Verdana"/>
          <w:sz w:val="20"/>
        </w:rPr>
      </w:pPr>
      <w:r>
        <w:rPr>
          <w:rFonts w:ascii="Verdana" w:hAnsi="Verdana"/>
          <w:sz w:val="20"/>
        </w:rPr>
        <w:t xml:space="preserve">Los representantes consideraron que </w:t>
      </w:r>
      <w:r w:rsidR="00626769" w:rsidRPr="00F95BDF">
        <w:rPr>
          <w:rFonts w:ascii="Verdana" w:hAnsi="Verdana"/>
          <w:sz w:val="20"/>
        </w:rPr>
        <w:t>“</w:t>
      </w:r>
      <w:r>
        <w:rPr>
          <w:rFonts w:ascii="Verdana" w:hAnsi="Verdana"/>
          <w:sz w:val="20"/>
        </w:rPr>
        <w:t>[l]</w:t>
      </w:r>
      <w:r w:rsidR="00626769" w:rsidRPr="00F95BDF">
        <w:rPr>
          <w:rFonts w:ascii="Verdana" w:hAnsi="Verdana"/>
          <w:sz w:val="20"/>
        </w:rPr>
        <w:t>a integridad física y psicológica de [Humberto Prado] y su familia se encuentran en riesgo, tal como se evidencia a partir de las constantes amenazas en contra de [él] dentro del contexto de estigmatización y hostigamiento que viven las per</w:t>
      </w:r>
      <w:r w:rsidR="00A41A32">
        <w:rPr>
          <w:rFonts w:ascii="Verdana" w:hAnsi="Verdana"/>
          <w:sz w:val="20"/>
        </w:rPr>
        <w:t>s</w:t>
      </w:r>
      <w:r w:rsidR="00626769" w:rsidRPr="00F95BDF">
        <w:rPr>
          <w:rFonts w:ascii="Verdana" w:hAnsi="Verdana"/>
          <w:sz w:val="20"/>
        </w:rPr>
        <w:t xml:space="preserve">onas defensoras de derechos humanos en Venezuela”. </w:t>
      </w:r>
      <w:r>
        <w:rPr>
          <w:rFonts w:ascii="Verdana" w:hAnsi="Verdana"/>
          <w:sz w:val="20"/>
        </w:rPr>
        <w:t>Adujeron que, s</w:t>
      </w:r>
      <w:r w:rsidR="00626769" w:rsidRPr="00F95BDF">
        <w:rPr>
          <w:rFonts w:ascii="Verdana" w:hAnsi="Verdana"/>
          <w:sz w:val="20"/>
        </w:rPr>
        <w:t>iendo que la representación del OVP recae ahora sobre Carolina Girón, “la gravedad de la situación debe ser también analizada para ella” y es extensiva para el resto de l</w:t>
      </w:r>
      <w:r>
        <w:rPr>
          <w:rFonts w:ascii="Verdana" w:hAnsi="Verdana"/>
          <w:sz w:val="20"/>
        </w:rPr>
        <w:t xml:space="preserve">os miembros de la familia. </w:t>
      </w:r>
    </w:p>
    <w:p w14:paraId="784F143D" w14:textId="77777777" w:rsidR="00F95BDF" w:rsidRDefault="00F95BDF" w:rsidP="00F95BDF">
      <w:pPr>
        <w:pStyle w:val="Listavistosa-nfasis11"/>
        <w:rPr>
          <w:rFonts w:ascii="Verdana" w:hAnsi="Verdana"/>
          <w:sz w:val="20"/>
        </w:rPr>
      </w:pPr>
    </w:p>
    <w:p w14:paraId="0CC86CDD" w14:textId="77777777" w:rsidR="00E3695C" w:rsidRDefault="00F95BDF" w:rsidP="00E3695C">
      <w:pPr>
        <w:widowControl w:val="0"/>
        <w:numPr>
          <w:ilvl w:val="0"/>
          <w:numId w:val="46"/>
        </w:numPr>
        <w:autoSpaceDE w:val="0"/>
        <w:autoSpaceDN w:val="0"/>
        <w:adjustRightInd w:val="0"/>
        <w:contextualSpacing/>
        <w:jc w:val="both"/>
        <w:rPr>
          <w:rFonts w:ascii="Verdana" w:hAnsi="Verdana"/>
          <w:sz w:val="20"/>
        </w:rPr>
      </w:pPr>
      <w:r>
        <w:rPr>
          <w:rFonts w:ascii="Verdana" w:hAnsi="Verdana"/>
          <w:sz w:val="20"/>
        </w:rPr>
        <w:t>En adición a lo referido, los representantes alegaron que el</w:t>
      </w:r>
      <w:r w:rsidRPr="00F95BDF">
        <w:rPr>
          <w:rFonts w:ascii="Verdana" w:hAnsi="Verdana"/>
          <w:sz w:val="20"/>
        </w:rPr>
        <w:t xml:space="preserve"> Estado no demostró que el riesgo al que está sometido Humberto Prado esté “desactivado”</w:t>
      </w:r>
      <w:r w:rsidR="001A2863">
        <w:rPr>
          <w:rFonts w:ascii="Verdana" w:hAnsi="Verdana"/>
          <w:sz w:val="20"/>
        </w:rPr>
        <w:t xml:space="preserve">. Sobre el particular, sostuvieron </w:t>
      </w:r>
      <w:r w:rsidRPr="00F95BDF">
        <w:rPr>
          <w:rFonts w:ascii="Verdana" w:hAnsi="Verdana"/>
          <w:sz w:val="20"/>
        </w:rPr>
        <w:t xml:space="preserve">que el Estado, a lo largo de años, ha omitido presentar información oportuna, y que </w:t>
      </w:r>
      <w:r w:rsidR="001A2863">
        <w:rPr>
          <w:rFonts w:ascii="Verdana" w:hAnsi="Verdana"/>
          <w:sz w:val="20"/>
        </w:rPr>
        <w:t>no se ha</w:t>
      </w:r>
      <w:r w:rsidRPr="00F95BDF">
        <w:rPr>
          <w:rFonts w:ascii="Verdana" w:hAnsi="Verdana"/>
          <w:sz w:val="20"/>
        </w:rPr>
        <w:t xml:space="preserve"> reali</w:t>
      </w:r>
      <w:r w:rsidR="001A2863">
        <w:rPr>
          <w:rFonts w:ascii="Verdana" w:hAnsi="Verdana"/>
          <w:sz w:val="20"/>
        </w:rPr>
        <w:t>zado</w:t>
      </w:r>
      <w:r w:rsidRPr="00F95BDF">
        <w:rPr>
          <w:rFonts w:ascii="Verdana" w:hAnsi="Verdana"/>
          <w:sz w:val="20"/>
        </w:rPr>
        <w:t xml:space="preserve"> una investigación seria y efectiva respecto de actos de hostigamiento y amenazas </w:t>
      </w:r>
      <w:r w:rsidR="001A2863">
        <w:rPr>
          <w:rFonts w:ascii="Verdana" w:hAnsi="Verdana"/>
          <w:sz w:val="20"/>
        </w:rPr>
        <w:t>contra</w:t>
      </w:r>
      <w:r w:rsidR="001A2863" w:rsidRPr="00F95BDF">
        <w:rPr>
          <w:rFonts w:ascii="Verdana" w:hAnsi="Verdana"/>
          <w:sz w:val="20"/>
        </w:rPr>
        <w:t xml:space="preserve"> </w:t>
      </w:r>
      <w:r w:rsidRPr="00F95BDF">
        <w:rPr>
          <w:rFonts w:ascii="Verdana" w:hAnsi="Verdana"/>
          <w:sz w:val="20"/>
        </w:rPr>
        <w:t>el beneficiario nombrad</w:t>
      </w:r>
      <w:r>
        <w:rPr>
          <w:rFonts w:ascii="Verdana" w:hAnsi="Verdana"/>
          <w:sz w:val="20"/>
        </w:rPr>
        <w:t>o</w:t>
      </w:r>
      <w:r w:rsidRPr="00F95BDF">
        <w:rPr>
          <w:rFonts w:ascii="Verdana" w:hAnsi="Verdana"/>
          <w:sz w:val="20"/>
        </w:rPr>
        <w:t xml:space="preserve">. </w:t>
      </w:r>
    </w:p>
    <w:p w14:paraId="000501C7" w14:textId="77777777" w:rsidR="00E3695C" w:rsidRDefault="00E3695C" w:rsidP="00E3695C">
      <w:pPr>
        <w:pStyle w:val="Listavistosa-nfasis11"/>
        <w:rPr>
          <w:rFonts w:ascii="Verdana" w:hAnsi="Verdana"/>
          <w:sz w:val="20"/>
        </w:rPr>
      </w:pPr>
    </w:p>
    <w:p w14:paraId="5B21D834" w14:textId="77777777" w:rsidR="004131C6" w:rsidRPr="00D07A7A" w:rsidRDefault="008927F5" w:rsidP="004131C6">
      <w:pPr>
        <w:widowControl w:val="0"/>
        <w:numPr>
          <w:ilvl w:val="0"/>
          <w:numId w:val="46"/>
        </w:numPr>
        <w:autoSpaceDE w:val="0"/>
        <w:autoSpaceDN w:val="0"/>
        <w:adjustRightInd w:val="0"/>
        <w:contextualSpacing/>
        <w:jc w:val="both"/>
        <w:rPr>
          <w:rFonts w:ascii="Verdana" w:hAnsi="Verdana"/>
          <w:sz w:val="20"/>
        </w:rPr>
      </w:pPr>
      <w:r w:rsidRPr="00E3695C">
        <w:rPr>
          <w:rFonts w:ascii="Verdana" w:hAnsi="Verdana"/>
          <w:sz w:val="20"/>
        </w:rPr>
        <w:t xml:space="preserve">El </w:t>
      </w:r>
      <w:r w:rsidRPr="00E3695C">
        <w:rPr>
          <w:rFonts w:ascii="Verdana" w:hAnsi="Verdana"/>
          <w:b/>
          <w:i/>
          <w:sz w:val="20"/>
        </w:rPr>
        <w:t>Estado</w:t>
      </w:r>
      <w:r w:rsidRPr="00E3695C">
        <w:rPr>
          <w:rFonts w:ascii="Verdana" w:hAnsi="Verdana"/>
          <w:sz w:val="20"/>
        </w:rPr>
        <w:t xml:space="preserve"> </w:t>
      </w:r>
      <w:r w:rsidR="00E3695C">
        <w:rPr>
          <w:rFonts w:ascii="Verdana" w:hAnsi="Verdana"/>
          <w:sz w:val="20"/>
        </w:rPr>
        <w:t>recordó que las m</w:t>
      </w:r>
      <w:r w:rsidR="00E3695C" w:rsidRPr="00E3695C">
        <w:rPr>
          <w:rFonts w:ascii="Verdana" w:hAnsi="Verdana"/>
          <w:sz w:val="20"/>
        </w:rPr>
        <w:t>edidas provisionales proceden ante una</w:t>
      </w:r>
      <w:r w:rsidR="00696848">
        <w:rPr>
          <w:rFonts w:ascii="Verdana" w:hAnsi="Verdana"/>
          <w:sz w:val="20"/>
        </w:rPr>
        <w:t xml:space="preserve"> situación “extrema” de riesgo y </w:t>
      </w:r>
      <w:r w:rsidR="00E3695C">
        <w:rPr>
          <w:rFonts w:ascii="Verdana" w:hAnsi="Verdana"/>
          <w:sz w:val="20"/>
        </w:rPr>
        <w:t xml:space="preserve">que </w:t>
      </w:r>
      <w:r w:rsidR="00E3695C" w:rsidRPr="00E3695C">
        <w:rPr>
          <w:rFonts w:ascii="Verdana" w:hAnsi="Verdana"/>
          <w:sz w:val="20"/>
        </w:rPr>
        <w:t>los señalamientos de los representantes no evidencian ese tipo de situación.</w:t>
      </w:r>
      <w:r w:rsidR="00E3695C">
        <w:rPr>
          <w:rFonts w:ascii="Verdana" w:hAnsi="Verdana"/>
          <w:sz w:val="20"/>
        </w:rPr>
        <w:t xml:space="preserve"> A</w:t>
      </w:r>
      <w:r w:rsidR="00E3695C" w:rsidRPr="00E3695C">
        <w:rPr>
          <w:rFonts w:ascii="Verdana" w:hAnsi="Verdana"/>
          <w:sz w:val="20"/>
        </w:rPr>
        <w:t xml:space="preserve">dujo que </w:t>
      </w:r>
      <w:r w:rsidR="00E3695C">
        <w:rPr>
          <w:rFonts w:ascii="Verdana" w:hAnsi="Verdana"/>
          <w:sz w:val="20"/>
        </w:rPr>
        <w:t>l</w:t>
      </w:r>
      <w:r w:rsidR="00E3695C" w:rsidRPr="00E3695C">
        <w:rPr>
          <w:rFonts w:ascii="Verdana" w:hAnsi="Verdana"/>
          <w:sz w:val="20"/>
        </w:rPr>
        <w:t>os argumentos de los representantes</w:t>
      </w:r>
      <w:r w:rsidR="00097592">
        <w:rPr>
          <w:rFonts w:ascii="Verdana" w:hAnsi="Verdana"/>
          <w:sz w:val="20"/>
        </w:rPr>
        <w:t>, ya expuestos, así como los</w:t>
      </w:r>
      <w:r w:rsidR="00E3695C">
        <w:rPr>
          <w:rFonts w:ascii="Verdana" w:hAnsi="Verdana"/>
          <w:sz w:val="20"/>
        </w:rPr>
        <w:t xml:space="preserve"> de la Comisión (</w:t>
      </w:r>
      <w:r w:rsidR="00E3695C">
        <w:rPr>
          <w:rFonts w:ascii="Verdana" w:hAnsi="Verdana"/>
          <w:i/>
          <w:sz w:val="20"/>
        </w:rPr>
        <w:t xml:space="preserve">infra </w:t>
      </w:r>
      <w:r w:rsidR="00097592">
        <w:rPr>
          <w:rFonts w:ascii="Verdana" w:hAnsi="Verdana"/>
          <w:sz w:val="20"/>
        </w:rPr>
        <w:t>Considerandos</w:t>
      </w:r>
      <w:r w:rsidR="00E3695C">
        <w:rPr>
          <w:rFonts w:ascii="Verdana" w:hAnsi="Verdana"/>
          <w:sz w:val="20"/>
        </w:rPr>
        <w:t xml:space="preserve"> </w:t>
      </w:r>
      <w:r w:rsidR="00097592" w:rsidRPr="00D768B8">
        <w:rPr>
          <w:rFonts w:ascii="Verdana" w:hAnsi="Verdana"/>
          <w:sz w:val="20"/>
        </w:rPr>
        <w:t>2</w:t>
      </w:r>
      <w:r w:rsidR="00A41A32" w:rsidRPr="00D768B8">
        <w:rPr>
          <w:rFonts w:ascii="Verdana" w:hAnsi="Verdana"/>
          <w:sz w:val="20"/>
        </w:rPr>
        <w:t>0</w:t>
      </w:r>
      <w:r w:rsidR="00097592" w:rsidRPr="00D768B8">
        <w:rPr>
          <w:rFonts w:ascii="Verdana" w:hAnsi="Verdana"/>
          <w:sz w:val="20"/>
        </w:rPr>
        <w:t xml:space="preserve"> y 2</w:t>
      </w:r>
      <w:r w:rsidR="00A41A32" w:rsidRPr="00D768B8">
        <w:rPr>
          <w:rFonts w:ascii="Verdana" w:hAnsi="Verdana"/>
          <w:sz w:val="20"/>
        </w:rPr>
        <w:t>1</w:t>
      </w:r>
      <w:r w:rsidR="00E3695C" w:rsidRPr="00D768B8">
        <w:rPr>
          <w:rFonts w:ascii="Verdana" w:hAnsi="Verdana"/>
          <w:sz w:val="20"/>
        </w:rPr>
        <w:t xml:space="preserve">) son “ambiguos y genéricos”, </w:t>
      </w:r>
      <w:r w:rsidR="009928D9" w:rsidRPr="00D768B8">
        <w:rPr>
          <w:rFonts w:ascii="Verdana" w:hAnsi="Verdana"/>
          <w:sz w:val="20"/>
        </w:rPr>
        <w:t xml:space="preserve">meras “especulaciones” </w:t>
      </w:r>
      <w:r w:rsidR="00E3695C" w:rsidRPr="00D768B8">
        <w:rPr>
          <w:rFonts w:ascii="Verdana" w:hAnsi="Verdana"/>
          <w:sz w:val="20"/>
        </w:rPr>
        <w:t>que aluden a una supuesta situación general</w:t>
      </w:r>
      <w:r w:rsidR="00EC7C80">
        <w:rPr>
          <w:rFonts w:ascii="Verdana" w:hAnsi="Verdana"/>
          <w:sz w:val="20"/>
        </w:rPr>
        <w:t>,</w:t>
      </w:r>
      <w:r w:rsidR="00E3695C" w:rsidRPr="00D768B8">
        <w:rPr>
          <w:rFonts w:ascii="Verdana" w:hAnsi="Verdana"/>
          <w:sz w:val="20"/>
        </w:rPr>
        <w:t xml:space="preserve"> “sin evidenciar una relación directa o particular respecto a </w:t>
      </w:r>
      <w:r w:rsidR="00EC7C80">
        <w:rPr>
          <w:rFonts w:ascii="Verdana" w:hAnsi="Verdana"/>
          <w:sz w:val="20"/>
        </w:rPr>
        <w:t>[la]</w:t>
      </w:r>
      <w:r w:rsidR="00E3695C" w:rsidRPr="00D768B8">
        <w:rPr>
          <w:rFonts w:ascii="Verdana" w:hAnsi="Verdana"/>
          <w:sz w:val="20"/>
        </w:rPr>
        <w:t xml:space="preserve"> labor vinculada a personas privadas de libertad”. Entendió que los representantes “no aporta[ron] un solo hecho significativo que demuestre o dé evidencias de la existencia de un riesgo real o inminente sobre la vida o integridad del núcleo familiar del señor Humberto Prado”.</w:t>
      </w:r>
      <w:r w:rsidR="00DB4FC6" w:rsidRPr="00D768B8">
        <w:rPr>
          <w:rFonts w:ascii="Verdana" w:hAnsi="Verdana"/>
          <w:sz w:val="20"/>
        </w:rPr>
        <w:t xml:space="preserve"> Venezuela recordó también que</w:t>
      </w:r>
      <w:r w:rsidR="00A919FB">
        <w:rPr>
          <w:rFonts w:ascii="Verdana" w:hAnsi="Verdana"/>
          <w:sz w:val="20"/>
        </w:rPr>
        <w:t>,</w:t>
      </w:r>
      <w:r w:rsidR="00DB4FC6" w:rsidRPr="00D768B8">
        <w:rPr>
          <w:rFonts w:ascii="Verdana" w:hAnsi="Verdana"/>
          <w:sz w:val="20"/>
        </w:rPr>
        <w:t xml:space="preserve"> en noviembre de 2019</w:t>
      </w:r>
      <w:r w:rsidR="00A919FB">
        <w:rPr>
          <w:rFonts w:ascii="Verdana" w:hAnsi="Verdana"/>
          <w:sz w:val="20"/>
        </w:rPr>
        <w:t>,</w:t>
      </w:r>
      <w:r w:rsidR="00DB4FC6" w:rsidRPr="00D768B8">
        <w:rPr>
          <w:rFonts w:ascii="Verdana" w:hAnsi="Verdana"/>
          <w:sz w:val="20"/>
        </w:rPr>
        <w:t xml:space="preserve"> una solicitud similar de los representantes fue rechazada por la Corte (</w:t>
      </w:r>
      <w:r w:rsidR="00DB4FC6" w:rsidRPr="00D768B8">
        <w:rPr>
          <w:rFonts w:ascii="Verdana" w:hAnsi="Verdana"/>
          <w:i/>
          <w:sz w:val="20"/>
        </w:rPr>
        <w:t xml:space="preserve">supra </w:t>
      </w:r>
      <w:r w:rsidR="00DB4FC6" w:rsidRPr="00D768B8">
        <w:rPr>
          <w:rFonts w:ascii="Verdana" w:hAnsi="Verdana"/>
          <w:sz w:val="20"/>
        </w:rPr>
        <w:t xml:space="preserve">Visto </w:t>
      </w:r>
      <w:r w:rsidR="00A41A32" w:rsidRPr="00D768B8">
        <w:rPr>
          <w:rFonts w:ascii="Verdana" w:hAnsi="Verdana"/>
          <w:sz w:val="20"/>
        </w:rPr>
        <w:t>2</w:t>
      </w:r>
      <w:r w:rsidR="00DB4FC6" w:rsidRPr="00D768B8">
        <w:rPr>
          <w:rFonts w:ascii="Verdana" w:hAnsi="Verdana"/>
          <w:sz w:val="20"/>
        </w:rPr>
        <w:t>).</w:t>
      </w:r>
      <w:r w:rsidR="004131C6">
        <w:rPr>
          <w:rFonts w:ascii="Verdana" w:hAnsi="Verdana"/>
          <w:sz w:val="20"/>
        </w:rPr>
        <w:t xml:space="preserve"> Sostuvo que g</w:t>
      </w:r>
      <w:r w:rsidR="004131C6" w:rsidRPr="00886607">
        <w:rPr>
          <w:rFonts w:ascii="Verdana" w:hAnsi="Verdana"/>
          <w:sz w:val="20"/>
        </w:rPr>
        <w:t>ran parte de los hechos citados habrían supuestamente ocurrido entre los años 2014 y principios de 2019, es decir, entre uno y seis años atrás. Además</w:t>
      </w:r>
      <w:r w:rsidR="00860EBF">
        <w:rPr>
          <w:rFonts w:ascii="Verdana" w:hAnsi="Verdana"/>
          <w:sz w:val="20"/>
        </w:rPr>
        <w:t>,</w:t>
      </w:r>
      <w:r w:rsidR="004131C6" w:rsidRPr="00886607">
        <w:rPr>
          <w:rFonts w:ascii="Verdana" w:hAnsi="Verdana"/>
          <w:sz w:val="20"/>
        </w:rPr>
        <w:t xml:space="preserve"> </w:t>
      </w:r>
      <w:r w:rsidR="00860EBF">
        <w:rPr>
          <w:rFonts w:ascii="Verdana" w:hAnsi="Verdana"/>
          <w:sz w:val="20"/>
        </w:rPr>
        <w:t>e</w:t>
      </w:r>
      <w:r w:rsidR="00860EBF" w:rsidRPr="00886607">
        <w:rPr>
          <w:rFonts w:ascii="Verdana" w:hAnsi="Verdana"/>
          <w:sz w:val="20"/>
        </w:rPr>
        <w:t xml:space="preserve">l Estado </w:t>
      </w:r>
      <w:r w:rsidR="004131C6" w:rsidRPr="00886607">
        <w:rPr>
          <w:rFonts w:ascii="Verdana" w:hAnsi="Verdana"/>
          <w:sz w:val="20"/>
        </w:rPr>
        <w:t xml:space="preserve">“[l]lam[ó] la atención” </w:t>
      </w:r>
      <w:r w:rsidR="00860EBF">
        <w:rPr>
          <w:rFonts w:ascii="Verdana" w:hAnsi="Verdana"/>
          <w:sz w:val="20"/>
        </w:rPr>
        <w:t xml:space="preserve">en cuanto a </w:t>
      </w:r>
      <w:r w:rsidR="004131C6" w:rsidRPr="00886607">
        <w:rPr>
          <w:rFonts w:ascii="Verdana" w:hAnsi="Verdana"/>
          <w:sz w:val="20"/>
        </w:rPr>
        <w:t xml:space="preserve">que hechos que supuestamente ocurrieron en 2019, </w:t>
      </w:r>
      <w:r w:rsidR="004131C6">
        <w:rPr>
          <w:rFonts w:ascii="Verdana" w:hAnsi="Verdana"/>
          <w:sz w:val="20"/>
        </w:rPr>
        <w:t xml:space="preserve">como </w:t>
      </w:r>
      <w:r w:rsidR="004131C6" w:rsidRPr="00886607">
        <w:rPr>
          <w:rFonts w:ascii="Verdana" w:hAnsi="Verdana"/>
          <w:sz w:val="20"/>
        </w:rPr>
        <w:t xml:space="preserve">el supuesto hostigamiento policial a la residencia de Humberto Prado el 26 de septiembre de ese año y supuestos actos de intimidación en el </w:t>
      </w:r>
      <w:r w:rsidR="004131C6" w:rsidRPr="00DA4C54">
        <w:rPr>
          <w:rFonts w:ascii="Verdana" w:hAnsi="Verdana"/>
          <w:sz w:val="20"/>
        </w:rPr>
        <w:t>aeropuerto</w:t>
      </w:r>
      <w:r w:rsidR="004131C6">
        <w:rPr>
          <w:rFonts w:ascii="Verdana" w:hAnsi="Verdana"/>
          <w:sz w:val="20"/>
        </w:rPr>
        <w:t xml:space="preserve">, </w:t>
      </w:r>
      <w:r w:rsidR="004131C6" w:rsidRPr="00886607">
        <w:rPr>
          <w:rFonts w:ascii="Verdana" w:hAnsi="Verdana"/>
          <w:sz w:val="20"/>
        </w:rPr>
        <w:t>no hayan sido puestos en conocimien</w:t>
      </w:r>
      <w:r w:rsidR="004131C6">
        <w:rPr>
          <w:rFonts w:ascii="Verdana" w:hAnsi="Verdana"/>
          <w:sz w:val="20"/>
        </w:rPr>
        <w:t>to de la Corte con anterioridad. Expresó también, por otra parte, que l</w:t>
      </w:r>
      <w:r w:rsidR="004131C6" w:rsidRPr="00886607">
        <w:rPr>
          <w:rFonts w:ascii="Verdana" w:hAnsi="Verdana"/>
          <w:sz w:val="20"/>
        </w:rPr>
        <w:t>os representantes incluye</w:t>
      </w:r>
      <w:r w:rsidR="00860EBF">
        <w:rPr>
          <w:rFonts w:ascii="Verdana" w:hAnsi="Verdana"/>
          <w:sz w:val="20"/>
        </w:rPr>
        <w:t>ro</w:t>
      </w:r>
      <w:r w:rsidR="004131C6" w:rsidRPr="00886607">
        <w:rPr>
          <w:rFonts w:ascii="Verdana" w:hAnsi="Verdana"/>
          <w:sz w:val="20"/>
        </w:rPr>
        <w:t>n</w:t>
      </w:r>
      <w:r w:rsidR="00EC7C80">
        <w:rPr>
          <w:rFonts w:ascii="Verdana" w:hAnsi="Verdana"/>
          <w:sz w:val="20"/>
        </w:rPr>
        <w:t>,</w:t>
      </w:r>
      <w:r w:rsidR="004131C6" w:rsidRPr="00886607">
        <w:rPr>
          <w:rFonts w:ascii="Verdana" w:hAnsi="Verdana"/>
          <w:sz w:val="20"/>
        </w:rPr>
        <w:t xml:space="preserve"> como supuestos actos de hostigamiento</w:t>
      </w:r>
      <w:r w:rsidR="00EC7C80">
        <w:rPr>
          <w:rFonts w:ascii="Verdana" w:hAnsi="Verdana"/>
          <w:sz w:val="20"/>
        </w:rPr>
        <w:t>,</w:t>
      </w:r>
      <w:r w:rsidR="004131C6" w:rsidRPr="00886607">
        <w:rPr>
          <w:rFonts w:ascii="Verdana" w:hAnsi="Verdana"/>
          <w:sz w:val="20"/>
        </w:rPr>
        <w:t xml:space="preserve"> publicaciones de medios de comunicación privados sin ningún vínculo con el Estado. </w:t>
      </w:r>
      <w:r w:rsidR="004131C6">
        <w:rPr>
          <w:rFonts w:ascii="Verdana" w:hAnsi="Verdana"/>
          <w:sz w:val="20"/>
        </w:rPr>
        <w:t xml:space="preserve">En relación con </w:t>
      </w:r>
      <w:r w:rsidR="00C64287">
        <w:rPr>
          <w:rFonts w:ascii="Verdana" w:hAnsi="Verdana"/>
          <w:sz w:val="20"/>
        </w:rPr>
        <w:t>el hecho</w:t>
      </w:r>
      <w:r w:rsidR="004131C6">
        <w:rPr>
          <w:rFonts w:ascii="Verdana" w:hAnsi="Verdana"/>
          <w:sz w:val="20"/>
        </w:rPr>
        <w:t xml:space="preserve"> más reciente señalado por los representantes (</w:t>
      </w:r>
      <w:r w:rsidR="004131C6">
        <w:rPr>
          <w:rFonts w:ascii="Verdana" w:hAnsi="Verdana"/>
          <w:i/>
          <w:sz w:val="20"/>
        </w:rPr>
        <w:t xml:space="preserve">supra </w:t>
      </w:r>
      <w:r w:rsidR="004131C6">
        <w:rPr>
          <w:rFonts w:ascii="Verdana" w:hAnsi="Verdana"/>
          <w:sz w:val="20"/>
        </w:rPr>
        <w:t xml:space="preserve">Considerando </w:t>
      </w:r>
      <w:r w:rsidR="00974356">
        <w:rPr>
          <w:rFonts w:ascii="Verdana" w:hAnsi="Verdana"/>
          <w:sz w:val="20"/>
        </w:rPr>
        <w:t>11</w:t>
      </w:r>
      <w:r w:rsidR="004131C6" w:rsidRPr="00D07A7A">
        <w:rPr>
          <w:rFonts w:ascii="Verdana" w:hAnsi="Verdana"/>
          <w:sz w:val="20"/>
        </w:rPr>
        <w:t>)</w:t>
      </w:r>
      <w:r w:rsidR="004131C6">
        <w:rPr>
          <w:rFonts w:ascii="Verdana" w:hAnsi="Verdana"/>
          <w:sz w:val="20"/>
        </w:rPr>
        <w:t xml:space="preserve">, </w:t>
      </w:r>
      <w:r w:rsidR="004131C6" w:rsidRPr="00D07A7A">
        <w:rPr>
          <w:rFonts w:ascii="Verdana" w:hAnsi="Verdana"/>
          <w:sz w:val="20"/>
        </w:rPr>
        <w:t xml:space="preserve">el Estado </w:t>
      </w:r>
      <w:r w:rsidR="004131C6">
        <w:rPr>
          <w:rFonts w:ascii="Verdana" w:hAnsi="Verdana"/>
          <w:sz w:val="20"/>
        </w:rPr>
        <w:t xml:space="preserve">destacó que </w:t>
      </w:r>
      <w:r w:rsidR="004131C6" w:rsidRPr="00D07A7A">
        <w:rPr>
          <w:rFonts w:ascii="Verdana" w:hAnsi="Verdana"/>
          <w:sz w:val="20"/>
        </w:rPr>
        <w:t xml:space="preserve">no tiene relación con la supuesta suspensión de la cuenta de la red social </w:t>
      </w:r>
      <w:r w:rsidR="004131C6" w:rsidRPr="00D07A7A">
        <w:rPr>
          <w:rFonts w:ascii="Verdana" w:hAnsi="Verdana"/>
          <w:i/>
          <w:sz w:val="20"/>
        </w:rPr>
        <w:t>twitter</w:t>
      </w:r>
      <w:r w:rsidR="004131C6" w:rsidRPr="00D07A7A">
        <w:rPr>
          <w:rFonts w:ascii="Verdana" w:hAnsi="Verdana"/>
          <w:sz w:val="20"/>
        </w:rPr>
        <w:t>, que es administrada por empresas privadas ubicadas fuera del territorio de Venezuela y que, en todo caso, es un “absurdo jurídico” que el bloqueo a una red social denote una amenaza a la vida o a</w:t>
      </w:r>
      <w:r w:rsidR="004131C6">
        <w:rPr>
          <w:rFonts w:ascii="Verdana" w:hAnsi="Verdana"/>
          <w:sz w:val="20"/>
        </w:rPr>
        <w:t xml:space="preserve"> </w:t>
      </w:r>
      <w:r w:rsidR="004131C6" w:rsidRPr="00D07A7A">
        <w:rPr>
          <w:rFonts w:ascii="Verdana" w:hAnsi="Verdana"/>
          <w:sz w:val="20"/>
        </w:rPr>
        <w:t xml:space="preserve">la integridad personal. </w:t>
      </w:r>
    </w:p>
    <w:p w14:paraId="3C70237A" w14:textId="77777777" w:rsidR="00DB4FC6" w:rsidRPr="00A41A32" w:rsidRDefault="00DB4FC6" w:rsidP="00A41A32">
      <w:pPr>
        <w:widowControl w:val="0"/>
        <w:autoSpaceDE w:val="0"/>
        <w:autoSpaceDN w:val="0"/>
        <w:adjustRightInd w:val="0"/>
        <w:contextualSpacing/>
        <w:jc w:val="both"/>
        <w:rPr>
          <w:rFonts w:ascii="Verdana" w:hAnsi="Verdana"/>
          <w:sz w:val="20"/>
        </w:rPr>
      </w:pPr>
    </w:p>
    <w:p w14:paraId="350DC5D4" w14:textId="77777777" w:rsidR="004131C6" w:rsidRDefault="004131C6" w:rsidP="00A41A32">
      <w:pPr>
        <w:widowControl w:val="0"/>
        <w:numPr>
          <w:ilvl w:val="0"/>
          <w:numId w:val="46"/>
        </w:numPr>
        <w:autoSpaceDE w:val="0"/>
        <w:autoSpaceDN w:val="0"/>
        <w:adjustRightInd w:val="0"/>
        <w:contextualSpacing/>
        <w:jc w:val="both"/>
        <w:rPr>
          <w:rFonts w:ascii="Verdana" w:hAnsi="Verdana"/>
          <w:sz w:val="20"/>
        </w:rPr>
      </w:pPr>
      <w:r>
        <w:rPr>
          <w:rFonts w:ascii="Verdana" w:hAnsi="Verdana"/>
          <w:sz w:val="20"/>
        </w:rPr>
        <w:t>Venezuela notó que l</w:t>
      </w:r>
      <w:r w:rsidRPr="00D07A7A">
        <w:rPr>
          <w:rFonts w:ascii="Verdana" w:hAnsi="Verdana"/>
          <w:sz w:val="20"/>
        </w:rPr>
        <w:t xml:space="preserve">os representantes solo señalaron dos hechos relacionados con </w:t>
      </w:r>
      <w:r>
        <w:rPr>
          <w:rFonts w:ascii="Verdana" w:hAnsi="Verdana"/>
          <w:sz w:val="20"/>
        </w:rPr>
        <w:t xml:space="preserve">la señora </w:t>
      </w:r>
      <w:r w:rsidR="00974356">
        <w:rPr>
          <w:rFonts w:ascii="Verdana" w:hAnsi="Verdana"/>
          <w:sz w:val="20"/>
        </w:rPr>
        <w:t>Girón, uno de hace más de tres años y ocho</w:t>
      </w:r>
      <w:r w:rsidRPr="00D07A7A">
        <w:rPr>
          <w:rFonts w:ascii="Verdana" w:hAnsi="Verdana"/>
          <w:sz w:val="20"/>
        </w:rPr>
        <w:t xml:space="preserve"> meses (supuestamente ocurrido el 26 de octubre de 2016) y otro de hace </w:t>
      </w:r>
      <w:r w:rsidR="00974356">
        <w:rPr>
          <w:rFonts w:ascii="Verdana" w:hAnsi="Verdana"/>
          <w:sz w:val="20"/>
        </w:rPr>
        <w:t>más de seis meses</w:t>
      </w:r>
      <w:r w:rsidRPr="00D07A7A">
        <w:rPr>
          <w:rFonts w:ascii="Verdana" w:hAnsi="Verdana"/>
          <w:sz w:val="20"/>
        </w:rPr>
        <w:t xml:space="preserve"> (supuestamente</w:t>
      </w:r>
      <w:r>
        <w:rPr>
          <w:rFonts w:ascii="Verdana" w:hAnsi="Verdana"/>
          <w:sz w:val="20"/>
        </w:rPr>
        <w:t xml:space="preserve"> ocurrido en diciembre de 2019), y que</w:t>
      </w:r>
      <w:r w:rsidRPr="00D07A7A">
        <w:rPr>
          <w:rFonts w:ascii="Verdana" w:hAnsi="Verdana"/>
          <w:sz w:val="20"/>
        </w:rPr>
        <w:t xml:space="preserve"> </w:t>
      </w:r>
      <w:r>
        <w:rPr>
          <w:rFonts w:ascii="Verdana" w:hAnsi="Verdana"/>
          <w:sz w:val="20"/>
        </w:rPr>
        <w:t>n</w:t>
      </w:r>
      <w:r w:rsidRPr="00D07A7A">
        <w:rPr>
          <w:rFonts w:ascii="Verdana" w:hAnsi="Verdana"/>
          <w:sz w:val="20"/>
        </w:rPr>
        <w:t>inguno fue comunicado previamente a la Corte ni denunciado.</w:t>
      </w:r>
    </w:p>
    <w:p w14:paraId="6C6B2CEE" w14:textId="77777777" w:rsidR="00D768B8" w:rsidRPr="00A41A32" w:rsidRDefault="00D768B8" w:rsidP="00D768B8">
      <w:pPr>
        <w:widowControl w:val="0"/>
        <w:autoSpaceDE w:val="0"/>
        <w:autoSpaceDN w:val="0"/>
        <w:adjustRightInd w:val="0"/>
        <w:contextualSpacing/>
        <w:jc w:val="both"/>
        <w:rPr>
          <w:rFonts w:ascii="Verdana" w:hAnsi="Verdana"/>
          <w:sz w:val="20"/>
        </w:rPr>
      </w:pPr>
    </w:p>
    <w:p w14:paraId="66A79B46" w14:textId="77777777" w:rsidR="00C42950" w:rsidRPr="00C42950" w:rsidRDefault="00DB4FC6" w:rsidP="00C42950">
      <w:pPr>
        <w:widowControl w:val="0"/>
        <w:numPr>
          <w:ilvl w:val="0"/>
          <w:numId w:val="46"/>
        </w:numPr>
        <w:autoSpaceDE w:val="0"/>
        <w:autoSpaceDN w:val="0"/>
        <w:adjustRightInd w:val="0"/>
        <w:contextualSpacing/>
        <w:jc w:val="both"/>
        <w:rPr>
          <w:rFonts w:ascii="Verdana" w:hAnsi="Verdana"/>
          <w:sz w:val="20"/>
        </w:rPr>
      </w:pPr>
      <w:r>
        <w:rPr>
          <w:rFonts w:ascii="Verdana" w:hAnsi="Verdana"/>
          <w:sz w:val="20"/>
        </w:rPr>
        <w:t>Además, el Estado</w:t>
      </w:r>
      <w:r w:rsidR="0073416D">
        <w:rPr>
          <w:rFonts w:ascii="Verdana" w:hAnsi="Verdana"/>
          <w:sz w:val="20"/>
        </w:rPr>
        <w:t xml:space="preserve"> advirtió que l</w:t>
      </w:r>
      <w:r w:rsidR="0073416D" w:rsidRPr="0073416D">
        <w:rPr>
          <w:rFonts w:ascii="Verdana" w:hAnsi="Verdana"/>
          <w:sz w:val="20"/>
        </w:rPr>
        <w:t xml:space="preserve">a alegada situación de riesgo </w:t>
      </w:r>
      <w:r w:rsidR="0073416D">
        <w:rPr>
          <w:rFonts w:ascii="Verdana" w:hAnsi="Verdana"/>
          <w:sz w:val="20"/>
        </w:rPr>
        <w:t xml:space="preserve">aducida por los representantes </w:t>
      </w:r>
      <w:r w:rsidR="0073416D" w:rsidRPr="0073416D">
        <w:rPr>
          <w:rFonts w:ascii="Verdana" w:hAnsi="Verdana"/>
          <w:sz w:val="20"/>
        </w:rPr>
        <w:t xml:space="preserve">tendría relación con la función asumida por Humberto Prado como </w:t>
      </w:r>
      <w:r w:rsidR="0073416D">
        <w:rPr>
          <w:rFonts w:ascii="Verdana" w:hAnsi="Verdana"/>
          <w:sz w:val="20"/>
        </w:rPr>
        <w:t>“</w:t>
      </w:r>
      <w:r w:rsidR="0073416D" w:rsidRPr="0073416D">
        <w:rPr>
          <w:rFonts w:ascii="Verdana" w:hAnsi="Verdana"/>
          <w:sz w:val="20"/>
        </w:rPr>
        <w:t>Comisionado Presidencial</w:t>
      </w:r>
      <w:r w:rsidR="0073416D">
        <w:rPr>
          <w:rFonts w:ascii="Verdana" w:hAnsi="Verdana"/>
          <w:sz w:val="20"/>
        </w:rPr>
        <w:t>”</w:t>
      </w:r>
      <w:r w:rsidR="0073416D" w:rsidRPr="0073416D">
        <w:rPr>
          <w:rFonts w:ascii="Verdana" w:hAnsi="Verdana"/>
          <w:sz w:val="20"/>
        </w:rPr>
        <w:t xml:space="preserve"> (</w:t>
      </w:r>
      <w:r w:rsidR="009928D9">
        <w:rPr>
          <w:rFonts w:ascii="Verdana" w:hAnsi="Verdana"/>
          <w:i/>
          <w:sz w:val="20"/>
        </w:rPr>
        <w:t xml:space="preserve">supra </w:t>
      </w:r>
      <w:r w:rsidR="009928D9">
        <w:rPr>
          <w:rFonts w:ascii="Verdana" w:hAnsi="Verdana"/>
          <w:sz w:val="20"/>
        </w:rPr>
        <w:t xml:space="preserve">Considerando </w:t>
      </w:r>
      <w:r w:rsidR="00D768B8">
        <w:rPr>
          <w:rFonts w:ascii="Verdana" w:hAnsi="Verdana"/>
          <w:sz w:val="20"/>
        </w:rPr>
        <w:t>9</w:t>
      </w:r>
      <w:r w:rsidR="009928D9">
        <w:rPr>
          <w:rFonts w:ascii="Verdana" w:hAnsi="Verdana"/>
          <w:sz w:val="20"/>
        </w:rPr>
        <w:t>)</w:t>
      </w:r>
      <w:r w:rsidR="0073416D" w:rsidRPr="0073416D">
        <w:rPr>
          <w:rFonts w:ascii="Verdana" w:hAnsi="Verdana"/>
          <w:sz w:val="20"/>
        </w:rPr>
        <w:t xml:space="preserve">, </w:t>
      </w:r>
      <w:r w:rsidR="0073416D">
        <w:rPr>
          <w:rFonts w:ascii="Verdana" w:hAnsi="Verdana"/>
          <w:sz w:val="20"/>
        </w:rPr>
        <w:t xml:space="preserve">y ello </w:t>
      </w:r>
      <w:r w:rsidR="0073416D" w:rsidRPr="0073416D">
        <w:rPr>
          <w:rFonts w:ascii="Verdana" w:hAnsi="Verdana"/>
          <w:sz w:val="20"/>
        </w:rPr>
        <w:t xml:space="preserve">no tiene relación con el trabajo respecto a personas privadas de la libertad. </w:t>
      </w:r>
      <w:r w:rsidR="009928D9">
        <w:rPr>
          <w:rFonts w:ascii="Verdana" w:hAnsi="Verdana"/>
          <w:sz w:val="20"/>
        </w:rPr>
        <w:t xml:space="preserve">Agregó </w:t>
      </w:r>
      <w:r w:rsidR="00C42950">
        <w:rPr>
          <w:rFonts w:ascii="Verdana" w:hAnsi="Verdana"/>
          <w:sz w:val="20"/>
        </w:rPr>
        <w:t xml:space="preserve">que </w:t>
      </w:r>
      <w:r w:rsidR="00C42950" w:rsidRPr="00C42950">
        <w:rPr>
          <w:rFonts w:ascii="Verdana" w:hAnsi="Verdana"/>
          <w:sz w:val="20"/>
        </w:rPr>
        <w:t xml:space="preserve">las medidas provisionales otorgadas a favor de Humberto Prado se han “desnaturalizado”: fueron otorgadas hace más de 10 años, y el señor Prado ya no ejerce su rol de representante de personas beneficiarias privadas de la libertad, pues ya no se desempeña en el Observatorio Venezolano de Prisiones. </w:t>
      </w:r>
    </w:p>
    <w:p w14:paraId="46FCAD29" w14:textId="77777777" w:rsidR="00C42950" w:rsidRDefault="00C42950" w:rsidP="0073416D">
      <w:pPr>
        <w:pStyle w:val="Listavistosa-nfasis11"/>
        <w:rPr>
          <w:rFonts w:ascii="Verdana" w:hAnsi="Verdana"/>
          <w:sz w:val="20"/>
        </w:rPr>
      </w:pPr>
    </w:p>
    <w:p w14:paraId="668BEAD7" w14:textId="77777777" w:rsidR="0073416D" w:rsidRPr="0073416D" w:rsidRDefault="0073416D" w:rsidP="0073416D">
      <w:pPr>
        <w:widowControl w:val="0"/>
        <w:numPr>
          <w:ilvl w:val="0"/>
          <w:numId w:val="46"/>
        </w:numPr>
        <w:autoSpaceDE w:val="0"/>
        <w:autoSpaceDN w:val="0"/>
        <w:adjustRightInd w:val="0"/>
        <w:contextualSpacing/>
        <w:jc w:val="both"/>
        <w:rPr>
          <w:rFonts w:ascii="Verdana" w:hAnsi="Verdana"/>
          <w:sz w:val="20"/>
        </w:rPr>
      </w:pPr>
      <w:r>
        <w:rPr>
          <w:rFonts w:ascii="Verdana" w:hAnsi="Verdana"/>
          <w:sz w:val="20"/>
        </w:rPr>
        <w:t xml:space="preserve">Venezuela consideró, entonces, que </w:t>
      </w:r>
      <w:r w:rsidRPr="0073416D">
        <w:rPr>
          <w:rFonts w:ascii="Verdana" w:hAnsi="Verdana"/>
          <w:sz w:val="20"/>
        </w:rPr>
        <w:t>“</w:t>
      </w:r>
      <w:r>
        <w:rPr>
          <w:rFonts w:ascii="Verdana" w:hAnsi="Verdana"/>
          <w:sz w:val="20"/>
        </w:rPr>
        <w:t>[l]</w:t>
      </w:r>
      <w:r w:rsidRPr="0073416D">
        <w:rPr>
          <w:rFonts w:ascii="Verdana" w:hAnsi="Verdana"/>
          <w:sz w:val="20"/>
        </w:rPr>
        <w:t>o que se pretende es que la Corte brinde protección al grupo familiar de un ciudadano, por las consecuencias que pudiera generar el ejercicio de un supuesto cargo en un Poder Ejecutivo inexistente o imaginario, lo cual claramente excede la naturaleza de las presentes medidas provisionales</w:t>
      </w:r>
      <w:r w:rsidRPr="0073416D">
        <w:rPr>
          <w:rFonts w:ascii="Verdana" w:eastAsia="Calibri" w:hAnsi="Verdana"/>
          <w:spacing w:val="30"/>
          <w:sz w:val="20"/>
        </w:rPr>
        <w:t>”</w:t>
      </w:r>
      <w:r w:rsidR="009928D9">
        <w:rPr>
          <w:rFonts w:ascii="Verdana" w:eastAsia="Calibri" w:hAnsi="Verdana"/>
          <w:spacing w:val="30"/>
          <w:sz w:val="20"/>
        </w:rPr>
        <w:t xml:space="preserve">. </w:t>
      </w:r>
      <w:r w:rsidRPr="0073416D">
        <w:rPr>
          <w:rFonts w:ascii="Verdana" w:hAnsi="Verdana"/>
          <w:sz w:val="20"/>
        </w:rPr>
        <w:t>Además, Venezuela negó que exista una política de persecución contra la disidencia política.</w:t>
      </w:r>
    </w:p>
    <w:p w14:paraId="20BD17FE" w14:textId="77777777" w:rsidR="00D07A7A" w:rsidRDefault="00D07A7A" w:rsidP="00A41A32">
      <w:pPr>
        <w:pStyle w:val="Listavistosa-nfasis11"/>
        <w:ind w:left="0"/>
        <w:rPr>
          <w:rFonts w:ascii="Verdana" w:hAnsi="Verdana"/>
          <w:sz w:val="20"/>
        </w:rPr>
      </w:pPr>
    </w:p>
    <w:p w14:paraId="114E359B" w14:textId="77777777" w:rsidR="00886607" w:rsidRDefault="009928D9" w:rsidP="00736656">
      <w:pPr>
        <w:widowControl w:val="0"/>
        <w:numPr>
          <w:ilvl w:val="0"/>
          <w:numId w:val="46"/>
        </w:numPr>
        <w:autoSpaceDE w:val="0"/>
        <w:autoSpaceDN w:val="0"/>
        <w:adjustRightInd w:val="0"/>
        <w:contextualSpacing/>
        <w:jc w:val="both"/>
        <w:rPr>
          <w:rFonts w:ascii="Verdana" w:hAnsi="Verdana"/>
          <w:sz w:val="20"/>
        </w:rPr>
      </w:pPr>
      <w:r>
        <w:rPr>
          <w:rFonts w:ascii="Verdana" w:hAnsi="Verdana"/>
          <w:sz w:val="20"/>
        </w:rPr>
        <w:t xml:space="preserve">Por otra parte, </w:t>
      </w:r>
      <w:r w:rsidR="00A4565F">
        <w:rPr>
          <w:rFonts w:ascii="Verdana" w:hAnsi="Verdana"/>
          <w:sz w:val="20"/>
        </w:rPr>
        <w:t xml:space="preserve">el Estado </w:t>
      </w:r>
      <w:r w:rsidR="00D07A7A">
        <w:rPr>
          <w:rFonts w:ascii="Verdana" w:hAnsi="Verdana"/>
          <w:sz w:val="20"/>
        </w:rPr>
        <w:t xml:space="preserve">resaltó </w:t>
      </w:r>
      <w:r w:rsidR="00A4565F">
        <w:rPr>
          <w:rFonts w:ascii="Verdana" w:hAnsi="Verdana"/>
          <w:sz w:val="20"/>
        </w:rPr>
        <w:t xml:space="preserve">que </w:t>
      </w:r>
      <w:r w:rsidR="00084A56">
        <w:rPr>
          <w:rFonts w:ascii="Verdana" w:hAnsi="Verdana"/>
          <w:sz w:val="20"/>
        </w:rPr>
        <w:t>l</w:t>
      </w:r>
      <w:r w:rsidR="00A4565F" w:rsidRPr="00A4565F">
        <w:rPr>
          <w:rFonts w:ascii="Verdana" w:hAnsi="Verdana"/>
          <w:sz w:val="20"/>
        </w:rPr>
        <w:t>a Comisión no asumió como propio en forma expresa el requerimiento de ampliación de las medidas, efectuado por los representantes</w:t>
      </w:r>
      <w:r w:rsidR="00A4565F">
        <w:rPr>
          <w:rFonts w:ascii="Verdana" w:hAnsi="Verdana"/>
          <w:sz w:val="20"/>
        </w:rPr>
        <w:t>. Más allá de eso, se refirió a la</w:t>
      </w:r>
      <w:r w:rsidR="008419AE">
        <w:rPr>
          <w:rFonts w:ascii="Verdana" w:hAnsi="Verdana"/>
          <w:sz w:val="20"/>
        </w:rPr>
        <w:t>s</w:t>
      </w:r>
      <w:r w:rsidR="00A4565F">
        <w:rPr>
          <w:rFonts w:ascii="Verdana" w:hAnsi="Verdana"/>
          <w:sz w:val="20"/>
        </w:rPr>
        <w:t xml:space="preserve"> consideraciones expresadas por la Comisión (</w:t>
      </w:r>
      <w:r w:rsidR="00A4565F">
        <w:rPr>
          <w:rFonts w:ascii="Verdana" w:hAnsi="Verdana"/>
          <w:i/>
          <w:sz w:val="20"/>
        </w:rPr>
        <w:t xml:space="preserve">infra </w:t>
      </w:r>
      <w:r w:rsidR="00A4565F">
        <w:rPr>
          <w:rFonts w:ascii="Verdana" w:hAnsi="Verdana"/>
          <w:sz w:val="20"/>
        </w:rPr>
        <w:t>Considerando</w:t>
      </w:r>
      <w:r w:rsidR="00097592">
        <w:rPr>
          <w:rFonts w:ascii="Verdana" w:hAnsi="Verdana"/>
          <w:sz w:val="20"/>
        </w:rPr>
        <w:t>s</w:t>
      </w:r>
      <w:r w:rsidR="00A4565F">
        <w:rPr>
          <w:rFonts w:ascii="Verdana" w:hAnsi="Verdana"/>
          <w:sz w:val="20"/>
        </w:rPr>
        <w:t xml:space="preserve"> </w:t>
      </w:r>
      <w:r w:rsidR="00D768B8" w:rsidRPr="00D768B8">
        <w:rPr>
          <w:rFonts w:ascii="Verdana" w:hAnsi="Verdana"/>
          <w:sz w:val="20"/>
        </w:rPr>
        <w:t>20</w:t>
      </w:r>
      <w:r w:rsidR="00097592" w:rsidRPr="00D768B8">
        <w:rPr>
          <w:rFonts w:ascii="Verdana" w:hAnsi="Verdana"/>
          <w:sz w:val="20"/>
        </w:rPr>
        <w:t xml:space="preserve"> y 2</w:t>
      </w:r>
      <w:r w:rsidR="00D768B8" w:rsidRPr="00D768B8">
        <w:rPr>
          <w:rFonts w:ascii="Verdana" w:hAnsi="Verdana"/>
          <w:sz w:val="20"/>
        </w:rPr>
        <w:t>1</w:t>
      </w:r>
      <w:r w:rsidR="00A4565F" w:rsidRPr="00D768B8">
        <w:rPr>
          <w:rFonts w:ascii="Verdana" w:hAnsi="Verdana"/>
          <w:sz w:val="20"/>
        </w:rPr>
        <w:t>)</w:t>
      </w:r>
      <w:r w:rsidR="00A4565F">
        <w:rPr>
          <w:rFonts w:ascii="Verdana" w:hAnsi="Verdana"/>
          <w:sz w:val="20"/>
        </w:rPr>
        <w:t xml:space="preserve">, expresando que las mismas: a) </w:t>
      </w:r>
      <w:r w:rsidR="00A4565F" w:rsidRPr="00A4565F">
        <w:rPr>
          <w:rFonts w:ascii="Verdana" w:hAnsi="Verdana"/>
          <w:sz w:val="20"/>
        </w:rPr>
        <w:t>se circunscriben a una “supuesta situación con[textual] general, sin aportar un solo hecho significativo” que evidencie un riesgo sob</w:t>
      </w:r>
      <w:r w:rsidR="00A4565F">
        <w:rPr>
          <w:rFonts w:ascii="Verdana" w:hAnsi="Verdana"/>
          <w:sz w:val="20"/>
        </w:rPr>
        <w:t>re la familia de Humberto Prado; b) se refieren a la situación de dirigentes sociales y políticos que no tiene relación con Humberto Prado</w:t>
      </w:r>
      <w:r w:rsidR="00EC7C80">
        <w:rPr>
          <w:rFonts w:ascii="Verdana" w:hAnsi="Verdana"/>
          <w:sz w:val="20"/>
        </w:rPr>
        <w:t>,</w:t>
      </w:r>
      <w:r w:rsidR="00A4565F">
        <w:rPr>
          <w:rFonts w:ascii="Verdana" w:hAnsi="Verdana"/>
          <w:sz w:val="20"/>
        </w:rPr>
        <w:t xml:space="preserve"> y c) </w:t>
      </w:r>
      <w:r w:rsidR="00A4565F" w:rsidRPr="00A4565F">
        <w:rPr>
          <w:rFonts w:ascii="Verdana" w:hAnsi="Verdana"/>
          <w:sz w:val="20"/>
        </w:rPr>
        <w:t>no exp</w:t>
      </w:r>
      <w:r w:rsidR="00A4565F">
        <w:rPr>
          <w:rFonts w:ascii="Verdana" w:hAnsi="Verdana"/>
          <w:sz w:val="20"/>
        </w:rPr>
        <w:t>onen</w:t>
      </w:r>
      <w:r w:rsidR="00A4565F" w:rsidRPr="00A4565F">
        <w:rPr>
          <w:rFonts w:ascii="Verdana" w:hAnsi="Verdana"/>
          <w:sz w:val="20"/>
        </w:rPr>
        <w:t xml:space="preserve"> ninguna situación de amenaza, agresión o limitación de derechos que afecte a Humberto Prado o al OVP</w:t>
      </w:r>
      <w:r w:rsidR="00A4565F">
        <w:rPr>
          <w:rFonts w:ascii="Verdana" w:hAnsi="Verdana"/>
          <w:sz w:val="20"/>
        </w:rPr>
        <w:t xml:space="preserve">, pese a la actividad de monitoreo que realiza la Comisión sobre el país. </w:t>
      </w:r>
    </w:p>
    <w:p w14:paraId="006B35FB" w14:textId="77777777" w:rsidR="00D07A7A" w:rsidRDefault="00D07A7A" w:rsidP="00A41A32">
      <w:pPr>
        <w:pStyle w:val="Listavistosa-nfasis11"/>
        <w:ind w:left="0"/>
        <w:rPr>
          <w:rFonts w:ascii="Verdana" w:hAnsi="Verdana"/>
          <w:sz w:val="20"/>
        </w:rPr>
      </w:pPr>
    </w:p>
    <w:p w14:paraId="2C029A47" w14:textId="77777777" w:rsidR="00D07A7A" w:rsidRDefault="00D07A7A" w:rsidP="00D07A7A">
      <w:pPr>
        <w:pStyle w:val="Listavistosa-nfasis11"/>
        <w:numPr>
          <w:ilvl w:val="0"/>
          <w:numId w:val="46"/>
        </w:numPr>
        <w:contextualSpacing/>
        <w:jc w:val="both"/>
        <w:rPr>
          <w:rFonts w:ascii="Verdana" w:hAnsi="Verdana"/>
          <w:sz w:val="20"/>
        </w:rPr>
      </w:pPr>
      <w:r w:rsidRPr="00B9070C">
        <w:rPr>
          <w:rFonts w:ascii="Verdana" w:hAnsi="Verdana"/>
          <w:sz w:val="20"/>
        </w:rPr>
        <w:t xml:space="preserve">El Estado </w:t>
      </w:r>
      <w:r>
        <w:rPr>
          <w:rFonts w:ascii="Verdana" w:hAnsi="Verdana"/>
          <w:sz w:val="20"/>
        </w:rPr>
        <w:t xml:space="preserve">aseveró que </w:t>
      </w:r>
      <w:r w:rsidRPr="00B9070C">
        <w:rPr>
          <w:rFonts w:ascii="Verdana" w:hAnsi="Verdana"/>
          <w:sz w:val="20"/>
        </w:rPr>
        <w:t>respeta plenamente la</w:t>
      </w:r>
      <w:r>
        <w:rPr>
          <w:rFonts w:ascii="Verdana" w:hAnsi="Verdana"/>
          <w:sz w:val="20"/>
        </w:rPr>
        <w:t xml:space="preserve"> </w:t>
      </w:r>
      <w:r w:rsidRPr="00B9070C">
        <w:rPr>
          <w:rFonts w:ascii="Verdana" w:hAnsi="Verdana"/>
          <w:sz w:val="20"/>
        </w:rPr>
        <w:t>opinión política y el derecho a participar en actividades políticas del señor Humberto</w:t>
      </w:r>
      <w:r>
        <w:rPr>
          <w:rFonts w:ascii="Verdana" w:hAnsi="Verdana"/>
          <w:sz w:val="20"/>
        </w:rPr>
        <w:t xml:space="preserve"> </w:t>
      </w:r>
      <w:r w:rsidRPr="00B9070C">
        <w:rPr>
          <w:rFonts w:ascii="Verdana" w:hAnsi="Verdana"/>
          <w:sz w:val="20"/>
        </w:rPr>
        <w:t xml:space="preserve">Prado, pero </w:t>
      </w:r>
      <w:r>
        <w:rPr>
          <w:rFonts w:ascii="Verdana" w:hAnsi="Verdana"/>
          <w:sz w:val="20"/>
        </w:rPr>
        <w:t xml:space="preserve">que </w:t>
      </w:r>
      <w:r w:rsidRPr="00B9070C">
        <w:rPr>
          <w:rFonts w:ascii="Verdana" w:hAnsi="Verdana"/>
          <w:sz w:val="20"/>
        </w:rPr>
        <w:t xml:space="preserve">rechaza que las medidas provisionales </w:t>
      </w:r>
      <w:r w:rsidR="00E15E71">
        <w:rPr>
          <w:rFonts w:ascii="Verdana" w:hAnsi="Verdana"/>
          <w:sz w:val="20"/>
        </w:rPr>
        <w:t>“</w:t>
      </w:r>
      <w:r w:rsidRPr="00B9070C">
        <w:rPr>
          <w:rFonts w:ascii="Verdana" w:hAnsi="Verdana"/>
          <w:sz w:val="20"/>
        </w:rPr>
        <w:t>sean utilizadas para beneficio</w:t>
      </w:r>
      <w:r>
        <w:rPr>
          <w:rFonts w:ascii="Verdana" w:hAnsi="Verdana"/>
          <w:sz w:val="20"/>
        </w:rPr>
        <w:t xml:space="preserve"> </w:t>
      </w:r>
      <w:r w:rsidRPr="00B9070C">
        <w:rPr>
          <w:rFonts w:ascii="Verdana" w:hAnsi="Verdana"/>
          <w:sz w:val="20"/>
        </w:rPr>
        <w:t>personal, en circunstancias que nada tienen que ver con la representación de las</w:t>
      </w:r>
      <w:r>
        <w:rPr>
          <w:rFonts w:ascii="Verdana" w:hAnsi="Verdana"/>
          <w:sz w:val="20"/>
        </w:rPr>
        <w:t xml:space="preserve"> </w:t>
      </w:r>
      <w:r w:rsidRPr="00B9070C">
        <w:rPr>
          <w:rFonts w:ascii="Verdana" w:hAnsi="Verdana"/>
          <w:sz w:val="20"/>
        </w:rPr>
        <w:t>personas privadas de libertad, incurriendo así en un claro abuso de derecho</w:t>
      </w:r>
      <w:r>
        <w:rPr>
          <w:rFonts w:ascii="Verdana" w:hAnsi="Verdana"/>
          <w:sz w:val="20"/>
        </w:rPr>
        <w:t xml:space="preserve">”. Afirmó también que </w:t>
      </w:r>
      <w:r w:rsidRPr="00D07A7A">
        <w:rPr>
          <w:rFonts w:ascii="Verdana" w:hAnsi="Verdana"/>
          <w:sz w:val="20"/>
        </w:rPr>
        <w:t>“</w:t>
      </w:r>
      <w:r>
        <w:rPr>
          <w:rFonts w:ascii="Verdana" w:hAnsi="Verdana"/>
          <w:sz w:val="20"/>
        </w:rPr>
        <w:t>l</w:t>
      </w:r>
      <w:r w:rsidRPr="00D07A7A">
        <w:rPr>
          <w:rFonts w:ascii="Verdana" w:hAnsi="Verdana"/>
          <w:sz w:val="20"/>
        </w:rPr>
        <w:t>a alegada situación de riesgo de la señora Beatriz Girón es inexistente”.</w:t>
      </w:r>
      <w:r>
        <w:rPr>
          <w:rFonts w:ascii="Verdana" w:hAnsi="Verdana"/>
          <w:sz w:val="20"/>
        </w:rPr>
        <w:t xml:space="preserve"> </w:t>
      </w:r>
      <w:r w:rsidRPr="00D07A7A">
        <w:rPr>
          <w:rFonts w:ascii="Verdana" w:hAnsi="Verdana"/>
          <w:sz w:val="20"/>
        </w:rPr>
        <w:t xml:space="preserve">Venezuela solicitó la desestimación de la solicitud de ampliación de medidas provisionales presentada por los representantes. Además, </w:t>
      </w:r>
      <w:r>
        <w:rPr>
          <w:rFonts w:ascii="Verdana" w:hAnsi="Verdana"/>
          <w:sz w:val="20"/>
        </w:rPr>
        <w:t>requirió que</w:t>
      </w:r>
      <w:r w:rsidRPr="00D07A7A">
        <w:rPr>
          <w:rFonts w:ascii="Verdana" w:hAnsi="Verdana"/>
          <w:sz w:val="20"/>
        </w:rPr>
        <w:t xml:space="preserve"> “las medidas provisionales dictadas a favor del señor Humberto Prado </w:t>
      </w:r>
      <w:r w:rsidR="00AF2A71">
        <w:rPr>
          <w:rFonts w:ascii="Verdana" w:hAnsi="Verdana"/>
          <w:sz w:val="20"/>
        </w:rPr>
        <w:t>[sean]</w:t>
      </w:r>
      <w:r w:rsidRPr="00D07A7A">
        <w:rPr>
          <w:rFonts w:ascii="Verdana" w:hAnsi="Verdana"/>
          <w:sz w:val="20"/>
        </w:rPr>
        <w:t xml:space="preserve"> levantadas”.</w:t>
      </w:r>
    </w:p>
    <w:p w14:paraId="7AE56331" w14:textId="77777777" w:rsidR="00D07A7A" w:rsidRDefault="00D07A7A" w:rsidP="00D07A7A">
      <w:pPr>
        <w:pStyle w:val="Listavistosa-nfasis11"/>
        <w:rPr>
          <w:rFonts w:ascii="Verdana" w:hAnsi="Verdana"/>
          <w:sz w:val="20"/>
        </w:rPr>
      </w:pPr>
    </w:p>
    <w:p w14:paraId="4D1B4C7E" w14:textId="77777777" w:rsidR="00F35F44" w:rsidRDefault="00D07A7A" w:rsidP="00F35F44">
      <w:pPr>
        <w:pStyle w:val="Listavistosa-nfasis11"/>
        <w:numPr>
          <w:ilvl w:val="0"/>
          <w:numId w:val="46"/>
        </w:numPr>
        <w:contextualSpacing/>
        <w:jc w:val="both"/>
        <w:rPr>
          <w:rFonts w:ascii="Verdana" w:hAnsi="Verdana"/>
          <w:sz w:val="20"/>
        </w:rPr>
      </w:pPr>
      <w:r>
        <w:rPr>
          <w:rFonts w:ascii="Verdana" w:hAnsi="Verdana"/>
          <w:sz w:val="20"/>
        </w:rPr>
        <w:t xml:space="preserve">La </w:t>
      </w:r>
      <w:r w:rsidRPr="00D07A7A">
        <w:rPr>
          <w:rFonts w:ascii="Verdana" w:hAnsi="Verdana"/>
          <w:b/>
          <w:i/>
          <w:sz w:val="20"/>
        </w:rPr>
        <w:t>Comisión</w:t>
      </w:r>
      <w:r w:rsidR="00F35F44">
        <w:rPr>
          <w:rFonts w:ascii="Verdana" w:hAnsi="Verdana"/>
          <w:sz w:val="20"/>
        </w:rPr>
        <w:t xml:space="preserve"> </w:t>
      </w:r>
      <w:r w:rsidR="00F35F44" w:rsidRPr="00F35F44">
        <w:rPr>
          <w:rFonts w:ascii="Verdana" w:hAnsi="Verdana"/>
          <w:sz w:val="20"/>
          <w:szCs w:val="20"/>
        </w:rPr>
        <w:t>consideró que</w:t>
      </w:r>
      <w:r w:rsidR="00650BE5">
        <w:rPr>
          <w:rFonts w:ascii="Verdana" w:hAnsi="Verdana"/>
          <w:sz w:val="20"/>
          <w:szCs w:val="20"/>
        </w:rPr>
        <w:t>,</w:t>
      </w:r>
      <w:r w:rsidR="00DE1D6A" w:rsidRPr="00F35F44">
        <w:rPr>
          <w:rFonts w:ascii="Verdana" w:hAnsi="Verdana"/>
          <w:sz w:val="20"/>
          <w:szCs w:val="20"/>
        </w:rPr>
        <w:t xml:space="preserve"> “en la medida en que [Humberto Prado] continúa realizando actividades en defensa de los derechos humanos en general, y no solo sobre personas privadas de libertad en Venezuela, su situación de riesgo extremo sigue vigente</w:t>
      </w:r>
      <w:r w:rsidR="00F35F44" w:rsidRPr="00F35F44">
        <w:rPr>
          <w:rFonts w:ascii="Verdana" w:hAnsi="Verdana"/>
          <w:sz w:val="20"/>
          <w:szCs w:val="20"/>
        </w:rPr>
        <w:t>”</w:t>
      </w:r>
      <w:r w:rsidR="00DE1D6A" w:rsidRPr="00F35F44">
        <w:rPr>
          <w:rFonts w:ascii="Verdana" w:hAnsi="Verdana"/>
          <w:sz w:val="20"/>
          <w:szCs w:val="20"/>
        </w:rPr>
        <w:t xml:space="preserve">. </w:t>
      </w:r>
      <w:r w:rsidR="00F35F44" w:rsidRPr="00F35F44">
        <w:rPr>
          <w:rFonts w:ascii="Verdana" w:hAnsi="Verdana"/>
          <w:sz w:val="20"/>
          <w:szCs w:val="20"/>
        </w:rPr>
        <w:t xml:space="preserve">Al respecto, adujo que resulta “razonable” asumir la continuidad de dicha situación “dado el rol que tendría actualmente el beneficiario, así como su alta </w:t>
      </w:r>
      <w:proofErr w:type="gramStart"/>
      <w:r w:rsidR="00F35F44" w:rsidRPr="00F35F44">
        <w:rPr>
          <w:rFonts w:ascii="Verdana" w:hAnsi="Verdana"/>
          <w:sz w:val="20"/>
          <w:szCs w:val="20"/>
        </w:rPr>
        <w:t>visibilidad[</w:t>
      </w:r>
      <w:proofErr w:type="gramEnd"/>
      <w:r w:rsidR="00F35F44" w:rsidRPr="00F35F44">
        <w:rPr>
          <w:rFonts w:ascii="Verdana" w:hAnsi="Verdana"/>
          <w:sz w:val="20"/>
          <w:szCs w:val="20"/>
        </w:rPr>
        <w:t xml:space="preserve">, y que i]ncluso, es posible afirmar que la situación del beneficiario se ha agudizado aún más dada su cercanía al señor Juan Guaidó (beneficiario de medidas cautelares por la Comisión), quien actualmente sería la figura más visible de la oposición política en Venezuela”. </w:t>
      </w:r>
      <w:r w:rsidR="00547FF5">
        <w:rPr>
          <w:rFonts w:ascii="Verdana" w:hAnsi="Verdana"/>
          <w:sz w:val="20"/>
          <w:szCs w:val="20"/>
        </w:rPr>
        <w:t>L</w:t>
      </w:r>
      <w:r w:rsidR="00547FF5" w:rsidRPr="00F35F44">
        <w:rPr>
          <w:rFonts w:ascii="Verdana" w:hAnsi="Verdana"/>
          <w:sz w:val="20"/>
          <w:szCs w:val="20"/>
        </w:rPr>
        <w:t xml:space="preserve">a Comisión </w:t>
      </w:r>
      <w:r w:rsidR="00547FF5">
        <w:rPr>
          <w:rFonts w:ascii="Verdana" w:hAnsi="Verdana"/>
          <w:sz w:val="20"/>
          <w:szCs w:val="20"/>
        </w:rPr>
        <w:t xml:space="preserve">sostuvo </w:t>
      </w:r>
      <w:r w:rsidR="00F35F44" w:rsidRPr="00F35F44">
        <w:rPr>
          <w:rFonts w:ascii="Verdana" w:hAnsi="Verdana"/>
          <w:sz w:val="20"/>
          <w:szCs w:val="20"/>
        </w:rPr>
        <w:t xml:space="preserve">que los </w:t>
      </w:r>
      <w:r w:rsidR="00DE1D6A" w:rsidRPr="00F35F44">
        <w:rPr>
          <w:rFonts w:ascii="Verdana" w:hAnsi="Verdana"/>
          <w:sz w:val="20"/>
          <w:szCs w:val="20"/>
        </w:rPr>
        <w:t>familiares</w:t>
      </w:r>
      <w:r w:rsidR="00F35F44" w:rsidRPr="00F35F44">
        <w:rPr>
          <w:rFonts w:ascii="Verdana" w:hAnsi="Verdana"/>
          <w:sz w:val="20"/>
          <w:szCs w:val="20"/>
        </w:rPr>
        <w:t xml:space="preserve"> del señor Prado</w:t>
      </w:r>
      <w:r w:rsidR="00DE1D6A" w:rsidRPr="00F35F44">
        <w:rPr>
          <w:rFonts w:ascii="Verdana" w:hAnsi="Verdana"/>
          <w:sz w:val="20"/>
          <w:szCs w:val="20"/>
        </w:rPr>
        <w:t xml:space="preserve"> </w:t>
      </w:r>
      <w:r w:rsidR="00F35F44" w:rsidRPr="00F35F44">
        <w:rPr>
          <w:rFonts w:ascii="Verdana" w:hAnsi="Verdana"/>
          <w:sz w:val="20"/>
          <w:szCs w:val="20"/>
        </w:rPr>
        <w:t>“</w:t>
      </w:r>
      <w:r w:rsidR="00DE1D6A" w:rsidRPr="00F35F44">
        <w:rPr>
          <w:rFonts w:ascii="Verdana" w:hAnsi="Verdana"/>
          <w:sz w:val="20"/>
          <w:szCs w:val="20"/>
        </w:rPr>
        <w:t>resultan particularmente expuestos y pueden ser obje</w:t>
      </w:r>
      <w:r w:rsidR="00F35F44" w:rsidRPr="00F35F44">
        <w:rPr>
          <w:rFonts w:ascii="Verdana" w:hAnsi="Verdana"/>
          <w:sz w:val="20"/>
          <w:szCs w:val="20"/>
        </w:rPr>
        <w:t>to de represalias en su contra”, y que dichos</w:t>
      </w:r>
      <w:r w:rsidR="00DE1D6A" w:rsidRPr="00F35F44">
        <w:rPr>
          <w:rFonts w:ascii="Verdana" w:hAnsi="Verdana"/>
          <w:sz w:val="20"/>
          <w:szCs w:val="20"/>
        </w:rPr>
        <w:t xml:space="preserve"> familiares, además, se encuentran expuestos por la función que ahora desempeña la esposa del señor Prado, Carolina Girón, en el OVP.</w:t>
      </w:r>
      <w:r w:rsidR="00DE1D6A" w:rsidRPr="00F35F44">
        <w:rPr>
          <w:rFonts w:ascii="Verdana" w:hAnsi="Verdana"/>
          <w:sz w:val="20"/>
        </w:rPr>
        <w:t xml:space="preserve"> </w:t>
      </w:r>
    </w:p>
    <w:p w14:paraId="2B525F68" w14:textId="77777777" w:rsidR="00F35F44" w:rsidRDefault="00F35F44" w:rsidP="00F35F44">
      <w:pPr>
        <w:pStyle w:val="Listavistosa-nfasis11"/>
        <w:rPr>
          <w:rFonts w:ascii="Verdana" w:hAnsi="Verdana"/>
          <w:sz w:val="20"/>
        </w:rPr>
      </w:pPr>
    </w:p>
    <w:p w14:paraId="1222E643" w14:textId="77777777" w:rsidR="00DE1D6A" w:rsidRPr="00F35F44" w:rsidRDefault="00F35F44" w:rsidP="00F35F44">
      <w:pPr>
        <w:pStyle w:val="Listavistosa-nfasis11"/>
        <w:numPr>
          <w:ilvl w:val="0"/>
          <w:numId w:val="46"/>
        </w:numPr>
        <w:contextualSpacing/>
        <w:jc w:val="both"/>
        <w:rPr>
          <w:rFonts w:ascii="Verdana" w:hAnsi="Verdana"/>
          <w:sz w:val="20"/>
        </w:rPr>
      </w:pPr>
      <w:r>
        <w:rPr>
          <w:rFonts w:ascii="Verdana" w:hAnsi="Verdana"/>
          <w:sz w:val="20"/>
        </w:rPr>
        <w:t>L</w:t>
      </w:r>
      <w:r w:rsidR="00DE1D6A" w:rsidRPr="00F35F44">
        <w:rPr>
          <w:rFonts w:ascii="Verdana" w:hAnsi="Verdana"/>
          <w:sz w:val="20"/>
        </w:rPr>
        <w:t>a Comisión entendió relevante considerar el contexto actual de Venezuela</w:t>
      </w:r>
      <w:r w:rsidR="00BE17EE">
        <w:rPr>
          <w:rFonts w:ascii="Verdana" w:hAnsi="Verdana"/>
          <w:sz w:val="20"/>
        </w:rPr>
        <w:t xml:space="preserve"> en el análisis de la presente solicitud</w:t>
      </w:r>
      <w:r w:rsidR="00DE1D6A" w:rsidRPr="00F35F44">
        <w:rPr>
          <w:rFonts w:ascii="Verdana" w:hAnsi="Verdana"/>
          <w:sz w:val="20"/>
        </w:rPr>
        <w:t>. En ese sentido, expresó que ha monitoreado la situación del país y “ha identificado hostigamientos y agresiones que enfrentarían algunos miembros y líderes de la oposición política”, que en diversas oportunidades se han extendido a sus familiares</w:t>
      </w:r>
      <w:r w:rsidR="00DE1D6A">
        <w:rPr>
          <w:rStyle w:val="Refdenotaalpie"/>
          <w:rFonts w:ascii="Verdana" w:hAnsi="Verdana"/>
          <w:sz w:val="20"/>
        </w:rPr>
        <w:footnoteReference w:id="3"/>
      </w:r>
      <w:r w:rsidR="00DE1D6A" w:rsidRPr="00F35F44">
        <w:rPr>
          <w:rFonts w:ascii="Verdana" w:hAnsi="Verdana"/>
          <w:sz w:val="20"/>
        </w:rPr>
        <w:t>. Informó</w:t>
      </w:r>
      <w:r w:rsidR="002C292D">
        <w:rPr>
          <w:rFonts w:ascii="Verdana" w:hAnsi="Verdana"/>
          <w:sz w:val="20"/>
        </w:rPr>
        <w:t>,</w:t>
      </w:r>
      <w:r w:rsidR="00DE1D6A" w:rsidRPr="00F35F44">
        <w:rPr>
          <w:rFonts w:ascii="Verdana" w:hAnsi="Verdana"/>
          <w:sz w:val="20"/>
        </w:rPr>
        <w:t xml:space="preserve"> a</w:t>
      </w:r>
      <w:r w:rsidR="000360DC">
        <w:rPr>
          <w:rFonts w:ascii="Verdana" w:hAnsi="Verdana"/>
          <w:sz w:val="20"/>
        </w:rPr>
        <w:t>simismo</w:t>
      </w:r>
      <w:r w:rsidR="002C292D">
        <w:rPr>
          <w:rFonts w:ascii="Verdana" w:hAnsi="Verdana"/>
          <w:sz w:val="20"/>
        </w:rPr>
        <w:t>,</w:t>
      </w:r>
      <w:r w:rsidR="00DE1D6A" w:rsidRPr="00F35F44">
        <w:rPr>
          <w:rFonts w:ascii="Verdana" w:hAnsi="Verdana"/>
          <w:sz w:val="20"/>
        </w:rPr>
        <w:t xml:space="preserve"> que la Comisión ha hecho señalamientos al Estado para que no criminalice a líderes políticos de la oposición política. Además, </w:t>
      </w:r>
      <w:r>
        <w:rPr>
          <w:rFonts w:ascii="Verdana" w:hAnsi="Verdana"/>
          <w:sz w:val="20"/>
        </w:rPr>
        <w:t xml:space="preserve">expresó que </w:t>
      </w:r>
      <w:r w:rsidR="00DE1D6A" w:rsidRPr="00F35F44">
        <w:rPr>
          <w:rFonts w:ascii="Verdana" w:hAnsi="Verdana"/>
          <w:sz w:val="20"/>
        </w:rPr>
        <w:t>constató</w:t>
      </w:r>
      <w:r>
        <w:rPr>
          <w:rFonts w:ascii="Verdana" w:hAnsi="Verdana"/>
          <w:sz w:val="20"/>
        </w:rPr>
        <w:t>,</w:t>
      </w:r>
      <w:r w:rsidR="00DE1D6A" w:rsidRPr="00F35F44">
        <w:rPr>
          <w:rFonts w:ascii="Verdana" w:hAnsi="Verdana"/>
          <w:sz w:val="20"/>
        </w:rPr>
        <w:t xml:space="preserve"> durante 2019</w:t>
      </w:r>
      <w:r>
        <w:rPr>
          <w:rFonts w:ascii="Verdana" w:hAnsi="Verdana"/>
          <w:sz w:val="20"/>
        </w:rPr>
        <w:t>,</w:t>
      </w:r>
      <w:r w:rsidR="00DE1D6A" w:rsidRPr="00F35F44">
        <w:rPr>
          <w:rFonts w:ascii="Verdana" w:hAnsi="Verdana"/>
          <w:sz w:val="20"/>
        </w:rPr>
        <w:t xml:space="preserve"> el “debilitamiento del Estado de Derecho” en Venezuela.</w:t>
      </w:r>
    </w:p>
    <w:p w14:paraId="5FE844C5" w14:textId="77777777" w:rsidR="00DE1D6A" w:rsidRDefault="00DE1D6A" w:rsidP="00736656">
      <w:pPr>
        <w:widowControl w:val="0"/>
        <w:autoSpaceDE w:val="0"/>
        <w:autoSpaceDN w:val="0"/>
        <w:adjustRightInd w:val="0"/>
        <w:jc w:val="both"/>
        <w:rPr>
          <w:rFonts w:ascii="Verdana" w:hAnsi="Verdana"/>
          <w:sz w:val="20"/>
        </w:rPr>
      </w:pPr>
    </w:p>
    <w:p w14:paraId="6CA32EC0" w14:textId="77777777" w:rsidR="00F35F44" w:rsidRPr="00736656" w:rsidRDefault="00F35F44" w:rsidP="00F35F44">
      <w:pPr>
        <w:widowControl w:val="0"/>
        <w:numPr>
          <w:ilvl w:val="0"/>
          <w:numId w:val="44"/>
        </w:numPr>
        <w:autoSpaceDE w:val="0"/>
        <w:autoSpaceDN w:val="0"/>
        <w:adjustRightInd w:val="0"/>
        <w:jc w:val="both"/>
        <w:rPr>
          <w:rFonts w:ascii="Verdana" w:hAnsi="Verdana"/>
          <w:b/>
          <w:i/>
          <w:sz w:val="20"/>
        </w:rPr>
      </w:pPr>
      <w:r>
        <w:rPr>
          <w:rFonts w:ascii="Verdana" w:hAnsi="Verdana"/>
          <w:b/>
          <w:i/>
          <w:sz w:val="20"/>
        </w:rPr>
        <w:t>Consideraciones de la Corte</w:t>
      </w:r>
      <w:r w:rsidRPr="00736656">
        <w:rPr>
          <w:rFonts w:ascii="Verdana" w:hAnsi="Verdana"/>
          <w:b/>
          <w:i/>
          <w:sz w:val="20"/>
        </w:rPr>
        <w:t xml:space="preserve"> </w:t>
      </w:r>
    </w:p>
    <w:p w14:paraId="4B457F40" w14:textId="77777777" w:rsidR="00D07A7A" w:rsidRPr="00736656" w:rsidRDefault="00D07A7A" w:rsidP="00736656">
      <w:pPr>
        <w:widowControl w:val="0"/>
        <w:autoSpaceDE w:val="0"/>
        <w:autoSpaceDN w:val="0"/>
        <w:adjustRightInd w:val="0"/>
        <w:jc w:val="both"/>
        <w:rPr>
          <w:rFonts w:ascii="Verdana" w:hAnsi="Verdana"/>
          <w:sz w:val="20"/>
        </w:rPr>
      </w:pPr>
    </w:p>
    <w:p w14:paraId="442F8BB2" w14:textId="77777777" w:rsidR="00612EA5" w:rsidRPr="00D768B8" w:rsidRDefault="00432252" w:rsidP="00A41A32">
      <w:pPr>
        <w:widowControl w:val="0"/>
        <w:numPr>
          <w:ilvl w:val="0"/>
          <w:numId w:val="46"/>
        </w:numPr>
        <w:tabs>
          <w:tab w:val="left" w:pos="1974"/>
        </w:tabs>
        <w:autoSpaceDE w:val="0"/>
        <w:autoSpaceDN w:val="0"/>
        <w:adjustRightInd w:val="0"/>
        <w:jc w:val="both"/>
        <w:rPr>
          <w:rFonts w:ascii="Verdana" w:hAnsi="Verdana"/>
          <w:sz w:val="20"/>
        </w:rPr>
      </w:pPr>
      <w:r>
        <w:rPr>
          <w:rFonts w:ascii="Verdana" w:hAnsi="Verdana"/>
          <w:sz w:val="20"/>
        </w:rPr>
        <w:t>La Corte advierte que</w:t>
      </w:r>
      <w:r w:rsidR="00B3190D">
        <w:rPr>
          <w:rFonts w:ascii="Verdana" w:hAnsi="Verdana"/>
          <w:sz w:val="20"/>
        </w:rPr>
        <w:t>,</w:t>
      </w:r>
      <w:r>
        <w:rPr>
          <w:rFonts w:ascii="Verdana" w:hAnsi="Verdana"/>
          <w:sz w:val="20"/>
        </w:rPr>
        <w:t xml:space="preserve"> en noviembre de 2019</w:t>
      </w:r>
      <w:r w:rsidR="00B3190D">
        <w:rPr>
          <w:rFonts w:ascii="Verdana" w:hAnsi="Verdana"/>
          <w:sz w:val="20"/>
        </w:rPr>
        <w:t>,</w:t>
      </w:r>
      <w:r>
        <w:rPr>
          <w:rFonts w:ascii="Verdana" w:hAnsi="Verdana"/>
          <w:sz w:val="20"/>
        </w:rPr>
        <w:t xml:space="preserve"> resolvió negativamente una solicitud de ampliación de las presentes medidas provisionales a favor de familiares de Humberto Prado</w:t>
      </w:r>
      <w:r w:rsidR="000360DC">
        <w:rPr>
          <w:rFonts w:ascii="Verdana" w:hAnsi="Verdana"/>
          <w:sz w:val="20"/>
        </w:rPr>
        <w:t xml:space="preserve"> (</w:t>
      </w:r>
      <w:r w:rsidR="000360DC">
        <w:rPr>
          <w:rFonts w:ascii="Verdana" w:hAnsi="Verdana"/>
          <w:i/>
          <w:sz w:val="20"/>
        </w:rPr>
        <w:t xml:space="preserve">supra </w:t>
      </w:r>
      <w:r w:rsidR="000360DC">
        <w:rPr>
          <w:rFonts w:ascii="Verdana" w:hAnsi="Verdana"/>
          <w:sz w:val="20"/>
        </w:rPr>
        <w:t>Visto 2)</w:t>
      </w:r>
      <w:r>
        <w:rPr>
          <w:rFonts w:ascii="Verdana" w:hAnsi="Verdana"/>
          <w:sz w:val="20"/>
        </w:rPr>
        <w:t>. Lo hizo por entender que el sustento de tal requerimiento era que la señora Girón se había integrado como “representante” del OVP, y que, más allá de eso, no había sido presentada información suficiente que permitiera advertir la posibilidad de que se configuren los extremos requeridos por el artículo 63.2 de la Convención Americana para hacer procedente la orden de adoptar medidas provisionales</w:t>
      </w:r>
      <w:r w:rsidR="0068432A">
        <w:rPr>
          <w:rFonts w:ascii="Verdana" w:hAnsi="Verdana"/>
          <w:sz w:val="20"/>
        </w:rPr>
        <w:t xml:space="preserve"> (</w:t>
      </w:r>
      <w:r w:rsidR="0068432A" w:rsidRPr="0068432A">
        <w:rPr>
          <w:rFonts w:ascii="Verdana" w:hAnsi="Verdana"/>
          <w:i/>
          <w:sz w:val="20"/>
        </w:rPr>
        <w:t>supra</w:t>
      </w:r>
      <w:r w:rsidR="0068432A">
        <w:rPr>
          <w:rFonts w:ascii="Verdana" w:hAnsi="Verdana"/>
          <w:sz w:val="20"/>
        </w:rPr>
        <w:t xml:space="preserve"> </w:t>
      </w:r>
      <w:r w:rsidR="000360DC">
        <w:rPr>
          <w:rFonts w:ascii="Verdana" w:hAnsi="Verdana"/>
          <w:sz w:val="20"/>
        </w:rPr>
        <w:t>Considerando</w:t>
      </w:r>
      <w:r w:rsidR="0068432A" w:rsidRPr="00D768B8">
        <w:rPr>
          <w:rFonts w:ascii="Verdana" w:hAnsi="Verdana"/>
          <w:sz w:val="20"/>
        </w:rPr>
        <w:t xml:space="preserve"> </w:t>
      </w:r>
      <w:r w:rsidR="00D768B8" w:rsidRPr="00D768B8">
        <w:rPr>
          <w:rFonts w:ascii="Verdana" w:hAnsi="Verdana"/>
          <w:sz w:val="20"/>
        </w:rPr>
        <w:t>2</w:t>
      </w:r>
      <w:r w:rsidR="0068432A" w:rsidRPr="00D768B8">
        <w:rPr>
          <w:rFonts w:ascii="Verdana" w:hAnsi="Verdana"/>
          <w:sz w:val="20"/>
        </w:rPr>
        <w:t>)</w:t>
      </w:r>
      <w:r w:rsidRPr="00D768B8">
        <w:rPr>
          <w:rFonts w:ascii="Verdana" w:hAnsi="Verdana"/>
          <w:sz w:val="20"/>
        </w:rPr>
        <w:t>. El pedido que ahora se examina tiene un sustento que difiere del</w:t>
      </w:r>
      <w:r w:rsidR="00EC7C80">
        <w:rPr>
          <w:rFonts w:ascii="Verdana" w:hAnsi="Verdana"/>
          <w:sz w:val="20"/>
        </w:rPr>
        <w:t xml:space="preserve"> anterior. En ese sentido, no só</w:t>
      </w:r>
      <w:r w:rsidRPr="00D768B8">
        <w:rPr>
          <w:rFonts w:ascii="Verdana" w:hAnsi="Verdana"/>
          <w:sz w:val="20"/>
        </w:rPr>
        <w:t xml:space="preserve">lo </w:t>
      </w:r>
      <w:r w:rsidR="00D4715B" w:rsidRPr="00D768B8">
        <w:rPr>
          <w:rFonts w:ascii="Verdana" w:hAnsi="Verdana"/>
          <w:sz w:val="20"/>
        </w:rPr>
        <w:t>in</w:t>
      </w:r>
      <w:r w:rsidRPr="00D768B8">
        <w:rPr>
          <w:rFonts w:ascii="Verdana" w:hAnsi="Verdana"/>
          <w:sz w:val="20"/>
        </w:rPr>
        <w:t xml:space="preserve">dica la participación actual de la señora Girón en el OVP, sino </w:t>
      </w:r>
      <w:r w:rsidR="00207750" w:rsidRPr="00D768B8">
        <w:rPr>
          <w:rFonts w:ascii="Verdana" w:hAnsi="Verdana"/>
          <w:sz w:val="20"/>
        </w:rPr>
        <w:t xml:space="preserve">que </w:t>
      </w:r>
      <w:r w:rsidRPr="00D768B8">
        <w:rPr>
          <w:rFonts w:ascii="Verdana" w:hAnsi="Verdana"/>
          <w:sz w:val="20"/>
        </w:rPr>
        <w:t xml:space="preserve">también </w:t>
      </w:r>
      <w:r w:rsidR="00207750" w:rsidRPr="00D768B8">
        <w:rPr>
          <w:rFonts w:ascii="Verdana" w:hAnsi="Verdana"/>
          <w:sz w:val="20"/>
        </w:rPr>
        <w:t xml:space="preserve">se basa en información y consideraciones adicionales. Así, se sustenta en </w:t>
      </w:r>
      <w:r w:rsidRPr="00D768B8">
        <w:rPr>
          <w:rFonts w:ascii="Verdana" w:hAnsi="Verdana"/>
          <w:sz w:val="20"/>
        </w:rPr>
        <w:t xml:space="preserve">una serie de </w:t>
      </w:r>
      <w:r w:rsidR="00207750" w:rsidRPr="00D768B8">
        <w:rPr>
          <w:rFonts w:ascii="Verdana" w:hAnsi="Verdana"/>
          <w:sz w:val="20"/>
        </w:rPr>
        <w:t xml:space="preserve">hechos, algunos más recientes y otros de hace algunos años, que se presentan como una continuidad y que, conforme se ha aducido, denotan una situación de riesgo en el marco de un contexto actual particular. </w:t>
      </w:r>
    </w:p>
    <w:p w14:paraId="6F0F1682" w14:textId="77777777" w:rsidR="00207750" w:rsidRPr="00D768B8" w:rsidRDefault="00207750" w:rsidP="00A41A32">
      <w:pPr>
        <w:widowControl w:val="0"/>
        <w:autoSpaceDE w:val="0"/>
        <w:autoSpaceDN w:val="0"/>
        <w:adjustRightInd w:val="0"/>
        <w:jc w:val="both"/>
        <w:rPr>
          <w:rFonts w:ascii="Verdana" w:hAnsi="Verdana"/>
          <w:sz w:val="20"/>
        </w:rPr>
      </w:pPr>
    </w:p>
    <w:p w14:paraId="30DF7A2E" w14:textId="77777777" w:rsidR="00A54369" w:rsidRPr="00D768B8" w:rsidRDefault="007C49F6" w:rsidP="00736656">
      <w:pPr>
        <w:widowControl w:val="0"/>
        <w:numPr>
          <w:ilvl w:val="0"/>
          <w:numId w:val="46"/>
        </w:numPr>
        <w:autoSpaceDE w:val="0"/>
        <w:autoSpaceDN w:val="0"/>
        <w:adjustRightInd w:val="0"/>
        <w:jc w:val="both"/>
        <w:rPr>
          <w:rFonts w:ascii="Verdana" w:hAnsi="Verdana"/>
          <w:sz w:val="20"/>
        </w:rPr>
      </w:pPr>
      <w:r w:rsidRPr="00D768B8">
        <w:rPr>
          <w:rFonts w:ascii="Verdana" w:hAnsi="Verdana"/>
          <w:sz w:val="20"/>
          <w:szCs w:val="20"/>
        </w:rPr>
        <w:t>La petición formulada por los representantes consiste, como ha quedado expuesto</w:t>
      </w:r>
      <w:r w:rsidR="00A54369" w:rsidRPr="00D768B8">
        <w:rPr>
          <w:rFonts w:ascii="Verdana" w:hAnsi="Verdana"/>
          <w:sz w:val="20"/>
          <w:szCs w:val="20"/>
        </w:rPr>
        <w:t xml:space="preserve"> (</w:t>
      </w:r>
      <w:r w:rsidR="00A54369" w:rsidRPr="00D768B8">
        <w:rPr>
          <w:rFonts w:ascii="Verdana" w:hAnsi="Verdana"/>
          <w:i/>
          <w:sz w:val="20"/>
          <w:szCs w:val="20"/>
        </w:rPr>
        <w:t xml:space="preserve">supra </w:t>
      </w:r>
      <w:r w:rsidR="00003A9A" w:rsidRPr="00D768B8">
        <w:rPr>
          <w:rFonts w:ascii="Verdana" w:hAnsi="Verdana"/>
          <w:sz w:val="20"/>
          <w:szCs w:val="20"/>
        </w:rPr>
        <w:t xml:space="preserve">Considerando </w:t>
      </w:r>
      <w:r w:rsidR="00D768B8" w:rsidRPr="00D768B8">
        <w:rPr>
          <w:rFonts w:ascii="Verdana" w:hAnsi="Verdana"/>
          <w:sz w:val="20"/>
          <w:szCs w:val="20"/>
        </w:rPr>
        <w:t>4</w:t>
      </w:r>
      <w:r w:rsidR="00A54369" w:rsidRPr="00D768B8">
        <w:rPr>
          <w:rFonts w:ascii="Verdana" w:hAnsi="Verdana"/>
          <w:sz w:val="20"/>
          <w:szCs w:val="20"/>
        </w:rPr>
        <w:t>)</w:t>
      </w:r>
      <w:r w:rsidRPr="00D768B8">
        <w:rPr>
          <w:rFonts w:ascii="Verdana" w:hAnsi="Verdana"/>
          <w:sz w:val="20"/>
          <w:szCs w:val="20"/>
        </w:rPr>
        <w:t>, en extender o ampliar las medidas provision</w:t>
      </w:r>
      <w:r w:rsidR="00B0556D" w:rsidRPr="00D768B8">
        <w:rPr>
          <w:rFonts w:ascii="Verdana" w:hAnsi="Verdana"/>
          <w:sz w:val="20"/>
          <w:szCs w:val="20"/>
        </w:rPr>
        <w:t xml:space="preserve">ales </w:t>
      </w:r>
      <w:r w:rsidR="00A54369" w:rsidRPr="00D768B8">
        <w:rPr>
          <w:rFonts w:ascii="Verdana" w:hAnsi="Verdana"/>
          <w:sz w:val="20"/>
          <w:szCs w:val="20"/>
        </w:rPr>
        <w:t xml:space="preserve">dispuestas </w:t>
      </w:r>
      <w:r w:rsidRPr="00D768B8">
        <w:rPr>
          <w:rFonts w:ascii="Verdana" w:hAnsi="Verdana"/>
          <w:sz w:val="20"/>
          <w:szCs w:val="20"/>
        </w:rPr>
        <w:t xml:space="preserve">a favor de </w:t>
      </w:r>
      <w:r w:rsidR="00A54369" w:rsidRPr="00D768B8">
        <w:rPr>
          <w:rFonts w:ascii="Verdana" w:hAnsi="Verdana"/>
          <w:sz w:val="20"/>
          <w:szCs w:val="20"/>
        </w:rPr>
        <w:t xml:space="preserve">Humberto Prado a </w:t>
      </w:r>
      <w:r w:rsidRPr="00D768B8">
        <w:rPr>
          <w:rFonts w:ascii="Verdana" w:hAnsi="Verdana"/>
          <w:sz w:val="20"/>
          <w:szCs w:val="20"/>
        </w:rPr>
        <w:t>familiares de</w:t>
      </w:r>
      <w:r w:rsidR="00A54369" w:rsidRPr="00D768B8">
        <w:rPr>
          <w:rFonts w:ascii="Verdana" w:hAnsi="Verdana"/>
          <w:sz w:val="20"/>
          <w:szCs w:val="20"/>
        </w:rPr>
        <w:t xml:space="preserve"> éste</w:t>
      </w:r>
      <w:r w:rsidRPr="00D768B8">
        <w:rPr>
          <w:rFonts w:ascii="Verdana" w:hAnsi="Verdana"/>
          <w:sz w:val="20"/>
          <w:szCs w:val="20"/>
        </w:rPr>
        <w:t xml:space="preserve">. </w:t>
      </w:r>
      <w:r w:rsidR="00A54369" w:rsidRPr="00D768B8">
        <w:rPr>
          <w:rFonts w:ascii="Verdana" w:hAnsi="Verdana"/>
          <w:sz w:val="20"/>
          <w:szCs w:val="20"/>
        </w:rPr>
        <w:t xml:space="preserve">Por ello, y siendo que el Estado ha </w:t>
      </w:r>
      <w:r w:rsidR="00BF1959">
        <w:rPr>
          <w:rFonts w:ascii="Verdana" w:hAnsi="Verdana"/>
          <w:sz w:val="20"/>
          <w:szCs w:val="20"/>
        </w:rPr>
        <w:t>solicitado</w:t>
      </w:r>
      <w:r w:rsidR="00A54369" w:rsidRPr="00D768B8">
        <w:rPr>
          <w:rFonts w:ascii="Verdana" w:hAnsi="Verdana"/>
          <w:sz w:val="20"/>
          <w:szCs w:val="20"/>
        </w:rPr>
        <w:t xml:space="preserve"> levantar las medidas provisionales respecto del señor Prado, corresponde referirse a la situación de </w:t>
      </w:r>
      <w:r w:rsidR="00A41A32" w:rsidRPr="00D768B8">
        <w:rPr>
          <w:rFonts w:ascii="Verdana" w:hAnsi="Verdana"/>
          <w:sz w:val="20"/>
          <w:szCs w:val="20"/>
        </w:rPr>
        <w:t>e</w:t>
      </w:r>
      <w:r w:rsidR="00A54369" w:rsidRPr="00D768B8">
        <w:rPr>
          <w:rFonts w:ascii="Verdana" w:hAnsi="Verdana"/>
          <w:sz w:val="20"/>
          <w:szCs w:val="20"/>
        </w:rPr>
        <w:t xml:space="preserve">ste beneficiario, para luego evaluar lo conducente respecto a sus familiares. </w:t>
      </w:r>
    </w:p>
    <w:p w14:paraId="085F016B" w14:textId="77777777" w:rsidR="00A54369" w:rsidRPr="00D768B8" w:rsidRDefault="00A54369" w:rsidP="00A54369">
      <w:pPr>
        <w:pStyle w:val="Listavistosa-nfasis11"/>
        <w:rPr>
          <w:rFonts w:ascii="Verdana" w:hAnsi="Verdana"/>
          <w:sz w:val="20"/>
          <w:szCs w:val="20"/>
        </w:rPr>
      </w:pPr>
    </w:p>
    <w:p w14:paraId="3FC61D05" w14:textId="77777777" w:rsidR="00B91460" w:rsidRPr="00F15B60" w:rsidRDefault="00A54369" w:rsidP="00736656">
      <w:pPr>
        <w:widowControl w:val="0"/>
        <w:numPr>
          <w:ilvl w:val="0"/>
          <w:numId w:val="46"/>
        </w:numPr>
        <w:autoSpaceDE w:val="0"/>
        <w:autoSpaceDN w:val="0"/>
        <w:adjustRightInd w:val="0"/>
        <w:jc w:val="both"/>
        <w:rPr>
          <w:rFonts w:ascii="Verdana" w:hAnsi="Verdana"/>
          <w:sz w:val="20"/>
        </w:rPr>
      </w:pPr>
      <w:r w:rsidRPr="00D768B8">
        <w:rPr>
          <w:rFonts w:ascii="Verdana" w:hAnsi="Verdana"/>
          <w:sz w:val="20"/>
          <w:szCs w:val="20"/>
        </w:rPr>
        <w:t>E</w:t>
      </w:r>
      <w:r w:rsidR="00D4715B" w:rsidRPr="00D768B8">
        <w:rPr>
          <w:rFonts w:ascii="Verdana" w:hAnsi="Verdana"/>
          <w:sz w:val="20"/>
          <w:szCs w:val="20"/>
        </w:rPr>
        <w:t>n primer término, cabe recordar que las</w:t>
      </w:r>
      <w:r w:rsidR="00D4715B" w:rsidRPr="00D768B8">
        <w:rPr>
          <w:rFonts w:ascii="Verdana" w:hAnsi="Verdana" w:cs="Arial"/>
          <w:sz w:val="20"/>
          <w:szCs w:val="20"/>
          <w:lang w:val="es-CR"/>
        </w:rPr>
        <w:t xml:space="preserve"> </w:t>
      </w:r>
      <w:r w:rsidR="00D4715B" w:rsidRPr="00D768B8">
        <w:rPr>
          <w:rFonts w:ascii="Verdana" w:hAnsi="Verdana"/>
          <w:sz w:val="20"/>
        </w:rPr>
        <w:t>medidas</w:t>
      </w:r>
      <w:r w:rsidR="00D4715B" w:rsidRPr="00D768B8">
        <w:rPr>
          <w:rFonts w:ascii="Verdana" w:hAnsi="Verdana" w:cs="Arial"/>
          <w:sz w:val="20"/>
          <w:szCs w:val="20"/>
          <w:lang w:val="es-CR"/>
        </w:rPr>
        <w:t xml:space="preserve"> a favor de</w:t>
      </w:r>
      <w:r w:rsidR="007C49F6" w:rsidRPr="00D768B8">
        <w:rPr>
          <w:rFonts w:ascii="Verdana" w:hAnsi="Verdana" w:cs="Arial"/>
          <w:sz w:val="20"/>
          <w:szCs w:val="20"/>
          <w:lang w:val="es-CR"/>
        </w:rPr>
        <w:t>l señor</w:t>
      </w:r>
      <w:r w:rsidR="00D4715B" w:rsidRPr="00D768B8">
        <w:rPr>
          <w:rFonts w:ascii="Verdana" w:hAnsi="Verdana" w:cs="Arial"/>
          <w:sz w:val="20"/>
          <w:szCs w:val="20"/>
          <w:lang w:val="es-CR"/>
        </w:rPr>
        <w:t xml:space="preserve"> Prado fueron adoptadas por esta Corte en el año 2009 (</w:t>
      </w:r>
      <w:r w:rsidR="00D4715B" w:rsidRPr="00D768B8">
        <w:rPr>
          <w:rFonts w:ascii="Verdana" w:hAnsi="Verdana" w:cs="Arial"/>
          <w:i/>
          <w:sz w:val="20"/>
          <w:szCs w:val="20"/>
          <w:lang w:val="es-CR"/>
        </w:rPr>
        <w:t xml:space="preserve">supra </w:t>
      </w:r>
      <w:r w:rsidR="00D4715B" w:rsidRPr="00D768B8">
        <w:rPr>
          <w:rFonts w:ascii="Verdana" w:hAnsi="Verdana" w:cs="Arial"/>
          <w:sz w:val="20"/>
          <w:szCs w:val="20"/>
          <w:lang w:val="es-CR"/>
        </w:rPr>
        <w:t>Visto 1)</w:t>
      </w:r>
      <w:r w:rsidR="007C49F6" w:rsidRPr="00D768B8">
        <w:rPr>
          <w:rFonts w:ascii="Verdana" w:hAnsi="Verdana" w:cs="Arial"/>
          <w:sz w:val="20"/>
          <w:szCs w:val="20"/>
          <w:lang w:val="es-CR"/>
        </w:rPr>
        <w:t xml:space="preserve"> y se encuentran vigentes</w:t>
      </w:r>
      <w:r w:rsidR="00D4715B" w:rsidRPr="00D768B8">
        <w:rPr>
          <w:rFonts w:ascii="Verdana" w:hAnsi="Verdana" w:cs="Arial"/>
          <w:sz w:val="20"/>
          <w:szCs w:val="20"/>
          <w:lang w:val="es-CR"/>
        </w:rPr>
        <w:t xml:space="preserve">. </w:t>
      </w:r>
      <w:r w:rsidR="00DB2C81" w:rsidRPr="00D768B8">
        <w:rPr>
          <w:rFonts w:ascii="Verdana" w:hAnsi="Verdana"/>
          <w:sz w:val="20"/>
          <w:szCs w:val="20"/>
        </w:rPr>
        <w:t>Como ha señalado este Tribunal en su Resolución de 13 de noviembre de</w:t>
      </w:r>
      <w:r w:rsidR="00DB2C81">
        <w:rPr>
          <w:rFonts w:ascii="Verdana" w:hAnsi="Verdana"/>
          <w:sz w:val="20"/>
          <w:szCs w:val="20"/>
        </w:rPr>
        <w:t xml:space="preserve"> 2015,</w:t>
      </w:r>
      <w:r w:rsidR="009D6885">
        <w:rPr>
          <w:rFonts w:ascii="Verdana" w:hAnsi="Verdana"/>
          <w:sz w:val="20"/>
          <w:szCs w:val="20"/>
        </w:rPr>
        <w:t xml:space="preserve"> </w:t>
      </w:r>
      <w:r w:rsidR="00DB2C81">
        <w:rPr>
          <w:rFonts w:ascii="Verdana" w:hAnsi="Verdana"/>
          <w:sz w:val="20"/>
          <w:szCs w:val="20"/>
        </w:rPr>
        <w:t>u</w:t>
      </w:r>
      <w:r w:rsidR="00B91460">
        <w:rPr>
          <w:rFonts w:ascii="Verdana" w:hAnsi="Verdana"/>
          <w:sz w:val="20"/>
          <w:lang w:val="es-AR"/>
        </w:rPr>
        <w:t xml:space="preserve">na vez dispuestas, las </w:t>
      </w:r>
      <w:r w:rsidR="00B91460" w:rsidRPr="000E1A23">
        <w:rPr>
          <w:rFonts w:ascii="Verdana" w:hAnsi="Verdana"/>
          <w:sz w:val="20"/>
          <w:lang w:val="es-AR"/>
        </w:rPr>
        <w:t xml:space="preserve">medidas provisionales </w:t>
      </w:r>
      <w:r w:rsidR="00B91460">
        <w:rPr>
          <w:rFonts w:ascii="Verdana" w:hAnsi="Verdana"/>
          <w:sz w:val="20"/>
          <w:lang w:val="es-AR"/>
        </w:rPr>
        <w:t xml:space="preserve">deben permanecer en vigencia en tanto la Corte considere que subsisten los requisitos básicos de extrema gravedad y urgencia y la prevención de un daño irreparable a los derechos de aquéllos protegidos por tales </w:t>
      </w:r>
      <w:r w:rsidR="00B91460" w:rsidRPr="000E1A23">
        <w:rPr>
          <w:rFonts w:ascii="Verdana" w:hAnsi="Verdana"/>
          <w:sz w:val="20"/>
          <w:lang w:val="es-AR"/>
        </w:rPr>
        <w:t>medidas</w:t>
      </w:r>
      <w:r w:rsidR="00B91460" w:rsidRPr="000E1A23">
        <w:rPr>
          <w:rStyle w:val="Refdenotaalpie"/>
          <w:rFonts w:ascii="Verdana" w:hAnsi="Verdana"/>
          <w:sz w:val="20"/>
        </w:rPr>
        <w:footnoteReference w:id="4"/>
      </w:r>
      <w:r w:rsidR="00432252">
        <w:rPr>
          <w:rFonts w:ascii="Verdana" w:hAnsi="Verdana"/>
          <w:sz w:val="20"/>
          <w:lang w:val="es-AR"/>
        </w:rPr>
        <w:t>.</w:t>
      </w:r>
      <w:r>
        <w:rPr>
          <w:rFonts w:ascii="Verdana" w:hAnsi="Verdana"/>
          <w:sz w:val="20"/>
          <w:lang w:val="es-AR"/>
        </w:rPr>
        <w:t xml:space="preserve"> </w:t>
      </w:r>
    </w:p>
    <w:p w14:paraId="2E5416AB" w14:textId="77777777" w:rsidR="00F15B60" w:rsidRDefault="00F15B60" w:rsidP="00F15B60">
      <w:pPr>
        <w:pStyle w:val="Listavistosa-nfasis11"/>
        <w:rPr>
          <w:rFonts w:ascii="Verdana" w:hAnsi="Verdana"/>
          <w:sz w:val="20"/>
        </w:rPr>
      </w:pPr>
    </w:p>
    <w:p w14:paraId="6AF66D65" w14:textId="77777777" w:rsidR="00612EA5" w:rsidRDefault="00B0556D" w:rsidP="00A41A32">
      <w:pPr>
        <w:widowControl w:val="0"/>
        <w:numPr>
          <w:ilvl w:val="0"/>
          <w:numId w:val="46"/>
        </w:numPr>
        <w:autoSpaceDE w:val="0"/>
        <w:autoSpaceDN w:val="0"/>
        <w:adjustRightInd w:val="0"/>
        <w:jc w:val="both"/>
        <w:rPr>
          <w:rFonts w:ascii="Verdana" w:hAnsi="Verdana"/>
          <w:sz w:val="20"/>
          <w:szCs w:val="20"/>
        </w:rPr>
      </w:pPr>
      <w:r w:rsidRPr="00A41A32">
        <w:rPr>
          <w:rFonts w:ascii="Verdana" w:hAnsi="Verdana"/>
          <w:sz w:val="20"/>
          <w:szCs w:val="20"/>
        </w:rPr>
        <w:t>Por otra parte, l</w:t>
      </w:r>
      <w:r w:rsidR="00F15B60" w:rsidRPr="00A41A32">
        <w:rPr>
          <w:rFonts w:ascii="Verdana" w:hAnsi="Verdana"/>
          <w:sz w:val="20"/>
          <w:szCs w:val="20"/>
        </w:rPr>
        <w:t xml:space="preserve">a Corte recuerda que </w:t>
      </w:r>
      <w:r w:rsidR="00C012B0" w:rsidRPr="00A41A32">
        <w:rPr>
          <w:rFonts w:ascii="Verdana" w:hAnsi="Verdana"/>
          <w:sz w:val="20"/>
          <w:szCs w:val="20"/>
        </w:rPr>
        <w:t>“</w:t>
      </w:r>
      <w:r w:rsidR="00F15B60" w:rsidRPr="00A41A32">
        <w:rPr>
          <w:rFonts w:ascii="Verdana" w:hAnsi="Verdana"/>
          <w:sz w:val="20"/>
          <w:szCs w:val="20"/>
        </w:rPr>
        <w:t>si un Estado solicita el levantamiento o la modificación de las medidas provisionales ordenadas, deberá presentar la suficiente prueba y argumentación que permita al Tribunal apreciar que el riesgo o la amenaza ya no reúne los requisitos de extrema gravedad y urgencia de evitar daños irreparables. A su vez los representantes de los beneficiarios que deseen que las medidas continúen, deberán presentar prueba de las razones para ello</w:t>
      </w:r>
      <w:r w:rsidR="00C012B0" w:rsidRPr="00A41A32">
        <w:rPr>
          <w:rFonts w:ascii="Verdana" w:hAnsi="Verdana"/>
          <w:sz w:val="20"/>
          <w:szCs w:val="20"/>
        </w:rPr>
        <w:t>”</w:t>
      </w:r>
      <w:r w:rsidR="00C012B0" w:rsidRPr="00C012B0">
        <w:rPr>
          <w:rStyle w:val="Refdenotaalpie"/>
          <w:rFonts w:ascii="Verdana" w:hAnsi="Verdana"/>
          <w:sz w:val="20"/>
          <w:szCs w:val="20"/>
        </w:rPr>
        <w:footnoteReference w:id="5"/>
      </w:r>
      <w:r w:rsidR="00C012B0" w:rsidRPr="00A41A32">
        <w:rPr>
          <w:rFonts w:ascii="Verdana" w:hAnsi="Verdana"/>
          <w:sz w:val="20"/>
          <w:szCs w:val="20"/>
        </w:rPr>
        <w:t>.</w:t>
      </w:r>
      <w:r w:rsidRPr="00A41A32">
        <w:rPr>
          <w:rFonts w:ascii="Verdana" w:hAnsi="Verdana"/>
          <w:sz w:val="20"/>
          <w:szCs w:val="20"/>
        </w:rPr>
        <w:t xml:space="preserve"> </w:t>
      </w:r>
    </w:p>
    <w:p w14:paraId="0ACF9C47" w14:textId="77777777" w:rsidR="00F15B60" w:rsidRPr="00A41A32" w:rsidRDefault="00F15B60" w:rsidP="00A41A32">
      <w:pPr>
        <w:widowControl w:val="0"/>
        <w:autoSpaceDE w:val="0"/>
        <w:autoSpaceDN w:val="0"/>
        <w:adjustRightInd w:val="0"/>
        <w:jc w:val="both"/>
        <w:rPr>
          <w:rFonts w:ascii="Verdana" w:hAnsi="Verdana"/>
          <w:sz w:val="20"/>
        </w:rPr>
      </w:pPr>
    </w:p>
    <w:p w14:paraId="59AB0883" w14:textId="77777777" w:rsidR="00A54369" w:rsidRDefault="00F15A82" w:rsidP="00A54369">
      <w:pPr>
        <w:widowControl w:val="0"/>
        <w:numPr>
          <w:ilvl w:val="0"/>
          <w:numId w:val="46"/>
        </w:numPr>
        <w:autoSpaceDE w:val="0"/>
        <w:autoSpaceDN w:val="0"/>
        <w:adjustRightInd w:val="0"/>
        <w:jc w:val="both"/>
        <w:rPr>
          <w:rFonts w:ascii="Verdana" w:hAnsi="Verdana"/>
          <w:sz w:val="20"/>
        </w:rPr>
      </w:pPr>
      <w:r>
        <w:rPr>
          <w:rFonts w:ascii="Verdana" w:hAnsi="Verdana"/>
          <w:sz w:val="20"/>
        </w:rPr>
        <w:t xml:space="preserve">La Corte nota que Venezuela ha señalado que el señor Prado ya no se encuentra vinculado a la defensa de derechos humanos </w:t>
      </w:r>
      <w:r w:rsidR="007C49F6">
        <w:rPr>
          <w:rFonts w:ascii="Verdana" w:hAnsi="Verdana"/>
          <w:sz w:val="20"/>
        </w:rPr>
        <w:t xml:space="preserve">de personas privadas de libertad. </w:t>
      </w:r>
      <w:r w:rsidR="00B0556D">
        <w:rPr>
          <w:rFonts w:ascii="Verdana" w:hAnsi="Verdana"/>
          <w:sz w:val="20"/>
        </w:rPr>
        <w:t>No obstante, los representantes ha</w:t>
      </w:r>
      <w:r w:rsidR="00612EA5">
        <w:rPr>
          <w:rFonts w:ascii="Verdana" w:hAnsi="Verdana"/>
          <w:sz w:val="20"/>
        </w:rPr>
        <w:t>n</w:t>
      </w:r>
      <w:r w:rsidR="00B0556D">
        <w:rPr>
          <w:rFonts w:ascii="Verdana" w:hAnsi="Verdana"/>
          <w:sz w:val="20"/>
        </w:rPr>
        <w:t xml:space="preserve"> rechazado ese señalamiento, indicando que el señor Prado, sin perjuicio de haber asumido nuevas funciones, continúa siendo defensor de derechos humanos y representante de personas privadas de la libertad. La Corte considera que l</w:t>
      </w:r>
      <w:r w:rsidR="00A54369">
        <w:rPr>
          <w:rFonts w:ascii="Verdana" w:hAnsi="Verdana"/>
          <w:sz w:val="20"/>
        </w:rPr>
        <w:t>a manifestación</w:t>
      </w:r>
      <w:r w:rsidR="00B0556D">
        <w:rPr>
          <w:rFonts w:ascii="Verdana" w:hAnsi="Verdana"/>
          <w:sz w:val="20"/>
        </w:rPr>
        <w:t xml:space="preserve"> estatal, por sí mism</w:t>
      </w:r>
      <w:r w:rsidR="00A54369">
        <w:rPr>
          <w:rFonts w:ascii="Verdana" w:hAnsi="Verdana"/>
          <w:sz w:val="20"/>
        </w:rPr>
        <w:t>a</w:t>
      </w:r>
      <w:r w:rsidR="00B0556D">
        <w:rPr>
          <w:rFonts w:ascii="Verdana" w:hAnsi="Verdana"/>
          <w:sz w:val="20"/>
        </w:rPr>
        <w:t xml:space="preserve">, es insuficiente para determinar que procede el levantamiento de las medidas dispuestas a </w:t>
      </w:r>
      <w:r w:rsidR="00A54369">
        <w:rPr>
          <w:rFonts w:ascii="Verdana" w:hAnsi="Verdana"/>
          <w:sz w:val="20"/>
        </w:rPr>
        <w:t>favor de Humberto Prado, pues</w:t>
      </w:r>
      <w:r w:rsidR="00730F03">
        <w:rPr>
          <w:rFonts w:ascii="Verdana" w:hAnsi="Verdana"/>
          <w:sz w:val="20"/>
        </w:rPr>
        <w:t>,</w:t>
      </w:r>
      <w:r w:rsidR="00A54369">
        <w:rPr>
          <w:rFonts w:ascii="Verdana" w:hAnsi="Verdana"/>
          <w:sz w:val="20"/>
        </w:rPr>
        <w:t xml:space="preserve"> aunque </w:t>
      </w:r>
      <w:r w:rsidR="00730F03">
        <w:rPr>
          <w:rFonts w:ascii="Verdana" w:hAnsi="Verdana"/>
          <w:sz w:val="20"/>
        </w:rPr>
        <w:t xml:space="preserve">él </w:t>
      </w:r>
      <w:r w:rsidR="00B84C25">
        <w:rPr>
          <w:rFonts w:ascii="Verdana" w:hAnsi="Verdana"/>
          <w:sz w:val="20"/>
        </w:rPr>
        <w:t xml:space="preserve">ya no ostente el cargo de </w:t>
      </w:r>
      <w:r w:rsidR="0050488A">
        <w:rPr>
          <w:rFonts w:ascii="Verdana" w:hAnsi="Verdana"/>
          <w:sz w:val="20"/>
        </w:rPr>
        <w:t>Coordinador G</w:t>
      </w:r>
      <w:r w:rsidR="00D82A1B">
        <w:rPr>
          <w:rFonts w:ascii="Verdana" w:hAnsi="Verdana"/>
          <w:sz w:val="20"/>
        </w:rPr>
        <w:t>eneral</w:t>
      </w:r>
      <w:r w:rsidR="00A54369">
        <w:rPr>
          <w:rFonts w:ascii="Verdana" w:hAnsi="Verdana"/>
          <w:sz w:val="20"/>
        </w:rPr>
        <w:t xml:space="preserve"> en el OVP, </w:t>
      </w:r>
      <w:r w:rsidR="00B84C25">
        <w:rPr>
          <w:rFonts w:ascii="Verdana" w:hAnsi="Verdana"/>
          <w:sz w:val="20"/>
        </w:rPr>
        <w:t xml:space="preserve">continúa ejerciendo la representación ante la Corte de las personas privadas de libertad en diversos centros </w:t>
      </w:r>
      <w:r w:rsidR="005C024D">
        <w:rPr>
          <w:rFonts w:ascii="Verdana" w:hAnsi="Verdana"/>
          <w:sz w:val="20"/>
        </w:rPr>
        <w:t>penitenciarios de Venezuela.</w:t>
      </w:r>
      <w:r w:rsidR="00B84C25">
        <w:rPr>
          <w:rFonts w:ascii="Verdana" w:hAnsi="Verdana"/>
          <w:sz w:val="20"/>
        </w:rPr>
        <w:t xml:space="preserve"> Además, en razón de su trayectoria en la defensa de los derechos de las personas privadas de libertad, </w:t>
      </w:r>
      <w:r w:rsidR="00A54369">
        <w:rPr>
          <w:rFonts w:ascii="Verdana" w:hAnsi="Verdana"/>
          <w:sz w:val="20"/>
        </w:rPr>
        <w:t>pueden existi</w:t>
      </w:r>
      <w:r w:rsidR="005D5606">
        <w:rPr>
          <w:rFonts w:ascii="Verdana" w:hAnsi="Verdana"/>
          <w:sz w:val="20"/>
        </w:rPr>
        <w:t>r diversas</w:t>
      </w:r>
      <w:r w:rsidR="00A54369">
        <w:rPr>
          <w:rFonts w:ascii="Verdana" w:hAnsi="Verdana"/>
          <w:sz w:val="20"/>
        </w:rPr>
        <w:t xml:space="preserve"> circunstancias </w:t>
      </w:r>
      <w:r w:rsidR="005D5606">
        <w:rPr>
          <w:rFonts w:ascii="Verdana" w:hAnsi="Verdana"/>
          <w:sz w:val="20"/>
        </w:rPr>
        <w:t xml:space="preserve">y ocurrir hechos </w:t>
      </w:r>
      <w:r w:rsidR="00A54369">
        <w:rPr>
          <w:rFonts w:ascii="Verdana" w:hAnsi="Verdana"/>
          <w:sz w:val="20"/>
        </w:rPr>
        <w:t>que ameriten la continuidad de la protección ordenada a su favor.</w:t>
      </w:r>
    </w:p>
    <w:p w14:paraId="117276B0" w14:textId="77777777" w:rsidR="00A54369" w:rsidRDefault="00A54369" w:rsidP="00A54369">
      <w:pPr>
        <w:pStyle w:val="Listavistosa-nfasis11"/>
        <w:rPr>
          <w:rFonts w:ascii="Verdana" w:hAnsi="Verdana"/>
          <w:sz w:val="20"/>
        </w:rPr>
      </w:pPr>
    </w:p>
    <w:p w14:paraId="6F400365" w14:textId="77777777" w:rsidR="009D6885" w:rsidRPr="00D039C7" w:rsidRDefault="00FE516F" w:rsidP="00D221C6">
      <w:pPr>
        <w:widowControl w:val="0"/>
        <w:numPr>
          <w:ilvl w:val="0"/>
          <w:numId w:val="46"/>
        </w:numPr>
        <w:autoSpaceDE w:val="0"/>
        <w:autoSpaceDN w:val="0"/>
        <w:adjustRightInd w:val="0"/>
        <w:jc w:val="both"/>
        <w:rPr>
          <w:rFonts w:ascii="Verdana" w:hAnsi="Verdana"/>
          <w:sz w:val="20"/>
          <w:szCs w:val="20"/>
        </w:rPr>
      </w:pPr>
      <w:r w:rsidRPr="000360DC">
        <w:rPr>
          <w:rFonts w:ascii="Verdana" w:hAnsi="Verdana"/>
          <w:sz w:val="20"/>
        </w:rPr>
        <w:t>Al respecto, los representantes han enunciado un conjunto de hechos, sucedidos desde 2018, que se vincularían a la labor de Humberto Prado en la defensa de las personas privadas de libertad.</w:t>
      </w:r>
      <w:r>
        <w:rPr>
          <w:rFonts w:ascii="Verdana" w:hAnsi="Verdana"/>
          <w:b/>
          <w:sz w:val="20"/>
        </w:rPr>
        <w:t xml:space="preserve"> </w:t>
      </w:r>
      <w:r w:rsidR="00D221C6">
        <w:rPr>
          <w:rFonts w:ascii="Verdana" w:hAnsi="Verdana"/>
          <w:sz w:val="20"/>
        </w:rPr>
        <w:t>Aunado a lo anterior, el Estado no ha presentado información actualizada</w:t>
      </w:r>
      <w:r w:rsidR="00BB00D7">
        <w:rPr>
          <w:rFonts w:ascii="Verdana" w:hAnsi="Verdana"/>
          <w:b/>
          <w:sz w:val="20"/>
        </w:rPr>
        <w:t xml:space="preserve"> </w:t>
      </w:r>
      <w:r w:rsidR="00BB00D7" w:rsidRPr="000360DC">
        <w:rPr>
          <w:rFonts w:ascii="Verdana" w:hAnsi="Verdana"/>
          <w:sz w:val="20"/>
        </w:rPr>
        <w:t>sobre</w:t>
      </w:r>
      <w:r w:rsidR="00D221C6">
        <w:rPr>
          <w:rFonts w:ascii="Verdana" w:hAnsi="Verdana"/>
          <w:sz w:val="20"/>
        </w:rPr>
        <w:t xml:space="preserve"> las medidas de protección que estaría adopta</w:t>
      </w:r>
      <w:r w:rsidR="008257A8">
        <w:rPr>
          <w:rFonts w:ascii="Verdana" w:hAnsi="Verdana"/>
          <w:sz w:val="20"/>
        </w:rPr>
        <w:t>n</w:t>
      </w:r>
      <w:r w:rsidR="00D221C6">
        <w:rPr>
          <w:rFonts w:ascii="Verdana" w:hAnsi="Verdana"/>
          <w:sz w:val="20"/>
        </w:rPr>
        <w:t xml:space="preserve">do. </w:t>
      </w:r>
      <w:r w:rsidR="00D221C6">
        <w:rPr>
          <w:rFonts w:ascii="Verdana" w:hAnsi="Verdana"/>
          <w:sz w:val="20"/>
          <w:szCs w:val="20"/>
        </w:rPr>
        <w:t>Al respecto, es relevante recordar que</w:t>
      </w:r>
      <w:r w:rsidR="004E1511">
        <w:rPr>
          <w:rFonts w:ascii="Verdana" w:hAnsi="Verdana"/>
          <w:sz w:val="20"/>
        </w:rPr>
        <w:t xml:space="preserve"> los Estado</w:t>
      </w:r>
      <w:r w:rsidR="00FC7FD5">
        <w:rPr>
          <w:rFonts w:ascii="Verdana" w:hAnsi="Verdana"/>
          <w:sz w:val="20"/>
        </w:rPr>
        <w:t>s</w:t>
      </w:r>
      <w:r w:rsidR="009D6885" w:rsidRPr="00D221C6">
        <w:rPr>
          <w:rFonts w:ascii="Verdana" w:hAnsi="Verdana"/>
          <w:sz w:val="20"/>
        </w:rPr>
        <w:t xml:space="preserve"> deben adoptar todas las providencias necesarias para la efectiva protección de los beneficiarios de las </w:t>
      </w:r>
      <w:r w:rsidR="00BB00D7" w:rsidRPr="000360DC">
        <w:rPr>
          <w:rFonts w:ascii="Verdana" w:hAnsi="Verdana"/>
          <w:sz w:val="20"/>
        </w:rPr>
        <w:t>medidas provisionales ordenadas por la Corte,</w:t>
      </w:r>
      <w:r w:rsidR="00BB00D7">
        <w:rPr>
          <w:rFonts w:ascii="Verdana" w:hAnsi="Verdana"/>
          <w:sz w:val="20"/>
        </w:rPr>
        <w:t xml:space="preserve"> </w:t>
      </w:r>
      <w:r w:rsidR="00FC79EF">
        <w:rPr>
          <w:rFonts w:ascii="Verdana" w:hAnsi="Verdana"/>
          <w:sz w:val="20"/>
        </w:rPr>
        <w:t xml:space="preserve">de conformidad con sus </w:t>
      </w:r>
      <w:r w:rsidR="009D6885" w:rsidRPr="00D221C6">
        <w:rPr>
          <w:rFonts w:ascii="Verdana" w:hAnsi="Verdana"/>
          <w:sz w:val="20"/>
        </w:rPr>
        <w:t>instrucciones</w:t>
      </w:r>
      <w:r w:rsidR="009E1880">
        <w:rPr>
          <w:rStyle w:val="Refdenotaalpie"/>
          <w:rFonts w:ascii="Verdana" w:hAnsi="Verdana"/>
          <w:sz w:val="20"/>
        </w:rPr>
        <w:footnoteReference w:id="6"/>
      </w:r>
      <w:r w:rsidR="009D6885" w:rsidRPr="00D221C6">
        <w:rPr>
          <w:rFonts w:ascii="Verdana" w:hAnsi="Verdana"/>
          <w:sz w:val="20"/>
        </w:rPr>
        <w:t xml:space="preserve">. Esta obligación incluye el deber de informar </w:t>
      </w:r>
      <w:r w:rsidR="00BB00D7" w:rsidRPr="000360DC">
        <w:rPr>
          <w:rFonts w:ascii="Verdana" w:hAnsi="Verdana"/>
          <w:sz w:val="20"/>
        </w:rPr>
        <w:t xml:space="preserve">a la Corte </w:t>
      </w:r>
      <w:r w:rsidR="009D6885" w:rsidRPr="00D221C6">
        <w:rPr>
          <w:rFonts w:ascii="Verdana" w:hAnsi="Verdana"/>
          <w:sz w:val="20"/>
        </w:rPr>
        <w:t xml:space="preserve">con la periodicidad que </w:t>
      </w:r>
      <w:r w:rsidR="00BB00D7" w:rsidRPr="000360DC">
        <w:rPr>
          <w:rFonts w:ascii="Verdana" w:hAnsi="Verdana"/>
          <w:sz w:val="20"/>
        </w:rPr>
        <w:t xml:space="preserve">ésta </w:t>
      </w:r>
      <w:r w:rsidR="009D6885" w:rsidRPr="00D221C6">
        <w:rPr>
          <w:rFonts w:ascii="Verdana" w:hAnsi="Verdana"/>
          <w:sz w:val="20"/>
        </w:rPr>
        <w:t>indique</w:t>
      </w:r>
      <w:r w:rsidR="002126F7" w:rsidRPr="00CC4C2F">
        <w:rPr>
          <w:rStyle w:val="Refdenotaalpie"/>
          <w:rFonts w:ascii="Verdana" w:hAnsi="Verdana"/>
          <w:sz w:val="20"/>
        </w:rPr>
        <w:footnoteReference w:id="7"/>
      </w:r>
      <w:r w:rsidR="002126F7" w:rsidRPr="00D221C6">
        <w:rPr>
          <w:rFonts w:ascii="Verdana" w:hAnsi="Verdana"/>
          <w:sz w:val="20"/>
        </w:rPr>
        <w:t>.</w:t>
      </w:r>
    </w:p>
    <w:p w14:paraId="05CF2225" w14:textId="77777777" w:rsidR="00D039C7" w:rsidRDefault="00D039C7" w:rsidP="00D039C7">
      <w:pPr>
        <w:pStyle w:val="Listavistosa-nfasis11"/>
        <w:rPr>
          <w:rFonts w:ascii="Verdana" w:hAnsi="Verdana"/>
          <w:sz w:val="20"/>
          <w:szCs w:val="20"/>
        </w:rPr>
      </w:pPr>
    </w:p>
    <w:p w14:paraId="765DA102" w14:textId="77777777" w:rsidR="00D039C7" w:rsidRDefault="008257A8" w:rsidP="00D221C6">
      <w:pPr>
        <w:widowControl w:val="0"/>
        <w:numPr>
          <w:ilvl w:val="0"/>
          <w:numId w:val="46"/>
        </w:numPr>
        <w:autoSpaceDE w:val="0"/>
        <w:autoSpaceDN w:val="0"/>
        <w:adjustRightInd w:val="0"/>
        <w:jc w:val="both"/>
        <w:rPr>
          <w:rFonts w:ascii="Verdana" w:hAnsi="Verdana"/>
          <w:sz w:val="20"/>
          <w:szCs w:val="20"/>
        </w:rPr>
      </w:pPr>
      <w:r>
        <w:rPr>
          <w:rFonts w:ascii="Verdana" w:hAnsi="Verdana"/>
          <w:sz w:val="20"/>
          <w:szCs w:val="20"/>
        </w:rPr>
        <w:t>Sobre el particular</w:t>
      </w:r>
      <w:r w:rsidR="00D039C7">
        <w:rPr>
          <w:rFonts w:ascii="Verdana" w:hAnsi="Verdana"/>
          <w:sz w:val="20"/>
          <w:szCs w:val="20"/>
        </w:rPr>
        <w:t>,</w:t>
      </w:r>
      <w:r>
        <w:rPr>
          <w:rFonts w:ascii="Verdana" w:hAnsi="Verdana"/>
          <w:sz w:val="20"/>
          <w:szCs w:val="20"/>
        </w:rPr>
        <w:t xml:space="preserve"> la Corte nota que</w:t>
      </w:r>
      <w:r w:rsidR="001C3DB5">
        <w:rPr>
          <w:rFonts w:ascii="Verdana" w:hAnsi="Verdana"/>
          <w:sz w:val="20"/>
          <w:szCs w:val="20"/>
        </w:rPr>
        <w:t xml:space="preserve"> e</w:t>
      </w:r>
      <w:r w:rsidR="004419EA">
        <w:rPr>
          <w:rFonts w:ascii="Verdana" w:hAnsi="Verdana"/>
          <w:sz w:val="20"/>
          <w:szCs w:val="20"/>
        </w:rPr>
        <w:t>l 26 de mayo de 2020 Venezuela remitió información sobre los años 2018 y 2019</w:t>
      </w:r>
      <w:r w:rsidR="00B3190D">
        <w:rPr>
          <w:rFonts w:ascii="Verdana" w:hAnsi="Verdana"/>
          <w:sz w:val="20"/>
          <w:szCs w:val="20"/>
        </w:rPr>
        <w:t xml:space="preserve"> </w:t>
      </w:r>
      <w:r w:rsidR="00B3190D" w:rsidRPr="00B3190D">
        <w:rPr>
          <w:rFonts w:ascii="Verdana" w:hAnsi="Verdana"/>
          <w:sz w:val="20"/>
          <w:szCs w:val="20"/>
          <w:lang w:val="es-ES_tradnl"/>
        </w:rPr>
        <w:t>respecto a centros penitenciarios</w:t>
      </w:r>
      <w:r w:rsidR="00B3190D">
        <w:rPr>
          <w:rFonts w:ascii="Verdana" w:hAnsi="Verdana"/>
          <w:sz w:val="20"/>
          <w:szCs w:val="20"/>
          <w:lang w:val="es-ES_tradnl"/>
        </w:rPr>
        <w:t xml:space="preserve"> (</w:t>
      </w:r>
      <w:r w:rsidR="00B3190D">
        <w:rPr>
          <w:rFonts w:ascii="Verdana" w:hAnsi="Verdana"/>
          <w:i/>
          <w:sz w:val="20"/>
          <w:szCs w:val="20"/>
          <w:lang w:val="es-ES_tradnl"/>
        </w:rPr>
        <w:t xml:space="preserve">supra </w:t>
      </w:r>
      <w:r w:rsidR="00B3190D">
        <w:rPr>
          <w:rFonts w:ascii="Verdana" w:hAnsi="Verdana"/>
          <w:sz w:val="20"/>
          <w:szCs w:val="20"/>
          <w:lang w:val="es-ES_tradnl"/>
        </w:rPr>
        <w:t>Visto 4)</w:t>
      </w:r>
      <w:r w:rsidR="004419EA" w:rsidRPr="00B3190D">
        <w:rPr>
          <w:rFonts w:ascii="Verdana" w:hAnsi="Verdana"/>
          <w:sz w:val="20"/>
          <w:szCs w:val="20"/>
        </w:rPr>
        <w:t>,</w:t>
      </w:r>
      <w:r w:rsidR="004419EA">
        <w:rPr>
          <w:rFonts w:ascii="Verdana" w:hAnsi="Verdana"/>
          <w:sz w:val="20"/>
          <w:szCs w:val="20"/>
        </w:rPr>
        <w:t xml:space="preserve"> luego de un per</w:t>
      </w:r>
      <w:r>
        <w:rPr>
          <w:rFonts w:ascii="Verdana" w:hAnsi="Verdana"/>
          <w:sz w:val="20"/>
          <w:szCs w:val="20"/>
        </w:rPr>
        <w:t>í</w:t>
      </w:r>
      <w:r w:rsidR="004419EA">
        <w:rPr>
          <w:rFonts w:ascii="Verdana" w:hAnsi="Verdana"/>
          <w:sz w:val="20"/>
          <w:szCs w:val="20"/>
        </w:rPr>
        <w:t xml:space="preserve">odo cercano a dos años en que omitió cumplir su deber de presentar </w:t>
      </w:r>
      <w:r w:rsidR="00FC7FD5">
        <w:rPr>
          <w:rFonts w:ascii="Verdana" w:hAnsi="Verdana"/>
          <w:sz w:val="20"/>
          <w:szCs w:val="20"/>
        </w:rPr>
        <w:t xml:space="preserve">información </w:t>
      </w:r>
      <w:r w:rsidR="004419EA">
        <w:rPr>
          <w:rFonts w:ascii="Verdana" w:hAnsi="Verdana"/>
          <w:sz w:val="20"/>
          <w:szCs w:val="20"/>
        </w:rPr>
        <w:t xml:space="preserve">en forma periódica. En su escrito de 26 de mayo de 2020 no hizo referencia </w:t>
      </w:r>
      <w:r w:rsidR="0050488A">
        <w:rPr>
          <w:rFonts w:ascii="Verdana" w:hAnsi="Verdana"/>
          <w:sz w:val="20"/>
          <w:szCs w:val="20"/>
        </w:rPr>
        <w:t xml:space="preserve">específica </w:t>
      </w:r>
      <w:r w:rsidR="004419EA">
        <w:rPr>
          <w:rFonts w:ascii="Verdana" w:hAnsi="Verdana"/>
          <w:sz w:val="20"/>
          <w:szCs w:val="20"/>
        </w:rPr>
        <w:t xml:space="preserve">a medidas adoptadas respecto de Humberto Prado. </w:t>
      </w:r>
    </w:p>
    <w:p w14:paraId="00F6B314" w14:textId="77777777" w:rsidR="00DA4C54" w:rsidRDefault="00DA4C54" w:rsidP="00DA4C54">
      <w:pPr>
        <w:pStyle w:val="Listavistosa-nfasis11"/>
        <w:rPr>
          <w:rFonts w:ascii="Verdana" w:hAnsi="Verdana"/>
          <w:sz w:val="20"/>
          <w:szCs w:val="20"/>
        </w:rPr>
      </w:pPr>
    </w:p>
    <w:p w14:paraId="1340C8BB" w14:textId="77777777" w:rsidR="00DA4C54" w:rsidRDefault="00DA4C54" w:rsidP="00D221C6">
      <w:pPr>
        <w:widowControl w:val="0"/>
        <w:numPr>
          <w:ilvl w:val="0"/>
          <w:numId w:val="46"/>
        </w:numPr>
        <w:autoSpaceDE w:val="0"/>
        <w:autoSpaceDN w:val="0"/>
        <w:adjustRightInd w:val="0"/>
        <w:jc w:val="both"/>
        <w:rPr>
          <w:rFonts w:ascii="Verdana" w:hAnsi="Verdana"/>
          <w:sz w:val="20"/>
          <w:szCs w:val="20"/>
        </w:rPr>
      </w:pPr>
      <w:r>
        <w:rPr>
          <w:rFonts w:ascii="Verdana" w:hAnsi="Verdana"/>
          <w:sz w:val="20"/>
          <w:szCs w:val="20"/>
        </w:rPr>
        <w:t xml:space="preserve">Lo expuesto resulta suficiente para mantener la vigencia de la orden de adopción de medidas de protección respecto de Humberto Prado. </w:t>
      </w:r>
    </w:p>
    <w:p w14:paraId="376165D5" w14:textId="77777777" w:rsidR="00DA4C54" w:rsidRDefault="00DA4C54" w:rsidP="00DA4C54">
      <w:pPr>
        <w:pStyle w:val="Listavistosa-nfasis11"/>
        <w:rPr>
          <w:rFonts w:ascii="Verdana" w:hAnsi="Verdana"/>
          <w:sz w:val="20"/>
          <w:szCs w:val="20"/>
        </w:rPr>
      </w:pPr>
    </w:p>
    <w:p w14:paraId="2E8C6EB0" w14:textId="77777777" w:rsidR="002F276A" w:rsidRDefault="00DA4C54" w:rsidP="000916E4">
      <w:pPr>
        <w:widowControl w:val="0"/>
        <w:numPr>
          <w:ilvl w:val="0"/>
          <w:numId w:val="46"/>
        </w:numPr>
        <w:autoSpaceDE w:val="0"/>
        <w:autoSpaceDN w:val="0"/>
        <w:adjustRightInd w:val="0"/>
        <w:jc w:val="both"/>
        <w:rPr>
          <w:rFonts w:ascii="Verdana" w:hAnsi="Verdana"/>
          <w:sz w:val="20"/>
          <w:szCs w:val="20"/>
        </w:rPr>
      </w:pPr>
      <w:r>
        <w:rPr>
          <w:rFonts w:ascii="Verdana" w:hAnsi="Verdana"/>
          <w:sz w:val="20"/>
          <w:szCs w:val="20"/>
        </w:rPr>
        <w:t>En relación con la esposa del beneficiario y sus hijos, l</w:t>
      </w:r>
      <w:r w:rsidR="007C49F6" w:rsidRPr="00DA4C54">
        <w:rPr>
          <w:rFonts w:ascii="Verdana" w:hAnsi="Verdana"/>
          <w:sz w:val="20"/>
          <w:szCs w:val="20"/>
        </w:rPr>
        <w:t>a Corte Interamericana ha considerado</w:t>
      </w:r>
      <w:r w:rsidR="00D47032">
        <w:rPr>
          <w:rFonts w:ascii="Verdana" w:hAnsi="Verdana"/>
          <w:sz w:val="20"/>
          <w:szCs w:val="20"/>
        </w:rPr>
        <w:t xml:space="preserve"> </w:t>
      </w:r>
      <w:r w:rsidR="00D47032" w:rsidRPr="00FC7FD5">
        <w:rPr>
          <w:rFonts w:ascii="Verdana" w:hAnsi="Verdana"/>
          <w:sz w:val="20"/>
          <w:szCs w:val="20"/>
        </w:rPr>
        <w:t>relevante</w:t>
      </w:r>
      <w:r w:rsidR="00BB00D7" w:rsidRPr="00FC7FD5">
        <w:rPr>
          <w:rFonts w:ascii="Verdana" w:hAnsi="Verdana"/>
          <w:sz w:val="20"/>
          <w:szCs w:val="20"/>
        </w:rPr>
        <w:t>,</w:t>
      </w:r>
      <w:r w:rsidR="007C49F6" w:rsidRPr="00DA4C54">
        <w:rPr>
          <w:rFonts w:ascii="Verdana" w:hAnsi="Verdana"/>
          <w:sz w:val="20"/>
          <w:szCs w:val="20"/>
        </w:rPr>
        <w:t xml:space="preserve"> para </w:t>
      </w:r>
      <w:r w:rsidR="00BB00D7" w:rsidRPr="00FC7FD5">
        <w:rPr>
          <w:rFonts w:ascii="Verdana" w:hAnsi="Verdana"/>
          <w:sz w:val="20"/>
          <w:szCs w:val="20"/>
        </w:rPr>
        <w:t xml:space="preserve">decidir </w:t>
      </w:r>
      <w:r w:rsidR="007C49F6" w:rsidRPr="00DA4C54">
        <w:rPr>
          <w:rFonts w:ascii="Verdana" w:hAnsi="Verdana"/>
          <w:sz w:val="20"/>
          <w:szCs w:val="20"/>
        </w:rPr>
        <w:t>la ampliación de medidas provisionales</w:t>
      </w:r>
      <w:r w:rsidR="00D47032" w:rsidRPr="00FC7FD5">
        <w:rPr>
          <w:rFonts w:ascii="Verdana" w:hAnsi="Verdana"/>
          <w:sz w:val="20"/>
          <w:szCs w:val="20"/>
        </w:rPr>
        <w:t>,</w:t>
      </w:r>
      <w:r w:rsidR="007C49F6" w:rsidRPr="00DA4C54">
        <w:rPr>
          <w:rFonts w:ascii="Verdana" w:hAnsi="Verdana"/>
          <w:sz w:val="20"/>
          <w:szCs w:val="20"/>
        </w:rPr>
        <w:t xml:space="preserve"> que </w:t>
      </w:r>
      <w:r w:rsidR="00BB00D7">
        <w:rPr>
          <w:rFonts w:ascii="Verdana" w:hAnsi="Verdana"/>
          <w:sz w:val="20"/>
          <w:szCs w:val="20"/>
        </w:rPr>
        <w:t>se advierta</w:t>
      </w:r>
      <w:r w:rsidR="00FC7FD5">
        <w:rPr>
          <w:rFonts w:ascii="Verdana" w:hAnsi="Verdana"/>
          <w:sz w:val="20"/>
          <w:szCs w:val="20"/>
        </w:rPr>
        <w:t xml:space="preserve"> </w:t>
      </w:r>
      <w:r w:rsidR="007C49F6" w:rsidRPr="00DA4C54">
        <w:rPr>
          <w:rFonts w:ascii="Verdana" w:hAnsi="Verdana"/>
          <w:sz w:val="20"/>
          <w:szCs w:val="20"/>
        </w:rPr>
        <w:t xml:space="preserve">una conexión fáctica con los eventos que justificaron </w:t>
      </w:r>
      <w:r w:rsidR="00D47032" w:rsidRPr="00FC7FD5">
        <w:rPr>
          <w:rFonts w:ascii="Verdana" w:hAnsi="Verdana"/>
          <w:sz w:val="20"/>
          <w:szCs w:val="20"/>
        </w:rPr>
        <w:t xml:space="preserve">su </w:t>
      </w:r>
      <w:r w:rsidR="007C49F6" w:rsidRPr="00DA4C54">
        <w:rPr>
          <w:rFonts w:ascii="Verdana" w:hAnsi="Verdana"/>
          <w:sz w:val="20"/>
          <w:szCs w:val="20"/>
        </w:rPr>
        <w:t>adopción</w:t>
      </w:r>
      <w:r w:rsidR="007C49F6">
        <w:rPr>
          <w:rStyle w:val="Refdenotaalpie"/>
          <w:rFonts w:ascii="Verdana" w:hAnsi="Verdana"/>
          <w:sz w:val="20"/>
          <w:szCs w:val="20"/>
        </w:rPr>
        <w:footnoteReference w:id="8"/>
      </w:r>
      <w:r w:rsidR="007C49F6" w:rsidRPr="00DA4C54">
        <w:rPr>
          <w:rFonts w:ascii="Verdana" w:hAnsi="Verdana"/>
          <w:sz w:val="20"/>
          <w:szCs w:val="20"/>
        </w:rPr>
        <w:t xml:space="preserve">. </w:t>
      </w:r>
      <w:r w:rsidR="00FC7FD5">
        <w:rPr>
          <w:rFonts w:ascii="Verdana" w:hAnsi="Verdana"/>
          <w:sz w:val="20"/>
          <w:szCs w:val="20"/>
        </w:rPr>
        <w:t>E</w:t>
      </w:r>
      <w:r>
        <w:rPr>
          <w:rFonts w:ascii="Verdana" w:hAnsi="Verdana"/>
          <w:sz w:val="20"/>
          <w:szCs w:val="20"/>
        </w:rPr>
        <w:t>sto ocurre en el presente asunto, pues las circunstancias que denotan un riesgo para Humberto Prado también presentan un riesgo para sus familiares. E</w:t>
      </w:r>
      <w:r w:rsidR="002F276A">
        <w:rPr>
          <w:rFonts w:ascii="Verdana" w:hAnsi="Verdana"/>
          <w:sz w:val="20"/>
          <w:szCs w:val="20"/>
        </w:rPr>
        <w:t xml:space="preserve">n ese sentido, </w:t>
      </w:r>
      <w:r w:rsidR="00D47032" w:rsidRPr="00FC7FD5">
        <w:rPr>
          <w:rFonts w:ascii="Verdana" w:hAnsi="Verdana"/>
          <w:sz w:val="20"/>
          <w:szCs w:val="20"/>
        </w:rPr>
        <w:t xml:space="preserve">la señora Girón </w:t>
      </w:r>
      <w:r>
        <w:rPr>
          <w:rFonts w:ascii="Verdana" w:hAnsi="Verdana"/>
          <w:sz w:val="20"/>
          <w:szCs w:val="20"/>
        </w:rPr>
        <w:t>se encuentra ocupando una visible función de “representante” del OVP</w:t>
      </w:r>
      <w:r w:rsidR="002F276A">
        <w:rPr>
          <w:rFonts w:ascii="Verdana" w:hAnsi="Verdana"/>
          <w:sz w:val="20"/>
          <w:szCs w:val="20"/>
        </w:rPr>
        <w:t xml:space="preserve">. Por ello, esta Corte comparte las consideraciones de la Comisión, que ha expresado que </w:t>
      </w:r>
      <w:r w:rsidR="002F276A" w:rsidRPr="002F276A">
        <w:rPr>
          <w:rFonts w:ascii="Verdana" w:hAnsi="Verdana"/>
          <w:sz w:val="20"/>
          <w:szCs w:val="20"/>
        </w:rPr>
        <w:t xml:space="preserve">los familiares del señor Prado “resultan particularmente expuestos y pueden ser objeto de represalias en su contra”, y </w:t>
      </w:r>
      <w:r w:rsidR="00D47032" w:rsidRPr="00FC7FD5">
        <w:rPr>
          <w:rFonts w:ascii="Verdana" w:hAnsi="Verdana"/>
          <w:sz w:val="20"/>
          <w:szCs w:val="20"/>
        </w:rPr>
        <w:t xml:space="preserve">entiende </w:t>
      </w:r>
      <w:r w:rsidR="002F276A" w:rsidRPr="002F276A">
        <w:rPr>
          <w:rFonts w:ascii="Verdana" w:hAnsi="Verdana"/>
          <w:sz w:val="20"/>
          <w:szCs w:val="20"/>
        </w:rPr>
        <w:t>que</w:t>
      </w:r>
      <w:r w:rsidR="00FC7FD5" w:rsidRPr="00FC7FD5">
        <w:rPr>
          <w:rFonts w:ascii="Verdana" w:hAnsi="Verdana"/>
          <w:sz w:val="20"/>
          <w:szCs w:val="20"/>
        </w:rPr>
        <w:t xml:space="preserve"> </w:t>
      </w:r>
      <w:r w:rsidR="002F276A" w:rsidRPr="002F276A">
        <w:rPr>
          <w:rFonts w:ascii="Verdana" w:hAnsi="Verdana"/>
          <w:sz w:val="20"/>
          <w:szCs w:val="20"/>
        </w:rPr>
        <w:t xml:space="preserve">se encuentran </w:t>
      </w:r>
      <w:r w:rsidR="00D47032" w:rsidRPr="00FC7FD5">
        <w:rPr>
          <w:rFonts w:ascii="Verdana" w:hAnsi="Verdana"/>
          <w:sz w:val="20"/>
          <w:szCs w:val="20"/>
        </w:rPr>
        <w:t>sometidos</w:t>
      </w:r>
      <w:r w:rsidR="00FC7FD5">
        <w:rPr>
          <w:rFonts w:ascii="Verdana" w:hAnsi="Verdana"/>
          <w:sz w:val="20"/>
          <w:szCs w:val="20"/>
        </w:rPr>
        <w:t xml:space="preserve"> </w:t>
      </w:r>
      <w:r w:rsidR="002F276A">
        <w:rPr>
          <w:rFonts w:ascii="Verdana" w:hAnsi="Verdana"/>
          <w:sz w:val="20"/>
          <w:szCs w:val="20"/>
        </w:rPr>
        <w:t xml:space="preserve">a un riesgo </w:t>
      </w:r>
      <w:r w:rsidR="002F276A" w:rsidRPr="002F276A">
        <w:rPr>
          <w:rFonts w:ascii="Verdana" w:hAnsi="Verdana"/>
          <w:sz w:val="20"/>
          <w:szCs w:val="20"/>
        </w:rPr>
        <w:t xml:space="preserve">por la función que ahora desempeña la </w:t>
      </w:r>
      <w:r w:rsidR="002F276A">
        <w:rPr>
          <w:rFonts w:ascii="Verdana" w:hAnsi="Verdana"/>
          <w:sz w:val="20"/>
          <w:szCs w:val="20"/>
        </w:rPr>
        <w:t>señora Girón</w:t>
      </w:r>
      <w:r w:rsidR="002F276A" w:rsidRPr="002F276A">
        <w:rPr>
          <w:rFonts w:ascii="Verdana" w:hAnsi="Verdana"/>
          <w:sz w:val="20"/>
          <w:szCs w:val="20"/>
        </w:rPr>
        <w:t>.</w:t>
      </w:r>
    </w:p>
    <w:p w14:paraId="5C7F310D" w14:textId="77777777" w:rsidR="002F276A" w:rsidRDefault="002F276A" w:rsidP="002F276A">
      <w:pPr>
        <w:pStyle w:val="Listavistosa-nfasis11"/>
        <w:rPr>
          <w:rFonts w:ascii="Verdana" w:hAnsi="Verdana"/>
          <w:sz w:val="20"/>
          <w:szCs w:val="20"/>
        </w:rPr>
      </w:pPr>
    </w:p>
    <w:p w14:paraId="168994C5" w14:textId="77777777" w:rsidR="002F276A" w:rsidRPr="002F276A" w:rsidRDefault="002F276A" w:rsidP="000916E4">
      <w:pPr>
        <w:widowControl w:val="0"/>
        <w:numPr>
          <w:ilvl w:val="0"/>
          <w:numId w:val="46"/>
        </w:numPr>
        <w:autoSpaceDE w:val="0"/>
        <w:autoSpaceDN w:val="0"/>
        <w:adjustRightInd w:val="0"/>
        <w:jc w:val="both"/>
        <w:rPr>
          <w:rFonts w:ascii="Verdana" w:hAnsi="Verdana"/>
          <w:sz w:val="20"/>
          <w:szCs w:val="20"/>
        </w:rPr>
      </w:pPr>
      <w:r>
        <w:rPr>
          <w:rFonts w:ascii="Verdana" w:hAnsi="Verdana"/>
          <w:sz w:val="20"/>
          <w:szCs w:val="20"/>
        </w:rPr>
        <w:t>Por ello, la Corte considera que, en el marco de las medidas provisionales vigentes</w:t>
      </w:r>
      <w:r w:rsidR="001C4A88">
        <w:rPr>
          <w:rFonts w:ascii="Verdana" w:hAnsi="Verdana"/>
          <w:sz w:val="20"/>
          <w:szCs w:val="20"/>
        </w:rPr>
        <w:t xml:space="preserve"> a favor de Humberto Prado</w:t>
      </w:r>
      <w:r>
        <w:rPr>
          <w:rFonts w:ascii="Verdana" w:hAnsi="Verdana"/>
          <w:sz w:val="20"/>
          <w:szCs w:val="20"/>
        </w:rPr>
        <w:t xml:space="preserve">, las mismas deben ser implementadas </w:t>
      </w:r>
      <w:r w:rsidR="001C4A88">
        <w:rPr>
          <w:rFonts w:ascii="Verdana" w:hAnsi="Verdana"/>
          <w:sz w:val="20"/>
          <w:szCs w:val="20"/>
        </w:rPr>
        <w:t xml:space="preserve">por el Estado </w:t>
      </w:r>
      <w:r>
        <w:rPr>
          <w:rFonts w:ascii="Verdana" w:hAnsi="Verdana"/>
          <w:sz w:val="20"/>
          <w:szCs w:val="20"/>
        </w:rPr>
        <w:t xml:space="preserve">en forma extensiva </w:t>
      </w:r>
      <w:r w:rsidR="001C4A88">
        <w:rPr>
          <w:rFonts w:ascii="Verdana" w:hAnsi="Verdana"/>
          <w:sz w:val="20"/>
          <w:szCs w:val="20"/>
        </w:rPr>
        <w:t>para abarcar también a los integrantes de su grupo familiar, a saber</w:t>
      </w:r>
      <w:r w:rsidR="00FC7FD5">
        <w:rPr>
          <w:rFonts w:ascii="Verdana" w:hAnsi="Verdana"/>
          <w:sz w:val="20"/>
          <w:szCs w:val="20"/>
        </w:rPr>
        <w:t>,</w:t>
      </w:r>
      <w:r w:rsidR="001C4A88">
        <w:rPr>
          <w:rFonts w:ascii="Verdana" w:hAnsi="Verdana"/>
          <w:sz w:val="20"/>
          <w:szCs w:val="20"/>
        </w:rPr>
        <w:t xml:space="preserve"> </w:t>
      </w:r>
      <w:r>
        <w:rPr>
          <w:rFonts w:ascii="Verdana" w:hAnsi="Verdana"/>
          <w:sz w:val="20"/>
          <w:szCs w:val="20"/>
        </w:rPr>
        <w:t xml:space="preserve">a la señora Beatriz Carolina Girón y sus hijos, Melchor Prado Girón, Julio Prado Girón y Andrés Prado Girón, </w:t>
      </w:r>
      <w:r w:rsidR="00B903AA">
        <w:rPr>
          <w:rFonts w:ascii="Verdana" w:hAnsi="Verdana"/>
          <w:sz w:val="20"/>
          <w:szCs w:val="20"/>
        </w:rPr>
        <w:t>de modo de resguardar su vida e integridad personal</w:t>
      </w:r>
      <w:r>
        <w:rPr>
          <w:rFonts w:ascii="Verdana" w:hAnsi="Verdana"/>
          <w:sz w:val="20"/>
          <w:szCs w:val="20"/>
        </w:rPr>
        <w:t xml:space="preserve">.  </w:t>
      </w:r>
    </w:p>
    <w:p w14:paraId="371D0343" w14:textId="77777777" w:rsidR="00402398" w:rsidRPr="001F0DA8" w:rsidRDefault="00402398" w:rsidP="000916E4">
      <w:pPr>
        <w:pStyle w:val="Textoindependiente"/>
        <w:rPr>
          <w:rFonts w:ascii="Verdana" w:hAnsi="Verdana"/>
          <w:b/>
          <w:lang w:val="es-CR"/>
        </w:rPr>
      </w:pPr>
    </w:p>
    <w:p w14:paraId="6F12F5EE" w14:textId="77777777" w:rsidR="00A75E8E" w:rsidRDefault="00A75E8E" w:rsidP="000916E4">
      <w:pPr>
        <w:pStyle w:val="Textoindependiente"/>
        <w:rPr>
          <w:rFonts w:ascii="Verdana" w:hAnsi="Verdana"/>
          <w:b/>
          <w:lang w:val="es-ES_tradnl"/>
        </w:rPr>
      </w:pPr>
    </w:p>
    <w:p w14:paraId="4571AE70" w14:textId="77777777" w:rsidR="000916E4" w:rsidRPr="00C2681D" w:rsidRDefault="000916E4" w:rsidP="000916E4">
      <w:pPr>
        <w:pStyle w:val="Textoindependiente"/>
        <w:rPr>
          <w:rFonts w:ascii="Verdana" w:hAnsi="Verdana"/>
          <w:b/>
          <w:lang w:val="es-ES_tradnl"/>
        </w:rPr>
      </w:pPr>
      <w:r w:rsidRPr="00C2681D">
        <w:rPr>
          <w:rFonts w:ascii="Verdana" w:hAnsi="Verdana"/>
          <w:b/>
          <w:lang w:val="es-ES_tradnl"/>
        </w:rPr>
        <w:t>POR TANTO:</w:t>
      </w:r>
    </w:p>
    <w:p w14:paraId="353DC5A5" w14:textId="77777777" w:rsidR="000916E4" w:rsidRPr="00C2681D" w:rsidRDefault="000916E4" w:rsidP="000916E4">
      <w:pPr>
        <w:jc w:val="both"/>
        <w:rPr>
          <w:rFonts w:ascii="Verdana" w:hAnsi="Verdana"/>
          <w:b/>
          <w:sz w:val="20"/>
        </w:rPr>
      </w:pPr>
    </w:p>
    <w:p w14:paraId="1DD4254F" w14:textId="77777777" w:rsidR="000916E4" w:rsidRPr="00C2681D" w:rsidRDefault="000916E4" w:rsidP="000916E4">
      <w:pPr>
        <w:jc w:val="both"/>
        <w:rPr>
          <w:rFonts w:ascii="Verdana" w:hAnsi="Verdana"/>
          <w:b/>
          <w:sz w:val="20"/>
        </w:rPr>
      </w:pPr>
    </w:p>
    <w:p w14:paraId="6EA7FD6C" w14:textId="77777777" w:rsidR="000916E4" w:rsidRPr="00C2681D" w:rsidRDefault="000916E4" w:rsidP="000916E4">
      <w:pPr>
        <w:jc w:val="both"/>
        <w:rPr>
          <w:rFonts w:ascii="Verdana" w:hAnsi="Verdana"/>
          <w:b/>
          <w:sz w:val="20"/>
        </w:rPr>
      </w:pPr>
      <w:r w:rsidRPr="00C2681D">
        <w:rPr>
          <w:rFonts w:ascii="Verdana" w:hAnsi="Verdana"/>
          <w:b/>
          <w:sz w:val="20"/>
        </w:rPr>
        <w:t xml:space="preserve">LA CORTE INTERAMERICANA DE DERECHOS HUMANOS, </w:t>
      </w:r>
    </w:p>
    <w:p w14:paraId="3DB1FB24" w14:textId="77777777" w:rsidR="000916E4" w:rsidRPr="00547BC4" w:rsidRDefault="000916E4" w:rsidP="000916E4">
      <w:pPr>
        <w:jc w:val="both"/>
        <w:rPr>
          <w:rFonts w:ascii="Verdana" w:hAnsi="Verdana"/>
          <w:sz w:val="20"/>
        </w:rPr>
      </w:pPr>
    </w:p>
    <w:p w14:paraId="6FFC64EC" w14:textId="77777777" w:rsidR="000916E4" w:rsidRPr="00547BC4" w:rsidRDefault="000916E4" w:rsidP="000916E4">
      <w:pPr>
        <w:jc w:val="both"/>
        <w:rPr>
          <w:rFonts w:ascii="Verdana" w:hAnsi="Verdana"/>
          <w:sz w:val="20"/>
        </w:rPr>
      </w:pPr>
    </w:p>
    <w:p w14:paraId="40B8B190" w14:textId="77777777" w:rsidR="000916E4" w:rsidRPr="00547BC4" w:rsidRDefault="000916E4" w:rsidP="000916E4">
      <w:pPr>
        <w:jc w:val="both"/>
        <w:rPr>
          <w:rFonts w:ascii="Verdana" w:hAnsi="Verdana"/>
          <w:sz w:val="20"/>
        </w:rPr>
      </w:pPr>
      <w:r w:rsidRPr="00547BC4">
        <w:rPr>
          <w:rFonts w:ascii="Verdana" w:hAnsi="Verdana" w:cs="Verdana"/>
          <w:sz w:val="20"/>
          <w:lang w:val="es-CR" w:bidi="en-US"/>
        </w:rPr>
        <w:t>en uso de las atribuciones que le confieren los artículos 63.2 de la Convención Americana sobre Derechos Humanos y 2</w:t>
      </w:r>
      <w:r w:rsidRPr="00547BC4" w:rsidDel="00012BD6">
        <w:rPr>
          <w:rFonts w:ascii="Verdana" w:hAnsi="Verdana" w:cs="Verdana"/>
          <w:sz w:val="20"/>
          <w:lang w:val="es-CR" w:bidi="en-US"/>
        </w:rPr>
        <w:t>7</w:t>
      </w:r>
      <w:r w:rsidRPr="00547BC4">
        <w:rPr>
          <w:rFonts w:ascii="Verdana" w:hAnsi="Verdana" w:cs="Verdana"/>
          <w:sz w:val="20"/>
          <w:lang w:val="es-CR" w:bidi="en-US"/>
        </w:rPr>
        <w:t xml:space="preserve"> y 31.2 del Reglamento del Tribunal</w:t>
      </w:r>
      <w:r w:rsidRPr="00547BC4">
        <w:rPr>
          <w:rFonts w:ascii="Verdana" w:hAnsi="Verdana" w:cs="Verdana"/>
          <w:sz w:val="20"/>
          <w:lang w:bidi="en-US"/>
        </w:rPr>
        <w:t>,</w:t>
      </w:r>
      <w:r w:rsidRPr="00547BC4">
        <w:rPr>
          <w:rFonts w:ascii="Verdana" w:hAnsi="Verdana"/>
          <w:sz w:val="20"/>
        </w:rPr>
        <w:t xml:space="preserve"> </w:t>
      </w:r>
    </w:p>
    <w:p w14:paraId="0880B6A9" w14:textId="77777777" w:rsidR="000916E4" w:rsidRPr="00547BC4" w:rsidRDefault="000916E4" w:rsidP="006D1531">
      <w:pPr>
        <w:jc w:val="both"/>
        <w:rPr>
          <w:rFonts w:ascii="Verdana" w:hAnsi="Verdana"/>
          <w:b/>
          <w:sz w:val="20"/>
        </w:rPr>
      </w:pPr>
    </w:p>
    <w:p w14:paraId="4CEC2099" w14:textId="77777777" w:rsidR="000916E4" w:rsidRPr="00547BC4" w:rsidRDefault="000916E4" w:rsidP="006D1531">
      <w:pPr>
        <w:jc w:val="both"/>
        <w:rPr>
          <w:rFonts w:ascii="Verdana" w:hAnsi="Verdana"/>
          <w:b/>
          <w:sz w:val="20"/>
        </w:rPr>
      </w:pPr>
    </w:p>
    <w:p w14:paraId="19AB780F" w14:textId="77777777" w:rsidR="000916E4" w:rsidRPr="00C2681D" w:rsidRDefault="000916E4" w:rsidP="00BC045D">
      <w:pPr>
        <w:jc w:val="both"/>
        <w:rPr>
          <w:rFonts w:ascii="Verdana" w:hAnsi="Verdana"/>
          <w:b/>
          <w:sz w:val="20"/>
        </w:rPr>
      </w:pPr>
      <w:r w:rsidRPr="00C2681D">
        <w:rPr>
          <w:rFonts w:ascii="Verdana" w:hAnsi="Verdana"/>
          <w:b/>
          <w:sz w:val="20"/>
        </w:rPr>
        <w:t>RESUELVE:</w:t>
      </w:r>
    </w:p>
    <w:p w14:paraId="62298F32" w14:textId="77777777" w:rsidR="000916E4" w:rsidRDefault="000916E4" w:rsidP="00AD01B3">
      <w:pPr>
        <w:jc w:val="both"/>
        <w:rPr>
          <w:rFonts w:ascii="Verdana" w:hAnsi="Verdana"/>
          <w:sz w:val="20"/>
        </w:rPr>
      </w:pPr>
    </w:p>
    <w:p w14:paraId="6F675065" w14:textId="77777777" w:rsidR="00A75E8E" w:rsidRPr="001438CC" w:rsidRDefault="00A75E8E" w:rsidP="00AD01B3">
      <w:pPr>
        <w:jc w:val="both"/>
        <w:rPr>
          <w:rFonts w:ascii="Verdana" w:hAnsi="Verdana"/>
          <w:sz w:val="20"/>
        </w:rPr>
      </w:pPr>
    </w:p>
    <w:p w14:paraId="69842DB9" w14:textId="77777777" w:rsidR="002F276A" w:rsidRDefault="002F697C" w:rsidP="00B903AA">
      <w:pPr>
        <w:numPr>
          <w:ilvl w:val="0"/>
          <w:numId w:val="50"/>
        </w:numPr>
        <w:spacing w:before="60" w:after="60"/>
        <w:ind w:right="-8"/>
        <w:jc w:val="both"/>
        <w:rPr>
          <w:rFonts w:ascii="Verdana" w:hAnsi="Verdana"/>
          <w:sz w:val="20"/>
          <w:szCs w:val="20"/>
        </w:rPr>
      </w:pPr>
      <w:r w:rsidRPr="005F7621">
        <w:rPr>
          <w:rFonts w:ascii="Verdana" w:hAnsi="Verdana"/>
          <w:sz w:val="20"/>
          <w:szCs w:val="20"/>
        </w:rPr>
        <w:t xml:space="preserve">Mantener las medidas provisionales ordenadas por la Corte Interamericana de Derechos Humanos </w:t>
      </w:r>
      <w:r w:rsidR="002F276A">
        <w:rPr>
          <w:rFonts w:ascii="Verdana" w:hAnsi="Verdana"/>
          <w:sz w:val="20"/>
          <w:szCs w:val="20"/>
        </w:rPr>
        <w:t xml:space="preserve">a favor de Humberto Prado </w:t>
      </w:r>
      <w:r w:rsidRPr="005F7621">
        <w:rPr>
          <w:rFonts w:ascii="Verdana" w:hAnsi="Verdana"/>
          <w:sz w:val="20"/>
          <w:szCs w:val="20"/>
        </w:rPr>
        <w:t xml:space="preserve">mediante sus Resoluciones de </w:t>
      </w:r>
      <w:r w:rsidR="00004CE7">
        <w:rPr>
          <w:rFonts w:ascii="Verdana" w:hAnsi="Verdana"/>
          <w:sz w:val="20"/>
          <w:szCs w:val="20"/>
          <w:lang w:val="es-ES_tradnl"/>
        </w:rPr>
        <w:t>24 de noviembre de 2009</w:t>
      </w:r>
      <w:r w:rsidR="00004CE7">
        <w:rPr>
          <w:rFonts w:ascii="Verdana" w:hAnsi="Verdana"/>
          <w:sz w:val="20"/>
          <w:szCs w:val="20"/>
        </w:rPr>
        <w:t>, 6</w:t>
      </w:r>
      <w:r w:rsidR="00004CE7" w:rsidRPr="00FF7333">
        <w:rPr>
          <w:rFonts w:ascii="Verdana" w:hAnsi="Verdana"/>
          <w:sz w:val="20"/>
          <w:szCs w:val="20"/>
        </w:rPr>
        <w:t xml:space="preserve"> de julio de 2011</w:t>
      </w:r>
      <w:r w:rsidR="002F276A">
        <w:rPr>
          <w:rFonts w:ascii="Verdana" w:hAnsi="Verdana"/>
          <w:sz w:val="20"/>
          <w:szCs w:val="20"/>
        </w:rPr>
        <w:t xml:space="preserve">, </w:t>
      </w:r>
      <w:r w:rsidR="00004CE7">
        <w:rPr>
          <w:rFonts w:ascii="Verdana" w:hAnsi="Verdana"/>
          <w:sz w:val="20"/>
          <w:szCs w:val="20"/>
        </w:rPr>
        <w:t>6 de septiembre de 2012</w:t>
      </w:r>
      <w:r w:rsidR="002F276A">
        <w:rPr>
          <w:rFonts w:ascii="Verdana" w:hAnsi="Verdana"/>
          <w:sz w:val="20"/>
          <w:szCs w:val="20"/>
        </w:rPr>
        <w:t xml:space="preserve"> y 13 de noviembre de 2015</w:t>
      </w:r>
      <w:r w:rsidR="00B903AA">
        <w:rPr>
          <w:rFonts w:ascii="Verdana" w:hAnsi="Verdana"/>
          <w:sz w:val="20"/>
          <w:szCs w:val="20"/>
        </w:rPr>
        <w:t>.</w:t>
      </w:r>
    </w:p>
    <w:p w14:paraId="0EDAF5F1" w14:textId="77777777" w:rsidR="00A75E8E" w:rsidRDefault="00A75E8E" w:rsidP="00B903AA">
      <w:pPr>
        <w:spacing w:before="60" w:after="60"/>
        <w:ind w:right="-8"/>
        <w:jc w:val="both"/>
        <w:rPr>
          <w:rFonts w:ascii="Verdana" w:hAnsi="Verdana"/>
          <w:sz w:val="20"/>
          <w:szCs w:val="20"/>
        </w:rPr>
      </w:pPr>
    </w:p>
    <w:p w14:paraId="0119C8F7" w14:textId="77777777" w:rsidR="00B903AA" w:rsidRDefault="007E6CAD" w:rsidP="00B903AA">
      <w:pPr>
        <w:numPr>
          <w:ilvl w:val="0"/>
          <w:numId w:val="50"/>
        </w:numPr>
        <w:spacing w:before="60" w:after="60"/>
        <w:ind w:right="-8"/>
        <w:jc w:val="both"/>
        <w:rPr>
          <w:rFonts w:ascii="Verdana" w:hAnsi="Verdana"/>
          <w:sz w:val="20"/>
          <w:szCs w:val="20"/>
        </w:rPr>
      </w:pPr>
      <w:r>
        <w:rPr>
          <w:rFonts w:ascii="Verdana" w:hAnsi="Verdana"/>
          <w:sz w:val="20"/>
          <w:szCs w:val="20"/>
        </w:rPr>
        <w:t>Extender</w:t>
      </w:r>
      <w:r w:rsidR="00B903AA">
        <w:rPr>
          <w:rFonts w:ascii="Verdana" w:hAnsi="Verdana"/>
          <w:sz w:val="20"/>
          <w:szCs w:val="20"/>
        </w:rPr>
        <w:t xml:space="preserve"> las medi</w:t>
      </w:r>
      <w:r w:rsidR="00AB55C4">
        <w:rPr>
          <w:rFonts w:ascii="Verdana" w:hAnsi="Verdana"/>
          <w:sz w:val="20"/>
          <w:szCs w:val="20"/>
        </w:rPr>
        <w:t>da</w:t>
      </w:r>
      <w:r w:rsidR="00B903AA">
        <w:rPr>
          <w:rFonts w:ascii="Verdana" w:hAnsi="Verdana"/>
          <w:sz w:val="20"/>
          <w:szCs w:val="20"/>
        </w:rPr>
        <w:t xml:space="preserve">s provisionales ordenadas y, por lo tanto, requerir al Estado que, en forma inmediata, adopte las medidas de protección necesarias para garantizar la vida e integridad personal de Beatriz Carolina Girón y sus hijos, Melchor Prado Girón, Julio Prado Girón y Andrés Prado Girón. </w:t>
      </w:r>
    </w:p>
    <w:p w14:paraId="553F57DD" w14:textId="77777777" w:rsidR="00285E78" w:rsidRDefault="002F276A" w:rsidP="00B903AA">
      <w:pPr>
        <w:spacing w:before="60" w:after="60"/>
        <w:ind w:right="-8"/>
        <w:jc w:val="both"/>
        <w:rPr>
          <w:rFonts w:ascii="Verdana" w:hAnsi="Verdana" w:cs="Arial"/>
          <w:sz w:val="20"/>
        </w:rPr>
      </w:pPr>
      <w:r>
        <w:rPr>
          <w:rFonts w:ascii="Verdana" w:hAnsi="Verdana"/>
          <w:sz w:val="20"/>
          <w:szCs w:val="20"/>
        </w:rPr>
        <w:t xml:space="preserve"> </w:t>
      </w:r>
    </w:p>
    <w:p w14:paraId="7A1A9299" w14:textId="77777777" w:rsidR="001F0DA8" w:rsidRPr="00B903AA" w:rsidRDefault="004D045F" w:rsidP="00B903AA">
      <w:pPr>
        <w:numPr>
          <w:ilvl w:val="0"/>
          <w:numId w:val="50"/>
        </w:numPr>
        <w:spacing w:before="20" w:after="40"/>
        <w:jc w:val="both"/>
        <w:rPr>
          <w:rFonts w:ascii="Verdana" w:hAnsi="Verdana"/>
          <w:sz w:val="20"/>
        </w:rPr>
      </w:pPr>
      <w:r w:rsidRPr="00B74C4F">
        <w:rPr>
          <w:rFonts w:ascii="Verdana" w:hAnsi="Verdana"/>
          <w:sz w:val="20"/>
        </w:rPr>
        <w:t xml:space="preserve">Reiterar </w:t>
      </w:r>
      <w:r>
        <w:rPr>
          <w:rFonts w:ascii="Verdana" w:hAnsi="Verdana"/>
          <w:sz w:val="20"/>
        </w:rPr>
        <w:t>a</w:t>
      </w:r>
      <w:r w:rsidRPr="00B74C4F">
        <w:rPr>
          <w:rFonts w:ascii="Verdana" w:hAnsi="Verdana"/>
          <w:sz w:val="20"/>
        </w:rPr>
        <w:t xml:space="preserve">l Estado </w:t>
      </w:r>
      <w:r>
        <w:rPr>
          <w:rFonts w:ascii="Verdana" w:hAnsi="Verdana"/>
          <w:sz w:val="20"/>
        </w:rPr>
        <w:t>que</w:t>
      </w:r>
      <w:r w:rsidR="00B903AA">
        <w:rPr>
          <w:rFonts w:ascii="Verdana" w:hAnsi="Verdana"/>
          <w:sz w:val="20"/>
        </w:rPr>
        <w:t>, en los términos del punto resolutivo 3 de la Resolución de la Corte de 13 de noviembre de 2015 (</w:t>
      </w:r>
      <w:r w:rsidR="00B903AA">
        <w:rPr>
          <w:rFonts w:ascii="Verdana" w:hAnsi="Verdana"/>
          <w:i/>
          <w:sz w:val="20"/>
        </w:rPr>
        <w:t xml:space="preserve">supra </w:t>
      </w:r>
      <w:r w:rsidR="00B903AA">
        <w:rPr>
          <w:rFonts w:ascii="Verdana" w:hAnsi="Verdana"/>
          <w:sz w:val="20"/>
        </w:rPr>
        <w:t xml:space="preserve">Visto </w:t>
      </w:r>
      <w:r w:rsidR="00D768B8">
        <w:rPr>
          <w:rFonts w:ascii="Verdana" w:hAnsi="Verdana"/>
          <w:sz w:val="20"/>
        </w:rPr>
        <w:t>1</w:t>
      </w:r>
      <w:r w:rsidR="00B903AA">
        <w:rPr>
          <w:rFonts w:ascii="Verdana" w:hAnsi="Verdana"/>
          <w:sz w:val="20"/>
        </w:rPr>
        <w:t>),</w:t>
      </w:r>
      <w:r>
        <w:rPr>
          <w:rFonts w:ascii="Verdana" w:hAnsi="Verdana"/>
          <w:sz w:val="20"/>
        </w:rPr>
        <w:t xml:space="preserve"> tiene la obligación </w:t>
      </w:r>
      <w:r w:rsidRPr="00B74C4F">
        <w:rPr>
          <w:rFonts w:ascii="Verdana" w:hAnsi="Verdana"/>
          <w:sz w:val="20"/>
        </w:rPr>
        <w:t>de</w:t>
      </w:r>
      <w:r w:rsidRPr="004D045F">
        <w:rPr>
          <w:rFonts w:ascii="Verdana" w:hAnsi="Verdana"/>
          <w:sz w:val="20"/>
        </w:rPr>
        <w:t xml:space="preserve"> </w:t>
      </w:r>
      <w:r w:rsidRPr="00143430">
        <w:rPr>
          <w:rFonts w:ascii="Verdana" w:hAnsi="Verdana"/>
          <w:sz w:val="20"/>
        </w:rPr>
        <w:t xml:space="preserve">informar </w:t>
      </w:r>
      <w:r w:rsidR="00655B21">
        <w:rPr>
          <w:rFonts w:ascii="Verdana" w:hAnsi="Verdana"/>
          <w:sz w:val="20"/>
        </w:rPr>
        <w:t xml:space="preserve">trimestralmente </w:t>
      </w:r>
      <w:r w:rsidRPr="00143430">
        <w:rPr>
          <w:rFonts w:ascii="Verdana" w:hAnsi="Verdana"/>
          <w:sz w:val="20"/>
        </w:rPr>
        <w:t>a la Corte Interamericana sobre la implementación de las medidas ordenadas.</w:t>
      </w:r>
      <w:r w:rsidR="00B903AA">
        <w:rPr>
          <w:rFonts w:ascii="Verdana" w:hAnsi="Verdana"/>
          <w:sz w:val="20"/>
        </w:rPr>
        <w:t xml:space="preserve"> </w:t>
      </w:r>
      <w:r w:rsidR="001F0DA8" w:rsidRPr="00B903AA">
        <w:rPr>
          <w:rFonts w:ascii="Verdana" w:hAnsi="Verdana" w:cs="Verdana"/>
          <w:sz w:val="20"/>
          <w:lang w:eastAsia="en-US"/>
        </w:rPr>
        <w:t>Los beneficiarios de las medidas o sus representantes deberán presentar sus observaciones a los citados informes de manera conjunta</w:t>
      </w:r>
      <w:r w:rsidR="00FC7FD5">
        <w:rPr>
          <w:rFonts w:ascii="Verdana" w:hAnsi="Verdana" w:cs="Verdana"/>
          <w:sz w:val="20"/>
          <w:lang w:eastAsia="en-US"/>
        </w:rPr>
        <w:t>,</w:t>
      </w:r>
      <w:r w:rsidR="001F0DA8" w:rsidRPr="00B903AA">
        <w:rPr>
          <w:rFonts w:ascii="Verdana" w:hAnsi="Verdana" w:cs="Verdana"/>
          <w:sz w:val="20"/>
          <w:lang w:eastAsia="en-US"/>
        </w:rPr>
        <w:t xml:space="preserve"> en un único escrito</w:t>
      </w:r>
      <w:r w:rsidR="00FC7FD5">
        <w:rPr>
          <w:rFonts w:ascii="Verdana" w:hAnsi="Verdana" w:cs="Verdana"/>
          <w:sz w:val="20"/>
          <w:lang w:eastAsia="en-US"/>
        </w:rPr>
        <w:t>,</w:t>
      </w:r>
      <w:r w:rsidR="001F0DA8" w:rsidRPr="00B903AA">
        <w:rPr>
          <w:rFonts w:ascii="Verdana" w:hAnsi="Verdana" w:cs="Verdana"/>
          <w:sz w:val="20"/>
          <w:lang w:eastAsia="en-US"/>
        </w:rPr>
        <w:t xml:space="preserve"> en el plazo de cuatro semanas, contado a partir de la recepción de los </w:t>
      </w:r>
      <w:r w:rsidR="00AB55C4">
        <w:rPr>
          <w:rFonts w:ascii="Verdana" w:hAnsi="Verdana" w:cs="Verdana"/>
          <w:sz w:val="20"/>
          <w:lang w:eastAsia="en-US"/>
        </w:rPr>
        <w:t>informes estatales</w:t>
      </w:r>
      <w:r w:rsidR="001F0DA8" w:rsidRPr="00B903AA">
        <w:rPr>
          <w:rFonts w:ascii="Verdana" w:hAnsi="Verdana" w:cs="Verdana"/>
          <w:sz w:val="20"/>
          <w:lang w:eastAsia="en-US"/>
        </w:rPr>
        <w:t>. De igual forma, la Comisión Interamericana de Derechos Humanos deberá presentar sus observaciones en un único escrito en el plazo de seis semanas, contado a partir de la recepción de los informes estatales.</w:t>
      </w:r>
    </w:p>
    <w:p w14:paraId="6876F0AA" w14:textId="77777777" w:rsidR="00A75E8E" w:rsidRPr="001F0DA8" w:rsidRDefault="00A75E8E" w:rsidP="000916E4">
      <w:pPr>
        <w:spacing w:before="20" w:after="40"/>
        <w:rPr>
          <w:rFonts w:ascii="Verdana" w:hAnsi="Verdana" w:cs="Arial"/>
          <w:sz w:val="20"/>
          <w:lang w:val="es-CR"/>
        </w:rPr>
      </w:pPr>
    </w:p>
    <w:p w14:paraId="35FB97FA" w14:textId="77777777" w:rsidR="000916E4" w:rsidRPr="001438CC" w:rsidRDefault="000916E4" w:rsidP="00A75E8E">
      <w:pPr>
        <w:numPr>
          <w:ilvl w:val="0"/>
          <w:numId w:val="50"/>
        </w:numPr>
        <w:jc w:val="both"/>
        <w:rPr>
          <w:rFonts w:ascii="Verdana" w:hAnsi="Verdana"/>
          <w:sz w:val="20"/>
        </w:rPr>
      </w:pPr>
      <w:r w:rsidRPr="000F10BE">
        <w:rPr>
          <w:rFonts w:ascii="Verdana" w:hAnsi="Verdana"/>
          <w:sz w:val="20"/>
          <w:lang w:val="es-CR"/>
        </w:rPr>
        <w:t>Disponer</w:t>
      </w:r>
      <w:r w:rsidRPr="00523CAB">
        <w:rPr>
          <w:rFonts w:ascii="Verdana" w:hAnsi="Verdana" w:cs="Arial"/>
          <w:sz w:val="20"/>
        </w:rPr>
        <w:t xml:space="preserve"> que la Sec</w:t>
      </w:r>
      <w:r w:rsidR="00FC7FD5">
        <w:rPr>
          <w:rFonts w:ascii="Verdana" w:hAnsi="Verdana"/>
          <w:sz w:val="20"/>
        </w:rPr>
        <w:t>retaría de la Corte Interamericana de Derechos Humanos</w:t>
      </w:r>
      <w:r w:rsidRPr="00523CAB">
        <w:rPr>
          <w:rFonts w:ascii="Verdana" w:hAnsi="Verdana"/>
          <w:sz w:val="20"/>
        </w:rPr>
        <w:t xml:space="preserve"> notifique la presente </w:t>
      </w:r>
      <w:r w:rsidRPr="001438CC">
        <w:rPr>
          <w:rFonts w:ascii="Verdana" w:hAnsi="Verdana"/>
          <w:sz w:val="20"/>
        </w:rPr>
        <w:t>Resolución a la República Bolivariana de Venezuela, a la Comisión Interamericana de Derechos Humanos y a los representantes de</w:t>
      </w:r>
      <w:r>
        <w:rPr>
          <w:rFonts w:ascii="Verdana" w:hAnsi="Verdana"/>
          <w:sz w:val="20"/>
        </w:rPr>
        <w:t xml:space="preserve"> </w:t>
      </w:r>
      <w:r w:rsidRPr="001438CC">
        <w:rPr>
          <w:rFonts w:ascii="Verdana" w:hAnsi="Verdana"/>
          <w:sz w:val="20"/>
        </w:rPr>
        <w:t>l</w:t>
      </w:r>
      <w:r w:rsidR="00DA7312">
        <w:rPr>
          <w:rFonts w:ascii="Verdana" w:hAnsi="Verdana"/>
          <w:sz w:val="20"/>
        </w:rPr>
        <w:t>a</w:t>
      </w:r>
      <w:r>
        <w:rPr>
          <w:rFonts w:ascii="Verdana" w:hAnsi="Verdana"/>
          <w:sz w:val="20"/>
        </w:rPr>
        <w:t>s</w:t>
      </w:r>
      <w:r w:rsidRPr="001438CC">
        <w:rPr>
          <w:rFonts w:ascii="Verdana" w:hAnsi="Verdana"/>
          <w:sz w:val="20"/>
        </w:rPr>
        <w:t xml:space="preserve"> </w:t>
      </w:r>
      <w:r w:rsidR="00DA7312">
        <w:rPr>
          <w:rFonts w:ascii="Verdana" w:hAnsi="Verdana"/>
          <w:sz w:val="20"/>
        </w:rPr>
        <w:t xml:space="preserve">personas </w:t>
      </w:r>
      <w:r w:rsidRPr="001438CC">
        <w:rPr>
          <w:rFonts w:ascii="Verdana" w:hAnsi="Verdana"/>
          <w:sz w:val="20"/>
        </w:rPr>
        <w:t>beneficiari</w:t>
      </w:r>
      <w:r w:rsidR="00DA7312">
        <w:rPr>
          <w:rFonts w:ascii="Verdana" w:hAnsi="Verdana"/>
          <w:sz w:val="20"/>
        </w:rPr>
        <w:t>a</w:t>
      </w:r>
      <w:r>
        <w:rPr>
          <w:rFonts w:ascii="Verdana" w:hAnsi="Verdana"/>
          <w:sz w:val="20"/>
        </w:rPr>
        <w:t>s</w:t>
      </w:r>
      <w:r w:rsidRPr="001438CC">
        <w:rPr>
          <w:rFonts w:ascii="Verdana" w:hAnsi="Verdana"/>
          <w:sz w:val="20"/>
        </w:rPr>
        <w:t>.</w:t>
      </w:r>
    </w:p>
    <w:p w14:paraId="10023315" w14:textId="77777777" w:rsidR="000916E4" w:rsidRDefault="000916E4" w:rsidP="00A75E8E">
      <w:pPr>
        <w:tabs>
          <w:tab w:val="left" w:pos="680"/>
        </w:tabs>
        <w:jc w:val="both"/>
        <w:rPr>
          <w:rFonts w:ascii="Verdana" w:hAnsi="Verdana"/>
          <w:sz w:val="20"/>
        </w:rPr>
      </w:pPr>
    </w:p>
    <w:p w14:paraId="3F6E5743" w14:textId="77777777" w:rsidR="007B0ABA" w:rsidRDefault="007B0ABA" w:rsidP="00A75E8E">
      <w:pPr>
        <w:tabs>
          <w:tab w:val="left" w:pos="680"/>
        </w:tabs>
        <w:jc w:val="both"/>
        <w:rPr>
          <w:rFonts w:ascii="Verdana" w:hAnsi="Verdana"/>
          <w:sz w:val="20"/>
        </w:rPr>
      </w:pPr>
    </w:p>
    <w:p w14:paraId="07168CBF" w14:textId="77777777" w:rsidR="007B0ABA" w:rsidRDefault="007B0ABA" w:rsidP="00A75E8E">
      <w:pPr>
        <w:tabs>
          <w:tab w:val="left" w:pos="680"/>
        </w:tabs>
        <w:jc w:val="both"/>
        <w:rPr>
          <w:rFonts w:ascii="Verdana" w:hAnsi="Verdana"/>
          <w:sz w:val="20"/>
        </w:rPr>
      </w:pPr>
    </w:p>
    <w:p w14:paraId="072221FB" w14:textId="77777777" w:rsidR="007B0ABA" w:rsidRDefault="00DD2F43" w:rsidP="00A75E8E">
      <w:pPr>
        <w:tabs>
          <w:tab w:val="left" w:pos="680"/>
        </w:tabs>
        <w:jc w:val="both"/>
        <w:rPr>
          <w:rFonts w:ascii="Verdana" w:hAnsi="Verdana"/>
          <w:sz w:val="20"/>
        </w:rPr>
      </w:pPr>
      <w:r>
        <w:rPr>
          <w:rFonts w:ascii="Verdana" w:hAnsi="Verdana"/>
          <w:sz w:val="20"/>
        </w:rPr>
        <w:t>Corte IDH.</w:t>
      </w:r>
      <w:r w:rsidR="00085A41">
        <w:rPr>
          <w:rFonts w:ascii="Verdana" w:hAnsi="Verdana"/>
          <w:sz w:val="20"/>
        </w:rPr>
        <w:t xml:space="preserve"> </w:t>
      </w:r>
      <w:r w:rsidR="00085A41" w:rsidRPr="00DD2F43">
        <w:rPr>
          <w:rFonts w:ascii="Verdana" w:hAnsi="Verdana"/>
          <w:i/>
          <w:sz w:val="20"/>
        </w:rPr>
        <w:t xml:space="preserve">Asuntos de determinados Centros Penitenciarios de Venezuela, Humberto Prado, Marianela Sánchez Ortiz y </w:t>
      </w:r>
      <w:r w:rsidR="00730F03" w:rsidRPr="00DD2F43">
        <w:rPr>
          <w:rFonts w:ascii="Verdana" w:hAnsi="Verdana"/>
          <w:i/>
          <w:sz w:val="20"/>
        </w:rPr>
        <w:t>f</w:t>
      </w:r>
      <w:r w:rsidR="00085A41" w:rsidRPr="00DD2F43">
        <w:rPr>
          <w:rFonts w:ascii="Verdana" w:hAnsi="Verdana"/>
          <w:i/>
          <w:sz w:val="20"/>
        </w:rPr>
        <w:t xml:space="preserve">amilia. </w:t>
      </w:r>
      <w:r>
        <w:rPr>
          <w:rFonts w:ascii="Verdana" w:hAnsi="Verdana"/>
          <w:sz w:val="20"/>
        </w:rPr>
        <w:t>Resolución de la Corte Interamericana de Derechos Humanos de 8 de julio de 2020.</w:t>
      </w:r>
    </w:p>
    <w:p w14:paraId="437E3C33" w14:textId="77777777" w:rsidR="00085A41" w:rsidRDefault="00085A41" w:rsidP="00C657E5">
      <w:pPr>
        <w:tabs>
          <w:tab w:val="left" w:pos="680"/>
        </w:tabs>
        <w:spacing w:after="120"/>
        <w:jc w:val="both"/>
        <w:rPr>
          <w:rFonts w:ascii="Verdana" w:hAnsi="Verdana"/>
          <w:sz w:val="20"/>
        </w:rPr>
      </w:pPr>
    </w:p>
    <w:p w14:paraId="5CD85C33" w14:textId="77777777" w:rsidR="00A1229E" w:rsidRDefault="00A1229E" w:rsidP="00C657E5">
      <w:pPr>
        <w:tabs>
          <w:tab w:val="left" w:pos="680"/>
        </w:tabs>
        <w:spacing w:after="120"/>
        <w:jc w:val="both"/>
        <w:rPr>
          <w:rFonts w:ascii="Verdana" w:hAnsi="Verdana"/>
          <w:sz w:val="20"/>
        </w:rPr>
      </w:pPr>
    </w:p>
    <w:p w14:paraId="7355EB0A" w14:textId="77777777" w:rsidR="00A07AD7" w:rsidRDefault="00A07AD7" w:rsidP="00C657E5">
      <w:pPr>
        <w:tabs>
          <w:tab w:val="left" w:pos="680"/>
        </w:tabs>
        <w:spacing w:after="120"/>
        <w:jc w:val="both"/>
        <w:rPr>
          <w:rFonts w:ascii="Verdana" w:hAnsi="Verdana"/>
          <w:sz w:val="20"/>
        </w:rPr>
      </w:pPr>
    </w:p>
    <w:p w14:paraId="4226C8A8" w14:textId="77777777" w:rsidR="00A1229E" w:rsidRDefault="00A1229E" w:rsidP="00C657E5">
      <w:pPr>
        <w:tabs>
          <w:tab w:val="left" w:pos="680"/>
        </w:tabs>
        <w:spacing w:after="120"/>
        <w:jc w:val="both"/>
        <w:rPr>
          <w:rFonts w:ascii="Verdana" w:hAnsi="Verdana"/>
          <w:sz w:val="20"/>
        </w:rPr>
      </w:pPr>
    </w:p>
    <w:p w14:paraId="64ECAFC4" w14:textId="77777777" w:rsidR="00A1229E" w:rsidRDefault="00A1229E" w:rsidP="00A1229E">
      <w:pPr>
        <w:jc w:val="center"/>
        <w:rPr>
          <w:rFonts w:ascii="Verdana" w:hAnsi="Verdana"/>
          <w:sz w:val="20"/>
          <w:lang w:val="pt-BR"/>
        </w:rPr>
      </w:pPr>
      <w:r>
        <w:rPr>
          <w:rFonts w:ascii="Verdana" w:hAnsi="Verdana"/>
          <w:sz w:val="20"/>
          <w:lang w:val="pt-BR"/>
        </w:rPr>
        <w:t>Elizabeth Odio Benito</w:t>
      </w:r>
    </w:p>
    <w:p w14:paraId="671FF121" w14:textId="77777777" w:rsidR="00A1229E" w:rsidRDefault="00A1229E" w:rsidP="00A1229E">
      <w:pPr>
        <w:jc w:val="center"/>
        <w:rPr>
          <w:rFonts w:ascii="Verdana" w:hAnsi="Verdana"/>
          <w:sz w:val="20"/>
          <w:lang w:val="pt-BR"/>
        </w:rPr>
      </w:pPr>
      <w:r>
        <w:rPr>
          <w:rFonts w:ascii="Verdana" w:hAnsi="Verdana"/>
          <w:sz w:val="20"/>
          <w:lang w:val="pt-BR"/>
        </w:rPr>
        <w:t>Presidenta</w:t>
      </w:r>
    </w:p>
    <w:p w14:paraId="4F7273A7" w14:textId="77777777" w:rsidR="00A1229E" w:rsidRDefault="00A1229E" w:rsidP="00A1229E">
      <w:pPr>
        <w:jc w:val="center"/>
        <w:rPr>
          <w:rFonts w:ascii="Verdana" w:hAnsi="Verdana"/>
          <w:sz w:val="20"/>
          <w:lang w:val="pt-BR"/>
        </w:rPr>
      </w:pPr>
    </w:p>
    <w:p w14:paraId="74CBA063" w14:textId="77777777" w:rsidR="00A07AD7" w:rsidRDefault="00A07AD7" w:rsidP="00A1229E">
      <w:pPr>
        <w:jc w:val="center"/>
        <w:rPr>
          <w:rFonts w:ascii="Verdana" w:hAnsi="Verdana"/>
          <w:sz w:val="20"/>
          <w:lang w:val="pt-BR"/>
        </w:rPr>
      </w:pPr>
    </w:p>
    <w:p w14:paraId="42D4E42F" w14:textId="77777777" w:rsidR="00A1229E" w:rsidRDefault="00A1229E" w:rsidP="00A1229E">
      <w:pPr>
        <w:jc w:val="center"/>
        <w:rPr>
          <w:rFonts w:ascii="Verdana" w:hAnsi="Verdana"/>
          <w:sz w:val="20"/>
          <w:lang w:val="pt-BR"/>
        </w:rPr>
      </w:pPr>
    </w:p>
    <w:p w14:paraId="7C42C067" w14:textId="77777777" w:rsidR="00A1229E" w:rsidRDefault="00A1229E" w:rsidP="00A1229E">
      <w:pPr>
        <w:rPr>
          <w:rFonts w:ascii="Verdana" w:hAnsi="Verdana"/>
          <w:sz w:val="20"/>
          <w:lang w:val="pt-BR"/>
        </w:rPr>
      </w:pPr>
    </w:p>
    <w:p w14:paraId="27DC2DC0" w14:textId="77777777" w:rsidR="00A1229E" w:rsidRDefault="00A1229E" w:rsidP="00A1229E">
      <w:pPr>
        <w:rPr>
          <w:rFonts w:ascii="Verdana" w:hAnsi="Verdana"/>
          <w:sz w:val="20"/>
          <w:lang w:val="pt-BR"/>
        </w:rPr>
      </w:pPr>
    </w:p>
    <w:p w14:paraId="44D3DBD1" w14:textId="77777777" w:rsidR="00A1229E" w:rsidRDefault="00A1229E" w:rsidP="00A1229E">
      <w:pPr>
        <w:rPr>
          <w:rFonts w:ascii="Verdana" w:hAnsi="Verdana"/>
          <w:sz w:val="20"/>
          <w:lang w:val="pt-BR"/>
        </w:rPr>
      </w:pPr>
      <w:r>
        <w:rPr>
          <w:rFonts w:ascii="Verdana" w:hAnsi="Verdana"/>
          <w:sz w:val="20"/>
          <w:lang w:val="pt-BR"/>
        </w:rPr>
        <w:t>L. Patricio Pazmiño Frei</w:t>
      </w:r>
      <w:r w:rsidRPr="0019261A">
        <w:rPr>
          <w:rFonts w:ascii="Verdana" w:hAnsi="Verdana"/>
          <w:sz w:val="20"/>
          <w:lang w:val="pt-BR"/>
        </w:rPr>
        <w:t>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00A07AD7">
        <w:rPr>
          <w:rFonts w:ascii="Verdana" w:hAnsi="Verdana"/>
          <w:sz w:val="20"/>
          <w:lang w:val="pt-BR"/>
        </w:rPr>
        <w:t xml:space="preserve">    </w:t>
      </w:r>
      <w:r>
        <w:rPr>
          <w:rFonts w:ascii="Verdana" w:hAnsi="Verdana"/>
          <w:sz w:val="20"/>
          <w:lang w:val="pt-BR"/>
        </w:rPr>
        <w:t>Eduardo Vio Grossi</w:t>
      </w:r>
    </w:p>
    <w:p w14:paraId="0EA4BC31" w14:textId="77777777" w:rsidR="00A1229E" w:rsidRDefault="00A1229E" w:rsidP="00A1229E">
      <w:pPr>
        <w:rPr>
          <w:rFonts w:ascii="Verdana" w:hAnsi="Verdana"/>
          <w:sz w:val="20"/>
          <w:lang w:val="pt-BR"/>
        </w:rPr>
      </w:pPr>
    </w:p>
    <w:p w14:paraId="60D4606B" w14:textId="77777777" w:rsidR="00A1229E" w:rsidRDefault="00A1229E" w:rsidP="00A1229E">
      <w:pPr>
        <w:rPr>
          <w:rFonts w:ascii="Verdana" w:hAnsi="Verdana"/>
          <w:sz w:val="20"/>
          <w:lang w:val="pt-BR"/>
        </w:rPr>
      </w:pPr>
    </w:p>
    <w:p w14:paraId="4E83C0B0" w14:textId="77777777" w:rsidR="00A1229E" w:rsidRDefault="00A1229E" w:rsidP="00A1229E">
      <w:pPr>
        <w:rPr>
          <w:rFonts w:ascii="Verdana" w:hAnsi="Verdana"/>
          <w:sz w:val="20"/>
          <w:lang w:val="pt-BR"/>
        </w:rPr>
      </w:pPr>
    </w:p>
    <w:p w14:paraId="2F83F548" w14:textId="77777777" w:rsidR="00A07AD7" w:rsidRDefault="00A07AD7" w:rsidP="00A1229E">
      <w:pPr>
        <w:rPr>
          <w:rFonts w:ascii="Verdana" w:hAnsi="Verdana"/>
          <w:sz w:val="20"/>
          <w:lang w:val="pt-BR"/>
        </w:rPr>
      </w:pPr>
    </w:p>
    <w:p w14:paraId="7465A0B9" w14:textId="77777777" w:rsidR="00A1229E" w:rsidRDefault="00A1229E" w:rsidP="00A1229E">
      <w:pPr>
        <w:rPr>
          <w:rFonts w:ascii="Verdana" w:hAnsi="Verdana"/>
          <w:sz w:val="20"/>
          <w:lang w:val="pt-BR"/>
        </w:rPr>
      </w:pPr>
    </w:p>
    <w:p w14:paraId="79D3C3AD" w14:textId="77777777" w:rsidR="00A1229E" w:rsidRDefault="00A1229E" w:rsidP="00A1229E">
      <w:pPr>
        <w:rPr>
          <w:rFonts w:ascii="Verdana" w:hAnsi="Verdana"/>
          <w:sz w:val="20"/>
          <w:lang w:val="pt-BR"/>
        </w:rPr>
      </w:pPr>
    </w:p>
    <w:p w14:paraId="4C06C865" w14:textId="77777777" w:rsidR="00A1229E" w:rsidRDefault="00A1229E" w:rsidP="00A1229E">
      <w:pPr>
        <w:rPr>
          <w:rFonts w:ascii="Verdana" w:hAnsi="Verdana"/>
          <w:sz w:val="20"/>
          <w:lang w:val="pt-BR"/>
        </w:rPr>
      </w:pPr>
      <w:r>
        <w:rPr>
          <w:rFonts w:ascii="Verdana" w:hAnsi="Verdana"/>
          <w:sz w:val="20"/>
          <w:lang w:val="pt-BR"/>
        </w:rPr>
        <w:t>Humberto Antonio Sierra Porto</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00A07AD7">
        <w:rPr>
          <w:rFonts w:ascii="Verdana" w:hAnsi="Verdana"/>
          <w:sz w:val="20"/>
          <w:lang w:val="pt-BR"/>
        </w:rPr>
        <w:t xml:space="preserve">   </w:t>
      </w:r>
      <w:r>
        <w:rPr>
          <w:rFonts w:ascii="Verdana" w:hAnsi="Verdana"/>
          <w:sz w:val="20"/>
          <w:lang w:val="pt-BR"/>
        </w:rPr>
        <w:t>Eduardo Ferrer Mac-Gregor Poisot</w:t>
      </w:r>
      <w:r w:rsidRPr="0019261A">
        <w:rPr>
          <w:rFonts w:ascii="Verdana" w:hAnsi="Verdana"/>
          <w:sz w:val="20"/>
          <w:lang w:val="pt-BR"/>
        </w:rPr>
        <w:tab/>
      </w:r>
      <w:r>
        <w:rPr>
          <w:rFonts w:ascii="Verdana" w:hAnsi="Verdana"/>
          <w:sz w:val="20"/>
          <w:lang w:val="pt-BR"/>
        </w:rPr>
        <w:t xml:space="preserve">                                                   </w:t>
      </w:r>
    </w:p>
    <w:p w14:paraId="3B42B0F8" w14:textId="77777777" w:rsidR="00A1229E" w:rsidRDefault="00A1229E" w:rsidP="00A1229E">
      <w:pPr>
        <w:rPr>
          <w:rFonts w:ascii="Verdana" w:hAnsi="Verdana"/>
          <w:sz w:val="20"/>
          <w:lang w:val="pt-BR"/>
        </w:rPr>
      </w:pPr>
    </w:p>
    <w:p w14:paraId="088BF19D" w14:textId="77777777" w:rsidR="00A1229E" w:rsidRDefault="00A1229E" w:rsidP="00A1229E">
      <w:pPr>
        <w:rPr>
          <w:rFonts w:ascii="Verdana" w:hAnsi="Verdana"/>
          <w:sz w:val="20"/>
          <w:lang w:val="pt-BR"/>
        </w:rPr>
      </w:pPr>
    </w:p>
    <w:p w14:paraId="7BC0CD80" w14:textId="77777777" w:rsidR="00A1229E" w:rsidRDefault="00A1229E" w:rsidP="00A1229E">
      <w:pPr>
        <w:rPr>
          <w:rFonts w:ascii="Verdana" w:hAnsi="Verdana"/>
          <w:sz w:val="20"/>
          <w:lang w:val="pt-BR"/>
        </w:rPr>
      </w:pPr>
    </w:p>
    <w:p w14:paraId="2E98B3EB" w14:textId="77777777" w:rsidR="00A1229E" w:rsidRDefault="00A1229E" w:rsidP="00A1229E">
      <w:pPr>
        <w:rPr>
          <w:rFonts w:ascii="Verdana" w:hAnsi="Verdana"/>
          <w:sz w:val="20"/>
          <w:lang w:val="pt-BR"/>
        </w:rPr>
      </w:pPr>
    </w:p>
    <w:p w14:paraId="333B0122" w14:textId="77777777" w:rsidR="00A1229E" w:rsidRDefault="00A1229E" w:rsidP="00A1229E">
      <w:pPr>
        <w:rPr>
          <w:rFonts w:ascii="Verdana" w:hAnsi="Verdana"/>
          <w:sz w:val="20"/>
          <w:lang w:val="pt-BR"/>
        </w:rPr>
      </w:pPr>
    </w:p>
    <w:p w14:paraId="79A7491E" w14:textId="77777777" w:rsidR="00A1229E" w:rsidRPr="0019261A" w:rsidRDefault="00A1229E" w:rsidP="00A1229E">
      <w:pPr>
        <w:rPr>
          <w:rFonts w:ascii="Verdana" w:hAnsi="Verdana"/>
          <w:sz w:val="20"/>
          <w:lang w:val="pt-BR"/>
        </w:rPr>
      </w:pPr>
      <w:r>
        <w:rPr>
          <w:rFonts w:ascii="Verdana" w:hAnsi="Verdana"/>
          <w:sz w:val="20"/>
          <w:lang w:val="pt-BR"/>
        </w:rPr>
        <w:t>Eugenio Raúl Zaffaroni</w:t>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00A07AD7">
        <w:rPr>
          <w:rFonts w:ascii="Verdana" w:hAnsi="Verdana"/>
          <w:sz w:val="20"/>
          <w:lang w:val="pt-BR"/>
        </w:rPr>
        <w:t xml:space="preserve">   </w:t>
      </w:r>
      <w:r>
        <w:rPr>
          <w:rFonts w:ascii="Verdana" w:hAnsi="Verdana"/>
          <w:sz w:val="20"/>
          <w:lang w:val="pt-BR"/>
        </w:rPr>
        <w:t>Ricardo C. Pérez Manrique</w:t>
      </w:r>
    </w:p>
    <w:p w14:paraId="21AD06F3" w14:textId="77777777" w:rsidR="00A1229E" w:rsidRDefault="00A1229E" w:rsidP="00A1229E">
      <w:pPr>
        <w:jc w:val="both"/>
        <w:rPr>
          <w:rFonts w:ascii="Verdana" w:hAnsi="Verdana"/>
          <w:sz w:val="20"/>
          <w:lang w:val="pt-BR"/>
        </w:rPr>
      </w:pPr>
    </w:p>
    <w:p w14:paraId="05F06648" w14:textId="77777777" w:rsidR="00A1229E" w:rsidRDefault="00A1229E" w:rsidP="00A1229E">
      <w:pPr>
        <w:jc w:val="both"/>
        <w:rPr>
          <w:rFonts w:ascii="Verdana" w:hAnsi="Verdana"/>
          <w:sz w:val="20"/>
          <w:lang w:val="pt-BR"/>
        </w:rPr>
      </w:pPr>
    </w:p>
    <w:p w14:paraId="72908F00" w14:textId="77777777" w:rsidR="00A1229E" w:rsidRDefault="00A1229E" w:rsidP="00A1229E">
      <w:pPr>
        <w:jc w:val="both"/>
        <w:rPr>
          <w:rFonts w:ascii="Verdana" w:hAnsi="Verdana"/>
          <w:sz w:val="20"/>
          <w:lang w:val="pt-BR"/>
        </w:rPr>
      </w:pPr>
    </w:p>
    <w:p w14:paraId="2ECAF1B5" w14:textId="77777777" w:rsidR="00A1229E" w:rsidRPr="0019261A" w:rsidRDefault="00A1229E" w:rsidP="00A1229E">
      <w:pPr>
        <w:jc w:val="both"/>
        <w:rPr>
          <w:rFonts w:ascii="Verdana" w:hAnsi="Verdana"/>
          <w:sz w:val="20"/>
          <w:lang w:val="pt-BR"/>
        </w:rPr>
      </w:pPr>
    </w:p>
    <w:p w14:paraId="3AA76639" w14:textId="77777777" w:rsidR="00A1229E" w:rsidRPr="0019261A" w:rsidRDefault="00A1229E" w:rsidP="00A1229E">
      <w:pPr>
        <w:jc w:val="both"/>
        <w:rPr>
          <w:rFonts w:ascii="Verdana" w:hAnsi="Verdana"/>
          <w:sz w:val="20"/>
          <w:lang w:val="pt-BR"/>
        </w:rPr>
      </w:pPr>
    </w:p>
    <w:p w14:paraId="43097EC2" w14:textId="77777777" w:rsidR="00A1229E" w:rsidRPr="00FC4051" w:rsidRDefault="00A1229E" w:rsidP="00A1229E">
      <w:pPr>
        <w:jc w:val="center"/>
        <w:rPr>
          <w:rFonts w:ascii="Verdana" w:hAnsi="Verdana"/>
          <w:sz w:val="20"/>
          <w:lang w:val="pt-BR"/>
        </w:rPr>
      </w:pPr>
      <w:r w:rsidRPr="00FC4051">
        <w:rPr>
          <w:rFonts w:ascii="Verdana" w:hAnsi="Verdana"/>
          <w:sz w:val="20"/>
          <w:lang w:val="pt-BR"/>
        </w:rPr>
        <w:t>Pablo Saavedra Alessandri</w:t>
      </w:r>
    </w:p>
    <w:p w14:paraId="5E50C173" w14:textId="77777777" w:rsidR="00A1229E" w:rsidRDefault="00A1229E" w:rsidP="00A1229E">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5B1A44F9" w14:textId="77777777" w:rsidR="00A1229E" w:rsidRPr="00FC4051" w:rsidRDefault="00A1229E" w:rsidP="00A1229E">
      <w:pPr>
        <w:pStyle w:val="Textonotapie"/>
        <w:rPr>
          <w:rFonts w:ascii="Verdana" w:hAnsi="Verdana"/>
          <w:lang w:val="pt-BR"/>
        </w:rPr>
      </w:pPr>
    </w:p>
    <w:p w14:paraId="19D4E963" w14:textId="77777777" w:rsidR="00A1229E" w:rsidRPr="00FC4051" w:rsidRDefault="00A1229E" w:rsidP="00A1229E">
      <w:pPr>
        <w:pStyle w:val="Textonotapie"/>
        <w:rPr>
          <w:rFonts w:ascii="Verdana" w:hAnsi="Verdana"/>
          <w:lang w:val="pt-BR"/>
        </w:rPr>
      </w:pPr>
    </w:p>
    <w:p w14:paraId="180A4825" w14:textId="77777777" w:rsidR="00A1229E" w:rsidRPr="00FC4051" w:rsidRDefault="00A1229E" w:rsidP="00A1229E">
      <w:pPr>
        <w:jc w:val="both"/>
        <w:rPr>
          <w:rFonts w:ascii="Verdana" w:hAnsi="Verdana"/>
          <w:sz w:val="20"/>
          <w:lang w:val="pt-BR"/>
        </w:rPr>
      </w:pPr>
      <w:r>
        <w:rPr>
          <w:rFonts w:ascii="Verdana" w:hAnsi="Verdana"/>
          <w:sz w:val="20"/>
          <w:lang w:val="pt-BR"/>
        </w:rPr>
        <w:t>Comuníquese y ejecútese</w:t>
      </w:r>
      <w:r w:rsidRPr="00FC4051">
        <w:rPr>
          <w:rFonts w:ascii="Verdana" w:hAnsi="Verdana"/>
          <w:sz w:val="20"/>
          <w:lang w:val="pt-BR"/>
        </w:rPr>
        <w:t>,</w:t>
      </w:r>
    </w:p>
    <w:p w14:paraId="5D7E6A5D" w14:textId="77777777" w:rsidR="00A1229E" w:rsidRPr="00FC4051" w:rsidRDefault="00A1229E" w:rsidP="00A1229E">
      <w:pPr>
        <w:rPr>
          <w:rFonts w:ascii="Verdana" w:hAnsi="Verdana"/>
          <w:sz w:val="20"/>
          <w:lang w:val="pt-BR"/>
        </w:rPr>
      </w:pPr>
    </w:p>
    <w:p w14:paraId="55C35118" w14:textId="77777777" w:rsidR="00A1229E" w:rsidRDefault="00A1229E" w:rsidP="00A1229E">
      <w:pPr>
        <w:jc w:val="center"/>
        <w:rPr>
          <w:rFonts w:ascii="Verdana" w:hAnsi="Verdana"/>
          <w:sz w:val="20"/>
          <w:lang w:val="pt-BR"/>
        </w:rPr>
      </w:pPr>
    </w:p>
    <w:p w14:paraId="410AE15B" w14:textId="77777777" w:rsidR="00A1229E" w:rsidRDefault="00A1229E" w:rsidP="00A1229E">
      <w:pPr>
        <w:jc w:val="center"/>
        <w:rPr>
          <w:rFonts w:ascii="Verdana" w:hAnsi="Verdana"/>
          <w:sz w:val="20"/>
          <w:lang w:val="pt-BR"/>
        </w:rPr>
      </w:pPr>
    </w:p>
    <w:p w14:paraId="59743F84" w14:textId="77777777" w:rsidR="00A1229E" w:rsidRPr="00FC4051" w:rsidRDefault="00A1229E" w:rsidP="00A1229E">
      <w:pPr>
        <w:jc w:val="right"/>
        <w:rPr>
          <w:rFonts w:ascii="Verdana" w:hAnsi="Verdana"/>
          <w:sz w:val="20"/>
          <w:lang w:val="pt-BR"/>
        </w:rPr>
      </w:pPr>
    </w:p>
    <w:p w14:paraId="5BB59487" w14:textId="77777777" w:rsidR="00A1229E" w:rsidRDefault="00A1229E" w:rsidP="00A1229E">
      <w:pPr>
        <w:jc w:val="center"/>
        <w:rPr>
          <w:rFonts w:ascii="Verdana" w:hAnsi="Verdana"/>
          <w:sz w:val="20"/>
          <w:lang w:val="pt-BR"/>
        </w:rPr>
      </w:pPr>
      <w:r>
        <w:rPr>
          <w:rFonts w:ascii="Verdana" w:hAnsi="Verdana"/>
          <w:sz w:val="20"/>
          <w:lang w:val="pt-BR"/>
        </w:rPr>
        <w:t xml:space="preserve">                                                                                                Elizabeth Odio Benito</w:t>
      </w:r>
    </w:p>
    <w:p w14:paraId="600FD642" w14:textId="77777777" w:rsidR="00A1229E" w:rsidRDefault="00A1229E" w:rsidP="00A1229E">
      <w:pPr>
        <w:ind w:left="6480" w:firstLine="720"/>
        <w:rPr>
          <w:rFonts w:ascii="Verdana" w:hAnsi="Verdana"/>
          <w:sz w:val="20"/>
          <w:lang w:val="pt-BR"/>
        </w:rPr>
      </w:pPr>
      <w:r>
        <w:rPr>
          <w:rFonts w:ascii="Verdana" w:hAnsi="Verdana"/>
          <w:sz w:val="20"/>
          <w:lang w:val="pt-BR"/>
        </w:rPr>
        <w:t xml:space="preserve">     </w:t>
      </w:r>
      <w:r w:rsidR="00A07AD7">
        <w:rPr>
          <w:rFonts w:ascii="Verdana" w:hAnsi="Verdana"/>
          <w:sz w:val="20"/>
          <w:lang w:val="pt-BR"/>
        </w:rPr>
        <w:t xml:space="preserve">     </w:t>
      </w:r>
      <w:r>
        <w:rPr>
          <w:rFonts w:ascii="Verdana" w:hAnsi="Verdana"/>
          <w:sz w:val="20"/>
          <w:lang w:val="pt-BR"/>
        </w:rPr>
        <w:t>Presidenta</w:t>
      </w:r>
    </w:p>
    <w:p w14:paraId="5A9B8C4C" w14:textId="77777777" w:rsidR="00A1229E" w:rsidRDefault="00A1229E" w:rsidP="00A1229E">
      <w:pPr>
        <w:jc w:val="both"/>
        <w:rPr>
          <w:rFonts w:ascii="Verdana" w:hAnsi="Verdana"/>
          <w:sz w:val="20"/>
          <w:lang w:val="pt-BR"/>
        </w:rPr>
      </w:pPr>
    </w:p>
    <w:p w14:paraId="1C623626" w14:textId="77777777" w:rsidR="00A1229E" w:rsidRDefault="00A1229E" w:rsidP="00A1229E">
      <w:pPr>
        <w:jc w:val="both"/>
        <w:rPr>
          <w:rFonts w:ascii="Verdana" w:hAnsi="Verdana"/>
          <w:sz w:val="20"/>
          <w:lang w:val="pt-BR"/>
        </w:rPr>
      </w:pPr>
    </w:p>
    <w:p w14:paraId="7EC410EA" w14:textId="77777777" w:rsidR="00A1229E" w:rsidRPr="00FC4051" w:rsidRDefault="00A1229E" w:rsidP="00A1229E">
      <w:pPr>
        <w:jc w:val="both"/>
        <w:rPr>
          <w:rFonts w:ascii="Verdana" w:hAnsi="Verdana"/>
          <w:sz w:val="20"/>
          <w:lang w:val="pt-BR"/>
        </w:rPr>
      </w:pPr>
    </w:p>
    <w:p w14:paraId="42C9DB4A" w14:textId="77777777" w:rsidR="00A1229E" w:rsidRPr="00FC4051" w:rsidRDefault="00A1229E" w:rsidP="00A1229E">
      <w:pPr>
        <w:jc w:val="both"/>
        <w:rPr>
          <w:rFonts w:ascii="Verdana" w:hAnsi="Verdana"/>
          <w:sz w:val="20"/>
          <w:lang w:val="pt-BR"/>
        </w:rPr>
      </w:pPr>
      <w:r w:rsidRPr="00FC4051">
        <w:rPr>
          <w:rFonts w:ascii="Verdana" w:hAnsi="Verdana"/>
          <w:sz w:val="20"/>
          <w:lang w:val="pt-BR"/>
        </w:rPr>
        <w:t>Pablo Saavedra Alessandri</w:t>
      </w:r>
    </w:p>
    <w:p w14:paraId="54EE9081" w14:textId="77777777" w:rsidR="00A1229E" w:rsidRDefault="00A1229E" w:rsidP="00A1229E">
      <w:pPr>
        <w:rPr>
          <w:rFonts w:ascii="Verdana" w:hAnsi="Verdana"/>
          <w:sz w:val="20"/>
        </w:rPr>
      </w:pPr>
      <w:r>
        <w:rPr>
          <w:rFonts w:ascii="Verdana" w:hAnsi="Verdana"/>
          <w:sz w:val="20"/>
          <w:lang w:val="pt-BR"/>
        </w:rPr>
        <w:t xml:space="preserve">          </w:t>
      </w:r>
      <w:r w:rsidRPr="0019261A">
        <w:rPr>
          <w:rFonts w:ascii="Verdana" w:hAnsi="Verdana"/>
          <w:sz w:val="20"/>
        </w:rPr>
        <w:t>Secret</w:t>
      </w:r>
      <w:r>
        <w:rPr>
          <w:rFonts w:ascii="Verdana" w:hAnsi="Verdana"/>
          <w:sz w:val="20"/>
        </w:rPr>
        <w:t>ario</w:t>
      </w:r>
    </w:p>
    <w:sectPr w:rsidR="00A1229E" w:rsidSect="00EC1F16">
      <w:headerReference w:type="even" r:id="rId8"/>
      <w:headerReference w:type="default" r:id="rId9"/>
      <w:footerReference w:type="default" r:id="rId10"/>
      <w:pgSz w:w="12240" w:h="15840"/>
      <w:pgMar w:top="1440" w:right="1080" w:bottom="144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11E91" w14:textId="77777777" w:rsidR="000F5D51" w:rsidRDefault="000F5D51">
      <w:r>
        <w:separator/>
      </w:r>
    </w:p>
  </w:endnote>
  <w:endnote w:type="continuationSeparator" w:id="0">
    <w:p w14:paraId="3EFE1E61" w14:textId="77777777" w:rsidR="000F5D51" w:rsidRDefault="000F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pitch w:val="variable"/>
    <w:sig w:usb0="00000003" w:usb1="00000000" w:usb2="00000000" w:usb3="00000000" w:csb0="00000001" w:csb1="00000000"/>
  </w:font>
  <w:font w:name="Estrangelo Edessa">
    <w:panose1 w:val="00000000000000000000"/>
    <w:charset w:val="01"/>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E45A8" w14:textId="77777777" w:rsidR="00B318DC" w:rsidRDefault="00B318DC">
    <w:pPr>
      <w:pStyle w:val="Piedepgina"/>
      <w:jc w:val="center"/>
    </w:pPr>
    <w:r>
      <w:fldChar w:fldCharType="begin"/>
    </w:r>
    <w:r>
      <w:instrText>PAGE   \* MERGEFORMAT</w:instrText>
    </w:r>
    <w:r>
      <w:fldChar w:fldCharType="separate"/>
    </w:r>
    <w:r w:rsidR="00494A04">
      <w:rPr>
        <w:noProof/>
      </w:rPr>
      <w:t>8</w:t>
    </w:r>
    <w:r>
      <w:fldChar w:fldCharType="end"/>
    </w:r>
  </w:p>
  <w:p w14:paraId="76530E5A" w14:textId="77777777" w:rsidR="00B318DC" w:rsidRDefault="00B318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A59B7D" w14:textId="77777777" w:rsidR="000F5D51" w:rsidRDefault="000F5D51">
      <w:r>
        <w:separator/>
      </w:r>
    </w:p>
  </w:footnote>
  <w:footnote w:type="continuationSeparator" w:id="0">
    <w:p w14:paraId="78039E57" w14:textId="77777777" w:rsidR="000F5D51" w:rsidRDefault="000F5D51">
      <w:r>
        <w:continuationSeparator/>
      </w:r>
    </w:p>
  </w:footnote>
  <w:footnote w:id="1">
    <w:p w14:paraId="0E670127" w14:textId="77777777" w:rsidR="000E623A" w:rsidRPr="00F92758" w:rsidRDefault="000E623A" w:rsidP="000E623A">
      <w:pPr>
        <w:pStyle w:val="Textonotapie"/>
        <w:jc w:val="both"/>
        <w:rPr>
          <w:lang w:val="es-AR"/>
        </w:rPr>
      </w:pPr>
      <w:r w:rsidRPr="00F92758">
        <w:rPr>
          <w:rStyle w:val="Refdenotaalpie"/>
          <w:lang w:val="es-AR"/>
        </w:rPr>
        <w:t>*</w:t>
      </w:r>
      <w:r w:rsidRPr="00F92758">
        <w:rPr>
          <w:lang w:val="es-AR"/>
        </w:rPr>
        <w:t xml:space="preserve"> </w:t>
      </w:r>
      <w:r>
        <w:rPr>
          <w:lang w:val="es-AR"/>
        </w:rPr>
        <w:tab/>
      </w:r>
      <w:r>
        <w:rPr>
          <w:rFonts w:ascii="Verdana" w:hAnsi="Verdana" w:cs="Calibri"/>
          <w:color w:val="000000"/>
          <w:sz w:val="16"/>
          <w:szCs w:val="16"/>
          <w:lang w:val="es-AR"/>
        </w:rPr>
        <w:t>Debido a las circunstancias excepcionales ocasionadas por la pandemia COVID-19, esta Resolución fue deliberada y aprobada durante el 135 Período Ordinario de Sesiones, el cual se llevó a cabo de forma no presencial utilizando medios tecnológicos de conformidad con lo establecido en el Reglamento de la Corte.</w:t>
      </w:r>
    </w:p>
  </w:footnote>
  <w:footnote w:id="2">
    <w:p w14:paraId="20A3F6A8" w14:textId="77777777" w:rsidR="004D70C3" w:rsidRPr="004D70C3" w:rsidRDefault="004D70C3" w:rsidP="004D70C3">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Pr>
          <w:rFonts w:ascii="Verdana" w:hAnsi="Verdana" w:cs="Verdana"/>
          <w:i/>
          <w:iCs/>
          <w:sz w:val="16"/>
          <w:szCs w:val="16"/>
        </w:rPr>
        <w:t>Cfr</w:t>
      </w:r>
      <w:r>
        <w:rPr>
          <w:rFonts w:ascii="Verdana" w:hAnsi="Verdana" w:cs="Verdana"/>
          <w:iCs/>
          <w:sz w:val="16"/>
          <w:szCs w:val="16"/>
        </w:rPr>
        <w:t xml:space="preserve">. </w:t>
      </w:r>
      <w:r>
        <w:rPr>
          <w:rFonts w:ascii="Verdana" w:hAnsi="Verdana" w:cs="Verdana"/>
          <w:i/>
          <w:iCs/>
          <w:sz w:val="16"/>
          <w:szCs w:val="16"/>
        </w:rPr>
        <w:t xml:space="preserve">Asunto Álvarez y otros. Medidas provisionales respecto de Colombia. </w:t>
      </w:r>
      <w:r>
        <w:rPr>
          <w:rFonts w:ascii="Verdana" w:hAnsi="Verdana" w:cs="Verdana"/>
          <w:iCs/>
          <w:sz w:val="16"/>
          <w:szCs w:val="16"/>
        </w:rPr>
        <w:t>Resolución de la Corte</w:t>
      </w:r>
      <w:r w:rsidR="006F648A">
        <w:rPr>
          <w:rFonts w:ascii="Verdana" w:hAnsi="Verdana" w:cs="Verdana"/>
          <w:iCs/>
          <w:sz w:val="16"/>
          <w:szCs w:val="16"/>
        </w:rPr>
        <w:t xml:space="preserve"> Interamericana de Derechos Humanos</w:t>
      </w:r>
      <w:r>
        <w:rPr>
          <w:rFonts w:ascii="Verdana" w:hAnsi="Verdana" w:cs="Verdana"/>
          <w:iCs/>
          <w:sz w:val="16"/>
          <w:szCs w:val="16"/>
        </w:rPr>
        <w:t xml:space="preserve"> de 22 de mayo de 2013, Considerando 2,</w:t>
      </w:r>
      <w:r>
        <w:rPr>
          <w:rFonts w:ascii="Verdana" w:hAnsi="Verdana" w:cs="Verdana"/>
          <w:i/>
          <w:iCs/>
          <w:sz w:val="16"/>
          <w:szCs w:val="16"/>
        </w:rPr>
        <w:t xml:space="preserve"> </w:t>
      </w:r>
      <w:r>
        <w:rPr>
          <w:rFonts w:ascii="Verdana" w:hAnsi="Verdana" w:cs="Verdana"/>
          <w:iCs/>
          <w:sz w:val="16"/>
          <w:szCs w:val="16"/>
        </w:rPr>
        <w:t>y</w:t>
      </w:r>
      <w:r>
        <w:rPr>
          <w:rFonts w:ascii="Verdana" w:hAnsi="Verdana" w:cs="Verdana"/>
          <w:i/>
          <w:iCs/>
          <w:sz w:val="16"/>
          <w:szCs w:val="16"/>
        </w:rPr>
        <w:t xml:space="preserve"> Caso Coc Max y otros Vs. Guatemala. Medidas provisionales. </w:t>
      </w:r>
      <w:r>
        <w:rPr>
          <w:rFonts w:ascii="Verdana" w:hAnsi="Verdana" w:cs="Verdana"/>
          <w:iCs/>
          <w:sz w:val="16"/>
          <w:szCs w:val="16"/>
        </w:rPr>
        <w:t>Resolución de la Corte</w:t>
      </w:r>
      <w:r w:rsidR="006F648A">
        <w:rPr>
          <w:rFonts w:ascii="Verdana" w:hAnsi="Verdana" w:cs="Verdana"/>
          <w:iCs/>
          <w:sz w:val="16"/>
          <w:szCs w:val="16"/>
        </w:rPr>
        <w:t xml:space="preserve"> Interamericana de Derechos Humanos</w:t>
      </w:r>
      <w:r>
        <w:rPr>
          <w:rFonts w:ascii="Verdana" w:hAnsi="Verdana" w:cs="Verdana"/>
          <w:iCs/>
          <w:sz w:val="16"/>
          <w:szCs w:val="16"/>
        </w:rPr>
        <w:t xml:space="preserve"> de 6 de febrero de 2019, Considerando 3</w:t>
      </w:r>
      <w:r>
        <w:rPr>
          <w:rFonts w:ascii="Verdana" w:hAnsi="Verdana"/>
          <w:sz w:val="16"/>
          <w:szCs w:val="16"/>
          <w:lang w:val="es-CR"/>
        </w:rPr>
        <w:t>.</w:t>
      </w:r>
    </w:p>
    <w:p w14:paraId="4D3A5B6E" w14:textId="77777777" w:rsidR="004D70C3" w:rsidRDefault="004D70C3" w:rsidP="004D70C3">
      <w:pPr>
        <w:pStyle w:val="Textonotapie"/>
        <w:jc w:val="both"/>
        <w:rPr>
          <w:rFonts w:ascii="Verdana" w:hAnsi="Verdana"/>
          <w:sz w:val="16"/>
          <w:szCs w:val="16"/>
          <w:lang w:val="es-CR"/>
        </w:rPr>
      </w:pPr>
    </w:p>
  </w:footnote>
  <w:footnote w:id="3">
    <w:p w14:paraId="52D260FA" w14:textId="77777777" w:rsidR="004419EA" w:rsidRDefault="004419EA" w:rsidP="00085C17">
      <w:pPr>
        <w:pStyle w:val="Textonotapie"/>
        <w:jc w:val="both"/>
        <w:rPr>
          <w:rFonts w:ascii="Verdana" w:hAnsi="Verdana"/>
          <w:sz w:val="16"/>
          <w:szCs w:val="16"/>
        </w:rPr>
      </w:pPr>
      <w:r w:rsidRPr="00085C17">
        <w:rPr>
          <w:rStyle w:val="Refdenotaalpie"/>
          <w:rFonts w:ascii="Verdana" w:hAnsi="Verdana"/>
          <w:sz w:val="16"/>
          <w:szCs w:val="16"/>
        </w:rPr>
        <w:footnoteRef/>
      </w:r>
      <w:r w:rsidRPr="00085C17">
        <w:rPr>
          <w:rFonts w:ascii="Verdana" w:hAnsi="Verdana"/>
          <w:sz w:val="16"/>
          <w:szCs w:val="16"/>
        </w:rPr>
        <w:t xml:space="preserve"> </w:t>
      </w:r>
      <w:r w:rsidRPr="00085C17">
        <w:rPr>
          <w:rFonts w:ascii="Verdana" w:hAnsi="Verdana"/>
          <w:sz w:val="16"/>
          <w:szCs w:val="16"/>
        </w:rPr>
        <w:tab/>
        <w:t>La Comisión señaló diversos ejemplos, en los que requirió la adopción de medidas cautelares. En algunas de esas decisiones también solicitó medidas cautelares para familiares.</w:t>
      </w:r>
    </w:p>
    <w:p w14:paraId="6BDF44BD" w14:textId="77777777" w:rsidR="00EC7C80" w:rsidRPr="00085C17" w:rsidRDefault="00EC7C80" w:rsidP="00085C17">
      <w:pPr>
        <w:pStyle w:val="Textonotapie"/>
        <w:jc w:val="both"/>
        <w:rPr>
          <w:rFonts w:ascii="Verdana" w:hAnsi="Verdana"/>
          <w:sz w:val="16"/>
          <w:szCs w:val="16"/>
        </w:rPr>
      </w:pPr>
    </w:p>
  </w:footnote>
  <w:footnote w:id="4">
    <w:p w14:paraId="6F5CF268" w14:textId="77777777" w:rsidR="004419EA" w:rsidRPr="00085C17" w:rsidRDefault="004419EA" w:rsidP="00085C17">
      <w:pPr>
        <w:spacing w:after="120"/>
        <w:jc w:val="both"/>
        <w:rPr>
          <w:rFonts w:ascii="Verdana" w:hAnsi="Verdana"/>
          <w:sz w:val="16"/>
          <w:szCs w:val="16"/>
          <w:lang w:val="es-AR"/>
        </w:rPr>
      </w:pPr>
      <w:r w:rsidRPr="00085C17">
        <w:rPr>
          <w:rStyle w:val="Refdenotaalpie"/>
          <w:rFonts w:ascii="Verdana" w:hAnsi="Verdana"/>
          <w:sz w:val="16"/>
          <w:szCs w:val="16"/>
        </w:rPr>
        <w:footnoteRef/>
      </w:r>
      <w:r w:rsidRPr="00085C17">
        <w:rPr>
          <w:rFonts w:ascii="Verdana" w:hAnsi="Verdana"/>
          <w:sz w:val="16"/>
          <w:szCs w:val="16"/>
          <w:lang w:val="es-AR"/>
        </w:rPr>
        <w:t xml:space="preserve"> </w:t>
      </w:r>
      <w:r w:rsidRPr="00085C17">
        <w:rPr>
          <w:rFonts w:ascii="Verdana" w:hAnsi="Verdana"/>
          <w:sz w:val="16"/>
          <w:szCs w:val="16"/>
          <w:lang w:val="es-AR"/>
        </w:rPr>
        <w:tab/>
      </w:r>
      <w:r w:rsidRPr="00085C17">
        <w:rPr>
          <w:rFonts w:ascii="Verdana" w:hAnsi="Verdana"/>
          <w:i/>
          <w:sz w:val="16"/>
          <w:szCs w:val="16"/>
          <w:lang w:val="es-AR"/>
        </w:rPr>
        <w:t>Cfr.</w:t>
      </w:r>
      <w:r w:rsidRPr="00085C17">
        <w:rPr>
          <w:rFonts w:ascii="Verdana" w:hAnsi="Verdana"/>
          <w:sz w:val="16"/>
          <w:szCs w:val="16"/>
          <w:lang w:val="es-AR"/>
        </w:rPr>
        <w:t xml:space="preserve"> </w:t>
      </w:r>
      <w:r w:rsidRPr="00085C17">
        <w:rPr>
          <w:rFonts w:ascii="Verdana" w:hAnsi="Verdana"/>
          <w:i/>
          <w:sz w:val="16"/>
          <w:szCs w:val="16"/>
          <w:lang w:val="es-AR"/>
        </w:rPr>
        <w:t>Asunto de Determinados Centros Penitenciarios de Venezuela. Humberto Prado. Marianela Sánchez Ortiz y familia respecto de Venezuela</w:t>
      </w:r>
      <w:r w:rsidRPr="00085C17">
        <w:rPr>
          <w:rFonts w:ascii="Verdana" w:hAnsi="Verdana"/>
          <w:sz w:val="16"/>
          <w:szCs w:val="16"/>
          <w:lang w:val="es-AR"/>
        </w:rPr>
        <w:t xml:space="preserve">. Medidas Provisionales. Resolución de la Corte Interamericana de Derechos Humanos de 13 de noviembre de 2015, Considerando 37. Ver también </w:t>
      </w:r>
      <w:r w:rsidRPr="00085C17">
        <w:rPr>
          <w:rFonts w:ascii="Verdana" w:hAnsi="Verdana"/>
          <w:bCs/>
          <w:i/>
          <w:sz w:val="16"/>
          <w:szCs w:val="16"/>
          <w:lang w:val="es-ES_tradnl"/>
        </w:rPr>
        <w:t xml:space="preserve">Asunto Eloisa Barrios y otros. </w:t>
      </w:r>
      <w:r w:rsidRPr="00085C17">
        <w:rPr>
          <w:rFonts w:ascii="Verdana" w:hAnsi="Verdana"/>
          <w:bCs/>
          <w:sz w:val="16"/>
          <w:szCs w:val="16"/>
          <w:lang w:val="es-ES_tradnl"/>
        </w:rPr>
        <w:t>Medidas provisionales respecto de Venezuela. Resolución de la Corte Interamericana de Derechos Humanos de 23 de noviembre de 2004, Considerando 12</w:t>
      </w:r>
      <w:r w:rsidR="00E15E71">
        <w:rPr>
          <w:rFonts w:ascii="Verdana" w:hAnsi="Verdana"/>
          <w:sz w:val="16"/>
          <w:szCs w:val="16"/>
          <w:lang w:val="es-AR"/>
        </w:rPr>
        <w:t>.</w:t>
      </w:r>
    </w:p>
  </w:footnote>
  <w:footnote w:id="5">
    <w:p w14:paraId="5BCC6169" w14:textId="77777777" w:rsidR="004419EA" w:rsidRPr="00085C17" w:rsidRDefault="004419EA" w:rsidP="00085C17">
      <w:pPr>
        <w:pStyle w:val="Textonotapie"/>
        <w:jc w:val="both"/>
        <w:rPr>
          <w:rStyle w:val="Textoennegrita"/>
          <w:rFonts w:ascii="Verdana" w:hAnsi="Verdana"/>
          <w:b w:val="0"/>
          <w:color w:val="000000"/>
          <w:sz w:val="16"/>
          <w:szCs w:val="16"/>
          <w:shd w:val="clear" w:color="auto" w:fill="FFFFFF"/>
        </w:rPr>
      </w:pPr>
      <w:r w:rsidRPr="00085C17">
        <w:rPr>
          <w:rStyle w:val="Refdenotaalpie"/>
          <w:rFonts w:ascii="Verdana" w:hAnsi="Verdana"/>
          <w:sz w:val="16"/>
          <w:szCs w:val="16"/>
        </w:rPr>
        <w:footnoteRef/>
      </w:r>
      <w:r w:rsidRPr="00085C17">
        <w:rPr>
          <w:rFonts w:ascii="Verdana" w:hAnsi="Verdana"/>
          <w:sz w:val="16"/>
          <w:szCs w:val="16"/>
        </w:rPr>
        <w:t xml:space="preserve"> </w:t>
      </w:r>
      <w:r w:rsidR="00085C17" w:rsidRPr="00085C17">
        <w:rPr>
          <w:rFonts w:ascii="Verdana" w:hAnsi="Verdana"/>
          <w:sz w:val="16"/>
          <w:szCs w:val="16"/>
        </w:rPr>
        <w:tab/>
      </w:r>
      <w:r w:rsidRPr="00085C17">
        <w:rPr>
          <w:rFonts w:ascii="Verdana" w:hAnsi="Verdana"/>
          <w:i/>
          <w:sz w:val="16"/>
          <w:szCs w:val="16"/>
        </w:rPr>
        <w:t>Cfr.</w:t>
      </w:r>
      <w:r w:rsidRPr="00085C17">
        <w:rPr>
          <w:rFonts w:ascii="Verdana" w:hAnsi="Verdana"/>
          <w:sz w:val="16"/>
          <w:szCs w:val="16"/>
        </w:rPr>
        <w:t xml:space="preserve"> </w:t>
      </w:r>
      <w:r w:rsidRPr="00AB55C4">
        <w:rPr>
          <w:rFonts w:ascii="Verdana" w:hAnsi="Verdana"/>
          <w:i/>
          <w:sz w:val="16"/>
          <w:szCs w:val="16"/>
        </w:rPr>
        <w:t>Caso Carpio Nicolle y otros.</w:t>
      </w:r>
      <w:r w:rsidRPr="00085C17">
        <w:rPr>
          <w:rFonts w:ascii="Verdana" w:hAnsi="Verdana"/>
          <w:sz w:val="16"/>
          <w:szCs w:val="16"/>
        </w:rPr>
        <w:t xml:space="preserve"> Medidas Provisionales respecto de Guatemala. Resolución de la Corte Interamericana de Derechos Humanos de 6 de julio de 2009, Considerando 18 y </w:t>
      </w:r>
      <w:r w:rsidRPr="00085C17">
        <w:rPr>
          <w:rStyle w:val="Textoennegrita"/>
          <w:rFonts w:ascii="Verdana" w:hAnsi="Verdana"/>
          <w:b w:val="0"/>
          <w:i/>
          <w:color w:val="000000"/>
          <w:sz w:val="16"/>
          <w:szCs w:val="16"/>
          <w:shd w:val="clear" w:color="auto" w:fill="FFFFFF"/>
        </w:rPr>
        <w:t>Caso Fernández Ortega y otros Vs. México.</w:t>
      </w:r>
      <w:r w:rsidRPr="00085C17">
        <w:rPr>
          <w:rStyle w:val="Textoennegrita"/>
          <w:rFonts w:ascii="Verdana" w:hAnsi="Verdana"/>
          <w:b w:val="0"/>
          <w:color w:val="000000"/>
          <w:sz w:val="16"/>
          <w:szCs w:val="16"/>
          <w:shd w:val="clear" w:color="auto" w:fill="FFFFFF"/>
        </w:rPr>
        <w:t xml:space="preserve"> Medidas Provisionales. Resolución de la Corte </w:t>
      </w:r>
      <w:r w:rsidR="0050488A">
        <w:rPr>
          <w:rStyle w:val="Textoennegrita"/>
          <w:rFonts w:ascii="Verdana" w:hAnsi="Verdana"/>
          <w:b w:val="0"/>
          <w:color w:val="000000"/>
          <w:sz w:val="16"/>
          <w:szCs w:val="16"/>
          <w:shd w:val="clear" w:color="auto" w:fill="FFFFFF"/>
        </w:rPr>
        <w:t xml:space="preserve">Interamericana de Derechos Humanos </w:t>
      </w:r>
      <w:r w:rsidRPr="00085C17">
        <w:rPr>
          <w:rStyle w:val="Textoennegrita"/>
          <w:rFonts w:ascii="Verdana" w:hAnsi="Verdana"/>
          <w:b w:val="0"/>
          <w:color w:val="000000"/>
          <w:sz w:val="16"/>
          <w:szCs w:val="16"/>
          <w:shd w:val="clear" w:color="auto" w:fill="FFFFFF"/>
        </w:rPr>
        <w:t xml:space="preserve">de 13 de marzo de 2019, Considerando 14. </w:t>
      </w:r>
    </w:p>
    <w:p w14:paraId="4AC1ED0F" w14:textId="77777777" w:rsidR="00085C17" w:rsidRPr="00085C17" w:rsidRDefault="00085C17" w:rsidP="00085C17">
      <w:pPr>
        <w:pStyle w:val="Textonotapie"/>
        <w:jc w:val="both"/>
        <w:rPr>
          <w:rFonts w:ascii="Verdana" w:hAnsi="Verdana"/>
          <w:b/>
          <w:sz w:val="16"/>
          <w:szCs w:val="16"/>
        </w:rPr>
      </w:pPr>
    </w:p>
  </w:footnote>
  <w:footnote w:id="6">
    <w:p w14:paraId="0CB03237" w14:textId="77777777" w:rsidR="004419EA" w:rsidRDefault="004419EA" w:rsidP="00AB55C4">
      <w:pPr>
        <w:pStyle w:val="Textonotapie"/>
        <w:jc w:val="both"/>
        <w:rPr>
          <w:rFonts w:ascii="Verdana" w:hAnsi="Verdana"/>
          <w:sz w:val="16"/>
          <w:szCs w:val="16"/>
        </w:rPr>
      </w:pPr>
      <w:r w:rsidRPr="00085C17">
        <w:rPr>
          <w:rStyle w:val="Refdenotaalpie"/>
          <w:rFonts w:ascii="Verdana" w:hAnsi="Verdana"/>
          <w:sz w:val="16"/>
          <w:szCs w:val="16"/>
        </w:rPr>
        <w:footnoteRef/>
      </w:r>
      <w:r w:rsidRPr="00085C17">
        <w:rPr>
          <w:rFonts w:ascii="Verdana" w:hAnsi="Verdana"/>
          <w:sz w:val="16"/>
          <w:szCs w:val="16"/>
        </w:rPr>
        <w:t xml:space="preserve"> </w:t>
      </w:r>
      <w:r w:rsidRPr="00085C17">
        <w:rPr>
          <w:rFonts w:ascii="Verdana" w:hAnsi="Verdana"/>
          <w:sz w:val="16"/>
          <w:szCs w:val="16"/>
        </w:rPr>
        <w:tab/>
      </w:r>
      <w:r w:rsidRPr="00085C17">
        <w:rPr>
          <w:rFonts w:ascii="Verdana" w:hAnsi="Verdana"/>
          <w:i/>
          <w:sz w:val="16"/>
          <w:szCs w:val="16"/>
        </w:rPr>
        <w:t>Cfr</w:t>
      </w:r>
      <w:r w:rsidRPr="00085C17">
        <w:rPr>
          <w:rFonts w:ascii="Verdana" w:hAnsi="Verdana"/>
          <w:sz w:val="16"/>
          <w:szCs w:val="16"/>
        </w:rPr>
        <w:t xml:space="preserve">. </w:t>
      </w:r>
      <w:r w:rsidRPr="00085C17">
        <w:rPr>
          <w:rFonts w:ascii="Verdana" w:hAnsi="Verdana"/>
          <w:i/>
          <w:noProof/>
          <w:sz w:val="16"/>
          <w:szCs w:val="16"/>
        </w:rPr>
        <w:t xml:space="preserve">Casos Liliana Ortega y Otras; Luisiana Ríos y Otros; Luis Uzcátegui; Marta Colomina y Liliana Velásquez. </w:t>
      </w:r>
      <w:r w:rsidRPr="00085C17">
        <w:rPr>
          <w:rFonts w:ascii="Verdana" w:hAnsi="Verdana"/>
          <w:noProof/>
          <w:sz w:val="16"/>
          <w:szCs w:val="16"/>
        </w:rPr>
        <w:t xml:space="preserve">Medidas Provisionales respecto de Venezuela. </w:t>
      </w:r>
      <w:r w:rsidRPr="00085C17">
        <w:rPr>
          <w:rFonts w:ascii="Verdana" w:hAnsi="Verdana"/>
          <w:sz w:val="16"/>
          <w:szCs w:val="16"/>
        </w:rPr>
        <w:t>Resolución de la Corte Interamericana de Derechos Humanos de 4 de mayo de 2004, Considerando 7.</w:t>
      </w:r>
    </w:p>
    <w:p w14:paraId="5E8332AF" w14:textId="77777777" w:rsidR="00AB55C4" w:rsidRPr="00085C17" w:rsidRDefault="00AB55C4" w:rsidP="00AB55C4">
      <w:pPr>
        <w:pStyle w:val="Textonotapie"/>
        <w:jc w:val="both"/>
        <w:rPr>
          <w:rFonts w:ascii="Verdana" w:hAnsi="Verdana"/>
          <w:sz w:val="16"/>
          <w:szCs w:val="16"/>
          <w:lang w:val="es-CR"/>
        </w:rPr>
      </w:pPr>
    </w:p>
  </w:footnote>
  <w:footnote w:id="7">
    <w:p w14:paraId="6A3C4115" w14:textId="77777777" w:rsidR="004419EA" w:rsidRDefault="004419EA" w:rsidP="00AB55C4">
      <w:pPr>
        <w:jc w:val="both"/>
        <w:rPr>
          <w:rFonts w:ascii="Verdana" w:hAnsi="Verdana"/>
          <w:sz w:val="16"/>
          <w:szCs w:val="16"/>
        </w:rPr>
      </w:pPr>
      <w:r w:rsidRPr="00085C17">
        <w:rPr>
          <w:rStyle w:val="Refdenotaalpie"/>
          <w:rFonts w:ascii="Verdana" w:hAnsi="Verdana"/>
          <w:sz w:val="16"/>
          <w:szCs w:val="16"/>
        </w:rPr>
        <w:footnoteRef/>
      </w:r>
      <w:r w:rsidRPr="00085C17">
        <w:rPr>
          <w:rFonts w:ascii="Verdana" w:hAnsi="Verdana"/>
          <w:sz w:val="16"/>
          <w:szCs w:val="16"/>
        </w:rPr>
        <w:t xml:space="preserve"> </w:t>
      </w:r>
      <w:r w:rsidRPr="00085C17">
        <w:rPr>
          <w:rFonts w:ascii="Verdana" w:hAnsi="Verdana"/>
          <w:sz w:val="16"/>
          <w:szCs w:val="16"/>
        </w:rPr>
        <w:tab/>
      </w:r>
      <w:r w:rsidRPr="00085C17">
        <w:rPr>
          <w:rFonts w:ascii="Verdana" w:hAnsi="Verdana"/>
          <w:i/>
          <w:sz w:val="16"/>
          <w:szCs w:val="16"/>
        </w:rPr>
        <w:t>Cfr. Asunto Liliana Ortega y otras</w:t>
      </w:r>
      <w:r w:rsidRPr="00085C17">
        <w:rPr>
          <w:rFonts w:ascii="Verdana" w:hAnsi="Verdana"/>
          <w:sz w:val="16"/>
          <w:szCs w:val="16"/>
        </w:rPr>
        <w:t xml:space="preserve">. Medidas provisionales respecto de Venezuela. Resolución de la Corte Interamericana de Derechos Humanos de 2 de diciembre de 2003, Considerando 12, y </w:t>
      </w:r>
      <w:r w:rsidRPr="00085C17">
        <w:rPr>
          <w:rFonts w:ascii="Verdana" w:hAnsi="Verdana"/>
          <w:i/>
          <w:sz w:val="16"/>
          <w:szCs w:val="16"/>
        </w:rPr>
        <w:t>Asunto Giraldo Cardona y otros</w:t>
      </w:r>
      <w:r w:rsidRPr="00085C17">
        <w:rPr>
          <w:rFonts w:ascii="Verdana" w:hAnsi="Verdana"/>
          <w:sz w:val="16"/>
          <w:szCs w:val="16"/>
        </w:rPr>
        <w:t xml:space="preserve">. Medidas provisionales respecto de Colombia. Resolución de la Corte Interamericana de Derechos Humanos de 28 de enero de 2015, Considerando 21. </w:t>
      </w:r>
    </w:p>
    <w:p w14:paraId="2499B6D8" w14:textId="77777777" w:rsidR="00AB55C4" w:rsidRPr="00085C17" w:rsidRDefault="00AB55C4" w:rsidP="00AB55C4">
      <w:pPr>
        <w:jc w:val="both"/>
        <w:rPr>
          <w:rFonts w:ascii="Verdana" w:hAnsi="Verdana"/>
          <w:sz w:val="16"/>
          <w:szCs w:val="16"/>
        </w:rPr>
      </w:pPr>
    </w:p>
  </w:footnote>
  <w:footnote w:id="8">
    <w:p w14:paraId="38084BBE" w14:textId="77777777" w:rsidR="004419EA" w:rsidRDefault="004419EA" w:rsidP="00AB55C4">
      <w:pPr>
        <w:pStyle w:val="Textonotapie"/>
        <w:jc w:val="both"/>
        <w:rPr>
          <w:rStyle w:val="Textoennegrita"/>
          <w:rFonts w:ascii="Verdana" w:hAnsi="Verdana"/>
          <w:b w:val="0"/>
          <w:color w:val="000000"/>
          <w:shd w:val="clear" w:color="auto" w:fill="FFFFFF"/>
        </w:rPr>
      </w:pPr>
      <w:r w:rsidRPr="00085C17">
        <w:rPr>
          <w:rStyle w:val="Refdenotaalpie"/>
          <w:rFonts w:ascii="Verdana" w:hAnsi="Verdana"/>
          <w:sz w:val="16"/>
          <w:szCs w:val="16"/>
        </w:rPr>
        <w:footnoteRef/>
      </w:r>
      <w:r w:rsidRPr="00085C17">
        <w:rPr>
          <w:rFonts w:ascii="Verdana" w:hAnsi="Verdana"/>
          <w:sz w:val="16"/>
          <w:szCs w:val="16"/>
        </w:rPr>
        <w:t xml:space="preserve"> </w:t>
      </w:r>
      <w:r w:rsidRPr="00085C17">
        <w:rPr>
          <w:rFonts w:ascii="Verdana" w:hAnsi="Verdana"/>
          <w:i/>
          <w:sz w:val="16"/>
          <w:szCs w:val="16"/>
        </w:rPr>
        <w:t>Cfr</w:t>
      </w:r>
      <w:r w:rsidRPr="00085C17">
        <w:rPr>
          <w:rFonts w:ascii="Verdana" w:hAnsi="Verdana"/>
          <w:sz w:val="16"/>
          <w:szCs w:val="16"/>
        </w:rPr>
        <w:t xml:space="preserve">. </w:t>
      </w:r>
      <w:r w:rsidRPr="00085C17">
        <w:rPr>
          <w:rFonts w:ascii="Verdana" w:hAnsi="Verdana"/>
          <w:i/>
          <w:sz w:val="16"/>
          <w:szCs w:val="16"/>
        </w:rPr>
        <w:t>Caso Fernández Ortega y otros Vs. México. Medidas Provisionales.</w:t>
      </w:r>
      <w:r w:rsidRPr="00085C17">
        <w:rPr>
          <w:rFonts w:ascii="Verdana" w:hAnsi="Verdana"/>
          <w:sz w:val="16"/>
          <w:szCs w:val="16"/>
        </w:rPr>
        <w:t xml:space="preserve"> Resolución de la Corte de 23 de noviembre de 2010, Considerando 11, y </w:t>
      </w:r>
      <w:r w:rsidRPr="00085C17">
        <w:rPr>
          <w:rStyle w:val="Textoennegrita"/>
          <w:rFonts w:ascii="Verdana" w:hAnsi="Verdana"/>
          <w:b w:val="0"/>
          <w:i/>
          <w:color w:val="000000"/>
          <w:sz w:val="16"/>
          <w:szCs w:val="16"/>
          <w:shd w:val="clear" w:color="auto" w:fill="FFFFFF"/>
        </w:rPr>
        <w:t>Caso 19 Comerciantes Vs. Colombia</w:t>
      </w:r>
      <w:r w:rsidRPr="00085C17">
        <w:rPr>
          <w:rStyle w:val="Textoennegrita"/>
          <w:rFonts w:ascii="Verdana" w:hAnsi="Verdana"/>
          <w:b w:val="0"/>
          <w:color w:val="000000"/>
          <w:sz w:val="16"/>
          <w:szCs w:val="16"/>
          <w:shd w:val="clear" w:color="auto" w:fill="FFFFFF"/>
        </w:rPr>
        <w:t xml:space="preserve">. Ampliación de Medidas Provisionales. </w:t>
      </w:r>
      <w:r w:rsidR="00730F03">
        <w:rPr>
          <w:rStyle w:val="Textoennegrita"/>
          <w:rFonts w:ascii="Verdana" w:hAnsi="Verdana"/>
          <w:b w:val="0"/>
          <w:color w:val="000000"/>
          <w:sz w:val="16"/>
          <w:szCs w:val="16"/>
          <w:shd w:val="clear" w:color="auto" w:fill="FFFFFF"/>
        </w:rPr>
        <w:t>Resolución de la Corte de 1 de j</w:t>
      </w:r>
      <w:r w:rsidRPr="00085C17">
        <w:rPr>
          <w:rStyle w:val="Textoennegrita"/>
          <w:rFonts w:ascii="Verdana" w:hAnsi="Verdana"/>
          <w:b w:val="0"/>
          <w:color w:val="000000"/>
          <w:sz w:val="16"/>
          <w:szCs w:val="16"/>
          <w:shd w:val="clear" w:color="auto" w:fill="FFFFFF"/>
        </w:rPr>
        <w:t>unio de 2020, Considerando 29.</w:t>
      </w:r>
      <w:r w:rsidRPr="00085C17">
        <w:rPr>
          <w:rStyle w:val="Textoennegrita"/>
          <w:rFonts w:ascii="Verdana" w:hAnsi="Verdana"/>
          <w:b w:val="0"/>
          <w:color w:val="000000"/>
          <w:shd w:val="clear" w:color="auto" w:fill="FFFFFF"/>
        </w:rPr>
        <w:t xml:space="preserve"> </w:t>
      </w:r>
    </w:p>
    <w:p w14:paraId="314E989B" w14:textId="77777777" w:rsidR="00AB55C4" w:rsidRPr="00085C17" w:rsidRDefault="00AB55C4" w:rsidP="00085C17">
      <w:pPr>
        <w:pStyle w:val="Textonotapie"/>
        <w:jc w:val="both"/>
        <w:rPr>
          <w: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E7481" w14:textId="77777777" w:rsidR="004419EA" w:rsidRDefault="004419EA" w:rsidP="004322E1">
    <w:pPr>
      <w:pStyle w:val="Encabezado"/>
      <w:framePr w:wrap="around" w:vAnchor="text" w:hAnchor="margin" w:xAlign="center" w:y="1"/>
      <w:rPr>
        <w:rStyle w:val="Nmerodepgina"/>
      </w:rPr>
    </w:pPr>
    <w:r>
      <w:rPr>
        <w:rStyle w:val="Nmerodepgina"/>
      </w:rPr>
      <w:fldChar w:fldCharType="begin"/>
    </w:r>
    <w:r w:rsidR="00AB5DE4">
      <w:rPr>
        <w:rStyle w:val="Nmerodepgina"/>
      </w:rPr>
      <w:instrText>PAGE</w:instrText>
    </w:r>
    <w:r>
      <w:rPr>
        <w:rStyle w:val="Nmerodepgina"/>
      </w:rPr>
      <w:instrText xml:space="preserve">  </w:instrText>
    </w:r>
    <w:r>
      <w:rPr>
        <w:rStyle w:val="Nmerodepgina"/>
      </w:rPr>
      <w:fldChar w:fldCharType="separate"/>
    </w:r>
    <w:r>
      <w:rPr>
        <w:rStyle w:val="Nmerodepgina"/>
        <w:noProof/>
      </w:rPr>
      <w:t>17</w:t>
    </w:r>
    <w:r>
      <w:rPr>
        <w:rStyle w:val="Nmerodepgina"/>
      </w:rPr>
      <w:fldChar w:fldCharType="end"/>
    </w:r>
  </w:p>
  <w:p w14:paraId="77782A17" w14:textId="77777777" w:rsidR="004419EA" w:rsidRDefault="004419E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42F77" w14:textId="77777777" w:rsidR="004419EA" w:rsidRDefault="004419EA" w:rsidP="00DB3415">
    <w:pPr>
      <w:pStyle w:val="Encabezado"/>
      <w:tabs>
        <w:tab w:val="clear" w:pos="4320"/>
        <w:tab w:val="clear" w:pos="8640"/>
        <w:tab w:val="left" w:pos="57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35EE6"/>
    <w:multiLevelType w:val="hybridMultilevel"/>
    <w:tmpl w:val="D72C6386"/>
    <w:lvl w:ilvl="0" w:tplc="82EC5288">
      <w:start w:val="1"/>
      <w:numFmt w:val="decimal"/>
      <w:lvlText w:val="%1."/>
      <w:lvlJc w:val="left"/>
      <w:pPr>
        <w:tabs>
          <w:tab w:val="num" w:pos="720"/>
        </w:tabs>
        <w:ind w:left="0" w:firstLine="0"/>
      </w:pPr>
      <w:rPr>
        <w:rFonts w:ascii="Verdana" w:hAnsi="Verdana" w:hint="default"/>
        <w:b w:val="0"/>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6701DAD"/>
    <w:multiLevelType w:val="hybridMultilevel"/>
    <w:tmpl w:val="4386C540"/>
    <w:lvl w:ilvl="0" w:tplc="0C0A0001">
      <w:start w:val="1"/>
      <w:numFmt w:val="bullet"/>
      <w:lvlText w:val=""/>
      <w:lvlJc w:val="left"/>
      <w:pPr>
        <w:tabs>
          <w:tab w:val="num" w:pos="3420"/>
        </w:tabs>
        <w:ind w:left="3420" w:hanging="360"/>
      </w:pPr>
      <w:rPr>
        <w:rFonts w:ascii="Symbol" w:hAnsi="Symbol" w:hint="default"/>
      </w:rPr>
    </w:lvl>
    <w:lvl w:ilvl="1" w:tplc="0C0A0003" w:tentative="1">
      <w:start w:val="1"/>
      <w:numFmt w:val="bullet"/>
      <w:lvlText w:val="o"/>
      <w:lvlJc w:val="left"/>
      <w:pPr>
        <w:tabs>
          <w:tab w:val="num" w:pos="4140"/>
        </w:tabs>
        <w:ind w:left="4140" w:hanging="360"/>
      </w:pPr>
      <w:rPr>
        <w:rFonts w:ascii="Courier New" w:hAnsi="Courier New" w:cs="Wingdings" w:hint="default"/>
      </w:rPr>
    </w:lvl>
    <w:lvl w:ilvl="2" w:tplc="0C0A0005" w:tentative="1">
      <w:start w:val="1"/>
      <w:numFmt w:val="bullet"/>
      <w:lvlText w:val=""/>
      <w:lvlJc w:val="left"/>
      <w:pPr>
        <w:tabs>
          <w:tab w:val="num" w:pos="4860"/>
        </w:tabs>
        <w:ind w:left="4860" w:hanging="360"/>
      </w:pPr>
      <w:rPr>
        <w:rFonts w:ascii="Wingdings" w:hAnsi="Wingdings" w:hint="default"/>
      </w:rPr>
    </w:lvl>
    <w:lvl w:ilvl="3" w:tplc="0C0A0001" w:tentative="1">
      <w:start w:val="1"/>
      <w:numFmt w:val="bullet"/>
      <w:lvlText w:val=""/>
      <w:lvlJc w:val="left"/>
      <w:pPr>
        <w:tabs>
          <w:tab w:val="num" w:pos="5580"/>
        </w:tabs>
        <w:ind w:left="5580" w:hanging="360"/>
      </w:pPr>
      <w:rPr>
        <w:rFonts w:ascii="Symbol" w:hAnsi="Symbol" w:hint="default"/>
      </w:rPr>
    </w:lvl>
    <w:lvl w:ilvl="4" w:tplc="0C0A0003" w:tentative="1">
      <w:start w:val="1"/>
      <w:numFmt w:val="bullet"/>
      <w:lvlText w:val="o"/>
      <w:lvlJc w:val="left"/>
      <w:pPr>
        <w:tabs>
          <w:tab w:val="num" w:pos="6300"/>
        </w:tabs>
        <w:ind w:left="6300" w:hanging="360"/>
      </w:pPr>
      <w:rPr>
        <w:rFonts w:ascii="Courier New" w:hAnsi="Courier New" w:cs="Wingdings" w:hint="default"/>
      </w:rPr>
    </w:lvl>
    <w:lvl w:ilvl="5" w:tplc="0C0A0005" w:tentative="1">
      <w:start w:val="1"/>
      <w:numFmt w:val="bullet"/>
      <w:lvlText w:val=""/>
      <w:lvlJc w:val="left"/>
      <w:pPr>
        <w:tabs>
          <w:tab w:val="num" w:pos="7020"/>
        </w:tabs>
        <w:ind w:left="7020" w:hanging="360"/>
      </w:pPr>
      <w:rPr>
        <w:rFonts w:ascii="Wingdings" w:hAnsi="Wingdings" w:hint="default"/>
      </w:rPr>
    </w:lvl>
    <w:lvl w:ilvl="6" w:tplc="0C0A0001" w:tentative="1">
      <w:start w:val="1"/>
      <w:numFmt w:val="bullet"/>
      <w:lvlText w:val=""/>
      <w:lvlJc w:val="left"/>
      <w:pPr>
        <w:tabs>
          <w:tab w:val="num" w:pos="7740"/>
        </w:tabs>
        <w:ind w:left="7740" w:hanging="360"/>
      </w:pPr>
      <w:rPr>
        <w:rFonts w:ascii="Symbol" w:hAnsi="Symbol" w:hint="default"/>
      </w:rPr>
    </w:lvl>
    <w:lvl w:ilvl="7" w:tplc="0C0A0003" w:tentative="1">
      <w:start w:val="1"/>
      <w:numFmt w:val="bullet"/>
      <w:lvlText w:val="o"/>
      <w:lvlJc w:val="left"/>
      <w:pPr>
        <w:tabs>
          <w:tab w:val="num" w:pos="8460"/>
        </w:tabs>
        <w:ind w:left="8460" w:hanging="360"/>
      </w:pPr>
      <w:rPr>
        <w:rFonts w:ascii="Courier New" w:hAnsi="Courier New" w:cs="Wingdings" w:hint="default"/>
      </w:rPr>
    </w:lvl>
    <w:lvl w:ilvl="8" w:tplc="0C0A0005" w:tentative="1">
      <w:start w:val="1"/>
      <w:numFmt w:val="bullet"/>
      <w:lvlText w:val=""/>
      <w:lvlJc w:val="left"/>
      <w:pPr>
        <w:tabs>
          <w:tab w:val="num" w:pos="9180"/>
        </w:tabs>
        <w:ind w:left="9180" w:hanging="360"/>
      </w:pPr>
      <w:rPr>
        <w:rFonts w:ascii="Wingdings" w:hAnsi="Wingdings" w:hint="default"/>
      </w:rPr>
    </w:lvl>
  </w:abstractNum>
  <w:abstractNum w:abstractNumId="2" w15:restartNumberingAfterBreak="0">
    <w:nsid w:val="0BE90C49"/>
    <w:multiLevelType w:val="hybridMultilevel"/>
    <w:tmpl w:val="DC7AB398"/>
    <w:lvl w:ilvl="0" w:tplc="340A000F">
      <w:start w:val="1"/>
      <w:numFmt w:val="decimal"/>
      <w:lvlText w:val="%1."/>
      <w:lvlJc w:val="left"/>
      <w:pPr>
        <w:tabs>
          <w:tab w:val="num" w:pos="720"/>
        </w:tabs>
        <w:ind w:left="720" w:hanging="360"/>
      </w:p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3" w15:restartNumberingAfterBreak="0">
    <w:nsid w:val="11C9737F"/>
    <w:multiLevelType w:val="hybridMultilevel"/>
    <w:tmpl w:val="F724D1BE"/>
    <w:lvl w:ilvl="0" w:tplc="E6084002">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31D70A0"/>
    <w:multiLevelType w:val="hybridMultilevel"/>
    <w:tmpl w:val="31AE2940"/>
    <w:lvl w:ilvl="0" w:tplc="82EC5288">
      <w:start w:val="1"/>
      <w:numFmt w:val="decimal"/>
      <w:lvlText w:val="%1."/>
      <w:lvlJc w:val="left"/>
      <w:pPr>
        <w:tabs>
          <w:tab w:val="num" w:pos="720"/>
        </w:tabs>
        <w:ind w:left="0" w:firstLine="0"/>
      </w:pPr>
      <w:rPr>
        <w:rFonts w:ascii="Verdana" w:hAnsi="Verdana" w:hint="default"/>
        <w:b w:val="0"/>
        <w:sz w:val="20"/>
      </w:rPr>
    </w:lvl>
    <w:lvl w:ilvl="1" w:tplc="00170409">
      <w:start w:val="1"/>
      <w:numFmt w:val="lowerLetter"/>
      <w:lvlText w:val="%2)"/>
      <w:lvlJc w:val="left"/>
      <w:pPr>
        <w:tabs>
          <w:tab w:val="num" w:pos="360"/>
        </w:tabs>
        <w:ind w:left="360" w:hanging="360"/>
      </w:pPr>
      <w:rPr>
        <w:rFonts w:hint="default"/>
        <w:b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15E52FA2"/>
    <w:multiLevelType w:val="hybridMultilevel"/>
    <w:tmpl w:val="93E8CDEE"/>
    <w:lvl w:ilvl="0" w:tplc="E83A9E88">
      <w:start w:val="1"/>
      <w:numFmt w:val="decimal"/>
      <w:lvlText w:val="%1."/>
      <w:lvlJc w:val="left"/>
      <w:pPr>
        <w:tabs>
          <w:tab w:val="num" w:pos="680"/>
        </w:tabs>
        <w:ind w:left="0" w:firstLine="0"/>
      </w:pPr>
      <w:rPr>
        <w:rFonts w:hint="default"/>
        <w:b w:val="0"/>
        <w:i w:val="0"/>
        <w:strike w:val="0"/>
        <w:sz w:val="20"/>
        <w:szCs w:val="20"/>
      </w:rPr>
    </w:lvl>
    <w:lvl w:ilvl="1" w:tplc="00190409">
      <w:start w:val="1"/>
      <w:numFmt w:val="lowerLetter"/>
      <w:lvlText w:val="%2."/>
      <w:lvlJc w:val="left"/>
      <w:pPr>
        <w:tabs>
          <w:tab w:val="num" w:pos="1440"/>
        </w:tabs>
        <w:ind w:left="1440" w:hanging="360"/>
      </w:pPr>
    </w:lvl>
    <w:lvl w:ilvl="2" w:tplc="C35646FE">
      <w:start w:val="1"/>
      <w:numFmt w:val="lowerRoman"/>
      <w:lvlText w:val="%3)"/>
      <w:lvlJc w:val="left"/>
      <w:pPr>
        <w:tabs>
          <w:tab w:val="num" w:pos="2700"/>
        </w:tabs>
        <w:ind w:left="2700" w:hanging="720"/>
      </w:pPr>
      <w:rPr>
        <w:rFonts w:hint="default"/>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17CF2707"/>
    <w:multiLevelType w:val="hybridMultilevel"/>
    <w:tmpl w:val="359E493E"/>
    <w:lvl w:ilvl="0" w:tplc="57FA66F0">
      <w:start w:val="1"/>
      <w:numFmt w:val="decimal"/>
      <w:lvlText w:val="%1."/>
      <w:lvlJc w:val="left"/>
      <w:pPr>
        <w:tabs>
          <w:tab w:val="num" w:pos="720"/>
        </w:tabs>
        <w:ind w:left="0" w:firstLine="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814FFB"/>
    <w:multiLevelType w:val="hybridMultilevel"/>
    <w:tmpl w:val="152A38E0"/>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1B1829FE"/>
    <w:multiLevelType w:val="hybridMultilevel"/>
    <w:tmpl w:val="2D4C3EAA"/>
    <w:lvl w:ilvl="0" w:tplc="A19423CC">
      <w:start w:val="6"/>
      <w:numFmt w:val="lowerLetter"/>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9" w15:restartNumberingAfterBreak="0">
    <w:nsid w:val="1E235B9A"/>
    <w:multiLevelType w:val="hybridMultilevel"/>
    <w:tmpl w:val="12885EC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203428FD"/>
    <w:multiLevelType w:val="hybridMultilevel"/>
    <w:tmpl w:val="6BDEA792"/>
    <w:lvl w:ilvl="0" w:tplc="A844D8B2">
      <w:start w:val="1"/>
      <w:numFmt w:val="decimal"/>
      <w:lvlText w:val="%1."/>
      <w:lvlJc w:val="left"/>
      <w:pPr>
        <w:tabs>
          <w:tab w:val="num" w:pos="851"/>
        </w:tabs>
        <w:ind w:left="0" w:firstLine="0"/>
      </w:pPr>
      <w:rPr>
        <w:rFonts w:ascii="Verdana" w:hAnsi="Verdana" w:hint="default"/>
        <w:b w:val="0"/>
        <w:color w:val="auto"/>
        <w:sz w:val="20"/>
        <w:szCs w:val="20"/>
        <w:lang w:val="es-ES"/>
      </w:rPr>
    </w:lvl>
    <w:lvl w:ilvl="1" w:tplc="140A0019">
      <w:start w:val="1"/>
      <w:numFmt w:val="lowerLetter"/>
      <w:lvlText w:val="%2."/>
      <w:lvlJc w:val="left"/>
      <w:pPr>
        <w:tabs>
          <w:tab w:val="num" w:pos="1418"/>
        </w:tabs>
        <w:ind w:left="0" w:firstLine="1080"/>
      </w:pPr>
      <w:rPr>
        <w:rFonts w:hint="default"/>
      </w:rPr>
    </w:lvl>
    <w:lvl w:ilvl="2" w:tplc="BF5A881A">
      <w:start w:val="1"/>
      <w:numFmt w:val="lowerLetter"/>
      <w:lvlText w:val="%3)"/>
      <w:lvlJc w:val="left"/>
      <w:pPr>
        <w:tabs>
          <w:tab w:val="num" w:pos="2340"/>
        </w:tabs>
        <w:ind w:left="2340" w:hanging="360"/>
      </w:pPr>
      <w:rPr>
        <w:rFonts w:hint="default"/>
      </w:r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1" w15:restartNumberingAfterBreak="0">
    <w:nsid w:val="2053469E"/>
    <w:multiLevelType w:val="hybridMultilevel"/>
    <w:tmpl w:val="B4A80A30"/>
    <w:lvl w:ilvl="0" w:tplc="2CD08238">
      <w:start w:val="1"/>
      <w:numFmt w:val="decimal"/>
      <w:lvlText w:val="%1."/>
      <w:lvlJc w:val="left"/>
      <w:pPr>
        <w:ind w:left="720" w:hanging="360"/>
      </w:pPr>
      <w:rPr>
        <w:b w:val="0"/>
        <w:strike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42E2703"/>
    <w:multiLevelType w:val="hybridMultilevel"/>
    <w:tmpl w:val="D416FC2C"/>
    <w:lvl w:ilvl="0" w:tplc="6670645E">
      <w:start w:val="1"/>
      <w:numFmt w:val="lowerLetter"/>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8632996"/>
    <w:multiLevelType w:val="hybridMultilevel"/>
    <w:tmpl w:val="A53447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291A0026"/>
    <w:multiLevelType w:val="hybridMultilevel"/>
    <w:tmpl w:val="01265168"/>
    <w:lvl w:ilvl="0" w:tplc="76226AEE">
      <w:start w:val="1"/>
      <w:numFmt w:val="decimal"/>
      <w:lvlText w:val="%1."/>
      <w:lvlJc w:val="left"/>
      <w:pPr>
        <w:ind w:left="720" w:hanging="360"/>
      </w:pPr>
      <w:rPr>
        <w:b w:val="0"/>
        <w:color w:val="auto"/>
        <w:lang w:val="es-C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065EF9"/>
    <w:multiLevelType w:val="hybridMultilevel"/>
    <w:tmpl w:val="D4E4E2B6"/>
    <w:lvl w:ilvl="0" w:tplc="1E76064C">
      <w:start w:val="1"/>
      <w:numFmt w:val="decimal"/>
      <w:lvlText w:val="%1."/>
      <w:lvlJc w:val="left"/>
      <w:pPr>
        <w:tabs>
          <w:tab w:val="num" w:pos="851"/>
        </w:tabs>
        <w:ind w:left="0" w:firstLine="0"/>
      </w:pPr>
      <w:rPr>
        <w:rFonts w:ascii="Verdana" w:hAnsi="Verdana" w:hint="default"/>
        <w:b w:val="0"/>
        <w:sz w:val="20"/>
        <w:szCs w:val="20"/>
        <w:lang w:val="es-ES"/>
      </w:rPr>
    </w:lvl>
    <w:lvl w:ilvl="1" w:tplc="75B8E952">
      <w:start w:val="1"/>
      <w:numFmt w:val="decimal"/>
      <w:lvlText w:val="%2."/>
      <w:lvlJc w:val="left"/>
      <w:pPr>
        <w:tabs>
          <w:tab w:val="num" w:pos="1418"/>
        </w:tabs>
        <w:ind w:left="0" w:firstLine="1080"/>
      </w:pPr>
      <w:rPr>
        <w:rFonts w:hint="default"/>
      </w:rPr>
    </w:lvl>
    <w:lvl w:ilvl="2" w:tplc="BF5A881A">
      <w:start w:val="1"/>
      <w:numFmt w:val="lowerLetter"/>
      <w:lvlText w:val="%3)"/>
      <w:lvlJc w:val="left"/>
      <w:pPr>
        <w:tabs>
          <w:tab w:val="num" w:pos="2340"/>
        </w:tabs>
        <w:ind w:left="2340" w:hanging="360"/>
      </w:pPr>
      <w:rPr>
        <w:rFonts w:hint="default"/>
      </w:r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6" w15:restartNumberingAfterBreak="0">
    <w:nsid w:val="3159680E"/>
    <w:multiLevelType w:val="hybridMultilevel"/>
    <w:tmpl w:val="A2A075B6"/>
    <w:lvl w:ilvl="0" w:tplc="12C20780">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243635F"/>
    <w:multiLevelType w:val="hybridMultilevel"/>
    <w:tmpl w:val="861C6E92"/>
    <w:lvl w:ilvl="0" w:tplc="5DB21374">
      <w:start w:val="1"/>
      <w:numFmt w:val="lowerLetter"/>
      <w:lvlText w:val="%1)"/>
      <w:lvlJc w:val="left"/>
      <w:pPr>
        <w:ind w:left="1080" w:hanging="360"/>
      </w:pPr>
      <w:rPr>
        <w:rFonts w:ascii="Verdana" w:hAnsi="Verdana" w:hint="default"/>
        <w:sz w:val="16"/>
        <w:szCs w:val="1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49E40DD"/>
    <w:multiLevelType w:val="hybridMultilevel"/>
    <w:tmpl w:val="E24E7898"/>
    <w:lvl w:ilvl="0" w:tplc="DB3AD4B8">
      <w:start w:val="1"/>
      <w:numFmt w:val="decimal"/>
      <w:lvlText w:val="%1."/>
      <w:lvlJc w:val="left"/>
      <w:pPr>
        <w:tabs>
          <w:tab w:val="num" w:pos="644"/>
        </w:tabs>
        <w:ind w:left="644" w:hanging="360"/>
      </w:pPr>
      <w:rPr>
        <w:rFonts w:hint="default"/>
        <w:b w:val="0"/>
        <w:color w:val="auto"/>
        <w:sz w:val="20"/>
        <w:szCs w:val="20"/>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352B6B93"/>
    <w:multiLevelType w:val="hybridMultilevel"/>
    <w:tmpl w:val="1A825F00"/>
    <w:lvl w:ilvl="0" w:tplc="65EC7170">
      <w:start w:val="1"/>
      <w:numFmt w:val="decimal"/>
      <w:lvlText w:val="%1."/>
      <w:lvlJc w:val="left"/>
      <w:pPr>
        <w:tabs>
          <w:tab w:val="num" w:pos="720"/>
        </w:tabs>
        <w:ind w:left="0" w:firstLine="0"/>
      </w:pPr>
      <w:rPr>
        <w:rFonts w:hint="default"/>
        <w:b w:val="0"/>
        <w:i w:val="0"/>
      </w:rPr>
    </w:lvl>
    <w:lvl w:ilvl="1" w:tplc="FDCC46AA">
      <w:start w:val="6"/>
      <w:numFmt w:val="decimal"/>
      <w:lvlText w:val="%2."/>
      <w:lvlJc w:val="left"/>
      <w:pPr>
        <w:tabs>
          <w:tab w:val="num" w:pos="1785"/>
        </w:tabs>
        <w:ind w:left="1785" w:hanging="705"/>
      </w:pPr>
      <w:rPr>
        <w:rFonts w:hint="default"/>
        <w:b w:val="0"/>
        <w:i w:val="0"/>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545570F"/>
    <w:multiLevelType w:val="hybridMultilevel"/>
    <w:tmpl w:val="23B2CF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E01988"/>
    <w:multiLevelType w:val="hybridMultilevel"/>
    <w:tmpl w:val="815AFBA0"/>
    <w:lvl w:ilvl="0" w:tplc="7AB63166">
      <w:start w:val="1"/>
      <w:numFmt w:val="decimal"/>
      <w:lvlText w:val="%1."/>
      <w:lvlJc w:val="left"/>
      <w:pPr>
        <w:tabs>
          <w:tab w:val="num" w:pos="680"/>
        </w:tabs>
        <w:ind w:left="0" w:firstLine="0"/>
      </w:pPr>
      <w:rPr>
        <w:rFonts w:hint="default"/>
        <w:b w:val="0"/>
        <w:i w:val="0"/>
        <w:strike w:val="0"/>
        <w:sz w:val="20"/>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9B52204"/>
    <w:multiLevelType w:val="hybridMultilevel"/>
    <w:tmpl w:val="3E48A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346474"/>
    <w:multiLevelType w:val="hybridMultilevel"/>
    <w:tmpl w:val="291EE812"/>
    <w:lvl w:ilvl="0" w:tplc="0409000F">
      <w:start w:val="1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D657970"/>
    <w:multiLevelType w:val="hybridMultilevel"/>
    <w:tmpl w:val="F024331E"/>
    <w:lvl w:ilvl="0" w:tplc="5AE22824">
      <w:start w:val="1"/>
      <w:numFmt w:val="decimal"/>
      <w:lvlText w:val="%1."/>
      <w:lvlJc w:val="left"/>
      <w:pPr>
        <w:tabs>
          <w:tab w:val="num" w:pos="851"/>
        </w:tabs>
        <w:ind w:left="0" w:firstLine="0"/>
      </w:pPr>
      <w:rPr>
        <w:rFonts w:ascii="Verdana" w:hAnsi="Verdana" w:hint="default"/>
        <w:b w:val="0"/>
        <w:color w:val="auto"/>
        <w:sz w:val="20"/>
        <w:szCs w:val="20"/>
        <w:lang w:val="es-ES"/>
      </w:rPr>
    </w:lvl>
    <w:lvl w:ilvl="1" w:tplc="75B8E952">
      <w:start w:val="1"/>
      <w:numFmt w:val="decimal"/>
      <w:lvlText w:val="%2."/>
      <w:lvlJc w:val="left"/>
      <w:pPr>
        <w:tabs>
          <w:tab w:val="num" w:pos="1418"/>
        </w:tabs>
        <w:ind w:left="0" w:firstLine="1080"/>
      </w:pPr>
      <w:rPr>
        <w:rFonts w:hint="default"/>
      </w:rPr>
    </w:lvl>
    <w:lvl w:ilvl="2" w:tplc="BF5A881A">
      <w:start w:val="1"/>
      <w:numFmt w:val="lowerLetter"/>
      <w:lvlText w:val="%3)"/>
      <w:lvlJc w:val="left"/>
      <w:pPr>
        <w:tabs>
          <w:tab w:val="num" w:pos="2340"/>
        </w:tabs>
        <w:ind w:left="2340" w:hanging="360"/>
      </w:pPr>
      <w:rPr>
        <w:rFonts w:hint="default"/>
      </w:r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25" w15:restartNumberingAfterBreak="0">
    <w:nsid w:val="3F37578C"/>
    <w:multiLevelType w:val="hybridMultilevel"/>
    <w:tmpl w:val="E076BFF0"/>
    <w:lvl w:ilvl="0" w:tplc="82EC5288">
      <w:start w:val="1"/>
      <w:numFmt w:val="decimal"/>
      <w:lvlText w:val="%1."/>
      <w:lvlJc w:val="left"/>
      <w:pPr>
        <w:tabs>
          <w:tab w:val="num" w:pos="720"/>
        </w:tabs>
        <w:ind w:left="0" w:firstLine="0"/>
      </w:pPr>
      <w:rPr>
        <w:rFonts w:ascii="Verdana" w:hAnsi="Verdana" w:hint="default"/>
        <w:b w:val="0"/>
        <w:sz w:val="2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26" w15:restartNumberingAfterBreak="0">
    <w:nsid w:val="40CD34B3"/>
    <w:multiLevelType w:val="hybridMultilevel"/>
    <w:tmpl w:val="C9788E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FE7D43"/>
    <w:multiLevelType w:val="hybridMultilevel"/>
    <w:tmpl w:val="76B0A2F2"/>
    <w:lvl w:ilvl="0" w:tplc="2158FA90">
      <w:start w:val="1"/>
      <w:numFmt w:val="decimal"/>
      <w:lvlText w:val="%1."/>
      <w:lvlJc w:val="left"/>
      <w:pPr>
        <w:tabs>
          <w:tab w:val="num" w:pos="1040"/>
        </w:tabs>
        <w:ind w:left="1040" w:hanging="68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458E1776"/>
    <w:multiLevelType w:val="hybridMultilevel"/>
    <w:tmpl w:val="A2A075B6"/>
    <w:lvl w:ilvl="0" w:tplc="12C20780">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C9959AD"/>
    <w:multiLevelType w:val="hybridMultilevel"/>
    <w:tmpl w:val="2E9A3EF0"/>
    <w:lvl w:ilvl="0" w:tplc="E19CC754">
      <w:start w:val="1"/>
      <w:numFmt w:val="decimal"/>
      <w:lvlText w:val="%1."/>
      <w:lvlJc w:val="left"/>
      <w:pPr>
        <w:tabs>
          <w:tab w:val="num" w:pos="851"/>
        </w:tabs>
        <w:ind w:left="0" w:firstLine="0"/>
      </w:pPr>
      <w:rPr>
        <w:rFonts w:ascii="Verdana" w:hAnsi="Verdana" w:hint="default"/>
        <w:b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4D021D07"/>
    <w:multiLevelType w:val="hybridMultilevel"/>
    <w:tmpl w:val="A23C65F2"/>
    <w:lvl w:ilvl="0" w:tplc="675846B2">
      <w:start w:val="1"/>
      <w:numFmt w:val="decimal"/>
      <w:lvlText w:val="%1."/>
      <w:lvlJc w:val="left"/>
      <w:pPr>
        <w:tabs>
          <w:tab w:val="num" w:pos="720"/>
        </w:tabs>
        <w:ind w:left="0" w:firstLine="0"/>
      </w:pPr>
      <w:rPr>
        <w:rFonts w:ascii="Verdana" w:hAnsi="Verdana" w:hint="default"/>
        <w:b w:val="0"/>
        <w:i w:val="0"/>
        <w:sz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4E51333A"/>
    <w:multiLevelType w:val="hybridMultilevel"/>
    <w:tmpl w:val="7C961B60"/>
    <w:lvl w:ilvl="0" w:tplc="D17C266E">
      <w:start w:val="1"/>
      <w:numFmt w:val="decimal"/>
      <w:lvlText w:val="%1."/>
      <w:lvlJc w:val="left"/>
      <w:pPr>
        <w:tabs>
          <w:tab w:val="num" w:pos="851"/>
        </w:tabs>
        <w:ind w:left="0" w:firstLine="0"/>
      </w:pPr>
      <w:rPr>
        <w:rFonts w:ascii="Verdana" w:hAnsi="Verdana" w:hint="default"/>
        <w:b w:val="0"/>
        <w:color w:val="000000"/>
        <w:sz w:val="20"/>
        <w:szCs w:val="20"/>
      </w:rPr>
    </w:lvl>
    <w:lvl w:ilvl="1" w:tplc="497A4AC6">
      <w:start w:val="1"/>
      <w:numFmt w:val="lowerLetter"/>
      <w:lvlText w:val="%2)"/>
      <w:lvlJc w:val="left"/>
      <w:pPr>
        <w:tabs>
          <w:tab w:val="num" w:pos="1440"/>
        </w:tabs>
        <w:ind w:left="1440" w:hanging="360"/>
      </w:pPr>
      <w:rPr>
        <w:rFonts w:ascii="Verdana" w:hAnsi="Verdana" w:hint="default"/>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4F03689F"/>
    <w:multiLevelType w:val="hybridMultilevel"/>
    <w:tmpl w:val="906AC0D2"/>
    <w:lvl w:ilvl="0" w:tplc="CD220BFE">
      <w:start w:val="1"/>
      <w:numFmt w:val="decimal"/>
      <w:lvlText w:val="%1."/>
      <w:lvlJc w:val="left"/>
      <w:pPr>
        <w:tabs>
          <w:tab w:val="num" w:pos="851"/>
        </w:tabs>
        <w:ind w:left="0" w:firstLine="0"/>
      </w:pPr>
      <w:rPr>
        <w:rFonts w:ascii="Verdana" w:hAnsi="Verdana" w:hint="default"/>
        <w:b w:val="0"/>
        <w:color w:val="auto"/>
        <w:sz w:val="20"/>
        <w:szCs w:val="20"/>
        <w:lang w:val="es-ES_tradnl"/>
      </w:rPr>
    </w:lvl>
    <w:lvl w:ilvl="1" w:tplc="75B8E952">
      <w:start w:val="1"/>
      <w:numFmt w:val="decimal"/>
      <w:lvlText w:val="%2."/>
      <w:lvlJc w:val="left"/>
      <w:pPr>
        <w:tabs>
          <w:tab w:val="num" w:pos="1418"/>
        </w:tabs>
        <w:ind w:left="0" w:firstLine="1080"/>
      </w:pPr>
      <w:rPr>
        <w:rFonts w:hint="default"/>
      </w:rPr>
    </w:lvl>
    <w:lvl w:ilvl="2" w:tplc="BF5A881A">
      <w:start w:val="1"/>
      <w:numFmt w:val="lowerLetter"/>
      <w:lvlText w:val="%3)"/>
      <w:lvlJc w:val="left"/>
      <w:pPr>
        <w:tabs>
          <w:tab w:val="num" w:pos="2340"/>
        </w:tabs>
        <w:ind w:left="2340" w:hanging="360"/>
      </w:pPr>
      <w:rPr>
        <w:rFonts w:hint="default"/>
      </w:r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33" w15:restartNumberingAfterBreak="0">
    <w:nsid w:val="583B0EDB"/>
    <w:multiLevelType w:val="hybridMultilevel"/>
    <w:tmpl w:val="3F343D68"/>
    <w:lvl w:ilvl="0" w:tplc="1040A576">
      <w:start w:val="1"/>
      <w:numFmt w:val="decimal"/>
      <w:lvlText w:val="%1."/>
      <w:lvlJc w:val="left"/>
      <w:pPr>
        <w:tabs>
          <w:tab w:val="num" w:pos="644"/>
        </w:tabs>
        <w:ind w:left="644" w:hanging="360"/>
      </w:pPr>
      <w:rPr>
        <w:rFonts w:ascii="Verdana" w:hAnsi="Verdana" w:hint="default"/>
        <w:b w:val="0"/>
        <w:i w:val="0"/>
        <w:color w:val="auto"/>
        <w:sz w:val="20"/>
        <w:szCs w:val="20"/>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5AB51743"/>
    <w:multiLevelType w:val="hybridMultilevel"/>
    <w:tmpl w:val="6C0099DA"/>
    <w:lvl w:ilvl="0" w:tplc="3D08D456">
      <w:start w:val="1"/>
      <w:numFmt w:val="bullet"/>
      <w:lvlText w:val="-"/>
      <w:lvlJc w:val="left"/>
      <w:pPr>
        <w:ind w:left="720" w:hanging="360"/>
      </w:pPr>
      <w:rPr>
        <w:rFonts w:ascii="Verdana" w:eastAsia="Times" w:hAnsi="Verdana"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61955722"/>
    <w:multiLevelType w:val="hybridMultilevel"/>
    <w:tmpl w:val="5E96F49E"/>
    <w:lvl w:ilvl="0" w:tplc="223CE3A2">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61A3216"/>
    <w:multiLevelType w:val="hybridMultilevel"/>
    <w:tmpl w:val="4B3237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BD2497"/>
    <w:multiLevelType w:val="hybridMultilevel"/>
    <w:tmpl w:val="815AFBA0"/>
    <w:lvl w:ilvl="0" w:tplc="7AB63166">
      <w:start w:val="1"/>
      <w:numFmt w:val="decimal"/>
      <w:lvlText w:val="%1."/>
      <w:lvlJc w:val="left"/>
      <w:pPr>
        <w:tabs>
          <w:tab w:val="num" w:pos="680"/>
        </w:tabs>
        <w:ind w:left="0" w:firstLine="0"/>
      </w:pPr>
      <w:rPr>
        <w:rFonts w:hint="default"/>
        <w:b w:val="0"/>
        <w:i w:val="0"/>
        <w:strike w:val="0"/>
        <w:sz w:val="20"/>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67543E0B"/>
    <w:multiLevelType w:val="hybridMultilevel"/>
    <w:tmpl w:val="3998CA7E"/>
    <w:lvl w:ilvl="0" w:tplc="C07EBE00">
      <w:start w:val="1"/>
      <w:numFmt w:val="decimal"/>
      <w:lvlText w:val="%1."/>
      <w:lvlJc w:val="left"/>
      <w:pPr>
        <w:tabs>
          <w:tab w:val="num" w:pos="1080"/>
        </w:tabs>
        <w:ind w:left="1080" w:hanging="720"/>
      </w:pPr>
      <w:rPr>
        <w:rFonts w:hint="default"/>
        <w:b w:val="0"/>
        <w:sz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6A5C0A65"/>
    <w:multiLevelType w:val="hybridMultilevel"/>
    <w:tmpl w:val="AF4C955C"/>
    <w:lvl w:ilvl="0" w:tplc="97C87ABE">
      <w:start w:val="1"/>
      <w:numFmt w:val="decimal"/>
      <w:lvlText w:val="%1."/>
      <w:lvlJc w:val="left"/>
      <w:pPr>
        <w:ind w:left="360" w:hanging="360"/>
      </w:pPr>
      <w:rPr>
        <w:rFonts w:ascii="Verdana" w:hAnsi="Verdana" w:hint="default"/>
        <w:b w:val="0"/>
        <w:i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0" w15:restartNumberingAfterBreak="0">
    <w:nsid w:val="6ADE0E26"/>
    <w:multiLevelType w:val="hybridMultilevel"/>
    <w:tmpl w:val="31E81810"/>
    <w:lvl w:ilvl="0" w:tplc="B2CC0A2C">
      <w:start w:val="1"/>
      <w:numFmt w:val="decimal"/>
      <w:lvlText w:val="%1."/>
      <w:lvlJc w:val="left"/>
      <w:pPr>
        <w:tabs>
          <w:tab w:val="num" w:pos="720"/>
        </w:tabs>
      </w:pPr>
      <w:rPr>
        <w:rFonts w:cs="Times New Roman" w:hint="default"/>
        <w:b w:val="0"/>
      </w:rPr>
    </w:lvl>
    <w:lvl w:ilvl="1" w:tplc="0C4AFC1A">
      <w:start w:val="53"/>
      <w:numFmt w:val="decimal"/>
      <w:lvlText w:val="(%2."/>
      <w:lvlJc w:val="left"/>
      <w:pPr>
        <w:tabs>
          <w:tab w:val="num" w:pos="1800"/>
        </w:tabs>
        <w:ind w:left="1800" w:hanging="720"/>
      </w:pPr>
      <w:rPr>
        <w:rFonts w:cs="Times New Roman" w:hint="default"/>
      </w:rPr>
    </w:lvl>
    <w:lvl w:ilvl="2" w:tplc="001B040C" w:tentative="1">
      <w:start w:val="1"/>
      <w:numFmt w:val="lowerRoman"/>
      <w:lvlText w:val="%3."/>
      <w:lvlJc w:val="right"/>
      <w:pPr>
        <w:tabs>
          <w:tab w:val="num" w:pos="2160"/>
        </w:tabs>
        <w:ind w:left="2160" w:hanging="180"/>
      </w:pPr>
      <w:rPr>
        <w:rFonts w:cs="Times New Roman"/>
      </w:rPr>
    </w:lvl>
    <w:lvl w:ilvl="3" w:tplc="000F040C" w:tentative="1">
      <w:start w:val="1"/>
      <w:numFmt w:val="decimal"/>
      <w:lvlText w:val="%4."/>
      <w:lvlJc w:val="left"/>
      <w:pPr>
        <w:tabs>
          <w:tab w:val="num" w:pos="2880"/>
        </w:tabs>
        <w:ind w:left="2880" w:hanging="360"/>
      </w:pPr>
      <w:rPr>
        <w:rFonts w:cs="Times New Roman"/>
      </w:rPr>
    </w:lvl>
    <w:lvl w:ilvl="4" w:tplc="0019040C" w:tentative="1">
      <w:start w:val="1"/>
      <w:numFmt w:val="lowerLetter"/>
      <w:lvlText w:val="%5."/>
      <w:lvlJc w:val="left"/>
      <w:pPr>
        <w:tabs>
          <w:tab w:val="num" w:pos="3600"/>
        </w:tabs>
        <w:ind w:left="3600" w:hanging="360"/>
      </w:pPr>
      <w:rPr>
        <w:rFonts w:cs="Times New Roman"/>
      </w:rPr>
    </w:lvl>
    <w:lvl w:ilvl="5" w:tplc="001B040C" w:tentative="1">
      <w:start w:val="1"/>
      <w:numFmt w:val="lowerRoman"/>
      <w:lvlText w:val="%6."/>
      <w:lvlJc w:val="right"/>
      <w:pPr>
        <w:tabs>
          <w:tab w:val="num" w:pos="4320"/>
        </w:tabs>
        <w:ind w:left="4320" w:hanging="180"/>
      </w:pPr>
      <w:rPr>
        <w:rFonts w:cs="Times New Roman"/>
      </w:rPr>
    </w:lvl>
    <w:lvl w:ilvl="6" w:tplc="000F040C" w:tentative="1">
      <w:start w:val="1"/>
      <w:numFmt w:val="decimal"/>
      <w:lvlText w:val="%7."/>
      <w:lvlJc w:val="left"/>
      <w:pPr>
        <w:tabs>
          <w:tab w:val="num" w:pos="5040"/>
        </w:tabs>
        <w:ind w:left="5040" w:hanging="360"/>
      </w:pPr>
      <w:rPr>
        <w:rFonts w:cs="Times New Roman"/>
      </w:rPr>
    </w:lvl>
    <w:lvl w:ilvl="7" w:tplc="0019040C" w:tentative="1">
      <w:start w:val="1"/>
      <w:numFmt w:val="lowerLetter"/>
      <w:lvlText w:val="%8."/>
      <w:lvlJc w:val="left"/>
      <w:pPr>
        <w:tabs>
          <w:tab w:val="num" w:pos="5760"/>
        </w:tabs>
        <w:ind w:left="5760" w:hanging="360"/>
      </w:pPr>
      <w:rPr>
        <w:rFonts w:cs="Times New Roman"/>
      </w:rPr>
    </w:lvl>
    <w:lvl w:ilvl="8" w:tplc="001B040C" w:tentative="1">
      <w:start w:val="1"/>
      <w:numFmt w:val="lowerRoman"/>
      <w:lvlText w:val="%9."/>
      <w:lvlJc w:val="right"/>
      <w:pPr>
        <w:tabs>
          <w:tab w:val="num" w:pos="6480"/>
        </w:tabs>
        <w:ind w:left="6480" w:hanging="180"/>
      </w:pPr>
      <w:rPr>
        <w:rFonts w:cs="Times New Roman"/>
      </w:rPr>
    </w:lvl>
  </w:abstractNum>
  <w:abstractNum w:abstractNumId="41" w15:restartNumberingAfterBreak="0">
    <w:nsid w:val="6C525C63"/>
    <w:multiLevelType w:val="hybridMultilevel"/>
    <w:tmpl w:val="0A047D14"/>
    <w:lvl w:ilvl="0" w:tplc="47620C7A">
      <w:start w:val="3"/>
      <w:numFmt w:val="low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2" w15:restartNumberingAfterBreak="0">
    <w:nsid w:val="6D8F4C80"/>
    <w:multiLevelType w:val="hybridMultilevel"/>
    <w:tmpl w:val="1E86500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71CA2B7A"/>
    <w:multiLevelType w:val="hybridMultilevel"/>
    <w:tmpl w:val="8146C17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71D30B4E"/>
    <w:multiLevelType w:val="hybridMultilevel"/>
    <w:tmpl w:val="99747548"/>
    <w:lvl w:ilvl="0" w:tplc="A7724BF0">
      <w:start w:val="2"/>
      <w:numFmt w:val="lowerLetter"/>
      <w:lvlText w:val="%1)"/>
      <w:lvlJc w:val="left"/>
      <w:pPr>
        <w:tabs>
          <w:tab w:val="num" w:pos="1440"/>
        </w:tabs>
        <w:ind w:left="1440" w:hanging="360"/>
      </w:pPr>
      <w:rPr>
        <w:rFonts w:hint="default"/>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5" w15:restartNumberingAfterBreak="0">
    <w:nsid w:val="7854122F"/>
    <w:multiLevelType w:val="hybridMultilevel"/>
    <w:tmpl w:val="A69AE7C4"/>
    <w:lvl w:ilvl="0" w:tplc="0458EA48">
      <w:start w:val="1"/>
      <w:numFmt w:val="decimal"/>
      <w:lvlText w:val="%1."/>
      <w:lvlJc w:val="left"/>
      <w:pPr>
        <w:tabs>
          <w:tab w:val="num" w:pos="1065"/>
        </w:tabs>
        <w:ind w:left="1065" w:hanging="705"/>
      </w:pPr>
      <w:rPr>
        <w:rFonts w:ascii="Verdana" w:hAnsi="Verdana" w:hint="default"/>
        <w:b w:val="0"/>
        <w:i w:val="0"/>
        <w:sz w:val="20"/>
        <w:szCs w:val="20"/>
        <w:lang w:val="es-CR"/>
      </w:rPr>
    </w:lvl>
    <w:lvl w:ilvl="1" w:tplc="BF5254CC">
      <w:start w:val="1"/>
      <w:numFmt w:val="decimal"/>
      <w:lvlText w:val="%2."/>
      <w:lvlJc w:val="left"/>
      <w:pPr>
        <w:tabs>
          <w:tab w:val="num" w:pos="1080"/>
        </w:tabs>
        <w:ind w:left="1080" w:firstLine="0"/>
      </w:pPr>
      <w:rPr>
        <w:rFonts w:ascii="Verdana" w:hAnsi="Verdana" w:hint="default"/>
        <w:b w:val="0"/>
        <w:i w:val="0"/>
        <w:strike w:val="0"/>
        <w:sz w:val="20"/>
        <w:szCs w:val="20"/>
        <w:lang w:val="es-MX"/>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B3033A7"/>
    <w:multiLevelType w:val="multilevel"/>
    <w:tmpl w:val="1E78465E"/>
    <w:lvl w:ilvl="0">
      <w:start w:val="1"/>
      <w:numFmt w:val="decimal"/>
      <w:lvlText w:val="%1."/>
      <w:lvlJc w:val="left"/>
      <w:pPr>
        <w:tabs>
          <w:tab w:val="num" w:pos="851"/>
        </w:tabs>
        <w:ind w:left="0" w:firstLine="0"/>
      </w:pPr>
      <w:rPr>
        <w:rFonts w:ascii="Verdana" w:hAnsi="Verdana" w:hint="default"/>
        <w:b w:val="0"/>
        <w:sz w:val="20"/>
        <w:szCs w:val="20"/>
      </w:rPr>
    </w:lvl>
    <w:lvl w:ilvl="1">
      <w:start w:val="1"/>
      <w:numFmt w:val="decimal"/>
      <w:lvlText w:val="%2."/>
      <w:lvlJc w:val="left"/>
      <w:pPr>
        <w:tabs>
          <w:tab w:val="num" w:pos="1418"/>
        </w:tabs>
        <w:ind w:left="0" w:firstLine="10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C2E3A84"/>
    <w:multiLevelType w:val="hybridMultilevel"/>
    <w:tmpl w:val="861C6E92"/>
    <w:lvl w:ilvl="0" w:tplc="5DB21374">
      <w:start w:val="1"/>
      <w:numFmt w:val="lowerLetter"/>
      <w:lvlText w:val="%1)"/>
      <w:lvlJc w:val="left"/>
      <w:pPr>
        <w:ind w:left="1080" w:hanging="360"/>
      </w:pPr>
      <w:rPr>
        <w:rFonts w:ascii="Verdana" w:hAnsi="Verdana" w:hint="default"/>
        <w:sz w:val="16"/>
        <w:szCs w:val="1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7E1956E7"/>
    <w:multiLevelType w:val="hybridMultilevel"/>
    <w:tmpl w:val="4A7257BA"/>
    <w:lvl w:ilvl="0" w:tplc="00E82124">
      <w:start w:val="1"/>
      <w:numFmt w:val="decimal"/>
      <w:lvlText w:val="%1."/>
      <w:lvlJc w:val="left"/>
      <w:pPr>
        <w:tabs>
          <w:tab w:val="num" w:pos="720"/>
        </w:tabs>
        <w:ind w:left="720" w:hanging="360"/>
      </w:pPr>
      <w:rPr>
        <w:b w:val="0"/>
        <w:lang w:val="es-C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2"/>
  </w:num>
  <w:num w:numId="2">
    <w:abstractNumId w:val="31"/>
  </w:num>
  <w:num w:numId="3">
    <w:abstractNumId w:val="29"/>
  </w:num>
  <w:num w:numId="4">
    <w:abstractNumId w:val="46"/>
  </w:num>
  <w:num w:numId="5">
    <w:abstractNumId w:val="12"/>
  </w:num>
  <w:num w:numId="6">
    <w:abstractNumId w:val="4"/>
  </w:num>
  <w:num w:numId="7">
    <w:abstractNumId w:val="0"/>
  </w:num>
  <w:num w:numId="8">
    <w:abstractNumId w:val="44"/>
  </w:num>
  <w:num w:numId="9">
    <w:abstractNumId w:val="41"/>
  </w:num>
  <w:num w:numId="10">
    <w:abstractNumId w:val="30"/>
  </w:num>
  <w:num w:numId="11">
    <w:abstractNumId w:val="6"/>
  </w:num>
  <w:num w:numId="12">
    <w:abstractNumId w:val="25"/>
  </w:num>
  <w:num w:numId="13">
    <w:abstractNumId w:val="38"/>
  </w:num>
  <w:num w:numId="14">
    <w:abstractNumId w:val="8"/>
  </w:num>
  <w:num w:numId="15">
    <w:abstractNumId w:val="2"/>
  </w:num>
  <w:num w:numId="16">
    <w:abstractNumId w:val="19"/>
  </w:num>
  <w:num w:numId="17">
    <w:abstractNumId w:val="40"/>
  </w:num>
  <w:num w:numId="18">
    <w:abstractNumId w:val="27"/>
  </w:num>
  <w:num w:numId="19">
    <w:abstractNumId w:val="20"/>
  </w:num>
  <w:num w:numId="20">
    <w:abstractNumId w:val="36"/>
  </w:num>
  <w:num w:numId="21">
    <w:abstractNumId w:val="22"/>
  </w:num>
  <w:num w:numId="22">
    <w:abstractNumId w:val="26"/>
  </w:num>
  <w:num w:numId="23">
    <w:abstractNumId w:val="15"/>
  </w:num>
  <w:num w:numId="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48"/>
  </w:num>
  <w:num w:numId="27">
    <w:abstractNumId w:val="1"/>
  </w:num>
  <w:num w:numId="28">
    <w:abstractNumId w:val="5"/>
  </w:num>
  <w:num w:numId="29">
    <w:abstractNumId w:val="23"/>
  </w:num>
  <w:num w:numId="30">
    <w:abstractNumId w:val="47"/>
  </w:num>
  <w:num w:numId="31">
    <w:abstractNumId w:val="17"/>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num>
  <w:num w:numId="34">
    <w:abstractNumId w:val="16"/>
  </w:num>
  <w:num w:numId="35">
    <w:abstractNumId w:val="28"/>
  </w:num>
  <w:num w:numId="36">
    <w:abstractNumId w:val="11"/>
  </w:num>
  <w:num w:numId="37">
    <w:abstractNumId w:val="21"/>
  </w:num>
  <w:num w:numId="38">
    <w:abstractNumId w:val="33"/>
  </w:num>
  <w:num w:numId="39">
    <w:abstractNumId w:val="18"/>
  </w:num>
  <w:num w:numId="40">
    <w:abstractNumId w:val="10"/>
  </w:num>
  <w:num w:numId="41">
    <w:abstractNumId w:val="7"/>
  </w:num>
  <w:num w:numId="42">
    <w:abstractNumId w:val="45"/>
  </w:num>
  <w:num w:numId="43">
    <w:abstractNumId w:val="9"/>
  </w:num>
  <w:num w:numId="44">
    <w:abstractNumId w:val="35"/>
  </w:num>
  <w:num w:numId="45">
    <w:abstractNumId w:val="34"/>
  </w:num>
  <w:num w:numId="46">
    <w:abstractNumId w:val="24"/>
  </w:num>
  <w:num w:numId="47">
    <w:abstractNumId w:val="13"/>
  </w:num>
  <w:num w:numId="48">
    <w:abstractNumId w:val="43"/>
  </w:num>
  <w:num w:numId="49">
    <w:abstractNumId w:val="3"/>
  </w:num>
  <w:num w:numId="50">
    <w:abstractNumId w:val="37"/>
  </w:num>
  <w:num w:numId="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pt-BR" w:vendorID="64" w:dllVersion="6" w:nlCheck="1" w:checkStyle="0"/>
  <w:activeWritingStyle w:appName="MSWord" w:lang="es-ES" w:vendorID="64" w:dllVersion="6" w:nlCheck="1" w:checkStyle="0"/>
  <w:activeWritingStyle w:appName="MSWord" w:lang="es-CR" w:vendorID="64" w:dllVersion="6" w:nlCheck="1" w:checkStyle="0"/>
  <w:activeWritingStyle w:appName="MSWord" w:lang="es-GT" w:vendorID="64" w:dllVersion="6" w:nlCheck="1" w:checkStyle="1"/>
  <w:activeWritingStyle w:appName="MSWord" w:lang="es-ES_tradnl" w:vendorID="64" w:dllVersion="6" w:nlCheck="1" w:checkStyle="0"/>
  <w:activeWritingStyle w:appName="MSWord" w:lang="es-AR" w:vendorID="64" w:dllVersion="6" w:nlCheck="1" w:checkStyle="0"/>
  <w:activeWritingStyle w:appName="MSWord" w:lang="es-CL" w:vendorID="64" w:dllVersion="6" w:nlCheck="1" w:checkStyle="1"/>
  <w:activeWritingStyle w:appName="MSWord" w:lang="es-MX" w:vendorID="64" w:dllVersion="6" w:nlCheck="1" w:checkStyle="1"/>
  <w:activeWritingStyle w:appName="MSWord" w:lang="es-DO" w:vendorID="64" w:dllVersion="6" w:nlCheck="1" w:checkStyle="1"/>
  <w:activeWritingStyle w:appName="MSWord" w:lang="es-ES" w:vendorID="64" w:dllVersion="4096" w:nlCheck="1" w:checkStyle="0"/>
  <w:activeWritingStyle w:appName="MSWord" w:lang="es-ES_tradnl" w:vendorID="64" w:dllVersion="4096" w:nlCheck="1" w:checkStyle="0"/>
  <w:activeWritingStyle w:appName="MSWord" w:lang="es-CR" w:vendorID="64" w:dllVersion="4096" w:nlCheck="1" w:checkStyle="0"/>
  <w:activeWritingStyle w:appName="MSWord" w:lang="pt-BR" w:vendorID="64" w:dllVersion="4096" w:nlCheck="1" w:checkStyle="0"/>
  <w:activeWritingStyle w:appName="MSWord" w:lang="es-AR" w:vendorID="64" w:dllVersion="4096" w:nlCheck="1" w:checkStyle="0"/>
  <w:activeWritingStyle w:appName="MSWord" w:lang="es-E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FA1"/>
    <w:rsid w:val="00000246"/>
    <w:rsid w:val="000023C7"/>
    <w:rsid w:val="00002E9F"/>
    <w:rsid w:val="00003A9A"/>
    <w:rsid w:val="00004CE7"/>
    <w:rsid w:val="00005A9C"/>
    <w:rsid w:val="00005C74"/>
    <w:rsid w:val="0000692F"/>
    <w:rsid w:val="00010297"/>
    <w:rsid w:val="00012558"/>
    <w:rsid w:val="00012787"/>
    <w:rsid w:val="00013802"/>
    <w:rsid w:val="00014516"/>
    <w:rsid w:val="00015490"/>
    <w:rsid w:val="0002035D"/>
    <w:rsid w:val="00020AA2"/>
    <w:rsid w:val="00021209"/>
    <w:rsid w:val="0002372C"/>
    <w:rsid w:val="00023EE1"/>
    <w:rsid w:val="00023EF3"/>
    <w:rsid w:val="0002578E"/>
    <w:rsid w:val="00031C1F"/>
    <w:rsid w:val="00032585"/>
    <w:rsid w:val="00033706"/>
    <w:rsid w:val="00033A99"/>
    <w:rsid w:val="000360DC"/>
    <w:rsid w:val="000374AB"/>
    <w:rsid w:val="000374F2"/>
    <w:rsid w:val="00040D11"/>
    <w:rsid w:val="000411D3"/>
    <w:rsid w:val="00041446"/>
    <w:rsid w:val="000417F3"/>
    <w:rsid w:val="00042D98"/>
    <w:rsid w:val="00044D8A"/>
    <w:rsid w:val="00045FFD"/>
    <w:rsid w:val="00046A27"/>
    <w:rsid w:val="00050BC9"/>
    <w:rsid w:val="00050ED7"/>
    <w:rsid w:val="00051777"/>
    <w:rsid w:val="00051A0D"/>
    <w:rsid w:val="00052F91"/>
    <w:rsid w:val="000558D2"/>
    <w:rsid w:val="00055C7E"/>
    <w:rsid w:val="00060075"/>
    <w:rsid w:val="00061099"/>
    <w:rsid w:val="000625C8"/>
    <w:rsid w:val="00062AC0"/>
    <w:rsid w:val="00063C01"/>
    <w:rsid w:val="00064E8E"/>
    <w:rsid w:val="000653F2"/>
    <w:rsid w:val="0006636B"/>
    <w:rsid w:val="00073A8E"/>
    <w:rsid w:val="00073B31"/>
    <w:rsid w:val="00074694"/>
    <w:rsid w:val="00074784"/>
    <w:rsid w:val="000770C3"/>
    <w:rsid w:val="00077C3A"/>
    <w:rsid w:val="00077CD7"/>
    <w:rsid w:val="000836DA"/>
    <w:rsid w:val="00084A56"/>
    <w:rsid w:val="00084B6E"/>
    <w:rsid w:val="00084E16"/>
    <w:rsid w:val="00085074"/>
    <w:rsid w:val="00085190"/>
    <w:rsid w:val="00085A41"/>
    <w:rsid w:val="00085C17"/>
    <w:rsid w:val="00086D1E"/>
    <w:rsid w:val="000872DA"/>
    <w:rsid w:val="00090447"/>
    <w:rsid w:val="0009052A"/>
    <w:rsid w:val="00091174"/>
    <w:rsid w:val="000916E4"/>
    <w:rsid w:val="00091727"/>
    <w:rsid w:val="00092E29"/>
    <w:rsid w:val="00093D02"/>
    <w:rsid w:val="0009476D"/>
    <w:rsid w:val="00094E74"/>
    <w:rsid w:val="000963BD"/>
    <w:rsid w:val="00097592"/>
    <w:rsid w:val="000A1623"/>
    <w:rsid w:val="000A1928"/>
    <w:rsid w:val="000A1B6A"/>
    <w:rsid w:val="000A2EF4"/>
    <w:rsid w:val="000A5C01"/>
    <w:rsid w:val="000A631F"/>
    <w:rsid w:val="000A659E"/>
    <w:rsid w:val="000A6C7B"/>
    <w:rsid w:val="000B0621"/>
    <w:rsid w:val="000B12D3"/>
    <w:rsid w:val="000B1E6A"/>
    <w:rsid w:val="000B37F5"/>
    <w:rsid w:val="000B53C6"/>
    <w:rsid w:val="000B5A5E"/>
    <w:rsid w:val="000B6610"/>
    <w:rsid w:val="000C1409"/>
    <w:rsid w:val="000C44E1"/>
    <w:rsid w:val="000C5CFA"/>
    <w:rsid w:val="000C5D6C"/>
    <w:rsid w:val="000D0645"/>
    <w:rsid w:val="000D0B6A"/>
    <w:rsid w:val="000D0C5D"/>
    <w:rsid w:val="000D1D5E"/>
    <w:rsid w:val="000D2D7C"/>
    <w:rsid w:val="000D455B"/>
    <w:rsid w:val="000D52BC"/>
    <w:rsid w:val="000D7C3A"/>
    <w:rsid w:val="000E04FB"/>
    <w:rsid w:val="000E12C9"/>
    <w:rsid w:val="000E2597"/>
    <w:rsid w:val="000E443D"/>
    <w:rsid w:val="000E45F0"/>
    <w:rsid w:val="000E5720"/>
    <w:rsid w:val="000E623A"/>
    <w:rsid w:val="000E64E5"/>
    <w:rsid w:val="000E6DB3"/>
    <w:rsid w:val="000E75F8"/>
    <w:rsid w:val="000F10BE"/>
    <w:rsid w:val="000F3A4D"/>
    <w:rsid w:val="000F5130"/>
    <w:rsid w:val="000F5D51"/>
    <w:rsid w:val="000F6911"/>
    <w:rsid w:val="000F78A1"/>
    <w:rsid w:val="00100233"/>
    <w:rsid w:val="001031EA"/>
    <w:rsid w:val="00103DF1"/>
    <w:rsid w:val="00105E23"/>
    <w:rsid w:val="00105E30"/>
    <w:rsid w:val="00106508"/>
    <w:rsid w:val="00106A81"/>
    <w:rsid w:val="001110EE"/>
    <w:rsid w:val="00111F8D"/>
    <w:rsid w:val="00113F3A"/>
    <w:rsid w:val="00115BC3"/>
    <w:rsid w:val="00116479"/>
    <w:rsid w:val="0011780A"/>
    <w:rsid w:val="00121BE7"/>
    <w:rsid w:val="0012286E"/>
    <w:rsid w:val="001236D2"/>
    <w:rsid w:val="0012389F"/>
    <w:rsid w:val="001267E0"/>
    <w:rsid w:val="0012686C"/>
    <w:rsid w:val="00127DE6"/>
    <w:rsid w:val="00127E96"/>
    <w:rsid w:val="00130722"/>
    <w:rsid w:val="0013207D"/>
    <w:rsid w:val="00132C71"/>
    <w:rsid w:val="0013312B"/>
    <w:rsid w:val="00135CE6"/>
    <w:rsid w:val="001377DF"/>
    <w:rsid w:val="001426E3"/>
    <w:rsid w:val="001434A7"/>
    <w:rsid w:val="00147B8C"/>
    <w:rsid w:val="00152128"/>
    <w:rsid w:val="00152891"/>
    <w:rsid w:val="00153FCE"/>
    <w:rsid w:val="00160C19"/>
    <w:rsid w:val="0016167A"/>
    <w:rsid w:val="0016192C"/>
    <w:rsid w:val="00164CC5"/>
    <w:rsid w:val="0016531C"/>
    <w:rsid w:val="00166682"/>
    <w:rsid w:val="00167B23"/>
    <w:rsid w:val="00171390"/>
    <w:rsid w:val="00171426"/>
    <w:rsid w:val="001715CD"/>
    <w:rsid w:val="001735A6"/>
    <w:rsid w:val="0017524A"/>
    <w:rsid w:val="001753DC"/>
    <w:rsid w:val="001757EA"/>
    <w:rsid w:val="00176BBE"/>
    <w:rsid w:val="0018275E"/>
    <w:rsid w:val="001827F8"/>
    <w:rsid w:val="00183947"/>
    <w:rsid w:val="0018544D"/>
    <w:rsid w:val="00190041"/>
    <w:rsid w:val="001904A7"/>
    <w:rsid w:val="00190C4F"/>
    <w:rsid w:val="00191161"/>
    <w:rsid w:val="00193EFC"/>
    <w:rsid w:val="00193F09"/>
    <w:rsid w:val="00194C83"/>
    <w:rsid w:val="00195148"/>
    <w:rsid w:val="001A0D0A"/>
    <w:rsid w:val="001A1578"/>
    <w:rsid w:val="001A2863"/>
    <w:rsid w:val="001A455F"/>
    <w:rsid w:val="001A4F3B"/>
    <w:rsid w:val="001A51E3"/>
    <w:rsid w:val="001B0646"/>
    <w:rsid w:val="001B243A"/>
    <w:rsid w:val="001B467B"/>
    <w:rsid w:val="001B48AE"/>
    <w:rsid w:val="001B558A"/>
    <w:rsid w:val="001C1BF0"/>
    <w:rsid w:val="001C2933"/>
    <w:rsid w:val="001C35DA"/>
    <w:rsid w:val="001C3DB5"/>
    <w:rsid w:val="001C4A88"/>
    <w:rsid w:val="001C55A1"/>
    <w:rsid w:val="001C5A7D"/>
    <w:rsid w:val="001C6123"/>
    <w:rsid w:val="001D02F2"/>
    <w:rsid w:val="001D6874"/>
    <w:rsid w:val="001E05B0"/>
    <w:rsid w:val="001E19FB"/>
    <w:rsid w:val="001E33FF"/>
    <w:rsid w:val="001E47DD"/>
    <w:rsid w:val="001E51A3"/>
    <w:rsid w:val="001E6714"/>
    <w:rsid w:val="001F0DA8"/>
    <w:rsid w:val="001F1249"/>
    <w:rsid w:val="001F32E1"/>
    <w:rsid w:val="001F40EE"/>
    <w:rsid w:val="001F4BB8"/>
    <w:rsid w:val="001F5384"/>
    <w:rsid w:val="001F5838"/>
    <w:rsid w:val="00200431"/>
    <w:rsid w:val="00200461"/>
    <w:rsid w:val="002007FC"/>
    <w:rsid w:val="002017EE"/>
    <w:rsid w:val="0020196B"/>
    <w:rsid w:val="00201ED8"/>
    <w:rsid w:val="00204A0A"/>
    <w:rsid w:val="00205324"/>
    <w:rsid w:val="00205E9F"/>
    <w:rsid w:val="00207750"/>
    <w:rsid w:val="00207A34"/>
    <w:rsid w:val="00211DBB"/>
    <w:rsid w:val="002126F7"/>
    <w:rsid w:val="00213534"/>
    <w:rsid w:val="00214817"/>
    <w:rsid w:val="00215753"/>
    <w:rsid w:val="0021698F"/>
    <w:rsid w:val="00221814"/>
    <w:rsid w:val="00222A11"/>
    <w:rsid w:val="002240C4"/>
    <w:rsid w:val="00224249"/>
    <w:rsid w:val="002259A8"/>
    <w:rsid w:val="00233472"/>
    <w:rsid w:val="00233BF0"/>
    <w:rsid w:val="00233CE2"/>
    <w:rsid w:val="002358DA"/>
    <w:rsid w:val="002370CB"/>
    <w:rsid w:val="00237258"/>
    <w:rsid w:val="00237C10"/>
    <w:rsid w:val="002402B4"/>
    <w:rsid w:val="0025009D"/>
    <w:rsid w:val="00250CF2"/>
    <w:rsid w:val="00252AAF"/>
    <w:rsid w:val="002541CD"/>
    <w:rsid w:val="00254880"/>
    <w:rsid w:val="00255127"/>
    <w:rsid w:val="00260873"/>
    <w:rsid w:val="00262A34"/>
    <w:rsid w:val="0026579E"/>
    <w:rsid w:val="00265FA6"/>
    <w:rsid w:val="002679BF"/>
    <w:rsid w:val="00267DF0"/>
    <w:rsid w:val="002700AC"/>
    <w:rsid w:val="0027054C"/>
    <w:rsid w:val="00270A5D"/>
    <w:rsid w:val="00276D3F"/>
    <w:rsid w:val="002778D2"/>
    <w:rsid w:val="002778EB"/>
    <w:rsid w:val="0028006B"/>
    <w:rsid w:val="00280FDE"/>
    <w:rsid w:val="00281540"/>
    <w:rsid w:val="00281E3E"/>
    <w:rsid w:val="00284C31"/>
    <w:rsid w:val="00285349"/>
    <w:rsid w:val="00285E78"/>
    <w:rsid w:val="00293019"/>
    <w:rsid w:val="002951A6"/>
    <w:rsid w:val="00295462"/>
    <w:rsid w:val="002963ED"/>
    <w:rsid w:val="002A0EEE"/>
    <w:rsid w:val="002A1D7F"/>
    <w:rsid w:val="002A2017"/>
    <w:rsid w:val="002A2DA2"/>
    <w:rsid w:val="002A3A94"/>
    <w:rsid w:val="002A4120"/>
    <w:rsid w:val="002A4BF9"/>
    <w:rsid w:val="002A5A7E"/>
    <w:rsid w:val="002A62F7"/>
    <w:rsid w:val="002A7060"/>
    <w:rsid w:val="002B281E"/>
    <w:rsid w:val="002B2AEE"/>
    <w:rsid w:val="002B4CF9"/>
    <w:rsid w:val="002B5C51"/>
    <w:rsid w:val="002B6D52"/>
    <w:rsid w:val="002B7734"/>
    <w:rsid w:val="002C01CB"/>
    <w:rsid w:val="002C08A1"/>
    <w:rsid w:val="002C0AAC"/>
    <w:rsid w:val="002C0F28"/>
    <w:rsid w:val="002C27FF"/>
    <w:rsid w:val="002C292D"/>
    <w:rsid w:val="002C3F85"/>
    <w:rsid w:val="002C4961"/>
    <w:rsid w:val="002C7729"/>
    <w:rsid w:val="002D0381"/>
    <w:rsid w:val="002D19D8"/>
    <w:rsid w:val="002D381F"/>
    <w:rsid w:val="002D550E"/>
    <w:rsid w:val="002D5BA0"/>
    <w:rsid w:val="002E0CBB"/>
    <w:rsid w:val="002E0EE1"/>
    <w:rsid w:val="002E13CB"/>
    <w:rsid w:val="002E22D6"/>
    <w:rsid w:val="002E614E"/>
    <w:rsid w:val="002E7755"/>
    <w:rsid w:val="002F0D3D"/>
    <w:rsid w:val="002F1A1C"/>
    <w:rsid w:val="002F276A"/>
    <w:rsid w:val="002F3D92"/>
    <w:rsid w:val="002F697C"/>
    <w:rsid w:val="002F6C86"/>
    <w:rsid w:val="002F6F16"/>
    <w:rsid w:val="003013C0"/>
    <w:rsid w:val="003016EA"/>
    <w:rsid w:val="003023C2"/>
    <w:rsid w:val="00305772"/>
    <w:rsid w:val="0030628B"/>
    <w:rsid w:val="00310700"/>
    <w:rsid w:val="00311C09"/>
    <w:rsid w:val="0031265E"/>
    <w:rsid w:val="00313E87"/>
    <w:rsid w:val="003202BF"/>
    <w:rsid w:val="00323607"/>
    <w:rsid w:val="00326F82"/>
    <w:rsid w:val="00327F1A"/>
    <w:rsid w:val="003309DE"/>
    <w:rsid w:val="00330D21"/>
    <w:rsid w:val="003341ED"/>
    <w:rsid w:val="003357E5"/>
    <w:rsid w:val="00337DC2"/>
    <w:rsid w:val="00340BB2"/>
    <w:rsid w:val="00340FF9"/>
    <w:rsid w:val="00342FAE"/>
    <w:rsid w:val="0034308C"/>
    <w:rsid w:val="003436A3"/>
    <w:rsid w:val="00343E3D"/>
    <w:rsid w:val="0034711C"/>
    <w:rsid w:val="00347894"/>
    <w:rsid w:val="003509D0"/>
    <w:rsid w:val="00350C8F"/>
    <w:rsid w:val="00350EF9"/>
    <w:rsid w:val="003518D5"/>
    <w:rsid w:val="0035273D"/>
    <w:rsid w:val="00352923"/>
    <w:rsid w:val="00353646"/>
    <w:rsid w:val="00355AB8"/>
    <w:rsid w:val="003577DD"/>
    <w:rsid w:val="00360F36"/>
    <w:rsid w:val="003619BA"/>
    <w:rsid w:val="00362956"/>
    <w:rsid w:val="00363D7A"/>
    <w:rsid w:val="00364A7F"/>
    <w:rsid w:val="00366D45"/>
    <w:rsid w:val="00366F67"/>
    <w:rsid w:val="0036732B"/>
    <w:rsid w:val="003717D4"/>
    <w:rsid w:val="00372A7E"/>
    <w:rsid w:val="00372D05"/>
    <w:rsid w:val="0037501D"/>
    <w:rsid w:val="00380009"/>
    <w:rsid w:val="00380078"/>
    <w:rsid w:val="00381120"/>
    <w:rsid w:val="00381A32"/>
    <w:rsid w:val="00382C4F"/>
    <w:rsid w:val="0038346E"/>
    <w:rsid w:val="00383CB2"/>
    <w:rsid w:val="0038615B"/>
    <w:rsid w:val="0038799C"/>
    <w:rsid w:val="003879E8"/>
    <w:rsid w:val="003914BC"/>
    <w:rsid w:val="00391A98"/>
    <w:rsid w:val="00392675"/>
    <w:rsid w:val="003961FB"/>
    <w:rsid w:val="003A2BFB"/>
    <w:rsid w:val="003A39E3"/>
    <w:rsid w:val="003A464F"/>
    <w:rsid w:val="003A6588"/>
    <w:rsid w:val="003A72B3"/>
    <w:rsid w:val="003B005D"/>
    <w:rsid w:val="003B0711"/>
    <w:rsid w:val="003B1BF8"/>
    <w:rsid w:val="003B2DB8"/>
    <w:rsid w:val="003B32D2"/>
    <w:rsid w:val="003B3F7E"/>
    <w:rsid w:val="003B6A7E"/>
    <w:rsid w:val="003C1401"/>
    <w:rsid w:val="003C2627"/>
    <w:rsid w:val="003C2952"/>
    <w:rsid w:val="003C3F1A"/>
    <w:rsid w:val="003C59CA"/>
    <w:rsid w:val="003C69DF"/>
    <w:rsid w:val="003C740F"/>
    <w:rsid w:val="003D15BD"/>
    <w:rsid w:val="003D16CE"/>
    <w:rsid w:val="003D537C"/>
    <w:rsid w:val="003D5D91"/>
    <w:rsid w:val="003E27CA"/>
    <w:rsid w:val="003E3638"/>
    <w:rsid w:val="003E40C8"/>
    <w:rsid w:val="003E4F82"/>
    <w:rsid w:val="003E7812"/>
    <w:rsid w:val="003F012B"/>
    <w:rsid w:val="003F17C6"/>
    <w:rsid w:val="003F3D89"/>
    <w:rsid w:val="003F3F1C"/>
    <w:rsid w:val="003F49C7"/>
    <w:rsid w:val="003F584E"/>
    <w:rsid w:val="003F5968"/>
    <w:rsid w:val="004014FC"/>
    <w:rsid w:val="00402398"/>
    <w:rsid w:val="00402AA6"/>
    <w:rsid w:val="00406957"/>
    <w:rsid w:val="00406AF7"/>
    <w:rsid w:val="00406B59"/>
    <w:rsid w:val="00407433"/>
    <w:rsid w:val="00407569"/>
    <w:rsid w:val="004076CE"/>
    <w:rsid w:val="004115CC"/>
    <w:rsid w:val="00411753"/>
    <w:rsid w:val="004131C6"/>
    <w:rsid w:val="00413C9D"/>
    <w:rsid w:val="0041596D"/>
    <w:rsid w:val="0041656A"/>
    <w:rsid w:val="00416829"/>
    <w:rsid w:val="00420862"/>
    <w:rsid w:val="00420CD4"/>
    <w:rsid w:val="00422A66"/>
    <w:rsid w:val="0042521E"/>
    <w:rsid w:val="004254F5"/>
    <w:rsid w:val="00426363"/>
    <w:rsid w:val="00430CB6"/>
    <w:rsid w:val="00431D66"/>
    <w:rsid w:val="00432252"/>
    <w:rsid w:val="004322E1"/>
    <w:rsid w:val="00436434"/>
    <w:rsid w:val="0043719B"/>
    <w:rsid w:val="004419EA"/>
    <w:rsid w:val="004435DC"/>
    <w:rsid w:val="004453C6"/>
    <w:rsid w:val="004467BF"/>
    <w:rsid w:val="00446B9C"/>
    <w:rsid w:val="0044739C"/>
    <w:rsid w:val="00450711"/>
    <w:rsid w:val="0045449D"/>
    <w:rsid w:val="0045453C"/>
    <w:rsid w:val="00455038"/>
    <w:rsid w:val="00456FD9"/>
    <w:rsid w:val="00461F99"/>
    <w:rsid w:val="00462848"/>
    <w:rsid w:val="00466729"/>
    <w:rsid w:val="004677DF"/>
    <w:rsid w:val="004706A5"/>
    <w:rsid w:val="004743F3"/>
    <w:rsid w:val="00474B98"/>
    <w:rsid w:val="00474D2D"/>
    <w:rsid w:val="00476467"/>
    <w:rsid w:val="00483158"/>
    <w:rsid w:val="00483AFB"/>
    <w:rsid w:val="00483E98"/>
    <w:rsid w:val="00483ED3"/>
    <w:rsid w:val="00484573"/>
    <w:rsid w:val="004850FC"/>
    <w:rsid w:val="00485161"/>
    <w:rsid w:val="00486872"/>
    <w:rsid w:val="00492D0A"/>
    <w:rsid w:val="00494655"/>
    <w:rsid w:val="00494A04"/>
    <w:rsid w:val="00494FF0"/>
    <w:rsid w:val="00496151"/>
    <w:rsid w:val="004A1BC7"/>
    <w:rsid w:val="004A30F3"/>
    <w:rsid w:val="004A3542"/>
    <w:rsid w:val="004A40D0"/>
    <w:rsid w:val="004A4B78"/>
    <w:rsid w:val="004A6B2B"/>
    <w:rsid w:val="004A7A5D"/>
    <w:rsid w:val="004B019E"/>
    <w:rsid w:val="004B143E"/>
    <w:rsid w:val="004B17DF"/>
    <w:rsid w:val="004B1C05"/>
    <w:rsid w:val="004B557A"/>
    <w:rsid w:val="004B7ABC"/>
    <w:rsid w:val="004B7D23"/>
    <w:rsid w:val="004C16D6"/>
    <w:rsid w:val="004C38FA"/>
    <w:rsid w:val="004C3921"/>
    <w:rsid w:val="004C6E65"/>
    <w:rsid w:val="004C78BD"/>
    <w:rsid w:val="004D045F"/>
    <w:rsid w:val="004D0A76"/>
    <w:rsid w:val="004D1020"/>
    <w:rsid w:val="004D4697"/>
    <w:rsid w:val="004D5E99"/>
    <w:rsid w:val="004D70C3"/>
    <w:rsid w:val="004D72AC"/>
    <w:rsid w:val="004D78A3"/>
    <w:rsid w:val="004D7CF1"/>
    <w:rsid w:val="004E0370"/>
    <w:rsid w:val="004E1511"/>
    <w:rsid w:val="004E2949"/>
    <w:rsid w:val="004E2F0B"/>
    <w:rsid w:val="004E36B0"/>
    <w:rsid w:val="004E54BC"/>
    <w:rsid w:val="004E59F7"/>
    <w:rsid w:val="004E5A92"/>
    <w:rsid w:val="004F1DD5"/>
    <w:rsid w:val="004F3646"/>
    <w:rsid w:val="004F418F"/>
    <w:rsid w:val="004F7818"/>
    <w:rsid w:val="00501B3F"/>
    <w:rsid w:val="00501FAE"/>
    <w:rsid w:val="005037BE"/>
    <w:rsid w:val="0050488A"/>
    <w:rsid w:val="00504FD2"/>
    <w:rsid w:val="00505599"/>
    <w:rsid w:val="00506C59"/>
    <w:rsid w:val="00507150"/>
    <w:rsid w:val="005071AD"/>
    <w:rsid w:val="00512F62"/>
    <w:rsid w:val="0051319D"/>
    <w:rsid w:val="0051383E"/>
    <w:rsid w:val="00513975"/>
    <w:rsid w:val="00513FF4"/>
    <w:rsid w:val="005152EA"/>
    <w:rsid w:val="00517317"/>
    <w:rsid w:val="005200FE"/>
    <w:rsid w:val="00520B03"/>
    <w:rsid w:val="005246AD"/>
    <w:rsid w:val="00526732"/>
    <w:rsid w:val="00530BBB"/>
    <w:rsid w:val="005326CB"/>
    <w:rsid w:val="00532930"/>
    <w:rsid w:val="005329AB"/>
    <w:rsid w:val="005340C5"/>
    <w:rsid w:val="00536111"/>
    <w:rsid w:val="00536D4E"/>
    <w:rsid w:val="00542C2E"/>
    <w:rsid w:val="00543D27"/>
    <w:rsid w:val="00547FF5"/>
    <w:rsid w:val="00550AAF"/>
    <w:rsid w:val="005530F8"/>
    <w:rsid w:val="0055422E"/>
    <w:rsid w:val="00554881"/>
    <w:rsid w:val="0055577D"/>
    <w:rsid w:val="00555E71"/>
    <w:rsid w:val="005623A2"/>
    <w:rsid w:val="005640BC"/>
    <w:rsid w:val="0057010E"/>
    <w:rsid w:val="0057165C"/>
    <w:rsid w:val="00572CD4"/>
    <w:rsid w:val="00572F0D"/>
    <w:rsid w:val="00574800"/>
    <w:rsid w:val="00574F5B"/>
    <w:rsid w:val="0057752A"/>
    <w:rsid w:val="00577B7D"/>
    <w:rsid w:val="005804AA"/>
    <w:rsid w:val="00581B07"/>
    <w:rsid w:val="00581D4A"/>
    <w:rsid w:val="005832CD"/>
    <w:rsid w:val="00583CA2"/>
    <w:rsid w:val="00585E1B"/>
    <w:rsid w:val="005869A6"/>
    <w:rsid w:val="00590C23"/>
    <w:rsid w:val="005911AA"/>
    <w:rsid w:val="00591555"/>
    <w:rsid w:val="00591DEC"/>
    <w:rsid w:val="005955A1"/>
    <w:rsid w:val="00596051"/>
    <w:rsid w:val="005971EB"/>
    <w:rsid w:val="00597341"/>
    <w:rsid w:val="00597D66"/>
    <w:rsid w:val="005A3212"/>
    <w:rsid w:val="005A38B4"/>
    <w:rsid w:val="005A49B1"/>
    <w:rsid w:val="005A54B3"/>
    <w:rsid w:val="005A6B7F"/>
    <w:rsid w:val="005B096B"/>
    <w:rsid w:val="005B14D6"/>
    <w:rsid w:val="005B1904"/>
    <w:rsid w:val="005B23EB"/>
    <w:rsid w:val="005B29B4"/>
    <w:rsid w:val="005B2DEA"/>
    <w:rsid w:val="005B540D"/>
    <w:rsid w:val="005B5DA4"/>
    <w:rsid w:val="005B7603"/>
    <w:rsid w:val="005C024D"/>
    <w:rsid w:val="005C16CB"/>
    <w:rsid w:val="005C20D3"/>
    <w:rsid w:val="005C5109"/>
    <w:rsid w:val="005C6588"/>
    <w:rsid w:val="005C6ED9"/>
    <w:rsid w:val="005C7482"/>
    <w:rsid w:val="005C7BD8"/>
    <w:rsid w:val="005D2D5C"/>
    <w:rsid w:val="005D5606"/>
    <w:rsid w:val="005E3055"/>
    <w:rsid w:val="005E412B"/>
    <w:rsid w:val="005E4839"/>
    <w:rsid w:val="005E554D"/>
    <w:rsid w:val="005E6DB1"/>
    <w:rsid w:val="005F4007"/>
    <w:rsid w:val="0060007C"/>
    <w:rsid w:val="0060030C"/>
    <w:rsid w:val="00601C93"/>
    <w:rsid w:val="00602BF1"/>
    <w:rsid w:val="00604572"/>
    <w:rsid w:val="0060537E"/>
    <w:rsid w:val="00611863"/>
    <w:rsid w:val="00612EA5"/>
    <w:rsid w:val="00613872"/>
    <w:rsid w:val="00614D61"/>
    <w:rsid w:val="00617522"/>
    <w:rsid w:val="00617658"/>
    <w:rsid w:val="006179A9"/>
    <w:rsid w:val="0062130F"/>
    <w:rsid w:val="00623795"/>
    <w:rsid w:val="006253E0"/>
    <w:rsid w:val="00626769"/>
    <w:rsid w:val="006273A9"/>
    <w:rsid w:val="006301EA"/>
    <w:rsid w:val="00631359"/>
    <w:rsid w:val="00631D5B"/>
    <w:rsid w:val="0063331B"/>
    <w:rsid w:val="00635BD2"/>
    <w:rsid w:val="00637427"/>
    <w:rsid w:val="00637B9B"/>
    <w:rsid w:val="00640448"/>
    <w:rsid w:val="00641653"/>
    <w:rsid w:val="006422BA"/>
    <w:rsid w:val="006428E9"/>
    <w:rsid w:val="00642B80"/>
    <w:rsid w:val="00643859"/>
    <w:rsid w:val="00644238"/>
    <w:rsid w:val="00646814"/>
    <w:rsid w:val="00646F9E"/>
    <w:rsid w:val="00647BAB"/>
    <w:rsid w:val="00650348"/>
    <w:rsid w:val="006506FC"/>
    <w:rsid w:val="00650BE5"/>
    <w:rsid w:val="00650C4C"/>
    <w:rsid w:val="00652D0C"/>
    <w:rsid w:val="006530A3"/>
    <w:rsid w:val="00655B21"/>
    <w:rsid w:val="00656937"/>
    <w:rsid w:val="00657C4E"/>
    <w:rsid w:val="00660B0F"/>
    <w:rsid w:val="006618AE"/>
    <w:rsid w:val="00670474"/>
    <w:rsid w:val="0067461C"/>
    <w:rsid w:val="006749A2"/>
    <w:rsid w:val="006756C9"/>
    <w:rsid w:val="00677303"/>
    <w:rsid w:val="00677BB9"/>
    <w:rsid w:val="00682E7B"/>
    <w:rsid w:val="0068432A"/>
    <w:rsid w:val="00685A91"/>
    <w:rsid w:val="00685BB4"/>
    <w:rsid w:val="00687709"/>
    <w:rsid w:val="00687C30"/>
    <w:rsid w:val="00691989"/>
    <w:rsid w:val="00691F7C"/>
    <w:rsid w:val="00692DB8"/>
    <w:rsid w:val="006952A4"/>
    <w:rsid w:val="006962F6"/>
    <w:rsid w:val="00696848"/>
    <w:rsid w:val="006979A0"/>
    <w:rsid w:val="006A199C"/>
    <w:rsid w:val="006A1C0E"/>
    <w:rsid w:val="006A5EEA"/>
    <w:rsid w:val="006A69F2"/>
    <w:rsid w:val="006A78A2"/>
    <w:rsid w:val="006B060B"/>
    <w:rsid w:val="006B1384"/>
    <w:rsid w:val="006B2DCA"/>
    <w:rsid w:val="006B320C"/>
    <w:rsid w:val="006B4AA5"/>
    <w:rsid w:val="006C243C"/>
    <w:rsid w:val="006C2AAE"/>
    <w:rsid w:val="006C3110"/>
    <w:rsid w:val="006C4957"/>
    <w:rsid w:val="006C7D16"/>
    <w:rsid w:val="006D0F4F"/>
    <w:rsid w:val="006D1531"/>
    <w:rsid w:val="006D1D3C"/>
    <w:rsid w:val="006D27E6"/>
    <w:rsid w:val="006D353A"/>
    <w:rsid w:val="006D37B2"/>
    <w:rsid w:val="006D6014"/>
    <w:rsid w:val="006D7EF1"/>
    <w:rsid w:val="006E208D"/>
    <w:rsid w:val="006E29BD"/>
    <w:rsid w:val="006E3A00"/>
    <w:rsid w:val="006E44F2"/>
    <w:rsid w:val="006E4755"/>
    <w:rsid w:val="006E4EEA"/>
    <w:rsid w:val="006E5207"/>
    <w:rsid w:val="006E54D2"/>
    <w:rsid w:val="006E68C3"/>
    <w:rsid w:val="006F2ED1"/>
    <w:rsid w:val="006F4BAD"/>
    <w:rsid w:val="006F5F9D"/>
    <w:rsid w:val="006F62C6"/>
    <w:rsid w:val="006F648A"/>
    <w:rsid w:val="007019B2"/>
    <w:rsid w:val="007026FA"/>
    <w:rsid w:val="007042C0"/>
    <w:rsid w:val="007047F4"/>
    <w:rsid w:val="007050BB"/>
    <w:rsid w:val="00705C64"/>
    <w:rsid w:val="00705F03"/>
    <w:rsid w:val="00706C8D"/>
    <w:rsid w:val="00707321"/>
    <w:rsid w:val="0071079F"/>
    <w:rsid w:val="00711C1D"/>
    <w:rsid w:val="0071210F"/>
    <w:rsid w:val="0071323E"/>
    <w:rsid w:val="0071752E"/>
    <w:rsid w:val="00724411"/>
    <w:rsid w:val="007272EA"/>
    <w:rsid w:val="00727812"/>
    <w:rsid w:val="00730B10"/>
    <w:rsid w:val="00730F03"/>
    <w:rsid w:val="00731D50"/>
    <w:rsid w:val="00731FD2"/>
    <w:rsid w:val="00733F90"/>
    <w:rsid w:val="0073416D"/>
    <w:rsid w:val="00734966"/>
    <w:rsid w:val="00736656"/>
    <w:rsid w:val="007369D8"/>
    <w:rsid w:val="007375A1"/>
    <w:rsid w:val="007378A6"/>
    <w:rsid w:val="007431E9"/>
    <w:rsid w:val="00743BB5"/>
    <w:rsid w:val="00743BE2"/>
    <w:rsid w:val="00745D44"/>
    <w:rsid w:val="00747621"/>
    <w:rsid w:val="0075153E"/>
    <w:rsid w:val="00751774"/>
    <w:rsid w:val="00752B56"/>
    <w:rsid w:val="00752B9D"/>
    <w:rsid w:val="0075314D"/>
    <w:rsid w:val="007546D5"/>
    <w:rsid w:val="007556B1"/>
    <w:rsid w:val="00756B68"/>
    <w:rsid w:val="00757C5A"/>
    <w:rsid w:val="00757FB8"/>
    <w:rsid w:val="00760066"/>
    <w:rsid w:val="00760A8E"/>
    <w:rsid w:val="00762DBE"/>
    <w:rsid w:val="0076553B"/>
    <w:rsid w:val="00767437"/>
    <w:rsid w:val="007730F8"/>
    <w:rsid w:val="00773F56"/>
    <w:rsid w:val="00773F7C"/>
    <w:rsid w:val="00774690"/>
    <w:rsid w:val="0077539E"/>
    <w:rsid w:val="0077597E"/>
    <w:rsid w:val="00775E68"/>
    <w:rsid w:val="007762D4"/>
    <w:rsid w:val="00776DD2"/>
    <w:rsid w:val="007779DB"/>
    <w:rsid w:val="00780380"/>
    <w:rsid w:val="00780D40"/>
    <w:rsid w:val="00782153"/>
    <w:rsid w:val="0078334C"/>
    <w:rsid w:val="00784DCB"/>
    <w:rsid w:val="00784DFC"/>
    <w:rsid w:val="00784F72"/>
    <w:rsid w:val="0079006B"/>
    <w:rsid w:val="007921CD"/>
    <w:rsid w:val="007924BF"/>
    <w:rsid w:val="00792A03"/>
    <w:rsid w:val="007946AC"/>
    <w:rsid w:val="00794BFE"/>
    <w:rsid w:val="00795A75"/>
    <w:rsid w:val="007A021B"/>
    <w:rsid w:val="007A0E89"/>
    <w:rsid w:val="007A7FAA"/>
    <w:rsid w:val="007B0ABA"/>
    <w:rsid w:val="007B1272"/>
    <w:rsid w:val="007B23EC"/>
    <w:rsid w:val="007B2FF2"/>
    <w:rsid w:val="007B6A77"/>
    <w:rsid w:val="007C1EF4"/>
    <w:rsid w:val="007C49F6"/>
    <w:rsid w:val="007C76D8"/>
    <w:rsid w:val="007D20B5"/>
    <w:rsid w:val="007D72A3"/>
    <w:rsid w:val="007D7807"/>
    <w:rsid w:val="007E1315"/>
    <w:rsid w:val="007E372F"/>
    <w:rsid w:val="007E503C"/>
    <w:rsid w:val="007E5904"/>
    <w:rsid w:val="007E6743"/>
    <w:rsid w:val="007E6CAD"/>
    <w:rsid w:val="007F000D"/>
    <w:rsid w:val="007F080D"/>
    <w:rsid w:val="007F5189"/>
    <w:rsid w:val="007F6F21"/>
    <w:rsid w:val="007F71F3"/>
    <w:rsid w:val="0080128A"/>
    <w:rsid w:val="00801475"/>
    <w:rsid w:val="00803CA3"/>
    <w:rsid w:val="00806EC1"/>
    <w:rsid w:val="0081073A"/>
    <w:rsid w:val="008110B1"/>
    <w:rsid w:val="008117E5"/>
    <w:rsid w:val="0081250B"/>
    <w:rsid w:val="00813098"/>
    <w:rsid w:val="008135D2"/>
    <w:rsid w:val="0081466A"/>
    <w:rsid w:val="00815D64"/>
    <w:rsid w:val="00815ECD"/>
    <w:rsid w:val="008175B0"/>
    <w:rsid w:val="008201CE"/>
    <w:rsid w:val="00821E19"/>
    <w:rsid w:val="008225DE"/>
    <w:rsid w:val="00823834"/>
    <w:rsid w:val="00823FF8"/>
    <w:rsid w:val="008257A8"/>
    <w:rsid w:val="0082711F"/>
    <w:rsid w:val="00827DAE"/>
    <w:rsid w:val="00831E3E"/>
    <w:rsid w:val="00832E8F"/>
    <w:rsid w:val="00833941"/>
    <w:rsid w:val="0083713A"/>
    <w:rsid w:val="008414EA"/>
    <w:rsid w:val="008419AE"/>
    <w:rsid w:val="00842A1A"/>
    <w:rsid w:val="0084304F"/>
    <w:rsid w:val="00843422"/>
    <w:rsid w:val="00844924"/>
    <w:rsid w:val="00844CD8"/>
    <w:rsid w:val="00844F52"/>
    <w:rsid w:val="008518B7"/>
    <w:rsid w:val="00857E8C"/>
    <w:rsid w:val="00860EBF"/>
    <w:rsid w:val="008612BE"/>
    <w:rsid w:val="0086175D"/>
    <w:rsid w:val="008628C9"/>
    <w:rsid w:val="00864FC4"/>
    <w:rsid w:val="00865CD4"/>
    <w:rsid w:val="008669B6"/>
    <w:rsid w:val="008703BE"/>
    <w:rsid w:val="00872397"/>
    <w:rsid w:val="00873E72"/>
    <w:rsid w:val="008748F0"/>
    <w:rsid w:val="00874A0A"/>
    <w:rsid w:val="00875088"/>
    <w:rsid w:val="008753D6"/>
    <w:rsid w:val="008753ED"/>
    <w:rsid w:val="0088166B"/>
    <w:rsid w:val="00882C5C"/>
    <w:rsid w:val="008833A0"/>
    <w:rsid w:val="00885EEE"/>
    <w:rsid w:val="0088636E"/>
    <w:rsid w:val="00886607"/>
    <w:rsid w:val="00891EE2"/>
    <w:rsid w:val="0089276B"/>
    <w:rsid w:val="008927F5"/>
    <w:rsid w:val="008936C9"/>
    <w:rsid w:val="0089537D"/>
    <w:rsid w:val="008A227E"/>
    <w:rsid w:val="008A22E6"/>
    <w:rsid w:val="008A42D4"/>
    <w:rsid w:val="008A4CAE"/>
    <w:rsid w:val="008A5FB3"/>
    <w:rsid w:val="008A63D9"/>
    <w:rsid w:val="008A737A"/>
    <w:rsid w:val="008A78B1"/>
    <w:rsid w:val="008A7BA2"/>
    <w:rsid w:val="008B4071"/>
    <w:rsid w:val="008B430F"/>
    <w:rsid w:val="008B4FB8"/>
    <w:rsid w:val="008B52EE"/>
    <w:rsid w:val="008B59D2"/>
    <w:rsid w:val="008B712B"/>
    <w:rsid w:val="008B77D5"/>
    <w:rsid w:val="008B7E31"/>
    <w:rsid w:val="008C221C"/>
    <w:rsid w:val="008C2CF1"/>
    <w:rsid w:val="008C45CB"/>
    <w:rsid w:val="008C675A"/>
    <w:rsid w:val="008D05CE"/>
    <w:rsid w:val="008D291F"/>
    <w:rsid w:val="008D40EB"/>
    <w:rsid w:val="008D4CDA"/>
    <w:rsid w:val="008D4F1C"/>
    <w:rsid w:val="008D50F7"/>
    <w:rsid w:val="008D7C8E"/>
    <w:rsid w:val="008D7EB5"/>
    <w:rsid w:val="008E003C"/>
    <w:rsid w:val="008E13AC"/>
    <w:rsid w:val="008E308B"/>
    <w:rsid w:val="008E6098"/>
    <w:rsid w:val="008E7274"/>
    <w:rsid w:val="008F0124"/>
    <w:rsid w:val="008F11D6"/>
    <w:rsid w:val="008F13EF"/>
    <w:rsid w:val="008F18B1"/>
    <w:rsid w:val="008F1C97"/>
    <w:rsid w:val="008F2B9C"/>
    <w:rsid w:val="008F52B5"/>
    <w:rsid w:val="008F5FF7"/>
    <w:rsid w:val="008F62F5"/>
    <w:rsid w:val="00900906"/>
    <w:rsid w:val="00901081"/>
    <w:rsid w:val="00901751"/>
    <w:rsid w:val="00904173"/>
    <w:rsid w:val="00905E25"/>
    <w:rsid w:val="0090774E"/>
    <w:rsid w:val="00907EDE"/>
    <w:rsid w:val="0091187B"/>
    <w:rsid w:val="009120B3"/>
    <w:rsid w:val="00916EBF"/>
    <w:rsid w:val="00920D1B"/>
    <w:rsid w:val="0092116D"/>
    <w:rsid w:val="0092390D"/>
    <w:rsid w:val="00925E7A"/>
    <w:rsid w:val="00926545"/>
    <w:rsid w:val="009265C3"/>
    <w:rsid w:val="00931239"/>
    <w:rsid w:val="00932804"/>
    <w:rsid w:val="009339CF"/>
    <w:rsid w:val="00934BDB"/>
    <w:rsid w:val="00935E9D"/>
    <w:rsid w:val="0094142D"/>
    <w:rsid w:val="0094192A"/>
    <w:rsid w:val="00943357"/>
    <w:rsid w:val="00946626"/>
    <w:rsid w:val="00946F48"/>
    <w:rsid w:val="009478E2"/>
    <w:rsid w:val="00950D84"/>
    <w:rsid w:val="00951F90"/>
    <w:rsid w:val="0095271E"/>
    <w:rsid w:val="009527DA"/>
    <w:rsid w:val="00952F79"/>
    <w:rsid w:val="0095420D"/>
    <w:rsid w:val="00955780"/>
    <w:rsid w:val="00961600"/>
    <w:rsid w:val="0096444B"/>
    <w:rsid w:val="00965876"/>
    <w:rsid w:val="009668B2"/>
    <w:rsid w:val="00966966"/>
    <w:rsid w:val="009671C8"/>
    <w:rsid w:val="00970780"/>
    <w:rsid w:val="0097132C"/>
    <w:rsid w:val="00973A04"/>
    <w:rsid w:val="009742D1"/>
    <w:rsid w:val="00974356"/>
    <w:rsid w:val="00976A88"/>
    <w:rsid w:val="00981587"/>
    <w:rsid w:val="00981BD1"/>
    <w:rsid w:val="00982141"/>
    <w:rsid w:val="00982C82"/>
    <w:rsid w:val="00982DA0"/>
    <w:rsid w:val="0098485C"/>
    <w:rsid w:val="0098509B"/>
    <w:rsid w:val="00985ED3"/>
    <w:rsid w:val="0098707C"/>
    <w:rsid w:val="00987DA2"/>
    <w:rsid w:val="009901A5"/>
    <w:rsid w:val="00990FD4"/>
    <w:rsid w:val="00991E11"/>
    <w:rsid w:val="009928D9"/>
    <w:rsid w:val="00992F17"/>
    <w:rsid w:val="00993B57"/>
    <w:rsid w:val="0099521F"/>
    <w:rsid w:val="009961B8"/>
    <w:rsid w:val="00996313"/>
    <w:rsid w:val="00997289"/>
    <w:rsid w:val="009A1445"/>
    <w:rsid w:val="009A1874"/>
    <w:rsid w:val="009A1B36"/>
    <w:rsid w:val="009A2533"/>
    <w:rsid w:val="009A27E2"/>
    <w:rsid w:val="009A2FA3"/>
    <w:rsid w:val="009B05F3"/>
    <w:rsid w:val="009B0A23"/>
    <w:rsid w:val="009B283C"/>
    <w:rsid w:val="009B4F54"/>
    <w:rsid w:val="009B5B63"/>
    <w:rsid w:val="009B790A"/>
    <w:rsid w:val="009B7EE7"/>
    <w:rsid w:val="009C2BFB"/>
    <w:rsid w:val="009C3D5A"/>
    <w:rsid w:val="009C3E53"/>
    <w:rsid w:val="009C631D"/>
    <w:rsid w:val="009C7828"/>
    <w:rsid w:val="009D2587"/>
    <w:rsid w:val="009D3683"/>
    <w:rsid w:val="009D3B73"/>
    <w:rsid w:val="009D60C9"/>
    <w:rsid w:val="009D6885"/>
    <w:rsid w:val="009D6E17"/>
    <w:rsid w:val="009D7033"/>
    <w:rsid w:val="009D726F"/>
    <w:rsid w:val="009D7417"/>
    <w:rsid w:val="009E0723"/>
    <w:rsid w:val="009E1880"/>
    <w:rsid w:val="009E269F"/>
    <w:rsid w:val="009E3469"/>
    <w:rsid w:val="009E4941"/>
    <w:rsid w:val="009E5BDA"/>
    <w:rsid w:val="009E5FED"/>
    <w:rsid w:val="009E602A"/>
    <w:rsid w:val="009E749A"/>
    <w:rsid w:val="009E7E6C"/>
    <w:rsid w:val="009F12AF"/>
    <w:rsid w:val="009F1F52"/>
    <w:rsid w:val="009F24EA"/>
    <w:rsid w:val="009F2C44"/>
    <w:rsid w:val="009F3B71"/>
    <w:rsid w:val="009F709C"/>
    <w:rsid w:val="009F70FA"/>
    <w:rsid w:val="00A016F5"/>
    <w:rsid w:val="00A05CD4"/>
    <w:rsid w:val="00A06259"/>
    <w:rsid w:val="00A07AD7"/>
    <w:rsid w:val="00A10D74"/>
    <w:rsid w:val="00A10F55"/>
    <w:rsid w:val="00A11F02"/>
    <w:rsid w:val="00A121DA"/>
    <w:rsid w:val="00A121F5"/>
    <w:rsid w:val="00A1229E"/>
    <w:rsid w:val="00A12F2E"/>
    <w:rsid w:val="00A1654C"/>
    <w:rsid w:val="00A174D5"/>
    <w:rsid w:val="00A17FD5"/>
    <w:rsid w:val="00A216C9"/>
    <w:rsid w:val="00A21DEE"/>
    <w:rsid w:val="00A21FC0"/>
    <w:rsid w:val="00A227DF"/>
    <w:rsid w:val="00A23B84"/>
    <w:rsid w:val="00A25C7D"/>
    <w:rsid w:val="00A27688"/>
    <w:rsid w:val="00A314ED"/>
    <w:rsid w:val="00A3165F"/>
    <w:rsid w:val="00A355F8"/>
    <w:rsid w:val="00A359DE"/>
    <w:rsid w:val="00A35D5A"/>
    <w:rsid w:val="00A36364"/>
    <w:rsid w:val="00A365F2"/>
    <w:rsid w:val="00A36EA3"/>
    <w:rsid w:val="00A37249"/>
    <w:rsid w:val="00A37E81"/>
    <w:rsid w:val="00A40916"/>
    <w:rsid w:val="00A41A05"/>
    <w:rsid w:val="00A41A32"/>
    <w:rsid w:val="00A455E5"/>
    <w:rsid w:val="00A4565F"/>
    <w:rsid w:val="00A45D16"/>
    <w:rsid w:val="00A46DB2"/>
    <w:rsid w:val="00A4772B"/>
    <w:rsid w:val="00A531D8"/>
    <w:rsid w:val="00A54369"/>
    <w:rsid w:val="00A5558A"/>
    <w:rsid w:val="00A56E5A"/>
    <w:rsid w:val="00A61A52"/>
    <w:rsid w:val="00A63676"/>
    <w:rsid w:val="00A64F03"/>
    <w:rsid w:val="00A6506D"/>
    <w:rsid w:val="00A650C0"/>
    <w:rsid w:val="00A652F5"/>
    <w:rsid w:val="00A6584B"/>
    <w:rsid w:val="00A65F93"/>
    <w:rsid w:val="00A66D4D"/>
    <w:rsid w:val="00A66F00"/>
    <w:rsid w:val="00A709F8"/>
    <w:rsid w:val="00A71D45"/>
    <w:rsid w:val="00A72479"/>
    <w:rsid w:val="00A741E8"/>
    <w:rsid w:val="00A75E8E"/>
    <w:rsid w:val="00A768F7"/>
    <w:rsid w:val="00A80466"/>
    <w:rsid w:val="00A80C02"/>
    <w:rsid w:val="00A81488"/>
    <w:rsid w:val="00A857DC"/>
    <w:rsid w:val="00A8604C"/>
    <w:rsid w:val="00A861F2"/>
    <w:rsid w:val="00A863B2"/>
    <w:rsid w:val="00A875D1"/>
    <w:rsid w:val="00A909D2"/>
    <w:rsid w:val="00A90CB5"/>
    <w:rsid w:val="00A918B6"/>
    <w:rsid w:val="00A919FB"/>
    <w:rsid w:val="00A9253D"/>
    <w:rsid w:val="00A9369D"/>
    <w:rsid w:val="00A94208"/>
    <w:rsid w:val="00A949A6"/>
    <w:rsid w:val="00A95A03"/>
    <w:rsid w:val="00A95CF0"/>
    <w:rsid w:val="00AA0011"/>
    <w:rsid w:val="00AA02D2"/>
    <w:rsid w:val="00AA1EAE"/>
    <w:rsid w:val="00AA21C4"/>
    <w:rsid w:val="00AA329F"/>
    <w:rsid w:val="00AA32E0"/>
    <w:rsid w:val="00AA3E9D"/>
    <w:rsid w:val="00AA4870"/>
    <w:rsid w:val="00AA4F6C"/>
    <w:rsid w:val="00AA5FB4"/>
    <w:rsid w:val="00AA6F0B"/>
    <w:rsid w:val="00AB01F0"/>
    <w:rsid w:val="00AB063E"/>
    <w:rsid w:val="00AB0679"/>
    <w:rsid w:val="00AB0818"/>
    <w:rsid w:val="00AB08DB"/>
    <w:rsid w:val="00AB1890"/>
    <w:rsid w:val="00AB257A"/>
    <w:rsid w:val="00AB2752"/>
    <w:rsid w:val="00AB4DF3"/>
    <w:rsid w:val="00AB551D"/>
    <w:rsid w:val="00AB55C4"/>
    <w:rsid w:val="00AB5B73"/>
    <w:rsid w:val="00AB5DE4"/>
    <w:rsid w:val="00AB7CF8"/>
    <w:rsid w:val="00AC0F85"/>
    <w:rsid w:val="00AC210E"/>
    <w:rsid w:val="00AC216D"/>
    <w:rsid w:val="00AC2C61"/>
    <w:rsid w:val="00AC33B7"/>
    <w:rsid w:val="00AD01B3"/>
    <w:rsid w:val="00AD0228"/>
    <w:rsid w:val="00AD105D"/>
    <w:rsid w:val="00AD1E27"/>
    <w:rsid w:val="00AD2001"/>
    <w:rsid w:val="00AD4A57"/>
    <w:rsid w:val="00AD5528"/>
    <w:rsid w:val="00AD5F21"/>
    <w:rsid w:val="00AD60DB"/>
    <w:rsid w:val="00AD6A25"/>
    <w:rsid w:val="00AD6E76"/>
    <w:rsid w:val="00AD74E5"/>
    <w:rsid w:val="00AE3A1F"/>
    <w:rsid w:val="00AE3CEF"/>
    <w:rsid w:val="00AE42C3"/>
    <w:rsid w:val="00AE4761"/>
    <w:rsid w:val="00AF2A71"/>
    <w:rsid w:val="00B00DE1"/>
    <w:rsid w:val="00B02666"/>
    <w:rsid w:val="00B02A2D"/>
    <w:rsid w:val="00B04223"/>
    <w:rsid w:val="00B0556D"/>
    <w:rsid w:val="00B057E7"/>
    <w:rsid w:val="00B07124"/>
    <w:rsid w:val="00B074F6"/>
    <w:rsid w:val="00B07644"/>
    <w:rsid w:val="00B11B96"/>
    <w:rsid w:val="00B121B8"/>
    <w:rsid w:val="00B155F4"/>
    <w:rsid w:val="00B15928"/>
    <w:rsid w:val="00B1681C"/>
    <w:rsid w:val="00B16D4A"/>
    <w:rsid w:val="00B214D9"/>
    <w:rsid w:val="00B2227C"/>
    <w:rsid w:val="00B26C19"/>
    <w:rsid w:val="00B318DC"/>
    <w:rsid w:val="00B3190D"/>
    <w:rsid w:val="00B3476A"/>
    <w:rsid w:val="00B35354"/>
    <w:rsid w:val="00B35370"/>
    <w:rsid w:val="00B35DAF"/>
    <w:rsid w:val="00B36C2F"/>
    <w:rsid w:val="00B43BE0"/>
    <w:rsid w:val="00B51AF0"/>
    <w:rsid w:val="00B5430E"/>
    <w:rsid w:val="00B54409"/>
    <w:rsid w:val="00B563A3"/>
    <w:rsid w:val="00B568FB"/>
    <w:rsid w:val="00B5737E"/>
    <w:rsid w:val="00B57970"/>
    <w:rsid w:val="00B62A73"/>
    <w:rsid w:val="00B63BA0"/>
    <w:rsid w:val="00B63D3B"/>
    <w:rsid w:val="00B64D9B"/>
    <w:rsid w:val="00B64DDB"/>
    <w:rsid w:val="00B654A1"/>
    <w:rsid w:val="00B65D6D"/>
    <w:rsid w:val="00B67D2F"/>
    <w:rsid w:val="00B67EE9"/>
    <w:rsid w:val="00B71421"/>
    <w:rsid w:val="00B71C08"/>
    <w:rsid w:val="00B7380C"/>
    <w:rsid w:val="00B74DFB"/>
    <w:rsid w:val="00B74F85"/>
    <w:rsid w:val="00B75F94"/>
    <w:rsid w:val="00B8062B"/>
    <w:rsid w:val="00B81476"/>
    <w:rsid w:val="00B82AC3"/>
    <w:rsid w:val="00B839C3"/>
    <w:rsid w:val="00B84C25"/>
    <w:rsid w:val="00B84FDE"/>
    <w:rsid w:val="00B8508E"/>
    <w:rsid w:val="00B86ED7"/>
    <w:rsid w:val="00B901F0"/>
    <w:rsid w:val="00B903AA"/>
    <w:rsid w:val="00B91460"/>
    <w:rsid w:val="00B9322F"/>
    <w:rsid w:val="00B94373"/>
    <w:rsid w:val="00B95D9F"/>
    <w:rsid w:val="00B96EA2"/>
    <w:rsid w:val="00BA170B"/>
    <w:rsid w:val="00BA2A77"/>
    <w:rsid w:val="00BA3659"/>
    <w:rsid w:val="00BA4415"/>
    <w:rsid w:val="00BA56D0"/>
    <w:rsid w:val="00BA6C34"/>
    <w:rsid w:val="00BA7297"/>
    <w:rsid w:val="00BB00D7"/>
    <w:rsid w:val="00BB3C69"/>
    <w:rsid w:val="00BB4B80"/>
    <w:rsid w:val="00BB53D0"/>
    <w:rsid w:val="00BB7B73"/>
    <w:rsid w:val="00BC0290"/>
    <w:rsid w:val="00BC045D"/>
    <w:rsid w:val="00BC40A7"/>
    <w:rsid w:val="00BC5059"/>
    <w:rsid w:val="00BC59E2"/>
    <w:rsid w:val="00BC7EEF"/>
    <w:rsid w:val="00BD128F"/>
    <w:rsid w:val="00BD1E63"/>
    <w:rsid w:val="00BD309A"/>
    <w:rsid w:val="00BD4DC0"/>
    <w:rsid w:val="00BD5DE7"/>
    <w:rsid w:val="00BD6BB2"/>
    <w:rsid w:val="00BD701D"/>
    <w:rsid w:val="00BD7E8C"/>
    <w:rsid w:val="00BE17EE"/>
    <w:rsid w:val="00BE55A9"/>
    <w:rsid w:val="00BE57DF"/>
    <w:rsid w:val="00BF0ECF"/>
    <w:rsid w:val="00BF1959"/>
    <w:rsid w:val="00BF327F"/>
    <w:rsid w:val="00BF3B9A"/>
    <w:rsid w:val="00BF4898"/>
    <w:rsid w:val="00BF52B6"/>
    <w:rsid w:val="00BF5781"/>
    <w:rsid w:val="00BF5B14"/>
    <w:rsid w:val="00BF66E8"/>
    <w:rsid w:val="00BF6E19"/>
    <w:rsid w:val="00BF78E0"/>
    <w:rsid w:val="00C012B0"/>
    <w:rsid w:val="00C02FD0"/>
    <w:rsid w:val="00C077A4"/>
    <w:rsid w:val="00C07AE7"/>
    <w:rsid w:val="00C10E9E"/>
    <w:rsid w:val="00C14884"/>
    <w:rsid w:val="00C148F1"/>
    <w:rsid w:val="00C15A09"/>
    <w:rsid w:val="00C16D86"/>
    <w:rsid w:val="00C202AA"/>
    <w:rsid w:val="00C22283"/>
    <w:rsid w:val="00C26497"/>
    <w:rsid w:val="00C2650C"/>
    <w:rsid w:val="00C2715C"/>
    <w:rsid w:val="00C27350"/>
    <w:rsid w:val="00C359CA"/>
    <w:rsid w:val="00C35A02"/>
    <w:rsid w:val="00C36FD7"/>
    <w:rsid w:val="00C37453"/>
    <w:rsid w:val="00C42950"/>
    <w:rsid w:val="00C4402B"/>
    <w:rsid w:val="00C44AA6"/>
    <w:rsid w:val="00C45B21"/>
    <w:rsid w:val="00C45BE5"/>
    <w:rsid w:val="00C46839"/>
    <w:rsid w:val="00C47754"/>
    <w:rsid w:val="00C50CD7"/>
    <w:rsid w:val="00C52FA1"/>
    <w:rsid w:val="00C5412C"/>
    <w:rsid w:val="00C63787"/>
    <w:rsid w:val="00C64287"/>
    <w:rsid w:val="00C649F6"/>
    <w:rsid w:val="00C657E5"/>
    <w:rsid w:val="00C6775D"/>
    <w:rsid w:val="00C745E4"/>
    <w:rsid w:val="00C75F5C"/>
    <w:rsid w:val="00C76F08"/>
    <w:rsid w:val="00C84203"/>
    <w:rsid w:val="00C845FE"/>
    <w:rsid w:val="00C85978"/>
    <w:rsid w:val="00C8638B"/>
    <w:rsid w:val="00C904C2"/>
    <w:rsid w:val="00C92977"/>
    <w:rsid w:val="00C9353F"/>
    <w:rsid w:val="00C93593"/>
    <w:rsid w:val="00C96DD1"/>
    <w:rsid w:val="00C972BE"/>
    <w:rsid w:val="00C977E3"/>
    <w:rsid w:val="00CA00FC"/>
    <w:rsid w:val="00CA0902"/>
    <w:rsid w:val="00CA1594"/>
    <w:rsid w:val="00CA17A2"/>
    <w:rsid w:val="00CA343D"/>
    <w:rsid w:val="00CA3B57"/>
    <w:rsid w:val="00CA43DA"/>
    <w:rsid w:val="00CA54AB"/>
    <w:rsid w:val="00CA6557"/>
    <w:rsid w:val="00CA7EA8"/>
    <w:rsid w:val="00CA7ED5"/>
    <w:rsid w:val="00CB005B"/>
    <w:rsid w:val="00CB052D"/>
    <w:rsid w:val="00CB0F2B"/>
    <w:rsid w:val="00CB2A91"/>
    <w:rsid w:val="00CB3183"/>
    <w:rsid w:val="00CB34EF"/>
    <w:rsid w:val="00CB59EC"/>
    <w:rsid w:val="00CB69D7"/>
    <w:rsid w:val="00CB7429"/>
    <w:rsid w:val="00CC02E7"/>
    <w:rsid w:val="00CC4144"/>
    <w:rsid w:val="00CC4C2F"/>
    <w:rsid w:val="00CC68FE"/>
    <w:rsid w:val="00CC6EA5"/>
    <w:rsid w:val="00CD06ED"/>
    <w:rsid w:val="00CD0E3C"/>
    <w:rsid w:val="00CD1474"/>
    <w:rsid w:val="00CD2DBF"/>
    <w:rsid w:val="00CD4659"/>
    <w:rsid w:val="00CD4BB0"/>
    <w:rsid w:val="00CD59CE"/>
    <w:rsid w:val="00CD7594"/>
    <w:rsid w:val="00CE00B7"/>
    <w:rsid w:val="00CE13AE"/>
    <w:rsid w:val="00CE4DCD"/>
    <w:rsid w:val="00CE706F"/>
    <w:rsid w:val="00CF0AF7"/>
    <w:rsid w:val="00CF2343"/>
    <w:rsid w:val="00CF2A7E"/>
    <w:rsid w:val="00CF3B04"/>
    <w:rsid w:val="00CF4306"/>
    <w:rsid w:val="00CF51CB"/>
    <w:rsid w:val="00D00D72"/>
    <w:rsid w:val="00D026B7"/>
    <w:rsid w:val="00D02A4B"/>
    <w:rsid w:val="00D039C7"/>
    <w:rsid w:val="00D03B40"/>
    <w:rsid w:val="00D03F5D"/>
    <w:rsid w:val="00D05955"/>
    <w:rsid w:val="00D06B2F"/>
    <w:rsid w:val="00D07A7A"/>
    <w:rsid w:val="00D07E35"/>
    <w:rsid w:val="00D12C0E"/>
    <w:rsid w:val="00D16FB4"/>
    <w:rsid w:val="00D16FF8"/>
    <w:rsid w:val="00D17038"/>
    <w:rsid w:val="00D17246"/>
    <w:rsid w:val="00D175C2"/>
    <w:rsid w:val="00D20394"/>
    <w:rsid w:val="00D21E06"/>
    <w:rsid w:val="00D221C6"/>
    <w:rsid w:val="00D2379F"/>
    <w:rsid w:val="00D2430D"/>
    <w:rsid w:val="00D24A34"/>
    <w:rsid w:val="00D25398"/>
    <w:rsid w:val="00D26C44"/>
    <w:rsid w:val="00D274BC"/>
    <w:rsid w:val="00D27AB2"/>
    <w:rsid w:val="00D27DD3"/>
    <w:rsid w:val="00D27E72"/>
    <w:rsid w:val="00D31598"/>
    <w:rsid w:val="00D33694"/>
    <w:rsid w:val="00D33BCB"/>
    <w:rsid w:val="00D3560B"/>
    <w:rsid w:val="00D36111"/>
    <w:rsid w:val="00D37792"/>
    <w:rsid w:val="00D40912"/>
    <w:rsid w:val="00D42173"/>
    <w:rsid w:val="00D45BD2"/>
    <w:rsid w:val="00D45ECC"/>
    <w:rsid w:val="00D47032"/>
    <w:rsid w:val="00D4715B"/>
    <w:rsid w:val="00D47310"/>
    <w:rsid w:val="00D51839"/>
    <w:rsid w:val="00D552FB"/>
    <w:rsid w:val="00D575B9"/>
    <w:rsid w:val="00D6065B"/>
    <w:rsid w:val="00D64791"/>
    <w:rsid w:val="00D67068"/>
    <w:rsid w:val="00D67E98"/>
    <w:rsid w:val="00D7059B"/>
    <w:rsid w:val="00D70FA2"/>
    <w:rsid w:val="00D768B8"/>
    <w:rsid w:val="00D769F6"/>
    <w:rsid w:val="00D81EF3"/>
    <w:rsid w:val="00D82A1B"/>
    <w:rsid w:val="00D841C3"/>
    <w:rsid w:val="00D84FEE"/>
    <w:rsid w:val="00D85FD3"/>
    <w:rsid w:val="00D87309"/>
    <w:rsid w:val="00D924EE"/>
    <w:rsid w:val="00D9272B"/>
    <w:rsid w:val="00D94EE2"/>
    <w:rsid w:val="00D961C0"/>
    <w:rsid w:val="00D97AB1"/>
    <w:rsid w:val="00DA10D7"/>
    <w:rsid w:val="00DA2011"/>
    <w:rsid w:val="00DA22F0"/>
    <w:rsid w:val="00DA4C54"/>
    <w:rsid w:val="00DA627C"/>
    <w:rsid w:val="00DA6B3A"/>
    <w:rsid w:val="00DA7312"/>
    <w:rsid w:val="00DB226B"/>
    <w:rsid w:val="00DB2C81"/>
    <w:rsid w:val="00DB3337"/>
    <w:rsid w:val="00DB3415"/>
    <w:rsid w:val="00DB4438"/>
    <w:rsid w:val="00DB4FC6"/>
    <w:rsid w:val="00DB56F1"/>
    <w:rsid w:val="00DB7D61"/>
    <w:rsid w:val="00DC0D95"/>
    <w:rsid w:val="00DC3164"/>
    <w:rsid w:val="00DC3F6C"/>
    <w:rsid w:val="00DC4771"/>
    <w:rsid w:val="00DC5C27"/>
    <w:rsid w:val="00DC6266"/>
    <w:rsid w:val="00DC6D58"/>
    <w:rsid w:val="00DD12E5"/>
    <w:rsid w:val="00DD173D"/>
    <w:rsid w:val="00DD2F43"/>
    <w:rsid w:val="00DD3438"/>
    <w:rsid w:val="00DD3755"/>
    <w:rsid w:val="00DD51CF"/>
    <w:rsid w:val="00DE199D"/>
    <w:rsid w:val="00DE1D6A"/>
    <w:rsid w:val="00DE1F82"/>
    <w:rsid w:val="00DE33FE"/>
    <w:rsid w:val="00DE3D26"/>
    <w:rsid w:val="00DE3FE8"/>
    <w:rsid w:val="00DE4B50"/>
    <w:rsid w:val="00DE610A"/>
    <w:rsid w:val="00DF0753"/>
    <w:rsid w:val="00DF16F6"/>
    <w:rsid w:val="00DF4151"/>
    <w:rsid w:val="00DF4687"/>
    <w:rsid w:val="00DF532F"/>
    <w:rsid w:val="00DF6011"/>
    <w:rsid w:val="00DF65B0"/>
    <w:rsid w:val="00DF7279"/>
    <w:rsid w:val="00E002EA"/>
    <w:rsid w:val="00E00818"/>
    <w:rsid w:val="00E03DBD"/>
    <w:rsid w:val="00E0442E"/>
    <w:rsid w:val="00E053D3"/>
    <w:rsid w:val="00E05879"/>
    <w:rsid w:val="00E05E9B"/>
    <w:rsid w:val="00E05EC8"/>
    <w:rsid w:val="00E1123F"/>
    <w:rsid w:val="00E13F29"/>
    <w:rsid w:val="00E15DFA"/>
    <w:rsid w:val="00E15E71"/>
    <w:rsid w:val="00E16146"/>
    <w:rsid w:val="00E210A5"/>
    <w:rsid w:val="00E23027"/>
    <w:rsid w:val="00E24641"/>
    <w:rsid w:val="00E258DF"/>
    <w:rsid w:val="00E265EB"/>
    <w:rsid w:val="00E35664"/>
    <w:rsid w:val="00E3695C"/>
    <w:rsid w:val="00E373E5"/>
    <w:rsid w:val="00E44172"/>
    <w:rsid w:val="00E470B6"/>
    <w:rsid w:val="00E50B05"/>
    <w:rsid w:val="00E51FFE"/>
    <w:rsid w:val="00E54466"/>
    <w:rsid w:val="00E54BF3"/>
    <w:rsid w:val="00E562B3"/>
    <w:rsid w:val="00E567DD"/>
    <w:rsid w:val="00E56C0B"/>
    <w:rsid w:val="00E57278"/>
    <w:rsid w:val="00E577B9"/>
    <w:rsid w:val="00E60D83"/>
    <w:rsid w:val="00E615E4"/>
    <w:rsid w:val="00E61F85"/>
    <w:rsid w:val="00E63C22"/>
    <w:rsid w:val="00E63D26"/>
    <w:rsid w:val="00E63D98"/>
    <w:rsid w:val="00E66A12"/>
    <w:rsid w:val="00E66F46"/>
    <w:rsid w:val="00E716C2"/>
    <w:rsid w:val="00E7352F"/>
    <w:rsid w:val="00E7588E"/>
    <w:rsid w:val="00E76F54"/>
    <w:rsid w:val="00E776F4"/>
    <w:rsid w:val="00E77A70"/>
    <w:rsid w:val="00E801B9"/>
    <w:rsid w:val="00E80496"/>
    <w:rsid w:val="00E821CD"/>
    <w:rsid w:val="00E84EFC"/>
    <w:rsid w:val="00E85298"/>
    <w:rsid w:val="00E85A9E"/>
    <w:rsid w:val="00E873DE"/>
    <w:rsid w:val="00E8749E"/>
    <w:rsid w:val="00E9075B"/>
    <w:rsid w:val="00E942A8"/>
    <w:rsid w:val="00E96674"/>
    <w:rsid w:val="00EA0227"/>
    <w:rsid w:val="00EA1B15"/>
    <w:rsid w:val="00EA5F6E"/>
    <w:rsid w:val="00EA6A78"/>
    <w:rsid w:val="00EB1B38"/>
    <w:rsid w:val="00EB5AA3"/>
    <w:rsid w:val="00EC0490"/>
    <w:rsid w:val="00EC1958"/>
    <w:rsid w:val="00EC1F16"/>
    <w:rsid w:val="00EC7C80"/>
    <w:rsid w:val="00ED4149"/>
    <w:rsid w:val="00ED53CE"/>
    <w:rsid w:val="00ED5EEC"/>
    <w:rsid w:val="00ED6981"/>
    <w:rsid w:val="00EE1631"/>
    <w:rsid w:val="00EE1A12"/>
    <w:rsid w:val="00EE20E5"/>
    <w:rsid w:val="00EE2275"/>
    <w:rsid w:val="00EE2940"/>
    <w:rsid w:val="00EE566B"/>
    <w:rsid w:val="00EE60B7"/>
    <w:rsid w:val="00EF0C08"/>
    <w:rsid w:val="00EF106C"/>
    <w:rsid w:val="00EF1B7A"/>
    <w:rsid w:val="00EF307B"/>
    <w:rsid w:val="00EF47F3"/>
    <w:rsid w:val="00EF4E9A"/>
    <w:rsid w:val="00F04EB1"/>
    <w:rsid w:val="00F052F7"/>
    <w:rsid w:val="00F05B92"/>
    <w:rsid w:val="00F05F98"/>
    <w:rsid w:val="00F06176"/>
    <w:rsid w:val="00F11B81"/>
    <w:rsid w:val="00F13BA7"/>
    <w:rsid w:val="00F14415"/>
    <w:rsid w:val="00F15A82"/>
    <w:rsid w:val="00F15B4B"/>
    <w:rsid w:val="00F15B60"/>
    <w:rsid w:val="00F15EF1"/>
    <w:rsid w:val="00F21FAC"/>
    <w:rsid w:val="00F2245B"/>
    <w:rsid w:val="00F23E12"/>
    <w:rsid w:val="00F245F3"/>
    <w:rsid w:val="00F24B64"/>
    <w:rsid w:val="00F26718"/>
    <w:rsid w:val="00F30363"/>
    <w:rsid w:val="00F30E6F"/>
    <w:rsid w:val="00F32A1A"/>
    <w:rsid w:val="00F331A8"/>
    <w:rsid w:val="00F34D57"/>
    <w:rsid w:val="00F35F44"/>
    <w:rsid w:val="00F363E9"/>
    <w:rsid w:val="00F36DB0"/>
    <w:rsid w:val="00F42154"/>
    <w:rsid w:val="00F4229E"/>
    <w:rsid w:val="00F43F6B"/>
    <w:rsid w:val="00F4436D"/>
    <w:rsid w:val="00F4524D"/>
    <w:rsid w:val="00F457FB"/>
    <w:rsid w:val="00F501E1"/>
    <w:rsid w:val="00F5260A"/>
    <w:rsid w:val="00F52B16"/>
    <w:rsid w:val="00F5392E"/>
    <w:rsid w:val="00F5408D"/>
    <w:rsid w:val="00F54992"/>
    <w:rsid w:val="00F54BB2"/>
    <w:rsid w:val="00F5637E"/>
    <w:rsid w:val="00F56AE6"/>
    <w:rsid w:val="00F56FC6"/>
    <w:rsid w:val="00F57281"/>
    <w:rsid w:val="00F57737"/>
    <w:rsid w:val="00F609FB"/>
    <w:rsid w:val="00F60C9D"/>
    <w:rsid w:val="00F621BC"/>
    <w:rsid w:val="00F641D2"/>
    <w:rsid w:val="00F6467A"/>
    <w:rsid w:val="00F647AB"/>
    <w:rsid w:val="00F65C74"/>
    <w:rsid w:val="00F66170"/>
    <w:rsid w:val="00F714DD"/>
    <w:rsid w:val="00F71D63"/>
    <w:rsid w:val="00F74D0A"/>
    <w:rsid w:val="00F7601B"/>
    <w:rsid w:val="00F76DB4"/>
    <w:rsid w:val="00F81B75"/>
    <w:rsid w:val="00F830B0"/>
    <w:rsid w:val="00F85BCD"/>
    <w:rsid w:val="00F87551"/>
    <w:rsid w:val="00F91CC9"/>
    <w:rsid w:val="00F91FF9"/>
    <w:rsid w:val="00F922D5"/>
    <w:rsid w:val="00F93B4A"/>
    <w:rsid w:val="00F95BDF"/>
    <w:rsid w:val="00FA2C67"/>
    <w:rsid w:val="00FA38AC"/>
    <w:rsid w:val="00FA4FB5"/>
    <w:rsid w:val="00FA506B"/>
    <w:rsid w:val="00FA63FC"/>
    <w:rsid w:val="00FA6F92"/>
    <w:rsid w:val="00FA76B7"/>
    <w:rsid w:val="00FB078A"/>
    <w:rsid w:val="00FB311E"/>
    <w:rsid w:val="00FB3137"/>
    <w:rsid w:val="00FB3AFF"/>
    <w:rsid w:val="00FC0B24"/>
    <w:rsid w:val="00FC225B"/>
    <w:rsid w:val="00FC79EF"/>
    <w:rsid w:val="00FC7FD5"/>
    <w:rsid w:val="00FD028E"/>
    <w:rsid w:val="00FD0B1B"/>
    <w:rsid w:val="00FD2AF7"/>
    <w:rsid w:val="00FD3E8E"/>
    <w:rsid w:val="00FD47C7"/>
    <w:rsid w:val="00FD4AA2"/>
    <w:rsid w:val="00FD5045"/>
    <w:rsid w:val="00FD5F51"/>
    <w:rsid w:val="00FE0DA9"/>
    <w:rsid w:val="00FE0E02"/>
    <w:rsid w:val="00FE48A9"/>
    <w:rsid w:val="00FE4EA4"/>
    <w:rsid w:val="00FE516F"/>
    <w:rsid w:val="00FE6B5F"/>
    <w:rsid w:val="00FF1899"/>
    <w:rsid w:val="00FF2A60"/>
    <w:rsid w:val="00FF549F"/>
    <w:rsid w:val="00FF718C"/>
    <w:rsid w:val="00FF74D8"/>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CA5EF2A"/>
  <w15:chartTrackingRefBased/>
  <w15:docId w15:val="{CF397370-1EDB-4AF0-8AB1-4840670B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04F7"/>
    <w:rPr>
      <w:sz w:val="24"/>
      <w:szCs w:val="24"/>
      <w:lang w:val="es-ES" w:eastAsia="es-ES"/>
    </w:rPr>
  </w:style>
  <w:style w:type="paragraph" w:styleId="Ttulo1">
    <w:name w:val="heading 1"/>
    <w:basedOn w:val="Normal"/>
    <w:next w:val="Normal"/>
    <w:qFormat/>
    <w:rsid w:val="00FD778D"/>
    <w:pPr>
      <w:keepNext/>
      <w:ind w:left="-900"/>
      <w:jc w:val="center"/>
      <w:outlineLvl w:val="0"/>
    </w:pPr>
    <w:rPr>
      <w:rFonts w:ascii="Verdana" w:eastAsia="Arial Unicode MS" w:hAnsi="Verdana" w:cs="Arial Unicode MS"/>
      <w:b/>
      <w:caps/>
      <w:sz w:val="20"/>
    </w:rPr>
  </w:style>
  <w:style w:type="paragraph" w:styleId="Ttulo2">
    <w:name w:val="heading 2"/>
    <w:basedOn w:val="Normal"/>
    <w:next w:val="Normal"/>
    <w:qFormat/>
    <w:rsid w:val="00E258DF"/>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374A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qFormat/>
    <w:rsid w:val="000916E4"/>
    <w:pPr>
      <w:keepNext/>
      <w:spacing w:before="240" w:after="60"/>
      <w:outlineLvl w:val="3"/>
    </w:pPr>
    <w:rPr>
      <w:rFonts w:ascii="Calibri" w:hAnsi="Calibri"/>
      <w:b/>
      <w:bCs/>
      <w:sz w:val="28"/>
      <w:szCs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FD778D"/>
    <w:pPr>
      <w:spacing w:after="120"/>
    </w:pPr>
    <w:rPr>
      <w:rFonts w:ascii="Times" w:eastAsia="Times" w:hAnsi="Times"/>
      <w:sz w:val="16"/>
      <w:szCs w:val="16"/>
      <w:lang w:val="es-ES_tradnl"/>
    </w:rPr>
  </w:style>
  <w:style w:type="paragraph" w:styleId="Sangra2detindependiente">
    <w:name w:val="Body Text Indent 2"/>
    <w:basedOn w:val="Normal"/>
    <w:rsid w:val="00FD778D"/>
    <w:pPr>
      <w:spacing w:before="120" w:after="120"/>
      <w:ind w:left="720"/>
      <w:jc w:val="both"/>
    </w:pPr>
    <w:rPr>
      <w:rFonts w:ascii="Verdana" w:hAnsi="Verdana"/>
      <w:sz w:val="20"/>
    </w:rPr>
  </w:style>
  <w:style w:type="paragraph" w:styleId="Textonotapie">
    <w:name w:val="footnote text"/>
    <w:aliases w:val="Footnote reference,FA Fu,Footnote Text Char Char Char Char Char,Footnote Text Char Char Char Char,Footnote Text Char Char Char,Footnote Text Cha,FA Fußnotentext,FA Fuﬂnotentext,Texto nota pie Car,Footnote Text Char Char,FA Fu?notentext,Ca"/>
    <w:basedOn w:val="Normal"/>
    <w:link w:val="TextonotapieCar1"/>
    <w:uiPriority w:val="99"/>
    <w:qFormat/>
    <w:rsid w:val="00FD778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qFormat/>
    <w:rsid w:val="00FD778D"/>
    <w:rPr>
      <w:vertAlign w:val="superscript"/>
    </w:rPr>
  </w:style>
  <w:style w:type="paragraph" w:styleId="Textoindependiente">
    <w:name w:val="Body Text"/>
    <w:basedOn w:val="Normal"/>
    <w:rsid w:val="00FD778D"/>
    <w:pPr>
      <w:widowControl w:val="0"/>
      <w:jc w:val="both"/>
    </w:pPr>
    <w:rPr>
      <w:sz w:val="20"/>
      <w:szCs w:val="20"/>
      <w:lang w:eastAsia="en-US"/>
    </w:rPr>
  </w:style>
  <w:style w:type="paragraph" w:styleId="Textodebloque">
    <w:name w:val="Block Text"/>
    <w:basedOn w:val="Normal"/>
    <w:rsid w:val="00FD778D"/>
    <w:pPr>
      <w:widowControl w:val="0"/>
      <w:ind w:left="1440" w:right="1440"/>
      <w:jc w:val="both"/>
    </w:pPr>
    <w:rPr>
      <w:sz w:val="22"/>
      <w:szCs w:val="20"/>
      <w:lang w:val="es-ES_tradnl" w:eastAsia="en-US"/>
    </w:rPr>
  </w:style>
  <w:style w:type="paragraph" w:styleId="Encabezado">
    <w:name w:val="header"/>
    <w:basedOn w:val="Normal"/>
    <w:rsid w:val="00A23993"/>
    <w:pPr>
      <w:tabs>
        <w:tab w:val="center" w:pos="4320"/>
        <w:tab w:val="right" w:pos="8640"/>
      </w:tabs>
    </w:pPr>
  </w:style>
  <w:style w:type="character" w:styleId="Nmerodepgina">
    <w:name w:val="page number"/>
    <w:basedOn w:val="Fuentedeprrafopredeter"/>
    <w:rsid w:val="00A23993"/>
  </w:style>
  <w:style w:type="paragraph" w:styleId="Sangradetextonormal">
    <w:name w:val="Body Text Indent"/>
    <w:basedOn w:val="Normal"/>
    <w:rsid w:val="00C014D4"/>
    <w:pPr>
      <w:spacing w:after="120"/>
      <w:ind w:left="283"/>
    </w:pPr>
  </w:style>
  <w:style w:type="character" w:customStyle="1" w:styleId="eacep">
    <w:name w:val="eacep"/>
    <w:basedOn w:val="Fuentedeprrafopredeter"/>
    <w:rsid w:val="0066211D"/>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Texto nota pie Car Car"/>
    <w:link w:val="Textonotapie"/>
    <w:qFormat/>
    <w:rsid w:val="00B61278"/>
    <w:rPr>
      <w:sz w:val="24"/>
      <w:szCs w:val="24"/>
      <w:lang w:val="es-ES" w:eastAsia="es-ES" w:bidi="ar-SA"/>
    </w:rPr>
  </w:style>
  <w:style w:type="paragraph" w:styleId="Textodeglobo">
    <w:name w:val="Balloon Text"/>
    <w:basedOn w:val="Normal"/>
    <w:semiHidden/>
    <w:rsid w:val="00C872BB"/>
    <w:rPr>
      <w:rFonts w:ascii="Tahoma" w:hAnsi="Tahoma" w:cs="Tahoma"/>
      <w:sz w:val="16"/>
      <w:szCs w:val="16"/>
    </w:rPr>
  </w:style>
  <w:style w:type="paragraph" w:styleId="Piedepgina">
    <w:name w:val="footer"/>
    <w:basedOn w:val="Normal"/>
    <w:link w:val="PiedepginaCar"/>
    <w:uiPriority w:val="99"/>
    <w:rsid w:val="00A650C0"/>
    <w:pPr>
      <w:tabs>
        <w:tab w:val="center" w:pos="4320"/>
        <w:tab w:val="right" w:pos="8640"/>
      </w:tabs>
    </w:pPr>
  </w:style>
  <w:style w:type="character" w:customStyle="1" w:styleId="Textoindependiente3Car">
    <w:name w:val="Texto independiente 3 Car"/>
    <w:link w:val="Textoindependiente3"/>
    <w:rsid w:val="00F57281"/>
    <w:rPr>
      <w:rFonts w:ascii="Times" w:eastAsia="Times" w:hAnsi="Times"/>
      <w:sz w:val="16"/>
      <w:szCs w:val="16"/>
      <w:lang w:val="es-ES_tradnl" w:eastAsia="es-ES" w:bidi="ar-SA"/>
    </w:rPr>
  </w:style>
  <w:style w:type="paragraph" w:customStyle="1" w:styleId="Prrafodelista1">
    <w:name w:val="Párrafo de lista1"/>
    <w:basedOn w:val="Normal"/>
    <w:qFormat/>
    <w:rsid w:val="005152EA"/>
    <w:pPr>
      <w:spacing w:after="200" w:line="276" w:lineRule="auto"/>
      <w:ind w:left="720"/>
      <w:contextualSpacing/>
      <w:jc w:val="both"/>
    </w:pPr>
    <w:rPr>
      <w:rFonts w:ascii="Calibri" w:hAnsi="Calibri"/>
      <w:sz w:val="20"/>
      <w:szCs w:val="20"/>
      <w:lang w:val="en-US" w:eastAsia="en-US"/>
    </w:rPr>
  </w:style>
  <w:style w:type="character" w:styleId="Refdecomentario">
    <w:name w:val="annotation reference"/>
    <w:semiHidden/>
    <w:rsid w:val="00044D8A"/>
    <w:rPr>
      <w:sz w:val="16"/>
      <w:szCs w:val="16"/>
    </w:rPr>
  </w:style>
  <w:style w:type="paragraph" w:styleId="Textocomentario">
    <w:name w:val="annotation text"/>
    <w:basedOn w:val="Normal"/>
    <w:semiHidden/>
    <w:rsid w:val="00044D8A"/>
    <w:rPr>
      <w:sz w:val="20"/>
      <w:szCs w:val="20"/>
    </w:rPr>
  </w:style>
  <w:style w:type="paragraph" w:styleId="Asuntodelcomentario">
    <w:name w:val="annotation subject"/>
    <w:basedOn w:val="Textocomentario"/>
    <w:next w:val="Textocomentario"/>
    <w:semiHidden/>
    <w:rsid w:val="00044D8A"/>
    <w:rPr>
      <w:b/>
      <w:bCs/>
    </w:rPr>
  </w:style>
  <w:style w:type="paragraph" w:customStyle="1" w:styleId="sq">
    <w:name w:val="sq"/>
    <w:basedOn w:val="Normal"/>
    <w:rsid w:val="005C7482"/>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jc w:val="both"/>
    </w:pPr>
    <w:rPr>
      <w:rFonts w:ascii="Garamond" w:hAnsi="Garamond"/>
      <w:szCs w:val="20"/>
      <w:lang w:val="en-US" w:eastAsia="en-US"/>
    </w:rPr>
  </w:style>
  <w:style w:type="character" w:styleId="Hipervnculo">
    <w:name w:val="Hyperlink"/>
    <w:rsid w:val="005C7482"/>
    <w:rPr>
      <w:color w:val="0000FF"/>
      <w:u w:val="single"/>
    </w:rPr>
  </w:style>
  <w:style w:type="paragraph" w:customStyle="1" w:styleId="Listavistosa-nfasis11">
    <w:name w:val="Lista vistosa - Énfasis 11"/>
    <w:aliases w:val="Colorful List - Accent 11,Footnote"/>
    <w:basedOn w:val="Normal"/>
    <w:link w:val="Listavistosa-nfasis1Car"/>
    <w:uiPriority w:val="34"/>
    <w:qFormat/>
    <w:rsid w:val="00E63D98"/>
    <w:pPr>
      <w:ind w:left="720"/>
    </w:pPr>
  </w:style>
  <w:style w:type="paragraph" w:customStyle="1" w:styleId="NormalVerdana">
    <w:name w:val="Normal + Verdana"/>
    <w:aliases w:val="10 pt,Justificado"/>
    <w:basedOn w:val="Normal"/>
    <w:rsid w:val="00AB08DB"/>
    <w:pPr>
      <w:jc w:val="both"/>
    </w:pPr>
    <w:rPr>
      <w:rFonts w:ascii="Verdana" w:hAnsi="Verdana"/>
      <w:sz w:val="20"/>
      <w:szCs w:val="20"/>
      <w:lang w:eastAsia="en-US"/>
    </w:rPr>
  </w:style>
  <w:style w:type="paragraph" w:styleId="Textoindependiente2">
    <w:name w:val="Body Text 2"/>
    <w:basedOn w:val="Normal"/>
    <w:link w:val="Textoindependiente2Car"/>
    <w:rsid w:val="00EF106C"/>
    <w:pPr>
      <w:spacing w:after="120" w:line="480" w:lineRule="auto"/>
    </w:pPr>
  </w:style>
  <w:style w:type="character" w:customStyle="1" w:styleId="Textoindependiente2Car">
    <w:name w:val="Texto independiente 2 Car"/>
    <w:link w:val="Textoindependiente2"/>
    <w:rsid w:val="00EF106C"/>
    <w:rPr>
      <w:sz w:val="24"/>
      <w:szCs w:val="24"/>
      <w:lang w:val="es-ES" w:eastAsia="es-ES"/>
    </w:rPr>
  </w:style>
  <w:style w:type="character" w:customStyle="1" w:styleId="Ttulo4Car">
    <w:name w:val="Título 4 Car"/>
    <w:link w:val="Ttulo4"/>
    <w:uiPriority w:val="9"/>
    <w:semiHidden/>
    <w:rsid w:val="000916E4"/>
    <w:rPr>
      <w:rFonts w:ascii="Calibri" w:hAnsi="Calibri"/>
      <w:b/>
      <w:bCs/>
      <w:sz w:val="28"/>
      <w:szCs w:val="28"/>
      <w:lang w:val="es-ES_tradnl" w:eastAsia="es-ES"/>
    </w:rPr>
  </w:style>
  <w:style w:type="paragraph" w:customStyle="1" w:styleId="Textoindependiente1">
    <w:name w:val="Texto independiente1"/>
    <w:basedOn w:val="Normal"/>
    <w:rsid w:val="009D6885"/>
    <w:pPr>
      <w:widowControl w:val="0"/>
      <w:jc w:val="both"/>
    </w:pPr>
    <w:rPr>
      <w:rFonts w:ascii="New York" w:hAnsi="New York"/>
      <w:szCs w:val="20"/>
      <w:lang w:val="es-ES_tradnl"/>
    </w:rPr>
  </w:style>
  <w:style w:type="paragraph" w:styleId="NormalWeb">
    <w:name w:val="Normal (Web)"/>
    <w:basedOn w:val="Normal"/>
    <w:uiPriority w:val="99"/>
    <w:unhideWhenUsed/>
    <w:rsid w:val="0000692F"/>
    <w:rPr>
      <w:rFonts w:eastAsia="Calibri"/>
      <w:lang w:val="en-US" w:eastAsia="en-US"/>
    </w:rPr>
  </w:style>
  <w:style w:type="character" w:styleId="Textoennegrita">
    <w:name w:val="Strong"/>
    <w:uiPriority w:val="22"/>
    <w:qFormat/>
    <w:rsid w:val="00A909D2"/>
    <w:rPr>
      <w:b/>
      <w:bCs/>
    </w:rPr>
  </w:style>
  <w:style w:type="character" w:customStyle="1" w:styleId="Ttulo3Car">
    <w:name w:val="Título 3 Car"/>
    <w:link w:val="Ttulo3"/>
    <w:semiHidden/>
    <w:rsid w:val="000374AB"/>
    <w:rPr>
      <w:rFonts w:ascii="Cambria" w:eastAsia="Times New Roman" w:hAnsi="Cambria" w:cs="Times New Roman"/>
      <w:b/>
      <w:bCs/>
      <w:sz w:val="26"/>
      <w:szCs w:val="26"/>
      <w:lang w:val="es-ES" w:eastAsia="es-ES"/>
    </w:rPr>
  </w:style>
  <w:style w:type="character" w:styleId="Nmerodelnea">
    <w:name w:val="line number"/>
    <w:rsid w:val="00946626"/>
  </w:style>
  <w:style w:type="character" w:customStyle="1" w:styleId="Listavistosa-nfasis1Car">
    <w:name w:val="Lista vistosa - Énfasis 1 Car"/>
    <w:aliases w:val="Colorful List - Accent 11 Car,Footnote Car"/>
    <w:link w:val="Listavistosa-nfasis11"/>
    <w:uiPriority w:val="34"/>
    <w:locked/>
    <w:rsid w:val="004D70C3"/>
    <w:rPr>
      <w:sz w:val="24"/>
      <w:szCs w:val="24"/>
      <w:lang w:val="es-ES"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D70C3"/>
    <w:pPr>
      <w:jc w:val="both"/>
    </w:pPr>
    <w:rPr>
      <w:sz w:val="20"/>
      <w:szCs w:val="20"/>
      <w:vertAlign w:val="superscript"/>
      <w:lang w:val="es-CR" w:eastAsia="es-CR"/>
    </w:rPr>
  </w:style>
  <w:style w:type="paragraph" w:customStyle="1" w:styleId="Sombreadovistoso-nfasis11">
    <w:name w:val="Sombreado vistoso - Énfasis 11"/>
    <w:hidden/>
    <w:uiPriority w:val="99"/>
    <w:semiHidden/>
    <w:rsid w:val="00A41A32"/>
    <w:rPr>
      <w:sz w:val="24"/>
      <w:szCs w:val="24"/>
      <w:lang w:val="es-ES" w:eastAsia="es-ES"/>
    </w:rPr>
  </w:style>
  <w:style w:type="character" w:customStyle="1" w:styleId="PiedepginaCar">
    <w:name w:val="Pie de página Car"/>
    <w:link w:val="Piedepgina"/>
    <w:uiPriority w:val="99"/>
    <w:rsid w:val="00B318DC"/>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949298">
      <w:bodyDiv w:val="1"/>
      <w:marLeft w:val="0"/>
      <w:marRight w:val="0"/>
      <w:marTop w:val="0"/>
      <w:marBottom w:val="0"/>
      <w:divBdr>
        <w:top w:val="none" w:sz="0" w:space="0" w:color="auto"/>
        <w:left w:val="none" w:sz="0" w:space="0" w:color="auto"/>
        <w:bottom w:val="none" w:sz="0" w:space="0" w:color="auto"/>
        <w:right w:val="none" w:sz="0" w:space="0" w:color="auto"/>
      </w:divBdr>
    </w:div>
    <w:div w:id="530580567">
      <w:bodyDiv w:val="1"/>
      <w:marLeft w:val="0"/>
      <w:marRight w:val="0"/>
      <w:marTop w:val="0"/>
      <w:marBottom w:val="0"/>
      <w:divBdr>
        <w:top w:val="none" w:sz="0" w:space="0" w:color="auto"/>
        <w:left w:val="none" w:sz="0" w:space="0" w:color="auto"/>
        <w:bottom w:val="none" w:sz="0" w:space="0" w:color="auto"/>
        <w:right w:val="none" w:sz="0" w:space="0" w:color="auto"/>
      </w:divBdr>
    </w:div>
    <w:div w:id="642465604">
      <w:bodyDiv w:val="1"/>
      <w:marLeft w:val="0"/>
      <w:marRight w:val="0"/>
      <w:marTop w:val="0"/>
      <w:marBottom w:val="0"/>
      <w:divBdr>
        <w:top w:val="none" w:sz="0" w:space="0" w:color="auto"/>
        <w:left w:val="none" w:sz="0" w:space="0" w:color="auto"/>
        <w:bottom w:val="none" w:sz="0" w:space="0" w:color="auto"/>
        <w:right w:val="none" w:sz="0" w:space="0" w:color="auto"/>
      </w:divBdr>
    </w:div>
    <w:div w:id="672998352">
      <w:bodyDiv w:val="1"/>
      <w:marLeft w:val="0"/>
      <w:marRight w:val="0"/>
      <w:marTop w:val="0"/>
      <w:marBottom w:val="0"/>
      <w:divBdr>
        <w:top w:val="none" w:sz="0" w:space="0" w:color="auto"/>
        <w:left w:val="none" w:sz="0" w:space="0" w:color="auto"/>
        <w:bottom w:val="none" w:sz="0" w:space="0" w:color="auto"/>
        <w:right w:val="none" w:sz="0" w:space="0" w:color="auto"/>
      </w:divBdr>
    </w:div>
    <w:div w:id="880828139">
      <w:bodyDiv w:val="1"/>
      <w:marLeft w:val="0"/>
      <w:marRight w:val="0"/>
      <w:marTop w:val="0"/>
      <w:marBottom w:val="0"/>
      <w:divBdr>
        <w:top w:val="none" w:sz="0" w:space="0" w:color="auto"/>
        <w:left w:val="none" w:sz="0" w:space="0" w:color="auto"/>
        <w:bottom w:val="none" w:sz="0" w:space="0" w:color="auto"/>
        <w:right w:val="none" w:sz="0" w:space="0" w:color="auto"/>
      </w:divBdr>
    </w:div>
    <w:div w:id="1213348842">
      <w:bodyDiv w:val="1"/>
      <w:marLeft w:val="0"/>
      <w:marRight w:val="0"/>
      <w:marTop w:val="0"/>
      <w:marBottom w:val="0"/>
      <w:divBdr>
        <w:top w:val="none" w:sz="0" w:space="0" w:color="auto"/>
        <w:left w:val="none" w:sz="0" w:space="0" w:color="auto"/>
        <w:bottom w:val="none" w:sz="0" w:space="0" w:color="auto"/>
        <w:right w:val="none" w:sz="0" w:space="0" w:color="auto"/>
      </w:divBdr>
    </w:div>
    <w:div w:id="1258094678">
      <w:bodyDiv w:val="1"/>
      <w:marLeft w:val="0"/>
      <w:marRight w:val="0"/>
      <w:marTop w:val="0"/>
      <w:marBottom w:val="0"/>
      <w:divBdr>
        <w:top w:val="none" w:sz="0" w:space="0" w:color="auto"/>
        <w:left w:val="none" w:sz="0" w:space="0" w:color="auto"/>
        <w:bottom w:val="none" w:sz="0" w:space="0" w:color="auto"/>
        <w:right w:val="none" w:sz="0" w:space="0" w:color="auto"/>
      </w:divBdr>
    </w:div>
    <w:div w:id="1445879763">
      <w:bodyDiv w:val="1"/>
      <w:marLeft w:val="0"/>
      <w:marRight w:val="0"/>
      <w:marTop w:val="0"/>
      <w:marBottom w:val="0"/>
      <w:divBdr>
        <w:top w:val="none" w:sz="0" w:space="0" w:color="auto"/>
        <w:left w:val="none" w:sz="0" w:space="0" w:color="auto"/>
        <w:bottom w:val="none" w:sz="0" w:space="0" w:color="auto"/>
        <w:right w:val="none" w:sz="0" w:space="0" w:color="auto"/>
      </w:divBdr>
    </w:div>
    <w:div w:id="1590774707">
      <w:bodyDiv w:val="1"/>
      <w:marLeft w:val="0"/>
      <w:marRight w:val="0"/>
      <w:marTop w:val="0"/>
      <w:marBottom w:val="0"/>
      <w:divBdr>
        <w:top w:val="none" w:sz="0" w:space="0" w:color="auto"/>
        <w:left w:val="none" w:sz="0" w:space="0" w:color="auto"/>
        <w:bottom w:val="none" w:sz="0" w:space="0" w:color="auto"/>
        <w:right w:val="none" w:sz="0" w:space="0" w:color="auto"/>
      </w:divBdr>
    </w:div>
    <w:div w:id="1619070151">
      <w:bodyDiv w:val="1"/>
      <w:marLeft w:val="0"/>
      <w:marRight w:val="0"/>
      <w:marTop w:val="0"/>
      <w:marBottom w:val="0"/>
      <w:divBdr>
        <w:top w:val="none" w:sz="0" w:space="0" w:color="auto"/>
        <w:left w:val="none" w:sz="0" w:space="0" w:color="auto"/>
        <w:bottom w:val="none" w:sz="0" w:space="0" w:color="auto"/>
        <w:right w:val="none" w:sz="0" w:space="0" w:color="auto"/>
      </w:divBdr>
    </w:div>
    <w:div w:id="1729648750">
      <w:bodyDiv w:val="1"/>
      <w:marLeft w:val="0"/>
      <w:marRight w:val="0"/>
      <w:marTop w:val="0"/>
      <w:marBottom w:val="0"/>
      <w:divBdr>
        <w:top w:val="none" w:sz="0" w:space="0" w:color="auto"/>
        <w:left w:val="none" w:sz="0" w:space="0" w:color="auto"/>
        <w:bottom w:val="none" w:sz="0" w:space="0" w:color="auto"/>
        <w:right w:val="none" w:sz="0" w:space="0" w:color="auto"/>
      </w:divBdr>
    </w:div>
    <w:div w:id="1801193666">
      <w:bodyDiv w:val="1"/>
      <w:marLeft w:val="0"/>
      <w:marRight w:val="0"/>
      <w:marTop w:val="0"/>
      <w:marBottom w:val="0"/>
      <w:divBdr>
        <w:top w:val="none" w:sz="0" w:space="0" w:color="auto"/>
        <w:left w:val="none" w:sz="0" w:space="0" w:color="auto"/>
        <w:bottom w:val="none" w:sz="0" w:space="0" w:color="auto"/>
        <w:right w:val="none" w:sz="0" w:space="0" w:color="auto"/>
      </w:divBdr>
    </w:div>
    <w:div w:id="2008240325">
      <w:bodyDiv w:val="1"/>
      <w:marLeft w:val="0"/>
      <w:marRight w:val="0"/>
      <w:marTop w:val="0"/>
      <w:marBottom w:val="0"/>
      <w:divBdr>
        <w:top w:val="none" w:sz="0" w:space="0" w:color="auto"/>
        <w:left w:val="none" w:sz="0" w:space="0" w:color="auto"/>
        <w:bottom w:val="none" w:sz="0" w:space="0" w:color="auto"/>
        <w:right w:val="none" w:sz="0" w:space="0" w:color="auto"/>
      </w:divBdr>
    </w:div>
    <w:div w:id="2047873176">
      <w:bodyDiv w:val="1"/>
      <w:marLeft w:val="0"/>
      <w:marRight w:val="0"/>
      <w:marTop w:val="0"/>
      <w:marBottom w:val="0"/>
      <w:divBdr>
        <w:top w:val="none" w:sz="0" w:space="0" w:color="auto"/>
        <w:left w:val="none" w:sz="0" w:space="0" w:color="auto"/>
        <w:bottom w:val="none" w:sz="0" w:space="0" w:color="auto"/>
        <w:right w:val="none" w:sz="0" w:space="0" w:color="auto"/>
      </w:divBdr>
    </w:div>
    <w:div w:id="210954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D5000-1EAF-4552-BB68-3EAEDE3FB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4380</Words>
  <Characters>23128</Characters>
  <Application>Microsoft Office Word</Application>
  <DocSecurity>0</DocSecurity>
  <Lines>379</Lines>
  <Paragraphs>87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RESOLUCIÓN DE LA</vt:lpstr>
      <vt:lpstr>RESOLUCIÓN DE LA</vt:lpstr>
    </vt:vector>
  </TitlesOfParts>
  <Company>Hewlett-Packard Company</Company>
  <LinksUpToDate>false</LinksUpToDate>
  <CharactersWithSpaces>27421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LA</dc:title>
  <dc:subject/>
  <dc:creator>cla</dc:creator>
  <cp:keywords/>
  <cp:lastModifiedBy>Liliana Tojo</cp:lastModifiedBy>
  <cp:revision>2</cp:revision>
  <cp:lastPrinted>2020-07-13T22:07:00Z</cp:lastPrinted>
  <dcterms:created xsi:type="dcterms:W3CDTF">2020-09-25T17:43:00Z</dcterms:created>
  <dcterms:modified xsi:type="dcterms:W3CDTF">2020-09-25T17:43:00Z</dcterms:modified>
</cp:coreProperties>
</file>