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478AA" w14:textId="77777777" w:rsidR="00850C05" w:rsidRPr="00846DC8" w:rsidRDefault="00850C05" w:rsidP="001B58C0">
      <w:pPr>
        <w:widowControl w:val="0"/>
        <w:tabs>
          <w:tab w:val="left" w:pos="567"/>
        </w:tabs>
        <w:ind w:right="4"/>
        <w:jc w:val="center"/>
        <w:rPr>
          <w:rFonts w:ascii="Verdana" w:hAnsi="Verdana"/>
          <w:b/>
          <w:smallCaps/>
          <w:sz w:val="20"/>
          <w:lang w:val="es-CO"/>
        </w:rPr>
      </w:pPr>
    </w:p>
    <w:p w14:paraId="55E88445" w14:textId="77777777" w:rsidR="00E93418" w:rsidRPr="00846DC8" w:rsidRDefault="00E93418" w:rsidP="001B58C0">
      <w:pPr>
        <w:widowControl w:val="0"/>
        <w:tabs>
          <w:tab w:val="left" w:pos="567"/>
        </w:tabs>
        <w:ind w:right="4"/>
        <w:jc w:val="center"/>
        <w:rPr>
          <w:rFonts w:ascii="Verdana" w:hAnsi="Verdana"/>
          <w:b/>
          <w:smallCaps/>
          <w:sz w:val="20"/>
          <w:lang w:val="es-CO"/>
        </w:rPr>
      </w:pPr>
    </w:p>
    <w:p w14:paraId="54273A8F" w14:textId="77777777" w:rsidR="00E93418" w:rsidRPr="00846DC8" w:rsidRDefault="00E93418" w:rsidP="001B58C0">
      <w:pPr>
        <w:widowControl w:val="0"/>
        <w:tabs>
          <w:tab w:val="left" w:pos="567"/>
        </w:tabs>
        <w:ind w:right="4"/>
        <w:jc w:val="center"/>
        <w:rPr>
          <w:rFonts w:ascii="Verdana" w:hAnsi="Verdana"/>
          <w:b/>
          <w:smallCaps/>
          <w:sz w:val="20"/>
          <w:lang w:val="es-CO"/>
        </w:rPr>
      </w:pPr>
    </w:p>
    <w:p w14:paraId="1A470CCD" w14:textId="77777777" w:rsidR="00850C05" w:rsidRPr="00846DC8" w:rsidRDefault="00850C05" w:rsidP="001B58C0">
      <w:pPr>
        <w:widowControl w:val="0"/>
        <w:tabs>
          <w:tab w:val="left" w:pos="567"/>
        </w:tabs>
        <w:ind w:right="4"/>
        <w:jc w:val="center"/>
        <w:rPr>
          <w:rFonts w:ascii="Verdana" w:hAnsi="Verdana"/>
          <w:b/>
          <w:smallCaps/>
          <w:sz w:val="20"/>
          <w:lang w:val="es-CO"/>
        </w:rPr>
      </w:pPr>
    </w:p>
    <w:p w14:paraId="32C2C327" w14:textId="77777777" w:rsidR="00850C05" w:rsidRPr="00846DC8" w:rsidRDefault="00850C05" w:rsidP="001B58C0">
      <w:pPr>
        <w:widowControl w:val="0"/>
        <w:tabs>
          <w:tab w:val="left" w:pos="567"/>
        </w:tabs>
        <w:ind w:right="4"/>
        <w:jc w:val="center"/>
        <w:rPr>
          <w:rFonts w:ascii="Verdana" w:hAnsi="Verdana"/>
          <w:b/>
          <w:smallCaps/>
          <w:sz w:val="20"/>
          <w:lang w:val="es-CO"/>
        </w:rPr>
      </w:pPr>
    </w:p>
    <w:p w14:paraId="74C58F39" w14:textId="224C2E3A" w:rsidR="00850C05" w:rsidRDefault="00850C05" w:rsidP="001B58C0">
      <w:pPr>
        <w:widowControl w:val="0"/>
        <w:tabs>
          <w:tab w:val="left" w:pos="567"/>
        </w:tabs>
        <w:ind w:right="4"/>
        <w:jc w:val="center"/>
        <w:rPr>
          <w:rFonts w:ascii="Verdana" w:hAnsi="Verdana"/>
          <w:b/>
          <w:smallCaps/>
          <w:sz w:val="20"/>
          <w:lang w:val="es-CO"/>
        </w:rPr>
      </w:pPr>
    </w:p>
    <w:p w14:paraId="5F963EA9" w14:textId="77777777" w:rsidR="003A6027" w:rsidRPr="00846DC8" w:rsidRDefault="003A6027" w:rsidP="001B58C0">
      <w:pPr>
        <w:widowControl w:val="0"/>
        <w:tabs>
          <w:tab w:val="left" w:pos="567"/>
        </w:tabs>
        <w:ind w:right="4"/>
        <w:jc w:val="center"/>
        <w:rPr>
          <w:rFonts w:ascii="Verdana" w:hAnsi="Verdana"/>
          <w:b/>
          <w:smallCaps/>
          <w:sz w:val="20"/>
          <w:lang w:val="es-CO"/>
        </w:rPr>
      </w:pPr>
    </w:p>
    <w:p w14:paraId="0C0A4EFC" w14:textId="77777777" w:rsidR="00260226" w:rsidRPr="00846DC8" w:rsidRDefault="00260226" w:rsidP="00260226">
      <w:pPr>
        <w:jc w:val="center"/>
        <w:rPr>
          <w:rFonts w:ascii="Verdana" w:hAnsi="Verdana"/>
          <w:b/>
          <w:sz w:val="20"/>
          <w:lang w:val="es-CO"/>
        </w:rPr>
      </w:pPr>
      <w:r w:rsidRPr="00846DC8">
        <w:rPr>
          <w:rFonts w:ascii="Verdana" w:hAnsi="Verdana"/>
          <w:b/>
          <w:sz w:val="20"/>
          <w:lang w:val="es-CO"/>
        </w:rPr>
        <w:t>RESOLUCIÓN DE LA</w:t>
      </w:r>
    </w:p>
    <w:p w14:paraId="0284C276" w14:textId="77777777" w:rsidR="00260226" w:rsidRPr="00846DC8" w:rsidRDefault="00260226" w:rsidP="00260226">
      <w:pPr>
        <w:jc w:val="center"/>
        <w:rPr>
          <w:rFonts w:ascii="Verdana" w:hAnsi="Verdana"/>
          <w:b/>
          <w:sz w:val="20"/>
          <w:lang w:val="es-AR"/>
        </w:rPr>
      </w:pPr>
      <w:r w:rsidRPr="00846DC8">
        <w:rPr>
          <w:rFonts w:ascii="Verdana" w:hAnsi="Verdana"/>
          <w:b/>
          <w:sz w:val="20"/>
          <w:lang w:val="es-CO"/>
        </w:rPr>
        <w:t>CORTE INTERAMERICANA DE DERECHOS HUMANOS</w:t>
      </w:r>
      <w:r w:rsidRPr="00846DC8">
        <w:rPr>
          <w:rFonts w:ascii="Verdana" w:hAnsi="Verdana"/>
          <w:b/>
          <w:sz w:val="20"/>
          <w:vertAlign w:val="superscript"/>
          <w:lang w:val="es-CO"/>
        </w:rPr>
        <w:footnoteReference w:customMarkFollows="1" w:id="1"/>
        <w:sym w:font="Symbol" w:char="F02A"/>
      </w:r>
    </w:p>
    <w:p w14:paraId="3A24E316" w14:textId="4248ECC4" w:rsidR="00260226" w:rsidRDefault="00260226" w:rsidP="00260226">
      <w:pPr>
        <w:tabs>
          <w:tab w:val="left" w:pos="567"/>
        </w:tabs>
        <w:ind w:right="4"/>
        <w:jc w:val="center"/>
        <w:rPr>
          <w:rFonts w:ascii="Verdana" w:hAnsi="Verdana"/>
          <w:b/>
          <w:smallCaps/>
          <w:sz w:val="20"/>
          <w:lang w:val="es-AR"/>
        </w:rPr>
      </w:pPr>
    </w:p>
    <w:p w14:paraId="02AFE875" w14:textId="77777777" w:rsidR="003A6027" w:rsidRPr="00846DC8" w:rsidRDefault="003A6027" w:rsidP="00260226">
      <w:pPr>
        <w:tabs>
          <w:tab w:val="left" w:pos="567"/>
        </w:tabs>
        <w:ind w:right="4"/>
        <w:jc w:val="center"/>
        <w:rPr>
          <w:rFonts w:ascii="Verdana" w:hAnsi="Verdana"/>
          <w:b/>
          <w:smallCaps/>
          <w:sz w:val="20"/>
          <w:lang w:val="es-AR"/>
        </w:rPr>
      </w:pPr>
    </w:p>
    <w:p w14:paraId="3428A201" w14:textId="54388863" w:rsidR="00260226" w:rsidRPr="00846DC8" w:rsidRDefault="00260226" w:rsidP="00260226">
      <w:pPr>
        <w:tabs>
          <w:tab w:val="left" w:pos="567"/>
        </w:tabs>
        <w:ind w:right="4"/>
        <w:jc w:val="center"/>
        <w:rPr>
          <w:rFonts w:ascii="Verdana" w:hAnsi="Verdana"/>
          <w:b/>
          <w:smallCaps/>
          <w:sz w:val="20"/>
          <w:lang w:val="es-CO"/>
        </w:rPr>
      </w:pPr>
      <w:r w:rsidRPr="00846DC8">
        <w:rPr>
          <w:rFonts w:ascii="Verdana" w:hAnsi="Verdana"/>
          <w:b/>
          <w:smallCaps/>
          <w:sz w:val="20"/>
          <w:lang w:val="es-CO"/>
        </w:rPr>
        <w:t xml:space="preserve">DE </w:t>
      </w:r>
      <w:r w:rsidR="0048725A">
        <w:rPr>
          <w:rFonts w:ascii="Verdana" w:hAnsi="Verdana"/>
          <w:b/>
          <w:smallCaps/>
          <w:sz w:val="20"/>
          <w:lang w:val="es-CO"/>
        </w:rPr>
        <w:t>24</w:t>
      </w:r>
      <w:r w:rsidRPr="00846DC8">
        <w:rPr>
          <w:rFonts w:ascii="Verdana" w:hAnsi="Verdana"/>
          <w:b/>
          <w:smallCaps/>
          <w:sz w:val="20"/>
          <w:lang w:val="es-CO"/>
        </w:rPr>
        <w:t xml:space="preserve"> DE </w:t>
      </w:r>
      <w:r w:rsidR="008B4D79" w:rsidRPr="00846DC8">
        <w:rPr>
          <w:rFonts w:ascii="Verdana" w:hAnsi="Verdana"/>
          <w:b/>
          <w:smallCaps/>
          <w:sz w:val="20"/>
          <w:lang w:val="es-CO"/>
        </w:rPr>
        <w:t>JUNIO</w:t>
      </w:r>
      <w:r w:rsidRPr="00846DC8">
        <w:rPr>
          <w:rFonts w:ascii="Verdana" w:hAnsi="Verdana"/>
          <w:b/>
          <w:smallCaps/>
          <w:sz w:val="20"/>
          <w:lang w:val="es-CO"/>
        </w:rPr>
        <w:t xml:space="preserve"> DE 2020</w:t>
      </w:r>
    </w:p>
    <w:p w14:paraId="15DBD722" w14:textId="52845522" w:rsidR="00260226" w:rsidRDefault="00260226" w:rsidP="00260226">
      <w:pPr>
        <w:tabs>
          <w:tab w:val="left" w:pos="567"/>
        </w:tabs>
        <w:ind w:right="4"/>
        <w:jc w:val="center"/>
        <w:rPr>
          <w:rFonts w:ascii="Verdana" w:hAnsi="Verdana"/>
          <w:b/>
          <w:smallCaps/>
          <w:sz w:val="20"/>
          <w:lang w:val="es-CO"/>
        </w:rPr>
      </w:pPr>
    </w:p>
    <w:p w14:paraId="39C2ED0B" w14:textId="77777777" w:rsidR="003A6027" w:rsidRPr="00846DC8" w:rsidRDefault="003A6027" w:rsidP="00260226">
      <w:pPr>
        <w:tabs>
          <w:tab w:val="left" w:pos="567"/>
        </w:tabs>
        <w:ind w:right="4"/>
        <w:jc w:val="center"/>
        <w:rPr>
          <w:rFonts w:ascii="Verdana" w:hAnsi="Verdana"/>
          <w:b/>
          <w:smallCaps/>
          <w:sz w:val="20"/>
          <w:lang w:val="es-CO"/>
        </w:rPr>
      </w:pPr>
    </w:p>
    <w:p w14:paraId="2DD8F3DE" w14:textId="77777777" w:rsidR="00260226" w:rsidRPr="00846DC8" w:rsidRDefault="00260226" w:rsidP="00260226">
      <w:pPr>
        <w:tabs>
          <w:tab w:val="left" w:pos="567"/>
        </w:tabs>
        <w:ind w:right="4"/>
        <w:jc w:val="center"/>
        <w:rPr>
          <w:rFonts w:ascii="Verdana" w:hAnsi="Verdana"/>
          <w:b/>
          <w:i/>
          <w:caps/>
          <w:sz w:val="20"/>
          <w:lang w:val="es-CO"/>
        </w:rPr>
      </w:pPr>
      <w:r w:rsidRPr="00846DC8">
        <w:rPr>
          <w:rFonts w:ascii="Verdana" w:hAnsi="Verdana"/>
          <w:b/>
          <w:i/>
          <w:smallCaps/>
          <w:sz w:val="20"/>
          <w:lang w:val="es-CO"/>
        </w:rPr>
        <w:t>CASO CABRERA GARCÍA Y MONTIEL FLORES VS. MÉXICO</w:t>
      </w:r>
    </w:p>
    <w:p w14:paraId="77104E2F" w14:textId="77777777" w:rsidR="00260226" w:rsidRPr="00846DC8" w:rsidRDefault="00260226" w:rsidP="00260226">
      <w:pPr>
        <w:tabs>
          <w:tab w:val="left" w:pos="567"/>
        </w:tabs>
        <w:ind w:right="4"/>
        <w:jc w:val="center"/>
        <w:rPr>
          <w:rFonts w:ascii="Verdana" w:hAnsi="Verdana"/>
          <w:b/>
          <w:smallCaps/>
          <w:sz w:val="20"/>
          <w:lang w:val="es-CO"/>
        </w:rPr>
      </w:pPr>
    </w:p>
    <w:p w14:paraId="6020ABB7" w14:textId="1EA69D70" w:rsidR="00506303" w:rsidRPr="00846DC8" w:rsidRDefault="00260226" w:rsidP="00260226">
      <w:pPr>
        <w:tabs>
          <w:tab w:val="left" w:pos="567"/>
        </w:tabs>
        <w:ind w:right="4"/>
        <w:jc w:val="center"/>
        <w:rPr>
          <w:rFonts w:ascii="Verdana" w:hAnsi="Verdana"/>
          <w:b/>
          <w:bCs/>
          <w:sz w:val="20"/>
          <w:lang w:val="es-CO"/>
        </w:rPr>
      </w:pPr>
      <w:r w:rsidRPr="00846DC8">
        <w:rPr>
          <w:rFonts w:ascii="Verdana" w:hAnsi="Verdana"/>
          <w:b/>
          <w:bCs/>
          <w:sz w:val="20"/>
          <w:lang w:val="es-CO"/>
        </w:rPr>
        <w:t>SUPERVISIÓN DE CUMPLIMIENTO DE SENTENCIA</w:t>
      </w:r>
    </w:p>
    <w:p w14:paraId="60686FA8" w14:textId="1BB49B33" w:rsidR="00506303" w:rsidRDefault="00506303" w:rsidP="001B58C0">
      <w:pPr>
        <w:widowControl w:val="0"/>
        <w:spacing w:before="120" w:after="120"/>
        <w:rPr>
          <w:rFonts w:ascii="Verdana" w:hAnsi="Verdana"/>
          <w:b/>
          <w:sz w:val="20"/>
        </w:rPr>
      </w:pPr>
    </w:p>
    <w:p w14:paraId="7AB2B323" w14:textId="77777777" w:rsidR="003A6027" w:rsidRPr="00846DC8" w:rsidRDefault="003A6027" w:rsidP="001B58C0">
      <w:pPr>
        <w:widowControl w:val="0"/>
        <w:spacing w:before="120" w:after="120"/>
        <w:rPr>
          <w:rFonts w:ascii="Verdana" w:hAnsi="Verdana"/>
          <w:b/>
          <w:sz w:val="20"/>
        </w:rPr>
      </w:pPr>
    </w:p>
    <w:p w14:paraId="3EBCB92B" w14:textId="597888AB" w:rsidR="00506303" w:rsidRPr="00846DC8" w:rsidRDefault="00850C05" w:rsidP="001B58C0">
      <w:pPr>
        <w:widowControl w:val="0"/>
        <w:spacing w:before="120" w:after="120"/>
        <w:rPr>
          <w:rFonts w:ascii="Verdana" w:hAnsi="Verdana"/>
          <w:b/>
          <w:sz w:val="20"/>
        </w:rPr>
      </w:pPr>
      <w:r w:rsidRPr="00846DC8">
        <w:rPr>
          <w:rFonts w:ascii="Verdana" w:hAnsi="Verdana"/>
          <w:b/>
          <w:sz w:val="20"/>
        </w:rPr>
        <w:t>VISTO</w:t>
      </w:r>
      <w:r w:rsidR="00506303" w:rsidRPr="00846DC8">
        <w:rPr>
          <w:rFonts w:ascii="Verdana" w:hAnsi="Verdana"/>
          <w:b/>
          <w:sz w:val="20"/>
        </w:rPr>
        <w:t xml:space="preserve">: </w:t>
      </w:r>
    </w:p>
    <w:p w14:paraId="3952CF24" w14:textId="7292F982" w:rsidR="00260226" w:rsidRPr="00846DC8" w:rsidRDefault="00260226" w:rsidP="004219BC">
      <w:pPr>
        <w:numPr>
          <w:ilvl w:val="0"/>
          <w:numId w:val="4"/>
        </w:numPr>
        <w:spacing w:before="120" w:after="120"/>
        <w:ind w:left="0" w:firstLine="0"/>
        <w:jc w:val="both"/>
        <w:rPr>
          <w:rFonts w:ascii="Verdana" w:hAnsi="Verdana"/>
          <w:sz w:val="20"/>
          <w:lang w:val="es-CO"/>
        </w:rPr>
      </w:pPr>
      <w:r w:rsidRPr="00846DC8">
        <w:rPr>
          <w:rFonts w:ascii="Verdana" w:hAnsi="Verdana"/>
          <w:sz w:val="20"/>
        </w:rPr>
        <w:t xml:space="preserve">La Sentencia </w:t>
      </w:r>
      <w:r w:rsidR="00A50B3C">
        <w:rPr>
          <w:rFonts w:ascii="Verdana" w:hAnsi="Verdana"/>
          <w:sz w:val="20"/>
        </w:rPr>
        <w:t xml:space="preserve">de excepción preliminar, fondo, reparaciones y costas (en adelante, “la Sentencia” o “el Fallo”) </w:t>
      </w:r>
      <w:r w:rsidRPr="00846DC8">
        <w:rPr>
          <w:rFonts w:ascii="Verdana" w:hAnsi="Verdana"/>
          <w:sz w:val="20"/>
        </w:rPr>
        <w:t xml:space="preserve">emitida por la Corte Interamericana de Derechos Humanos (en adelante “la Corte </w:t>
      </w:r>
      <w:r w:rsidRPr="00846DC8">
        <w:rPr>
          <w:rFonts w:ascii="Verdana" w:hAnsi="Verdana"/>
          <w:sz w:val="20"/>
          <w:lang w:val="es-CR"/>
        </w:rPr>
        <w:t>Interamericana</w:t>
      </w:r>
      <w:r w:rsidRPr="00846DC8">
        <w:rPr>
          <w:rFonts w:ascii="Verdana" w:hAnsi="Verdana"/>
          <w:sz w:val="20"/>
        </w:rPr>
        <w:t>”, “la Corte” o “el Tribunal”) el 26 de noviembre de 2010</w:t>
      </w:r>
      <w:r w:rsidRPr="00846DC8">
        <w:rPr>
          <w:rStyle w:val="Refdenotaalpie"/>
          <w:rFonts w:ascii="Verdana" w:hAnsi="Verdana"/>
          <w:sz w:val="20"/>
        </w:rPr>
        <w:footnoteReference w:id="2"/>
      </w:r>
      <w:r w:rsidRPr="00846DC8">
        <w:rPr>
          <w:rFonts w:ascii="Verdana" w:hAnsi="Verdana"/>
          <w:sz w:val="20"/>
        </w:rPr>
        <w:t xml:space="preserve"> </w:t>
      </w:r>
      <w:r w:rsidRPr="00846DC8">
        <w:rPr>
          <w:rFonts w:ascii="Verdana" w:hAnsi="Verdana"/>
          <w:sz w:val="20"/>
          <w:lang w:val="es-CO"/>
        </w:rPr>
        <w:t>en la que determinó la responsabilidad internacional de los Estados Unidos Mexicanos (en adelante “México” o “el Estado”).</w:t>
      </w:r>
      <w:r w:rsidR="00A50B3C">
        <w:rPr>
          <w:rFonts w:ascii="Verdana" w:hAnsi="Verdana"/>
          <w:sz w:val="20"/>
        </w:rPr>
        <w:t xml:space="preserve"> En dicho F</w:t>
      </w:r>
      <w:r w:rsidRPr="00846DC8">
        <w:rPr>
          <w:rFonts w:ascii="Verdana" w:hAnsi="Verdana"/>
          <w:sz w:val="20"/>
        </w:rPr>
        <w:t>allo se estableció que los señores Teodoro Cabrera G</w:t>
      </w:r>
      <w:r w:rsidR="009022AA">
        <w:rPr>
          <w:rFonts w:ascii="Verdana" w:hAnsi="Verdana"/>
          <w:sz w:val="20"/>
        </w:rPr>
        <w:t xml:space="preserve">arcía y Rodolfo Montiel Flores </w:t>
      </w:r>
      <w:r w:rsidRPr="00846DC8">
        <w:rPr>
          <w:rFonts w:ascii="Verdana" w:hAnsi="Verdana"/>
          <w:sz w:val="20"/>
        </w:rPr>
        <w:t>fueron detenidos el 2 de mayo de 1999 por miembros del Ejército mexicano en el marco de un operativo de lucha contra el narcotráfico en el Estado de Guerrero, siendo sometidos a tratos crueles, inhumanos y degradantes</w:t>
      </w:r>
      <w:r w:rsidR="009022AA">
        <w:rPr>
          <w:rFonts w:ascii="Verdana" w:hAnsi="Verdana"/>
          <w:sz w:val="20"/>
        </w:rPr>
        <w:t xml:space="preserve">. Además, determinó que </w:t>
      </w:r>
      <w:r w:rsidRPr="00846DC8">
        <w:rPr>
          <w:rFonts w:ascii="Verdana" w:hAnsi="Verdana"/>
          <w:sz w:val="20"/>
        </w:rPr>
        <w:t>no fueron remitidos oportunamente ante un juez para el control de la detención</w:t>
      </w:r>
      <w:r w:rsidR="00297CB3" w:rsidRPr="00846DC8">
        <w:rPr>
          <w:rFonts w:ascii="Verdana" w:hAnsi="Verdana"/>
          <w:sz w:val="20"/>
        </w:rPr>
        <w:t xml:space="preserve">, ni se inició </w:t>
      </w:r>
      <w:r w:rsidR="002B1B9B" w:rsidRPr="00846DC8">
        <w:rPr>
          <w:rFonts w:ascii="Verdana" w:hAnsi="Verdana"/>
          <w:sz w:val="20"/>
        </w:rPr>
        <w:t>una investigación de oficio.</w:t>
      </w:r>
      <w:r w:rsidRPr="00846DC8">
        <w:rPr>
          <w:rFonts w:ascii="Verdana" w:hAnsi="Verdana"/>
          <w:sz w:val="20"/>
        </w:rPr>
        <w:t xml:space="preserve"> </w:t>
      </w:r>
      <w:r w:rsidR="009022AA">
        <w:rPr>
          <w:rFonts w:ascii="Verdana" w:hAnsi="Verdana"/>
          <w:sz w:val="20"/>
        </w:rPr>
        <w:t>L</w:t>
      </w:r>
      <w:r w:rsidR="002B1B9B" w:rsidRPr="00846DC8">
        <w:rPr>
          <w:rFonts w:ascii="Verdana" w:hAnsi="Verdana"/>
          <w:sz w:val="20"/>
        </w:rPr>
        <w:t xml:space="preserve">a Corte </w:t>
      </w:r>
      <w:r w:rsidR="009022AA">
        <w:rPr>
          <w:rFonts w:ascii="Verdana" w:hAnsi="Verdana"/>
          <w:sz w:val="20"/>
        </w:rPr>
        <w:t>también concluyó</w:t>
      </w:r>
      <w:r w:rsidR="002B1B9B" w:rsidRPr="00846DC8">
        <w:rPr>
          <w:rFonts w:ascii="Verdana" w:hAnsi="Verdana"/>
          <w:sz w:val="20"/>
        </w:rPr>
        <w:t xml:space="preserve"> que </w:t>
      </w:r>
      <w:r w:rsidRPr="00846DC8">
        <w:rPr>
          <w:rFonts w:ascii="Verdana" w:hAnsi="Verdana"/>
          <w:sz w:val="20"/>
        </w:rPr>
        <w:t xml:space="preserve">la intervención del fuero militar en la averiguación previa </w:t>
      </w:r>
      <w:r w:rsidR="009022AA">
        <w:rPr>
          <w:rFonts w:ascii="Verdana" w:hAnsi="Verdana"/>
          <w:sz w:val="20"/>
        </w:rPr>
        <w:t>iniciada por los</w:t>
      </w:r>
      <w:r w:rsidRPr="00846DC8">
        <w:rPr>
          <w:rFonts w:ascii="Verdana" w:hAnsi="Verdana"/>
          <w:sz w:val="20"/>
        </w:rPr>
        <w:t xml:space="preserve"> hechos </w:t>
      </w:r>
      <w:r w:rsidR="009022AA">
        <w:rPr>
          <w:rFonts w:ascii="Verdana" w:hAnsi="Verdana"/>
          <w:sz w:val="20"/>
        </w:rPr>
        <w:t xml:space="preserve">referidos </w:t>
      </w:r>
      <w:r w:rsidRPr="00846DC8">
        <w:rPr>
          <w:rFonts w:ascii="Verdana" w:hAnsi="Verdana"/>
          <w:sz w:val="20"/>
        </w:rPr>
        <w:t>“contrarió los parámetros de excepcionalidad y restricción” de dicha jurisdicción y, por consiguiente, declaró que México había violado la garantía del juez natural</w:t>
      </w:r>
      <w:r w:rsidR="007402E2" w:rsidRPr="00846DC8">
        <w:rPr>
          <w:rFonts w:ascii="Verdana" w:hAnsi="Verdana"/>
          <w:sz w:val="20"/>
        </w:rPr>
        <w:t xml:space="preserve">, así como que era </w:t>
      </w:r>
      <w:r w:rsidRPr="00846DC8">
        <w:rPr>
          <w:rFonts w:ascii="Verdana" w:hAnsi="Verdana"/>
          <w:sz w:val="20"/>
        </w:rPr>
        <w:t xml:space="preserve">responsable </w:t>
      </w:r>
      <w:r w:rsidR="002B1B9B" w:rsidRPr="00846DC8">
        <w:rPr>
          <w:rFonts w:ascii="Verdana" w:hAnsi="Verdana"/>
          <w:sz w:val="20"/>
        </w:rPr>
        <w:t>por</w:t>
      </w:r>
      <w:r w:rsidRPr="00846DC8">
        <w:rPr>
          <w:rFonts w:ascii="Verdana" w:hAnsi="Verdana"/>
          <w:sz w:val="20"/>
        </w:rPr>
        <w:t xml:space="preserve"> la violación al </w:t>
      </w:r>
      <w:r w:rsidRPr="00846DC8">
        <w:rPr>
          <w:rFonts w:ascii="Verdana" w:hAnsi="Verdana"/>
          <w:sz w:val="20"/>
          <w:lang w:val="es-AR"/>
        </w:rPr>
        <w:t xml:space="preserve">deber de adecuar su normativa interna a </w:t>
      </w:r>
      <w:r w:rsidR="008B4D79" w:rsidRPr="00846DC8">
        <w:rPr>
          <w:rFonts w:ascii="Verdana" w:hAnsi="Verdana"/>
          <w:sz w:val="20"/>
          <w:lang w:val="es-AR"/>
        </w:rPr>
        <w:t>dicha garantía</w:t>
      </w:r>
      <w:r w:rsidR="002B1B9B" w:rsidRPr="00846DC8">
        <w:rPr>
          <w:rStyle w:val="Refdenotaalpie"/>
          <w:rFonts w:ascii="Verdana" w:hAnsi="Verdana"/>
          <w:sz w:val="20"/>
          <w:lang w:val="es-AR"/>
        </w:rPr>
        <w:footnoteReference w:id="3"/>
      </w:r>
      <w:r w:rsidR="002B1B9B" w:rsidRPr="00846DC8">
        <w:rPr>
          <w:rFonts w:ascii="Verdana" w:hAnsi="Verdana"/>
          <w:sz w:val="20"/>
          <w:lang w:val="es-AR"/>
        </w:rPr>
        <w:t>.</w:t>
      </w:r>
      <w:r w:rsidR="008B4D79" w:rsidRPr="00846DC8">
        <w:rPr>
          <w:rFonts w:ascii="Verdana" w:hAnsi="Verdana"/>
          <w:sz w:val="20"/>
          <w:lang w:val="es-AR"/>
        </w:rPr>
        <w:t xml:space="preserve"> </w:t>
      </w:r>
      <w:r w:rsidRPr="00846DC8">
        <w:rPr>
          <w:rFonts w:ascii="Verdana" w:hAnsi="Verdana"/>
          <w:sz w:val="20"/>
          <w:lang w:val="es-CR"/>
        </w:rPr>
        <w:t>La Corte estableció que su Sentencia constituye por sí misma una forma de reparación y, adicionalmente, ordenó al Estado determinadas medidas de reparación (</w:t>
      </w:r>
      <w:r w:rsidRPr="00846DC8">
        <w:rPr>
          <w:rFonts w:ascii="Verdana" w:hAnsi="Verdana"/>
          <w:i/>
          <w:iCs/>
          <w:sz w:val="20"/>
          <w:lang w:val="es-CR"/>
        </w:rPr>
        <w:t xml:space="preserve">infra </w:t>
      </w:r>
      <w:r w:rsidRPr="00846DC8">
        <w:rPr>
          <w:rFonts w:ascii="Verdana" w:hAnsi="Verdana"/>
          <w:sz w:val="20"/>
          <w:lang w:val="es-CR"/>
        </w:rPr>
        <w:t xml:space="preserve">Considerando 3). </w:t>
      </w:r>
    </w:p>
    <w:p w14:paraId="38E16E79" w14:textId="76E21CE6" w:rsidR="00260226" w:rsidRPr="00846DC8" w:rsidRDefault="00260226" w:rsidP="004219BC">
      <w:pPr>
        <w:numPr>
          <w:ilvl w:val="0"/>
          <w:numId w:val="4"/>
        </w:numPr>
        <w:spacing w:before="120" w:after="120"/>
        <w:ind w:left="0" w:firstLine="0"/>
        <w:jc w:val="both"/>
        <w:rPr>
          <w:rFonts w:ascii="Verdana" w:eastAsia="Calibri" w:hAnsi="Verdana"/>
          <w:sz w:val="20"/>
          <w:lang w:val="es-CR" w:eastAsia="es-CR"/>
        </w:rPr>
      </w:pPr>
      <w:bookmarkStart w:id="0" w:name="_Ref19206554"/>
      <w:r w:rsidRPr="00846DC8">
        <w:rPr>
          <w:rFonts w:ascii="Verdana" w:hAnsi="Verdana"/>
          <w:sz w:val="20"/>
          <w:lang w:val="es-AR"/>
        </w:rPr>
        <w:lastRenderedPageBreak/>
        <w:t xml:space="preserve">Las resoluciones de </w:t>
      </w:r>
      <w:r w:rsidR="009022AA">
        <w:rPr>
          <w:rFonts w:ascii="Verdana" w:hAnsi="Verdana"/>
          <w:sz w:val="20"/>
          <w:lang w:val="es-AR"/>
        </w:rPr>
        <w:t>supervisión de cumplimiento de S</w:t>
      </w:r>
      <w:r w:rsidRPr="00846DC8">
        <w:rPr>
          <w:rFonts w:ascii="Verdana" w:hAnsi="Verdana"/>
          <w:sz w:val="20"/>
          <w:lang w:val="es-AR"/>
        </w:rPr>
        <w:t>entencia emitidas por el Tribunal los días 21 de agosto de 2013 y 17 de abril de 2015</w:t>
      </w:r>
      <w:r w:rsidRPr="00846DC8">
        <w:rPr>
          <w:rStyle w:val="Refdenotaalpie"/>
          <w:rFonts w:ascii="Verdana" w:hAnsi="Verdana"/>
          <w:sz w:val="20"/>
          <w:lang w:val="es-AR"/>
        </w:rPr>
        <w:footnoteReference w:id="4"/>
      </w:r>
      <w:r w:rsidRPr="00846DC8">
        <w:rPr>
          <w:rFonts w:ascii="Verdana" w:hAnsi="Verdana"/>
          <w:sz w:val="20"/>
          <w:lang w:val="es-AR"/>
        </w:rPr>
        <w:t>.</w:t>
      </w:r>
      <w:bookmarkEnd w:id="0"/>
      <w:r w:rsidRPr="00846DC8">
        <w:rPr>
          <w:rFonts w:ascii="Verdana" w:hAnsi="Verdana"/>
          <w:sz w:val="20"/>
          <w:lang w:val="es-AR"/>
        </w:rPr>
        <w:t xml:space="preserve"> </w:t>
      </w:r>
    </w:p>
    <w:p w14:paraId="3B57DBFE" w14:textId="6947BCD9" w:rsidR="00260226" w:rsidRPr="00846DC8" w:rsidRDefault="00260226" w:rsidP="004219BC">
      <w:pPr>
        <w:numPr>
          <w:ilvl w:val="0"/>
          <w:numId w:val="4"/>
        </w:numPr>
        <w:spacing w:before="120" w:after="120"/>
        <w:ind w:left="0" w:firstLine="0"/>
        <w:jc w:val="both"/>
        <w:rPr>
          <w:rFonts w:ascii="Verdana" w:hAnsi="Verdana"/>
          <w:sz w:val="20"/>
          <w:lang w:val="es-CO"/>
        </w:rPr>
      </w:pPr>
      <w:r w:rsidRPr="00846DC8">
        <w:rPr>
          <w:rFonts w:ascii="Verdana" w:hAnsi="Verdana"/>
          <w:sz w:val="20"/>
          <w:lang w:val="es-CO"/>
        </w:rPr>
        <w:t xml:space="preserve">Los informes </w:t>
      </w:r>
      <w:r w:rsidRPr="00846DC8">
        <w:rPr>
          <w:rFonts w:ascii="Verdana" w:hAnsi="Verdana"/>
          <w:sz w:val="20"/>
        </w:rPr>
        <w:t>presentados</w:t>
      </w:r>
      <w:r w:rsidRPr="00846DC8">
        <w:rPr>
          <w:rFonts w:ascii="Verdana" w:hAnsi="Verdana"/>
          <w:sz w:val="20"/>
          <w:lang w:val="es-CO"/>
        </w:rPr>
        <w:t xml:space="preserve"> por el Estado entre diciembre de 2013 y agosto de 2019 en respuesta a solicitudes </w:t>
      </w:r>
      <w:r w:rsidRPr="00846DC8">
        <w:rPr>
          <w:rFonts w:ascii="Verdana" w:eastAsia="Calibri" w:hAnsi="Verdana"/>
          <w:sz w:val="20"/>
          <w:lang w:val="es-CR"/>
        </w:rPr>
        <w:t>efectuadas</w:t>
      </w:r>
      <w:r w:rsidRPr="00846DC8">
        <w:rPr>
          <w:rFonts w:ascii="Verdana" w:hAnsi="Verdana"/>
          <w:sz w:val="20"/>
          <w:lang w:val="es-CO"/>
        </w:rPr>
        <w:t xml:space="preserve"> por la Corte o su Presidencia mediante notas de la Secretaría del Tribunal. </w:t>
      </w:r>
    </w:p>
    <w:p w14:paraId="349F766B" w14:textId="678C4B15" w:rsidR="00260226" w:rsidRPr="00846DC8" w:rsidRDefault="00260226" w:rsidP="004219BC">
      <w:pPr>
        <w:numPr>
          <w:ilvl w:val="0"/>
          <w:numId w:val="4"/>
        </w:numPr>
        <w:spacing w:before="120" w:after="120"/>
        <w:ind w:left="0" w:firstLine="0"/>
        <w:jc w:val="both"/>
        <w:rPr>
          <w:rFonts w:ascii="Verdana" w:hAnsi="Verdana"/>
          <w:color w:val="000000"/>
          <w:sz w:val="20"/>
          <w:shd w:val="clear" w:color="auto" w:fill="FFFFFF"/>
          <w:lang w:val="es-CO"/>
        </w:rPr>
      </w:pPr>
      <w:bookmarkStart w:id="1" w:name="_Ref19543698"/>
      <w:r w:rsidRPr="00846DC8">
        <w:rPr>
          <w:rFonts w:ascii="Verdana" w:hAnsi="Verdana"/>
          <w:color w:val="000000"/>
          <w:sz w:val="20"/>
          <w:shd w:val="clear" w:color="auto" w:fill="FFFFFF"/>
          <w:lang w:val="es-CO"/>
        </w:rPr>
        <w:t xml:space="preserve">Los </w:t>
      </w:r>
      <w:r w:rsidRPr="00846DC8">
        <w:rPr>
          <w:rFonts w:ascii="Verdana" w:hAnsi="Verdana"/>
          <w:sz w:val="20"/>
          <w:lang w:val="es-CO"/>
        </w:rPr>
        <w:t>escritos</w:t>
      </w:r>
      <w:r w:rsidRPr="00846DC8">
        <w:rPr>
          <w:rFonts w:ascii="Verdana" w:hAnsi="Verdana"/>
          <w:color w:val="000000"/>
          <w:sz w:val="20"/>
          <w:shd w:val="clear" w:color="auto" w:fill="FFFFFF"/>
          <w:lang w:val="es-CO"/>
        </w:rPr>
        <w:t xml:space="preserve"> de observaciones </w:t>
      </w:r>
      <w:r w:rsidRPr="00846DC8">
        <w:rPr>
          <w:rFonts w:ascii="Verdana" w:hAnsi="Verdana"/>
          <w:sz w:val="20"/>
          <w:lang w:val="es-CO"/>
        </w:rPr>
        <w:t>presentados</w:t>
      </w:r>
      <w:r w:rsidRPr="00846DC8">
        <w:rPr>
          <w:rFonts w:ascii="Verdana" w:hAnsi="Verdana"/>
          <w:color w:val="000000"/>
          <w:sz w:val="20"/>
          <w:shd w:val="clear" w:color="auto" w:fill="FFFFFF"/>
          <w:lang w:val="es-CO"/>
        </w:rPr>
        <w:t xml:space="preserve"> por los representantes de las víctimas (en adelante también “los representantes”)</w:t>
      </w:r>
      <w:r w:rsidRPr="00846DC8">
        <w:rPr>
          <w:rStyle w:val="Refdenotaalpie"/>
          <w:rFonts w:ascii="Verdana" w:hAnsi="Verdana"/>
          <w:color w:val="000000"/>
          <w:sz w:val="20"/>
          <w:shd w:val="clear" w:color="auto" w:fill="FFFFFF"/>
          <w:lang w:val="es-CO"/>
        </w:rPr>
        <w:footnoteReference w:id="5"/>
      </w:r>
      <w:r w:rsidRPr="00846DC8">
        <w:rPr>
          <w:rFonts w:ascii="Verdana" w:hAnsi="Verdana"/>
          <w:color w:val="000000"/>
          <w:sz w:val="20"/>
          <w:shd w:val="clear" w:color="auto" w:fill="FFFFFF"/>
          <w:lang w:val="es-CO"/>
        </w:rPr>
        <w:t xml:space="preserve"> entre febrero de 2014 y</w:t>
      </w:r>
      <w:r w:rsidRPr="00846DC8">
        <w:rPr>
          <w:rFonts w:ascii="Verdana" w:hAnsi="Verdana"/>
          <w:b/>
          <w:color w:val="000000"/>
          <w:sz w:val="20"/>
          <w:shd w:val="clear" w:color="auto" w:fill="FFFFFF"/>
          <w:lang w:val="es-CO"/>
        </w:rPr>
        <w:t xml:space="preserve"> </w:t>
      </w:r>
      <w:r w:rsidRPr="00846DC8">
        <w:rPr>
          <w:rFonts w:ascii="Verdana" w:hAnsi="Verdana"/>
          <w:color w:val="000000"/>
          <w:sz w:val="20"/>
          <w:shd w:val="clear" w:color="auto" w:fill="FFFFFF"/>
          <w:lang w:val="es-CO"/>
        </w:rPr>
        <w:t xml:space="preserve">septiembre de 2019. </w:t>
      </w:r>
      <w:bookmarkEnd w:id="1"/>
    </w:p>
    <w:p w14:paraId="648EA3DC" w14:textId="274361CF" w:rsidR="00260226" w:rsidRPr="00846DC8" w:rsidRDefault="00260226" w:rsidP="004219BC">
      <w:pPr>
        <w:numPr>
          <w:ilvl w:val="0"/>
          <w:numId w:val="4"/>
        </w:numPr>
        <w:spacing w:before="120" w:after="120"/>
        <w:ind w:left="0" w:firstLine="0"/>
        <w:jc w:val="both"/>
        <w:rPr>
          <w:rFonts w:ascii="Verdana" w:hAnsi="Verdana" w:cs="Arial"/>
          <w:sz w:val="20"/>
          <w:lang w:val="es-CO"/>
        </w:rPr>
      </w:pPr>
      <w:r w:rsidRPr="00846DC8">
        <w:rPr>
          <w:rFonts w:ascii="Verdana" w:hAnsi="Verdana"/>
          <w:color w:val="000000"/>
          <w:sz w:val="20"/>
          <w:shd w:val="clear" w:color="auto" w:fill="FFFFFF"/>
          <w:lang w:val="es-CO"/>
        </w:rPr>
        <w:t xml:space="preserve">Los </w:t>
      </w:r>
      <w:r w:rsidRPr="00846DC8">
        <w:rPr>
          <w:rFonts w:ascii="Verdana" w:hAnsi="Verdana"/>
          <w:sz w:val="20"/>
          <w:lang w:val="es-CO"/>
        </w:rPr>
        <w:t>escritos</w:t>
      </w:r>
      <w:r w:rsidRPr="00846DC8">
        <w:rPr>
          <w:rFonts w:ascii="Verdana" w:hAnsi="Verdana"/>
          <w:color w:val="000000"/>
          <w:sz w:val="20"/>
          <w:shd w:val="clear" w:color="auto" w:fill="FFFFFF"/>
          <w:lang w:val="es-CO"/>
        </w:rPr>
        <w:t xml:space="preserve"> de </w:t>
      </w:r>
      <w:r w:rsidRPr="00846DC8">
        <w:rPr>
          <w:rFonts w:ascii="Verdana" w:hAnsi="Verdana"/>
          <w:sz w:val="20"/>
          <w:lang w:val="es-CO"/>
        </w:rPr>
        <w:t>observaciones</w:t>
      </w:r>
      <w:r w:rsidRPr="00846DC8">
        <w:rPr>
          <w:rFonts w:ascii="Verdana" w:hAnsi="Verdana"/>
          <w:color w:val="000000"/>
          <w:sz w:val="20"/>
          <w:shd w:val="clear" w:color="auto" w:fill="FFFFFF"/>
          <w:lang w:val="es-CO"/>
        </w:rPr>
        <w:t xml:space="preserve"> presentados por la Comisión Interamericana de Derechos Humanos (en adelante “la Comisión Interamericana” o “la</w:t>
      </w:r>
      <w:r w:rsidR="009022AA">
        <w:rPr>
          <w:rFonts w:ascii="Verdana" w:hAnsi="Verdana"/>
          <w:color w:val="000000"/>
          <w:sz w:val="20"/>
          <w:shd w:val="clear" w:color="auto" w:fill="FFFFFF"/>
          <w:lang w:val="es-CO"/>
        </w:rPr>
        <w:t xml:space="preserve"> Comisión”) entre marzo de 2014 y marzo de 2019.</w:t>
      </w:r>
    </w:p>
    <w:p w14:paraId="53E12E81" w14:textId="22D36418" w:rsidR="007A353A" w:rsidRPr="00846DC8" w:rsidRDefault="00FF309D" w:rsidP="004219BC">
      <w:pPr>
        <w:numPr>
          <w:ilvl w:val="0"/>
          <w:numId w:val="4"/>
        </w:numPr>
        <w:spacing w:before="120" w:after="120"/>
        <w:ind w:left="0" w:firstLine="0"/>
        <w:jc w:val="both"/>
        <w:rPr>
          <w:rFonts w:ascii="Verdana" w:hAnsi="Verdana" w:cs="Arial"/>
          <w:sz w:val="20"/>
          <w:lang w:val="es-CO"/>
        </w:rPr>
      </w:pPr>
      <w:r w:rsidRPr="00846DC8">
        <w:rPr>
          <w:rFonts w:ascii="Verdana" w:hAnsi="Verdana" w:cs="Arial"/>
          <w:sz w:val="20"/>
          <w:lang w:val="es-CO"/>
        </w:rPr>
        <w:t>La audiencia privada sobre</w:t>
      </w:r>
      <w:r w:rsidR="007A353A" w:rsidRPr="00846DC8">
        <w:rPr>
          <w:rFonts w:ascii="Verdana" w:hAnsi="Verdana" w:cs="Arial"/>
          <w:sz w:val="20"/>
          <w:lang w:val="es-CO"/>
        </w:rPr>
        <w:t xml:space="preserve"> </w:t>
      </w:r>
      <w:r w:rsidRPr="00846DC8">
        <w:rPr>
          <w:rFonts w:ascii="Verdana" w:hAnsi="Verdana" w:cs="Arial"/>
          <w:sz w:val="20"/>
          <w:lang w:val="es-CO"/>
        </w:rPr>
        <w:t>supervisión de cumplimiento de S</w:t>
      </w:r>
      <w:r w:rsidR="007A353A" w:rsidRPr="00846DC8">
        <w:rPr>
          <w:rFonts w:ascii="Verdana" w:hAnsi="Verdana" w:cs="Arial"/>
          <w:sz w:val="20"/>
          <w:lang w:val="es-CO"/>
        </w:rPr>
        <w:t xml:space="preserve">entencia </w:t>
      </w:r>
      <w:r w:rsidRPr="00846DC8">
        <w:rPr>
          <w:rFonts w:ascii="Verdana" w:hAnsi="Verdana" w:cs="Arial"/>
          <w:sz w:val="20"/>
          <w:lang w:val="es-CO"/>
        </w:rPr>
        <w:t>llevada a cabo</w:t>
      </w:r>
      <w:r w:rsidR="007A353A" w:rsidRPr="00846DC8">
        <w:rPr>
          <w:rFonts w:ascii="Verdana" w:hAnsi="Verdana" w:cs="Arial"/>
          <w:sz w:val="20"/>
          <w:lang w:val="es-CO"/>
        </w:rPr>
        <w:t xml:space="preserve"> el 2 de septiembre de 2016</w:t>
      </w:r>
      <w:r w:rsidRPr="00846DC8">
        <w:rPr>
          <w:rFonts w:ascii="Verdana" w:hAnsi="Verdana" w:cs="Arial"/>
          <w:sz w:val="20"/>
          <w:lang w:val="es-CO"/>
        </w:rPr>
        <w:t xml:space="preserve"> durante el 55</w:t>
      </w:r>
      <w:r w:rsidRPr="00846DC8">
        <w:rPr>
          <w:rFonts w:ascii="Verdana" w:hAnsi="Verdana" w:cs="Arial"/>
          <w:sz w:val="20"/>
          <w:lang w:val="es-CO"/>
        </w:rPr>
        <w:sym w:font="Symbol" w:char="F0B0"/>
      </w:r>
      <w:r w:rsidRPr="00846DC8">
        <w:rPr>
          <w:rFonts w:ascii="Verdana" w:hAnsi="Verdana" w:cs="Arial"/>
          <w:sz w:val="20"/>
          <w:lang w:val="es-CO"/>
        </w:rPr>
        <w:t xml:space="preserve"> Período Extraordinario de Sesiones de la Corte, celebrado en Ciudad de México, México</w:t>
      </w:r>
      <w:r w:rsidR="002D34E9" w:rsidRPr="00846DC8">
        <w:rPr>
          <w:rStyle w:val="Refdenotaalpie"/>
          <w:rFonts w:ascii="Verdana" w:hAnsi="Verdana" w:cs="Arial"/>
          <w:sz w:val="20"/>
          <w:lang w:val="es-CO"/>
        </w:rPr>
        <w:footnoteReference w:id="6"/>
      </w:r>
      <w:r w:rsidR="007A353A" w:rsidRPr="00846DC8">
        <w:rPr>
          <w:rFonts w:ascii="Verdana" w:hAnsi="Verdana" w:cs="Arial"/>
          <w:sz w:val="20"/>
          <w:lang w:val="es-CO"/>
        </w:rPr>
        <w:t xml:space="preserve">. </w:t>
      </w:r>
    </w:p>
    <w:p w14:paraId="4F312994" w14:textId="77777777" w:rsidR="00260226" w:rsidRPr="00846DC8" w:rsidRDefault="00260226" w:rsidP="00260226">
      <w:pPr>
        <w:spacing w:before="120" w:after="120"/>
        <w:jc w:val="both"/>
        <w:rPr>
          <w:rFonts w:ascii="Verdana" w:hAnsi="Verdana"/>
          <w:b/>
          <w:sz w:val="20"/>
          <w:lang w:val="es-CO"/>
        </w:rPr>
      </w:pPr>
    </w:p>
    <w:p w14:paraId="2C14F9DE" w14:textId="77777777" w:rsidR="00260226" w:rsidRPr="00846DC8" w:rsidRDefault="00260226" w:rsidP="00260226">
      <w:pPr>
        <w:spacing w:before="120" w:after="120"/>
        <w:jc w:val="both"/>
        <w:rPr>
          <w:rFonts w:ascii="Verdana" w:hAnsi="Verdana"/>
          <w:b/>
          <w:sz w:val="20"/>
          <w:lang w:val="es-CO"/>
        </w:rPr>
      </w:pPr>
      <w:r w:rsidRPr="00846DC8">
        <w:rPr>
          <w:rFonts w:ascii="Verdana" w:hAnsi="Verdana"/>
          <w:b/>
          <w:sz w:val="20"/>
          <w:lang w:val="es-CO"/>
        </w:rPr>
        <w:t xml:space="preserve">CONSIDERANDO QUE: </w:t>
      </w:r>
    </w:p>
    <w:p w14:paraId="3BC29117" w14:textId="7F3FEC36" w:rsidR="00260226" w:rsidRPr="00846DC8" w:rsidRDefault="00260226" w:rsidP="004219BC">
      <w:pPr>
        <w:numPr>
          <w:ilvl w:val="0"/>
          <w:numId w:val="6"/>
        </w:numPr>
        <w:tabs>
          <w:tab w:val="left" w:pos="709"/>
        </w:tabs>
        <w:spacing w:before="120" w:after="120"/>
        <w:ind w:left="0" w:firstLine="0"/>
        <w:jc w:val="both"/>
        <w:rPr>
          <w:rFonts w:ascii="Verdana" w:hAnsi="Verdana"/>
          <w:sz w:val="20"/>
          <w:lang w:val="es-AR"/>
        </w:rPr>
      </w:pPr>
      <w:r w:rsidRPr="00846DC8">
        <w:rPr>
          <w:rFonts w:ascii="Verdana" w:hAnsi="Verdana"/>
          <w:sz w:val="20"/>
          <w:lang w:val="es-CR"/>
        </w:rPr>
        <w:t xml:space="preserve">En el ejercicio de </w:t>
      </w:r>
      <w:r w:rsidRPr="00846DC8">
        <w:rPr>
          <w:rFonts w:ascii="Verdana" w:hAnsi="Verdana"/>
          <w:sz w:val="20"/>
          <w:lang w:val="es-ES"/>
        </w:rPr>
        <w:t xml:space="preserve">su función jurisdiccional de </w:t>
      </w:r>
      <w:r w:rsidRPr="00846DC8">
        <w:rPr>
          <w:rFonts w:ascii="Verdana" w:hAnsi="Verdana"/>
          <w:sz w:val="20"/>
          <w:lang w:val="es-CR"/>
        </w:rPr>
        <w:t>supervisar el cumplimiento de sus decisiones</w:t>
      </w:r>
      <w:r w:rsidRPr="00846DC8">
        <w:rPr>
          <w:rFonts w:ascii="Verdana" w:hAnsi="Verdana"/>
          <w:sz w:val="20"/>
          <w:vertAlign w:val="superscript"/>
        </w:rPr>
        <w:footnoteReference w:id="7"/>
      </w:r>
      <w:r w:rsidRPr="00846DC8">
        <w:rPr>
          <w:rFonts w:ascii="Verdana" w:hAnsi="Verdana"/>
          <w:sz w:val="20"/>
        </w:rPr>
        <w:t xml:space="preserve">, la Corte ha venido supervisando la ejecución de la Sentencia emitida </w:t>
      </w:r>
      <w:r w:rsidRPr="00846DC8">
        <w:rPr>
          <w:rFonts w:ascii="Verdana" w:hAnsi="Verdana"/>
          <w:sz w:val="20"/>
          <w:lang w:val="es-MX"/>
        </w:rPr>
        <w:t xml:space="preserve">en el presente caso en el 2010 </w:t>
      </w:r>
      <w:r w:rsidRPr="00846DC8">
        <w:rPr>
          <w:rFonts w:ascii="Verdana" w:hAnsi="Verdana"/>
          <w:sz w:val="20"/>
          <w:lang w:val="es-CR"/>
        </w:rPr>
        <w:t>(</w:t>
      </w:r>
      <w:r w:rsidRPr="00846DC8">
        <w:rPr>
          <w:rFonts w:ascii="Verdana" w:hAnsi="Verdana"/>
          <w:i/>
          <w:sz w:val="20"/>
          <w:lang w:val="es-CR"/>
        </w:rPr>
        <w:t xml:space="preserve">supra </w:t>
      </w:r>
      <w:r w:rsidRPr="00846DC8">
        <w:rPr>
          <w:rFonts w:ascii="Verdana" w:hAnsi="Verdana"/>
          <w:sz w:val="20"/>
          <w:lang w:val="es-CR"/>
        </w:rPr>
        <w:t>Visto 1)</w:t>
      </w:r>
      <w:r w:rsidRPr="00846DC8">
        <w:rPr>
          <w:rFonts w:ascii="Verdana" w:hAnsi="Verdana"/>
          <w:sz w:val="20"/>
          <w:lang w:val="es-MX"/>
        </w:rPr>
        <w:t xml:space="preserve">. En el Fallo, se dispusieron </w:t>
      </w:r>
      <w:r w:rsidR="002D0815" w:rsidRPr="00846DC8">
        <w:rPr>
          <w:rFonts w:ascii="Verdana" w:hAnsi="Verdana"/>
          <w:sz w:val="20"/>
          <w:lang w:val="es-MX"/>
        </w:rPr>
        <w:t>nueve</w:t>
      </w:r>
      <w:r w:rsidRPr="00846DC8">
        <w:rPr>
          <w:rFonts w:ascii="Verdana" w:hAnsi="Verdana"/>
          <w:sz w:val="20"/>
          <w:lang w:val="es-MX"/>
        </w:rPr>
        <w:t xml:space="preserve"> medidas de reparación (</w:t>
      </w:r>
      <w:r w:rsidRPr="00846DC8">
        <w:rPr>
          <w:rFonts w:ascii="Verdana" w:hAnsi="Verdana"/>
          <w:i/>
          <w:sz w:val="20"/>
          <w:lang w:val="es-MX"/>
        </w:rPr>
        <w:t xml:space="preserve">infra </w:t>
      </w:r>
      <w:r w:rsidRPr="00846DC8">
        <w:rPr>
          <w:rFonts w:ascii="Verdana" w:hAnsi="Verdana"/>
          <w:sz w:val="20"/>
          <w:lang w:val="es-MX"/>
        </w:rPr>
        <w:t xml:space="preserve">Considerando </w:t>
      </w:r>
      <w:r w:rsidRPr="00846DC8">
        <w:rPr>
          <w:rFonts w:ascii="Verdana" w:hAnsi="Verdana"/>
          <w:sz w:val="20"/>
          <w:lang w:val="es-MX"/>
        </w:rPr>
        <w:fldChar w:fldCharType="begin"/>
      </w:r>
      <w:r w:rsidRPr="00846DC8">
        <w:rPr>
          <w:rFonts w:ascii="Verdana" w:hAnsi="Verdana"/>
          <w:sz w:val="20"/>
          <w:lang w:val="es-MX"/>
        </w:rPr>
        <w:instrText xml:space="preserve"> REF _Ref22111107 \r \h </w:instrText>
      </w:r>
      <w:r w:rsidR="00846DC8">
        <w:rPr>
          <w:rFonts w:ascii="Verdana" w:hAnsi="Verdana"/>
          <w:sz w:val="20"/>
          <w:lang w:val="es-MX"/>
        </w:rPr>
        <w:instrText xml:space="preserve"> \* MERGEFORMAT </w:instrText>
      </w:r>
      <w:r w:rsidRPr="00846DC8">
        <w:rPr>
          <w:rFonts w:ascii="Verdana" w:hAnsi="Verdana"/>
          <w:sz w:val="20"/>
          <w:lang w:val="es-MX"/>
        </w:rPr>
      </w:r>
      <w:r w:rsidRPr="00846DC8">
        <w:rPr>
          <w:rFonts w:ascii="Verdana" w:hAnsi="Verdana"/>
          <w:sz w:val="20"/>
          <w:lang w:val="es-MX"/>
        </w:rPr>
        <w:fldChar w:fldCharType="separate"/>
      </w:r>
      <w:r w:rsidR="00733043">
        <w:rPr>
          <w:rFonts w:ascii="Verdana" w:hAnsi="Verdana"/>
          <w:sz w:val="20"/>
          <w:lang w:val="es-MX"/>
        </w:rPr>
        <w:t>4</w:t>
      </w:r>
      <w:r w:rsidRPr="00846DC8">
        <w:rPr>
          <w:rFonts w:ascii="Verdana" w:hAnsi="Verdana"/>
          <w:sz w:val="20"/>
          <w:lang w:val="es-MX"/>
        </w:rPr>
        <w:fldChar w:fldCharType="end"/>
      </w:r>
      <w:r w:rsidRPr="00846DC8">
        <w:rPr>
          <w:rFonts w:ascii="Verdana" w:hAnsi="Verdana"/>
          <w:sz w:val="20"/>
          <w:lang w:val="es-ES"/>
        </w:rPr>
        <w:t xml:space="preserve"> y punto resolutivo </w:t>
      </w:r>
      <w:r w:rsidRPr="00846DC8">
        <w:rPr>
          <w:rFonts w:ascii="Verdana" w:hAnsi="Verdana"/>
          <w:sz w:val="20"/>
          <w:lang w:val="es-MX"/>
        </w:rPr>
        <w:fldChar w:fldCharType="begin"/>
      </w:r>
      <w:r w:rsidRPr="00846DC8">
        <w:rPr>
          <w:rFonts w:ascii="Verdana" w:hAnsi="Verdana"/>
          <w:sz w:val="20"/>
          <w:lang w:val="es-ES"/>
        </w:rPr>
        <w:instrText xml:space="preserve"> REF _Ref19192118 \r \h  \* MERGEFORMAT </w:instrText>
      </w:r>
      <w:r w:rsidRPr="00846DC8">
        <w:rPr>
          <w:rFonts w:ascii="Verdana" w:hAnsi="Verdana"/>
          <w:sz w:val="20"/>
          <w:lang w:val="es-MX"/>
        </w:rPr>
      </w:r>
      <w:r w:rsidRPr="00846DC8">
        <w:rPr>
          <w:rFonts w:ascii="Verdana" w:hAnsi="Verdana"/>
          <w:sz w:val="20"/>
          <w:lang w:val="es-MX"/>
        </w:rPr>
        <w:fldChar w:fldCharType="separate"/>
      </w:r>
      <w:r w:rsidR="00733043" w:rsidRPr="00733043">
        <w:rPr>
          <w:rFonts w:ascii="Verdana" w:hAnsi="Verdana"/>
          <w:bCs/>
          <w:sz w:val="20"/>
          <w:lang w:val="es-ES"/>
        </w:rPr>
        <w:t>1</w:t>
      </w:r>
      <w:r w:rsidRPr="00846DC8">
        <w:rPr>
          <w:rFonts w:ascii="Verdana" w:hAnsi="Verdana"/>
          <w:sz w:val="20"/>
          <w:lang w:val="es-MX"/>
        </w:rPr>
        <w:fldChar w:fldCharType="end"/>
      </w:r>
      <w:r w:rsidRPr="00846DC8">
        <w:rPr>
          <w:rFonts w:ascii="Verdana" w:hAnsi="Verdana"/>
          <w:sz w:val="20"/>
          <w:lang w:val="es-MX"/>
        </w:rPr>
        <w:t>).</w:t>
      </w:r>
      <w:r w:rsidRPr="00846DC8">
        <w:rPr>
          <w:rFonts w:ascii="Verdana" w:hAnsi="Verdana"/>
          <w:sz w:val="20"/>
          <w:lang w:val="es-CO"/>
        </w:rPr>
        <w:t xml:space="preserve"> El Tribunal emitió dos</w:t>
      </w:r>
      <w:r w:rsidR="002D0815" w:rsidRPr="00846DC8">
        <w:rPr>
          <w:rFonts w:ascii="Verdana" w:hAnsi="Verdana"/>
          <w:sz w:val="20"/>
          <w:lang w:val="es-CO"/>
        </w:rPr>
        <w:t xml:space="preserve"> R</w:t>
      </w:r>
      <w:r w:rsidRPr="00846DC8">
        <w:rPr>
          <w:rFonts w:ascii="Verdana" w:hAnsi="Verdana"/>
          <w:sz w:val="20"/>
          <w:lang w:val="es-CO"/>
        </w:rPr>
        <w:t>esoluciones de supervisión de cumplimiento en los años 2013 y 2015 (</w:t>
      </w:r>
      <w:r w:rsidRPr="00846DC8">
        <w:rPr>
          <w:rFonts w:ascii="Verdana" w:hAnsi="Verdana"/>
          <w:i/>
          <w:sz w:val="20"/>
          <w:lang w:val="es-CO"/>
        </w:rPr>
        <w:t>supra</w:t>
      </w:r>
      <w:r w:rsidRPr="00846DC8">
        <w:rPr>
          <w:rFonts w:ascii="Verdana" w:hAnsi="Verdana"/>
          <w:sz w:val="20"/>
          <w:lang w:val="es-CO"/>
        </w:rPr>
        <w:t xml:space="preserve"> Visto 2), en las cuales declaró que México había dado cumplimiento total a seis medidas de reparación</w:t>
      </w:r>
      <w:r w:rsidRPr="00846DC8">
        <w:rPr>
          <w:rFonts w:ascii="Verdana" w:hAnsi="Verdana"/>
          <w:sz w:val="20"/>
          <w:vertAlign w:val="superscript"/>
          <w:lang w:val="es-CO"/>
        </w:rPr>
        <w:footnoteReference w:id="8"/>
      </w:r>
      <w:r w:rsidRPr="00846DC8">
        <w:rPr>
          <w:rFonts w:ascii="Verdana" w:hAnsi="Verdana"/>
          <w:sz w:val="20"/>
          <w:lang w:val="es-CO"/>
        </w:rPr>
        <w:t xml:space="preserve">, y también determinó que había dado cumplimiento parcial a </w:t>
      </w:r>
      <w:r w:rsidR="00306C1A">
        <w:rPr>
          <w:rFonts w:ascii="Verdana" w:hAnsi="Verdana"/>
          <w:sz w:val="20"/>
          <w:lang w:val="es-CO"/>
        </w:rPr>
        <w:t>la medida</w:t>
      </w:r>
      <w:r w:rsidR="00270529">
        <w:rPr>
          <w:rFonts w:ascii="Verdana" w:hAnsi="Verdana"/>
          <w:sz w:val="20"/>
          <w:lang w:val="es-CO"/>
        </w:rPr>
        <w:t xml:space="preserve"> relativa a </w:t>
      </w:r>
      <w:proofErr w:type="spellStart"/>
      <w:r w:rsidRPr="00846DC8">
        <w:rPr>
          <w:rFonts w:ascii="Verdana" w:hAnsi="Verdana"/>
          <w:sz w:val="20"/>
          <w:lang w:val="es-CO"/>
        </w:rPr>
        <w:t>a</w:t>
      </w:r>
      <w:r w:rsidRPr="00846DC8">
        <w:rPr>
          <w:rFonts w:ascii="Verdana" w:hAnsi="Verdana"/>
          <w:sz w:val="20"/>
        </w:rPr>
        <w:t>doptar</w:t>
      </w:r>
      <w:proofErr w:type="spellEnd"/>
      <w:r w:rsidRPr="00846DC8">
        <w:rPr>
          <w:rFonts w:ascii="Verdana" w:hAnsi="Verdana"/>
          <w:sz w:val="20"/>
        </w:rPr>
        <w:t xml:space="preserve"> las reformas legislativas pertinentes para compatibilizar el artículo 57 del Código de Justicia Militar con la Convención y los e</w:t>
      </w:r>
      <w:r w:rsidR="002D0815" w:rsidRPr="00846DC8">
        <w:rPr>
          <w:rFonts w:ascii="Verdana" w:hAnsi="Verdana"/>
          <w:sz w:val="20"/>
        </w:rPr>
        <w:t xml:space="preserve">stándares internacionales en </w:t>
      </w:r>
      <w:r w:rsidRPr="00846DC8">
        <w:rPr>
          <w:rFonts w:ascii="Verdana" w:hAnsi="Verdana"/>
          <w:sz w:val="20"/>
        </w:rPr>
        <w:t xml:space="preserve">materia </w:t>
      </w:r>
      <w:r w:rsidR="002D0815" w:rsidRPr="00846DC8">
        <w:rPr>
          <w:rFonts w:ascii="Verdana" w:hAnsi="Verdana"/>
          <w:sz w:val="20"/>
        </w:rPr>
        <w:t xml:space="preserve">de </w:t>
      </w:r>
      <w:r w:rsidR="004C04DE" w:rsidRPr="00846DC8">
        <w:rPr>
          <w:rFonts w:ascii="Verdana" w:hAnsi="Verdana"/>
          <w:sz w:val="20"/>
        </w:rPr>
        <w:t>la garantía del juez natural</w:t>
      </w:r>
      <w:r w:rsidR="00270529">
        <w:rPr>
          <w:rStyle w:val="Refdenotaalpie"/>
          <w:rFonts w:ascii="Verdana" w:hAnsi="Verdana"/>
          <w:sz w:val="20"/>
        </w:rPr>
        <w:footnoteReference w:id="9"/>
      </w:r>
      <w:r w:rsidR="002D0815" w:rsidRPr="00846DC8">
        <w:rPr>
          <w:rFonts w:ascii="Verdana" w:hAnsi="Verdana"/>
          <w:sz w:val="20"/>
        </w:rPr>
        <w:t xml:space="preserve">. </w:t>
      </w:r>
      <w:r w:rsidRPr="00846DC8">
        <w:rPr>
          <w:rFonts w:ascii="Verdana" w:hAnsi="Verdana"/>
          <w:sz w:val="20"/>
          <w:lang w:val="es-CO"/>
        </w:rPr>
        <w:t>En dichas Resoluciones</w:t>
      </w:r>
      <w:r w:rsidR="002D0815" w:rsidRPr="00846DC8">
        <w:rPr>
          <w:rFonts w:ascii="Verdana" w:hAnsi="Verdana"/>
          <w:sz w:val="20"/>
          <w:lang w:val="es-CO"/>
        </w:rPr>
        <w:t>,</w:t>
      </w:r>
      <w:r w:rsidRPr="00846DC8">
        <w:rPr>
          <w:rFonts w:ascii="Verdana" w:hAnsi="Verdana"/>
          <w:sz w:val="20"/>
          <w:lang w:val="es-CO"/>
        </w:rPr>
        <w:t xml:space="preserve"> la Corte determinó que se encontraban pendientes de cumplimiento </w:t>
      </w:r>
      <w:r w:rsidR="002D0815" w:rsidRPr="00846DC8">
        <w:rPr>
          <w:rFonts w:ascii="Verdana" w:hAnsi="Verdana"/>
          <w:sz w:val="20"/>
          <w:lang w:val="es-CO"/>
        </w:rPr>
        <w:t>tres</w:t>
      </w:r>
      <w:r w:rsidRPr="00846DC8">
        <w:rPr>
          <w:rFonts w:ascii="Verdana" w:hAnsi="Verdana"/>
          <w:sz w:val="20"/>
          <w:lang w:val="es-CO"/>
        </w:rPr>
        <w:t xml:space="preserve"> medidas (</w:t>
      </w:r>
      <w:r w:rsidRPr="00846DC8">
        <w:rPr>
          <w:rFonts w:ascii="Verdana" w:hAnsi="Verdana"/>
          <w:i/>
          <w:sz w:val="20"/>
          <w:lang w:val="es-CO"/>
        </w:rPr>
        <w:t>infra</w:t>
      </w:r>
      <w:r w:rsidRPr="00846DC8">
        <w:rPr>
          <w:rFonts w:ascii="Verdana" w:hAnsi="Verdana"/>
          <w:sz w:val="20"/>
          <w:lang w:val="es-CO"/>
        </w:rPr>
        <w:t xml:space="preserve"> Con</w:t>
      </w:r>
      <w:r w:rsidR="00575E9A">
        <w:rPr>
          <w:rFonts w:ascii="Verdana" w:hAnsi="Verdana"/>
          <w:sz w:val="20"/>
          <w:lang w:val="es-CO"/>
        </w:rPr>
        <w:t>siderando 3 y punto resolutivo 1</w:t>
      </w:r>
      <w:r w:rsidRPr="00846DC8">
        <w:rPr>
          <w:rFonts w:ascii="Verdana" w:hAnsi="Verdana"/>
          <w:sz w:val="20"/>
          <w:lang w:val="es-CO"/>
        </w:rPr>
        <w:t>).</w:t>
      </w:r>
      <w:r w:rsidRPr="00846DC8">
        <w:rPr>
          <w:rFonts w:ascii="Verdana" w:hAnsi="Verdana"/>
          <w:sz w:val="20"/>
          <w:lang w:val="es-AR"/>
        </w:rPr>
        <w:t xml:space="preserve"> </w:t>
      </w:r>
    </w:p>
    <w:p w14:paraId="3244F839" w14:textId="77777777" w:rsidR="00260226" w:rsidRPr="00846DC8" w:rsidRDefault="00260226" w:rsidP="004219BC">
      <w:pPr>
        <w:numPr>
          <w:ilvl w:val="0"/>
          <w:numId w:val="6"/>
        </w:numPr>
        <w:tabs>
          <w:tab w:val="left" w:pos="709"/>
        </w:tabs>
        <w:spacing w:before="120" w:after="120"/>
        <w:ind w:left="0" w:firstLine="0"/>
        <w:jc w:val="both"/>
        <w:rPr>
          <w:rFonts w:ascii="Verdana" w:hAnsi="Verdana"/>
          <w:color w:val="000000"/>
          <w:sz w:val="20"/>
          <w:lang w:val="es-MX"/>
        </w:rPr>
      </w:pPr>
      <w:r w:rsidRPr="00846DC8">
        <w:rPr>
          <w:rFonts w:ascii="Verdana" w:hAnsi="Verdana"/>
          <w:sz w:val="20"/>
          <w:lang w:val="es-CR"/>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w:t>
      </w:r>
      <w:r w:rsidRPr="00846DC8">
        <w:rPr>
          <w:rFonts w:ascii="Verdana" w:hAnsi="Verdana"/>
          <w:sz w:val="20"/>
        </w:rPr>
        <w:t>su conjunto</w:t>
      </w:r>
      <w:r w:rsidRPr="00846DC8">
        <w:rPr>
          <w:rStyle w:val="Refdenotaalpie"/>
          <w:rFonts w:ascii="Verdana" w:hAnsi="Verdana"/>
          <w:sz w:val="20"/>
        </w:rPr>
        <w:footnoteReference w:id="10"/>
      </w:r>
      <w:r w:rsidRPr="00846DC8">
        <w:rPr>
          <w:rFonts w:ascii="Verdana" w:hAnsi="Verdana"/>
          <w:sz w:val="20"/>
        </w:rPr>
        <w:t xml:space="preserve">. </w:t>
      </w:r>
      <w:r w:rsidRPr="00846DC8">
        <w:rPr>
          <w:rFonts w:ascii="Verdana" w:hAnsi="Verdana"/>
          <w:sz w:val="20"/>
          <w:lang w:val="es-CR"/>
        </w:rPr>
        <w:t>Los Estados Parte en la Convención deben garantizar el cumplimiento de las disposiciones convencionales y sus efectos propios (</w:t>
      </w:r>
      <w:r w:rsidRPr="00846DC8">
        <w:rPr>
          <w:rFonts w:ascii="Verdana" w:hAnsi="Verdana"/>
          <w:i/>
          <w:sz w:val="20"/>
          <w:lang w:val="es-CR"/>
        </w:rPr>
        <w:t>effet utile</w:t>
      </w:r>
      <w:r w:rsidRPr="00846DC8">
        <w:rPr>
          <w:rFonts w:ascii="Verdana" w:hAnsi="Verdana"/>
          <w:sz w:val="20"/>
          <w:lang w:val="es-CR"/>
        </w:rPr>
        <w:t xml:space="preserve">) en el plano de sus respectivos derechos internos. Estas obligaciones deben ser interpretadas y aplicadas de manera que la garantía protegida sea verdaderamente práctica y eficaz, teniendo presente la naturaleza especial de </w:t>
      </w:r>
      <w:r w:rsidRPr="00846DC8">
        <w:rPr>
          <w:rFonts w:ascii="Verdana" w:hAnsi="Verdana"/>
          <w:color w:val="000000"/>
          <w:sz w:val="20"/>
          <w:lang w:val="es-CR"/>
        </w:rPr>
        <w:t xml:space="preserve">los tratados de derechos </w:t>
      </w:r>
      <w:r w:rsidRPr="00846DC8">
        <w:rPr>
          <w:rFonts w:ascii="Verdana" w:hAnsi="Verdana"/>
          <w:color w:val="000000"/>
          <w:sz w:val="20"/>
          <w:lang w:val="es-ES"/>
        </w:rPr>
        <w:t>humanos</w:t>
      </w:r>
      <w:r w:rsidRPr="00846DC8">
        <w:rPr>
          <w:rStyle w:val="Refdenotaalpie"/>
          <w:rFonts w:ascii="Verdana" w:hAnsi="Verdana"/>
          <w:color w:val="000000"/>
          <w:sz w:val="20"/>
          <w:lang w:val="es-ES"/>
        </w:rPr>
        <w:footnoteReference w:id="11"/>
      </w:r>
      <w:r w:rsidRPr="00846DC8">
        <w:rPr>
          <w:rFonts w:ascii="Verdana" w:hAnsi="Verdana"/>
          <w:color w:val="000000"/>
          <w:sz w:val="20"/>
          <w:lang w:val="es-ES"/>
        </w:rPr>
        <w:t>.</w:t>
      </w:r>
    </w:p>
    <w:p w14:paraId="71EE17DA" w14:textId="6EE1C637" w:rsidR="00697FA2" w:rsidRPr="00846DC8" w:rsidRDefault="00260226" w:rsidP="004219BC">
      <w:pPr>
        <w:numPr>
          <w:ilvl w:val="0"/>
          <w:numId w:val="6"/>
        </w:numPr>
        <w:tabs>
          <w:tab w:val="left" w:pos="709"/>
        </w:tabs>
        <w:spacing w:before="120" w:after="120"/>
        <w:ind w:left="0" w:firstLine="0"/>
        <w:jc w:val="both"/>
        <w:rPr>
          <w:rFonts w:ascii="Verdana" w:hAnsi="Verdana"/>
          <w:sz w:val="20"/>
          <w:lang w:val="es-MX"/>
        </w:rPr>
      </w:pPr>
      <w:r w:rsidRPr="00846DC8">
        <w:rPr>
          <w:rFonts w:ascii="Verdana" w:hAnsi="Verdana"/>
          <w:sz w:val="20"/>
          <w:lang w:val="es-MX"/>
        </w:rPr>
        <w:t>La</w:t>
      </w:r>
      <w:r w:rsidRPr="00846DC8">
        <w:rPr>
          <w:rFonts w:ascii="Verdana" w:hAnsi="Verdana"/>
          <w:sz w:val="20"/>
          <w:lang w:val="es-CR"/>
        </w:rPr>
        <w:t xml:space="preserve"> Corte se pronunciará sobre las medidas relativas a la obligación de investigar y de fortalecer el funcionamiento y utilidad del registro de detención (</w:t>
      </w:r>
      <w:r w:rsidRPr="00846DC8">
        <w:rPr>
          <w:rFonts w:ascii="Verdana" w:hAnsi="Verdana"/>
          <w:i/>
          <w:sz w:val="20"/>
          <w:lang w:val="es-CR"/>
        </w:rPr>
        <w:t>infra</w:t>
      </w:r>
      <w:r w:rsidRPr="00846DC8">
        <w:rPr>
          <w:rFonts w:ascii="Verdana" w:hAnsi="Verdana"/>
          <w:sz w:val="20"/>
          <w:lang w:val="es-CR"/>
        </w:rPr>
        <w:t xml:space="preserve"> Considerandos </w:t>
      </w:r>
      <w:r w:rsidR="00575E9A">
        <w:rPr>
          <w:rFonts w:ascii="Verdana" w:hAnsi="Verdana"/>
          <w:sz w:val="20"/>
          <w:lang w:val="es-CR"/>
        </w:rPr>
        <w:t>4 y 21</w:t>
      </w:r>
      <w:r w:rsidRPr="00846DC8">
        <w:rPr>
          <w:rFonts w:ascii="Verdana" w:hAnsi="Verdana"/>
          <w:sz w:val="20"/>
          <w:lang w:val="es-CR"/>
        </w:rPr>
        <w:t xml:space="preserve">). </w:t>
      </w:r>
      <w:r w:rsidR="006A7500" w:rsidRPr="00846DC8">
        <w:rPr>
          <w:rFonts w:ascii="Verdana" w:hAnsi="Verdana"/>
          <w:sz w:val="20"/>
          <w:lang w:val="es-CR"/>
        </w:rPr>
        <w:t xml:space="preserve">Respecto de la garantía de no repetición </w:t>
      </w:r>
      <w:r w:rsidR="00F13F86" w:rsidRPr="00846DC8">
        <w:rPr>
          <w:rFonts w:ascii="Verdana" w:hAnsi="Verdana"/>
          <w:sz w:val="20"/>
          <w:lang w:val="es-CR"/>
        </w:rPr>
        <w:t xml:space="preserve">restante, </w:t>
      </w:r>
      <w:r w:rsidR="006A7500" w:rsidRPr="00846DC8">
        <w:rPr>
          <w:rFonts w:ascii="Verdana" w:hAnsi="Verdana"/>
          <w:sz w:val="20"/>
          <w:lang w:val="es-CR"/>
        </w:rPr>
        <w:t>relativa a la garantía de un juez natural</w:t>
      </w:r>
      <w:r w:rsidR="00270529">
        <w:rPr>
          <w:rFonts w:ascii="Verdana" w:hAnsi="Verdana"/>
          <w:sz w:val="20"/>
          <w:lang w:val="es-CR"/>
        </w:rPr>
        <w:t xml:space="preserve"> (</w:t>
      </w:r>
      <w:r w:rsidR="00270529" w:rsidRPr="00270529">
        <w:rPr>
          <w:rFonts w:ascii="Verdana" w:hAnsi="Verdana"/>
          <w:i/>
          <w:sz w:val="20"/>
          <w:lang w:val="es-CR"/>
        </w:rPr>
        <w:t>supra</w:t>
      </w:r>
      <w:r w:rsidR="00270529">
        <w:rPr>
          <w:rFonts w:ascii="Verdana" w:hAnsi="Verdana"/>
          <w:sz w:val="20"/>
          <w:lang w:val="es-CR"/>
        </w:rPr>
        <w:t xml:space="preserve"> Considerando 1)</w:t>
      </w:r>
      <w:r w:rsidR="006A7500" w:rsidRPr="00846DC8">
        <w:rPr>
          <w:rFonts w:ascii="Verdana" w:hAnsi="Verdana"/>
          <w:sz w:val="20"/>
          <w:lang w:val="es-CR"/>
        </w:rPr>
        <w:t xml:space="preserve">, </w:t>
      </w:r>
      <w:r w:rsidR="002B1B9B" w:rsidRPr="00846DC8">
        <w:rPr>
          <w:rFonts w:ascii="Verdana" w:hAnsi="Verdana"/>
          <w:sz w:val="20"/>
          <w:lang w:val="es-ES"/>
        </w:rPr>
        <w:t>el Tribunal valorará la información disponible</w:t>
      </w:r>
      <w:r w:rsidR="002B1B9B" w:rsidRPr="00846DC8">
        <w:rPr>
          <w:rFonts w:ascii="Verdana" w:hAnsi="Verdana"/>
          <w:sz w:val="20"/>
          <w:lang w:val="es-CR"/>
        </w:rPr>
        <w:t xml:space="preserve"> en una resolución posterior, en forma conjunta con otros casos en los cuales se ordenó una medida similar</w:t>
      </w:r>
      <w:r w:rsidR="00712460">
        <w:rPr>
          <w:rStyle w:val="Refdenotaalpie"/>
          <w:rFonts w:ascii="Verdana" w:hAnsi="Verdana"/>
          <w:sz w:val="20"/>
          <w:lang w:val="es-CR"/>
        </w:rPr>
        <w:footnoteReference w:id="12"/>
      </w:r>
      <w:r w:rsidR="002B1B9B" w:rsidRPr="00846DC8">
        <w:rPr>
          <w:rFonts w:ascii="Verdana" w:hAnsi="Verdana"/>
          <w:sz w:val="20"/>
          <w:lang w:val="es-CR"/>
        </w:rPr>
        <w:t xml:space="preserve">. </w:t>
      </w:r>
      <w:r w:rsidRPr="00846DC8">
        <w:rPr>
          <w:rFonts w:ascii="Verdana" w:hAnsi="Verdana"/>
          <w:sz w:val="20"/>
          <w:lang w:val="es-MX"/>
        </w:rPr>
        <w:t>El Tribunal estructurará sus consideraciones en el siguiente orden</w:t>
      </w:r>
      <w:r w:rsidR="00697FA2" w:rsidRPr="00846DC8">
        <w:rPr>
          <w:rFonts w:ascii="Verdana" w:hAnsi="Verdana"/>
          <w:sz w:val="20"/>
          <w:lang w:val="es-CR"/>
        </w:rPr>
        <w:t>:</w:t>
      </w:r>
    </w:p>
    <w:p w14:paraId="5615F16B" w14:textId="77777777" w:rsidR="00697FA2" w:rsidRPr="00846DC8" w:rsidRDefault="00697FA2" w:rsidP="001B58C0">
      <w:pPr>
        <w:pStyle w:val="Prrafodelista"/>
        <w:widowControl w:val="0"/>
        <w:spacing w:before="120" w:after="120" w:line="240" w:lineRule="auto"/>
        <w:ind w:left="0"/>
        <w:contextualSpacing w:val="0"/>
        <w:jc w:val="both"/>
        <w:rPr>
          <w:rFonts w:ascii="Verdana" w:hAnsi="Verdana"/>
          <w:b/>
          <w:sz w:val="20"/>
          <w:lang w:val="es-AR"/>
        </w:rPr>
      </w:pPr>
    </w:p>
    <w:p w14:paraId="3A0D4C47" w14:textId="5BBDCEC4" w:rsidR="00F13F86" w:rsidRPr="00846DC8" w:rsidRDefault="00697FA2" w:rsidP="00F13F86">
      <w:pPr>
        <w:pStyle w:val="TDC1"/>
        <w:tabs>
          <w:tab w:val="left" w:pos="7371"/>
        </w:tabs>
        <w:ind w:right="1422"/>
        <w:rPr>
          <w:rFonts w:asciiTheme="minorHAnsi" w:eastAsiaTheme="minorEastAsia" w:hAnsiTheme="minorHAnsi" w:cstheme="minorBidi"/>
          <w:sz w:val="24"/>
          <w:szCs w:val="24"/>
          <w:lang w:val="en-US"/>
        </w:rPr>
      </w:pPr>
      <w:r w:rsidRPr="00846DC8">
        <w:rPr>
          <w:bCs/>
          <w:caps/>
          <w:sz w:val="18"/>
          <w:szCs w:val="18"/>
          <w:lang w:val="es-CR"/>
        </w:rPr>
        <w:fldChar w:fldCharType="begin"/>
      </w:r>
      <w:r w:rsidRPr="00846DC8">
        <w:rPr>
          <w:bCs/>
          <w:caps/>
          <w:sz w:val="18"/>
          <w:szCs w:val="18"/>
          <w:lang w:val="es-CR"/>
        </w:rPr>
        <w:instrText xml:space="preserve"> TOC \o "1-3" \h \z \u </w:instrText>
      </w:r>
      <w:r w:rsidRPr="00846DC8">
        <w:rPr>
          <w:bCs/>
          <w:caps/>
          <w:sz w:val="18"/>
          <w:szCs w:val="18"/>
          <w:lang w:val="es-CR"/>
        </w:rPr>
        <w:fldChar w:fldCharType="separate"/>
      </w:r>
      <w:hyperlink w:anchor="_Toc42099623" w:history="1">
        <w:r w:rsidR="00F13F86" w:rsidRPr="00846DC8">
          <w:rPr>
            <w:rStyle w:val="Hipervnculo"/>
            <w:i/>
            <w:lang w:val="es-CR"/>
          </w:rPr>
          <w:t>A.</w:t>
        </w:r>
        <w:r w:rsidR="00F13F86" w:rsidRPr="00846DC8">
          <w:rPr>
            <w:rFonts w:asciiTheme="minorHAnsi" w:eastAsiaTheme="minorEastAsia" w:hAnsiTheme="minorHAnsi" w:cstheme="minorBidi"/>
            <w:sz w:val="24"/>
            <w:szCs w:val="24"/>
            <w:lang w:val="en-US"/>
          </w:rPr>
          <w:tab/>
        </w:r>
        <w:r w:rsidR="00F13F86" w:rsidRPr="00846DC8">
          <w:rPr>
            <w:rStyle w:val="Hipervnculo"/>
            <w:i/>
            <w:lang w:val="es-CR"/>
          </w:rPr>
          <w:t>Obligación de investigar</w:t>
        </w:r>
        <w:r w:rsidR="00F13F86" w:rsidRPr="00846DC8">
          <w:rPr>
            <w:webHidden/>
          </w:rPr>
          <w:tab/>
        </w:r>
        <w:r w:rsidR="00F13F86" w:rsidRPr="00846DC8">
          <w:rPr>
            <w:webHidden/>
          </w:rPr>
          <w:fldChar w:fldCharType="begin"/>
        </w:r>
        <w:r w:rsidR="00F13F86" w:rsidRPr="00846DC8">
          <w:rPr>
            <w:webHidden/>
          </w:rPr>
          <w:instrText xml:space="preserve"> PAGEREF _Toc42099623 \h </w:instrText>
        </w:r>
        <w:r w:rsidR="00F13F86" w:rsidRPr="00846DC8">
          <w:rPr>
            <w:webHidden/>
          </w:rPr>
        </w:r>
        <w:r w:rsidR="00F13F86" w:rsidRPr="00846DC8">
          <w:rPr>
            <w:webHidden/>
          </w:rPr>
          <w:fldChar w:fldCharType="separate"/>
        </w:r>
        <w:r w:rsidR="00733043">
          <w:rPr>
            <w:webHidden/>
          </w:rPr>
          <w:t>3</w:t>
        </w:r>
        <w:r w:rsidR="00F13F86" w:rsidRPr="00846DC8">
          <w:rPr>
            <w:webHidden/>
          </w:rPr>
          <w:fldChar w:fldCharType="end"/>
        </w:r>
      </w:hyperlink>
    </w:p>
    <w:p w14:paraId="2B34088D" w14:textId="1A2E5CB4" w:rsidR="00F13F86" w:rsidRPr="00846DC8" w:rsidRDefault="00BB7B13" w:rsidP="00F13F86">
      <w:pPr>
        <w:pStyle w:val="TDC1"/>
        <w:tabs>
          <w:tab w:val="left" w:pos="7371"/>
        </w:tabs>
        <w:rPr>
          <w:rFonts w:asciiTheme="minorHAnsi" w:eastAsiaTheme="minorEastAsia" w:hAnsiTheme="minorHAnsi" w:cstheme="minorBidi"/>
          <w:sz w:val="24"/>
          <w:szCs w:val="24"/>
          <w:lang w:val="en-US"/>
        </w:rPr>
      </w:pPr>
      <w:hyperlink w:anchor="_Toc42099624" w:history="1">
        <w:r w:rsidR="00F13F86" w:rsidRPr="00846DC8">
          <w:rPr>
            <w:rStyle w:val="Hipervnculo"/>
            <w:i/>
            <w:lang w:val="es-CO"/>
          </w:rPr>
          <w:t>B.</w:t>
        </w:r>
        <w:r w:rsidR="00F13F86" w:rsidRPr="00846DC8">
          <w:rPr>
            <w:rFonts w:asciiTheme="minorHAnsi" w:eastAsiaTheme="minorEastAsia" w:hAnsiTheme="minorHAnsi" w:cstheme="minorBidi"/>
            <w:sz w:val="24"/>
            <w:szCs w:val="24"/>
            <w:lang w:val="en-US"/>
          </w:rPr>
          <w:tab/>
        </w:r>
        <w:r w:rsidR="00F13F86" w:rsidRPr="00846DC8">
          <w:rPr>
            <w:rStyle w:val="Hipervnculo"/>
            <w:i/>
          </w:rPr>
          <w:t xml:space="preserve">Fortalecer el funcionamiento y la utilidad del registro de detención </w:t>
        </w:r>
        <w:r w:rsidR="00F13F86" w:rsidRPr="00846DC8">
          <w:rPr>
            <w:webHidden/>
          </w:rPr>
          <w:tab/>
        </w:r>
        <w:r w:rsidR="00F13F86" w:rsidRPr="00846DC8">
          <w:rPr>
            <w:webHidden/>
          </w:rPr>
          <w:fldChar w:fldCharType="begin"/>
        </w:r>
        <w:r w:rsidR="00F13F86" w:rsidRPr="00846DC8">
          <w:rPr>
            <w:webHidden/>
          </w:rPr>
          <w:instrText xml:space="preserve"> PAGEREF _Toc42099624 \h </w:instrText>
        </w:r>
        <w:r w:rsidR="00F13F86" w:rsidRPr="00846DC8">
          <w:rPr>
            <w:webHidden/>
          </w:rPr>
        </w:r>
        <w:r w:rsidR="00F13F86" w:rsidRPr="00846DC8">
          <w:rPr>
            <w:webHidden/>
          </w:rPr>
          <w:fldChar w:fldCharType="separate"/>
        </w:r>
        <w:r w:rsidR="00733043">
          <w:rPr>
            <w:webHidden/>
          </w:rPr>
          <w:t>10</w:t>
        </w:r>
        <w:r w:rsidR="00F13F86" w:rsidRPr="00846DC8">
          <w:rPr>
            <w:webHidden/>
          </w:rPr>
          <w:fldChar w:fldCharType="end"/>
        </w:r>
      </w:hyperlink>
    </w:p>
    <w:p w14:paraId="1049F1DE" w14:textId="63F0B6EE" w:rsidR="00976EBB" w:rsidRPr="00BD48A9" w:rsidRDefault="00697FA2" w:rsidP="00915F0B">
      <w:pPr>
        <w:keepNext/>
        <w:widowControl w:val="0"/>
        <w:spacing w:before="120" w:after="120"/>
        <w:rPr>
          <w:bCs/>
          <w:sz w:val="18"/>
          <w:szCs w:val="18"/>
          <w:lang w:val="es-CR"/>
        </w:rPr>
      </w:pPr>
      <w:r w:rsidRPr="00846DC8">
        <w:rPr>
          <w:bCs/>
          <w:sz w:val="18"/>
          <w:szCs w:val="18"/>
          <w:lang w:val="es-CR"/>
        </w:rPr>
        <w:fldChar w:fldCharType="end"/>
      </w:r>
    </w:p>
    <w:p w14:paraId="6DC14422" w14:textId="79111791" w:rsidR="00260226" w:rsidRPr="00846DC8" w:rsidRDefault="00260226" w:rsidP="004219BC">
      <w:pPr>
        <w:pStyle w:val="Ttulo1"/>
        <w:keepNext w:val="0"/>
        <w:widowControl w:val="0"/>
        <w:numPr>
          <w:ilvl w:val="0"/>
          <w:numId w:val="5"/>
        </w:numPr>
        <w:spacing w:before="120" w:after="120"/>
        <w:jc w:val="both"/>
        <w:rPr>
          <w:i/>
          <w:lang w:val="es-CR"/>
        </w:rPr>
      </w:pPr>
      <w:bookmarkStart w:id="2" w:name="_Toc42099623"/>
      <w:r w:rsidRPr="00846DC8">
        <w:rPr>
          <w:rFonts w:ascii="Verdana" w:hAnsi="Verdana"/>
          <w:i/>
          <w:sz w:val="20"/>
          <w:szCs w:val="20"/>
          <w:lang w:val="es-CR"/>
        </w:rPr>
        <w:t>Obligación de investigar</w:t>
      </w:r>
      <w:bookmarkEnd w:id="2"/>
    </w:p>
    <w:p w14:paraId="2B0CA8B9" w14:textId="77777777" w:rsidR="00260226" w:rsidRPr="00846DC8" w:rsidRDefault="00260226" w:rsidP="00260226">
      <w:pPr>
        <w:spacing w:before="120" w:after="120"/>
        <w:ind w:left="360"/>
        <w:jc w:val="both"/>
        <w:rPr>
          <w:rFonts w:ascii="Verdana" w:hAnsi="Verdana"/>
          <w:i/>
          <w:sz w:val="20"/>
          <w:lang w:val="es-CO"/>
        </w:rPr>
      </w:pPr>
      <w:r w:rsidRPr="00846DC8">
        <w:rPr>
          <w:rFonts w:ascii="Verdana" w:hAnsi="Verdana"/>
          <w:i/>
          <w:sz w:val="20"/>
          <w:lang w:val="es-CO"/>
        </w:rPr>
        <w:t xml:space="preserve">A.1. Medida ordenada por la Corte </w:t>
      </w:r>
      <w:r w:rsidRPr="00846DC8">
        <w:rPr>
          <w:rFonts w:ascii="Verdana" w:hAnsi="Verdana"/>
          <w:i/>
          <w:sz w:val="20"/>
          <w:lang w:val="es-AR"/>
        </w:rPr>
        <w:t>y supervisión realizada en resoluciones anteriores</w:t>
      </w:r>
    </w:p>
    <w:p w14:paraId="1FB18E76" w14:textId="2887E4D6" w:rsidR="00260226" w:rsidRPr="00846DC8" w:rsidRDefault="00260226" w:rsidP="004219BC">
      <w:pPr>
        <w:numPr>
          <w:ilvl w:val="0"/>
          <w:numId w:val="6"/>
        </w:numPr>
        <w:tabs>
          <w:tab w:val="left" w:pos="709"/>
        </w:tabs>
        <w:spacing w:before="120" w:after="120"/>
        <w:ind w:left="0" w:firstLine="0"/>
        <w:jc w:val="both"/>
        <w:rPr>
          <w:rFonts w:ascii="Verdana" w:hAnsi="Verdana"/>
          <w:color w:val="00B050"/>
          <w:sz w:val="18"/>
          <w:szCs w:val="18"/>
        </w:rPr>
      </w:pPr>
      <w:bookmarkStart w:id="3" w:name="_Ref22111107"/>
      <w:r w:rsidRPr="00846DC8">
        <w:rPr>
          <w:rFonts w:ascii="Verdana" w:hAnsi="Verdana"/>
          <w:sz w:val="20"/>
          <w:lang w:val="es-CO"/>
        </w:rPr>
        <w:t>En el punto resolutivo d</w:t>
      </w:r>
      <w:r w:rsidR="007C09DE" w:rsidRPr="00846DC8">
        <w:rPr>
          <w:rFonts w:ascii="Verdana" w:hAnsi="Verdana"/>
          <w:sz w:val="20"/>
          <w:lang w:val="es-CO"/>
        </w:rPr>
        <w:t>é</w:t>
      </w:r>
      <w:r w:rsidRPr="00846DC8">
        <w:rPr>
          <w:rFonts w:ascii="Verdana" w:hAnsi="Verdana"/>
          <w:sz w:val="20"/>
          <w:lang w:val="es-CO"/>
        </w:rPr>
        <w:t>cimo</w:t>
      </w:r>
      <w:r w:rsidR="007C09DE" w:rsidRPr="00846DC8">
        <w:rPr>
          <w:rFonts w:ascii="Verdana" w:hAnsi="Verdana"/>
          <w:sz w:val="20"/>
          <w:lang w:val="es-CO"/>
        </w:rPr>
        <w:t xml:space="preserve"> </w:t>
      </w:r>
      <w:r w:rsidRPr="00846DC8">
        <w:rPr>
          <w:rFonts w:ascii="Verdana" w:hAnsi="Verdana"/>
          <w:sz w:val="20"/>
          <w:lang w:val="es-CO"/>
        </w:rPr>
        <w:t xml:space="preserve">segundo y en el párrafo 215 de la Sentencia, la Corte dispuso </w:t>
      </w:r>
      <w:r w:rsidRPr="00846DC8">
        <w:rPr>
          <w:rFonts w:ascii="Verdana" w:hAnsi="Verdana"/>
          <w:color w:val="000000"/>
          <w:sz w:val="20"/>
          <w:lang w:val="es-CR"/>
        </w:rPr>
        <w:t>que</w:t>
      </w:r>
      <w:r w:rsidRPr="00846DC8">
        <w:rPr>
          <w:rFonts w:ascii="Verdana" w:hAnsi="Verdana"/>
          <w:sz w:val="20"/>
          <w:lang w:val="es-CO"/>
        </w:rPr>
        <w:t xml:space="preserve"> el </w:t>
      </w:r>
      <w:r w:rsidRPr="00846DC8">
        <w:rPr>
          <w:rFonts w:ascii="Verdana" w:hAnsi="Verdana"/>
          <w:sz w:val="20"/>
          <w:lang w:val="es-CR"/>
        </w:rPr>
        <w:t>Estado</w:t>
      </w:r>
      <w:r w:rsidRPr="00846DC8">
        <w:rPr>
          <w:rFonts w:ascii="Verdana" w:hAnsi="Verdana"/>
          <w:sz w:val="20"/>
          <w:lang w:val="es-CO"/>
        </w:rPr>
        <w:t xml:space="preserve"> </w:t>
      </w:r>
      <w:r w:rsidR="007C09DE" w:rsidRPr="00846DC8">
        <w:rPr>
          <w:rFonts w:ascii="Verdana" w:hAnsi="Verdana"/>
          <w:sz w:val="20"/>
          <w:lang w:val="es-CO"/>
        </w:rPr>
        <w:t>debía</w:t>
      </w:r>
      <w:r w:rsidR="00851340" w:rsidRPr="00846DC8">
        <w:rPr>
          <w:rFonts w:ascii="Verdana" w:hAnsi="Verdana"/>
          <w:sz w:val="20"/>
          <w:lang w:val="es-CO"/>
        </w:rPr>
        <w:t xml:space="preserve"> “</w:t>
      </w:r>
      <w:r w:rsidRPr="00846DC8">
        <w:rPr>
          <w:rFonts w:ascii="Verdana" w:hAnsi="Verdana"/>
          <w:sz w:val="20"/>
          <w:lang w:val="es-CO"/>
        </w:rPr>
        <w:t>conducir eficazmente la invest</w:t>
      </w:r>
      <w:r w:rsidR="00851340" w:rsidRPr="00846DC8">
        <w:rPr>
          <w:rFonts w:ascii="Verdana" w:hAnsi="Verdana"/>
          <w:sz w:val="20"/>
          <w:lang w:val="es-CO"/>
        </w:rPr>
        <w:t>igación penal de los hechos</w:t>
      </w:r>
      <w:r w:rsidR="0008721B" w:rsidRPr="00846DC8">
        <w:rPr>
          <w:rFonts w:ascii="Verdana" w:hAnsi="Verdana"/>
          <w:sz w:val="20"/>
          <w:lang w:val="es-CO"/>
        </w:rPr>
        <w:t xml:space="preserve"> del presente caso</w:t>
      </w:r>
      <w:r w:rsidR="00851340" w:rsidRPr="00846DC8">
        <w:rPr>
          <w:rFonts w:ascii="Verdana" w:hAnsi="Verdana"/>
          <w:sz w:val="20"/>
          <w:lang w:val="es-CO"/>
        </w:rPr>
        <w:t>,</w:t>
      </w:r>
      <w:r w:rsidRPr="00846DC8">
        <w:rPr>
          <w:rFonts w:ascii="Verdana" w:hAnsi="Verdana"/>
          <w:sz w:val="20"/>
          <w:lang w:val="es-CO"/>
        </w:rPr>
        <w:t xml:space="preserve"> en particular por los alegados actos de tortura en contra de los señores Cabrera y Montiel, para determinar las eventuales responsabilidades penales y, en su caso, aplicar efectivamente las sanciones y consecuencias que la ley prevea; así como adelantar las acciones disciplinarias, administrativas o penales pertinentes en el evento de que en la investigación de los mencionados hechos se demuestren irregularidades procesales e investigativas relacionadas con los mismos</w:t>
      </w:r>
      <w:r w:rsidR="00851340" w:rsidRPr="00846DC8">
        <w:rPr>
          <w:rFonts w:ascii="Verdana" w:hAnsi="Verdana"/>
          <w:sz w:val="20"/>
          <w:lang w:val="es-CO"/>
        </w:rPr>
        <w:t>”, todo ello en un plazo razonable</w:t>
      </w:r>
      <w:r w:rsidRPr="00846DC8">
        <w:rPr>
          <w:rFonts w:ascii="Verdana" w:hAnsi="Verdana"/>
          <w:sz w:val="20"/>
          <w:lang w:val="es-CO"/>
        </w:rPr>
        <w:t>.</w:t>
      </w:r>
      <w:bookmarkStart w:id="4" w:name="_Ref20903307"/>
      <w:bookmarkEnd w:id="3"/>
      <w:r w:rsidR="0002331E" w:rsidRPr="00846DC8">
        <w:rPr>
          <w:rFonts w:ascii="Verdana" w:hAnsi="Verdana"/>
          <w:sz w:val="20"/>
          <w:lang w:val="es-CO"/>
        </w:rPr>
        <w:t xml:space="preserve"> La Corte enfatizó que era necesario que los tratos crueles e inhumanos y la alegada tortura “sean efectivamente investigados por los órganos y jurisdicción ordinaria”</w:t>
      </w:r>
      <w:r w:rsidR="00432DD5" w:rsidRPr="00846DC8">
        <w:rPr>
          <w:rStyle w:val="Refdenotaalpie"/>
          <w:rFonts w:ascii="Verdana" w:hAnsi="Verdana"/>
          <w:sz w:val="20"/>
          <w:lang w:val="es-CO"/>
        </w:rPr>
        <w:footnoteReference w:id="13"/>
      </w:r>
      <w:r w:rsidR="0002331E" w:rsidRPr="00846DC8">
        <w:rPr>
          <w:rFonts w:ascii="Verdana" w:hAnsi="Verdana"/>
          <w:sz w:val="20"/>
          <w:lang w:val="es-CO"/>
        </w:rPr>
        <w:t>.</w:t>
      </w:r>
    </w:p>
    <w:p w14:paraId="79B302C1" w14:textId="4AAAF4B7" w:rsidR="00260226" w:rsidRPr="00846DC8" w:rsidRDefault="00260226" w:rsidP="004219BC">
      <w:pPr>
        <w:numPr>
          <w:ilvl w:val="0"/>
          <w:numId w:val="6"/>
        </w:numPr>
        <w:tabs>
          <w:tab w:val="left" w:pos="709"/>
        </w:tabs>
        <w:spacing w:before="120" w:after="120"/>
        <w:ind w:left="0" w:firstLine="0"/>
        <w:jc w:val="both"/>
        <w:rPr>
          <w:rFonts w:ascii="Verdana" w:hAnsi="Verdana"/>
          <w:sz w:val="20"/>
          <w:lang w:val="es-CO"/>
        </w:rPr>
      </w:pPr>
      <w:bookmarkStart w:id="5" w:name="_Ref20919101"/>
      <w:bookmarkEnd w:id="4"/>
      <w:r w:rsidRPr="00846DC8">
        <w:rPr>
          <w:rFonts w:ascii="Verdana" w:hAnsi="Verdana"/>
          <w:sz w:val="20"/>
        </w:rPr>
        <w:t>En la Resolución de agosto de 2013 (</w:t>
      </w:r>
      <w:r w:rsidRPr="00846DC8">
        <w:rPr>
          <w:rFonts w:ascii="Verdana" w:hAnsi="Verdana"/>
          <w:i/>
          <w:sz w:val="20"/>
        </w:rPr>
        <w:t xml:space="preserve">supra </w:t>
      </w:r>
      <w:r w:rsidRPr="00846DC8">
        <w:rPr>
          <w:rFonts w:ascii="Verdana" w:hAnsi="Verdana"/>
          <w:sz w:val="20"/>
        </w:rPr>
        <w:t xml:space="preserve">Visto </w:t>
      </w:r>
      <w:r w:rsidRPr="00846DC8">
        <w:rPr>
          <w:rFonts w:ascii="Verdana" w:hAnsi="Verdana"/>
          <w:sz w:val="20"/>
        </w:rPr>
        <w:fldChar w:fldCharType="begin"/>
      </w:r>
      <w:r w:rsidRPr="00846DC8">
        <w:rPr>
          <w:rFonts w:ascii="Verdana" w:hAnsi="Verdana"/>
          <w:sz w:val="20"/>
        </w:rPr>
        <w:instrText xml:space="preserve"> REF _Ref19206554 \r \h  \* MERGEFORMAT </w:instrText>
      </w:r>
      <w:r w:rsidRPr="00846DC8">
        <w:rPr>
          <w:rFonts w:ascii="Verdana" w:hAnsi="Verdana"/>
          <w:sz w:val="20"/>
        </w:rPr>
      </w:r>
      <w:r w:rsidRPr="00846DC8">
        <w:rPr>
          <w:rFonts w:ascii="Verdana" w:hAnsi="Verdana"/>
          <w:sz w:val="20"/>
        </w:rPr>
        <w:fldChar w:fldCharType="separate"/>
      </w:r>
      <w:r w:rsidR="00733043">
        <w:rPr>
          <w:rFonts w:ascii="Verdana" w:hAnsi="Verdana"/>
          <w:sz w:val="20"/>
        </w:rPr>
        <w:t>2</w:t>
      </w:r>
      <w:r w:rsidRPr="00846DC8">
        <w:rPr>
          <w:rFonts w:ascii="Verdana" w:hAnsi="Verdana"/>
          <w:sz w:val="20"/>
        </w:rPr>
        <w:fldChar w:fldCharType="end"/>
      </w:r>
      <w:r w:rsidRPr="00846DC8">
        <w:rPr>
          <w:rFonts w:ascii="Verdana" w:hAnsi="Verdana"/>
          <w:sz w:val="20"/>
        </w:rPr>
        <w:t xml:space="preserve">), </w:t>
      </w:r>
      <w:r w:rsidRPr="00846DC8">
        <w:rPr>
          <w:rFonts w:ascii="Verdana" w:hAnsi="Verdana"/>
          <w:sz w:val="20"/>
          <w:lang w:val="es-CO"/>
        </w:rPr>
        <w:t xml:space="preserve">la Corte valoró los esfuerzos realizados por </w:t>
      </w:r>
      <w:r w:rsidR="00516FF2" w:rsidRPr="00846DC8">
        <w:rPr>
          <w:rFonts w:ascii="Verdana" w:hAnsi="Verdana"/>
          <w:sz w:val="20"/>
          <w:lang w:val="es-CO"/>
        </w:rPr>
        <w:t>México</w:t>
      </w:r>
      <w:r w:rsidRPr="00846DC8">
        <w:rPr>
          <w:rFonts w:ascii="Verdana" w:hAnsi="Verdana"/>
          <w:sz w:val="20"/>
          <w:lang w:val="es-CO"/>
        </w:rPr>
        <w:t xml:space="preserve"> en el marco de la </w:t>
      </w:r>
      <w:r w:rsidR="00851340" w:rsidRPr="00846DC8">
        <w:rPr>
          <w:rFonts w:ascii="Verdana" w:hAnsi="Verdana"/>
          <w:sz w:val="20"/>
          <w:lang w:val="es-CO"/>
        </w:rPr>
        <w:t>investigación</w:t>
      </w:r>
      <w:r w:rsidRPr="00846DC8">
        <w:rPr>
          <w:rFonts w:ascii="Verdana" w:hAnsi="Verdana"/>
          <w:sz w:val="20"/>
          <w:lang w:val="es-CO"/>
        </w:rPr>
        <w:t xml:space="preserve"> llevada a cabo por la Procuraduría General de la República</w:t>
      </w:r>
      <w:r w:rsidR="00EB7C26" w:rsidRPr="00846DC8">
        <w:rPr>
          <w:rFonts w:ascii="Verdana" w:hAnsi="Verdana"/>
          <w:sz w:val="20"/>
          <w:lang w:val="es-CO"/>
        </w:rPr>
        <w:t xml:space="preserve"> por “delitos previstos en la Ley Federal para Prevenir y Sancionar la Tortura, en agravio de Teodoro Cabrera García y Rodolfo Montiel Flores”</w:t>
      </w:r>
      <w:r w:rsidRPr="00846DC8">
        <w:rPr>
          <w:rStyle w:val="Refdenotaalpie"/>
          <w:rFonts w:ascii="Verdana" w:hAnsi="Verdana"/>
          <w:sz w:val="20"/>
          <w:lang w:val="es-CO"/>
        </w:rPr>
        <w:footnoteReference w:id="14"/>
      </w:r>
      <w:r w:rsidRPr="00846DC8">
        <w:rPr>
          <w:rFonts w:ascii="Verdana" w:hAnsi="Verdana"/>
          <w:sz w:val="20"/>
          <w:lang w:val="es-CO"/>
        </w:rPr>
        <w:t>, y destacó l</w:t>
      </w:r>
      <w:r w:rsidRPr="00846DC8">
        <w:rPr>
          <w:rFonts w:ascii="Verdana" w:hAnsi="Verdana"/>
          <w:sz w:val="20"/>
        </w:rPr>
        <w:t>a diligencia realizada por el Estado para dar cumplimiento al Protocolo de Estambul al requerir, conforme a este último, un examen médico-psicológico de las víctimas</w:t>
      </w:r>
      <w:r w:rsidRPr="00846DC8">
        <w:rPr>
          <w:rFonts w:ascii="Verdana" w:hAnsi="Verdana"/>
          <w:sz w:val="20"/>
          <w:lang w:val="es-CO"/>
        </w:rPr>
        <w:t xml:space="preserve">. En efecto, </w:t>
      </w:r>
      <w:r w:rsidR="00516FF2" w:rsidRPr="00846DC8">
        <w:rPr>
          <w:rFonts w:ascii="Verdana" w:hAnsi="Verdana"/>
          <w:sz w:val="20"/>
          <w:lang w:val="es-CO"/>
        </w:rPr>
        <w:t>México</w:t>
      </w:r>
      <w:r w:rsidRPr="00846DC8">
        <w:rPr>
          <w:rFonts w:ascii="Verdana" w:hAnsi="Verdana"/>
          <w:sz w:val="20"/>
          <w:lang w:val="es-CO"/>
        </w:rPr>
        <w:t xml:space="preserve"> había informado que dichos exámenes le </w:t>
      </w:r>
      <w:r w:rsidR="00516FF2" w:rsidRPr="00846DC8">
        <w:rPr>
          <w:rFonts w:ascii="Verdana" w:hAnsi="Verdana"/>
          <w:sz w:val="20"/>
          <w:lang w:val="es-CO"/>
        </w:rPr>
        <w:t>habían sido</w:t>
      </w:r>
      <w:r w:rsidRPr="00846DC8">
        <w:rPr>
          <w:rFonts w:ascii="Verdana" w:hAnsi="Verdana"/>
          <w:sz w:val="20"/>
          <w:lang w:val="es-CO"/>
        </w:rPr>
        <w:t xml:space="preserve"> practicados al señor Cabrera García en enero de 2013</w:t>
      </w:r>
      <w:r w:rsidR="00516FF2" w:rsidRPr="00846DC8">
        <w:rPr>
          <w:rFonts w:ascii="Verdana" w:hAnsi="Verdana"/>
          <w:sz w:val="20"/>
          <w:lang w:val="es-CO"/>
        </w:rPr>
        <w:t>,</w:t>
      </w:r>
      <w:r w:rsidRPr="00846DC8">
        <w:rPr>
          <w:rFonts w:ascii="Verdana" w:hAnsi="Verdana"/>
          <w:sz w:val="20"/>
          <w:lang w:val="es-CO"/>
        </w:rPr>
        <w:t xml:space="preserve"> y que estaban programados para ser realizados en febrero de </w:t>
      </w:r>
      <w:r w:rsidR="00DD1DA4" w:rsidRPr="00846DC8">
        <w:rPr>
          <w:rFonts w:ascii="Verdana" w:hAnsi="Verdana"/>
          <w:sz w:val="20"/>
          <w:lang w:val="es-CO"/>
        </w:rPr>
        <w:t xml:space="preserve">ese año </w:t>
      </w:r>
      <w:r w:rsidRPr="00846DC8">
        <w:rPr>
          <w:rFonts w:ascii="Verdana" w:hAnsi="Verdana"/>
          <w:sz w:val="20"/>
          <w:lang w:val="es-CO"/>
        </w:rPr>
        <w:t xml:space="preserve">con relación al señor Montiel Flores. </w:t>
      </w:r>
      <w:r w:rsidRPr="00846DC8">
        <w:rPr>
          <w:rFonts w:ascii="Verdana" w:hAnsi="Verdana"/>
          <w:sz w:val="20"/>
        </w:rPr>
        <w:t xml:space="preserve">Sin embargo, </w:t>
      </w:r>
      <w:r w:rsidR="00516FF2" w:rsidRPr="00846DC8">
        <w:rPr>
          <w:rFonts w:ascii="Verdana" w:hAnsi="Verdana"/>
          <w:sz w:val="20"/>
        </w:rPr>
        <w:t xml:space="preserve">el Tribunal </w:t>
      </w:r>
      <w:r w:rsidRPr="00846DC8">
        <w:rPr>
          <w:rFonts w:ascii="Verdana" w:hAnsi="Verdana"/>
          <w:sz w:val="20"/>
        </w:rPr>
        <w:t>observó que</w:t>
      </w:r>
      <w:r w:rsidR="00516FF2" w:rsidRPr="00846DC8">
        <w:rPr>
          <w:rFonts w:ascii="Verdana" w:hAnsi="Verdana"/>
          <w:sz w:val="20"/>
        </w:rPr>
        <w:t>,</w:t>
      </w:r>
      <w:r w:rsidRPr="00846DC8">
        <w:rPr>
          <w:rFonts w:ascii="Verdana" w:hAnsi="Verdana"/>
          <w:sz w:val="20"/>
        </w:rPr>
        <w:t xml:space="preserve"> a más de dos años de haberse iniciado la </w:t>
      </w:r>
      <w:r w:rsidR="00851340" w:rsidRPr="00846DC8">
        <w:rPr>
          <w:rFonts w:ascii="Verdana" w:hAnsi="Verdana"/>
          <w:sz w:val="20"/>
        </w:rPr>
        <w:t>investigación</w:t>
      </w:r>
      <w:r w:rsidR="00516FF2" w:rsidRPr="00846DC8">
        <w:rPr>
          <w:rFonts w:ascii="Verdana" w:hAnsi="Verdana"/>
          <w:sz w:val="20"/>
        </w:rPr>
        <w:t xml:space="preserve">, </w:t>
      </w:r>
      <w:r w:rsidR="009823A5">
        <w:rPr>
          <w:rFonts w:ascii="Verdana" w:hAnsi="Verdana"/>
          <w:sz w:val="20"/>
        </w:rPr>
        <w:t xml:space="preserve">se </w:t>
      </w:r>
      <w:r w:rsidR="00516FF2" w:rsidRPr="00846DC8">
        <w:rPr>
          <w:rFonts w:ascii="Verdana" w:hAnsi="Verdana"/>
          <w:sz w:val="20"/>
        </w:rPr>
        <w:t>había</w:t>
      </w:r>
      <w:r w:rsidRPr="00846DC8">
        <w:rPr>
          <w:rFonts w:ascii="Verdana" w:hAnsi="Verdana"/>
          <w:sz w:val="20"/>
        </w:rPr>
        <w:t xml:space="preserve"> </w:t>
      </w:r>
      <w:r w:rsidR="00516FF2" w:rsidRPr="00846DC8">
        <w:rPr>
          <w:rFonts w:ascii="Verdana" w:hAnsi="Verdana"/>
          <w:sz w:val="20"/>
        </w:rPr>
        <w:t>llevado a cabo</w:t>
      </w:r>
      <w:r w:rsidRPr="00846DC8">
        <w:rPr>
          <w:rFonts w:ascii="Verdana" w:hAnsi="Verdana"/>
          <w:sz w:val="20"/>
        </w:rPr>
        <w:t xml:space="preserve"> pocas diligencias judiciales tendientes a </w:t>
      </w:r>
      <w:r w:rsidR="00966283">
        <w:rPr>
          <w:rFonts w:ascii="Verdana" w:hAnsi="Verdana"/>
          <w:sz w:val="20"/>
        </w:rPr>
        <w:t>identificar</w:t>
      </w:r>
      <w:r w:rsidRPr="00846DC8">
        <w:rPr>
          <w:rFonts w:ascii="Verdana" w:hAnsi="Verdana"/>
          <w:sz w:val="20"/>
        </w:rPr>
        <w:t xml:space="preserve"> a los presuntos responsables de los hechos del caso, por lo que instó al Estado a realizar, dentro de un plazo razonable, las diligencias pendientes.</w:t>
      </w:r>
      <w:bookmarkEnd w:id="5"/>
      <w:r w:rsidRPr="00846DC8">
        <w:rPr>
          <w:rFonts w:ascii="Verdana" w:hAnsi="Verdana"/>
          <w:sz w:val="20"/>
        </w:rPr>
        <w:t xml:space="preserve"> </w:t>
      </w:r>
      <w:r w:rsidRPr="00846DC8">
        <w:rPr>
          <w:rFonts w:ascii="Verdana" w:hAnsi="Verdana"/>
          <w:sz w:val="20"/>
          <w:lang w:val="es-CO"/>
        </w:rPr>
        <w:t xml:space="preserve">Finalmente, </w:t>
      </w:r>
      <w:r w:rsidR="00516FF2" w:rsidRPr="00846DC8">
        <w:rPr>
          <w:rFonts w:ascii="Verdana" w:hAnsi="Verdana"/>
          <w:sz w:val="20"/>
          <w:lang w:val="es-CO"/>
        </w:rPr>
        <w:t xml:space="preserve">la Corte </w:t>
      </w:r>
      <w:r w:rsidRPr="00846DC8">
        <w:rPr>
          <w:rFonts w:ascii="Verdana" w:hAnsi="Verdana"/>
          <w:sz w:val="20"/>
          <w:lang w:val="es-CO"/>
        </w:rPr>
        <w:t xml:space="preserve">remarcó que </w:t>
      </w:r>
      <w:r w:rsidR="00DD1DA4" w:rsidRPr="00846DC8">
        <w:rPr>
          <w:rFonts w:ascii="Verdana" w:hAnsi="Verdana"/>
          <w:sz w:val="20"/>
          <w:lang w:val="es-CO"/>
        </w:rPr>
        <w:t>México no hab</w:t>
      </w:r>
      <w:r w:rsidR="00D13676" w:rsidRPr="00846DC8">
        <w:rPr>
          <w:rFonts w:ascii="Verdana" w:hAnsi="Verdana"/>
          <w:sz w:val="20"/>
          <w:lang w:val="es-CO"/>
        </w:rPr>
        <w:t>ía presentado</w:t>
      </w:r>
      <w:r w:rsidRPr="00846DC8">
        <w:rPr>
          <w:rFonts w:ascii="Verdana" w:hAnsi="Verdana"/>
          <w:sz w:val="20"/>
          <w:lang w:val="es-CO"/>
        </w:rPr>
        <w:t xml:space="preserve"> información respecto de las acciones disciplinarias, administrativas o penales derivadas de eventuales irregularidades en</w:t>
      </w:r>
      <w:r w:rsidR="00D13676" w:rsidRPr="00846DC8">
        <w:rPr>
          <w:rFonts w:ascii="Verdana" w:hAnsi="Verdana"/>
          <w:sz w:val="20"/>
          <w:lang w:val="es-CO"/>
        </w:rPr>
        <w:t xml:space="preserve"> la investigación de los hechos</w:t>
      </w:r>
      <w:r w:rsidRPr="00846DC8">
        <w:rPr>
          <w:rFonts w:ascii="Verdana" w:hAnsi="Verdana"/>
          <w:sz w:val="20"/>
          <w:lang w:val="es-CO"/>
        </w:rPr>
        <w:t xml:space="preserve">. </w:t>
      </w:r>
    </w:p>
    <w:p w14:paraId="637DA7AA" w14:textId="77777777" w:rsidR="00260226" w:rsidRPr="00966283" w:rsidRDefault="00260226" w:rsidP="00260226">
      <w:pPr>
        <w:pStyle w:val="Prrafodelista"/>
        <w:spacing w:before="120" w:after="120"/>
        <w:ind w:left="0"/>
        <w:contextualSpacing w:val="0"/>
        <w:jc w:val="both"/>
        <w:rPr>
          <w:rFonts w:ascii="Verdana" w:hAnsi="Verdana"/>
          <w:sz w:val="12"/>
          <w:lang w:val="es-CO"/>
        </w:rPr>
      </w:pPr>
    </w:p>
    <w:p w14:paraId="669600D8" w14:textId="59998320" w:rsidR="00260226" w:rsidRPr="00BA7C8A" w:rsidRDefault="00260226" w:rsidP="00BA7C8A">
      <w:pPr>
        <w:spacing w:before="120" w:after="120"/>
        <w:ind w:left="284"/>
        <w:jc w:val="both"/>
        <w:rPr>
          <w:rFonts w:ascii="Verdana" w:hAnsi="Verdana"/>
          <w:i/>
          <w:sz w:val="20"/>
          <w:lang w:val="es-ES"/>
        </w:rPr>
      </w:pPr>
      <w:r w:rsidRPr="00BA7C8A">
        <w:rPr>
          <w:rFonts w:ascii="Verdana" w:hAnsi="Verdana"/>
          <w:i/>
          <w:sz w:val="20"/>
          <w:lang w:val="es-CO"/>
        </w:rPr>
        <w:t xml:space="preserve">A.2. </w:t>
      </w:r>
      <w:r w:rsidR="0010385B" w:rsidRPr="00BA7C8A">
        <w:rPr>
          <w:rFonts w:ascii="Verdana" w:hAnsi="Verdana"/>
          <w:i/>
          <w:sz w:val="20"/>
          <w:lang w:val="es-CO"/>
        </w:rPr>
        <w:t xml:space="preserve">Información y observaciones de las partes y de la </w:t>
      </w:r>
      <w:proofErr w:type="spellStart"/>
      <w:r w:rsidR="0010385B" w:rsidRPr="00BA7C8A">
        <w:rPr>
          <w:rFonts w:ascii="Verdana" w:hAnsi="Verdana"/>
          <w:i/>
          <w:sz w:val="20"/>
          <w:lang w:val="es-CO"/>
        </w:rPr>
        <w:t>Comisión</w:t>
      </w:r>
      <w:proofErr w:type="spellEnd"/>
    </w:p>
    <w:p w14:paraId="521CA597" w14:textId="4002E376" w:rsidR="00BB0F4B" w:rsidRPr="00846DC8" w:rsidRDefault="00D8284C"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E</w:t>
      </w:r>
      <w:r w:rsidR="005E3CA1" w:rsidRPr="00846DC8">
        <w:rPr>
          <w:rFonts w:ascii="Verdana" w:eastAsia="Times New Roman" w:hAnsi="Verdana"/>
          <w:sz w:val="20"/>
          <w:lang w:val="es-CR" w:eastAsia="es-CR"/>
        </w:rPr>
        <w:t>l Estado informó que</w:t>
      </w:r>
      <w:r w:rsidR="004E574B" w:rsidRPr="00846DC8">
        <w:rPr>
          <w:rFonts w:ascii="Verdana" w:eastAsia="Times New Roman" w:hAnsi="Verdana"/>
          <w:sz w:val="20"/>
          <w:lang w:val="es-CR" w:eastAsia="es-CR"/>
        </w:rPr>
        <w:t>,</w:t>
      </w:r>
      <w:r w:rsidR="005E3CA1" w:rsidRPr="00846DC8">
        <w:rPr>
          <w:rFonts w:ascii="Verdana" w:eastAsia="Times New Roman" w:hAnsi="Verdana"/>
          <w:sz w:val="20"/>
          <w:lang w:val="es-CR" w:eastAsia="es-CR"/>
        </w:rPr>
        <w:t xml:space="preserve"> e</w:t>
      </w:r>
      <w:r w:rsidRPr="00846DC8">
        <w:rPr>
          <w:rFonts w:ascii="Verdana" w:eastAsia="Times New Roman" w:hAnsi="Verdana"/>
          <w:sz w:val="20"/>
          <w:lang w:val="es-CR" w:eastAsia="es-CR"/>
        </w:rPr>
        <w:t xml:space="preserve">n julio de 2013, en el marco de la </w:t>
      </w:r>
      <w:r w:rsidR="00070B30" w:rsidRPr="00846DC8">
        <w:rPr>
          <w:rFonts w:ascii="Verdana" w:eastAsia="Times New Roman" w:hAnsi="Verdana"/>
          <w:sz w:val="20"/>
          <w:lang w:val="es-CR" w:eastAsia="es-CR"/>
        </w:rPr>
        <w:t xml:space="preserve">investigación </w:t>
      </w:r>
      <w:r w:rsidRPr="00846DC8">
        <w:rPr>
          <w:rFonts w:ascii="Verdana" w:eastAsia="Times New Roman" w:hAnsi="Verdana"/>
          <w:sz w:val="20"/>
          <w:lang w:val="es-CR" w:eastAsia="es-CR"/>
        </w:rPr>
        <w:t xml:space="preserve">que </w:t>
      </w:r>
      <w:r w:rsidR="00070B30" w:rsidRPr="00846DC8">
        <w:rPr>
          <w:rFonts w:ascii="Verdana" w:eastAsia="Times New Roman" w:hAnsi="Verdana"/>
          <w:sz w:val="20"/>
          <w:lang w:val="es-CR" w:eastAsia="es-CR"/>
        </w:rPr>
        <w:t>ha venido tramitá</w:t>
      </w:r>
      <w:r w:rsidR="00260226" w:rsidRPr="00846DC8">
        <w:rPr>
          <w:rFonts w:ascii="Verdana" w:eastAsia="Times New Roman" w:hAnsi="Verdana"/>
          <w:sz w:val="20"/>
          <w:lang w:val="es-CR" w:eastAsia="es-CR"/>
        </w:rPr>
        <w:t>ndo</w:t>
      </w:r>
      <w:r w:rsidR="00070B30" w:rsidRPr="00846DC8">
        <w:rPr>
          <w:rFonts w:ascii="Verdana" w:eastAsia="Times New Roman" w:hAnsi="Verdana"/>
          <w:sz w:val="20"/>
          <w:lang w:val="es-CR" w:eastAsia="es-CR"/>
        </w:rPr>
        <w:t>se</w:t>
      </w:r>
      <w:r w:rsidR="00260226" w:rsidRPr="00846DC8">
        <w:rPr>
          <w:rFonts w:ascii="Verdana" w:eastAsia="Times New Roman" w:hAnsi="Verdana"/>
          <w:sz w:val="20"/>
          <w:lang w:val="es-CR" w:eastAsia="es-CR"/>
        </w:rPr>
        <w:t xml:space="preserve"> ante la jurisdicción ordinaria</w:t>
      </w:r>
      <w:r w:rsidRPr="00846DC8">
        <w:rPr>
          <w:rFonts w:ascii="Verdana" w:eastAsia="Times New Roman" w:hAnsi="Verdana"/>
          <w:sz w:val="20"/>
          <w:lang w:val="es-CR" w:eastAsia="es-CR"/>
        </w:rPr>
        <w:t xml:space="preserve"> desde </w:t>
      </w:r>
      <w:r w:rsidR="000F0C6F" w:rsidRPr="00846DC8">
        <w:rPr>
          <w:rFonts w:ascii="Verdana" w:eastAsia="Times New Roman" w:hAnsi="Verdana"/>
          <w:sz w:val="20"/>
          <w:lang w:val="es-CR" w:eastAsia="es-CR"/>
        </w:rPr>
        <w:t xml:space="preserve">el </w:t>
      </w:r>
      <w:r w:rsidR="00D13676" w:rsidRPr="00846DC8">
        <w:rPr>
          <w:rFonts w:ascii="Verdana" w:eastAsia="Times New Roman" w:hAnsi="Verdana"/>
          <w:sz w:val="20"/>
          <w:lang w:val="es-CR" w:eastAsia="es-CR"/>
        </w:rPr>
        <w:t xml:space="preserve">año </w:t>
      </w:r>
      <w:r w:rsidRPr="00846DC8">
        <w:rPr>
          <w:rFonts w:ascii="Verdana" w:eastAsia="Times New Roman" w:hAnsi="Verdana"/>
          <w:sz w:val="20"/>
          <w:lang w:val="es-CR" w:eastAsia="es-CR"/>
        </w:rPr>
        <w:t>2011 (</w:t>
      </w:r>
      <w:r w:rsidRPr="00846DC8">
        <w:rPr>
          <w:rFonts w:ascii="Verdana" w:eastAsia="Times New Roman" w:hAnsi="Verdana"/>
          <w:i/>
          <w:sz w:val="20"/>
          <w:lang w:val="es-CR" w:eastAsia="es-CR"/>
        </w:rPr>
        <w:t xml:space="preserve">supra </w:t>
      </w:r>
      <w:r w:rsidR="00365FE6">
        <w:rPr>
          <w:rFonts w:ascii="Verdana" w:eastAsia="Times New Roman" w:hAnsi="Verdana"/>
          <w:sz w:val="20"/>
          <w:lang w:val="es-CR" w:eastAsia="es-CR"/>
        </w:rPr>
        <w:t>Considerando 4</w:t>
      </w:r>
      <w:r w:rsidRPr="00846DC8">
        <w:rPr>
          <w:rFonts w:ascii="Verdana" w:eastAsia="Times New Roman" w:hAnsi="Verdana"/>
          <w:sz w:val="20"/>
          <w:lang w:val="es-CR" w:eastAsia="es-CR"/>
        </w:rPr>
        <w:t>), fueron citados</w:t>
      </w:r>
      <w:r w:rsidR="00260226" w:rsidRPr="00846DC8">
        <w:rPr>
          <w:rFonts w:ascii="Verdana" w:eastAsia="Times New Roman" w:hAnsi="Verdana"/>
          <w:sz w:val="20"/>
          <w:lang w:val="es-CR" w:eastAsia="es-CR"/>
        </w:rPr>
        <w:t xml:space="preserve"> a declarar en calid</w:t>
      </w:r>
      <w:r w:rsidR="00516FF2" w:rsidRPr="00846DC8">
        <w:rPr>
          <w:rFonts w:ascii="Verdana" w:eastAsia="Times New Roman" w:hAnsi="Verdana"/>
          <w:sz w:val="20"/>
          <w:lang w:val="es-CR" w:eastAsia="es-CR"/>
        </w:rPr>
        <w:t>ad de “probables responsables”</w:t>
      </w:r>
      <w:r w:rsidR="00260226" w:rsidRPr="00846DC8">
        <w:rPr>
          <w:rFonts w:ascii="Verdana" w:eastAsia="Times New Roman" w:hAnsi="Verdana"/>
          <w:sz w:val="20"/>
          <w:lang w:val="es-CR" w:eastAsia="es-CR"/>
        </w:rPr>
        <w:t xml:space="preserve"> cuatro agentes militares, quienes </w:t>
      </w:r>
      <w:r w:rsidR="00C52FB6" w:rsidRPr="00846DC8">
        <w:rPr>
          <w:rFonts w:ascii="Verdana" w:eastAsia="Times New Roman" w:hAnsi="Verdana"/>
          <w:sz w:val="20"/>
          <w:lang w:val="es-CR" w:eastAsia="es-CR"/>
        </w:rPr>
        <w:t xml:space="preserve">presuntamente </w:t>
      </w:r>
      <w:r w:rsidR="00260226" w:rsidRPr="00846DC8">
        <w:rPr>
          <w:rFonts w:ascii="Verdana" w:eastAsia="Times New Roman" w:hAnsi="Verdana"/>
          <w:sz w:val="20"/>
          <w:lang w:val="es-CO" w:eastAsia="es-CR"/>
        </w:rPr>
        <w:t>habrían participado en el operativo de detención de los señores Montiel Flores y Cabrera García</w:t>
      </w:r>
      <w:r w:rsidR="00260226" w:rsidRPr="00846DC8">
        <w:rPr>
          <w:rStyle w:val="Refdenotaalpie"/>
          <w:rFonts w:ascii="Verdana" w:eastAsia="Times New Roman" w:hAnsi="Verdana"/>
          <w:sz w:val="20"/>
          <w:lang w:val="es-CO" w:eastAsia="es-CR"/>
        </w:rPr>
        <w:footnoteReference w:id="15"/>
      </w:r>
      <w:r w:rsidR="00421ACB" w:rsidRPr="00846DC8">
        <w:rPr>
          <w:rFonts w:ascii="Verdana" w:eastAsia="Times New Roman" w:hAnsi="Verdana"/>
          <w:sz w:val="20"/>
          <w:lang w:val="es-CO" w:eastAsia="es-CR"/>
        </w:rPr>
        <w:t xml:space="preserve">. </w:t>
      </w:r>
      <w:r w:rsidR="00260226" w:rsidRPr="00846DC8">
        <w:rPr>
          <w:rFonts w:ascii="Verdana" w:eastAsia="Times New Roman" w:hAnsi="Verdana"/>
          <w:sz w:val="20"/>
          <w:lang w:val="es-CR" w:eastAsia="es-CR"/>
        </w:rPr>
        <w:t xml:space="preserve">Según la información </w:t>
      </w:r>
      <w:r w:rsidR="00915F0B" w:rsidRPr="00846DC8">
        <w:rPr>
          <w:rFonts w:ascii="Verdana" w:eastAsia="Times New Roman" w:hAnsi="Verdana"/>
          <w:sz w:val="20"/>
          <w:lang w:val="es-CR" w:eastAsia="es-CR"/>
        </w:rPr>
        <w:t>disponible</w:t>
      </w:r>
      <w:r w:rsidR="00F77D4A" w:rsidRPr="00846DC8">
        <w:rPr>
          <w:rFonts w:ascii="Verdana" w:eastAsia="Times New Roman" w:hAnsi="Verdana"/>
          <w:sz w:val="20"/>
          <w:lang w:val="es-CR" w:eastAsia="es-CR"/>
        </w:rPr>
        <w:t>,</w:t>
      </w:r>
      <w:r w:rsidR="00260226" w:rsidRPr="00846DC8">
        <w:rPr>
          <w:rFonts w:ascii="Verdana" w:eastAsia="Times New Roman" w:hAnsi="Verdana"/>
          <w:sz w:val="20"/>
          <w:lang w:val="es-CR" w:eastAsia="es-CR"/>
        </w:rPr>
        <w:t xml:space="preserve"> dos de </w:t>
      </w:r>
      <w:r w:rsidR="00F23B88" w:rsidRPr="00846DC8">
        <w:rPr>
          <w:rFonts w:ascii="Verdana" w:eastAsia="Times New Roman" w:hAnsi="Verdana"/>
          <w:sz w:val="20"/>
          <w:lang w:val="es-CR" w:eastAsia="es-CR"/>
        </w:rPr>
        <w:t>ellos</w:t>
      </w:r>
      <w:r w:rsidR="00260226" w:rsidRPr="00846DC8">
        <w:rPr>
          <w:rFonts w:ascii="Verdana" w:eastAsia="Times New Roman" w:hAnsi="Verdana"/>
          <w:sz w:val="20"/>
          <w:lang w:val="es-CR" w:eastAsia="es-CR"/>
        </w:rPr>
        <w:t xml:space="preserve"> comparecieron, </w:t>
      </w:r>
      <w:r w:rsidR="004C5218" w:rsidRPr="00846DC8">
        <w:rPr>
          <w:rFonts w:ascii="Verdana" w:eastAsia="Times New Roman" w:hAnsi="Verdana"/>
          <w:sz w:val="20"/>
          <w:lang w:val="es-CR" w:eastAsia="es-CR"/>
        </w:rPr>
        <w:t>negándose</w:t>
      </w:r>
      <w:r w:rsidR="00260226" w:rsidRPr="00846DC8">
        <w:rPr>
          <w:rFonts w:ascii="Verdana" w:eastAsia="Times New Roman" w:hAnsi="Verdana"/>
          <w:sz w:val="20"/>
          <w:lang w:val="es-CR" w:eastAsia="es-CR"/>
        </w:rPr>
        <w:t xml:space="preserve"> a declarar</w:t>
      </w:r>
      <w:r w:rsidR="00260226" w:rsidRPr="00846DC8">
        <w:rPr>
          <w:rStyle w:val="Refdenotaalpie"/>
          <w:rFonts w:ascii="Verdana" w:eastAsia="Times New Roman" w:hAnsi="Verdana"/>
          <w:sz w:val="20"/>
          <w:lang w:val="es-CR" w:eastAsia="es-CR"/>
        </w:rPr>
        <w:footnoteReference w:id="16"/>
      </w:r>
      <w:r w:rsidR="00260226" w:rsidRPr="00846DC8">
        <w:rPr>
          <w:rFonts w:ascii="Verdana" w:eastAsia="Times New Roman" w:hAnsi="Verdana"/>
          <w:sz w:val="20"/>
          <w:lang w:val="es-CR" w:eastAsia="es-CR"/>
        </w:rPr>
        <w:t>; un</w:t>
      </w:r>
      <w:r w:rsidR="004845B0">
        <w:rPr>
          <w:rFonts w:ascii="Verdana" w:eastAsia="Times New Roman" w:hAnsi="Verdana"/>
          <w:sz w:val="20"/>
          <w:lang w:val="es-CR" w:eastAsia="es-CR"/>
        </w:rPr>
        <w:t xml:space="preserve"> tercero</w:t>
      </w:r>
      <w:r w:rsidR="00260226" w:rsidRPr="00846DC8">
        <w:rPr>
          <w:rFonts w:ascii="Verdana" w:eastAsia="Times New Roman" w:hAnsi="Verdana"/>
          <w:sz w:val="20"/>
          <w:lang w:val="es-CR" w:eastAsia="es-CR"/>
        </w:rPr>
        <w:t xml:space="preserve"> habría fallecido</w:t>
      </w:r>
      <w:r w:rsidR="00260226" w:rsidRPr="00846DC8">
        <w:rPr>
          <w:rStyle w:val="Refdenotaalpie"/>
          <w:rFonts w:ascii="Verdana" w:eastAsia="Times New Roman" w:hAnsi="Verdana"/>
          <w:sz w:val="20"/>
          <w:lang w:val="es-CR" w:eastAsia="es-CR"/>
        </w:rPr>
        <w:footnoteReference w:id="17"/>
      </w:r>
      <w:r w:rsidR="00D045DC">
        <w:rPr>
          <w:rFonts w:ascii="Verdana" w:eastAsia="Times New Roman" w:hAnsi="Verdana"/>
          <w:sz w:val="20"/>
          <w:lang w:val="es-CR" w:eastAsia="es-CR"/>
        </w:rPr>
        <w:t xml:space="preserve"> </w:t>
      </w:r>
      <w:r w:rsidR="00260226" w:rsidRPr="00846DC8">
        <w:rPr>
          <w:rFonts w:ascii="Verdana" w:eastAsia="Times New Roman" w:hAnsi="Verdana"/>
          <w:sz w:val="20"/>
          <w:lang w:val="es-CR" w:eastAsia="es-CR"/>
        </w:rPr>
        <w:t>y</w:t>
      </w:r>
      <w:r w:rsidR="00A702D6" w:rsidRPr="00846DC8">
        <w:rPr>
          <w:rFonts w:ascii="Verdana" w:eastAsia="Times New Roman" w:hAnsi="Verdana"/>
          <w:sz w:val="20"/>
          <w:lang w:val="es-CR" w:eastAsia="es-CR"/>
        </w:rPr>
        <w:t xml:space="preserve"> el cuarto aún no ha</w:t>
      </w:r>
      <w:r w:rsidR="009823A5">
        <w:rPr>
          <w:rFonts w:ascii="Verdana" w:eastAsia="Times New Roman" w:hAnsi="Verdana"/>
          <w:sz w:val="20"/>
          <w:lang w:val="es-CR" w:eastAsia="es-CR"/>
        </w:rPr>
        <w:t>bía</w:t>
      </w:r>
      <w:r w:rsidR="00260226" w:rsidRPr="00846DC8">
        <w:rPr>
          <w:rFonts w:ascii="Verdana" w:eastAsia="Times New Roman" w:hAnsi="Verdana"/>
          <w:sz w:val="20"/>
          <w:lang w:val="es-CR" w:eastAsia="es-CR"/>
        </w:rPr>
        <w:t xml:space="preserve"> </w:t>
      </w:r>
      <w:r w:rsidR="00915F0B" w:rsidRPr="00846DC8">
        <w:rPr>
          <w:rFonts w:ascii="Verdana" w:eastAsia="Times New Roman" w:hAnsi="Verdana"/>
          <w:sz w:val="20"/>
          <w:lang w:val="es-CR" w:eastAsia="es-CR"/>
        </w:rPr>
        <w:t>sido</w:t>
      </w:r>
      <w:r w:rsidR="00260226" w:rsidRPr="00846DC8">
        <w:rPr>
          <w:rFonts w:ascii="Verdana" w:eastAsia="Times New Roman" w:hAnsi="Verdana"/>
          <w:sz w:val="20"/>
          <w:lang w:val="es-CR" w:eastAsia="es-CR"/>
        </w:rPr>
        <w:t xml:space="preserve"> localizado</w:t>
      </w:r>
      <w:r w:rsidR="00260226" w:rsidRPr="00846DC8">
        <w:rPr>
          <w:rStyle w:val="Refdenotaalpie"/>
          <w:rFonts w:ascii="Verdana" w:eastAsia="Times New Roman" w:hAnsi="Verdana"/>
          <w:sz w:val="20"/>
          <w:lang w:val="es-CR" w:eastAsia="es-CR"/>
        </w:rPr>
        <w:footnoteReference w:id="18"/>
      </w:r>
      <w:r w:rsidR="00E3199F" w:rsidRPr="00846DC8">
        <w:rPr>
          <w:rFonts w:ascii="Verdana" w:eastAsia="Times New Roman" w:hAnsi="Verdana"/>
          <w:sz w:val="20"/>
          <w:lang w:val="es-CR" w:eastAsia="es-CR"/>
        </w:rPr>
        <w:t xml:space="preserve">. </w:t>
      </w:r>
    </w:p>
    <w:p w14:paraId="6FC134BE" w14:textId="7ADAA9EB" w:rsidR="00D8284C" w:rsidRPr="00846DC8" w:rsidRDefault="00D8284C"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 xml:space="preserve">Asimismo, </w:t>
      </w:r>
      <w:r w:rsidR="00BB0F4B" w:rsidRPr="00846DC8">
        <w:rPr>
          <w:rFonts w:ascii="Verdana" w:eastAsia="Times New Roman" w:hAnsi="Verdana"/>
          <w:sz w:val="20"/>
          <w:lang w:val="es-CR" w:eastAsia="es-CR"/>
        </w:rPr>
        <w:t>el Estado indicó</w:t>
      </w:r>
      <w:r w:rsidRPr="00846DC8">
        <w:rPr>
          <w:rFonts w:ascii="Verdana" w:eastAsia="Times New Roman" w:hAnsi="Verdana"/>
          <w:sz w:val="20"/>
          <w:lang w:val="es-CR" w:eastAsia="es-CR"/>
        </w:rPr>
        <w:t xml:space="preserve"> que </w:t>
      </w:r>
      <w:r w:rsidR="004E574B" w:rsidRPr="00846DC8">
        <w:rPr>
          <w:rFonts w:ascii="Verdana" w:eastAsia="Times New Roman" w:hAnsi="Verdana"/>
          <w:sz w:val="20"/>
          <w:lang w:val="es-CR" w:eastAsia="es-CR"/>
        </w:rPr>
        <w:t xml:space="preserve">lo anterior </w:t>
      </w:r>
      <w:r w:rsidRPr="00846DC8">
        <w:rPr>
          <w:rFonts w:ascii="Verdana" w:eastAsia="Times New Roman" w:hAnsi="Verdana"/>
          <w:sz w:val="20"/>
          <w:lang w:val="es-CR" w:eastAsia="es-CR"/>
        </w:rPr>
        <w:t>“</w:t>
      </w:r>
      <w:r w:rsidR="004E574B" w:rsidRPr="00846DC8">
        <w:rPr>
          <w:rFonts w:ascii="Verdana" w:eastAsia="Times New Roman" w:hAnsi="Verdana"/>
          <w:sz w:val="20"/>
          <w:lang w:val="es-CR" w:eastAsia="es-CR"/>
        </w:rPr>
        <w:t>no imp[edía] que otras [personas] pu[dieran]</w:t>
      </w:r>
      <w:r w:rsidRPr="00846DC8">
        <w:rPr>
          <w:rFonts w:ascii="Verdana" w:eastAsia="Times New Roman" w:hAnsi="Verdana"/>
          <w:sz w:val="20"/>
          <w:lang w:val="es-CR" w:eastAsia="es-CR"/>
        </w:rPr>
        <w:t xml:space="preserve"> ser citadas a rendir su declaración en un futuro”</w:t>
      </w:r>
      <w:r w:rsidRPr="00846DC8">
        <w:rPr>
          <w:rStyle w:val="Refdenotaalpie"/>
          <w:rFonts w:ascii="Verdana" w:eastAsia="Times New Roman" w:hAnsi="Verdana"/>
          <w:sz w:val="20"/>
          <w:lang w:val="es-CR" w:eastAsia="es-CR"/>
        </w:rPr>
        <w:footnoteReference w:id="19"/>
      </w:r>
      <w:r w:rsidRPr="00846DC8">
        <w:rPr>
          <w:rFonts w:ascii="Verdana" w:eastAsia="Times New Roman" w:hAnsi="Verdana"/>
          <w:sz w:val="20"/>
          <w:lang w:val="es-CR" w:eastAsia="es-CR"/>
        </w:rPr>
        <w:t>, y que “</w:t>
      </w:r>
      <w:r w:rsidRPr="00846DC8">
        <w:rPr>
          <w:rFonts w:ascii="Verdana" w:eastAsia="Times New Roman" w:hAnsi="Verdana"/>
          <w:sz w:val="20"/>
          <w:lang w:val="es-AR" w:eastAsia="es-CR"/>
        </w:rPr>
        <w:t>contin[uaban] agotando la línea de investigación consistente en la probable responsabilidad penal d</w:t>
      </w:r>
      <w:r w:rsidR="00516FF2" w:rsidRPr="00846DC8">
        <w:rPr>
          <w:rFonts w:ascii="Verdana" w:eastAsia="Times New Roman" w:hAnsi="Verdana"/>
          <w:sz w:val="20"/>
          <w:lang w:val="es-AR" w:eastAsia="es-CR"/>
        </w:rPr>
        <w:t>e d</w:t>
      </w:r>
      <w:r w:rsidR="00517509">
        <w:rPr>
          <w:rFonts w:ascii="Verdana" w:eastAsia="Times New Roman" w:hAnsi="Verdana"/>
          <w:sz w:val="20"/>
          <w:lang w:val="es-AR" w:eastAsia="es-CR"/>
        </w:rPr>
        <w:t xml:space="preserve">istintos servidores públicos </w:t>
      </w:r>
      <w:r w:rsidRPr="00846DC8">
        <w:rPr>
          <w:rFonts w:ascii="Verdana" w:eastAsia="Times New Roman" w:hAnsi="Verdana"/>
          <w:sz w:val="20"/>
          <w:lang w:val="es-AR" w:eastAsia="es-CR"/>
        </w:rPr>
        <w:t>en los alegados actos de tortura”</w:t>
      </w:r>
      <w:r w:rsidRPr="00846DC8">
        <w:rPr>
          <w:rStyle w:val="Refdenotaalpie"/>
          <w:rFonts w:ascii="Verdana" w:eastAsia="Times New Roman" w:hAnsi="Verdana"/>
          <w:sz w:val="20"/>
          <w:lang w:val="es-AR" w:eastAsia="es-CR"/>
        </w:rPr>
        <w:footnoteReference w:id="20"/>
      </w:r>
      <w:r w:rsidRPr="00846DC8">
        <w:rPr>
          <w:rFonts w:ascii="Verdana" w:eastAsia="Times New Roman" w:hAnsi="Verdana"/>
          <w:sz w:val="20"/>
          <w:lang w:val="es-AR" w:eastAsia="es-CR"/>
        </w:rPr>
        <w:t xml:space="preserve">. En este sentido, informó </w:t>
      </w:r>
      <w:r w:rsidR="00516FF2" w:rsidRPr="00846DC8">
        <w:rPr>
          <w:rFonts w:ascii="Verdana" w:eastAsia="Times New Roman" w:hAnsi="Verdana"/>
          <w:sz w:val="20"/>
          <w:lang w:val="es-AR" w:eastAsia="es-CR"/>
        </w:rPr>
        <w:t xml:space="preserve">que había realizado </w:t>
      </w:r>
      <w:r w:rsidRPr="00846DC8">
        <w:rPr>
          <w:rFonts w:ascii="Verdana" w:eastAsia="Times New Roman" w:hAnsi="Verdana"/>
          <w:sz w:val="20"/>
          <w:lang w:val="es-AR" w:eastAsia="es-CR"/>
        </w:rPr>
        <w:t>varias diligencias tendientes a localizar y recabar la declaración de diversas personas en carácter de testigos, incluyendo algunos que habían sido indicados por los representantes de las víctimas</w:t>
      </w:r>
      <w:r w:rsidRPr="00846DC8">
        <w:rPr>
          <w:rStyle w:val="Refdenotaalpie"/>
          <w:rFonts w:ascii="Verdana" w:eastAsia="Times New Roman" w:hAnsi="Verdana"/>
          <w:sz w:val="20"/>
          <w:lang w:val="es-AR" w:eastAsia="es-CR"/>
        </w:rPr>
        <w:footnoteReference w:id="21"/>
      </w:r>
      <w:r w:rsidRPr="00846DC8">
        <w:rPr>
          <w:rFonts w:ascii="Verdana" w:eastAsia="Times New Roman" w:hAnsi="Verdana"/>
          <w:sz w:val="20"/>
          <w:lang w:val="es-AR" w:eastAsia="es-CR"/>
        </w:rPr>
        <w:t>, y otros que habían sido identificados por la autoridad investigadora como elementos militares que habrían participado en el operativo en el marco del cual ocurrió la detención de las víctimas</w:t>
      </w:r>
      <w:r w:rsidRPr="00846DC8">
        <w:rPr>
          <w:rStyle w:val="Refdenotaalpie"/>
          <w:rFonts w:ascii="Verdana" w:eastAsia="Times New Roman" w:hAnsi="Verdana"/>
          <w:sz w:val="20"/>
          <w:lang w:val="es-AR" w:eastAsia="es-CR"/>
        </w:rPr>
        <w:footnoteReference w:id="22"/>
      </w:r>
      <w:r w:rsidR="0086451C" w:rsidRPr="00846DC8">
        <w:rPr>
          <w:rFonts w:ascii="Verdana" w:eastAsia="Times New Roman" w:hAnsi="Verdana"/>
          <w:sz w:val="20"/>
          <w:lang w:val="es-AR" w:eastAsia="es-CR"/>
        </w:rPr>
        <w:t>.</w:t>
      </w:r>
      <w:r w:rsidRPr="00846DC8">
        <w:rPr>
          <w:rFonts w:ascii="Verdana" w:eastAsia="Times New Roman" w:hAnsi="Verdana"/>
          <w:sz w:val="20"/>
          <w:lang w:val="es-AR" w:eastAsia="es-CR"/>
        </w:rPr>
        <w:t xml:space="preserve"> </w:t>
      </w:r>
      <w:r w:rsidR="0086451C" w:rsidRPr="00846DC8">
        <w:rPr>
          <w:rFonts w:ascii="Verdana" w:eastAsia="Times New Roman" w:hAnsi="Verdana"/>
          <w:sz w:val="20"/>
          <w:lang w:val="es-AR" w:eastAsia="es-CR"/>
        </w:rPr>
        <w:t>Asimismo, e</w:t>
      </w:r>
      <w:r w:rsidRPr="00846DC8">
        <w:rPr>
          <w:rFonts w:ascii="Verdana" w:eastAsia="Times New Roman" w:hAnsi="Verdana"/>
          <w:sz w:val="20"/>
          <w:lang w:val="es-AR" w:eastAsia="es-CR"/>
        </w:rPr>
        <w:t>l Estado</w:t>
      </w:r>
      <w:r w:rsidR="00E43D70" w:rsidRPr="00846DC8">
        <w:rPr>
          <w:rFonts w:ascii="Verdana" w:eastAsia="Times New Roman" w:hAnsi="Verdana"/>
          <w:sz w:val="20"/>
          <w:lang w:val="es-AR" w:eastAsia="es-CR"/>
        </w:rPr>
        <w:t xml:space="preserve"> agregó que habían comparecido a declarar varias personas en carácter de testigos</w:t>
      </w:r>
      <w:r w:rsidR="00E43D70" w:rsidRPr="00846DC8">
        <w:rPr>
          <w:rStyle w:val="Refdenotaalpie"/>
          <w:rFonts w:ascii="Verdana" w:eastAsia="Times New Roman" w:hAnsi="Verdana"/>
          <w:sz w:val="20"/>
          <w:lang w:val="es-AR" w:eastAsia="es-CR"/>
        </w:rPr>
        <w:footnoteReference w:id="23"/>
      </w:r>
      <w:r w:rsidR="00E43D70" w:rsidRPr="00846DC8">
        <w:rPr>
          <w:rFonts w:ascii="Verdana" w:eastAsia="Times New Roman" w:hAnsi="Verdana"/>
          <w:sz w:val="20"/>
          <w:lang w:val="es-AR" w:eastAsia="es-CR"/>
        </w:rPr>
        <w:t xml:space="preserve">, y </w:t>
      </w:r>
      <w:r w:rsidRPr="00846DC8">
        <w:rPr>
          <w:rFonts w:ascii="Verdana" w:eastAsia="Times New Roman" w:hAnsi="Verdana"/>
          <w:sz w:val="20"/>
          <w:lang w:val="es-AR" w:eastAsia="es-CR"/>
        </w:rPr>
        <w:t>que perseguía una “línea de investigación enfocada en l</w:t>
      </w:r>
      <w:r w:rsidR="00E43D70" w:rsidRPr="00846DC8">
        <w:rPr>
          <w:rFonts w:ascii="Verdana" w:eastAsia="Times New Roman" w:hAnsi="Verdana"/>
          <w:sz w:val="20"/>
          <w:lang w:val="es-AR" w:eastAsia="es-CR"/>
        </w:rPr>
        <w:t>a localización de […</w:t>
      </w:r>
      <w:r w:rsidRPr="00846DC8">
        <w:rPr>
          <w:rFonts w:ascii="Verdana" w:eastAsia="Times New Roman" w:hAnsi="Verdana"/>
          <w:sz w:val="20"/>
          <w:lang w:val="es-AR" w:eastAsia="es-CR"/>
        </w:rPr>
        <w:t xml:space="preserve">] 31 </w:t>
      </w:r>
      <w:r w:rsidR="00E43D70" w:rsidRPr="00846DC8">
        <w:rPr>
          <w:rFonts w:ascii="Verdana" w:eastAsia="Times New Roman" w:hAnsi="Verdana"/>
          <w:sz w:val="20"/>
          <w:lang w:val="es-AR" w:eastAsia="es-CR"/>
        </w:rPr>
        <w:t>[…]</w:t>
      </w:r>
      <w:r w:rsidRPr="00846DC8">
        <w:rPr>
          <w:rFonts w:ascii="Verdana" w:eastAsia="Times New Roman" w:hAnsi="Verdana"/>
          <w:sz w:val="20"/>
          <w:lang w:val="es-AR" w:eastAsia="es-CR"/>
        </w:rPr>
        <w:t xml:space="preserve"> elementos militares que no se encuentran en servicio activo”, para lo cual había realizado varias gestiones</w:t>
      </w:r>
      <w:r w:rsidR="00E43D70" w:rsidRPr="00846DC8">
        <w:rPr>
          <w:rStyle w:val="Refdenotaalpie"/>
          <w:rFonts w:ascii="Verdana" w:eastAsia="Times New Roman" w:hAnsi="Verdana"/>
          <w:sz w:val="20"/>
          <w:lang w:val="es-AR" w:eastAsia="es-CR"/>
        </w:rPr>
        <w:footnoteReference w:id="24"/>
      </w:r>
      <w:r w:rsidRPr="00846DC8">
        <w:rPr>
          <w:rFonts w:ascii="Verdana" w:eastAsia="Times New Roman" w:hAnsi="Verdana"/>
          <w:sz w:val="20"/>
          <w:lang w:val="es-AR" w:eastAsia="es-CR"/>
        </w:rPr>
        <w:t>.</w:t>
      </w:r>
      <w:r w:rsidR="00E43D70" w:rsidRPr="00846DC8">
        <w:rPr>
          <w:rFonts w:ascii="Verdana" w:eastAsia="Times New Roman" w:hAnsi="Verdana"/>
          <w:sz w:val="20"/>
          <w:lang w:val="es-AR" w:eastAsia="es-CR"/>
        </w:rPr>
        <w:t xml:space="preserve"> </w:t>
      </w:r>
    </w:p>
    <w:p w14:paraId="03632813" w14:textId="3A12F8B8" w:rsidR="008A047A" w:rsidRPr="00846DC8" w:rsidRDefault="00D8284C"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Por su parte</w:t>
      </w:r>
      <w:r w:rsidR="00E3199F" w:rsidRPr="00846DC8">
        <w:rPr>
          <w:rFonts w:ascii="Verdana" w:eastAsia="Times New Roman" w:hAnsi="Verdana"/>
          <w:sz w:val="20"/>
          <w:lang w:val="es-CR" w:eastAsia="es-CR"/>
        </w:rPr>
        <w:t xml:space="preserve">, los representantes objetaron que </w:t>
      </w:r>
      <w:r w:rsidR="00E3199F" w:rsidRPr="00846DC8">
        <w:rPr>
          <w:rFonts w:ascii="Verdana" w:eastAsia="Times New Roman" w:hAnsi="Verdana"/>
          <w:sz w:val="20"/>
          <w:lang w:val="es-ES" w:eastAsia="es-CR"/>
        </w:rPr>
        <w:t xml:space="preserve">la autoridad a cargo de la investigación contaba con la información necesaria para realizar </w:t>
      </w:r>
      <w:r w:rsidRPr="00846DC8">
        <w:rPr>
          <w:rFonts w:ascii="Verdana" w:eastAsia="Times New Roman" w:hAnsi="Verdana"/>
          <w:sz w:val="20"/>
          <w:lang w:val="es-ES" w:eastAsia="es-CR"/>
        </w:rPr>
        <w:t>los</w:t>
      </w:r>
      <w:r w:rsidR="00E3199F" w:rsidRPr="00846DC8">
        <w:rPr>
          <w:rFonts w:ascii="Verdana" w:eastAsia="Times New Roman" w:hAnsi="Verdana"/>
          <w:sz w:val="20"/>
          <w:lang w:val="es-ES" w:eastAsia="es-CR"/>
        </w:rPr>
        <w:t xml:space="preserve"> citatorio</w:t>
      </w:r>
      <w:r w:rsidRPr="00846DC8">
        <w:rPr>
          <w:rFonts w:ascii="Verdana" w:eastAsia="Times New Roman" w:hAnsi="Verdana"/>
          <w:sz w:val="20"/>
          <w:lang w:val="es-ES" w:eastAsia="es-CR"/>
        </w:rPr>
        <w:t xml:space="preserve">s de los cuatro militares indicados </w:t>
      </w:r>
      <w:r w:rsidRPr="00846DC8">
        <w:rPr>
          <w:rFonts w:ascii="Verdana" w:eastAsia="Times New Roman" w:hAnsi="Verdana"/>
          <w:i/>
          <w:sz w:val="20"/>
          <w:lang w:val="es-ES" w:eastAsia="es-CR"/>
        </w:rPr>
        <w:t xml:space="preserve">supra </w:t>
      </w:r>
      <w:r w:rsidR="008F2A90">
        <w:rPr>
          <w:rFonts w:ascii="Verdana" w:eastAsia="Times New Roman" w:hAnsi="Verdana"/>
          <w:sz w:val="20"/>
          <w:lang w:val="es-ES" w:eastAsia="es-CR"/>
        </w:rPr>
        <w:t>(Considerando 6</w:t>
      </w:r>
      <w:r w:rsidRPr="00846DC8">
        <w:rPr>
          <w:rFonts w:ascii="Verdana" w:eastAsia="Times New Roman" w:hAnsi="Verdana"/>
          <w:sz w:val="20"/>
          <w:lang w:val="es-ES" w:eastAsia="es-CR"/>
        </w:rPr>
        <w:t>)</w:t>
      </w:r>
      <w:r w:rsidR="00E3199F" w:rsidRPr="00846DC8">
        <w:rPr>
          <w:rFonts w:ascii="Verdana" w:eastAsia="Times New Roman" w:hAnsi="Verdana"/>
          <w:sz w:val="20"/>
          <w:lang w:val="es-ES" w:eastAsia="es-CR"/>
        </w:rPr>
        <w:t xml:space="preserve"> desde el año 2011, pero solo se había procedido luego de que ellos lo solicitaran</w:t>
      </w:r>
      <w:r w:rsidR="00E3199F" w:rsidRPr="00846DC8">
        <w:rPr>
          <w:rStyle w:val="Refdenotaalpie"/>
          <w:rFonts w:ascii="Verdana" w:eastAsia="Times New Roman" w:hAnsi="Verdana"/>
          <w:sz w:val="20"/>
          <w:lang w:val="es-ES" w:eastAsia="es-CR"/>
        </w:rPr>
        <w:footnoteReference w:id="25"/>
      </w:r>
      <w:r w:rsidR="00E3199F" w:rsidRPr="00846DC8">
        <w:rPr>
          <w:rFonts w:ascii="Verdana" w:eastAsia="Times New Roman" w:hAnsi="Verdana"/>
          <w:sz w:val="20"/>
          <w:lang w:val="es-ES" w:eastAsia="es-CR"/>
        </w:rPr>
        <w:t>.</w:t>
      </w:r>
      <w:r w:rsidR="008A047A" w:rsidRPr="00846DC8">
        <w:rPr>
          <w:rFonts w:ascii="Verdana" w:eastAsia="Times New Roman" w:hAnsi="Verdana"/>
          <w:sz w:val="20"/>
          <w:lang w:val="es-ES" w:eastAsia="es-CR"/>
        </w:rPr>
        <w:t xml:space="preserve"> </w:t>
      </w:r>
      <w:r w:rsidR="008A047A" w:rsidRPr="00846DC8">
        <w:rPr>
          <w:rFonts w:ascii="Verdana" w:eastAsia="Times New Roman" w:hAnsi="Verdana"/>
          <w:sz w:val="20"/>
          <w:lang w:val="es-CR" w:eastAsia="es-CR"/>
        </w:rPr>
        <w:t xml:space="preserve">Asimismo, observaron que </w:t>
      </w:r>
      <w:r w:rsidR="0086451C" w:rsidRPr="00846DC8">
        <w:rPr>
          <w:rFonts w:ascii="Verdana" w:eastAsia="Times New Roman" w:hAnsi="Verdana"/>
          <w:sz w:val="20"/>
          <w:lang w:val="es-CR" w:eastAsia="es-CR"/>
        </w:rPr>
        <w:t>esta ac</w:t>
      </w:r>
      <w:r w:rsidR="008A047A" w:rsidRPr="00846DC8">
        <w:rPr>
          <w:rFonts w:ascii="Verdana" w:eastAsia="Times New Roman" w:hAnsi="Verdana"/>
          <w:sz w:val="20"/>
          <w:lang w:val="es-CR" w:eastAsia="es-CR"/>
        </w:rPr>
        <w:t xml:space="preserve">ción resultaba “insuficiente por cuanto sólo abarca a cuatro personas de un grupo más amplio de militares” que habrían participado </w:t>
      </w:r>
      <w:r w:rsidR="00A43BF5" w:rsidRPr="00846DC8">
        <w:rPr>
          <w:rFonts w:ascii="Verdana" w:eastAsia="Times New Roman" w:hAnsi="Verdana"/>
          <w:sz w:val="20"/>
          <w:lang w:val="es-CR" w:eastAsia="es-CR"/>
        </w:rPr>
        <w:t>en</w:t>
      </w:r>
      <w:r w:rsidR="008A047A" w:rsidRPr="00846DC8">
        <w:rPr>
          <w:rFonts w:ascii="Verdana" w:eastAsia="Times New Roman" w:hAnsi="Verdana"/>
          <w:sz w:val="20"/>
          <w:lang w:val="es-CR" w:eastAsia="es-CR"/>
        </w:rPr>
        <w:t xml:space="preserve"> los hechos. En este sentido, mencionaron que “[d]</w:t>
      </w:r>
      <w:r w:rsidR="008A047A" w:rsidRPr="00846DC8">
        <w:rPr>
          <w:rFonts w:ascii="Verdana" w:eastAsia="Times New Roman" w:hAnsi="Verdana"/>
          <w:sz w:val="20"/>
          <w:lang w:val="es-AR" w:eastAsia="es-CR"/>
        </w:rPr>
        <w:t>e los documentos que integran el expediente, se desprende que la [Procura</w:t>
      </w:r>
      <w:r w:rsidR="000C1441">
        <w:rPr>
          <w:rFonts w:ascii="Verdana" w:eastAsia="Times New Roman" w:hAnsi="Verdana"/>
          <w:sz w:val="20"/>
          <w:lang w:val="es-AR" w:eastAsia="es-CR"/>
        </w:rPr>
        <w:t>duría</w:t>
      </w:r>
      <w:r w:rsidR="008A047A" w:rsidRPr="00846DC8">
        <w:rPr>
          <w:rFonts w:ascii="Verdana" w:eastAsia="Times New Roman" w:hAnsi="Verdana"/>
          <w:sz w:val="20"/>
          <w:lang w:val="es-AR" w:eastAsia="es-CR"/>
        </w:rPr>
        <w:t xml:space="preserve"> General de la República] solicitó a la Secretaría de la Defensa Nacional […] una lista de los mandos y demás personal que participó en el operativo […] en el que fueron arbitrariamente detenidos los señores Montiel y Cabrera”, ante lo cual dicha Secretaría “respondió que no contaba con la información requerida”. Sin embargo, los representantes señalaron que “documentos de la [Secretaría de Defensa Nacional] ya en poder de la Corte lnteramerican</w:t>
      </w:r>
      <w:r w:rsidR="0086451C" w:rsidRPr="00846DC8">
        <w:rPr>
          <w:rFonts w:ascii="Verdana" w:eastAsia="Times New Roman" w:hAnsi="Verdana"/>
          <w:sz w:val="20"/>
          <w:lang w:val="es-AR" w:eastAsia="es-CR"/>
        </w:rPr>
        <w:t>a asientan los nombres” de varias de la</w:t>
      </w:r>
      <w:r w:rsidR="008A047A" w:rsidRPr="00846DC8">
        <w:rPr>
          <w:rFonts w:ascii="Verdana" w:eastAsia="Times New Roman" w:hAnsi="Verdana"/>
          <w:sz w:val="20"/>
          <w:lang w:val="es-AR" w:eastAsia="es-CR"/>
        </w:rPr>
        <w:t xml:space="preserve">s </w:t>
      </w:r>
      <w:r w:rsidR="0086451C" w:rsidRPr="00846DC8">
        <w:rPr>
          <w:rFonts w:ascii="Verdana" w:eastAsia="Times New Roman" w:hAnsi="Verdana"/>
          <w:sz w:val="20"/>
          <w:lang w:val="es-AR" w:eastAsia="es-CR"/>
        </w:rPr>
        <w:t>personas presuntamente involucrada</w:t>
      </w:r>
      <w:r w:rsidR="008A047A" w:rsidRPr="00846DC8">
        <w:rPr>
          <w:rFonts w:ascii="Verdana" w:eastAsia="Times New Roman" w:hAnsi="Verdana"/>
          <w:sz w:val="20"/>
          <w:lang w:val="es-AR" w:eastAsia="es-CR"/>
        </w:rPr>
        <w:t>s</w:t>
      </w:r>
      <w:r w:rsidR="0086451C" w:rsidRPr="00846DC8">
        <w:rPr>
          <w:rFonts w:ascii="Verdana" w:eastAsia="Times New Roman" w:hAnsi="Verdana"/>
          <w:sz w:val="20"/>
          <w:lang w:val="es-AR" w:eastAsia="es-CR"/>
        </w:rPr>
        <w:t xml:space="preserve"> en los hechos</w:t>
      </w:r>
      <w:r w:rsidR="008A047A" w:rsidRPr="00846DC8">
        <w:rPr>
          <w:rStyle w:val="Refdenotaalpie"/>
          <w:rFonts w:ascii="Verdana" w:eastAsia="Times New Roman" w:hAnsi="Verdana"/>
          <w:sz w:val="20"/>
          <w:lang w:val="es-AR" w:eastAsia="es-CR"/>
        </w:rPr>
        <w:footnoteReference w:id="26"/>
      </w:r>
      <w:r w:rsidR="008A047A" w:rsidRPr="00846DC8">
        <w:rPr>
          <w:rFonts w:ascii="Verdana" w:eastAsia="Times New Roman" w:hAnsi="Verdana"/>
          <w:sz w:val="20"/>
          <w:lang w:val="es-AR" w:eastAsia="es-CR"/>
        </w:rPr>
        <w:t xml:space="preserve">. </w:t>
      </w:r>
    </w:p>
    <w:p w14:paraId="62B66F26" w14:textId="203D2BAF" w:rsidR="00D13676" w:rsidRPr="00846DC8" w:rsidRDefault="00D13676"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Por otra parte, tanto México como los representantes de las víctimas se refirieron a los peritajes médico-psicológicos que se practicaron a las víctimas durante la investigación</w:t>
      </w:r>
      <w:r w:rsidRPr="00846DC8">
        <w:rPr>
          <w:rStyle w:val="Refdenotaalpie"/>
          <w:rFonts w:ascii="Verdana" w:eastAsia="Times New Roman" w:hAnsi="Verdana"/>
          <w:sz w:val="20"/>
          <w:lang w:val="es-CR" w:eastAsia="es-CR"/>
        </w:rPr>
        <w:footnoteReference w:id="27"/>
      </w:r>
      <w:r w:rsidRPr="00846DC8">
        <w:rPr>
          <w:rFonts w:ascii="Verdana" w:eastAsia="Times New Roman" w:hAnsi="Verdana"/>
          <w:sz w:val="20"/>
          <w:lang w:val="es-CR" w:eastAsia="es-CR"/>
        </w:rPr>
        <w:t xml:space="preserve">, manifestando distintos puntos de vista en cuanto a si los mismos cumplen con los estándares mínimos contenidos en el Protocolo de Estambul, así como sobre la necesidad de realizarlos. </w:t>
      </w:r>
      <w:r w:rsidR="00A432C9" w:rsidRPr="00846DC8">
        <w:rPr>
          <w:rFonts w:ascii="Verdana" w:eastAsia="Times New Roman" w:hAnsi="Verdana"/>
          <w:sz w:val="20"/>
          <w:lang w:val="es-CR" w:eastAsia="es-CR"/>
        </w:rPr>
        <w:t>Para el Estado, “con las diligencias practicadas, no se ha[bía] acreditado la violación a los derechos humanos de los señores Cabrera García y Montiel Flores, ni irregularidades procesales y/o investigativas, que pudieran ser objeto de alguna responsabilidad administrativa o penal de algún funcionario”</w:t>
      </w:r>
      <w:r w:rsidR="00A432C9" w:rsidRPr="00846DC8">
        <w:rPr>
          <w:rStyle w:val="Refdenotaalpie"/>
          <w:rFonts w:ascii="Verdana" w:eastAsia="Times New Roman" w:hAnsi="Verdana"/>
          <w:sz w:val="20"/>
          <w:lang w:val="es-CR" w:eastAsia="es-CR"/>
        </w:rPr>
        <w:footnoteReference w:id="28"/>
      </w:r>
      <w:r w:rsidR="00A432C9" w:rsidRPr="00846DC8">
        <w:rPr>
          <w:rFonts w:ascii="Verdana" w:eastAsia="Times New Roman" w:hAnsi="Verdana"/>
          <w:sz w:val="20"/>
          <w:lang w:val="es-CR" w:eastAsia="es-CR"/>
        </w:rPr>
        <w:t>. Para los representantes, los dictámenes practicados por la Procuraduría General de la República resultaban “innecesarios, debido a que ya existían cuatro revisiones periciales en la averiguación previa”, y habían sido realizados “sin rigor científico y desconociendo las directrices recomendadas por el Protocolo de Estambul”</w:t>
      </w:r>
      <w:r w:rsidR="00A432C9" w:rsidRPr="00846DC8">
        <w:rPr>
          <w:rStyle w:val="Refdenotaalpie"/>
          <w:rFonts w:ascii="Verdana" w:eastAsia="Times New Roman" w:hAnsi="Verdana"/>
          <w:sz w:val="20"/>
          <w:lang w:val="es-CR" w:eastAsia="es-CR"/>
        </w:rPr>
        <w:footnoteReference w:id="29"/>
      </w:r>
      <w:r w:rsidR="00E752B9">
        <w:rPr>
          <w:rFonts w:ascii="Verdana" w:eastAsia="Times New Roman" w:hAnsi="Verdana"/>
          <w:sz w:val="20"/>
          <w:lang w:val="es-CR" w:eastAsia="es-CR"/>
        </w:rPr>
        <w:t>.</w:t>
      </w:r>
    </w:p>
    <w:p w14:paraId="4E289C5A" w14:textId="27FFB022" w:rsidR="00FF3EE5" w:rsidRPr="00846DC8" w:rsidRDefault="005C5803"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A la luz de esta situación, e</w:t>
      </w:r>
      <w:r w:rsidR="00CA7DEA" w:rsidRPr="00846DC8">
        <w:rPr>
          <w:rFonts w:ascii="Verdana" w:eastAsia="Times New Roman" w:hAnsi="Verdana"/>
          <w:sz w:val="20"/>
          <w:lang w:val="es-CR" w:eastAsia="es-CR"/>
        </w:rPr>
        <w:t xml:space="preserve">n noviembre de 2018, </w:t>
      </w:r>
      <w:r w:rsidR="009B3B82" w:rsidRPr="00846DC8">
        <w:rPr>
          <w:rFonts w:ascii="Verdana" w:eastAsia="Times New Roman" w:hAnsi="Verdana"/>
          <w:sz w:val="20"/>
          <w:lang w:val="es-CR" w:eastAsia="es-CR"/>
        </w:rPr>
        <w:t>México</w:t>
      </w:r>
      <w:r w:rsidR="00CA7DEA" w:rsidRPr="00846DC8">
        <w:rPr>
          <w:rFonts w:ascii="Verdana" w:eastAsia="Times New Roman" w:hAnsi="Verdana"/>
          <w:sz w:val="20"/>
          <w:lang w:val="es-CR" w:eastAsia="es-CR"/>
        </w:rPr>
        <w:t xml:space="preserve"> solicitó la colaboración de la Fiscalía General del Estado de Colombia para llevar a cabo “</w:t>
      </w:r>
      <w:r w:rsidR="00CA7DEA" w:rsidRPr="00846DC8">
        <w:rPr>
          <w:rFonts w:ascii="Verdana" w:eastAsia="Times New Roman" w:hAnsi="Verdana"/>
          <w:sz w:val="20"/>
          <w:lang w:val="es-AR" w:eastAsia="es-CR"/>
        </w:rPr>
        <w:t>un análisis técnico-jurídico de todos los dictámenes médico-psicológicos especializados para casos de posible tortura y/o maltrato, practicado por diversas autoridades federales y por expertos independientes, a los señores Teodoro Cabrera García y Rodolfo Montiel Flores”</w:t>
      </w:r>
      <w:r w:rsidR="00CA7DEA" w:rsidRPr="00846DC8">
        <w:rPr>
          <w:rStyle w:val="Refdenotaalpie"/>
          <w:rFonts w:ascii="Verdana" w:eastAsia="Times New Roman" w:hAnsi="Verdana"/>
          <w:sz w:val="20"/>
          <w:lang w:val="es-AR" w:eastAsia="es-CR"/>
        </w:rPr>
        <w:footnoteReference w:id="30"/>
      </w:r>
      <w:r w:rsidR="00CA7DEA" w:rsidRPr="00846DC8">
        <w:rPr>
          <w:rFonts w:ascii="Verdana" w:eastAsia="Times New Roman" w:hAnsi="Verdana"/>
          <w:sz w:val="20"/>
          <w:lang w:val="es-AR" w:eastAsia="es-CR"/>
        </w:rPr>
        <w:t xml:space="preserve">. No obstante, dicha solicitud fue rechazada por la Fiscalía General de Colombia por resultar improcedente, en tanto sus </w:t>
      </w:r>
      <w:r w:rsidR="009A5E7B" w:rsidRPr="00846DC8">
        <w:rPr>
          <w:rFonts w:ascii="Verdana" w:eastAsia="Times New Roman" w:hAnsi="Verdana"/>
          <w:sz w:val="20"/>
          <w:lang w:val="es-AR" w:eastAsia="es-CR"/>
        </w:rPr>
        <w:t>f</w:t>
      </w:r>
      <w:r w:rsidR="00CA7DEA" w:rsidRPr="00846DC8">
        <w:rPr>
          <w:rFonts w:ascii="Verdana" w:eastAsia="Times New Roman" w:hAnsi="Verdana"/>
          <w:sz w:val="20"/>
          <w:lang w:val="es-AR" w:eastAsia="es-CR"/>
        </w:rPr>
        <w:t>iscales “</w:t>
      </w:r>
      <w:r w:rsidR="00CA7DEA" w:rsidRPr="00846DC8">
        <w:rPr>
          <w:rFonts w:ascii="Verdana" w:eastAsia="Times New Roman" w:hAnsi="Verdana"/>
          <w:iCs/>
          <w:sz w:val="20"/>
          <w:lang w:val="es-AR" w:eastAsia="es-CR"/>
        </w:rPr>
        <w:t>no tendr[i]án la facultad de emitir opiniones sobre dictámenes o estudios científicos a los que han arribado</w:t>
      </w:r>
      <w:r w:rsidR="00BE5E4E" w:rsidRPr="00846DC8">
        <w:rPr>
          <w:rFonts w:ascii="Verdana" w:eastAsia="Times New Roman" w:hAnsi="Verdana"/>
          <w:iCs/>
          <w:sz w:val="20"/>
          <w:lang w:val="es-AR" w:eastAsia="es-CR"/>
        </w:rPr>
        <w:t xml:space="preserve"> peritos o expertos en otro tipo de ciencia, diferente a la jurídico-penal”</w:t>
      </w:r>
      <w:r w:rsidR="00BE5E4E" w:rsidRPr="00846DC8">
        <w:rPr>
          <w:rStyle w:val="Refdenotaalpie"/>
          <w:rFonts w:ascii="Verdana" w:eastAsia="Times New Roman" w:hAnsi="Verdana"/>
          <w:iCs/>
          <w:sz w:val="20"/>
          <w:lang w:val="es-AR" w:eastAsia="es-CR"/>
        </w:rPr>
        <w:footnoteReference w:id="31"/>
      </w:r>
      <w:r w:rsidR="00163DC6">
        <w:rPr>
          <w:rFonts w:ascii="Verdana" w:eastAsia="Times New Roman" w:hAnsi="Verdana"/>
          <w:iCs/>
          <w:sz w:val="20"/>
          <w:lang w:val="es-AR" w:eastAsia="es-CR"/>
        </w:rPr>
        <w:t>.</w:t>
      </w:r>
    </w:p>
    <w:p w14:paraId="6222D15B" w14:textId="426A4355" w:rsidR="00B45970" w:rsidRPr="00846DC8" w:rsidRDefault="00C01401"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iCs/>
          <w:sz w:val="20"/>
          <w:lang w:val="es-AR" w:eastAsia="es-CR"/>
        </w:rPr>
        <w:t xml:space="preserve">En su último informe, </w:t>
      </w:r>
      <w:r w:rsidR="009A5E7B" w:rsidRPr="00846DC8">
        <w:rPr>
          <w:rFonts w:ascii="Verdana" w:eastAsia="Times New Roman" w:hAnsi="Verdana"/>
          <w:iCs/>
          <w:sz w:val="20"/>
          <w:lang w:val="es-AR" w:eastAsia="es-CR"/>
        </w:rPr>
        <w:t xml:space="preserve">de </w:t>
      </w:r>
      <w:r w:rsidR="009823A5">
        <w:rPr>
          <w:rFonts w:ascii="Verdana" w:eastAsia="Times New Roman" w:hAnsi="Verdana"/>
          <w:iCs/>
          <w:sz w:val="20"/>
          <w:lang w:val="es-AR" w:eastAsia="es-CR"/>
        </w:rPr>
        <w:t xml:space="preserve">6 de </w:t>
      </w:r>
      <w:r w:rsidR="009A5E7B" w:rsidRPr="00846DC8">
        <w:rPr>
          <w:rFonts w:ascii="Verdana" w:eastAsia="Times New Roman" w:hAnsi="Verdana"/>
          <w:iCs/>
          <w:sz w:val="20"/>
          <w:lang w:val="es-AR" w:eastAsia="es-CR"/>
        </w:rPr>
        <w:t xml:space="preserve">agosto de 2019, </w:t>
      </w:r>
      <w:r w:rsidRPr="00846DC8">
        <w:rPr>
          <w:rFonts w:ascii="Verdana" w:eastAsia="Times New Roman" w:hAnsi="Verdana"/>
          <w:iCs/>
          <w:sz w:val="20"/>
          <w:lang w:val="es-AR" w:eastAsia="es-CR"/>
        </w:rPr>
        <w:t>el Estado refirió que convocaría a una reunión entre la autoridad a cargo de la investigación y los representantes</w:t>
      </w:r>
      <w:r w:rsidR="00B45970" w:rsidRPr="00846DC8">
        <w:rPr>
          <w:rFonts w:ascii="Verdana" w:eastAsia="Times New Roman" w:hAnsi="Verdana"/>
          <w:sz w:val="20"/>
          <w:lang w:val="es-CR" w:eastAsia="es-CR"/>
        </w:rPr>
        <w:t xml:space="preserve">. </w:t>
      </w:r>
      <w:r w:rsidRPr="00846DC8">
        <w:rPr>
          <w:rFonts w:ascii="Verdana" w:eastAsia="Times New Roman" w:hAnsi="Verdana"/>
          <w:sz w:val="20"/>
          <w:lang w:val="es-CR" w:eastAsia="es-CR"/>
        </w:rPr>
        <w:t>Según</w:t>
      </w:r>
      <w:r w:rsidR="00B45970" w:rsidRPr="00846DC8">
        <w:rPr>
          <w:rFonts w:ascii="Verdana" w:eastAsia="Times New Roman" w:hAnsi="Verdana"/>
          <w:sz w:val="20"/>
          <w:lang w:val="es-CR" w:eastAsia="es-CR"/>
        </w:rPr>
        <w:t xml:space="preserve"> informaron los representantes en su más reciente escrito de observaciones</w:t>
      </w:r>
      <w:r w:rsidR="000C0D9E">
        <w:rPr>
          <w:rFonts w:ascii="Verdana" w:eastAsia="Times New Roman" w:hAnsi="Verdana"/>
          <w:sz w:val="20"/>
          <w:lang w:val="es-CR" w:eastAsia="es-CR"/>
        </w:rPr>
        <w:t>,</w:t>
      </w:r>
      <w:r w:rsidR="00DC0269" w:rsidRPr="00846DC8">
        <w:rPr>
          <w:rFonts w:ascii="Verdana" w:eastAsia="Times New Roman" w:hAnsi="Verdana"/>
          <w:sz w:val="20"/>
          <w:lang w:val="es-CR" w:eastAsia="es-CR"/>
        </w:rPr>
        <w:t xml:space="preserve"> en </w:t>
      </w:r>
      <w:r w:rsidR="000C0D9E">
        <w:rPr>
          <w:rFonts w:ascii="Verdana" w:eastAsia="Times New Roman" w:hAnsi="Verdana"/>
          <w:sz w:val="20"/>
          <w:lang w:val="es-CR" w:eastAsia="es-CR"/>
        </w:rPr>
        <w:t>agosto</w:t>
      </w:r>
      <w:r w:rsidR="00DC0269" w:rsidRPr="00846DC8">
        <w:rPr>
          <w:rFonts w:ascii="Verdana" w:eastAsia="Times New Roman" w:hAnsi="Verdana"/>
          <w:sz w:val="20"/>
          <w:lang w:val="es-CR" w:eastAsia="es-CR"/>
        </w:rPr>
        <w:t xml:space="preserve"> de ese mismo año</w:t>
      </w:r>
      <w:r w:rsidR="00B45970" w:rsidRPr="00846DC8">
        <w:rPr>
          <w:rFonts w:ascii="Verdana" w:eastAsia="Times New Roman" w:hAnsi="Verdana"/>
          <w:sz w:val="20"/>
          <w:lang w:val="es-CR" w:eastAsia="es-CR"/>
        </w:rPr>
        <w:t xml:space="preserve"> se celebró una reunión en la Fiscalía General de la República (sucesora de la Procuraduría General de la República) con el agente fiscal a cargo del expediente, </w:t>
      </w:r>
      <w:r w:rsidRPr="00846DC8">
        <w:rPr>
          <w:rFonts w:ascii="Verdana" w:eastAsia="Times New Roman" w:hAnsi="Verdana"/>
          <w:sz w:val="20"/>
          <w:lang w:val="es-CR" w:eastAsia="es-CR"/>
        </w:rPr>
        <w:t>donde los representantes “pudi[eron] constatar la disposición</w:t>
      </w:r>
      <w:r w:rsidR="000C0D9E">
        <w:rPr>
          <w:rFonts w:ascii="Verdana" w:eastAsia="Times New Roman" w:hAnsi="Verdana"/>
          <w:sz w:val="20"/>
          <w:lang w:val="es-CR" w:eastAsia="es-CR"/>
        </w:rPr>
        <w:t xml:space="preserve"> </w:t>
      </w:r>
      <w:r w:rsidR="000C0D9E" w:rsidRPr="0074397E">
        <w:rPr>
          <w:rFonts w:ascii="Verdana" w:eastAsia="Times New Roman" w:hAnsi="Verdana"/>
          <w:sz w:val="20"/>
          <w:lang w:val="es-CR" w:eastAsia="es-CR"/>
        </w:rPr>
        <w:t>[…] manifestada por el Estado” en el referido informe de agosto de 2019</w:t>
      </w:r>
      <w:r w:rsidR="00B45970" w:rsidRPr="0074397E">
        <w:rPr>
          <w:rStyle w:val="Refdenotaalpie"/>
          <w:rFonts w:ascii="Verdana" w:eastAsia="Times New Roman" w:hAnsi="Verdana"/>
          <w:sz w:val="20"/>
          <w:lang w:val="es-CR" w:eastAsia="es-CR"/>
        </w:rPr>
        <w:footnoteReference w:id="32"/>
      </w:r>
      <w:r w:rsidR="000C0D9E" w:rsidRPr="0074397E">
        <w:rPr>
          <w:rFonts w:ascii="Verdana" w:eastAsia="Times New Roman" w:hAnsi="Verdana"/>
          <w:sz w:val="20"/>
          <w:lang w:val="es-CR" w:eastAsia="es-CR"/>
        </w:rPr>
        <w:t>.</w:t>
      </w:r>
    </w:p>
    <w:p w14:paraId="3AF1FAFE" w14:textId="7CAB6C3D" w:rsidR="00BE5E4E" w:rsidRPr="000C0D9E" w:rsidRDefault="0016447E" w:rsidP="00BE5E4E">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 xml:space="preserve">Finalmente, </w:t>
      </w:r>
      <w:r w:rsidR="00C01401" w:rsidRPr="00846DC8">
        <w:rPr>
          <w:rFonts w:ascii="Verdana" w:eastAsia="Times New Roman" w:hAnsi="Verdana"/>
          <w:sz w:val="20"/>
          <w:lang w:val="es-CR" w:eastAsia="es-CR"/>
        </w:rPr>
        <w:t xml:space="preserve">con respecto al </w:t>
      </w:r>
      <w:r w:rsidRPr="00846DC8">
        <w:rPr>
          <w:rFonts w:ascii="Verdana" w:eastAsia="Times New Roman" w:hAnsi="Verdana"/>
          <w:sz w:val="20"/>
          <w:lang w:val="es-CR" w:eastAsia="es-CR"/>
        </w:rPr>
        <w:t xml:space="preserve">extremo de la medida relativo </w:t>
      </w:r>
      <w:r w:rsidR="00DC0269" w:rsidRPr="00846DC8">
        <w:rPr>
          <w:rFonts w:ascii="Verdana" w:eastAsia="Times New Roman" w:hAnsi="Verdana"/>
          <w:sz w:val="20"/>
          <w:lang w:val="es-CR" w:eastAsia="es-CR"/>
        </w:rPr>
        <w:t xml:space="preserve">a </w:t>
      </w:r>
      <w:r w:rsidR="000C0D9E">
        <w:rPr>
          <w:rFonts w:ascii="Verdana" w:eastAsia="Times New Roman" w:hAnsi="Verdana"/>
          <w:sz w:val="20"/>
          <w:lang w:val="es-CR" w:eastAsia="es-CR"/>
        </w:rPr>
        <w:t>“adelantar las acciones disciplinarias, administrativas o penales pertinentes en el evento de que en la investigación de los […] hechos se demuestren irregularidades procesales e investigativas” (</w:t>
      </w:r>
      <w:r w:rsidR="000C0D9E">
        <w:rPr>
          <w:rFonts w:ascii="Verdana" w:eastAsia="Times New Roman" w:hAnsi="Verdana"/>
          <w:i/>
          <w:sz w:val="20"/>
          <w:lang w:val="es-CR" w:eastAsia="es-CR"/>
        </w:rPr>
        <w:t xml:space="preserve">supra </w:t>
      </w:r>
      <w:r w:rsidR="000C0D9E">
        <w:rPr>
          <w:rFonts w:ascii="Verdana" w:eastAsia="Times New Roman" w:hAnsi="Verdana"/>
          <w:sz w:val="20"/>
          <w:lang w:val="es-CR" w:eastAsia="es-CR"/>
        </w:rPr>
        <w:t xml:space="preserve">Considerando 4), </w:t>
      </w:r>
      <w:r w:rsidRPr="00846DC8">
        <w:rPr>
          <w:rFonts w:ascii="Verdana" w:hAnsi="Verdana"/>
          <w:sz w:val="20"/>
          <w:lang w:val="es-CO"/>
        </w:rPr>
        <w:t>el Estado refirió que</w:t>
      </w:r>
      <w:r w:rsidR="004E574B" w:rsidRPr="00846DC8">
        <w:rPr>
          <w:rFonts w:ascii="Verdana" w:hAnsi="Verdana"/>
          <w:sz w:val="20"/>
          <w:lang w:val="es-CO"/>
        </w:rPr>
        <w:t xml:space="preserve"> </w:t>
      </w:r>
      <w:r w:rsidR="004E574B" w:rsidRPr="00846DC8">
        <w:rPr>
          <w:rFonts w:ascii="Verdana" w:eastAsia="Times New Roman" w:hAnsi="Verdana"/>
          <w:sz w:val="20"/>
          <w:lang w:val="es-CR" w:eastAsia="es-CR"/>
        </w:rPr>
        <w:t>“</w:t>
      </w:r>
      <w:r w:rsidR="004E574B" w:rsidRPr="00846DC8">
        <w:rPr>
          <w:rFonts w:ascii="Verdana" w:eastAsia="Times New Roman" w:hAnsi="Verdana"/>
          <w:sz w:val="20"/>
          <w:lang w:val="es-AR" w:eastAsia="es-CR"/>
        </w:rPr>
        <w:t xml:space="preserve">contin[uaba] agotando la línea de investigación consistente en la </w:t>
      </w:r>
      <w:r w:rsidR="00632590" w:rsidRPr="00846DC8">
        <w:rPr>
          <w:rFonts w:ascii="Verdana" w:eastAsia="Times New Roman" w:hAnsi="Verdana"/>
          <w:sz w:val="20"/>
          <w:lang w:val="es-AR" w:eastAsia="es-CR"/>
        </w:rPr>
        <w:t>[…]</w:t>
      </w:r>
      <w:r w:rsidR="00632590">
        <w:rPr>
          <w:rFonts w:ascii="Verdana" w:eastAsia="Times New Roman" w:hAnsi="Verdana"/>
          <w:sz w:val="20"/>
          <w:lang w:val="es-AR" w:eastAsia="es-CR"/>
        </w:rPr>
        <w:t xml:space="preserve"> </w:t>
      </w:r>
      <w:r w:rsidR="004E574B" w:rsidRPr="00846DC8">
        <w:rPr>
          <w:rFonts w:ascii="Verdana" w:eastAsia="Times New Roman" w:hAnsi="Verdana"/>
          <w:sz w:val="20"/>
          <w:lang w:val="es-AR" w:eastAsia="es-CR"/>
        </w:rPr>
        <w:t>responsabilidad administrativa de servidores públicos por irregularidades procesales en la investigación de los hechos”</w:t>
      </w:r>
      <w:r w:rsidR="004E574B" w:rsidRPr="00846DC8">
        <w:rPr>
          <w:rStyle w:val="Refdenotaalpie"/>
          <w:rFonts w:ascii="Verdana" w:eastAsia="Times New Roman" w:hAnsi="Verdana"/>
          <w:sz w:val="20"/>
          <w:lang w:val="es-AR" w:eastAsia="es-CR"/>
        </w:rPr>
        <w:footnoteReference w:id="33"/>
      </w:r>
      <w:r w:rsidR="004E574B" w:rsidRPr="00846DC8">
        <w:rPr>
          <w:rFonts w:ascii="Verdana" w:eastAsia="Times New Roman" w:hAnsi="Verdana"/>
          <w:sz w:val="20"/>
          <w:lang w:val="es-AR" w:eastAsia="es-CR"/>
        </w:rPr>
        <w:t>, e informó que</w:t>
      </w:r>
      <w:r w:rsidRPr="00846DC8">
        <w:rPr>
          <w:rFonts w:ascii="Verdana" w:hAnsi="Verdana"/>
          <w:sz w:val="20"/>
          <w:lang w:val="es-CO"/>
        </w:rPr>
        <w:t xml:space="preserve"> realizó una serie de diligencias tales como solicitar copias certificadas de las actuaciones, preguntar si existían informes justificando la decisión de archivar la investigación, o bien citar a declarar a agentes del Ministerio Público Militar</w:t>
      </w:r>
      <w:r w:rsidRPr="00846DC8">
        <w:rPr>
          <w:rStyle w:val="Refdenotaalpie"/>
          <w:rFonts w:ascii="Verdana" w:hAnsi="Verdana"/>
          <w:sz w:val="20"/>
          <w:lang w:val="es-CO"/>
        </w:rPr>
        <w:footnoteReference w:id="34"/>
      </w:r>
      <w:r w:rsidRPr="00846DC8">
        <w:rPr>
          <w:rFonts w:ascii="Verdana" w:hAnsi="Verdana"/>
          <w:sz w:val="20"/>
          <w:lang w:val="es-CO"/>
        </w:rPr>
        <w:t>.</w:t>
      </w:r>
      <w:r w:rsidR="00C01401" w:rsidRPr="00846DC8">
        <w:rPr>
          <w:rFonts w:ascii="Verdana" w:hAnsi="Verdana"/>
          <w:sz w:val="20"/>
          <w:lang w:val="es-CO"/>
        </w:rPr>
        <w:t xml:space="preserve"> </w:t>
      </w:r>
    </w:p>
    <w:p w14:paraId="551B9DBD" w14:textId="77777777" w:rsidR="00976EBB" w:rsidRPr="00846DC8" w:rsidRDefault="00976EBB" w:rsidP="00BE5E4E">
      <w:pPr>
        <w:widowControl w:val="0"/>
        <w:tabs>
          <w:tab w:val="left" w:pos="709"/>
        </w:tabs>
        <w:spacing w:before="120" w:after="120"/>
        <w:jc w:val="both"/>
        <w:rPr>
          <w:rFonts w:ascii="Verdana" w:eastAsia="Times New Roman" w:hAnsi="Verdana"/>
          <w:sz w:val="20"/>
          <w:lang w:val="es-CR" w:eastAsia="es-CR"/>
        </w:rPr>
      </w:pPr>
    </w:p>
    <w:p w14:paraId="036CF628" w14:textId="39587989" w:rsidR="004D749C" w:rsidRPr="00846DC8" w:rsidRDefault="00CA7DEA" w:rsidP="00BA7C8A">
      <w:pPr>
        <w:widowControl w:val="0"/>
        <w:tabs>
          <w:tab w:val="left" w:pos="709"/>
        </w:tabs>
        <w:spacing w:before="120" w:after="120"/>
        <w:ind w:left="284"/>
        <w:jc w:val="both"/>
        <w:rPr>
          <w:rFonts w:ascii="Verdana" w:eastAsia="Times New Roman" w:hAnsi="Verdana"/>
          <w:sz w:val="20"/>
          <w:lang w:val="es-CR" w:eastAsia="es-CR"/>
        </w:rPr>
      </w:pPr>
      <w:r w:rsidRPr="00846DC8">
        <w:rPr>
          <w:rFonts w:ascii="Verdana" w:hAnsi="Verdana"/>
          <w:i/>
          <w:sz w:val="20"/>
          <w:lang w:val="es-CO"/>
        </w:rPr>
        <w:tab/>
        <w:t>A.3. Consideraciones de la Corte</w:t>
      </w:r>
    </w:p>
    <w:p w14:paraId="6681A12D" w14:textId="2508F1E4" w:rsidR="00BB0F4B" w:rsidRPr="00846DC8" w:rsidRDefault="00BB0F4B" w:rsidP="002413FF">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La Corte nota c</w:t>
      </w:r>
      <w:r w:rsidR="008D1354" w:rsidRPr="00846DC8">
        <w:rPr>
          <w:rFonts w:ascii="Verdana" w:eastAsia="Times New Roman" w:hAnsi="Verdana"/>
          <w:sz w:val="20"/>
          <w:lang w:val="es-CR" w:eastAsia="es-CR"/>
        </w:rPr>
        <w:t xml:space="preserve">on preocupación que, a </w:t>
      </w:r>
      <w:r w:rsidRPr="00846DC8">
        <w:rPr>
          <w:rFonts w:ascii="Verdana" w:eastAsia="Times New Roman" w:hAnsi="Verdana"/>
          <w:sz w:val="20"/>
          <w:lang w:val="es-CR" w:eastAsia="es-CR"/>
        </w:rPr>
        <w:t xml:space="preserve">casi </w:t>
      </w:r>
      <w:r w:rsidR="008D1354" w:rsidRPr="00846DC8">
        <w:rPr>
          <w:rFonts w:ascii="Verdana" w:eastAsia="Times New Roman" w:hAnsi="Verdana"/>
          <w:sz w:val="20"/>
          <w:lang w:val="es-CR" w:eastAsia="es-CR"/>
        </w:rPr>
        <w:t>diez</w:t>
      </w:r>
      <w:r w:rsidRPr="00846DC8">
        <w:rPr>
          <w:rFonts w:ascii="Verdana" w:eastAsia="Times New Roman" w:hAnsi="Verdana"/>
          <w:sz w:val="20"/>
          <w:lang w:val="es-CR" w:eastAsia="es-CR"/>
        </w:rPr>
        <w:t xml:space="preserve"> </w:t>
      </w:r>
      <w:r w:rsidR="001E10A9" w:rsidRPr="00846DC8">
        <w:rPr>
          <w:rFonts w:ascii="Verdana" w:eastAsia="Times New Roman" w:hAnsi="Verdana"/>
          <w:sz w:val="20"/>
          <w:lang w:val="es-CR" w:eastAsia="es-CR"/>
        </w:rPr>
        <w:t xml:space="preserve">años </w:t>
      </w:r>
      <w:r w:rsidRPr="00846DC8">
        <w:rPr>
          <w:rFonts w:ascii="Verdana" w:eastAsia="Times New Roman" w:hAnsi="Verdana"/>
          <w:sz w:val="20"/>
          <w:lang w:val="es-CR" w:eastAsia="es-CR"/>
        </w:rPr>
        <w:t>desde la emisión de la Sentencia, la investigaci</w:t>
      </w:r>
      <w:r w:rsidR="00BC6F4B">
        <w:rPr>
          <w:rFonts w:ascii="Verdana" w:eastAsia="Times New Roman" w:hAnsi="Verdana"/>
          <w:sz w:val="20"/>
          <w:lang w:val="es-CR" w:eastAsia="es-CR"/>
        </w:rPr>
        <w:t>ón continúa en etapa preliminar, sin que haya habido</w:t>
      </w:r>
      <w:r w:rsidRPr="00846DC8">
        <w:rPr>
          <w:rFonts w:ascii="Verdana" w:eastAsia="Times New Roman" w:hAnsi="Verdana"/>
          <w:sz w:val="20"/>
          <w:lang w:val="es-CR" w:eastAsia="es-CR"/>
        </w:rPr>
        <w:t xml:space="preserve"> avance</w:t>
      </w:r>
      <w:r w:rsidR="0070783A" w:rsidRPr="00846DC8">
        <w:rPr>
          <w:rFonts w:ascii="Verdana" w:eastAsia="Times New Roman" w:hAnsi="Verdana"/>
          <w:sz w:val="20"/>
          <w:lang w:val="es-CR" w:eastAsia="es-CR"/>
        </w:rPr>
        <w:t>s significativos en los más de seis</w:t>
      </w:r>
      <w:r w:rsidRPr="00846DC8">
        <w:rPr>
          <w:rFonts w:ascii="Verdana" w:eastAsia="Times New Roman" w:hAnsi="Verdana"/>
          <w:sz w:val="20"/>
          <w:lang w:val="es-CR" w:eastAsia="es-CR"/>
        </w:rPr>
        <w:t xml:space="preserve"> años que han transcurrido desde que se citó a declarar en calidad de probables responsables a cuatro agentes militares que presuntamente habrían participado del operativo de detención de las víctimas del presente caso (</w:t>
      </w:r>
      <w:r w:rsidRPr="00846DC8">
        <w:rPr>
          <w:rFonts w:ascii="Verdana" w:eastAsia="Times New Roman" w:hAnsi="Verdana"/>
          <w:i/>
          <w:sz w:val="20"/>
          <w:lang w:val="es-CR" w:eastAsia="es-CR"/>
        </w:rPr>
        <w:t xml:space="preserve">supra </w:t>
      </w:r>
      <w:r w:rsidR="00BC6F4B">
        <w:rPr>
          <w:rFonts w:ascii="Verdana" w:eastAsia="Times New Roman" w:hAnsi="Verdana"/>
          <w:sz w:val="20"/>
          <w:lang w:val="es-CR" w:eastAsia="es-CR"/>
        </w:rPr>
        <w:t>Considerando 6</w:t>
      </w:r>
      <w:r w:rsidRPr="00846DC8">
        <w:rPr>
          <w:rFonts w:ascii="Verdana" w:eastAsia="Times New Roman" w:hAnsi="Verdana"/>
          <w:sz w:val="20"/>
          <w:lang w:val="es-CR" w:eastAsia="es-CR"/>
        </w:rPr>
        <w:t>). El Estado no ha explicado qué diligencias planea realizar o cómo procederá para avanzar en la investigación respecto de estas cuatro personas, y durante los últimos años no ha presentado información actualizada con respecto a esta línea de investigación</w:t>
      </w:r>
      <w:r w:rsidRPr="00846DC8">
        <w:rPr>
          <w:rStyle w:val="Refdenotaalpie"/>
          <w:rFonts w:ascii="Verdana" w:eastAsia="Times New Roman" w:hAnsi="Verdana"/>
          <w:sz w:val="20"/>
          <w:lang w:val="es-CR" w:eastAsia="es-CR"/>
        </w:rPr>
        <w:footnoteReference w:id="35"/>
      </w:r>
      <w:r w:rsidRPr="00846DC8">
        <w:rPr>
          <w:rFonts w:ascii="Verdana" w:eastAsia="Times New Roman" w:hAnsi="Verdana"/>
          <w:sz w:val="20"/>
          <w:lang w:val="es-CR" w:eastAsia="es-CR"/>
        </w:rPr>
        <w:t>.</w:t>
      </w:r>
      <w:r w:rsidRPr="00846DC8">
        <w:rPr>
          <w:rFonts w:ascii="Verdana" w:eastAsia="Times New Roman" w:hAnsi="Verdana"/>
          <w:b/>
          <w:sz w:val="20"/>
          <w:lang w:val="es-CR" w:eastAsia="es-CR"/>
        </w:rPr>
        <w:t xml:space="preserve"> </w:t>
      </w:r>
      <w:r w:rsidRPr="00846DC8">
        <w:rPr>
          <w:rFonts w:ascii="Verdana" w:eastAsia="Times New Roman" w:hAnsi="Verdana"/>
          <w:sz w:val="20"/>
          <w:lang w:val="es-CR" w:eastAsia="es-CR"/>
        </w:rPr>
        <w:t>En este sentido, no resulta claro cuáles son los pasos</w:t>
      </w:r>
      <w:r w:rsidR="005C5803" w:rsidRPr="00846DC8">
        <w:rPr>
          <w:rFonts w:ascii="Verdana" w:eastAsia="Times New Roman" w:hAnsi="Verdana"/>
          <w:sz w:val="20"/>
          <w:lang w:val="es-CR" w:eastAsia="es-CR"/>
        </w:rPr>
        <w:t xml:space="preserve"> que México está siguiendo</w:t>
      </w:r>
      <w:r w:rsidRPr="00846DC8">
        <w:rPr>
          <w:rFonts w:ascii="Verdana" w:eastAsia="Times New Roman" w:hAnsi="Verdana"/>
          <w:sz w:val="20"/>
          <w:lang w:val="es-CR" w:eastAsia="es-CR"/>
        </w:rPr>
        <w:t xml:space="preserve"> para </w:t>
      </w:r>
      <w:r w:rsidR="005C5803" w:rsidRPr="00846DC8">
        <w:rPr>
          <w:rFonts w:ascii="Verdana" w:eastAsia="Times New Roman" w:hAnsi="Verdana"/>
          <w:sz w:val="20"/>
          <w:lang w:val="es-CR" w:eastAsia="es-CR"/>
        </w:rPr>
        <w:t xml:space="preserve">avanzar hacia las siguientes etapas procesales y lograr </w:t>
      </w:r>
      <w:r w:rsidRPr="00846DC8">
        <w:rPr>
          <w:rFonts w:ascii="Verdana" w:eastAsia="Times New Roman" w:hAnsi="Verdana"/>
          <w:sz w:val="20"/>
          <w:lang w:val="es-CR" w:eastAsia="es-CR"/>
        </w:rPr>
        <w:t xml:space="preserve">la formalización de los cargos, </w:t>
      </w:r>
      <w:r w:rsidR="005C5803" w:rsidRPr="00846DC8">
        <w:rPr>
          <w:rFonts w:ascii="Verdana" w:eastAsia="Times New Roman" w:hAnsi="Verdana"/>
          <w:sz w:val="20"/>
          <w:lang w:val="es-CR" w:eastAsia="es-CR"/>
        </w:rPr>
        <w:t xml:space="preserve">así como </w:t>
      </w:r>
      <w:r w:rsidRPr="00846DC8">
        <w:rPr>
          <w:rFonts w:ascii="Verdana" w:eastAsia="Times New Roman" w:hAnsi="Verdana"/>
          <w:sz w:val="20"/>
          <w:lang w:val="es-CR" w:eastAsia="es-CR"/>
        </w:rPr>
        <w:t>el procesamien</w:t>
      </w:r>
      <w:r w:rsidR="005C5803" w:rsidRPr="00846DC8">
        <w:rPr>
          <w:rFonts w:ascii="Verdana" w:eastAsia="Times New Roman" w:hAnsi="Verdana"/>
          <w:sz w:val="20"/>
          <w:lang w:val="es-CR" w:eastAsia="es-CR"/>
        </w:rPr>
        <w:t>to y eventual enjuiciamiento</w:t>
      </w:r>
      <w:r w:rsidRPr="00846DC8">
        <w:rPr>
          <w:rFonts w:ascii="Verdana" w:eastAsia="Times New Roman" w:hAnsi="Verdana"/>
          <w:sz w:val="20"/>
          <w:lang w:val="es-CR" w:eastAsia="es-CR"/>
        </w:rPr>
        <w:t xml:space="preserve"> de las personas identificadas como probables responsables</w:t>
      </w:r>
      <w:r w:rsidR="00EF49D4">
        <w:rPr>
          <w:rFonts w:ascii="Verdana" w:eastAsia="Times New Roman" w:hAnsi="Verdana"/>
          <w:sz w:val="20"/>
          <w:lang w:val="es-CR" w:eastAsia="es-CR"/>
        </w:rPr>
        <w:t>, así como de otras que eventualmente pudiera identificar</w:t>
      </w:r>
      <w:r w:rsidRPr="00846DC8">
        <w:rPr>
          <w:rFonts w:ascii="Verdana" w:eastAsia="Times New Roman" w:hAnsi="Verdana"/>
          <w:sz w:val="20"/>
          <w:lang w:val="es-CR" w:eastAsia="es-CR"/>
        </w:rPr>
        <w:t xml:space="preserve">. </w:t>
      </w:r>
    </w:p>
    <w:p w14:paraId="62D326AE" w14:textId="0D567284" w:rsidR="00805A95" w:rsidRPr="00846DC8" w:rsidRDefault="00805A95"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 xml:space="preserve">Asimismo, si bien </w:t>
      </w:r>
      <w:r w:rsidRPr="00846DC8">
        <w:rPr>
          <w:rFonts w:ascii="Verdana" w:eastAsia="Times New Roman" w:hAnsi="Verdana"/>
          <w:sz w:val="20"/>
          <w:lang w:val="es-AR" w:eastAsia="es-CR"/>
        </w:rPr>
        <w:t>este Tribunal valora positivamente que el Estado haya procurado localizar y hacer comparecer a declarar a distintos testigos, la forma en que México presenta la información sobre este punto no permite a esta Corte valorar plenamente las acciones llevadas a cabo. Así, por ejemplo: (i) el Estado no relaciona cuáles o cuántas de las personas localizadas y citadas a declarar han comparecido; (ii) se refirió por separado a varios números de comparecencias en distintas oportunidades, sin aclarar si estos números son cumulativos, o si el número de comparecencias informado en la última oportunidad incluye las anteriores; y (iii) tampoco detalló cuáles fueron los resultados de las comparecencias referidas, o en qué forma dichos citatorios se relacionaban con las líneas de investigación perseguidas</w:t>
      </w:r>
      <w:r w:rsidRPr="00846DC8">
        <w:rPr>
          <w:rStyle w:val="Refdenotaalpie"/>
          <w:rFonts w:ascii="Verdana" w:eastAsia="Times New Roman" w:hAnsi="Verdana"/>
          <w:sz w:val="20"/>
          <w:lang w:val="es-AR" w:eastAsia="es-CR"/>
        </w:rPr>
        <w:footnoteReference w:id="36"/>
      </w:r>
      <w:r w:rsidRPr="00846DC8">
        <w:rPr>
          <w:rFonts w:ascii="Verdana" w:eastAsia="Times New Roman" w:hAnsi="Verdana"/>
          <w:sz w:val="20"/>
          <w:lang w:val="es-AR" w:eastAsia="es-CR"/>
        </w:rPr>
        <w:t>.</w:t>
      </w:r>
      <w:r w:rsidRPr="00846DC8">
        <w:rPr>
          <w:rFonts w:ascii="Times New Roman" w:eastAsiaTheme="minorHAnsi" w:hAnsi="Times New Roman"/>
          <w:lang w:val="es-AR"/>
        </w:rPr>
        <w:t xml:space="preserve"> </w:t>
      </w:r>
      <w:r w:rsidRPr="00846DC8">
        <w:rPr>
          <w:rFonts w:ascii="Verdana" w:eastAsia="Times New Roman" w:hAnsi="Verdana"/>
          <w:sz w:val="20"/>
          <w:lang w:val="es-AR" w:eastAsia="es-CR"/>
        </w:rPr>
        <w:t>La Corte nota</w:t>
      </w:r>
      <w:r w:rsidR="00835A7D">
        <w:rPr>
          <w:rFonts w:ascii="Verdana" w:eastAsia="Times New Roman" w:hAnsi="Verdana"/>
          <w:sz w:val="20"/>
          <w:lang w:val="es-AR" w:eastAsia="es-CR"/>
        </w:rPr>
        <w:t>,</w:t>
      </w:r>
      <w:r w:rsidRPr="00846DC8">
        <w:rPr>
          <w:rFonts w:ascii="Verdana" w:eastAsia="Times New Roman" w:hAnsi="Verdana"/>
          <w:sz w:val="20"/>
          <w:lang w:val="es-AR" w:eastAsia="es-CR"/>
        </w:rPr>
        <w:t xml:space="preserve"> asimismo</w:t>
      </w:r>
      <w:r w:rsidR="00835A7D">
        <w:rPr>
          <w:rFonts w:ascii="Verdana" w:eastAsia="Times New Roman" w:hAnsi="Verdana"/>
          <w:sz w:val="20"/>
          <w:lang w:val="es-AR" w:eastAsia="es-CR"/>
        </w:rPr>
        <w:t>,</w:t>
      </w:r>
      <w:r w:rsidRPr="00846DC8">
        <w:rPr>
          <w:rFonts w:ascii="Verdana" w:eastAsia="Times New Roman" w:hAnsi="Verdana"/>
          <w:sz w:val="20"/>
          <w:lang w:val="es-AR" w:eastAsia="es-CR"/>
        </w:rPr>
        <w:t xml:space="preserve"> que la información aportada respecto de las diligencias realizadas es vaga e imprecisa; no permite identificar cuáles son las líneas de investigación que se están siguiendo, y tampoco permite vincular las diligencias informadas con dichas línea</w:t>
      </w:r>
      <w:r w:rsidR="00492441" w:rsidRPr="00846DC8">
        <w:rPr>
          <w:rFonts w:ascii="Verdana" w:eastAsia="Times New Roman" w:hAnsi="Verdana"/>
          <w:sz w:val="20"/>
          <w:lang w:val="es-AR" w:eastAsia="es-CR"/>
        </w:rPr>
        <w:t>s</w:t>
      </w:r>
      <w:r w:rsidRPr="00846DC8">
        <w:rPr>
          <w:rFonts w:ascii="Verdana" w:eastAsia="Times New Roman" w:hAnsi="Verdana"/>
          <w:sz w:val="20"/>
          <w:lang w:val="es-AR" w:eastAsia="es-CR"/>
        </w:rPr>
        <w:t xml:space="preserve"> de investigación, lo cual hace que la información no pueda ser valorada adecuadamente</w:t>
      </w:r>
      <w:r w:rsidRPr="00846DC8">
        <w:rPr>
          <w:rStyle w:val="Refdenotaalpie"/>
          <w:rFonts w:ascii="Verdana" w:eastAsia="Times New Roman" w:hAnsi="Verdana"/>
          <w:sz w:val="20"/>
          <w:lang w:val="es-AR" w:eastAsia="es-CR"/>
        </w:rPr>
        <w:footnoteReference w:id="37"/>
      </w:r>
      <w:r w:rsidRPr="00846DC8">
        <w:rPr>
          <w:rFonts w:ascii="Verdana" w:eastAsia="Times New Roman" w:hAnsi="Verdana"/>
          <w:sz w:val="20"/>
          <w:lang w:val="es-AR" w:eastAsia="es-CR"/>
        </w:rPr>
        <w:t>.</w:t>
      </w:r>
    </w:p>
    <w:p w14:paraId="5CC0C276" w14:textId="252ECEC2" w:rsidR="00CC1B61" w:rsidRPr="00F36244" w:rsidRDefault="00921759" w:rsidP="00CC1B61">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F36244">
        <w:rPr>
          <w:rFonts w:ascii="Verdana" w:eastAsia="Times New Roman" w:hAnsi="Verdana"/>
          <w:sz w:val="20"/>
          <w:lang w:val="es-CR" w:eastAsia="es-CR"/>
        </w:rPr>
        <w:t xml:space="preserve">Por otro lado, con relación a los peritajes realizados a las víctimas conforme al Protocolo de Estambul, este Tribunal nota que </w:t>
      </w:r>
      <w:r w:rsidR="002B5858" w:rsidRPr="00F36244">
        <w:rPr>
          <w:rFonts w:ascii="Verdana" w:eastAsia="Times New Roman" w:hAnsi="Verdana"/>
          <w:sz w:val="20"/>
          <w:lang w:val="es-CR" w:eastAsia="es-CR"/>
        </w:rPr>
        <w:t>los representantes</w:t>
      </w:r>
      <w:r w:rsidR="00591F84" w:rsidRPr="00F36244">
        <w:rPr>
          <w:rFonts w:ascii="Verdana" w:eastAsia="Times New Roman" w:hAnsi="Verdana"/>
          <w:sz w:val="20"/>
          <w:lang w:val="es-CR" w:eastAsia="es-CR"/>
        </w:rPr>
        <w:t xml:space="preserve"> </w:t>
      </w:r>
      <w:r w:rsidR="00EF3443" w:rsidRPr="00F36244">
        <w:rPr>
          <w:rFonts w:ascii="Verdana" w:eastAsia="Times New Roman" w:hAnsi="Verdana"/>
          <w:sz w:val="20"/>
          <w:lang w:val="es-CR" w:eastAsia="es-CR"/>
        </w:rPr>
        <w:t>presentaron varias objeciones a</w:t>
      </w:r>
      <w:r w:rsidR="001E10A9" w:rsidRPr="00F36244">
        <w:rPr>
          <w:rFonts w:ascii="Verdana" w:eastAsia="Times New Roman" w:hAnsi="Verdana"/>
          <w:sz w:val="20"/>
          <w:lang w:val="es-CR" w:eastAsia="es-CR"/>
        </w:rPr>
        <w:t xml:space="preserve"> tales peritajes</w:t>
      </w:r>
      <w:r w:rsidR="00852C33">
        <w:rPr>
          <w:rFonts w:ascii="Verdana" w:eastAsia="Times New Roman" w:hAnsi="Verdana"/>
          <w:sz w:val="20"/>
          <w:lang w:val="es-CR" w:eastAsia="es-CR"/>
        </w:rPr>
        <w:t xml:space="preserve"> (</w:t>
      </w:r>
      <w:r w:rsidR="00852C33">
        <w:rPr>
          <w:rFonts w:ascii="Verdana" w:eastAsia="Times New Roman" w:hAnsi="Verdana"/>
          <w:i/>
          <w:sz w:val="20"/>
          <w:lang w:val="es-CR" w:eastAsia="es-CR"/>
        </w:rPr>
        <w:t xml:space="preserve">supra </w:t>
      </w:r>
      <w:r w:rsidR="00852C33">
        <w:rPr>
          <w:rFonts w:ascii="Verdana" w:eastAsia="Times New Roman" w:hAnsi="Verdana"/>
          <w:sz w:val="20"/>
          <w:lang w:val="es-CR" w:eastAsia="es-CR"/>
        </w:rPr>
        <w:t>Considerando 9)</w:t>
      </w:r>
      <w:r w:rsidR="00591F84" w:rsidRPr="00F36244">
        <w:rPr>
          <w:rFonts w:ascii="Verdana" w:eastAsia="Times New Roman" w:hAnsi="Verdana"/>
          <w:sz w:val="20"/>
          <w:lang w:val="es-CR" w:eastAsia="es-CR"/>
        </w:rPr>
        <w:t>,</w:t>
      </w:r>
      <w:r w:rsidR="00890587" w:rsidRPr="00F36244">
        <w:rPr>
          <w:rFonts w:ascii="Verdana" w:eastAsia="Times New Roman" w:hAnsi="Verdana"/>
          <w:sz w:val="20"/>
          <w:lang w:val="es-CR" w:eastAsia="es-CR"/>
        </w:rPr>
        <w:t xml:space="preserve"> las</w:t>
      </w:r>
      <w:r w:rsidR="001E10A9" w:rsidRPr="00F36244">
        <w:rPr>
          <w:rFonts w:ascii="Verdana" w:eastAsia="Times New Roman" w:hAnsi="Verdana"/>
          <w:sz w:val="20"/>
          <w:lang w:val="es-CR" w:eastAsia="es-CR"/>
        </w:rPr>
        <w:t xml:space="preserve"> cual</w:t>
      </w:r>
      <w:r w:rsidR="00890587" w:rsidRPr="00F36244">
        <w:rPr>
          <w:rFonts w:ascii="Verdana" w:eastAsia="Times New Roman" w:hAnsi="Verdana"/>
          <w:sz w:val="20"/>
          <w:lang w:val="es-CR" w:eastAsia="es-CR"/>
        </w:rPr>
        <w:t>es</w:t>
      </w:r>
      <w:r w:rsidR="001E10A9" w:rsidRPr="00F36244">
        <w:rPr>
          <w:rFonts w:ascii="Verdana" w:eastAsia="Times New Roman" w:hAnsi="Verdana"/>
          <w:sz w:val="20"/>
          <w:lang w:val="es-CR" w:eastAsia="es-CR"/>
        </w:rPr>
        <w:t xml:space="preserve"> ha</w:t>
      </w:r>
      <w:r w:rsidR="00890587" w:rsidRPr="00F36244">
        <w:rPr>
          <w:rFonts w:ascii="Verdana" w:eastAsia="Times New Roman" w:hAnsi="Verdana"/>
          <w:sz w:val="20"/>
          <w:lang w:val="es-CR" w:eastAsia="es-CR"/>
        </w:rPr>
        <w:t>n</w:t>
      </w:r>
      <w:r w:rsidR="001E10A9" w:rsidRPr="00F36244">
        <w:rPr>
          <w:rFonts w:ascii="Verdana" w:eastAsia="Times New Roman" w:hAnsi="Verdana"/>
          <w:sz w:val="20"/>
          <w:lang w:val="es-CR" w:eastAsia="es-CR"/>
        </w:rPr>
        <w:t xml:space="preserve"> </w:t>
      </w:r>
      <w:r w:rsidR="00805A95" w:rsidRPr="00F36244">
        <w:rPr>
          <w:rFonts w:ascii="Verdana" w:eastAsia="Times New Roman" w:hAnsi="Verdana"/>
          <w:sz w:val="20"/>
          <w:lang w:val="es-CR" w:eastAsia="es-CR"/>
        </w:rPr>
        <w:t>sido respaldad</w:t>
      </w:r>
      <w:r w:rsidR="00890587" w:rsidRPr="00F36244">
        <w:rPr>
          <w:rFonts w:ascii="Verdana" w:eastAsia="Times New Roman" w:hAnsi="Verdana"/>
          <w:sz w:val="20"/>
          <w:lang w:val="es-CR" w:eastAsia="es-CR"/>
        </w:rPr>
        <w:t>as</w:t>
      </w:r>
      <w:r w:rsidR="00805A95" w:rsidRPr="00F36244">
        <w:rPr>
          <w:rFonts w:ascii="Verdana" w:eastAsia="Times New Roman" w:hAnsi="Verdana"/>
          <w:sz w:val="20"/>
          <w:lang w:val="es-CR" w:eastAsia="es-CR"/>
        </w:rPr>
        <w:t xml:space="preserve"> por una evaluación independ</w:t>
      </w:r>
      <w:r w:rsidR="001E10A9" w:rsidRPr="00F36244">
        <w:rPr>
          <w:rFonts w:ascii="Verdana" w:eastAsia="Times New Roman" w:hAnsi="Verdana"/>
          <w:sz w:val="20"/>
          <w:lang w:val="es-CR" w:eastAsia="es-CR"/>
        </w:rPr>
        <w:t>i</w:t>
      </w:r>
      <w:r w:rsidR="00805A95" w:rsidRPr="00F36244">
        <w:rPr>
          <w:rFonts w:ascii="Verdana" w:eastAsia="Times New Roman" w:hAnsi="Verdana"/>
          <w:sz w:val="20"/>
          <w:lang w:val="es-CR" w:eastAsia="es-CR"/>
        </w:rPr>
        <w:t xml:space="preserve">ente </w:t>
      </w:r>
      <w:r w:rsidR="008D27DF" w:rsidRPr="00F36244">
        <w:rPr>
          <w:rFonts w:ascii="Verdana" w:eastAsia="Times New Roman" w:hAnsi="Verdana"/>
          <w:sz w:val="20"/>
          <w:lang w:val="es-CR" w:eastAsia="es-CR"/>
        </w:rPr>
        <w:t>(</w:t>
      </w:r>
      <w:r w:rsidR="008D27DF" w:rsidRPr="00F36244">
        <w:rPr>
          <w:rFonts w:ascii="Verdana" w:eastAsia="Times New Roman" w:hAnsi="Verdana"/>
          <w:i/>
          <w:sz w:val="20"/>
          <w:lang w:val="es-CR" w:eastAsia="es-CR"/>
        </w:rPr>
        <w:t xml:space="preserve">supra </w:t>
      </w:r>
      <w:r w:rsidR="00426793">
        <w:rPr>
          <w:rFonts w:ascii="Verdana" w:eastAsia="Times New Roman" w:hAnsi="Verdana"/>
          <w:sz w:val="20"/>
          <w:lang w:val="es-CR" w:eastAsia="es-CR"/>
        </w:rPr>
        <w:t>nota al pie 28</w:t>
      </w:r>
      <w:r w:rsidR="008D27DF" w:rsidRPr="00F36244">
        <w:rPr>
          <w:rFonts w:ascii="Verdana" w:eastAsia="Times New Roman" w:hAnsi="Verdana"/>
          <w:sz w:val="20"/>
          <w:lang w:val="es-CR" w:eastAsia="es-CR"/>
        </w:rPr>
        <w:t>)</w:t>
      </w:r>
      <w:r w:rsidR="00EF3443" w:rsidRPr="00F36244">
        <w:rPr>
          <w:rFonts w:ascii="Verdana" w:eastAsia="Times New Roman" w:hAnsi="Verdana"/>
          <w:sz w:val="20"/>
          <w:lang w:val="es-CR" w:eastAsia="es-CR"/>
        </w:rPr>
        <w:t xml:space="preserve">. Así, entre otras cuestiones, objetaron </w:t>
      </w:r>
      <w:r w:rsidR="00EF3443" w:rsidRPr="00F36244">
        <w:rPr>
          <w:rFonts w:ascii="Verdana" w:eastAsia="Calibri" w:hAnsi="Verdana"/>
          <w:sz w:val="20"/>
          <w:lang w:val="es-ES"/>
        </w:rPr>
        <w:t>la falta de imparcialidad de la persona a cargo de la realización del examen médico que le fue practicado a los señores Cabrera García y Montiel Flores en el marco de la investigación llevada a cabo por la Procuraduría General de la República</w:t>
      </w:r>
      <w:r w:rsidR="00EF3443" w:rsidRPr="00F36244">
        <w:rPr>
          <w:rStyle w:val="Refdenotaalpie"/>
          <w:rFonts w:ascii="Verdana" w:eastAsia="Calibri" w:hAnsi="Verdana"/>
          <w:sz w:val="20"/>
          <w:lang w:val="es-ES"/>
        </w:rPr>
        <w:footnoteReference w:id="38"/>
      </w:r>
      <w:r w:rsidR="00890587" w:rsidRPr="00F36244">
        <w:rPr>
          <w:rFonts w:ascii="Verdana" w:eastAsia="Calibri" w:hAnsi="Verdana"/>
          <w:sz w:val="20"/>
          <w:lang w:val="es-ES"/>
        </w:rPr>
        <w:t>, y</w:t>
      </w:r>
      <w:r w:rsidR="00EF3443" w:rsidRPr="00F36244">
        <w:rPr>
          <w:rFonts w:ascii="Verdana" w:eastAsia="Calibri" w:hAnsi="Verdana"/>
          <w:sz w:val="20"/>
          <w:lang w:val="es-ES"/>
        </w:rPr>
        <w:t xml:space="preserve"> la falta de interpretación de la relación probable entre los síntomas físicos y psicológicos y las posibles torturas o malos tratos</w:t>
      </w:r>
      <w:r w:rsidR="00EF3443" w:rsidRPr="00F36244">
        <w:rPr>
          <w:rStyle w:val="Refdenotaalpie"/>
          <w:rFonts w:ascii="Verdana" w:eastAsia="Calibri" w:hAnsi="Verdana"/>
          <w:sz w:val="20"/>
          <w:lang w:val="es-ES"/>
        </w:rPr>
        <w:footnoteReference w:id="39"/>
      </w:r>
      <w:r w:rsidR="00EF3443" w:rsidRPr="00F36244">
        <w:rPr>
          <w:rFonts w:ascii="Verdana" w:eastAsia="Calibri" w:hAnsi="Verdana"/>
          <w:sz w:val="20"/>
          <w:lang w:val="es-ES"/>
        </w:rPr>
        <w:t xml:space="preserve">, ambos requisitos </w:t>
      </w:r>
      <w:r w:rsidR="00A34FFB" w:rsidRPr="00F36244">
        <w:rPr>
          <w:rFonts w:ascii="Verdana" w:eastAsia="Calibri" w:hAnsi="Verdana"/>
          <w:sz w:val="20"/>
          <w:lang w:val="es-ES"/>
        </w:rPr>
        <w:t xml:space="preserve">que, según lo establece </w:t>
      </w:r>
      <w:r w:rsidR="00EF3443" w:rsidRPr="00F36244">
        <w:rPr>
          <w:rFonts w:ascii="Verdana" w:eastAsia="Calibri" w:hAnsi="Verdana"/>
          <w:sz w:val="20"/>
          <w:lang w:val="es-ES"/>
        </w:rPr>
        <w:t>el Protocolo de Estambul</w:t>
      </w:r>
      <w:r w:rsidR="00A34FFB" w:rsidRPr="00F36244">
        <w:rPr>
          <w:rFonts w:ascii="Verdana" w:eastAsia="Calibri" w:hAnsi="Verdana"/>
          <w:sz w:val="20"/>
          <w:lang w:val="es-ES"/>
        </w:rPr>
        <w:t>, deben encontrarse presentes</w:t>
      </w:r>
      <w:r w:rsidR="00EF3443" w:rsidRPr="00F36244">
        <w:rPr>
          <w:rStyle w:val="Refdenotaalpie"/>
          <w:rFonts w:ascii="Verdana" w:eastAsia="Calibri" w:hAnsi="Verdana"/>
          <w:sz w:val="20"/>
          <w:lang w:val="es-ES"/>
        </w:rPr>
        <w:footnoteReference w:id="40"/>
      </w:r>
      <w:r w:rsidR="00EF3443" w:rsidRPr="00F36244">
        <w:rPr>
          <w:rFonts w:ascii="Verdana" w:eastAsia="Calibri" w:hAnsi="Verdana"/>
          <w:sz w:val="20"/>
          <w:lang w:val="es-ES"/>
        </w:rPr>
        <w:t xml:space="preserve">. </w:t>
      </w:r>
      <w:r w:rsidR="00EF3443" w:rsidRPr="00F36244">
        <w:rPr>
          <w:rFonts w:ascii="Verdana" w:eastAsia="Times New Roman" w:hAnsi="Verdana"/>
          <w:sz w:val="20"/>
          <w:lang w:val="es-ES" w:eastAsia="es-CR"/>
        </w:rPr>
        <w:t xml:space="preserve">Ante esto, </w:t>
      </w:r>
      <w:r w:rsidR="00CC1B61" w:rsidRPr="00F36244">
        <w:rPr>
          <w:rFonts w:ascii="Verdana" w:eastAsia="Times New Roman" w:hAnsi="Verdana"/>
          <w:sz w:val="20"/>
          <w:lang w:val="es-ES" w:eastAsia="es-CR"/>
        </w:rPr>
        <w:t xml:space="preserve">si bien </w:t>
      </w:r>
      <w:r w:rsidRPr="00F36244">
        <w:rPr>
          <w:rFonts w:ascii="Verdana" w:eastAsia="Times New Roman" w:hAnsi="Verdana"/>
          <w:sz w:val="20"/>
          <w:lang w:val="es-CR" w:eastAsia="es-CR"/>
        </w:rPr>
        <w:t xml:space="preserve">el propio Estado </w:t>
      </w:r>
      <w:r w:rsidR="00976EBB" w:rsidRPr="00F36244">
        <w:rPr>
          <w:rFonts w:ascii="Verdana" w:eastAsia="Times New Roman" w:hAnsi="Verdana"/>
          <w:sz w:val="20"/>
          <w:lang w:val="es-CR" w:eastAsia="es-CR"/>
        </w:rPr>
        <w:t xml:space="preserve">reconoció que requería </w:t>
      </w:r>
      <w:r w:rsidRPr="00F36244">
        <w:rPr>
          <w:rFonts w:ascii="Verdana" w:eastAsia="Times New Roman" w:hAnsi="Verdana"/>
          <w:sz w:val="20"/>
          <w:lang w:val="es-CR" w:eastAsia="es-CR"/>
        </w:rPr>
        <w:t xml:space="preserve">apoyo </w:t>
      </w:r>
      <w:r w:rsidR="00BE5E4E" w:rsidRPr="00F36244">
        <w:rPr>
          <w:rFonts w:ascii="Verdana" w:eastAsia="Times New Roman" w:hAnsi="Verdana"/>
          <w:sz w:val="20"/>
          <w:lang w:val="es-CR" w:eastAsia="es-CR"/>
        </w:rPr>
        <w:t>a los fines de realizar una eva</w:t>
      </w:r>
      <w:r w:rsidR="001E10A9" w:rsidRPr="00F36244">
        <w:rPr>
          <w:rFonts w:ascii="Verdana" w:eastAsia="Times New Roman" w:hAnsi="Verdana"/>
          <w:sz w:val="20"/>
          <w:lang w:val="es-CR" w:eastAsia="es-CR"/>
        </w:rPr>
        <w:t>l</w:t>
      </w:r>
      <w:r w:rsidR="00BE5E4E" w:rsidRPr="00F36244">
        <w:rPr>
          <w:rFonts w:ascii="Verdana" w:eastAsia="Times New Roman" w:hAnsi="Verdana"/>
          <w:sz w:val="20"/>
          <w:lang w:val="es-CR" w:eastAsia="es-CR"/>
        </w:rPr>
        <w:t>ua</w:t>
      </w:r>
      <w:r w:rsidR="004F790A" w:rsidRPr="00F36244">
        <w:rPr>
          <w:rFonts w:ascii="Verdana" w:eastAsia="Times New Roman" w:hAnsi="Verdana"/>
          <w:sz w:val="20"/>
          <w:lang w:val="es-CR" w:eastAsia="es-CR"/>
        </w:rPr>
        <w:t xml:space="preserve">ción de </w:t>
      </w:r>
      <w:r w:rsidR="00976EBB" w:rsidRPr="00F36244">
        <w:rPr>
          <w:rFonts w:ascii="Verdana" w:eastAsia="Times New Roman" w:hAnsi="Verdana"/>
          <w:sz w:val="20"/>
          <w:lang w:val="es-CR" w:eastAsia="es-CR"/>
        </w:rPr>
        <w:t xml:space="preserve">los diversos </w:t>
      </w:r>
      <w:r w:rsidR="004F790A" w:rsidRPr="00F36244">
        <w:rPr>
          <w:rFonts w:ascii="Verdana" w:eastAsia="Times New Roman" w:hAnsi="Verdana"/>
          <w:sz w:val="20"/>
          <w:lang w:val="es-CR" w:eastAsia="es-CR"/>
        </w:rPr>
        <w:t>peritajes</w:t>
      </w:r>
      <w:r w:rsidR="00A12B93" w:rsidRPr="00F36244">
        <w:rPr>
          <w:rFonts w:ascii="Verdana" w:eastAsia="Times New Roman" w:hAnsi="Verdana"/>
          <w:sz w:val="20"/>
          <w:lang w:val="es-CR" w:eastAsia="es-CR"/>
        </w:rPr>
        <w:t xml:space="preserve"> </w:t>
      </w:r>
      <w:r w:rsidR="00976EBB" w:rsidRPr="00F36244">
        <w:rPr>
          <w:rFonts w:ascii="Verdana" w:eastAsia="Times New Roman" w:hAnsi="Verdana"/>
          <w:sz w:val="20"/>
          <w:lang w:val="es-CR" w:eastAsia="es-CR"/>
        </w:rPr>
        <w:t xml:space="preserve">practicados </w:t>
      </w:r>
      <w:r w:rsidR="00A12B93" w:rsidRPr="00F36244">
        <w:rPr>
          <w:rFonts w:ascii="Verdana" w:eastAsia="Times New Roman" w:hAnsi="Verdana"/>
          <w:sz w:val="20"/>
          <w:lang w:val="es-CR" w:eastAsia="es-CR"/>
        </w:rPr>
        <w:t>(</w:t>
      </w:r>
      <w:r w:rsidR="00A12B93" w:rsidRPr="00F36244">
        <w:rPr>
          <w:rFonts w:ascii="Verdana" w:eastAsia="Times New Roman" w:hAnsi="Verdana"/>
          <w:i/>
          <w:sz w:val="20"/>
          <w:lang w:val="es-CR" w:eastAsia="es-CR"/>
        </w:rPr>
        <w:t xml:space="preserve">supra </w:t>
      </w:r>
      <w:r w:rsidR="00EF3443" w:rsidRPr="00F36244">
        <w:rPr>
          <w:rFonts w:ascii="Verdana" w:eastAsia="Times New Roman" w:hAnsi="Verdana"/>
          <w:sz w:val="20"/>
          <w:lang w:val="es-CR" w:eastAsia="es-CR"/>
        </w:rPr>
        <w:t>Considerando</w:t>
      </w:r>
      <w:r w:rsidR="00A12B93" w:rsidRPr="00F36244">
        <w:rPr>
          <w:rFonts w:ascii="Verdana" w:eastAsia="Times New Roman" w:hAnsi="Verdana"/>
          <w:sz w:val="20"/>
          <w:lang w:val="es-CR" w:eastAsia="es-CR"/>
        </w:rPr>
        <w:t xml:space="preserve"> </w:t>
      </w:r>
      <w:r w:rsidR="00976EBB" w:rsidRPr="00F36244">
        <w:rPr>
          <w:rFonts w:ascii="Verdana" w:eastAsia="Times New Roman" w:hAnsi="Verdana"/>
          <w:sz w:val="20"/>
          <w:lang w:val="es-CR" w:eastAsia="es-CR"/>
        </w:rPr>
        <w:t>10</w:t>
      </w:r>
      <w:r w:rsidR="00A12B93" w:rsidRPr="00F36244">
        <w:rPr>
          <w:rFonts w:ascii="Verdana" w:eastAsia="Times New Roman" w:hAnsi="Verdana"/>
          <w:sz w:val="20"/>
          <w:lang w:val="es-CR" w:eastAsia="es-CR"/>
        </w:rPr>
        <w:t>)</w:t>
      </w:r>
      <w:r w:rsidR="00CC1B61" w:rsidRPr="00F36244">
        <w:rPr>
          <w:rFonts w:ascii="Verdana" w:eastAsia="Times New Roman" w:hAnsi="Verdana"/>
          <w:sz w:val="20"/>
          <w:lang w:val="es-CR" w:eastAsia="es-CR"/>
        </w:rPr>
        <w:t>,</w:t>
      </w:r>
      <w:r w:rsidR="00777A6F" w:rsidRPr="00F36244">
        <w:rPr>
          <w:rFonts w:ascii="Verdana" w:eastAsia="Times New Roman" w:hAnsi="Verdana"/>
          <w:sz w:val="20"/>
          <w:lang w:val="es-CR" w:eastAsia="es-CR"/>
        </w:rPr>
        <w:t xml:space="preserve"> </w:t>
      </w:r>
      <w:r w:rsidR="00CC1B61" w:rsidRPr="00F36244">
        <w:rPr>
          <w:rFonts w:ascii="Verdana" w:eastAsia="Times New Roman" w:hAnsi="Verdana"/>
          <w:sz w:val="20"/>
          <w:lang w:val="es-CR" w:eastAsia="es-CR"/>
        </w:rPr>
        <w:t xml:space="preserve">resulta preocupante que el Estado </w:t>
      </w:r>
      <w:r w:rsidR="009823A5">
        <w:rPr>
          <w:rFonts w:ascii="Verdana" w:eastAsia="Times New Roman" w:hAnsi="Verdana"/>
          <w:sz w:val="20"/>
          <w:lang w:val="es-CR" w:eastAsia="es-CR"/>
        </w:rPr>
        <w:t xml:space="preserve">también </w:t>
      </w:r>
      <w:r w:rsidR="00CC1B61" w:rsidRPr="00F36244">
        <w:rPr>
          <w:rFonts w:ascii="Verdana" w:eastAsia="Times New Roman" w:hAnsi="Verdana"/>
          <w:sz w:val="20"/>
          <w:lang w:val="es-CR" w:eastAsia="es-CR"/>
        </w:rPr>
        <w:t>afirmara que “no se ha[bía] acreditado la violación a los derechos humanos de los señores Cabrera García y Montiel Flores, ni irregularidades procesales y/o investigativas, que pudieran ser objeto de alguna responsabilidad administrativa o penal de algún funcionario” (</w:t>
      </w:r>
      <w:r w:rsidR="00CC1B61" w:rsidRPr="00F36244">
        <w:rPr>
          <w:rFonts w:ascii="Verdana" w:eastAsia="Times New Roman" w:hAnsi="Verdana"/>
          <w:i/>
          <w:sz w:val="20"/>
          <w:lang w:val="es-CR" w:eastAsia="es-CR"/>
        </w:rPr>
        <w:t xml:space="preserve">supra </w:t>
      </w:r>
      <w:r w:rsidR="00A176CD">
        <w:rPr>
          <w:rFonts w:ascii="Verdana" w:eastAsia="Times New Roman" w:hAnsi="Verdana"/>
          <w:sz w:val="20"/>
          <w:lang w:val="es-CR" w:eastAsia="es-CR"/>
        </w:rPr>
        <w:t>Considerando 9</w:t>
      </w:r>
      <w:r w:rsidR="00CC1B61" w:rsidRPr="00F36244">
        <w:rPr>
          <w:rFonts w:ascii="Verdana" w:eastAsia="Times New Roman" w:hAnsi="Verdana"/>
          <w:sz w:val="20"/>
          <w:lang w:val="es-CR" w:eastAsia="es-CR"/>
        </w:rPr>
        <w:t xml:space="preserve">), máxime cuando en la Sentencia la Corte determinó que el Estado era responsable: </w:t>
      </w:r>
    </w:p>
    <w:p w14:paraId="2FFD7861" w14:textId="11B017BF" w:rsidR="00CC1B61" w:rsidRPr="00F36244" w:rsidRDefault="00CC1B61" w:rsidP="00CC1B61">
      <w:pPr>
        <w:widowControl w:val="0"/>
        <w:tabs>
          <w:tab w:val="left" w:pos="709"/>
        </w:tabs>
        <w:spacing w:before="120" w:after="120"/>
        <w:ind w:left="709" w:right="571"/>
        <w:jc w:val="both"/>
        <w:rPr>
          <w:rFonts w:ascii="Verdana" w:eastAsia="Times New Roman" w:hAnsi="Verdana"/>
          <w:sz w:val="18"/>
          <w:lang w:val="es-CR" w:eastAsia="es-CR"/>
        </w:rPr>
      </w:pPr>
      <w:r w:rsidRPr="00F36244">
        <w:rPr>
          <w:rFonts w:ascii="Verdana" w:eastAsia="Times New Roman" w:hAnsi="Verdana"/>
          <w:sz w:val="18"/>
          <w:lang w:val="es-CR" w:eastAsia="es-CR"/>
        </w:rPr>
        <w:t>a) por la violación del derecho a la integridad personal, consagrado en los artículos 5.1 y 5.2, en relación con el artículo 1.1 de la Convención Americana, por los tratos crueles, inhumanos y degradantes que fueron infringidos a los señores Cabrera y Montiel, y b) el incumplimiento de los artículos 1, 6 y 8 de la Convención Interamericana para Prevenir y Sancionar la Tortura, respecto de la obligación de investigar los alegados actos de tortura, en perjuicio de los mismos</w:t>
      </w:r>
      <w:r w:rsidR="00A176CD">
        <w:rPr>
          <w:rStyle w:val="Refdenotaalpie"/>
          <w:rFonts w:ascii="Verdana" w:eastAsia="Times New Roman" w:hAnsi="Verdana"/>
          <w:sz w:val="18"/>
          <w:lang w:val="es-CR" w:eastAsia="es-CR"/>
        </w:rPr>
        <w:footnoteReference w:id="41"/>
      </w:r>
      <w:r w:rsidRPr="00F36244">
        <w:rPr>
          <w:rFonts w:ascii="Verdana" w:eastAsia="Times New Roman" w:hAnsi="Verdana"/>
          <w:sz w:val="18"/>
          <w:lang w:val="es-CR" w:eastAsia="es-CR"/>
        </w:rPr>
        <w:t xml:space="preserve">. </w:t>
      </w:r>
    </w:p>
    <w:p w14:paraId="62E4352F" w14:textId="2401F80D" w:rsidR="00EF3443" w:rsidRPr="00F36244" w:rsidRDefault="00EF3443" w:rsidP="00CC1B61">
      <w:pPr>
        <w:widowControl w:val="0"/>
        <w:numPr>
          <w:ilvl w:val="0"/>
          <w:numId w:val="6"/>
        </w:numPr>
        <w:tabs>
          <w:tab w:val="left" w:pos="709"/>
        </w:tabs>
        <w:spacing w:before="120" w:after="120"/>
        <w:ind w:left="0" w:firstLine="0"/>
        <w:jc w:val="both"/>
        <w:rPr>
          <w:rFonts w:ascii="Verdana" w:eastAsia="Calibri" w:hAnsi="Verdana"/>
          <w:sz w:val="20"/>
          <w:lang w:val="es-ES"/>
        </w:rPr>
      </w:pPr>
      <w:r w:rsidRPr="00F36244">
        <w:rPr>
          <w:rFonts w:ascii="Verdana" w:eastAsia="Calibri" w:hAnsi="Verdana"/>
          <w:sz w:val="20"/>
          <w:lang w:val="es-CR"/>
        </w:rPr>
        <w:t>En este sentido, l</w:t>
      </w:r>
      <w:r w:rsidRPr="00F36244">
        <w:rPr>
          <w:rFonts w:ascii="Verdana" w:eastAsia="Calibri" w:hAnsi="Verdana"/>
          <w:sz w:val="20"/>
          <w:lang w:val="es-ES"/>
        </w:rPr>
        <w:t xml:space="preserve">a Corte recuerda que, en la Sentencia, determinó que México debía llevar a cabo las investigaciones ordenadas con la debida diligencia, en un plazo razonable. </w:t>
      </w:r>
      <w:r w:rsidR="00CC1B61" w:rsidRPr="00F36244">
        <w:rPr>
          <w:rFonts w:ascii="Verdana" w:eastAsia="Calibri" w:hAnsi="Verdana"/>
          <w:sz w:val="20"/>
          <w:lang w:val="es-ES"/>
        </w:rPr>
        <w:t>Para ello, resulta indispensable que tenga presentes los estándares establecidos en el Protocolo de Estambul para la investigación de posibles casos de tortura y otros tratos crueles, inhumanos o degradantes</w:t>
      </w:r>
      <w:r w:rsidR="00530694">
        <w:rPr>
          <w:rStyle w:val="Refdenotaalpie"/>
          <w:rFonts w:ascii="Verdana" w:eastAsia="Calibri" w:hAnsi="Verdana"/>
          <w:sz w:val="20"/>
          <w:lang w:val="es-ES"/>
        </w:rPr>
        <w:footnoteReference w:id="42"/>
      </w:r>
      <w:r w:rsidR="00CC1B61" w:rsidRPr="00F36244">
        <w:rPr>
          <w:rFonts w:ascii="Verdana" w:eastAsia="Calibri" w:hAnsi="Verdana"/>
          <w:sz w:val="20"/>
          <w:lang w:val="es-ES"/>
        </w:rPr>
        <w:t>. Dichos estándares no solo son relevantes a la luz de las objeciones presentadas por los representantes, sino que también es importante tener presente que el Protocolo hace énfasis en que una investigación de este tipo no puede depender únicamente de la obtención de evidencia fí</w:t>
      </w:r>
      <w:r w:rsidR="004E4F38" w:rsidRPr="00F36244">
        <w:rPr>
          <w:rFonts w:ascii="Verdana" w:eastAsia="Calibri" w:hAnsi="Verdana"/>
          <w:sz w:val="20"/>
          <w:lang w:val="es-ES"/>
        </w:rPr>
        <w:t>sica de tortura. En efecto, el Protocolo</w:t>
      </w:r>
      <w:r w:rsidR="00CC1B61" w:rsidRPr="00F36244">
        <w:rPr>
          <w:rFonts w:ascii="Verdana" w:eastAsia="Calibri" w:hAnsi="Verdana"/>
          <w:sz w:val="20"/>
          <w:lang w:val="es-ES"/>
        </w:rPr>
        <w:t xml:space="preserve"> indica que “[l]as pruebas físicas, en la medida en que existan, son importantes informaciones que confirman que la persona ha sido torturada”, pero “en ningún caso se considerará que la ausencia de señales físicas indica que no se ha producido tortura, ya que es frecuente que estos actos de violencia contra las personas no dejen marcas ni cicatrices permanentes”</w:t>
      </w:r>
      <w:r w:rsidR="00901E98" w:rsidRPr="00F36244">
        <w:rPr>
          <w:rStyle w:val="Refdenotaalpie"/>
          <w:rFonts w:ascii="Verdana" w:eastAsia="Calibri" w:hAnsi="Verdana"/>
          <w:sz w:val="20"/>
          <w:lang w:val="es-ES"/>
        </w:rPr>
        <w:footnoteReference w:id="43"/>
      </w:r>
      <w:r w:rsidR="003B2C56" w:rsidRPr="00F36244">
        <w:rPr>
          <w:rFonts w:ascii="Verdana" w:eastAsia="Calibri" w:hAnsi="Verdana"/>
          <w:sz w:val="20"/>
          <w:lang w:val="es-ES"/>
        </w:rPr>
        <w:t>,</w:t>
      </w:r>
      <w:r w:rsidR="00CC1B61" w:rsidRPr="00F36244">
        <w:rPr>
          <w:rFonts w:ascii="Verdana" w:eastAsia="Calibri" w:hAnsi="Verdana"/>
          <w:sz w:val="20"/>
          <w:lang w:val="es-ES"/>
        </w:rPr>
        <w:t xml:space="preserve"> </w:t>
      </w:r>
      <w:r w:rsidR="003B2C56" w:rsidRPr="00F36244">
        <w:rPr>
          <w:rFonts w:ascii="Verdana" w:eastAsia="Calibri" w:hAnsi="Verdana"/>
          <w:sz w:val="20"/>
          <w:lang w:val="es-ES"/>
        </w:rPr>
        <w:t xml:space="preserve">especialmente en un caso como el presente, a la luz del tiempo transcurrido desde los hechos. </w:t>
      </w:r>
      <w:r w:rsidR="00CC1B61" w:rsidRPr="00F36244">
        <w:rPr>
          <w:rFonts w:ascii="Verdana" w:eastAsia="Calibri" w:hAnsi="Verdana"/>
          <w:sz w:val="20"/>
          <w:lang w:val="es-ES"/>
        </w:rPr>
        <w:t>En otras palabras, si bien el mismo Protocolo de Estambul reconoce que el examen médico debe realizarse “independientemente del tiempo que haya transcurrido desde el momento de la tortura”</w:t>
      </w:r>
      <w:r w:rsidR="00901E98" w:rsidRPr="00F36244">
        <w:rPr>
          <w:rStyle w:val="Refdenotaalpie"/>
          <w:rFonts w:ascii="Verdana" w:eastAsia="Calibri" w:hAnsi="Verdana"/>
          <w:sz w:val="20"/>
          <w:lang w:val="es-ES"/>
        </w:rPr>
        <w:footnoteReference w:id="44"/>
      </w:r>
      <w:r w:rsidR="00CC1B61" w:rsidRPr="00F36244">
        <w:rPr>
          <w:rFonts w:ascii="Verdana" w:eastAsia="Calibri" w:hAnsi="Verdana"/>
          <w:sz w:val="20"/>
          <w:lang w:val="es-ES"/>
        </w:rPr>
        <w:t>, esto de ningún modo puede constituirse en un obstáculo para la investigación de los hechos o en el único medio probatorio a perseguir</w:t>
      </w:r>
      <w:r w:rsidR="003B2C56" w:rsidRPr="00F36244">
        <w:rPr>
          <w:rFonts w:ascii="Verdana" w:eastAsia="Calibri" w:hAnsi="Verdana"/>
          <w:sz w:val="20"/>
          <w:lang w:val="es-ES"/>
        </w:rPr>
        <w:t xml:space="preserve">. </w:t>
      </w:r>
      <w:r w:rsidR="004E4F38" w:rsidRPr="00F36244">
        <w:rPr>
          <w:rFonts w:ascii="Verdana" w:eastAsia="Calibri" w:hAnsi="Verdana"/>
          <w:sz w:val="20"/>
          <w:lang w:val="es-ES"/>
        </w:rPr>
        <w:t>Por ello</w:t>
      </w:r>
      <w:r w:rsidR="003B2C56" w:rsidRPr="00F36244">
        <w:rPr>
          <w:rFonts w:ascii="Verdana" w:eastAsia="Calibri" w:hAnsi="Verdana"/>
          <w:sz w:val="20"/>
          <w:lang w:val="es-ES"/>
        </w:rPr>
        <w:t>,</w:t>
      </w:r>
      <w:r w:rsidRPr="00F36244">
        <w:rPr>
          <w:rFonts w:ascii="Verdana" w:eastAsia="Calibri" w:hAnsi="Verdana"/>
          <w:sz w:val="20"/>
          <w:lang w:val="es-ES"/>
        </w:rPr>
        <w:t xml:space="preserve"> </w:t>
      </w:r>
      <w:r w:rsidR="003B2C56" w:rsidRPr="00F36244">
        <w:rPr>
          <w:rFonts w:ascii="Verdana" w:eastAsia="Calibri" w:hAnsi="Verdana"/>
          <w:sz w:val="20"/>
          <w:lang w:val="es-ES"/>
        </w:rPr>
        <w:t xml:space="preserve">y teniendo en cuenta que el transcurso del tiempo podría afectar indebidamente la posibilidad de obtener y presentar pruebas pertinentes que permitan esclarecer los hechos y determinar las responsabilidades que correspondan, </w:t>
      </w:r>
      <w:r w:rsidRPr="00F36244">
        <w:rPr>
          <w:rFonts w:ascii="Verdana" w:eastAsia="Calibri" w:hAnsi="Verdana"/>
          <w:sz w:val="20"/>
          <w:lang w:val="es-ES"/>
        </w:rPr>
        <w:t xml:space="preserve">resulta esencial que el Estado adopte </w:t>
      </w:r>
      <w:r w:rsidR="003B2C56" w:rsidRPr="00F36244">
        <w:rPr>
          <w:rFonts w:ascii="Verdana" w:eastAsia="Calibri" w:hAnsi="Verdana"/>
          <w:sz w:val="20"/>
          <w:lang w:val="es-ES"/>
        </w:rPr>
        <w:t xml:space="preserve">todas </w:t>
      </w:r>
      <w:r w:rsidRPr="00F36244">
        <w:rPr>
          <w:rFonts w:ascii="Verdana" w:eastAsia="Calibri" w:hAnsi="Verdana"/>
          <w:sz w:val="20"/>
          <w:lang w:val="es-ES"/>
        </w:rPr>
        <w:t>las medidas necesarias</w:t>
      </w:r>
      <w:r w:rsidR="003B2C56" w:rsidRPr="00F36244">
        <w:rPr>
          <w:rFonts w:ascii="Verdana" w:eastAsia="Calibri" w:hAnsi="Verdana"/>
          <w:sz w:val="20"/>
          <w:lang w:val="es-ES"/>
        </w:rPr>
        <w:t>,</w:t>
      </w:r>
      <w:r w:rsidRPr="00F36244">
        <w:rPr>
          <w:rFonts w:ascii="Verdana" w:eastAsia="Calibri" w:hAnsi="Verdana"/>
          <w:sz w:val="20"/>
          <w:lang w:val="es-ES"/>
        </w:rPr>
        <w:t xml:space="preserve"> a la mayor brevedad posible</w:t>
      </w:r>
      <w:r w:rsidR="003B2C56" w:rsidRPr="00F36244">
        <w:rPr>
          <w:rFonts w:ascii="Verdana" w:eastAsia="Calibri" w:hAnsi="Verdana"/>
          <w:sz w:val="20"/>
          <w:lang w:val="es-ES"/>
        </w:rPr>
        <w:t>,</w:t>
      </w:r>
      <w:r w:rsidRPr="00F36244">
        <w:rPr>
          <w:rFonts w:ascii="Verdana" w:eastAsia="Calibri" w:hAnsi="Verdana"/>
          <w:sz w:val="20"/>
          <w:lang w:val="es-ES"/>
        </w:rPr>
        <w:t xml:space="preserve"> para superar los obstáculos y </w:t>
      </w:r>
      <w:r w:rsidR="004E4F38" w:rsidRPr="00F36244">
        <w:rPr>
          <w:rFonts w:ascii="Verdana" w:eastAsia="Calibri" w:hAnsi="Verdana"/>
          <w:sz w:val="20"/>
          <w:lang w:val="es-ES"/>
        </w:rPr>
        <w:t>avanzar en la investi</w:t>
      </w:r>
      <w:r w:rsidR="00925D2A">
        <w:rPr>
          <w:rFonts w:ascii="Verdana" w:eastAsia="Calibri" w:hAnsi="Verdana"/>
          <w:sz w:val="20"/>
          <w:lang w:val="es-ES"/>
        </w:rPr>
        <w:t xml:space="preserve">gación de los hechos, la cual </w:t>
      </w:r>
      <w:r w:rsidR="004E4F38" w:rsidRPr="00F36244">
        <w:rPr>
          <w:rFonts w:ascii="Verdana" w:eastAsia="Calibri" w:hAnsi="Verdana"/>
          <w:sz w:val="20"/>
          <w:lang w:val="es-ES"/>
        </w:rPr>
        <w:t xml:space="preserve">aún </w:t>
      </w:r>
      <w:r w:rsidR="00925D2A">
        <w:rPr>
          <w:rFonts w:ascii="Verdana" w:eastAsia="Calibri" w:hAnsi="Verdana"/>
          <w:sz w:val="20"/>
          <w:lang w:val="es-ES"/>
        </w:rPr>
        <w:t>continúa</w:t>
      </w:r>
      <w:r w:rsidR="004E4F38" w:rsidRPr="00F36244">
        <w:rPr>
          <w:rFonts w:ascii="Verdana" w:eastAsia="Calibri" w:hAnsi="Verdana"/>
          <w:sz w:val="20"/>
          <w:lang w:val="es-ES"/>
        </w:rPr>
        <w:t xml:space="preserve"> en etapa preliminar, y así </w:t>
      </w:r>
      <w:r w:rsidRPr="00F36244">
        <w:rPr>
          <w:rFonts w:ascii="Verdana" w:eastAsia="Calibri" w:hAnsi="Verdana"/>
          <w:sz w:val="20"/>
          <w:lang w:val="es-ES"/>
        </w:rPr>
        <w:t>dar cumplimiento a la presente medida</w:t>
      </w:r>
      <w:r w:rsidR="003B2C56" w:rsidRPr="00F36244">
        <w:rPr>
          <w:rFonts w:ascii="Verdana" w:eastAsia="Calibri" w:hAnsi="Verdana"/>
          <w:sz w:val="20"/>
          <w:lang w:val="es-ES"/>
        </w:rPr>
        <w:t xml:space="preserve">. </w:t>
      </w:r>
    </w:p>
    <w:p w14:paraId="0BAE4BCC" w14:textId="0F3A5CA1" w:rsidR="00B41925" w:rsidRPr="00BD538D" w:rsidRDefault="00DF0EBF" w:rsidP="004219BC">
      <w:pPr>
        <w:widowControl w:val="0"/>
        <w:numPr>
          <w:ilvl w:val="0"/>
          <w:numId w:val="6"/>
        </w:numPr>
        <w:tabs>
          <w:tab w:val="left" w:pos="709"/>
        </w:tabs>
        <w:spacing w:before="120" w:after="120"/>
        <w:ind w:left="0" w:firstLine="0"/>
        <w:jc w:val="both"/>
        <w:rPr>
          <w:rFonts w:ascii="Times New Roman" w:eastAsia="Calibri" w:hAnsi="Times New Roman"/>
          <w:lang w:val="es-ES"/>
        </w:rPr>
      </w:pPr>
      <w:r w:rsidRPr="00BD538D">
        <w:rPr>
          <w:rFonts w:ascii="Verdana" w:eastAsia="Times New Roman" w:hAnsi="Verdana"/>
          <w:sz w:val="20"/>
          <w:lang w:val="es-CR" w:eastAsia="es-CR"/>
        </w:rPr>
        <w:t>En este sentido</w:t>
      </w:r>
      <w:r w:rsidR="004F790A" w:rsidRPr="00BD538D">
        <w:rPr>
          <w:rFonts w:ascii="Verdana" w:eastAsia="Times New Roman" w:hAnsi="Verdana"/>
          <w:sz w:val="20"/>
          <w:lang w:val="es-CR" w:eastAsia="es-CR"/>
        </w:rPr>
        <w:t xml:space="preserve">, </w:t>
      </w:r>
      <w:r w:rsidR="00DF667B">
        <w:rPr>
          <w:rFonts w:ascii="Verdana" w:eastAsia="Times New Roman" w:hAnsi="Verdana"/>
          <w:sz w:val="20"/>
          <w:lang w:val="es-CR" w:eastAsia="es-CR"/>
        </w:rPr>
        <w:t>l</w:t>
      </w:r>
      <w:r w:rsidR="004F790A" w:rsidRPr="00BD538D">
        <w:rPr>
          <w:rFonts w:ascii="Verdana" w:eastAsia="Times New Roman" w:hAnsi="Verdana"/>
          <w:sz w:val="20"/>
          <w:lang w:val="es-CR" w:eastAsia="es-CR"/>
        </w:rPr>
        <w:t>a Corte observa como positivo las instancias de diálogo que se han abierto recientemente entre la nueva autoridad a cargo de la investigación y los representantes</w:t>
      </w:r>
      <w:r w:rsidR="00704DD7" w:rsidRPr="00BD538D">
        <w:rPr>
          <w:rFonts w:ascii="Verdana" w:eastAsia="Times New Roman" w:hAnsi="Verdana"/>
          <w:sz w:val="20"/>
          <w:lang w:val="es-CR" w:eastAsia="es-CR"/>
        </w:rPr>
        <w:t xml:space="preserve"> (</w:t>
      </w:r>
      <w:r w:rsidR="00704DD7" w:rsidRPr="00BD538D">
        <w:rPr>
          <w:rFonts w:ascii="Verdana" w:eastAsia="Times New Roman" w:hAnsi="Verdana"/>
          <w:i/>
          <w:sz w:val="20"/>
          <w:lang w:val="es-CR" w:eastAsia="es-CR"/>
        </w:rPr>
        <w:t xml:space="preserve">supra </w:t>
      </w:r>
      <w:r w:rsidR="00C8502B">
        <w:rPr>
          <w:rFonts w:ascii="Verdana" w:eastAsia="Times New Roman" w:hAnsi="Verdana"/>
          <w:sz w:val="20"/>
          <w:lang w:val="es-CR" w:eastAsia="es-CR"/>
        </w:rPr>
        <w:t>Considerando 11</w:t>
      </w:r>
      <w:r w:rsidR="00704DD7" w:rsidRPr="00BD538D">
        <w:rPr>
          <w:rFonts w:ascii="Verdana" w:eastAsia="Times New Roman" w:hAnsi="Verdana"/>
          <w:sz w:val="20"/>
          <w:lang w:val="es-CR" w:eastAsia="es-CR"/>
        </w:rPr>
        <w:t>)</w:t>
      </w:r>
      <w:r w:rsidR="004F790A" w:rsidRPr="00BD538D">
        <w:rPr>
          <w:rFonts w:ascii="Verdana" w:eastAsia="Times New Roman" w:hAnsi="Verdana"/>
          <w:sz w:val="20"/>
          <w:lang w:val="es-CR" w:eastAsia="es-CR"/>
        </w:rPr>
        <w:t xml:space="preserve">, </w:t>
      </w:r>
      <w:r w:rsidR="00EA0F9D" w:rsidRPr="00BD538D">
        <w:rPr>
          <w:rFonts w:ascii="Verdana" w:eastAsia="Times New Roman" w:hAnsi="Verdana"/>
          <w:sz w:val="20"/>
          <w:lang w:val="es-CR" w:eastAsia="es-CR"/>
        </w:rPr>
        <w:t>lo cual podría significar una reorientación en la debida diligencia de la investigación</w:t>
      </w:r>
      <w:r w:rsidR="004F790A" w:rsidRPr="00BD538D">
        <w:rPr>
          <w:rFonts w:ascii="Verdana" w:eastAsia="Times New Roman" w:hAnsi="Verdana"/>
          <w:sz w:val="20"/>
          <w:lang w:val="es-CR" w:eastAsia="es-CR"/>
        </w:rPr>
        <w:t>.</w:t>
      </w:r>
    </w:p>
    <w:p w14:paraId="4FC9C3A1" w14:textId="5F3EEFFD" w:rsidR="00704DD7" w:rsidRPr="00846DC8" w:rsidRDefault="00E126A3" w:rsidP="004219BC">
      <w:pPr>
        <w:widowControl w:val="0"/>
        <w:numPr>
          <w:ilvl w:val="0"/>
          <w:numId w:val="6"/>
        </w:numPr>
        <w:tabs>
          <w:tab w:val="left" w:pos="709"/>
        </w:tabs>
        <w:spacing w:before="120" w:after="120"/>
        <w:ind w:left="0" w:firstLine="0"/>
        <w:jc w:val="both"/>
        <w:rPr>
          <w:rFonts w:ascii="Verdana" w:eastAsia="Times New Roman" w:hAnsi="Verdana"/>
          <w:sz w:val="20"/>
          <w:lang w:val="es-CR" w:eastAsia="es-CR"/>
        </w:rPr>
      </w:pPr>
      <w:r w:rsidRPr="00846DC8">
        <w:rPr>
          <w:rFonts w:ascii="Verdana" w:eastAsia="Times New Roman" w:hAnsi="Verdana"/>
          <w:sz w:val="20"/>
          <w:lang w:val="es-CR" w:eastAsia="es-CR"/>
        </w:rPr>
        <w:t xml:space="preserve">Finalmente, </w:t>
      </w:r>
      <w:r w:rsidR="00E76809" w:rsidRPr="00846DC8">
        <w:rPr>
          <w:rFonts w:ascii="Verdana" w:eastAsia="Times New Roman" w:hAnsi="Verdana"/>
          <w:sz w:val="20"/>
          <w:lang w:val="es-CR" w:eastAsia="es-CR"/>
        </w:rPr>
        <w:t xml:space="preserve">con respecto a </w:t>
      </w:r>
      <w:r w:rsidR="00E76809" w:rsidRPr="00846DC8">
        <w:rPr>
          <w:rFonts w:ascii="Verdana" w:hAnsi="Verdana"/>
          <w:sz w:val="20"/>
          <w:lang w:val="es-CO"/>
        </w:rPr>
        <w:t xml:space="preserve">la investigación de las eventuales irregularidades procesales e investigativas relacionadas con la investigación de los hechos del caso realizada ante el fuero militar, </w:t>
      </w:r>
      <w:r w:rsidRPr="00846DC8">
        <w:rPr>
          <w:rFonts w:ascii="Verdana" w:eastAsia="Times New Roman" w:hAnsi="Verdana"/>
          <w:sz w:val="20"/>
          <w:lang w:val="es-CR" w:eastAsia="es-CR"/>
        </w:rPr>
        <w:t xml:space="preserve">si bien el Estado ha informado </w:t>
      </w:r>
      <w:r w:rsidR="001C133B" w:rsidRPr="00846DC8">
        <w:rPr>
          <w:rFonts w:ascii="Verdana" w:eastAsia="Times New Roman" w:hAnsi="Verdana"/>
          <w:sz w:val="20"/>
          <w:lang w:val="es-CR" w:eastAsia="es-CR"/>
        </w:rPr>
        <w:t>la realización</w:t>
      </w:r>
      <w:r w:rsidRPr="00846DC8">
        <w:rPr>
          <w:rFonts w:ascii="Verdana" w:eastAsia="Times New Roman" w:hAnsi="Verdana"/>
          <w:sz w:val="20"/>
          <w:lang w:val="es-CR" w:eastAsia="es-CR"/>
        </w:rPr>
        <w:t xml:space="preserve"> de algunas diligencias </w:t>
      </w:r>
      <w:r w:rsidR="004F790A" w:rsidRPr="00846DC8">
        <w:rPr>
          <w:rFonts w:ascii="Verdana" w:hAnsi="Verdana"/>
          <w:sz w:val="20"/>
          <w:lang w:val="es-CO"/>
        </w:rPr>
        <w:t>(</w:t>
      </w:r>
      <w:r w:rsidR="004F790A" w:rsidRPr="00846DC8">
        <w:rPr>
          <w:rFonts w:ascii="Verdana" w:hAnsi="Verdana"/>
          <w:i/>
          <w:sz w:val="20"/>
          <w:lang w:val="es-CO"/>
        </w:rPr>
        <w:t xml:space="preserve">supra </w:t>
      </w:r>
      <w:r w:rsidR="004F790A" w:rsidRPr="00846DC8">
        <w:rPr>
          <w:rFonts w:ascii="Verdana" w:hAnsi="Verdana"/>
          <w:sz w:val="20"/>
          <w:lang w:val="es-CO"/>
        </w:rPr>
        <w:t xml:space="preserve">Considerando </w:t>
      </w:r>
      <w:r w:rsidR="00C8502B">
        <w:rPr>
          <w:rFonts w:ascii="Verdana" w:hAnsi="Verdana"/>
          <w:sz w:val="20"/>
          <w:lang w:val="es-CO"/>
        </w:rPr>
        <w:t>12</w:t>
      </w:r>
      <w:r w:rsidR="004F790A" w:rsidRPr="00846DC8">
        <w:rPr>
          <w:rFonts w:ascii="Verdana" w:hAnsi="Verdana"/>
          <w:sz w:val="20"/>
          <w:lang w:val="es-CO"/>
        </w:rPr>
        <w:t>)</w:t>
      </w:r>
      <w:r w:rsidRPr="00846DC8">
        <w:rPr>
          <w:rFonts w:ascii="Verdana" w:hAnsi="Verdana"/>
          <w:sz w:val="20"/>
          <w:lang w:val="es-CO"/>
        </w:rPr>
        <w:t>,</w:t>
      </w:r>
      <w:r w:rsidR="004F790A" w:rsidRPr="00846DC8">
        <w:rPr>
          <w:rFonts w:ascii="Verdana" w:hAnsi="Verdana"/>
          <w:sz w:val="20"/>
          <w:lang w:val="es-CO"/>
        </w:rPr>
        <w:t xml:space="preserve"> las mismas </w:t>
      </w:r>
      <w:r w:rsidRPr="00846DC8">
        <w:rPr>
          <w:rFonts w:ascii="Verdana" w:hAnsi="Verdana"/>
          <w:sz w:val="20"/>
          <w:lang w:val="es-CO"/>
        </w:rPr>
        <w:t xml:space="preserve">son listadas en forma inconexa, sin que quede claro cuáles son los resultados de cada una de ellas, cuáles serían las líneas de investigación perseguidas y cómo dichas diligencias se enmarcan dentro de las referidas líneas de investigación. </w:t>
      </w:r>
    </w:p>
    <w:p w14:paraId="7D66AED7" w14:textId="3FC11737" w:rsidR="00704DD7" w:rsidRPr="00846DC8" w:rsidRDefault="00704DD7" w:rsidP="004219BC">
      <w:pPr>
        <w:widowControl w:val="0"/>
        <w:numPr>
          <w:ilvl w:val="0"/>
          <w:numId w:val="6"/>
        </w:numPr>
        <w:tabs>
          <w:tab w:val="left" w:pos="709"/>
        </w:tabs>
        <w:spacing w:before="120" w:after="120"/>
        <w:ind w:left="0" w:firstLine="0"/>
        <w:jc w:val="both"/>
        <w:rPr>
          <w:rFonts w:ascii="Verdana" w:hAnsi="Verdana"/>
          <w:sz w:val="20"/>
          <w:lang w:val="es-CO"/>
        </w:rPr>
      </w:pPr>
      <w:r w:rsidRPr="00846DC8">
        <w:rPr>
          <w:rFonts w:ascii="Verdana" w:hAnsi="Verdana"/>
          <w:sz w:val="20"/>
          <w:lang w:val="es-MX"/>
        </w:rPr>
        <w:t xml:space="preserve">A la luz de lo expuesto, este </w:t>
      </w:r>
      <w:r w:rsidRPr="00846DC8">
        <w:rPr>
          <w:rFonts w:ascii="Verdana" w:eastAsia="Times New Roman" w:hAnsi="Verdana"/>
          <w:sz w:val="20"/>
          <w:lang w:val="es-CR" w:eastAsia="es-CR"/>
        </w:rPr>
        <w:t>Tribunal</w:t>
      </w:r>
      <w:r w:rsidRPr="00846DC8">
        <w:rPr>
          <w:rFonts w:ascii="Verdana" w:hAnsi="Verdana"/>
          <w:sz w:val="20"/>
          <w:lang w:val="es-MX"/>
        </w:rPr>
        <w:t xml:space="preserve"> considera que aún se encuentra pendiente de cumplimiento la obligación de investigar penalmente los hechos </w:t>
      </w:r>
      <w:r w:rsidR="00770557">
        <w:rPr>
          <w:rFonts w:ascii="Verdana" w:hAnsi="Verdana"/>
          <w:sz w:val="20"/>
          <w:lang w:val="es-CO"/>
        </w:rPr>
        <w:t>del caso y</w:t>
      </w:r>
      <w:r w:rsidRPr="00846DC8">
        <w:rPr>
          <w:rFonts w:ascii="Verdana" w:hAnsi="Verdana"/>
          <w:sz w:val="20"/>
          <w:lang w:val="es-CO"/>
        </w:rPr>
        <w:t xml:space="preserve"> adelantar las acciones disciplinarias, administrativas o penales pertinentes en el evento de que en la investigación de los mencionados hechos se demuestren irregularidades procesales e investigativas relacionadas con los mismos</w:t>
      </w:r>
      <w:r w:rsidRPr="00846DC8">
        <w:rPr>
          <w:rFonts w:ascii="Verdana" w:hAnsi="Verdana"/>
          <w:sz w:val="20"/>
          <w:lang w:val="es-MX"/>
        </w:rPr>
        <w:t>. Por ello, solicita al Estado que aporte información actualizada y detallada que permita valorar el grado de cumplimiento de la medida ordenada, en los términos ex</w:t>
      </w:r>
      <w:r w:rsidR="00E57A51" w:rsidRPr="00846DC8">
        <w:rPr>
          <w:rFonts w:ascii="Verdana" w:hAnsi="Verdana"/>
          <w:sz w:val="20"/>
          <w:lang w:val="es-MX"/>
        </w:rPr>
        <w:t>presa</w:t>
      </w:r>
      <w:r w:rsidR="00530694">
        <w:rPr>
          <w:rFonts w:ascii="Verdana" w:hAnsi="Verdana"/>
          <w:sz w:val="20"/>
          <w:lang w:val="es-MX"/>
        </w:rPr>
        <w:t>dos en los Considerandos 13 a 18</w:t>
      </w:r>
      <w:r w:rsidRPr="00846DC8">
        <w:rPr>
          <w:rFonts w:ascii="Verdana" w:hAnsi="Verdana"/>
          <w:sz w:val="20"/>
          <w:lang w:val="es-MX"/>
        </w:rPr>
        <w:t>.</w:t>
      </w:r>
    </w:p>
    <w:p w14:paraId="27FB374A" w14:textId="77777777" w:rsidR="00530626" w:rsidRPr="00846DC8" w:rsidRDefault="00530626" w:rsidP="001B58C0">
      <w:pPr>
        <w:widowControl w:val="0"/>
        <w:spacing w:before="120" w:after="120"/>
        <w:jc w:val="both"/>
        <w:rPr>
          <w:rFonts w:ascii="Verdana" w:hAnsi="Verdana"/>
          <w:b/>
          <w:sz w:val="20"/>
        </w:rPr>
      </w:pPr>
    </w:p>
    <w:p w14:paraId="5488A43C" w14:textId="3B21C1B3" w:rsidR="00260226" w:rsidRPr="00846DC8" w:rsidRDefault="00260226" w:rsidP="004219BC">
      <w:pPr>
        <w:pStyle w:val="Ttulo1"/>
        <w:keepNext w:val="0"/>
        <w:widowControl w:val="0"/>
        <w:numPr>
          <w:ilvl w:val="0"/>
          <w:numId w:val="5"/>
        </w:numPr>
        <w:spacing w:before="120" w:after="120"/>
        <w:jc w:val="both"/>
        <w:rPr>
          <w:rFonts w:ascii="Verdana" w:hAnsi="Verdana"/>
          <w:i/>
          <w:sz w:val="20"/>
          <w:lang w:val="es-CO"/>
        </w:rPr>
      </w:pPr>
      <w:bookmarkStart w:id="6" w:name="_Toc42099624"/>
      <w:r w:rsidRPr="00846DC8">
        <w:rPr>
          <w:rFonts w:ascii="Verdana" w:hAnsi="Verdana"/>
          <w:i/>
          <w:sz w:val="20"/>
          <w:lang w:val="es-MX"/>
        </w:rPr>
        <w:t xml:space="preserve">Fortalecer el funcionamiento y la utilidad del registro de detención </w:t>
      </w:r>
      <w:bookmarkStart w:id="7" w:name="_Ref21964103"/>
      <w:bookmarkEnd w:id="6"/>
    </w:p>
    <w:p w14:paraId="14A205D1" w14:textId="324B7046" w:rsidR="00260226" w:rsidRPr="00846DC8" w:rsidRDefault="00260226" w:rsidP="00260226">
      <w:pPr>
        <w:spacing w:before="120" w:after="120"/>
        <w:ind w:firstLine="360"/>
        <w:jc w:val="both"/>
        <w:rPr>
          <w:rFonts w:ascii="Verdana" w:hAnsi="Verdana"/>
          <w:i/>
          <w:sz w:val="20"/>
          <w:lang w:val="es-MX"/>
        </w:rPr>
      </w:pPr>
      <w:r w:rsidRPr="00846DC8">
        <w:rPr>
          <w:rFonts w:ascii="Verdana" w:hAnsi="Verdana"/>
          <w:i/>
          <w:sz w:val="20"/>
          <w:lang w:val="es-MX"/>
        </w:rPr>
        <w:t xml:space="preserve">B.1. Medida ordenada por la Corte </w:t>
      </w:r>
      <w:r w:rsidRPr="00846DC8">
        <w:rPr>
          <w:rFonts w:ascii="Verdana" w:hAnsi="Verdana"/>
          <w:i/>
          <w:sz w:val="20"/>
          <w:lang w:val="es-AR"/>
        </w:rPr>
        <w:t>y supervisión realizada en resoluciones anteriores</w:t>
      </w:r>
    </w:p>
    <w:p w14:paraId="416EBEA8" w14:textId="50921279" w:rsidR="00400143" w:rsidRPr="00846DC8" w:rsidRDefault="00260226" w:rsidP="00DD2D07">
      <w:pPr>
        <w:widowControl w:val="0"/>
        <w:numPr>
          <w:ilvl w:val="0"/>
          <w:numId w:val="6"/>
        </w:numPr>
        <w:tabs>
          <w:tab w:val="left" w:pos="709"/>
        </w:tabs>
        <w:spacing w:before="120" w:after="120"/>
        <w:ind w:left="0" w:firstLine="0"/>
        <w:jc w:val="both"/>
        <w:rPr>
          <w:rFonts w:ascii="Verdana" w:hAnsi="Verdana"/>
          <w:sz w:val="20"/>
          <w:lang w:val="es-MX"/>
        </w:rPr>
      </w:pPr>
      <w:bookmarkStart w:id="8" w:name="_Ref40196977"/>
      <w:r w:rsidRPr="00846DC8">
        <w:rPr>
          <w:rFonts w:ascii="Verdana" w:hAnsi="Verdana"/>
          <w:sz w:val="20"/>
          <w:lang w:val="es-MX"/>
        </w:rPr>
        <w:t xml:space="preserve">En el punto resolutivo </w:t>
      </w:r>
      <w:r w:rsidR="00040325" w:rsidRPr="00846DC8">
        <w:rPr>
          <w:rFonts w:ascii="Verdana" w:hAnsi="Verdana"/>
          <w:sz w:val="20"/>
          <w:lang w:val="es-MX"/>
        </w:rPr>
        <w:t>dé</w:t>
      </w:r>
      <w:r w:rsidRPr="00846DC8">
        <w:rPr>
          <w:rFonts w:ascii="Verdana" w:hAnsi="Verdana"/>
          <w:sz w:val="20"/>
          <w:lang w:val="es-MX"/>
        </w:rPr>
        <w:t>cimo</w:t>
      </w:r>
      <w:r w:rsidR="00040325" w:rsidRPr="00846DC8">
        <w:rPr>
          <w:rFonts w:ascii="Verdana" w:hAnsi="Verdana"/>
          <w:sz w:val="20"/>
          <w:lang w:val="es-MX"/>
        </w:rPr>
        <w:t xml:space="preserve"> </w:t>
      </w:r>
      <w:r w:rsidRPr="00846DC8">
        <w:rPr>
          <w:rFonts w:ascii="Verdana" w:hAnsi="Verdana"/>
          <w:sz w:val="20"/>
          <w:lang w:val="es-MX"/>
        </w:rPr>
        <w:t xml:space="preserve">sexto y en el párrafo 243 de la Sentencia, la Corte dispuso que </w:t>
      </w:r>
      <w:r w:rsidRPr="00846DC8">
        <w:rPr>
          <w:rFonts w:ascii="Verdana" w:eastAsia="Times New Roman" w:hAnsi="Verdana"/>
          <w:sz w:val="20"/>
          <w:lang w:val="es-CR" w:eastAsia="es-CR"/>
        </w:rPr>
        <w:t>México</w:t>
      </w:r>
      <w:r w:rsidRPr="00846DC8">
        <w:rPr>
          <w:rFonts w:ascii="Verdana" w:hAnsi="Verdana"/>
          <w:sz w:val="20"/>
          <w:lang w:val="es-MX"/>
        </w:rPr>
        <w:t xml:space="preserve"> debía</w:t>
      </w:r>
      <w:r w:rsidR="00025E1F" w:rsidRPr="00846DC8">
        <w:rPr>
          <w:rFonts w:ascii="Verdana" w:hAnsi="Verdana"/>
          <w:sz w:val="20"/>
          <w:lang w:val="es-MX"/>
        </w:rPr>
        <w:t>,</w:t>
      </w:r>
      <w:r w:rsidRPr="00846DC8">
        <w:rPr>
          <w:rFonts w:ascii="Verdana" w:hAnsi="Verdana"/>
          <w:sz w:val="20"/>
          <w:lang w:val="es-MX"/>
        </w:rPr>
        <w:t xml:space="preserve"> </w:t>
      </w:r>
      <w:r w:rsidR="00025E1F" w:rsidRPr="00846DC8">
        <w:rPr>
          <w:rFonts w:ascii="Verdana" w:hAnsi="Verdana"/>
          <w:sz w:val="20"/>
          <w:lang w:val="es-MX"/>
        </w:rPr>
        <w:t xml:space="preserve">“en el marco del registro de detención que actualmente existe </w:t>
      </w:r>
      <w:r w:rsidR="00400143" w:rsidRPr="00846DC8">
        <w:rPr>
          <w:rFonts w:ascii="Verdana" w:hAnsi="Verdana"/>
          <w:sz w:val="20"/>
          <w:lang w:val="es-MX"/>
        </w:rPr>
        <w:t xml:space="preserve">[…] </w:t>
      </w:r>
      <w:r w:rsidR="00025E1F" w:rsidRPr="00846DC8">
        <w:rPr>
          <w:rFonts w:ascii="Verdana" w:hAnsi="Verdana"/>
          <w:sz w:val="20"/>
          <w:lang w:val="es-MX"/>
        </w:rPr>
        <w:t xml:space="preserve">adoptar las siguientes medidas complementarias para fortalecer el funcionamiento y utilidad de dicho sistema: </w:t>
      </w:r>
      <w:r w:rsidRPr="00846DC8">
        <w:rPr>
          <w:rFonts w:ascii="Verdana" w:hAnsi="Verdana"/>
          <w:sz w:val="20"/>
          <w:lang w:val="es-CR"/>
        </w:rPr>
        <w:t>i) actualización permanente; ii) interconexión de la base de datos de dicho registro con las demás existentes, de manera que se genere una red que permita identificar fácilmente el paradero de las personas detenidas; iii) garantizar que dicho registro respete las exigencias de acceso a la información y privacidad, e iv) implementar un mecanismo de control para que las autoridades no incumplan con llevar al día este registro</w:t>
      </w:r>
      <w:r w:rsidR="00400143" w:rsidRPr="00846DC8">
        <w:rPr>
          <w:rFonts w:ascii="Verdana" w:hAnsi="Verdana"/>
          <w:sz w:val="20"/>
          <w:lang w:val="es-CR"/>
        </w:rPr>
        <w:t>”</w:t>
      </w:r>
      <w:r w:rsidRPr="00846DC8">
        <w:rPr>
          <w:rFonts w:ascii="Verdana" w:hAnsi="Verdana"/>
          <w:sz w:val="20"/>
          <w:lang w:val="es-CR"/>
        </w:rPr>
        <w:t>.</w:t>
      </w:r>
      <w:bookmarkEnd w:id="8"/>
      <w:r w:rsidR="0047203B">
        <w:rPr>
          <w:rFonts w:ascii="Verdana" w:hAnsi="Verdana"/>
          <w:sz w:val="20"/>
          <w:lang w:val="es-CR"/>
        </w:rPr>
        <w:t xml:space="preserve"> L</w:t>
      </w:r>
      <w:r w:rsidR="0047203B">
        <w:rPr>
          <w:rFonts w:ascii="Verdana" w:hAnsi="Verdana"/>
          <w:sz w:val="20"/>
        </w:rPr>
        <w:t>os párrafos 239 a 242 de la Sentencia se refieren</w:t>
      </w:r>
      <w:r w:rsidR="00400143" w:rsidRPr="00846DC8">
        <w:rPr>
          <w:rFonts w:ascii="Verdana" w:hAnsi="Verdana"/>
          <w:sz w:val="20"/>
        </w:rPr>
        <w:t xml:space="preserve"> al registro administrativo que establecía la Ley General del Sistema Nacional de Seguridad Pública.</w:t>
      </w:r>
    </w:p>
    <w:p w14:paraId="7AB03BA6" w14:textId="5AD10CB6" w:rsidR="00D46546" w:rsidRPr="00426793" w:rsidRDefault="00260226" w:rsidP="00D46546">
      <w:pPr>
        <w:widowControl w:val="0"/>
        <w:numPr>
          <w:ilvl w:val="0"/>
          <w:numId w:val="6"/>
        </w:numPr>
        <w:tabs>
          <w:tab w:val="left" w:pos="709"/>
        </w:tabs>
        <w:spacing w:before="120" w:after="120"/>
        <w:ind w:left="0" w:firstLine="0"/>
        <w:jc w:val="both"/>
        <w:rPr>
          <w:rFonts w:ascii="Verdana" w:hAnsi="Verdana"/>
          <w:sz w:val="20"/>
          <w:lang w:val="es-MX"/>
        </w:rPr>
      </w:pPr>
      <w:bookmarkStart w:id="9" w:name="_Ref40199653"/>
      <w:r w:rsidRPr="00846DC8">
        <w:rPr>
          <w:rFonts w:ascii="Verdana" w:hAnsi="Verdana"/>
          <w:sz w:val="20"/>
          <w:lang w:val="es-MX"/>
        </w:rPr>
        <w:t>En la Resolución de</w:t>
      </w:r>
      <w:r w:rsidR="00917325" w:rsidRPr="00846DC8">
        <w:rPr>
          <w:rFonts w:ascii="Verdana" w:hAnsi="Verdana"/>
          <w:sz w:val="20"/>
          <w:lang w:val="es-MX"/>
        </w:rPr>
        <w:t xml:space="preserve"> agosto de</w:t>
      </w:r>
      <w:r w:rsidRPr="00846DC8">
        <w:rPr>
          <w:rFonts w:ascii="Verdana" w:hAnsi="Verdana"/>
          <w:sz w:val="20"/>
          <w:lang w:val="es-MX"/>
        </w:rPr>
        <w:t xml:space="preserve"> 2013 (</w:t>
      </w:r>
      <w:r w:rsidRPr="00846DC8">
        <w:rPr>
          <w:rFonts w:ascii="Verdana" w:hAnsi="Verdana"/>
          <w:i/>
          <w:sz w:val="20"/>
          <w:lang w:val="es-MX"/>
        </w:rPr>
        <w:t xml:space="preserve">supra </w:t>
      </w:r>
      <w:r w:rsidR="00DD227F">
        <w:rPr>
          <w:rFonts w:ascii="Verdana" w:hAnsi="Verdana"/>
          <w:sz w:val="20"/>
          <w:lang w:val="es-MX"/>
        </w:rPr>
        <w:t>Visto 2</w:t>
      </w:r>
      <w:r w:rsidRPr="00846DC8">
        <w:rPr>
          <w:rFonts w:ascii="Verdana" w:hAnsi="Verdana"/>
          <w:sz w:val="20"/>
          <w:lang w:val="es-MX"/>
        </w:rPr>
        <w:t xml:space="preserve">), la Corte valoró las acciones emprendidas por el Estado para dar cumplimiento a este punto, que incluían el establecimiento de dos registros: (i) el Registro Administrativo de Detenciones, que operaba como una de la bases de datos integrantes del Sistema Nacional de Información sobre Seguridad Pública, y (ii) el </w:t>
      </w:r>
      <w:r w:rsidRPr="00846DC8">
        <w:rPr>
          <w:rFonts w:ascii="Verdana" w:hAnsi="Verdana"/>
          <w:sz w:val="20"/>
          <w:lang w:val="es-AR"/>
        </w:rPr>
        <w:t>S</w:t>
      </w:r>
      <w:r w:rsidR="00176D3A" w:rsidRPr="00846DC8">
        <w:rPr>
          <w:rFonts w:ascii="Verdana" w:hAnsi="Verdana"/>
          <w:sz w:val="20"/>
          <w:lang w:val="es-AR"/>
        </w:rPr>
        <w:t>istema de Registro de Detenidos (SIRED)</w:t>
      </w:r>
      <w:r w:rsidRPr="00846DC8">
        <w:rPr>
          <w:rFonts w:ascii="Verdana" w:hAnsi="Verdana"/>
          <w:sz w:val="20"/>
          <w:lang w:val="es-AR"/>
        </w:rPr>
        <w:t>, el cual “tiene como objeto establecer un registro de detenciones de personas puestas a disposición del ministerio público de la federación o entregadas o detenidas por un agente de la Policía Federal Ministerial</w:t>
      </w:r>
      <w:r w:rsidR="00834E27" w:rsidRPr="00846DC8">
        <w:rPr>
          <w:rFonts w:ascii="Verdana" w:hAnsi="Verdana"/>
          <w:sz w:val="20"/>
          <w:lang w:val="es-AR"/>
        </w:rPr>
        <w:t>”</w:t>
      </w:r>
      <w:r w:rsidRPr="00846DC8">
        <w:rPr>
          <w:rFonts w:ascii="Verdana" w:hAnsi="Verdana"/>
          <w:sz w:val="20"/>
          <w:lang w:val="es-MX"/>
        </w:rPr>
        <w:t>. Mientras</w:t>
      </w:r>
      <w:r w:rsidR="00834E27" w:rsidRPr="00846DC8">
        <w:rPr>
          <w:rFonts w:ascii="Verdana" w:hAnsi="Verdana"/>
          <w:sz w:val="20"/>
          <w:lang w:val="es-MX"/>
        </w:rPr>
        <w:t xml:space="preserve"> que el primero estaba </w:t>
      </w:r>
      <w:r w:rsidR="00176D3A" w:rsidRPr="00846DC8">
        <w:rPr>
          <w:rFonts w:ascii="Verdana" w:hAnsi="Verdana"/>
          <w:sz w:val="20"/>
          <w:lang w:val="es-MX"/>
        </w:rPr>
        <w:t>“</w:t>
      </w:r>
      <w:r w:rsidR="00834E27" w:rsidRPr="00846DC8">
        <w:rPr>
          <w:rFonts w:ascii="Verdana" w:hAnsi="Verdana"/>
          <w:sz w:val="20"/>
          <w:lang w:val="es-MX"/>
        </w:rPr>
        <w:t>integrado</w:t>
      </w:r>
      <w:r w:rsidRPr="00846DC8">
        <w:rPr>
          <w:rFonts w:ascii="Verdana" w:hAnsi="Verdana"/>
          <w:sz w:val="20"/>
          <w:lang w:val="es-MX"/>
        </w:rPr>
        <w:t xml:space="preserve"> por información proporcionada por los agentes policiales de los tres órdenes de gobierno que realizan detenciones</w:t>
      </w:r>
      <w:r w:rsidR="00176D3A" w:rsidRPr="00846DC8">
        <w:rPr>
          <w:rFonts w:ascii="Verdana" w:hAnsi="Verdana"/>
          <w:sz w:val="20"/>
          <w:lang w:val="es-MX"/>
        </w:rPr>
        <w:t>”</w:t>
      </w:r>
      <w:r w:rsidRPr="00846DC8">
        <w:rPr>
          <w:rFonts w:ascii="Verdana" w:hAnsi="Verdana"/>
          <w:sz w:val="20"/>
          <w:lang w:val="es-MX"/>
        </w:rPr>
        <w:t xml:space="preserve">, quienes deben </w:t>
      </w:r>
      <w:r w:rsidR="00176D3A" w:rsidRPr="00846DC8">
        <w:rPr>
          <w:rFonts w:ascii="Verdana" w:hAnsi="Verdana"/>
          <w:sz w:val="20"/>
          <w:lang w:val="es-MX"/>
        </w:rPr>
        <w:t>“</w:t>
      </w:r>
      <w:r w:rsidRPr="00846DC8">
        <w:rPr>
          <w:rFonts w:ascii="Verdana" w:hAnsi="Verdana"/>
          <w:sz w:val="20"/>
          <w:lang w:val="es-MX"/>
        </w:rPr>
        <w:t xml:space="preserve">dar aviso administrativo inmediato al Centro Nacional de </w:t>
      </w:r>
      <w:r w:rsidRPr="00846DC8">
        <w:rPr>
          <w:rFonts w:ascii="Verdana" w:hAnsi="Verdana"/>
          <w:sz w:val="20"/>
          <w:lang w:val="es-AR"/>
        </w:rPr>
        <w:t>Información a través del Informe Policial Homologado</w:t>
      </w:r>
      <w:r w:rsidR="00176D3A" w:rsidRPr="00846DC8">
        <w:rPr>
          <w:rFonts w:ascii="Verdana" w:hAnsi="Verdana"/>
          <w:sz w:val="20"/>
          <w:lang w:val="es-AR"/>
        </w:rPr>
        <w:t>”</w:t>
      </w:r>
      <w:r w:rsidRPr="00846DC8">
        <w:rPr>
          <w:rFonts w:ascii="Verdana" w:hAnsi="Verdana"/>
          <w:sz w:val="20"/>
          <w:lang w:val="es-AR"/>
        </w:rPr>
        <w:t xml:space="preserve">, el segundo “opera para detenciones efectuadas por agentes de la Policía Federal Ministerial de la [Procuraduría General de la República] en paralelo al Registro Administrativo de Detenciones”. </w:t>
      </w:r>
      <w:r w:rsidR="00DD227F">
        <w:rPr>
          <w:rFonts w:ascii="Verdana" w:hAnsi="Verdana"/>
          <w:sz w:val="20"/>
          <w:lang w:val="es-AR"/>
        </w:rPr>
        <w:t>Al respecto</w:t>
      </w:r>
      <w:r w:rsidR="00834E27" w:rsidRPr="00846DC8">
        <w:rPr>
          <w:rFonts w:ascii="Verdana" w:hAnsi="Verdana"/>
          <w:sz w:val="20"/>
          <w:lang w:val="es-AR"/>
        </w:rPr>
        <w:t>, la Corte</w:t>
      </w:r>
      <w:r w:rsidRPr="00846DC8">
        <w:rPr>
          <w:rFonts w:ascii="Verdana" w:hAnsi="Verdana"/>
          <w:sz w:val="20"/>
          <w:lang w:val="es-AR"/>
        </w:rPr>
        <w:t xml:space="preserve"> hizo notar que </w:t>
      </w:r>
      <w:r w:rsidRPr="00846DC8">
        <w:rPr>
          <w:rFonts w:ascii="Verdana" w:hAnsi="Verdana"/>
          <w:sz w:val="20"/>
          <w:lang w:val="es-MX"/>
        </w:rPr>
        <w:t xml:space="preserve">el Estado </w:t>
      </w:r>
      <w:r w:rsidRPr="00846DC8">
        <w:rPr>
          <w:rFonts w:ascii="Verdana" w:hAnsi="Verdana"/>
          <w:sz w:val="20"/>
          <w:lang w:val="es-CR"/>
        </w:rPr>
        <w:t xml:space="preserve">no </w:t>
      </w:r>
      <w:r w:rsidR="00834E27" w:rsidRPr="00846DC8">
        <w:rPr>
          <w:rFonts w:ascii="Verdana" w:hAnsi="Verdana"/>
          <w:sz w:val="20"/>
          <w:lang w:val="es-CR"/>
        </w:rPr>
        <w:t>había presentado</w:t>
      </w:r>
      <w:r w:rsidRPr="00846DC8">
        <w:rPr>
          <w:rFonts w:ascii="Verdana" w:hAnsi="Verdana"/>
          <w:sz w:val="20"/>
          <w:lang w:val="es-CR"/>
        </w:rPr>
        <w:t xml:space="preserve"> </w:t>
      </w:r>
      <w:r w:rsidR="00176D3A" w:rsidRPr="00846DC8">
        <w:rPr>
          <w:rFonts w:ascii="Verdana" w:hAnsi="Verdana"/>
          <w:sz w:val="20"/>
          <w:lang w:val="es-CR"/>
        </w:rPr>
        <w:t>“</w:t>
      </w:r>
      <w:r w:rsidRPr="00846DC8">
        <w:rPr>
          <w:rFonts w:ascii="Verdana" w:hAnsi="Verdana"/>
          <w:sz w:val="20"/>
          <w:lang w:val="es-CR"/>
        </w:rPr>
        <w:t>información concre</w:t>
      </w:r>
      <w:r w:rsidR="00834E27" w:rsidRPr="00846DC8">
        <w:rPr>
          <w:rFonts w:ascii="Verdana" w:hAnsi="Verdana"/>
          <w:sz w:val="20"/>
          <w:lang w:val="es-CR"/>
        </w:rPr>
        <w:t xml:space="preserve">ta sobre la forma </w:t>
      </w:r>
      <w:r w:rsidR="00176D3A" w:rsidRPr="00846DC8">
        <w:rPr>
          <w:rFonts w:ascii="Verdana" w:hAnsi="Verdana"/>
          <w:sz w:val="20"/>
          <w:lang w:val="es-CR"/>
        </w:rPr>
        <w:t>en que estaría</w:t>
      </w:r>
      <w:r w:rsidRPr="00846DC8">
        <w:rPr>
          <w:rFonts w:ascii="Verdana" w:hAnsi="Verdana"/>
          <w:sz w:val="20"/>
          <w:lang w:val="es-CR"/>
        </w:rPr>
        <w:t xml:space="preserve"> implementando las medidas complementarias</w:t>
      </w:r>
      <w:r w:rsidR="00176D3A" w:rsidRPr="00846DC8">
        <w:rPr>
          <w:rFonts w:ascii="Verdana" w:hAnsi="Verdana"/>
          <w:sz w:val="20"/>
          <w:lang w:val="es-CR"/>
        </w:rPr>
        <w:t>”</w:t>
      </w:r>
      <w:r w:rsidRPr="00846DC8">
        <w:rPr>
          <w:rFonts w:ascii="Verdana" w:hAnsi="Verdana"/>
          <w:sz w:val="20"/>
          <w:lang w:val="es-CR"/>
        </w:rPr>
        <w:t xml:space="preserve"> ordenadas </w:t>
      </w:r>
      <w:r w:rsidR="00176D3A" w:rsidRPr="00846DC8">
        <w:rPr>
          <w:rFonts w:ascii="Verdana" w:hAnsi="Verdana"/>
          <w:sz w:val="20"/>
          <w:lang w:val="es-CR"/>
        </w:rPr>
        <w:t xml:space="preserve">en la Sentencia </w:t>
      </w:r>
      <w:r w:rsidRPr="00846DC8">
        <w:rPr>
          <w:rFonts w:ascii="Verdana" w:hAnsi="Verdana"/>
          <w:sz w:val="20"/>
          <w:lang w:val="es-CR"/>
        </w:rPr>
        <w:t>para fortalecer el registro de detenciones</w:t>
      </w:r>
      <w:r w:rsidR="00176D3A" w:rsidRPr="00846DC8">
        <w:rPr>
          <w:rFonts w:ascii="Verdana" w:hAnsi="Verdana"/>
          <w:sz w:val="20"/>
          <w:lang w:val="es-CR"/>
        </w:rPr>
        <w:t>,</w:t>
      </w:r>
      <w:r w:rsidRPr="00846DC8">
        <w:rPr>
          <w:rFonts w:ascii="Verdana" w:hAnsi="Verdana"/>
          <w:sz w:val="20"/>
          <w:lang w:val="es-CR"/>
        </w:rPr>
        <w:t xml:space="preserve"> y </w:t>
      </w:r>
      <w:r w:rsidR="00176D3A" w:rsidRPr="00846DC8">
        <w:rPr>
          <w:rFonts w:ascii="Verdana" w:hAnsi="Verdana"/>
          <w:sz w:val="20"/>
          <w:lang w:val="es-CR"/>
        </w:rPr>
        <w:t xml:space="preserve">que </w:t>
      </w:r>
      <w:r w:rsidRPr="00846DC8">
        <w:rPr>
          <w:rFonts w:ascii="Verdana" w:hAnsi="Verdana"/>
          <w:sz w:val="20"/>
          <w:lang w:val="es-CR"/>
        </w:rPr>
        <w:t>tampoco</w:t>
      </w:r>
      <w:r w:rsidR="00834E27" w:rsidRPr="00846DC8">
        <w:rPr>
          <w:rFonts w:ascii="Verdana" w:hAnsi="Verdana"/>
          <w:sz w:val="20"/>
          <w:lang w:val="es-CR"/>
        </w:rPr>
        <w:t xml:space="preserve"> había</w:t>
      </w:r>
      <w:r w:rsidRPr="00846DC8">
        <w:rPr>
          <w:rFonts w:ascii="Verdana" w:hAnsi="Verdana"/>
          <w:sz w:val="20"/>
          <w:lang w:val="es-CR"/>
        </w:rPr>
        <w:t xml:space="preserve"> especific</w:t>
      </w:r>
      <w:r w:rsidR="00834E27" w:rsidRPr="00846DC8">
        <w:rPr>
          <w:rFonts w:ascii="Verdana" w:hAnsi="Verdana"/>
          <w:sz w:val="20"/>
          <w:lang w:val="es-CR"/>
        </w:rPr>
        <w:t>ado</w:t>
      </w:r>
      <w:r w:rsidRPr="00846DC8">
        <w:rPr>
          <w:rFonts w:ascii="Verdana" w:hAnsi="Verdana"/>
          <w:sz w:val="20"/>
          <w:lang w:val="es-CR"/>
        </w:rPr>
        <w:t xml:space="preserve"> </w:t>
      </w:r>
      <w:r w:rsidR="00176D3A" w:rsidRPr="00846DC8">
        <w:rPr>
          <w:rFonts w:ascii="Verdana" w:hAnsi="Verdana"/>
          <w:sz w:val="20"/>
          <w:lang w:val="es-CR"/>
        </w:rPr>
        <w:t>“</w:t>
      </w:r>
      <w:r w:rsidRPr="00846DC8">
        <w:rPr>
          <w:rFonts w:ascii="Verdana" w:hAnsi="Verdana"/>
          <w:sz w:val="20"/>
          <w:lang w:val="es-CR"/>
        </w:rPr>
        <w:t>si en el registro se estarían incluyendo las acciones que lleven a cabo las Fuerzas Armadas</w:t>
      </w:r>
      <w:r w:rsidR="00176D3A" w:rsidRPr="00846DC8">
        <w:rPr>
          <w:rFonts w:ascii="Verdana" w:hAnsi="Verdana"/>
          <w:sz w:val="20"/>
          <w:lang w:val="es-CR"/>
        </w:rPr>
        <w:t>”</w:t>
      </w:r>
      <w:r w:rsidRPr="00846DC8">
        <w:rPr>
          <w:rFonts w:ascii="Verdana" w:hAnsi="Verdana"/>
          <w:sz w:val="20"/>
          <w:lang w:val="es-CR"/>
        </w:rPr>
        <w:t>.</w:t>
      </w:r>
      <w:bookmarkEnd w:id="9"/>
    </w:p>
    <w:p w14:paraId="6E9CAD18" w14:textId="77777777" w:rsidR="00DD227F" w:rsidRPr="00846DC8" w:rsidRDefault="00DD227F" w:rsidP="00D46546">
      <w:pPr>
        <w:widowControl w:val="0"/>
        <w:tabs>
          <w:tab w:val="left" w:pos="709"/>
        </w:tabs>
        <w:spacing w:before="120" w:after="120"/>
        <w:jc w:val="both"/>
        <w:rPr>
          <w:rFonts w:ascii="Verdana" w:hAnsi="Verdana"/>
          <w:sz w:val="20"/>
          <w:lang w:val="es-MX"/>
        </w:rPr>
      </w:pPr>
    </w:p>
    <w:p w14:paraId="43CB9066" w14:textId="69BCD01D" w:rsidR="00260226" w:rsidRPr="00846DC8" w:rsidRDefault="00260226" w:rsidP="00BA7C8A">
      <w:pPr>
        <w:spacing w:before="120" w:after="120"/>
        <w:ind w:left="426"/>
        <w:jc w:val="both"/>
        <w:rPr>
          <w:rFonts w:ascii="Verdana" w:hAnsi="Verdana"/>
          <w:i/>
          <w:sz w:val="20"/>
          <w:lang w:val="es-MX"/>
        </w:rPr>
      </w:pPr>
      <w:r w:rsidRPr="00846DC8">
        <w:rPr>
          <w:rFonts w:ascii="Verdana" w:hAnsi="Verdana"/>
          <w:i/>
          <w:sz w:val="20"/>
          <w:lang w:val="es-MX"/>
        </w:rPr>
        <w:t xml:space="preserve">B.2. </w:t>
      </w:r>
      <w:r w:rsidR="00C52FC5" w:rsidRPr="00846DC8">
        <w:rPr>
          <w:rFonts w:ascii="Verdana" w:hAnsi="Verdana"/>
          <w:i/>
          <w:sz w:val="20"/>
          <w:lang w:val="es-CO"/>
        </w:rPr>
        <w:t>Consideraciones de la Corte</w:t>
      </w:r>
    </w:p>
    <w:p w14:paraId="4FE30E7A" w14:textId="05CEBBE1" w:rsidR="002413FF" w:rsidRPr="00846DC8" w:rsidRDefault="00555555" w:rsidP="00C37F27">
      <w:pPr>
        <w:widowControl w:val="0"/>
        <w:numPr>
          <w:ilvl w:val="0"/>
          <w:numId w:val="6"/>
        </w:numPr>
        <w:tabs>
          <w:tab w:val="left" w:pos="709"/>
        </w:tabs>
        <w:spacing w:before="120" w:after="120"/>
        <w:ind w:left="0" w:firstLine="0"/>
        <w:jc w:val="both"/>
        <w:rPr>
          <w:rFonts w:ascii="Verdana" w:hAnsi="Verdana"/>
          <w:sz w:val="20"/>
          <w:lang w:val="es-ES"/>
        </w:rPr>
      </w:pPr>
      <w:r w:rsidRPr="00846DC8">
        <w:rPr>
          <w:rFonts w:ascii="Verdana" w:hAnsi="Verdana"/>
          <w:sz w:val="20"/>
          <w:lang w:val="es-MX"/>
        </w:rPr>
        <w:t xml:space="preserve">Entre diciembre de 2013 y agosto de 2019, México aportó información </w:t>
      </w:r>
      <w:r w:rsidR="00CB53B9" w:rsidRPr="00846DC8">
        <w:rPr>
          <w:rFonts w:ascii="Verdana" w:hAnsi="Verdana"/>
          <w:sz w:val="20"/>
          <w:lang w:val="es-MX"/>
        </w:rPr>
        <w:t>sobre</w:t>
      </w:r>
      <w:r w:rsidR="000D69E0" w:rsidRPr="00846DC8">
        <w:rPr>
          <w:rFonts w:ascii="Verdana" w:hAnsi="Verdana"/>
          <w:sz w:val="20"/>
          <w:lang w:val="es-CR"/>
        </w:rPr>
        <w:t xml:space="preserve">: (i) el Sistema de Registro de </w:t>
      </w:r>
      <w:r w:rsidR="000D69E0" w:rsidRPr="00846DC8">
        <w:rPr>
          <w:rFonts w:ascii="Verdana" w:hAnsi="Verdana"/>
          <w:sz w:val="20"/>
          <w:lang w:val="es-MX"/>
        </w:rPr>
        <w:t>Detenidos</w:t>
      </w:r>
      <w:r w:rsidR="000D69E0" w:rsidRPr="00846DC8">
        <w:rPr>
          <w:rFonts w:ascii="Verdana" w:hAnsi="Verdana"/>
          <w:sz w:val="20"/>
          <w:lang w:val="es-CR"/>
        </w:rPr>
        <w:t xml:space="preserve"> relacionado con Delitos de Competencia de la Procura</w:t>
      </w:r>
      <w:r w:rsidR="00220B2F">
        <w:rPr>
          <w:rFonts w:ascii="Verdana" w:hAnsi="Verdana"/>
          <w:sz w:val="20"/>
          <w:lang w:val="es-CR"/>
        </w:rPr>
        <w:t>duría</w:t>
      </w:r>
      <w:r w:rsidR="000D69E0" w:rsidRPr="00846DC8">
        <w:rPr>
          <w:rFonts w:ascii="Verdana" w:hAnsi="Verdana"/>
          <w:sz w:val="20"/>
          <w:lang w:val="es-CR"/>
        </w:rPr>
        <w:t xml:space="preserve"> General de la República</w:t>
      </w:r>
      <w:r w:rsidR="00CB53B9" w:rsidRPr="00846DC8">
        <w:rPr>
          <w:rFonts w:ascii="Verdana" w:hAnsi="Verdana"/>
          <w:sz w:val="20"/>
          <w:lang w:val="es-CR"/>
        </w:rPr>
        <w:t xml:space="preserve"> (PGR)</w:t>
      </w:r>
      <w:r w:rsidRPr="00846DC8">
        <w:rPr>
          <w:rFonts w:ascii="Verdana" w:hAnsi="Verdana"/>
          <w:sz w:val="20"/>
          <w:lang w:val="es-CR"/>
        </w:rPr>
        <w:t xml:space="preserve"> (</w:t>
      </w:r>
      <w:r w:rsidRPr="00846DC8">
        <w:rPr>
          <w:rFonts w:ascii="Verdana" w:hAnsi="Verdana"/>
          <w:i/>
          <w:sz w:val="20"/>
          <w:lang w:val="es-CR"/>
        </w:rPr>
        <w:t xml:space="preserve">supra </w:t>
      </w:r>
      <w:r w:rsidR="00530694">
        <w:rPr>
          <w:rFonts w:ascii="Verdana" w:hAnsi="Verdana"/>
          <w:sz w:val="20"/>
          <w:lang w:val="es-CR"/>
        </w:rPr>
        <w:t>Considerando 21</w:t>
      </w:r>
      <w:r w:rsidRPr="00846DC8">
        <w:rPr>
          <w:rFonts w:ascii="Verdana" w:hAnsi="Verdana"/>
          <w:sz w:val="20"/>
          <w:lang w:val="es-CR"/>
        </w:rPr>
        <w:t>)</w:t>
      </w:r>
      <w:r w:rsidR="000D69E0" w:rsidRPr="00846DC8">
        <w:rPr>
          <w:rFonts w:ascii="Verdana" w:hAnsi="Verdana"/>
          <w:sz w:val="20"/>
          <w:lang w:val="es-CR"/>
        </w:rPr>
        <w:t xml:space="preserve">; (ii) </w:t>
      </w:r>
      <w:r w:rsidR="00AC1880" w:rsidRPr="00846DC8">
        <w:rPr>
          <w:rFonts w:ascii="Verdana" w:hAnsi="Verdana"/>
          <w:sz w:val="20"/>
          <w:lang w:val="es-CR"/>
        </w:rPr>
        <w:t>el Sistema de Consulta de Detenidos</w:t>
      </w:r>
      <w:r w:rsidR="00BF7A39" w:rsidRPr="00846DC8">
        <w:rPr>
          <w:rStyle w:val="Refdenotaalpie"/>
          <w:rFonts w:ascii="Verdana" w:hAnsi="Verdana"/>
          <w:sz w:val="20"/>
          <w:lang w:val="es-CR"/>
        </w:rPr>
        <w:footnoteReference w:id="45"/>
      </w:r>
      <w:r w:rsidR="00AC1880" w:rsidRPr="00846DC8">
        <w:rPr>
          <w:rFonts w:ascii="Verdana" w:hAnsi="Verdana"/>
          <w:sz w:val="20"/>
          <w:lang w:val="es-CR"/>
        </w:rPr>
        <w:t xml:space="preserve">, y (iii) </w:t>
      </w:r>
      <w:r w:rsidR="000D69E0" w:rsidRPr="00846DC8">
        <w:rPr>
          <w:rFonts w:ascii="Verdana" w:hAnsi="Verdana"/>
          <w:sz w:val="20"/>
          <w:lang w:val="es-CR"/>
        </w:rPr>
        <w:t>e</w:t>
      </w:r>
      <w:r w:rsidR="00260226" w:rsidRPr="00846DC8">
        <w:rPr>
          <w:rFonts w:ascii="Verdana" w:hAnsi="Verdana"/>
          <w:sz w:val="20"/>
          <w:lang w:val="es-CR"/>
        </w:rPr>
        <w:t>l Registr</w:t>
      </w:r>
      <w:r w:rsidR="00A25D3B" w:rsidRPr="00846DC8">
        <w:rPr>
          <w:rFonts w:ascii="Verdana" w:hAnsi="Verdana"/>
          <w:sz w:val="20"/>
          <w:lang w:val="es-CR"/>
        </w:rPr>
        <w:t>o Administrativo de Detenciones</w:t>
      </w:r>
      <w:r w:rsidRPr="00846DC8">
        <w:rPr>
          <w:rFonts w:ascii="Verdana" w:hAnsi="Verdana"/>
          <w:sz w:val="20"/>
          <w:lang w:val="es-CR"/>
        </w:rPr>
        <w:t xml:space="preserve"> (RAD) (</w:t>
      </w:r>
      <w:r w:rsidRPr="00846DC8">
        <w:rPr>
          <w:rFonts w:ascii="Verdana" w:hAnsi="Verdana"/>
          <w:i/>
          <w:sz w:val="20"/>
          <w:lang w:val="es-CR"/>
        </w:rPr>
        <w:t xml:space="preserve">supra </w:t>
      </w:r>
      <w:r w:rsidR="00DD227F">
        <w:rPr>
          <w:rFonts w:ascii="Verdana" w:hAnsi="Verdana"/>
          <w:sz w:val="20"/>
          <w:lang w:val="es-CR"/>
        </w:rPr>
        <w:t xml:space="preserve">Considerando </w:t>
      </w:r>
      <w:r w:rsidR="00530694">
        <w:rPr>
          <w:rFonts w:ascii="Verdana" w:hAnsi="Verdana"/>
          <w:sz w:val="20"/>
          <w:lang w:val="es-CR"/>
        </w:rPr>
        <w:t>21</w:t>
      </w:r>
      <w:r w:rsidRPr="00846DC8">
        <w:rPr>
          <w:rFonts w:ascii="Verdana" w:hAnsi="Verdana"/>
          <w:sz w:val="20"/>
          <w:lang w:val="es-CR"/>
        </w:rPr>
        <w:t>)</w:t>
      </w:r>
      <w:r w:rsidR="00AC1880" w:rsidRPr="00846DC8">
        <w:rPr>
          <w:rFonts w:ascii="Verdana" w:hAnsi="Verdana"/>
          <w:sz w:val="20"/>
          <w:lang w:val="es-CR"/>
        </w:rPr>
        <w:t xml:space="preserve">. </w:t>
      </w:r>
      <w:r w:rsidR="00BF7A39" w:rsidRPr="00846DC8">
        <w:rPr>
          <w:rFonts w:ascii="Verdana" w:hAnsi="Verdana"/>
          <w:sz w:val="20"/>
          <w:lang w:val="es-CR"/>
        </w:rPr>
        <w:t>Si bien México presentó información detallando cómo había fortalecido cada uno de los cuatro aspectos solicitados en la Sentencia respecto de los tres sistemas descritos, e</w:t>
      </w:r>
      <w:r w:rsidR="00C37F27" w:rsidRPr="00846DC8">
        <w:rPr>
          <w:rFonts w:ascii="Verdana" w:hAnsi="Verdana"/>
          <w:sz w:val="20"/>
          <w:lang w:val="es-CR"/>
        </w:rPr>
        <w:t>n 2016</w:t>
      </w:r>
      <w:r w:rsidR="00DD2D07" w:rsidRPr="00846DC8">
        <w:rPr>
          <w:rFonts w:ascii="Verdana" w:hAnsi="Verdana"/>
          <w:sz w:val="20"/>
          <w:lang w:val="es-CR"/>
        </w:rPr>
        <w:t xml:space="preserve"> </w:t>
      </w:r>
      <w:r w:rsidR="00C37F27" w:rsidRPr="00846DC8">
        <w:rPr>
          <w:rFonts w:ascii="Verdana" w:hAnsi="Verdana"/>
          <w:sz w:val="20"/>
          <w:lang w:val="es-CR"/>
        </w:rPr>
        <w:t>sostuv</w:t>
      </w:r>
      <w:r w:rsidR="00DD2D07" w:rsidRPr="00846DC8">
        <w:rPr>
          <w:rFonts w:ascii="Verdana" w:hAnsi="Verdana"/>
          <w:sz w:val="20"/>
          <w:lang w:val="es-CR"/>
        </w:rPr>
        <w:t xml:space="preserve">o que </w:t>
      </w:r>
      <w:r w:rsidR="00DD2D07" w:rsidRPr="00846DC8">
        <w:rPr>
          <w:rFonts w:ascii="Verdana" w:hAnsi="Verdana"/>
          <w:sz w:val="20"/>
          <w:lang w:val="es-ES"/>
        </w:rPr>
        <w:t>“el Sistema al que se refiere el [punto] resolutivo [décimo sexto de la Sentencia,] al mencionar el ‘registro de detención que actualmente existe en México’”, era el Registro Administrativo de Detenciones</w:t>
      </w:r>
      <w:r w:rsidR="00DD2D07" w:rsidRPr="00846DC8">
        <w:rPr>
          <w:rStyle w:val="Refdenotaalpie"/>
          <w:rFonts w:ascii="Verdana" w:hAnsi="Verdana"/>
          <w:sz w:val="20"/>
          <w:lang w:val="es-ES"/>
        </w:rPr>
        <w:footnoteReference w:id="46"/>
      </w:r>
      <w:r w:rsidR="00DD2D07" w:rsidRPr="00846DC8">
        <w:rPr>
          <w:rFonts w:ascii="Verdana" w:hAnsi="Verdana"/>
          <w:sz w:val="20"/>
          <w:lang w:val="es-ES"/>
        </w:rPr>
        <w:t xml:space="preserve">. </w:t>
      </w:r>
      <w:r w:rsidR="00C37F27" w:rsidRPr="00846DC8">
        <w:rPr>
          <w:rFonts w:ascii="Verdana" w:hAnsi="Verdana"/>
          <w:sz w:val="20"/>
          <w:lang w:val="es-ES"/>
        </w:rPr>
        <w:t>Al respecto</w:t>
      </w:r>
      <w:r w:rsidR="00DD2D07" w:rsidRPr="00846DC8">
        <w:rPr>
          <w:rFonts w:ascii="Verdana" w:hAnsi="Verdana"/>
          <w:sz w:val="20"/>
          <w:lang w:val="es-ES"/>
        </w:rPr>
        <w:t>, inicia</w:t>
      </w:r>
      <w:r w:rsidR="00024FDB">
        <w:rPr>
          <w:rFonts w:ascii="Verdana" w:hAnsi="Verdana"/>
          <w:sz w:val="20"/>
          <w:lang w:val="es-ES"/>
        </w:rPr>
        <w:t>l</w:t>
      </w:r>
      <w:r w:rsidR="00DD2D07" w:rsidRPr="00846DC8">
        <w:rPr>
          <w:rFonts w:ascii="Verdana" w:hAnsi="Verdana"/>
          <w:sz w:val="20"/>
          <w:lang w:val="es-ES"/>
        </w:rPr>
        <w:t>mente México solicitó, con base en la información aportada, que se declarara el cumplimiento de la medida</w:t>
      </w:r>
      <w:r w:rsidR="00DD2D07" w:rsidRPr="00846DC8">
        <w:rPr>
          <w:rStyle w:val="Refdenotaalpie"/>
          <w:rFonts w:ascii="Verdana" w:hAnsi="Verdana"/>
          <w:sz w:val="20"/>
          <w:lang w:val="es-ES"/>
        </w:rPr>
        <w:footnoteReference w:id="47"/>
      </w:r>
      <w:r w:rsidR="00220B2F">
        <w:rPr>
          <w:rFonts w:ascii="Verdana" w:hAnsi="Verdana"/>
          <w:sz w:val="20"/>
          <w:lang w:val="es-ES"/>
        </w:rPr>
        <w:t>. N</w:t>
      </w:r>
      <w:r w:rsidR="00C37F27" w:rsidRPr="00846DC8">
        <w:rPr>
          <w:rFonts w:ascii="Verdana" w:hAnsi="Verdana"/>
          <w:sz w:val="20"/>
          <w:lang w:val="es-ES"/>
        </w:rPr>
        <w:t>o obstante,</w:t>
      </w:r>
      <w:r w:rsidR="00DD2D07" w:rsidRPr="00846DC8">
        <w:rPr>
          <w:rFonts w:ascii="Verdana" w:hAnsi="Verdana"/>
          <w:sz w:val="20"/>
          <w:lang w:val="es-ES"/>
        </w:rPr>
        <w:t xml:space="preserve"> durante la audiencia privada de supervisión de cumplimiento celebrada en septiembre de 2016, en atención a las observaciones y objeciones presentadas por los representantes y la Comisión</w:t>
      </w:r>
      <w:r w:rsidR="00DD2D07" w:rsidRPr="00846DC8">
        <w:rPr>
          <w:rStyle w:val="Refdenotaalpie"/>
          <w:rFonts w:ascii="Verdana" w:hAnsi="Verdana"/>
          <w:sz w:val="20"/>
          <w:lang w:val="es-ES"/>
        </w:rPr>
        <w:footnoteReference w:id="48"/>
      </w:r>
      <w:r w:rsidR="00DD2D07" w:rsidRPr="00846DC8">
        <w:rPr>
          <w:rFonts w:ascii="Verdana" w:hAnsi="Verdana"/>
          <w:sz w:val="20"/>
          <w:lang w:val="es-ES"/>
        </w:rPr>
        <w:t>, modificó su posición</w:t>
      </w:r>
      <w:r w:rsidR="00022D40">
        <w:rPr>
          <w:rFonts w:ascii="Verdana" w:hAnsi="Verdana"/>
          <w:sz w:val="20"/>
          <w:lang w:val="es-ES"/>
        </w:rPr>
        <w:t xml:space="preserve"> y expresó su anuencia para superar las deficiencias</w:t>
      </w:r>
      <w:r w:rsidR="00C37F27" w:rsidRPr="00846DC8">
        <w:rPr>
          <w:rStyle w:val="Refdenotaalpie"/>
          <w:rFonts w:ascii="Verdana" w:hAnsi="Verdana"/>
          <w:sz w:val="20"/>
          <w:lang w:val="es-ES"/>
        </w:rPr>
        <w:footnoteReference w:id="49"/>
      </w:r>
      <w:r w:rsidR="00C37F27" w:rsidRPr="00846DC8">
        <w:rPr>
          <w:rFonts w:ascii="Verdana" w:hAnsi="Verdana"/>
          <w:sz w:val="20"/>
          <w:lang w:val="es-ES"/>
        </w:rPr>
        <w:t>.</w:t>
      </w:r>
    </w:p>
    <w:p w14:paraId="4586CB20" w14:textId="7C6AC61F" w:rsidR="00C37F27" w:rsidRPr="00846DC8" w:rsidRDefault="00DD2D07" w:rsidP="002413FF">
      <w:pPr>
        <w:widowControl w:val="0"/>
        <w:numPr>
          <w:ilvl w:val="0"/>
          <w:numId w:val="6"/>
        </w:numPr>
        <w:tabs>
          <w:tab w:val="left" w:pos="709"/>
        </w:tabs>
        <w:spacing w:before="120" w:after="120"/>
        <w:ind w:left="0" w:firstLine="0"/>
        <w:jc w:val="both"/>
        <w:rPr>
          <w:rFonts w:ascii="Verdana" w:hAnsi="Verdana"/>
          <w:sz w:val="20"/>
          <w:lang w:val="es-ES"/>
        </w:rPr>
      </w:pPr>
      <w:r w:rsidRPr="00A70301">
        <w:rPr>
          <w:rFonts w:ascii="Verdana" w:hAnsi="Verdana"/>
          <w:sz w:val="20"/>
          <w:lang w:val="es-CR"/>
        </w:rPr>
        <w:t>Posteriormente, el 27 de mayo de 2019</w:t>
      </w:r>
      <w:r w:rsidR="00723CCE" w:rsidRPr="00A70301">
        <w:rPr>
          <w:rFonts w:ascii="Verdana" w:hAnsi="Verdana"/>
          <w:sz w:val="20"/>
          <w:lang w:val="es-CR"/>
        </w:rPr>
        <w:t>,</w:t>
      </w:r>
      <w:r w:rsidRPr="00A70301">
        <w:rPr>
          <w:rFonts w:ascii="Verdana" w:hAnsi="Verdana"/>
          <w:sz w:val="20"/>
          <w:lang w:val="es-CR"/>
        </w:rPr>
        <w:t xml:space="preserve"> fue publicada en el Diario Oficial de la Federación la Ley Nacional del Registro de Detenciones</w:t>
      </w:r>
      <w:r w:rsidRPr="00A70301">
        <w:rPr>
          <w:rStyle w:val="Refdenotaalpie"/>
          <w:rFonts w:ascii="Verdana" w:hAnsi="Verdana"/>
          <w:sz w:val="20"/>
          <w:lang w:val="es-CR"/>
        </w:rPr>
        <w:footnoteReference w:id="50"/>
      </w:r>
      <w:r w:rsidRPr="00A70301">
        <w:rPr>
          <w:rFonts w:ascii="Verdana" w:hAnsi="Verdana"/>
          <w:sz w:val="20"/>
          <w:lang w:val="es-CR"/>
        </w:rPr>
        <w:t>, la cual tiene por objeto “regular la integración y funcionamiento del Registro Nacional de Detenciones, estableciendo los</w:t>
      </w:r>
      <w:r w:rsidRPr="00846DC8">
        <w:rPr>
          <w:rFonts w:ascii="Verdana" w:hAnsi="Verdana"/>
          <w:sz w:val="20"/>
          <w:lang w:val="es-CR"/>
        </w:rPr>
        <w:t xml:space="preserve"> procedimientos que garanticen el control y seguimiento sobre la forma en que se efectuó la detención de personas por la autoridad” (Artículo 1), con el fin de “prevenir la violación de los derechos humanos de la persona detenida, actos de tortura, tratos crueles, inhumanos y degradantes, o la desaparición forzada” (Artículo 4). </w:t>
      </w:r>
      <w:r w:rsidR="00E90447">
        <w:rPr>
          <w:rFonts w:ascii="Verdana" w:hAnsi="Verdana"/>
          <w:sz w:val="20"/>
          <w:lang w:val="es-CR"/>
        </w:rPr>
        <w:t>Según lo establece la misma L</w:t>
      </w:r>
      <w:r w:rsidR="002413FF" w:rsidRPr="00846DC8">
        <w:rPr>
          <w:rFonts w:ascii="Verdana" w:hAnsi="Verdana"/>
          <w:sz w:val="20"/>
          <w:lang w:val="es-CR"/>
        </w:rPr>
        <w:t xml:space="preserve">ey, “[l]os </w:t>
      </w:r>
      <w:r w:rsidR="002413FF" w:rsidRPr="00846DC8">
        <w:rPr>
          <w:rFonts w:ascii="Verdana" w:hAnsi="Verdana"/>
          <w:sz w:val="20"/>
          <w:lang w:val="es-ES"/>
        </w:rPr>
        <w:t xml:space="preserve">datos y </w:t>
      </w:r>
      <w:proofErr w:type="spellStart"/>
      <w:r w:rsidR="002413FF" w:rsidRPr="00846DC8">
        <w:rPr>
          <w:rFonts w:ascii="Verdana" w:hAnsi="Verdana"/>
          <w:sz w:val="20"/>
          <w:lang w:val="es-ES"/>
        </w:rPr>
        <w:t>demás</w:t>
      </w:r>
      <w:proofErr w:type="spellEnd"/>
      <w:r w:rsidR="002413FF" w:rsidRPr="00846DC8">
        <w:rPr>
          <w:rFonts w:ascii="Verdana" w:hAnsi="Verdana"/>
          <w:sz w:val="20"/>
          <w:lang w:val="es-ES"/>
        </w:rPr>
        <w:t xml:space="preserve"> elementos del Registro Administrativo de Detenciones </w:t>
      </w:r>
      <w:proofErr w:type="spellStart"/>
      <w:r w:rsidR="002413FF" w:rsidRPr="00846DC8">
        <w:rPr>
          <w:rFonts w:ascii="Verdana" w:hAnsi="Verdana"/>
          <w:sz w:val="20"/>
          <w:lang w:val="es-ES"/>
        </w:rPr>
        <w:t>pasarán</w:t>
      </w:r>
      <w:proofErr w:type="spellEnd"/>
      <w:r w:rsidR="002413FF" w:rsidRPr="00846DC8">
        <w:rPr>
          <w:rFonts w:ascii="Verdana" w:hAnsi="Verdana"/>
          <w:sz w:val="20"/>
          <w:lang w:val="es-ES"/>
        </w:rPr>
        <w:t xml:space="preserve"> a formar parte del Registro Nacional de Detenciones” (Artículo transitorio tercero). En ese orden de ideas, </w:t>
      </w:r>
      <w:r w:rsidR="002413FF" w:rsidRPr="00846DC8">
        <w:rPr>
          <w:rFonts w:ascii="Verdana" w:hAnsi="Verdana"/>
          <w:sz w:val="20"/>
          <w:lang w:val="es-AR"/>
        </w:rPr>
        <w:t>esta Corte entiende que el Registro Administrativo de Detenciones</w:t>
      </w:r>
      <w:r w:rsidR="002413FF" w:rsidRPr="00846DC8">
        <w:rPr>
          <w:rFonts w:ascii="Verdana" w:hAnsi="Verdana"/>
          <w:sz w:val="20"/>
          <w:lang w:val="es-CR"/>
        </w:rPr>
        <w:t xml:space="preserve"> ha sido reemplazado por el Registro Nacional de Detenciones</w:t>
      </w:r>
      <w:r w:rsidR="00F4320C">
        <w:rPr>
          <w:rFonts w:ascii="Verdana" w:hAnsi="Verdana"/>
          <w:sz w:val="20"/>
          <w:lang w:val="es-CR"/>
        </w:rPr>
        <w:t>,</w:t>
      </w:r>
      <w:r w:rsidR="002413FF" w:rsidRPr="00846DC8">
        <w:rPr>
          <w:rFonts w:ascii="Verdana" w:hAnsi="Verdana"/>
          <w:sz w:val="20"/>
          <w:lang w:val="es-CR"/>
        </w:rPr>
        <w:t xml:space="preserve"> que </w:t>
      </w:r>
      <w:r w:rsidR="00F4320C">
        <w:rPr>
          <w:rFonts w:ascii="Verdana" w:hAnsi="Verdana"/>
          <w:sz w:val="20"/>
          <w:lang w:val="es-CR"/>
        </w:rPr>
        <w:t xml:space="preserve">fue </w:t>
      </w:r>
      <w:r w:rsidR="002413FF" w:rsidRPr="00846DC8">
        <w:rPr>
          <w:rFonts w:ascii="Verdana" w:hAnsi="Verdana"/>
          <w:sz w:val="20"/>
          <w:lang w:val="es-CR"/>
        </w:rPr>
        <w:t>crea</w:t>
      </w:r>
      <w:r w:rsidR="00F4320C">
        <w:rPr>
          <w:rFonts w:ascii="Verdana" w:hAnsi="Verdana"/>
          <w:sz w:val="20"/>
          <w:lang w:val="es-CR"/>
        </w:rPr>
        <w:t>do por</w:t>
      </w:r>
      <w:r w:rsidR="002413FF" w:rsidRPr="00846DC8">
        <w:rPr>
          <w:rFonts w:ascii="Verdana" w:hAnsi="Verdana"/>
          <w:sz w:val="20"/>
          <w:lang w:val="es-CR"/>
        </w:rPr>
        <w:t xml:space="preserve"> la actualmente vigente Ley Nacional del Registro de Detenciones. Sin embargo, si bien es posible inferir</w:t>
      </w:r>
      <w:r w:rsidR="00E90447">
        <w:rPr>
          <w:rFonts w:ascii="Verdana" w:hAnsi="Verdana"/>
          <w:sz w:val="20"/>
          <w:lang w:val="es-CR"/>
        </w:rPr>
        <w:t>,</w:t>
      </w:r>
      <w:r w:rsidR="002413FF" w:rsidRPr="00846DC8">
        <w:rPr>
          <w:rFonts w:ascii="Verdana" w:hAnsi="Verdana"/>
          <w:sz w:val="20"/>
          <w:lang w:val="es-CR"/>
        </w:rPr>
        <w:t xml:space="preserve"> a partir del ámbito de aplicación de la referida </w:t>
      </w:r>
      <w:r w:rsidR="00F4320C">
        <w:rPr>
          <w:rFonts w:ascii="Verdana" w:hAnsi="Verdana"/>
          <w:sz w:val="20"/>
          <w:lang w:val="es-CR"/>
        </w:rPr>
        <w:t>l</w:t>
      </w:r>
      <w:r w:rsidR="002413FF" w:rsidRPr="00846DC8">
        <w:rPr>
          <w:rFonts w:ascii="Verdana" w:hAnsi="Verdana"/>
          <w:sz w:val="20"/>
          <w:lang w:val="es-CR"/>
        </w:rPr>
        <w:t>ey</w:t>
      </w:r>
      <w:r w:rsidR="002413FF" w:rsidRPr="00846DC8">
        <w:rPr>
          <w:rStyle w:val="Refdenotaalpie"/>
          <w:rFonts w:ascii="Verdana" w:hAnsi="Verdana"/>
          <w:sz w:val="20"/>
          <w:lang w:val="es-CR"/>
        </w:rPr>
        <w:footnoteReference w:id="51"/>
      </w:r>
      <w:r w:rsidR="002413FF" w:rsidRPr="00846DC8">
        <w:rPr>
          <w:rFonts w:ascii="Verdana" w:hAnsi="Verdana"/>
          <w:sz w:val="20"/>
          <w:lang w:val="es-CR"/>
        </w:rPr>
        <w:t xml:space="preserve">, </w:t>
      </w:r>
      <w:r w:rsidR="0052717E">
        <w:rPr>
          <w:rFonts w:ascii="Verdana" w:hAnsi="Verdana"/>
          <w:sz w:val="20"/>
          <w:lang w:val="es-CR"/>
        </w:rPr>
        <w:t xml:space="preserve">que </w:t>
      </w:r>
      <w:r w:rsidR="002413FF" w:rsidRPr="00846DC8">
        <w:rPr>
          <w:rFonts w:ascii="Verdana" w:hAnsi="Verdana"/>
          <w:sz w:val="20"/>
          <w:lang w:val="es-CR"/>
        </w:rPr>
        <w:t>el nuevo Registro Nacional de Detenciones engloba</w:t>
      </w:r>
      <w:r w:rsidR="0052717E">
        <w:rPr>
          <w:rFonts w:ascii="Verdana" w:hAnsi="Verdana"/>
          <w:sz w:val="20"/>
          <w:lang w:val="es-CR"/>
        </w:rPr>
        <w:t>ría</w:t>
      </w:r>
      <w:r w:rsidR="002413FF" w:rsidRPr="00846DC8">
        <w:rPr>
          <w:rFonts w:ascii="Verdana" w:hAnsi="Verdana"/>
          <w:sz w:val="20"/>
          <w:lang w:val="es-CR"/>
        </w:rPr>
        <w:t xml:space="preserve"> también el Registro de Detenidos de la PGR, </w:t>
      </w:r>
      <w:r w:rsidR="0052717E">
        <w:rPr>
          <w:rFonts w:ascii="Verdana" w:hAnsi="Verdana"/>
          <w:sz w:val="20"/>
          <w:lang w:val="es-CR"/>
        </w:rPr>
        <w:t>es necesario que el Estado aclare este punto,</w:t>
      </w:r>
      <w:r w:rsidR="0052717E" w:rsidRPr="00846DC8">
        <w:rPr>
          <w:rFonts w:ascii="Verdana" w:hAnsi="Verdana"/>
          <w:sz w:val="20"/>
          <w:lang w:val="es-CR"/>
        </w:rPr>
        <w:t xml:space="preserve"> </w:t>
      </w:r>
      <w:r w:rsidR="002413FF" w:rsidRPr="00846DC8">
        <w:rPr>
          <w:rFonts w:ascii="Verdana" w:hAnsi="Verdana"/>
          <w:sz w:val="20"/>
          <w:lang w:val="es-CR"/>
        </w:rPr>
        <w:t xml:space="preserve">por lo que se </w:t>
      </w:r>
      <w:r w:rsidR="00F4320C">
        <w:rPr>
          <w:rFonts w:ascii="Verdana" w:hAnsi="Verdana"/>
          <w:sz w:val="20"/>
          <w:lang w:val="es-CR"/>
        </w:rPr>
        <w:t>requiere</w:t>
      </w:r>
      <w:r w:rsidR="002413FF" w:rsidRPr="00846DC8">
        <w:rPr>
          <w:rFonts w:ascii="Verdana" w:hAnsi="Verdana"/>
          <w:sz w:val="20"/>
          <w:lang w:val="es-CR"/>
        </w:rPr>
        <w:t xml:space="preserve"> que en el informe soli</w:t>
      </w:r>
      <w:r w:rsidR="00E90447">
        <w:rPr>
          <w:rFonts w:ascii="Verdana" w:hAnsi="Verdana"/>
          <w:sz w:val="20"/>
          <w:lang w:val="es-CR"/>
        </w:rPr>
        <w:t xml:space="preserve">citado en el punto resolutivo </w:t>
      </w:r>
      <w:r w:rsidR="00F4320C">
        <w:rPr>
          <w:rFonts w:ascii="Verdana" w:hAnsi="Verdana"/>
          <w:sz w:val="20"/>
          <w:lang w:val="es-CR"/>
        </w:rPr>
        <w:t>tercero de</w:t>
      </w:r>
      <w:r w:rsidR="00426793">
        <w:rPr>
          <w:rFonts w:ascii="Verdana" w:hAnsi="Verdana"/>
          <w:sz w:val="20"/>
          <w:lang w:val="es-CR"/>
        </w:rPr>
        <w:t xml:space="preserve"> </w:t>
      </w:r>
      <w:r w:rsidR="00F4320C">
        <w:rPr>
          <w:rFonts w:ascii="Verdana" w:hAnsi="Verdana"/>
          <w:sz w:val="20"/>
          <w:lang w:val="es-CR"/>
        </w:rPr>
        <w:t xml:space="preserve">la presente Resolución </w:t>
      </w:r>
      <w:r w:rsidR="002413FF" w:rsidRPr="00846DC8">
        <w:rPr>
          <w:rFonts w:ascii="Verdana" w:hAnsi="Verdana"/>
          <w:sz w:val="20"/>
          <w:lang w:val="es-CR"/>
        </w:rPr>
        <w:t>haga referencia a</w:t>
      </w:r>
      <w:r w:rsidR="00E8329E">
        <w:rPr>
          <w:rFonts w:ascii="Verdana" w:hAnsi="Verdana"/>
          <w:sz w:val="20"/>
          <w:lang w:val="es-CR"/>
        </w:rPr>
        <w:t>l mismo</w:t>
      </w:r>
      <w:r w:rsidR="002413FF" w:rsidRPr="00846DC8">
        <w:rPr>
          <w:rFonts w:ascii="Verdana" w:hAnsi="Verdana"/>
          <w:sz w:val="20"/>
          <w:lang w:val="es-CR"/>
        </w:rPr>
        <w:t xml:space="preserve">. </w:t>
      </w:r>
    </w:p>
    <w:p w14:paraId="3A599688" w14:textId="15616891" w:rsidR="00655467" w:rsidRPr="00846DC8" w:rsidRDefault="00F4320C" w:rsidP="002413FF">
      <w:pPr>
        <w:widowControl w:val="0"/>
        <w:numPr>
          <w:ilvl w:val="0"/>
          <w:numId w:val="6"/>
        </w:numPr>
        <w:tabs>
          <w:tab w:val="left" w:pos="709"/>
        </w:tabs>
        <w:spacing w:before="120" w:after="120"/>
        <w:ind w:left="0" w:firstLine="0"/>
        <w:jc w:val="both"/>
        <w:rPr>
          <w:rFonts w:ascii="Verdana" w:hAnsi="Verdana"/>
          <w:sz w:val="20"/>
          <w:lang w:val="es-ES"/>
        </w:rPr>
      </w:pPr>
      <w:r>
        <w:rPr>
          <w:rFonts w:ascii="Verdana" w:hAnsi="Verdana"/>
          <w:sz w:val="20"/>
          <w:lang w:val="es-CR"/>
        </w:rPr>
        <w:t xml:space="preserve">Pareciera que dicha ley </w:t>
      </w:r>
      <w:r w:rsidR="00DD2D07" w:rsidRPr="00846DC8">
        <w:rPr>
          <w:rFonts w:ascii="Verdana" w:hAnsi="Verdana"/>
          <w:sz w:val="20"/>
          <w:lang w:val="es-CR"/>
        </w:rPr>
        <w:t>contiene disposici</w:t>
      </w:r>
      <w:r w:rsidR="00BF7A39" w:rsidRPr="00846DC8">
        <w:rPr>
          <w:rFonts w:ascii="Verdana" w:hAnsi="Verdana"/>
          <w:sz w:val="20"/>
          <w:lang w:val="es-CR"/>
        </w:rPr>
        <w:t>o</w:t>
      </w:r>
      <w:r w:rsidR="00DD2D07" w:rsidRPr="00846DC8">
        <w:rPr>
          <w:rFonts w:ascii="Verdana" w:hAnsi="Verdana"/>
          <w:sz w:val="20"/>
          <w:lang w:val="es-CR"/>
        </w:rPr>
        <w:t>n</w:t>
      </w:r>
      <w:r w:rsidR="00BF7A39" w:rsidRPr="00846DC8">
        <w:rPr>
          <w:rFonts w:ascii="Verdana" w:hAnsi="Verdana"/>
          <w:sz w:val="20"/>
          <w:lang w:val="es-CR"/>
        </w:rPr>
        <w:t>es</w:t>
      </w:r>
      <w:r w:rsidR="00DD2D07" w:rsidRPr="00846DC8">
        <w:rPr>
          <w:rFonts w:ascii="Verdana" w:hAnsi="Verdana"/>
          <w:sz w:val="20"/>
          <w:lang w:val="es-CR"/>
        </w:rPr>
        <w:t xml:space="preserve"> que </w:t>
      </w:r>
      <w:r w:rsidR="002413FF" w:rsidRPr="00846DC8">
        <w:rPr>
          <w:rFonts w:ascii="Verdana" w:hAnsi="Verdana"/>
          <w:sz w:val="20"/>
          <w:lang w:val="es-CR"/>
        </w:rPr>
        <w:t>implicarían un avance significativo respecto del cumplimiento de los cuatro requisitos ordenados por la Corte para lograr el fortalecimiento del registro de detenciones</w:t>
      </w:r>
      <w:r>
        <w:rPr>
          <w:rFonts w:ascii="Verdana" w:hAnsi="Verdana"/>
          <w:sz w:val="20"/>
          <w:lang w:val="es-CR"/>
        </w:rPr>
        <w:t xml:space="preserve"> (</w:t>
      </w:r>
      <w:r w:rsidRPr="00F4320C">
        <w:rPr>
          <w:rFonts w:ascii="Verdana" w:hAnsi="Verdana"/>
          <w:i/>
          <w:sz w:val="20"/>
          <w:lang w:val="es-CR"/>
        </w:rPr>
        <w:t xml:space="preserve">supra </w:t>
      </w:r>
      <w:r w:rsidR="00530694">
        <w:rPr>
          <w:rFonts w:ascii="Verdana" w:hAnsi="Verdana"/>
          <w:sz w:val="20"/>
          <w:lang w:val="es-CR"/>
        </w:rPr>
        <w:t>Considerando 20</w:t>
      </w:r>
      <w:r>
        <w:rPr>
          <w:rFonts w:ascii="Verdana" w:hAnsi="Verdana"/>
          <w:sz w:val="20"/>
          <w:lang w:val="es-CR"/>
        </w:rPr>
        <w:t>)</w:t>
      </w:r>
      <w:r w:rsidR="002413FF" w:rsidRPr="00846DC8">
        <w:rPr>
          <w:rFonts w:ascii="Verdana" w:hAnsi="Verdana"/>
          <w:sz w:val="20"/>
          <w:lang w:val="es-CR"/>
        </w:rPr>
        <w:t xml:space="preserve">. Sin embargo, los representantes informaron que </w:t>
      </w:r>
      <w:r w:rsidR="00655467" w:rsidRPr="00846DC8">
        <w:rPr>
          <w:rFonts w:ascii="Verdana" w:hAnsi="Verdana"/>
          <w:sz w:val="20"/>
          <w:lang w:val="es-ES"/>
        </w:rPr>
        <w:t xml:space="preserve">el 26 de junio de 2019 la Comisión Nacional de Derechos </w:t>
      </w:r>
      <w:r w:rsidR="00655467" w:rsidRPr="00846DC8">
        <w:rPr>
          <w:rFonts w:ascii="Verdana" w:hAnsi="Verdana"/>
          <w:sz w:val="20"/>
          <w:lang w:val="es-CR"/>
        </w:rPr>
        <w:t>Humanos</w:t>
      </w:r>
      <w:r w:rsidR="00655467" w:rsidRPr="00846DC8">
        <w:rPr>
          <w:rFonts w:ascii="Verdana" w:hAnsi="Verdana"/>
          <w:sz w:val="20"/>
          <w:lang w:val="es-ES"/>
        </w:rPr>
        <w:t xml:space="preserve"> de México interpuso una demanda de acción de inconstitucionalidad</w:t>
      </w:r>
      <w:r w:rsidR="00655467" w:rsidRPr="00846DC8">
        <w:rPr>
          <w:rStyle w:val="Refdenotaalpie"/>
          <w:rFonts w:ascii="Verdana" w:hAnsi="Verdana"/>
          <w:sz w:val="20"/>
          <w:lang w:val="es-ES"/>
        </w:rPr>
        <w:footnoteReference w:id="52"/>
      </w:r>
      <w:r w:rsidR="00655467" w:rsidRPr="00846DC8">
        <w:rPr>
          <w:rFonts w:ascii="Verdana" w:hAnsi="Verdana"/>
          <w:sz w:val="20"/>
          <w:lang w:val="es-ES"/>
        </w:rPr>
        <w:t xml:space="preserve"> respecto de los </w:t>
      </w:r>
      <w:r w:rsidR="00655467" w:rsidRPr="00846DC8">
        <w:rPr>
          <w:rFonts w:ascii="Verdana" w:hAnsi="Verdana"/>
          <w:sz w:val="20"/>
          <w:lang w:val="es-CR"/>
        </w:rPr>
        <w:t>artículos 19</w:t>
      </w:r>
      <w:r w:rsidR="00655467" w:rsidRPr="00846DC8">
        <w:rPr>
          <w:rStyle w:val="Refdenotaalpie"/>
          <w:rFonts w:ascii="Verdana" w:hAnsi="Verdana"/>
          <w:sz w:val="20"/>
          <w:lang w:val="es-CR"/>
        </w:rPr>
        <w:footnoteReference w:id="53"/>
      </w:r>
      <w:r w:rsidR="00655467" w:rsidRPr="00846DC8">
        <w:rPr>
          <w:rFonts w:ascii="Verdana" w:hAnsi="Verdana"/>
          <w:sz w:val="20"/>
          <w:lang w:val="es-CR"/>
        </w:rPr>
        <w:t xml:space="preserve"> y quinto transitorio</w:t>
      </w:r>
      <w:r w:rsidR="00655467" w:rsidRPr="00846DC8">
        <w:rPr>
          <w:rStyle w:val="Refdenotaalpie"/>
          <w:rFonts w:ascii="Verdana" w:hAnsi="Verdana"/>
          <w:sz w:val="20"/>
          <w:lang w:val="es-CR"/>
        </w:rPr>
        <w:footnoteReference w:id="54"/>
      </w:r>
      <w:r w:rsidR="00655467" w:rsidRPr="00846DC8">
        <w:rPr>
          <w:rFonts w:ascii="Verdana" w:hAnsi="Verdana"/>
          <w:sz w:val="20"/>
          <w:lang w:val="es-CR"/>
        </w:rPr>
        <w:t xml:space="preserve">, </w:t>
      </w:r>
      <w:r w:rsidR="00655467" w:rsidRPr="00846DC8">
        <w:rPr>
          <w:rFonts w:ascii="Verdana" w:hAnsi="Verdana"/>
          <w:sz w:val="20"/>
          <w:lang w:val="es-ES"/>
        </w:rPr>
        <w:t xml:space="preserve">en tanto permitían </w:t>
      </w:r>
      <w:r w:rsidR="00091A25" w:rsidRPr="00846DC8">
        <w:rPr>
          <w:rFonts w:ascii="Verdana" w:hAnsi="Verdana"/>
          <w:sz w:val="20"/>
          <w:lang w:val="es-ES"/>
        </w:rPr>
        <w:t xml:space="preserve">dos </w:t>
      </w:r>
      <w:r w:rsidR="00655467" w:rsidRPr="00846DC8">
        <w:rPr>
          <w:rFonts w:ascii="Verdana" w:hAnsi="Verdana"/>
          <w:sz w:val="20"/>
          <w:lang w:val="es-ES"/>
        </w:rPr>
        <w:t>interpreta</w:t>
      </w:r>
      <w:r w:rsidR="00091A25" w:rsidRPr="00846DC8">
        <w:rPr>
          <w:rFonts w:ascii="Verdana" w:hAnsi="Verdana"/>
          <w:sz w:val="20"/>
          <w:lang w:val="es-ES"/>
        </w:rPr>
        <w:t>ciones</w:t>
      </w:r>
      <w:r w:rsidR="00655467" w:rsidRPr="00846DC8">
        <w:rPr>
          <w:rFonts w:ascii="Verdana" w:hAnsi="Verdana"/>
          <w:sz w:val="20"/>
          <w:lang w:val="es-ES"/>
        </w:rPr>
        <w:t xml:space="preserve"> </w:t>
      </w:r>
      <w:r w:rsidR="00091A25" w:rsidRPr="00846DC8">
        <w:rPr>
          <w:rFonts w:ascii="Verdana" w:hAnsi="Verdana"/>
          <w:sz w:val="20"/>
          <w:lang w:val="es-ES"/>
        </w:rPr>
        <w:t>respecto a si las detenciones efectuadas por la</w:t>
      </w:r>
      <w:r w:rsidR="008A31DB">
        <w:rPr>
          <w:rFonts w:ascii="Verdana" w:hAnsi="Verdana"/>
          <w:sz w:val="20"/>
          <w:lang w:val="es-ES"/>
        </w:rPr>
        <w:t>s</w:t>
      </w:r>
      <w:r w:rsidR="00091A25" w:rsidRPr="00846DC8">
        <w:rPr>
          <w:rFonts w:ascii="Verdana" w:hAnsi="Verdana"/>
          <w:sz w:val="20"/>
          <w:lang w:val="es-ES"/>
        </w:rPr>
        <w:t xml:space="preserve"> Fuerza</w:t>
      </w:r>
      <w:r w:rsidR="008A31DB">
        <w:rPr>
          <w:rFonts w:ascii="Verdana" w:hAnsi="Verdana"/>
          <w:sz w:val="20"/>
          <w:lang w:val="es-ES"/>
        </w:rPr>
        <w:t>s</w:t>
      </w:r>
      <w:r w:rsidR="00091A25" w:rsidRPr="00846DC8">
        <w:rPr>
          <w:rFonts w:ascii="Verdana" w:hAnsi="Verdana"/>
          <w:sz w:val="20"/>
          <w:lang w:val="es-ES"/>
        </w:rPr>
        <w:t xml:space="preserve"> Armada</w:t>
      </w:r>
      <w:r w:rsidR="008A31DB">
        <w:rPr>
          <w:rFonts w:ascii="Verdana" w:hAnsi="Verdana"/>
          <w:sz w:val="20"/>
          <w:lang w:val="es-ES"/>
        </w:rPr>
        <w:t>s</w:t>
      </w:r>
      <w:r w:rsidR="00091A25" w:rsidRPr="00846DC8">
        <w:rPr>
          <w:rFonts w:ascii="Verdana" w:hAnsi="Verdana"/>
          <w:sz w:val="20"/>
          <w:lang w:val="es-ES"/>
        </w:rPr>
        <w:t xml:space="preserve"> deb</w:t>
      </w:r>
      <w:r w:rsidR="002413FF" w:rsidRPr="00846DC8">
        <w:rPr>
          <w:rFonts w:ascii="Verdana" w:hAnsi="Verdana"/>
          <w:sz w:val="20"/>
          <w:lang w:val="es-ES"/>
        </w:rPr>
        <w:t>ía</w:t>
      </w:r>
      <w:r w:rsidR="00091A25" w:rsidRPr="00846DC8">
        <w:rPr>
          <w:rFonts w:ascii="Verdana" w:hAnsi="Verdana"/>
          <w:sz w:val="20"/>
          <w:lang w:val="es-ES"/>
        </w:rPr>
        <w:t xml:space="preserve">n o no ser </w:t>
      </w:r>
      <w:r w:rsidR="002413FF" w:rsidRPr="00846DC8">
        <w:rPr>
          <w:rFonts w:ascii="Verdana" w:hAnsi="Verdana"/>
          <w:sz w:val="20"/>
          <w:lang w:val="es-ES"/>
        </w:rPr>
        <w:t>incluidas en el Registro Nacional de Detenciones. Por ello</w:t>
      </w:r>
      <w:r w:rsidR="00C67D09" w:rsidRPr="00846DC8">
        <w:rPr>
          <w:rFonts w:ascii="Verdana" w:hAnsi="Verdana"/>
          <w:sz w:val="20"/>
          <w:lang w:val="es-ES"/>
        </w:rPr>
        <w:t>, en</w:t>
      </w:r>
      <w:r w:rsidR="00091A25" w:rsidRPr="00846DC8">
        <w:rPr>
          <w:rFonts w:ascii="Verdana" w:hAnsi="Verdana"/>
          <w:sz w:val="20"/>
          <w:lang w:val="es-ES"/>
        </w:rPr>
        <w:t xml:space="preserve"> sus observaciones de septiembre de 2019, los representantes indicaron que </w:t>
      </w:r>
      <w:r w:rsidR="00655467" w:rsidRPr="00846DC8">
        <w:rPr>
          <w:rFonts w:ascii="Verdana" w:hAnsi="Verdana"/>
          <w:sz w:val="20"/>
          <w:lang w:val="es-ES"/>
        </w:rPr>
        <w:t xml:space="preserve">“en este momento está pendiente de resolverse por la </w:t>
      </w:r>
      <w:r>
        <w:rPr>
          <w:rFonts w:ascii="Verdana" w:hAnsi="Verdana"/>
          <w:sz w:val="20"/>
          <w:lang w:val="es-ES"/>
        </w:rPr>
        <w:t xml:space="preserve">[Suprema Corte de Justicia de la Nación] </w:t>
      </w:r>
      <w:r w:rsidR="00655467" w:rsidRPr="00846DC8">
        <w:rPr>
          <w:rFonts w:ascii="Verdana" w:hAnsi="Verdana"/>
          <w:sz w:val="20"/>
          <w:lang w:val="es-ES"/>
        </w:rPr>
        <w:t xml:space="preserve">si el lenguaje de la Ley en efecto obliga a las Fuerzas Armadas de manera clara o si admite la otra interpretación […], en la que ‘válidamente puede interpretarse que no se llevará registro alguno de las detenciones </w:t>
      </w:r>
      <w:proofErr w:type="spellStart"/>
      <w:r w:rsidR="00655467" w:rsidRPr="00846DC8">
        <w:rPr>
          <w:rFonts w:ascii="Verdana" w:hAnsi="Verdana"/>
          <w:sz w:val="20"/>
          <w:lang w:val="es-ES"/>
        </w:rPr>
        <w:t>ejectuadas</w:t>
      </w:r>
      <w:proofErr w:type="spellEnd"/>
      <w:r w:rsidR="00655467" w:rsidRPr="00846DC8">
        <w:rPr>
          <w:rFonts w:ascii="Verdana" w:hAnsi="Verdana"/>
          <w:sz w:val="20"/>
          <w:lang w:val="es-ES"/>
        </w:rPr>
        <w:t xml:space="preserve"> por la Fuerza Armada permanente’”</w:t>
      </w:r>
      <w:r w:rsidR="00655467" w:rsidRPr="00846DC8">
        <w:rPr>
          <w:rStyle w:val="Refdenotaalpie"/>
          <w:rFonts w:ascii="Verdana" w:hAnsi="Verdana"/>
          <w:sz w:val="20"/>
          <w:lang w:val="es-ES"/>
        </w:rPr>
        <w:footnoteReference w:id="55"/>
      </w:r>
      <w:r w:rsidR="00E604FF">
        <w:rPr>
          <w:rFonts w:ascii="Verdana" w:hAnsi="Verdana"/>
          <w:sz w:val="20"/>
          <w:lang w:val="es-ES"/>
        </w:rPr>
        <w:t>.</w:t>
      </w:r>
    </w:p>
    <w:p w14:paraId="15D33ED3" w14:textId="312E7E86" w:rsidR="00260226" w:rsidRDefault="00260226" w:rsidP="004219BC">
      <w:pPr>
        <w:widowControl w:val="0"/>
        <w:numPr>
          <w:ilvl w:val="0"/>
          <w:numId w:val="6"/>
        </w:numPr>
        <w:tabs>
          <w:tab w:val="left" w:pos="709"/>
        </w:tabs>
        <w:spacing w:before="120" w:after="120"/>
        <w:ind w:left="0" w:firstLine="0"/>
        <w:jc w:val="both"/>
        <w:rPr>
          <w:rFonts w:ascii="Verdana" w:hAnsi="Verdana"/>
          <w:sz w:val="20"/>
          <w:lang w:val="es-ES"/>
        </w:rPr>
      </w:pPr>
      <w:r w:rsidRPr="00846DC8">
        <w:rPr>
          <w:rFonts w:ascii="Verdana" w:hAnsi="Verdana"/>
          <w:sz w:val="20"/>
          <w:lang w:val="es-ES"/>
        </w:rPr>
        <w:t>Este Tribunal recuerda que</w:t>
      </w:r>
      <w:r w:rsidR="00502DF3">
        <w:rPr>
          <w:rFonts w:ascii="Verdana" w:hAnsi="Verdana"/>
          <w:sz w:val="20"/>
          <w:lang w:val="es-ES"/>
        </w:rPr>
        <w:t>,</w:t>
      </w:r>
      <w:r w:rsidRPr="00846DC8">
        <w:rPr>
          <w:rFonts w:ascii="Verdana" w:hAnsi="Verdana"/>
          <w:sz w:val="20"/>
          <w:lang w:val="es-ES"/>
        </w:rPr>
        <w:t xml:space="preserve"> </w:t>
      </w:r>
      <w:r w:rsidR="00502DF3">
        <w:rPr>
          <w:rFonts w:ascii="Verdana" w:hAnsi="Verdana"/>
          <w:sz w:val="20"/>
          <w:lang w:val="es-ES"/>
        </w:rPr>
        <w:t>en la Sentencia,</w:t>
      </w:r>
      <w:r w:rsidRPr="00846DC8">
        <w:rPr>
          <w:rFonts w:ascii="Verdana" w:hAnsi="Verdana"/>
          <w:sz w:val="20"/>
          <w:lang w:val="es-ES"/>
        </w:rPr>
        <w:t xml:space="preserve"> ordenó como garantía de no repetición el fortalecimiento del registro de detenciones existente, solicitando </w:t>
      </w:r>
      <w:r w:rsidRPr="00846DC8">
        <w:rPr>
          <w:rFonts w:ascii="Verdana" w:hAnsi="Verdana"/>
          <w:i/>
          <w:sz w:val="20"/>
          <w:lang w:val="es-ES"/>
        </w:rPr>
        <w:t xml:space="preserve">inter </w:t>
      </w:r>
      <w:proofErr w:type="spellStart"/>
      <w:r w:rsidRPr="00846DC8">
        <w:rPr>
          <w:rFonts w:ascii="Verdana" w:hAnsi="Verdana"/>
          <w:i/>
          <w:sz w:val="20"/>
          <w:lang w:val="es-ES"/>
        </w:rPr>
        <w:t>alia</w:t>
      </w:r>
      <w:proofErr w:type="spellEnd"/>
      <w:r w:rsidRPr="00846DC8">
        <w:rPr>
          <w:rFonts w:ascii="Verdana" w:hAnsi="Verdana"/>
          <w:sz w:val="20"/>
          <w:lang w:val="es-ES"/>
        </w:rPr>
        <w:t xml:space="preserve"> que se posibilitara la “</w:t>
      </w:r>
      <w:r w:rsidRPr="00846DC8">
        <w:rPr>
          <w:rFonts w:ascii="Verdana" w:hAnsi="Verdana"/>
          <w:sz w:val="20"/>
          <w:lang w:val="es-CR"/>
        </w:rPr>
        <w:t>interconexión de la base de datos de dicho registro con las demás existentes, de manera que se genere una red que permita identificar fácilmente el paradero de las personas detenidas”</w:t>
      </w:r>
      <w:r w:rsidR="0025421C" w:rsidRPr="00846DC8">
        <w:rPr>
          <w:rFonts w:ascii="Verdana" w:hAnsi="Verdana"/>
          <w:sz w:val="20"/>
          <w:lang w:val="es-CR"/>
        </w:rPr>
        <w:t xml:space="preserve"> (</w:t>
      </w:r>
      <w:r w:rsidR="0025421C" w:rsidRPr="00846DC8">
        <w:rPr>
          <w:rFonts w:ascii="Verdana" w:hAnsi="Verdana"/>
          <w:i/>
          <w:sz w:val="20"/>
          <w:lang w:val="es-CR"/>
        </w:rPr>
        <w:t xml:space="preserve">supra </w:t>
      </w:r>
      <w:r w:rsidR="0025421C" w:rsidRPr="00846DC8">
        <w:rPr>
          <w:rFonts w:ascii="Verdana" w:hAnsi="Verdana"/>
          <w:sz w:val="20"/>
          <w:lang w:val="es-CR"/>
        </w:rPr>
        <w:t>Considerando</w:t>
      </w:r>
      <w:r w:rsidR="00530694">
        <w:rPr>
          <w:rFonts w:ascii="Verdana" w:hAnsi="Verdana"/>
          <w:sz w:val="20"/>
          <w:lang w:val="es-CR"/>
        </w:rPr>
        <w:t xml:space="preserve"> 20</w:t>
      </w:r>
      <w:r w:rsidR="0025421C" w:rsidRPr="00846DC8">
        <w:rPr>
          <w:rFonts w:ascii="Verdana" w:hAnsi="Verdana"/>
          <w:sz w:val="20"/>
          <w:lang w:val="es-CR"/>
        </w:rPr>
        <w:t>)</w:t>
      </w:r>
      <w:r w:rsidRPr="00846DC8">
        <w:rPr>
          <w:rFonts w:ascii="Verdana" w:hAnsi="Verdana"/>
          <w:sz w:val="20"/>
          <w:lang w:val="es-CR"/>
        </w:rPr>
        <w:t xml:space="preserve">. </w:t>
      </w:r>
      <w:r w:rsidR="00502DF3">
        <w:rPr>
          <w:rFonts w:ascii="Verdana" w:hAnsi="Verdana"/>
          <w:sz w:val="20"/>
          <w:lang w:val="es-ES"/>
        </w:rPr>
        <w:t>En la Resolución de 2013</w:t>
      </w:r>
      <w:r w:rsidRPr="00846DC8">
        <w:rPr>
          <w:rFonts w:ascii="Verdana" w:hAnsi="Verdana"/>
          <w:sz w:val="20"/>
          <w:lang w:val="es-ES"/>
        </w:rPr>
        <w:t>, la Corte ya hizo notar al Estado que resultaba necesario que especificara “si en el registro se estarían incluyendo las acciones que lleven a cabo las Fuerzas Armadas”</w:t>
      </w:r>
      <w:r w:rsidR="00F11DB8" w:rsidRPr="00846DC8">
        <w:rPr>
          <w:rFonts w:ascii="Verdana" w:hAnsi="Verdana"/>
          <w:sz w:val="20"/>
          <w:lang w:val="es-ES"/>
        </w:rPr>
        <w:t xml:space="preserve"> (</w:t>
      </w:r>
      <w:r w:rsidR="00F11DB8" w:rsidRPr="00846DC8">
        <w:rPr>
          <w:rFonts w:ascii="Verdana" w:hAnsi="Verdana"/>
          <w:i/>
          <w:sz w:val="20"/>
          <w:lang w:val="es-ES"/>
        </w:rPr>
        <w:t>sup</w:t>
      </w:r>
      <w:r w:rsidR="0025421C" w:rsidRPr="00846DC8">
        <w:rPr>
          <w:rFonts w:ascii="Verdana" w:hAnsi="Verdana"/>
          <w:i/>
          <w:sz w:val="20"/>
          <w:lang w:val="es-ES"/>
        </w:rPr>
        <w:t>r</w:t>
      </w:r>
      <w:r w:rsidR="00F11DB8" w:rsidRPr="00846DC8">
        <w:rPr>
          <w:rFonts w:ascii="Verdana" w:hAnsi="Verdana"/>
          <w:i/>
          <w:sz w:val="20"/>
          <w:lang w:val="es-ES"/>
        </w:rPr>
        <w:t xml:space="preserve">a </w:t>
      </w:r>
      <w:r w:rsidR="00F11DB8" w:rsidRPr="00846DC8">
        <w:rPr>
          <w:rFonts w:ascii="Verdana" w:hAnsi="Verdana"/>
          <w:sz w:val="20"/>
          <w:lang w:val="es-ES"/>
        </w:rPr>
        <w:t>Cons</w:t>
      </w:r>
      <w:r w:rsidR="0025421C" w:rsidRPr="00846DC8">
        <w:rPr>
          <w:rFonts w:ascii="Verdana" w:hAnsi="Verdana"/>
          <w:sz w:val="20"/>
          <w:lang w:val="es-ES"/>
        </w:rPr>
        <w:t>iderando</w:t>
      </w:r>
      <w:r w:rsidR="00530694">
        <w:rPr>
          <w:rFonts w:ascii="Verdana" w:hAnsi="Verdana"/>
          <w:sz w:val="20"/>
          <w:lang w:val="es-ES"/>
        </w:rPr>
        <w:t xml:space="preserve"> 21</w:t>
      </w:r>
      <w:r w:rsidR="00F11DB8" w:rsidRPr="00846DC8">
        <w:rPr>
          <w:rFonts w:ascii="Verdana" w:hAnsi="Verdana"/>
          <w:sz w:val="20"/>
          <w:lang w:val="es-ES"/>
        </w:rPr>
        <w:t>)</w:t>
      </w:r>
      <w:r w:rsidRPr="00846DC8">
        <w:rPr>
          <w:rFonts w:ascii="Verdana" w:hAnsi="Verdana"/>
          <w:sz w:val="20"/>
          <w:lang w:val="es-ES"/>
        </w:rPr>
        <w:t xml:space="preserve">. </w:t>
      </w:r>
      <w:r w:rsidRPr="00846DC8">
        <w:rPr>
          <w:rFonts w:ascii="Verdana" w:hAnsi="Verdana"/>
          <w:sz w:val="20"/>
          <w:lang w:val="es-CR"/>
        </w:rPr>
        <w:t xml:space="preserve">Teniendo en cuenta que en su Sentencia la Corte tuvo por probada la participación de </w:t>
      </w:r>
      <w:r w:rsidR="00830944" w:rsidRPr="00846DC8">
        <w:rPr>
          <w:rFonts w:ascii="Verdana" w:hAnsi="Verdana"/>
          <w:sz w:val="20"/>
          <w:lang w:val="es-CR"/>
        </w:rPr>
        <w:t xml:space="preserve">funcionarios de </w:t>
      </w:r>
      <w:r w:rsidRPr="00846DC8">
        <w:rPr>
          <w:rFonts w:ascii="Verdana" w:hAnsi="Verdana"/>
          <w:sz w:val="20"/>
          <w:lang w:val="es-CR"/>
        </w:rPr>
        <w:t xml:space="preserve">las Fuerzas Armadas, tanto respecto de la detención de los </w:t>
      </w:r>
      <w:r w:rsidRPr="00846DC8">
        <w:rPr>
          <w:rFonts w:ascii="Verdana" w:hAnsi="Verdana"/>
          <w:sz w:val="20"/>
          <w:lang w:val="es-ES"/>
        </w:rPr>
        <w:t>señores Teodoro Cabrera García y Rodolfo Montiel Flores</w:t>
      </w:r>
      <w:r w:rsidR="00502DF3">
        <w:rPr>
          <w:rFonts w:ascii="Verdana" w:hAnsi="Verdana"/>
          <w:sz w:val="20"/>
          <w:lang w:val="es-ES"/>
        </w:rPr>
        <w:t>,</w:t>
      </w:r>
      <w:r w:rsidRPr="00846DC8">
        <w:rPr>
          <w:rFonts w:ascii="Verdana" w:hAnsi="Verdana"/>
          <w:sz w:val="20"/>
          <w:lang w:val="es-ES"/>
        </w:rPr>
        <w:t xml:space="preserve"> como a nivel contextual en operaciones de seguridad propias de autoridades civiles</w:t>
      </w:r>
      <w:r w:rsidRPr="00846DC8">
        <w:rPr>
          <w:rStyle w:val="Refdenotaalpie"/>
          <w:rFonts w:ascii="Verdana" w:hAnsi="Verdana"/>
          <w:sz w:val="20"/>
          <w:lang w:val="es-ES"/>
        </w:rPr>
        <w:footnoteReference w:id="56"/>
      </w:r>
      <w:r w:rsidRPr="00846DC8">
        <w:rPr>
          <w:rFonts w:ascii="Verdana" w:hAnsi="Verdana"/>
          <w:sz w:val="20"/>
          <w:lang w:val="es-ES"/>
        </w:rPr>
        <w:t xml:space="preserve">, este Tribunal considera </w:t>
      </w:r>
      <w:r w:rsidR="002E2656" w:rsidRPr="00846DC8">
        <w:rPr>
          <w:rFonts w:ascii="Verdana" w:hAnsi="Verdana"/>
          <w:sz w:val="20"/>
          <w:lang w:val="es-ES"/>
        </w:rPr>
        <w:t>necesario</w:t>
      </w:r>
      <w:r w:rsidR="00FE13BF" w:rsidRPr="00846DC8">
        <w:rPr>
          <w:rFonts w:ascii="Verdana" w:hAnsi="Verdana"/>
          <w:sz w:val="20"/>
          <w:lang w:val="es-ES"/>
        </w:rPr>
        <w:t xml:space="preserve">, a los fines de valorar el cumplimiento de la presente medida, </w:t>
      </w:r>
      <w:r w:rsidRPr="00846DC8">
        <w:rPr>
          <w:rFonts w:ascii="Verdana" w:hAnsi="Verdana"/>
          <w:sz w:val="20"/>
          <w:lang w:val="es-ES"/>
        </w:rPr>
        <w:t>que el Estado se refi</w:t>
      </w:r>
      <w:r w:rsidR="00161502" w:rsidRPr="00846DC8">
        <w:rPr>
          <w:rFonts w:ascii="Verdana" w:hAnsi="Verdana"/>
          <w:sz w:val="20"/>
          <w:lang w:val="es-ES"/>
        </w:rPr>
        <w:t xml:space="preserve">era a la forma en que la </w:t>
      </w:r>
      <w:r w:rsidR="002E2656" w:rsidRPr="00846DC8">
        <w:rPr>
          <w:rFonts w:ascii="Verdana" w:hAnsi="Verdana"/>
          <w:sz w:val="20"/>
          <w:lang w:val="es-ES"/>
        </w:rPr>
        <w:t>Ley Nacional del Registro de Detenciones</w:t>
      </w:r>
      <w:r w:rsidRPr="00846DC8">
        <w:rPr>
          <w:rFonts w:ascii="Verdana" w:hAnsi="Verdana"/>
          <w:sz w:val="20"/>
          <w:lang w:val="es-ES"/>
        </w:rPr>
        <w:t xml:space="preserve"> regula </w:t>
      </w:r>
      <w:r w:rsidR="002E2656" w:rsidRPr="00846DC8">
        <w:rPr>
          <w:rFonts w:ascii="Verdana" w:hAnsi="Verdana"/>
          <w:sz w:val="20"/>
          <w:lang w:val="es-ES"/>
        </w:rPr>
        <w:t>las</w:t>
      </w:r>
      <w:r w:rsidRPr="00846DC8">
        <w:rPr>
          <w:rFonts w:ascii="Verdana" w:hAnsi="Verdana"/>
          <w:sz w:val="20"/>
          <w:lang w:val="es-ES"/>
        </w:rPr>
        <w:t xml:space="preserve"> detenciones llevadas a cabo por miembros de las Fuerzas Armadas, y solicita a México que presente información actualizada y detallada </w:t>
      </w:r>
      <w:r w:rsidR="002413FF" w:rsidRPr="00846DC8">
        <w:rPr>
          <w:rFonts w:ascii="Verdana" w:hAnsi="Verdana"/>
          <w:sz w:val="20"/>
          <w:lang w:val="es-ES"/>
        </w:rPr>
        <w:t>con</w:t>
      </w:r>
      <w:r w:rsidRPr="00846DC8">
        <w:rPr>
          <w:rFonts w:ascii="Verdana" w:hAnsi="Verdana"/>
          <w:sz w:val="20"/>
          <w:lang w:val="es-ES"/>
        </w:rPr>
        <w:t xml:space="preserve"> respecto</w:t>
      </w:r>
      <w:r w:rsidR="002413FF" w:rsidRPr="00846DC8">
        <w:rPr>
          <w:rFonts w:ascii="Verdana" w:hAnsi="Verdana"/>
          <w:sz w:val="20"/>
          <w:lang w:val="es-ES"/>
        </w:rPr>
        <w:t xml:space="preserve"> a la demanda de inconstitucionalidad que se encuentra actualmente en curso</w:t>
      </w:r>
      <w:r w:rsidRPr="00846DC8">
        <w:rPr>
          <w:rFonts w:ascii="Verdana" w:hAnsi="Verdana"/>
          <w:sz w:val="20"/>
          <w:lang w:val="es-ES"/>
        </w:rPr>
        <w:t xml:space="preserve">. </w:t>
      </w:r>
    </w:p>
    <w:p w14:paraId="5FB8B1F9" w14:textId="77777777" w:rsidR="00BA7C8A" w:rsidRPr="00846DC8" w:rsidRDefault="00BA7C8A" w:rsidP="00BA7C8A">
      <w:pPr>
        <w:widowControl w:val="0"/>
        <w:tabs>
          <w:tab w:val="left" w:pos="709"/>
        </w:tabs>
        <w:spacing w:before="120" w:after="120"/>
        <w:jc w:val="both"/>
        <w:rPr>
          <w:rFonts w:ascii="Verdana" w:hAnsi="Verdana"/>
          <w:sz w:val="20"/>
          <w:lang w:val="es-ES"/>
        </w:rPr>
      </w:pPr>
    </w:p>
    <w:p w14:paraId="2701DEAF" w14:textId="4C019800" w:rsidR="00B44DF0" w:rsidRPr="00846DC8" w:rsidRDefault="00B44DF0" w:rsidP="007A562A">
      <w:pPr>
        <w:widowControl w:val="0"/>
        <w:numPr>
          <w:ilvl w:val="0"/>
          <w:numId w:val="6"/>
        </w:numPr>
        <w:tabs>
          <w:tab w:val="left" w:pos="709"/>
        </w:tabs>
        <w:spacing w:before="120" w:after="120"/>
        <w:ind w:left="0" w:firstLine="0"/>
        <w:jc w:val="both"/>
        <w:rPr>
          <w:rFonts w:ascii="Verdana" w:hAnsi="Verdana"/>
          <w:sz w:val="20"/>
          <w:lang w:val="es-ES"/>
        </w:rPr>
      </w:pPr>
      <w:bookmarkStart w:id="10" w:name="_Ref40207844"/>
      <w:r w:rsidRPr="00846DC8">
        <w:rPr>
          <w:rFonts w:ascii="Verdana" w:hAnsi="Verdana"/>
          <w:color w:val="000000" w:themeColor="text1"/>
          <w:sz w:val="20"/>
          <w:lang w:val="es-ES"/>
        </w:rPr>
        <w:t>A la luz de lo expues</w:t>
      </w:r>
      <w:r w:rsidR="00F54124" w:rsidRPr="00846DC8">
        <w:rPr>
          <w:rFonts w:ascii="Verdana" w:hAnsi="Verdana"/>
          <w:color w:val="000000" w:themeColor="text1"/>
          <w:sz w:val="20"/>
          <w:lang w:val="es-ES"/>
        </w:rPr>
        <w:t>t</w:t>
      </w:r>
      <w:r w:rsidRPr="00846DC8">
        <w:rPr>
          <w:rFonts w:ascii="Verdana" w:hAnsi="Verdana"/>
          <w:color w:val="000000" w:themeColor="text1"/>
          <w:sz w:val="20"/>
          <w:lang w:val="es-ES"/>
        </w:rPr>
        <w:t xml:space="preserve">o, este Tribunal valora positivamente la adopción de la Ley Nacional del Registro de Detenciones, y reconoce </w:t>
      </w:r>
      <w:r w:rsidR="007A562A" w:rsidRPr="00846DC8">
        <w:rPr>
          <w:rFonts w:ascii="Verdana" w:hAnsi="Verdana"/>
          <w:color w:val="000000" w:themeColor="text1"/>
          <w:sz w:val="20"/>
          <w:lang w:val="es-ES"/>
        </w:rPr>
        <w:t xml:space="preserve">el importante avance </w:t>
      </w:r>
      <w:r w:rsidRPr="00846DC8">
        <w:rPr>
          <w:rFonts w:ascii="Verdana" w:hAnsi="Verdana"/>
          <w:color w:val="000000" w:themeColor="text1"/>
          <w:sz w:val="20"/>
          <w:lang w:val="es-ES"/>
        </w:rPr>
        <w:t xml:space="preserve">que la </w:t>
      </w:r>
      <w:r w:rsidRPr="00846DC8">
        <w:rPr>
          <w:rFonts w:ascii="Verdana" w:hAnsi="Verdana"/>
          <w:sz w:val="20"/>
          <w:lang w:val="es-ES"/>
        </w:rPr>
        <w:t>creación</w:t>
      </w:r>
      <w:r w:rsidRPr="00846DC8">
        <w:rPr>
          <w:rFonts w:ascii="Verdana" w:hAnsi="Verdana"/>
          <w:color w:val="000000" w:themeColor="text1"/>
          <w:sz w:val="20"/>
          <w:lang w:val="es-ES"/>
        </w:rPr>
        <w:t xml:space="preserve"> del Registro Nacional de Detenciones representa para el fortalecimiento del registro de detenciones en México. Sin embargo, </w:t>
      </w:r>
      <w:r w:rsidR="007A562A" w:rsidRPr="00846DC8">
        <w:rPr>
          <w:rFonts w:ascii="Verdana" w:hAnsi="Verdana"/>
          <w:color w:val="000000" w:themeColor="text1"/>
          <w:sz w:val="20"/>
          <w:lang w:val="es-ES"/>
        </w:rPr>
        <w:t>teniendo en cuenta que</w:t>
      </w:r>
      <w:r w:rsidRPr="00846DC8">
        <w:rPr>
          <w:rFonts w:ascii="Verdana" w:hAnsi="Verdana"/>
          <w:color w:val="000000" w:themeColor="text1"/>
          <w:sz w:val="20"/>
          <w:lang w:val="es-ES"/>
        </w:rPr>
        <w:t xml:space="preserve">, actualmente, se encuentra pendiente </w:t>
      </w:r>
      <w:r w:rsidRPr="00846DC8">
        <w:rPr>
          <w:rFonts w:ascii="Verdana" w:hAnsi="Verdana"/>
          <w:sz w:val="20"/>
          <w:lang w:val="es-ES"/>
        </w:rPr>
        <w:t xml:space="preserve">de resolución </w:t>
      </w:r>
      <w:r w:rsidR="00C67D09" w:rsidRPr="00846DC8">
        <w:rPr>
          <w:rFonts w:ascii="Verdana" w:hAnsi="Verdana"/>
          <w:sz w:val="20"/>
          <w:lang w:val="es-ES"/>
        </w:rPr>
        <w:t>una</w:t>
      </w:r>
      <w:r w:rsidRPr="00846DC8">
        <w:rPr>
          <w:rFonts w:ascii="Verdana" w:hAnsi="Verdana"/>
          <w:sz w:val="20"/>
          <w:lang w:val="es-ES"/>
        </w:rPr>
        <w:t xml:space="preserve"> demanda de acción de inconstitucionalidad </w:t>
      </w:r>
      <w:r w:rsidR="00C67D09" w:rsidRPr="00846DC8">
        <w:rPr>
          <w:rFonts w:ascii="Verdana" w:hAnsi="Verdana"/>
          <w:sz w:val="20"/>
          <w:lang w:val="es-ES"/>
        </w:rPr>
        <w:t>que cuestiona</w:t>
      </w:r>
      <w:r w:rsidRPr="00846DC8">
        <w:rPr>
          <w:rFonts w:ascii="Verdana" w:hAnsi="Verdana"/>
          <w:sz w:val="20"/>
          <w:lang w:val="es-ES"/>
        </w:rPr>
        <w:t xml:space="preserve"> </w:t>
      </w:r>
      <w:r w:rsidR="00C67D09" w:rsidRPr="00846DC8">
        <w:rPr>
          <w:rFonts w:ascii="Verdana" w:hAnsi="Verdana"/>
          <w:sz w:val="20"/>
          <w:lang w:val="es-ES"/>
        </w:rPr>
        <w:t xml:space="preserve">algunos de sus </w:t>
      </w:r>
      <w:r w:rsidR="00502DF3">
        <w:rPr>
          <w:rFonts w:ascii="Verdana" w:hAnsi="Verdana"/>
          <w:sz w:val="20"/>
          <w:lang w:val="es-ES"/>
        </w:rPr>
        <w:t>artículos</w:t>
      </w:r>
      <w:r w:rsidR="007A562A" w:rsidRPr="00846DC8">
        <w:rPr>
          <w:rFonts w:ascii="Verdana" w:hAnsi="Verdana"/>
          <w:sz w:val="20"/>
          <w:lang w:val="es-ES"/>
        </w:rPr>
        <w:t xml:space="preserve"> (</w:t>
      </w:r>
      <w:r w:rsidR="007A562A" w:rsidRPr="00846DC8">
        <w:rPr>
          <w:rFonts w:ascii="Verdana" w:hAnsi="Verdana"/>
          <w:i/>
          <w:sz w:val="20"/>
          <w:lang w:val="es-ES"/>
        </w:rPr>
        <w:t xml:space="preserve">supra </w:t>
      </w:r>
      <w:r w:rsidR="00530694">
        <w:rPr>
          <w:rFonts w:ascii="Verdana" w:hAnsi="Verdana"/>
          <w:sz w:val="20"/>
          <w:lang w:val="es-ES"/>
        </w:rPr>
        <w:t>Considerando 24</w:t>
      </w:r>
      <w:r w:rsidR="007A562A" w:rsidRPr="00846DC8">
        <w:rPr>
          <w:rFonts w:ascii="Verdana" w:hAnsi="Verdana"/>
          <w:sz w:val="20"/>
          <w:lang w:val="es-ES"/>
        </w:rPr>
        <w:t>),</w:t>
      </w:r>
      <w:r w:rsidRPr="00846DC8">
        <w:rPr>
          <w:rFonts w:ascii="Verdana" w:hAnsi="Verdana"/>
          <w:sz w:val="20"/>
          <w:lang w:val="es-ES"/>
        </w:rPr>
        <w:t xml:space="preserve"> </w:t>
      </w:r>
      <w:r w:rsidR="00F54124" w:rsidRPr="00846DC8">
        <w:rPr>
          <w:rFonts w:ascii="Verdana" w:hAnsi="Verdana"/>
          <w:sz w:val="20"/>
          <w:lang w:val="es-ES"/>
        </w:rPr>
        <w:t xml:space="preserve">la Corte considera que </w:t>
      </w:r>
      <w:r w:rsidR="00774A84" w:rsidRPr="00846DC8">
        <w:rPr>
          <w:rFonts w:ascii="Verdana" w:hAnsi="Verdana"/>
          <w:sz w:val="20"/>
          <w:lang w:val="es-ES"/>
        </w:rPr>
        <w:t xml:space="preserve">la medida de </w:t>
      </w:r>
      <w:proofErr w:type="spellStart"/>
      <w:r w:rsidR="00774A84" w:rsidRPr="00846DC8">
        <w:rPr>
          <w:rFonts w:ascii="Verdana" w:hAnsi="Verdana"/>
          <w:sz w:val="20"/>
          <w:lang w:val="es-ES"/>
        </w:rPr>
        <w:t>reparación</w:t>
      </w:r>
      <w:proofErr w:type="spellEnd"/>
      <w:r w:rsidR="00774A84" w:rsidRPr="00846DC8">
        <w:rPr>
          <w:rFonts w:ascii="Verdana" w:hAnsi="Verdana"/>
          <w:sz w:val="20"/>
          <w:lang w:val="es-ES"/>
        </w:rPr>
        <w:t xml:space="preserve"> ordenada en el punto resolutivo </w:t>
      </w:r>
      <w:proofErr w:type="spellStart"/>
      <w:r w:rsidR="00774A84" w:rsidRPr="00846DC8">
        <w:rPr>
          <w:rFonts w:ascii="Verdana" w:hAnsi="Verdana"/>
          <w:sz w:val="20"/>
          <w:lang w:val="es-ES"/>
        </w:rPr>
        <w:t>décimo</w:t>
      </w:r>
      <w:proofErr w:type="spellEnd"/>
      <w:r w:rsidR="00774A84" w:rsidRPr="00846DC8">
        <w:rPr>
          <w:rFonts w:ascii="Verdana" w:hAnsi="Verdana"/>
          <w:sz w:val="20"/>
          <w:lang w:val="es-ES"/>
        </w:rPr>
        <w:t xml:space="preserve"> sexto de la Sentencia </w:t>
      </w:r>
      <w:r w:rsidR="00F54124" w:rsidRPr="00846DC8">
        <w:rPr>
          <w:rFonts w:ascii="Verdana" w:hAnsi="Verdana"/>
          <w:sz w:val="20"/>
          <w:lang w:val="es-ES"/>
        </w:rPr>
        <w:t>se encuentra pendiente de cumplimiento</w:t>
      </w:r>
      <w:r w:rsidR="00774A84">
        <w:rPr>
          <w:rFonts w:ascii="Verdana" w:hAnsi="Verdana"/>
          <w:sz w:val="20"/>
          <w:lang w:val="es-ES"/>
        </w:rPr>
        <w:t>,</w:t>
      </w:r>
      <w:r w:rsidR="00F54124" w:rsidRPr="00846DC8">
        <w:rPr>
          <w:rFonts w:ascii="Verdana" w:hAnsi="Verdana"/>
          <w:sz w:val="20"/>
          <w:lang w:val="es-ES"/>
        </w:rPr>
        <w:t xml:space="preserve"> y requiere al Estado que </w:t>
      </w:r>
      <w:proofErr w:type="spellStart"/>
      <w:r w:rsidR="00F54124" w:rsidRPr="00846DC8">
        <w:rPr>
          <w:rFonts w:ascii="Verdana" w:hAnsi="Verdana"/>
          <w:sz w:val="20"/>
          <w:lang w:val="es-ES"/>
        </w:rPr>
        <w:t>continúe</w:t>
      </w:r>
      <w:proofErr w:type="spellEnd"/>
      <w:r w:rsidR="00F54124" w:rsidRPr="00846DC8">
        <w:rPr>
          <w:rFonts w:ascii="Verdana" w:hAnsi="Verdana"/>
          <w:sz w:val="20"/>
          <w:lang w:val="es-ES"/>
        </w:rPr>
        <w:t xml:space="preserve"> informando respecto al cumplimiento de la misma.</w:t>
      </w:r>
      <w:bookmarkEnd w:id="10"/>
      <w:r w:rsidR="00F54124" w:rsidRPr="00846DC8">
        <w:rPr>
          <w:rFonts w:ascii="Verdana" w:hAnsi="Verdana"/>
          <w:sz w:val="20"/>
          <w:lang w:val="es-ES"/>
        </w:rPr>
        <w:t xml:space="preserve"> </w:t>
      </w:r>
    </w:p>
    <w:p w14:paraId="666B0F2D" w14:textId="77777777" w:rsidR="00BA7C8A" w:rsidRPr="00846DC8" w:rsidRDefault="00BA7C8A" w:rsidP="00260226">
      <w:pPr>
        <w:pStyle w:val="Prrafodelista"/>
        <w:spacing w:before="120" w:after="120"/>
        <w:ind w:left="0"/>
        <w:contextualSpacing w:val="0"/>
        <w:jc w:val="both"/>
        <w:rPr>
          <w:rFonts w:ascii="Verdana" w:hAnsi="Verdana"/>
          <w:sz w:val="20"/>
          <w:lang w:val="es-CO"/>
        </w:rPr>
      </w:pPr>
    </w:p>
    <w:p w14:paraId="5BCFE9D9" w14:textId="77777777" w:rsidR="00260226" w:rsidRPr="00846DC8" w:rsidRDefault="00260226" w:rsidP="00260226">
      <w:pPr>
        <w:tabs>
          <w:tab w:val="left" w:pos="680"/>
        </w:tabs>
        <w:spacing w:before="120" w:after="120"/>
        <w:jc w:val="both"/>
        <w:rPr>
          <w:rFonts w:ascii="Verdana" w:hAnsi="Verdana"/>
          <w:b/>
          <w:sz w:val="20"/>
          <w:lang w:val="es-CO"/>
        </w:rPr>
      </w:pPr>
      <w:r w:rsidRPr="00846DC8">
        <w:rPr>
          <w:rFonts w:ascii="Verdana" w:hAnsi="Verdana"/>
          <w:b/>
          <w:sz w:val="20"/>
          <w:lang w:val="es-CO"/>
        </w:rPr>
        <w:t>POR TANTO:</w:t>
      </w:r>
    </w:p>
    <w:p w14:paraId="524B174D" w14:textId="77777777" w:rsidR="00260226" w:rsidRPr="00846DC8" w:rsidRDefault="00260226" w:rsidP="00260226">
      <w:pPr>
        <w:pStyle w:val="Textoindependiente"/>
        <w:tabs>
          <w:tab w:val="left" w:pos="360"/>
          <w:tab w:val="left" w:pos="567"/>
        </w:tabs>
        <w:spacing w:before="120"/>
        <w:rPr>
          <w:rFonts w:ascii="Verdana" w:hAnsi="Verdana"/>
          <w:b/>
          <w:sz w:val="20"/>
          <w:lang w:val="es-CO"/>
        </w:rPr>
      </w:pPr>
    </w:p>
    <w:p w14:paraId="25C9CD46" w14:textId="77777777" w:rsidR="00260226" w:rsidRPr="00846DC8" w:rsidRDefault="00260226" w:rsidP="00260226">
      <w:pPr>
        <w:pStyle w:val="Textoindependiente"/>
        <w:tabs>
          <w:tab w:val="left" w:pos="360"/>
          <w:tab w:val="left" w:pos="567"/>
        </w:tabs>
        <w:spacing w:before="120"/>
        <w:rPr>
          <w:rFonts w:ascii="Verdana" w:hAnsi="Verdana"/>
          <w:b/>
          <w:sz w:val="20"/>
          <w:lang w:val="es-CO"/>
        </w:rPr>
      </w:pPr>
      <w:r w:rsidRPr="00846DC8">
        <w:rPr>
          <w:rFonts w:ascii="Verdana" w:hAnsi="Verdana"/>
          <w:b/>
          <w:sz w:val="20"/>
          <w:lang w:val="es-CO"/>
        </w:rPr>
        <w:t>LA CORTE INTERAMERICANA DE DERECHOS HUMANOS,</w:t>
      </w:r>
    </w:p>
    <w:p w14:paraId="49D4CA46" w14:textId="77777777" w:rsidR="00260226" w:rsidRPr="00846DC8" w:rsidRDefault="00260226" w:rsidP="00260226">
      <w:pPr>
        <w:pStyle w:val="Textoindependiente"/>
        <w:tabs>
          <w:tab w:val="left" w:pos="360"/>
          <w:tab w:val="left" w:pos="567"/>
        </w:tabs>
        <w:spacing w:before="120"/>
        <w:rPr>
          <w:rFonts w:ascii="Verdana" w:hAnsi="Verdana"/>
          <w:b/>
          <w:sz w:val="20"/>
          <w:lang w:val="es-CO"/>
        </w:rPr>
      </w:pPr>
    </w:p>
    <w:p w14:paraId="0360C317" w14:textId="77777777" w:rsidR="00260226" w:rsidRPr="00846DC8" w:rsidRDefault="00260226" w:rsidP="00260226">
      <w:pPr>
        <w:pStyle w:val="Textoindependiente"/>
        <w:tabs>
          <w:tab w:val="left" w:pos="360"/>
          <w:tab w:val="left" w:pos="567"/>
        </w:tabs>
        <w:spacing w:before="120"/>
        <w:jc w:val="both"/>
        <w:rPr>
          <w:rFonts w:ascii="Verdana" w:hAnsi="Verdana"/>
          <w:b/>
          <w:sz w:val="20"/>
          <w:lang w:val="es-CO"/>
        </w:rPr>
      </w:pPr>
      <w:r w:rsidRPr="00846DC8">
        <w:rPr>
          <w:rFonts w:ascii="Verdana" w:hAnsi="Verdana"/>
          <w:sz w:val="20"/>
          <w:lang w:val="es-CO"/>
        </w:rPr>
        <w:t>en el ejercicio de sus atribuciones de supervisión del cumplimiento de sus decisiones, de conformidad con los artículos 33, 62.1, 62.3, 65, 67 y 68.1 de la Convención Americana sobre Derechos Humanos, 24, 25 y 30 del Estatuto, y 31.2 y 69 de su Reglamento,</w:t>
      </w:r>
    </w:p>
    <w:p w14:paraId="3228ECCC" w14:textId="34321C59" w:rsidR="00260226" w:rsidRDefault="00260226" w:rsidP="00260226">
      <w:pPr>
        <w:tabs>
          <w:tab w:val="left" w:pos="567"/>
        </w:tabs>
        <w:spacing w:before="120" w:after="120"/>
        <w:jc w:val="both"/>
        <w:rPr>
          <w:rFonts w:ascii="Verdana" w:hAnsi="Verdana"/>
          <w:sz w:val="20"/>
          <w:lang w:val="es-CO"/>
        </w:rPr>
      </w:pPr>
    </w:p>
    <w:p w14:paraId="0176447F" w14:textId="77777777" w:rsidR="00BA7C8A" w:rsidRPr="00846DC8" w:rsidRDefault="00BA7C8A" w:rsidP="00260226">
      <w:pPr>
        <w:tabs>
          <w:tab w:val="left" w:pos="567"/>
        </w:tabs>
        <w:spacing w:before="120" w:after="120"/>
        <w:jc w:val="both"/>
        <w:rPr>
          <w:rFonts w:ascii="Verdana" w:hAnsi="Verdana"/>
          <w:sz w:val="20"/>
          <w:lang w:val="es-CO"/>
        </w:rPr>
      </w:pPr>
    </w:p>
    <w:p w14:paraId="671124B9" w14:textId="77777777" w:rsidR="00260226" w:rsidRPr="00846DC8" w:rsidRDefault="00260226" w:rsidP="00260226">
      <w:pPr>
        <w:tabs>
          <w:tab w:val="left" w:pos="567"/>
        </w:tabs>
        <w:spacing w:before="120" w:after="120"/>
        <w:ind w:right="22"/>
        <w:jc w:val="both"/>
        <w:rPr>
          <w:rFonts w:ascii="Verdana" w:hAnsi="Verdana"/>
          <w:b/>
          <w:sz w:val="20"/>
          <w:lang w:val="es-CO"/>
        </w:rPr>
      </w:pPr>
      <w:r w:rsidRPr="00846DC8">
        <w:rPr>
          <w:rFonts w:ascii="Verdana" w:hAnsi="Verdana"/>
          <w:b/>
          <w:sz w:val="20"/>
          <w:lang w:val="es-CO"/>
        </w:rPr>
        <w:t xml:space="preserve">RESUELVE: </w:t>
      </w:r>
    </w:p>
    <w:p w14:paraId="17BACC83" w14:textId="77777777" w:rsidR="00260226" w:rsidRPr="00846DC8" w:rsidRDefault="00260226" w:rsidP="00260226">
      <w:pPr>
        <w:tabs>
          <w:tab w:val="left" w:pos="567"/>
        </w:tabs>
        <w:spacing w:before="120" w:after="120"/>
        <w:ind w:right="22"/>
        <w:jc w:val="both"/>
        <w:rPr>
          <w:rFonts w:ascii="Verdana" w:hAnsi="Verdana"/>
          <w:b/>
          <w:sz w:val="20"/>
          <w:lang w:val="es-CO"/>
        </w:rPr>
      </w:pPr>
    </w:p>
    <w:p w14:paraId="7444885E" w14:textId="77777777" w:rsidR="00260226" w:rsidRPr="00846DC8" w:rsidRDefault="00260226" w:rsidP="004219BC">
      <w:pPr>
        <w:numPr>
          <w:ilvl w:val="0"/>
          <w:numId w:val="1"/>
        </w:numPr>
        <w:tabs>
          <w:tab w:val="left" w:pos="567"/>
        </w:tabs>
        <w:spacing w:before="120" w:after="120"/>
        <w:ind w:left="0" w:firstLine="0"/>
        <w:jc w:val="both"/>
        <w:rPr>
          <w:rFonts w:ascii="Verdana" w:hAnsi="Verdana"/>
          <w:sz w:val="20"/>
          <w:lang w:val="es-CO"/>
        </w:rPr>
      </w:pPr>
      <w:bookmarkStart w:id="11" w:name="_Ref19192118"/>
      <w:r w:rsidRPr="00846DC8">
        <w:rPr>
          <w:rFonts w:ascii="Verdana" w:hAnsi="Verdana"/>
          <w:sz w:val="20"/>
        </w:rPr>
        <w:t>Mantener abierto el procedimiento de supervisión de cumplimiento de las siguientes medidas de reparación:</w:t>
      </w:r>
      <w:bookmarkEnd w:id="11"/>
    </w:p>
    <w:p w14:paraId="043062A2" w14:textId="0D428FA7" w:rsidR="00260226" w:rsidRPr="00846DC8" w:rsidRDefault="00260226" w:rsidP="004219BC">
      <w:pPr>
        <w:numPr>
          <w:ilvl w:val="0"/>
          <w:numId w:val="3"/>
        </w:numPr>
        <w:tabs>
          <w:tab w:val="left" w:pos="567"/>
        </w:tabs>
        <w:spacing w:before="120" w:after="120"/>
        <w:jc w:val="both"/>
        <w:rPr>
          <w:rFonts w:ascii="Verdana" w:hAnsi="Verdana"/>
          <w:sz w:val="20"/>
        </w:rPr>
      </w:pPr>
      <w:r w:rsidRPr="00846DC8">
        <w:rPr>
          <w:rFonts w:ascii="Verdana" w:hAnsi="Verdana"/>
          <w:sz w:val="20"/>
          <w:lang w:val="es-CO"/>
        </w:rPr>
        <w:t>c</w:t>
      </w:r>
      <w:proofErr w:type="spellStart"/>
      <w:r w:rsidRPr="00846DC8">
        <w:rPr>
          <w:rFonts w:ascii="Verdana" w:hAnsi="Verdana"/>
          <w:sz w:val="20"/>
        </w:rPr>
        <w:t>onducir</w:t>
      </w:r>
      <w:proofErr w:type="spellEnd"/>
      <w:r w:rsidRPr="00846DC8">
        <w:rPr>
          <w:rFonts w:ascii="Verdana" w:hAnsi="Verdana"/>
          <w:sz w:val="20"/>
        </w:rPr>
        <w:t xml:space="preserve"> eficazmente la investigación penal de los hechos del presente caso, en particular por los alegados actos de tortura en contra de los señores Cabrera y Montiel, para determinar las eventuales responsabilidades penales y, en su caso, aplicar efectivamente las sanciones y consecuencias que la ley prevea; así como adelantar las acciones disciplinarias, administrativas o penales pertinentes en el evento de que en la investigación de los mencionados hechos se demuestren irregularidades procesales e investigativas relacionadas con los mismos (</w:t>
      </w:r>
      <w:r w:rsidRPr="00846DC8">
        <w:rPr>
          <w:rFonts w:ascii="Verdana" w:hAnsi="Verdana"/>
          <w:i/>
          <w:sz w:val="20"/>
        </w:rPr>
        <w:t xml:space="preserve">punto resolutivo </w:t>
      </w:r>
      <w:r w:rsidR="00D13610" w:rsidRPr="00846DC8">
        <w:rPr>
          <w:rFonts w:ascii="Verdana" w:hAnsi="Verdana"/>
          <w:i/>
          <w:sz w:val="20"/>
        </w:rPr>
        <w:t>décimo segundo</w:t>
      </w:r>
      <w:r w:rsidRPr="00846DC8">
        <w:rPr>
          <w:rFonts w:ascii="Verdana" w:hAnsi="Verdana"/>
          <w:i/>
          <w:sz w:val="20"/>
        </w:rPr>
        <w:t xml:space="preserve"> de la Sentencia</w:t>
      </w:r>
      <w:r w:rsidRPr="00846DC8">
        <w:rPr>
          <w:rFonts w:ascii="Verdana" w:hAnsi="Verdana"/>
          <w:sz w:val="20"/>
        </w:rPr>
        <w:t>);</w:t>
      </w:r>
    </w:p>
    <w:p w14:paraId="08647D7D" w14:textId="2823E4AC" w:rsidR="00D13610" w:rsidRPr="00846DC8" w:rsidRDefault="00D13610" w:rsidP="00D13610">
      <w:pPr>
        <w:numPr>
          <w:ilvl w:val="0"/>
          <w:numId w:val="3"/>
        </w:numPr>
        <w:tabs>
          <w:tab w:val="left" w:pos="720"/>
        </w:tabs>
        <w:spacing w:before="120" w:after="120"/>
        <w:jc w:val="both"/>
        <w:rPr>
          <w:rFonts w:ascii="Verdana" w:hAnsi="Verdana"/>
          <w:sz w:val="20"/>
          <w:lang w:val="es-CO"/>
        </w:rPr>
      </w:pPr>
      <w:r w:rsidRPr="00846DC8">
        <w:rPr>
          <w:rFonts w:ascii="Verdana" w:hAnsi="Verdana"/>
          <w:sz w:val="20"/>
          <w:lang w:val="es-CO"/>
        </w:rPr>
        <w:t>a</w:t>
      </w:r>
      <w:proofErr w:type="spellStart"/>
      <w:r w:rsidRPr="00846DC8">
        <w:rPr>
          <w:rFonts w:ascii="Verdana" w:hAnsi="Verdana"/>
          <w:sz w:val="20"/>
        </w:rPr>
        <w:t>doptar</w:t>
      </w:r>
      <w:proofErr w:type="spellEnd"/>
      <w:r w:rsidRPr="00846DC8">
        <w:rPr>
          <w:rFonts w:ascii="Verdana" w:hAnsi="Verdana"/>
          <w:sz w:val="20"/>
        </w:rPr>
        <w:t xml:space="preserve"> las reformas legislativas pertinentes para compatibilizar el artículo 57 del Código de Justicia Militar con los estándares internacionales en la materia y la Convención Americana sobre Derechos Humanos (</w:t>
      </w:r>
      <w:r w:rsidRPr="00846DC8">
        <w:rPr>
          <w:rFonts w:ascii="Verdana" w:hAnsi="Verdana"/>
          <w:i/>
          <w:sz w:val="20"/>
        </w:rPr>
        <w:t>punto resolutivo décimo quinto de la Sentencia</w:t>
      </w:r>
      <w:r w:rsidRPr="00846DC8">
        <w:rPr>
          <w:rFonts w:ascii="Verdana" w:hAnsi="Verdana"/>
          <w:sz w:val="20"/>
        </w:rPr>
        <w:t>)</w:t>
      </w:r>
      <w:r w:rsidR="00500672">
        <w:rPr>
          <w:rFonts w:ascii="Verdana" w:hAnsi="Verdana"/>
          <w:sz w:val="20"/>
        </w:rPr>
        <w:t>. Esta medida se encuentra parcialmente cumplida de conformidad con lo indicado en la Resolución emitida por la Corte el 17 de abril de 2015</w:t>
      </w:r>
      <w:r w:rsidRPr="00846DC8">
        <w:rPr>
          <w:rFonts w:ascii="Verdana" w:hAnsi="Verdana"/>
          <w:sz w:val="20"/>
        </w:rPr>
        <w:t>, y</w:t>
      </w:r>
    </w:p>
    <w:p w14:paraId="4F44844B" w14:textId="59ED42EC" w:rsidR="00260226" w:rsidRPr="00846DC8" w:rsidRDefault="00260226" w:rsidP="00D13610">
      <w:pPr>
        <w:numPr>
          <w:ilvl w:val="0"/>
          <w:numId w:val="3"/>
        </w:numPr>
        <w:spacing w:before="120" w:after="120"/>
        <w:jc w:val="both"/>
        <w:rPr>
          <w:rFonts w:ascii="Verdana" w:hAnsi="Verdana"/>
          <w:sz w:val="20"/>
          <w:lang w:val="es-CO"/>
        </w:rPr>
      </w:pPr>
      <w:r w:rsidRPr="00846DC8">
        <w:rPr>
          <w:rFonts w:ascii="Verdana" w:hAnsi="Verdana"/>
          <w:sz w:val="20"/>
        </w:rPr>
        <w:t>adoptar las medidas complementarias para fortalecer el funcionamiento y utilidad del registro de detención que actualmente existe en México (</w:t>
      </w:r>
      <w:r w:rsidRPr="00846DC8">
        <w:rPr>
          <w:rFonts w:ascii="Verdana" w:hAnsi="Verdana"/>
          <w:i/>
          <w:sz w:val="20"/>
        </w:rPr>
        <w:t xml:space="preserve">punto resolutivo </w:t>
      </w:r>
      <w:r w:rsidR="00D13610" w:rsidRPr="00846DC8">
        <w:rPr>
          <w:rFonts w:ascii="Verdana" w:hAnsi="Verdana"/>
          <w:i/>
          <w:sz w:val="20"/>
        </w:rPr>
        <w:t>décimo sexto</w:t>
      </w:r>
      <w:r w:rsidRPr="00846DC8">
        <w:rPr>
          <w:rFonts w:ascii="Verdana" w:hAnsi="Verdana"/>
          <w:i/>
          <w:sz w:val="20"/>
        </w:rPr>
        <w:t xml:space="preserve"> de la Sentencia</w:t>
      </w:r>
      <w:r w:rsidR="00D13610" w:rsidRPr="00846DC8">
        <w:rPr>
          <w:rFonts w:ascii="Verdana" w:hAnsi="Verdana"/>
          <w:sz w:val="20"/>
        </w:rPr>
        <w:t xml:space="preserve">). </w:t>
      </w:r>
    </w:p>
    <w:p w14:paraId="46E65C14" w14:textId="103ACF71" w:rsidR="000B0AC1" w:rsidRPr="00846DC8" w:rsidRDefault="000B0AC1" w:rsidP="004219BC">
      <w:pPr>
        <w:numPr>
          <w:ilvl w:val="0"/>
          <w:numId w:val="1"/>
        </w:numPr>
        <w:tabs>
          <w:tab w:val="left" w:pos="567"/>
          <w:tab w:val="left" w:pos="720"/>
        </w:tabs>
        <w:spacing w:before="120" w:after="120"/>
        <w:ind w:left="0" w:firstLine="0"/>
        <w:jc w:val="both"/>
        <w:rPr>
          <w:rFonts w:ascii="Verdana" w:hAnsi="Verdana"/>
          <w:sz w:val="20"/>
        </w:rPr>
      </w:pPr>
      <w:r w:rsidRPr="00846DC8">
        <w:rPr>
          <w:rFonts w:ascii="Verdana" w:hAnsi="Verdana"/>
          <w:sz w:val="20"/>
        </w:rPr>
        <w:t xml:space="preserve">Disponer que el Estado adopte, en definitiva y a la mayor brevedad posible, las medidas que sean necesarias para dar efectivo y pronto cumplimiento a las reparaciones indicadas en el punto resolutivo anterior, de acuerdo con lo considerado en la presente Resolución, y con lo estipulado en el artículo 68.1 de la Convención Americana sobre Derechos Humanos. </w:t>
      </w:r>
    </w:p>
    <w:p w14:paraId="53FE8239" w14:textId="1BAFC97D" w:rsidR="00260226" w:rsidRPr="00846DC8" w:rsidRDefault="00260226" w:rsidP="004219BC">
      <w:pPr>
        <w:numPr>
          <w:ilvl w:val="0"/>
          <w:numId w:val="1"/>
        </w:numPr>
        <w:tabs>
          <w:tab w:val="left" w:pos="567"/>
          <w:tab w:val="left" w:pos="720"/>
        </w:tabs>
        <w:spacing w:before="120" w:after="120"/>
        <w:ind w:left="0" w:firstLine="0"/>
        <w:jc w:val="both"/>
        <w:rPr>
          <w:rFonts w:ascii="Verdana" w:hAnsi="Verdana"/>
          <w:sz w:val="20"/>
        </w:rPr>
      </w:pPr>
      <w:r w:rsidRPr="00846DC8">
        <w:rPr>
          <w:rFonts w:ascii="Verdana" w:hAnsi="Verdana"/>
          <w:sz w:val="20"/>
        </w:rPr>
        <w:t>Disponer que el Estado presente a la Corte Interamericana de Dere</w:t>
      </w:r>
      <w:r w:rsidR="00003DD0">
        <w:rPr>
          <w:rFonts w:ascii="Verdana" w:hAnsi="Verdana"/>
          <w:sz w:val="20"/>
        </w:rPr>
        <w:t xml:space="preserve">chos Humanos, a más tardar el </w:t>
      </w:r>
      <w:r w:rsidR="009B52A3">
        <w:rPr>
          <w:rFonts w:ascii="Verdana" w:hAnsi="Verdana"/>
          <w:sz w:val="20"/>
        </w:rPr>
        <w:t xml:space="preserve">9 de diciembre </w:t>
      </w:r>
      <w:r w:rsidRPr="00846DC8">
        <w:rPr>
          <w:rFonts w:ascii="Verdana" w:hAnsi="Verdana"/>
          <w:sz w:val="20"/>
        </w:rPr>
        <w:t xml:space="preserve">de 2020, un informe sobre todas las medidas pendientes de cumplimiento, de conformidad con lo indicado en el punto resolutivo primero de la presente Resolución. </w:t>
      </w:r>
    </w:p>
    <w:p w14:paraId="65D6B5D9" w14:textId="77777777" w:rsidR="00260226" w:rsidRPr="00846DC8" w:rsidRDefault="00260226" w:rsidP="004219BC">
      <w:pPr>
        <w:numPr>
          <w:ilvl w:val="0"/>
          <w:numId w:val="1"/>
        </w:numPr>
        <w:tabs>
          <w:tab w:val="left" w:pos="567"/>
        </w:tabs>
        <w:spacing w:before="120" w:after="120"/>
        <w:ind w:left="0" w:firstLine="0"/>
        <w:jc w:val="both"/>
        <w:rPr>
          <w:rFonts w:ascii="Verdana" w:hAnsi="Verdana"/>
          <w:sz w:val="20"/>
        </w:rPr>
      </w:pPr>
      <w:r w:rsidRPr="00846DC8">
        <w:rPr>
          <w:rFonts w:ascii="Verdana" w:hAnsi="Verdana"/>
          <w:sz w:val="20"/>
        </w:rPr>
        <w:t>Disponer que los representantes de las víctimas y la Comisión presenten observaciones al informe del Estado mencionado en el punto resolutivo anterior, en los plazos de cuatro y seis semanas, respectivamente, contados a partir de la recepción del informe.</w:t>
      </w:r>
    </w:p>
    <w:p w14:paraId="4D8EA760" w14:textId="444B66D1" w:rsidR="00BA7C8A" w:rsidRDefault="00260226" w:rsidP="004219BC">
      <w:pPr>
        <w:numPr>
          <w:ilvl w:val="0"/>
          <w:numId w:val="1"/>
        </w:numPr>
        <w:tabs>
          <w:tab w:val="left" w:pos="567"/>
        </w:tabs>
        <w:spacing w:before="120" w:after="120"/>
        <w:ind w:left="0" w:firstLine="0"/>
        <w:jc w:val="both"/>
        <w:rPr>
          <w:rFonts w:ascii="Verdana" w:hAnsi="Verdana"/>
          <w:sz w:val="20"/>
        </w:rPr>
      </w:pPr>
      <w:r w:rsidRPr="00846DC8">
        <w:rPr>
          <w:rFonts w:ascii="Verdana" w:hAnsi="Verdana"/>
          <w:sz w:val="20"/>
        </w:rPr>
        <w:t>Disponer que la Secretaría de la Corte notifique la presente Resolución al Estado, a los representantes de las víctimas y a la Comisión Interamericana de Derechos Humanos.</w:t>
      </w:r>
      <w:bookmarkEnd w:id="7"/>
    </w:p>
    <w:p w14:paraId="1BB434D2" w14:textId="77777777" w:rsidR="00BA7C8A" w:rsidRDefault="00BA7C8A">
      <w:pPr>
        <w:rPr>
          <w:rFonts w:ascii="Verdana" w:hAnsi="Verdana"/>
          <w:sz w:val="20"/>
        </w:rPr>
      </w:pPr>
      <w:r>
        <w:rPr>
          <w:rFonts w:ascii="Verdana" w:hAnsi="Verdana"/>
          <w:sz w:val="20"/>
        </w:rPr>
        <w:br w:type="page"/>
      </w:r>
    </w:p>
    <w:p w14:paraId="7E235C9C" w14:textId="77777777" w:rsidR="00BA7C8A" w:rsidRPr="00BA7C8A" w:rsidRDefault="00BA7C8A" w:rsidP="00BA7C8A">
      <w:pPr>
        <w:pStyle w:val="NormalWeb"/>
        <w:rPr>
          <w:color w:val="000000"/>
          <w:lang w:val="es-CR"/>
        </w:rPr>
      </w:pPr>
      <w:r w:rsidRPr="00BA7C8A">
        <w:rPr>
          <w:rFonts w:ascii="Verdana" w:hAnsi="Verdana"/>
          <w:color w:val="000000"/>
          <w:szCs w:val="20"/>
          <w:lang w:val="es-CR"/>
        </w:rPr>
        <w:t xml:space="preserve">Corte IDH. </w:t>
      </w:r>
      <w:r w:rsidRPr="00BA7C8A">
        <w:rPr>
          <w:rFonts w:ascii="Verdana" w:hAnsi="Verdana"/>
          <w:i/>
          <w:iCs/>
          <w:color w:val="000000"/>
          <w:szCs w:val="20"/>
          <w:lang w:val="es-CR"/>
        </w:rPr>
        <w:t xml:space="preserve">Caso Cabrera García y Montiel Flores Vs. México. Supervisión de Cumplimiento de Sentencia. </w:t>
      </w:r>
      <w:r w:rsidRPr="00BA7C8A">
        <w:rPr>
          <w:rFonts w:ascii="Verdana" w:hAnsi="Verdana"/>
          <w:color w:val="000000"/>
          <w:szCs w:val="20"/>
          <w:lang w:val="es-CR"/>
        </w:rPr>
        <w:t>Resolución de la Corte Interamericana de Derechos Humanos de 24 de junio de 2020. Resolución adoptada en San José de Costa Rica por medio de sesión virtual.</w:t>
      </w:r>
    </w:p>
    <w:p w14:paraId="2DA4DB43" w14:textId="77777777" w:rsidR="00BA7C8A" w:rsidRPr="00B638EC" w:rsidRDefault="00BA7C8A" w:rsidP="00BA7C8A">
      <w:pPr>
        <w:jc w:val="center"/>
        <w:rPr>
          <w:rFonts w:ascii="Verdana" w:hAnsi="Verdana"/>
          <w:sz w:val="20"/>
          <w:lang w:val="es-CR"/>
        </w:rPr>
      </w:pPr>
    </w:p>
    <w:p w14:paraId="287C664B" w14:textId="77777777" w:rsidR="00BA7C8A" w:rsidRDefault="00BA7C8A" w:rsidP="00BA7C8A">
      <w:pPr>
        <w:jc w:val="center"/>
        <w:rPr>
          <w:rFonts w:ascii="Verdana" w:hAnsi="Verdana"/>
          <w:sz w:val="20"/>
          <w:lang w:val="pt-BR"/>
        </w:rPr>
      </w:pPr>
    </w:p>
    <w:p w14:paraId="476D13A0" w14:textId="77777777" w:rsidR="00BA7C8A" w:rsidRDefault="00BA7C8A" w:rsidP="00BA7C8A">
      <w:pPr>
        <w:jc w:val="center"/>
        <w:rPr>
          <w:rFonts w:ascii="Verdana" w:hAnsi="Verdana"/>
          <w:sz w:val="20"/>
          <w:lang w:val="pt-BR"/>
        </w:rPr>
      </w:pPr>
    </w:p>
    <w:p w14:paraId="3E96CCCC" w14:textId="77777777" w:rsidR="00BA7C8A" w:rsidRDefault="00BA7C8A" w:rsidP="00BA7C8A">
      <w:pPr>
        <w:jc w:val="center"/>
        <w:rPr>
          <w:rFonts w:ascii="Verdana" w:hAnsi="Verdana"/>
          <w:sz w:val="20"/>
          <w:lang w:val="pt-BR"/>
        </w:rPr>
      </w:pPr>
    </w:p>
    <w:p w14:paraId="3A3B88A0" w14:textId="77777777" w:rsidR="00BA7C8A" w:rsidRDefault="00BA7C8A" w:rsidP="00BA7C8A">
      <w:pPr>
        <w:jc w:val="center"/>
        <w:rPr>
          <w:rFonts w:ascii="Verdana" w:hAnsi="Verdana"/>
          <w:sz w:val="20"/>
          <w:lang w:val="pt-BR"/>
        </w:rPr>
      </w:pPr>
    </w:p>
    <w:p w14:paraId="18F525CA" w14:textId="77777777" w:rsidR="00BA7C8A" w:rsidRDefault="00BA7C8A" w:rsidP="00BA7C8A">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0FB76AB0" w14:textId="77777777" w:rsidR="00BA7C8A" w:rsidRDefault="00BA7C8A" w:rsidP="00BA7C8A">
      <w:pPr>
        <w:jc w:val="center"/>
        <w:rPr>
          <w:rFonts w:ascii="Verdana" w:hAnsi="Verdana"/>
          <w:sz w:val="20"/>
          <w:lang w:val="pt-BR"/>
        </w:rPr>
      </w:pPr>
      <w:r>
        <w:rPr>
          <w:rFonts w:ascii="Verdana" w:hAnsi="Verdana"/>
          <w:sz w:val="20"/>
          <w:lang w:val="pt-BR"/>
        </w:rPr>
        <w:t>Presidenta</w:t>
      </w:r>
    </w:p>
    <w:p w14:paraId="0A848D2D" w14:textId="77777777" w:rsidR="00BA7C8A" w:rsidRDefault="00BA7C8A" w:rsidP="00BA7C8A">
      <w:pPr>
        <w:jc w:val="center"/>
        <w:rPr>
          <w:rFonts w:ascii="Verdana" w:hAnsi="Verdana"/>
          <w:sz w:val="20"/>
          <w:lang w:val="pt-BR"/>
        </w:rPr>
      </w:pPr>
    </w:p>
    <w:p w14:paraId="1A28A368" w14:textId="77777777" w:rsidR="00BA7C8A" w:rsidRDefault="00BA7C8A" w:rsidP="00BA7C8A">
      <w:pPr>
        <w:jc w:val="center"/>
        <w:rPr>
          <w:rFonts w:ascii="Verdana" w:hAnsi="Verdana"/>
          <w:sz w:val="20"/>
          <w:lang w:val="pt-BR"/>
        </w:rPr>
      </w:pPr>
    </w:p>
    <w:p w14:paraId="24119F21" w14:textId="77777777" w:rsidR="00BA7C8A" w:rsidRDefault="00BA7C8A" w:rsidP="00BA7C8A">
      <w:pPr>
        <w:rPr>
          <w:rFonts w:ascii="Verdana" w:hAnsi="Verdana"/>
          <w:sz w:val="20"/>
          <w:lang w:val="pt-BR"/>
        </w:rPr>
      </w:pPr>
    </w:p>
    <w:p w14:paraId="5312805E" w14:textId="77777777" w:rsidR="00BA7C8A" w:rsidRDefault="00BA7C8A" w:rsidP="00BA7C8A">
      <w:pPr>
        <w:rPr>
          <w:rFonts w:ascii="Verdana" w:hAnsi="Verdana"/>
          <w:sz w:val="20"/>
          <w:lang w:val="pt-BR"/>
        </w:rPr>
      </w:pPr>
    </w:p>
    <w:p w14:paraId="07D365A7" w14:textId="77777777" w:rsidR="00BA7C8A" w:rsidRDefault="00BA7C8A" w:rsidP="00BA7C8A">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Eduardo </w:t>
      </w:r>
      <w:proofErr w:type="spellStart"/>
      <w:r>
        <w:rPr>
          <w:rFonts w:ascii="Verdana" w:hAnsi="Verdana"/>
          <w:sz w:val="20"/>
          <w:lang w:val="pt-BR"/>
        </w:rPr>
        <w:t>Vio</w:t>
      </w:r>
      <w:proofErr w:type="spellEnd"/>
      <w:r>
        <w:rPr>
          <w:rFonts w:ascii="Verdana" w:hAnsi="Verdana"/>
          <w:sz w:val="20"/>
          <w:lang w:val="pt-BR"/>
        </w:rPr>
        <w:t xml:space="preserve"> Grossi</w:t>
      </w:r>
    </w:p>
    <w:p w14:paraId="53EF606E" w14:textId="77777777" w:rsidR="00BA7C8A" w:rsidRDefault="00BA7C8A" w:rsidP="00BA7C8A">
      <w:pPr>
        <w:rPr>
          <w:rFonts w:ascii="Verdana" w:hAnsi="Verdana"/>
          <w:sz w:val="20"/>
          <w:lang w:val="pt-BR"/>
        </w:rPr>
      </w:pPr>
    </w:p>
    <w:p w14:paraId="21532E9C" w14:textId="77777777" w:rsidR="00BA7C8A" w:rsidRDefault="00BA7C8A" w:rsidP="00BA7C8A">
      <w:pPr>
        <w:rPr>
          <w:rFonts w:ascii="Verdana" w:hAnsi="Verdana"/>
          <w:sz w:val="20"/>
          <w:lang w:val="pt-BR"/>
        </w:rPr>
      </w:pPr>
    </w:p>
    <w:p w14:paraId="0F2FD790" w14:textId="77777777" w:rsidR="00BA7C8A" w:rsidRDefault="00BA7C8A" w:rsidP="00BA7C8A">
      <w:pPr>
        <w:rPr>
          <w:rFonts w:ascii="Verdana" w:hAnsi="Verdana"/>
          <w:sz w:val="20"/>
          <w:lang w:val="pt-BR"/>
        </w:rPr>
      </w:pPr>
    </w:p>
    <w:p w14:paraId="396D6E54" w14:textId="77777777" w:rsidR="00BA7C8A" w:rsidRDefault="00BA7C8A" w:rsidP="00BA7C8A">
      <w:pPr>
        <w:rPr>
          <w:rFonts w:ascii="Verdana" w:hAnsi="Verdana"/>
          <w:sz w:val="20"/>
          <w:lang w:val="pt-BR"/>
        </w:rPr>
      </w:pPr>
    </w:p>
    <w:p w14:paraId="362E5D24" w14:textId="77777777" w:rsidR="00BA7C8A" w:rsidRDefault="00BA7C8A" w:rsidP="00BA7C8A">
      <w:pPr>
        <w:rPr>
          <w:rFonts w:ascii="Verdana" w:hAnsi="Verdana"/>
          <w:sz w:val="20"/>
          <w:lang w:val="pt-BR"/>
        </w:rPr>
      </w:pPr>
    </w:p>
    <w:p w14:paraId="2BB7F2A4" w14:textId="77777777" w:rsidR="00BA7C8A" w:rsidRDefault="00BA7C8A" w:rsidP="00BA7C8A">
      <w:pPr>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ab/>
        <w:t xml:space="preserve">  </w:t>
      </w:r>
      <w:r>
        <w:rPr>
          <w:rFonts w:ascii="Verdana" w:hAnsi="Verdana"/>
          <w:sz w:val="20"/>
          <w:lang w:val="pt-BR"/>
        </w:rPr>
        <w:tab/>
      </w:r>
      <w:proofErr w:type="gramEnd"/>
      <w:r>
        <w:rPr>
          <w:rFonts w:ascii="Verdana" w:hAnsi="Verdana"/>
          <w:sz w:val="20"/>
          <w:lang w:val="pt-BR"/>
        </w:rPr>
        <w:t xml:space="preserve">        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p>
    <w:p w14:paraId="4AE438C5" w14:textId="77777777" w:rsidR="00BA7C8A" w:rsidRDefault="00BA7C8A" w:rsidP="00BA7C8A">
      <w:pPr>
        <w:rPr>
          <w:rFonts w:ascii="Verdana" w:hAnsi="Verdana"/>
          <w:sz w:val="20"/>
          <w:lang w:val="pt-BR"/>
        </w:rPr>
      </w:pPr>
    </w:p>
    <w:p w14:paraId="3062CA70" w14:textId="77777777" w:rsidR="00BA7C8A" w:rsidRDefault="00BA7C8A" w:rsidP="00BA7C8A">
      <w:pPr>
        <w:rPr>
          <w:rFonts w:ascii="Verdana" w:hAnsi="Verdana"/>
          <w:sz w:val="20"/>
          <w:lang w:val="pt-BR"/>
        </w:rPr>
      </w:pPr>
    </w:p>
    <w:p w14:paraId="58FD019A" w14:textId="77777777" w:rsidR="00BA7C8A" w:rsidRDefault="00BA7C8A" w:rsidP="00BA7C8A">
      <w:pPr>
        <w:jc w:val="center"/>
        <w:rPr>
          <w:rFonts w:ascii="Verdana" w:hAnsi="Verdana"/>
          <w:sz w:val="20"/>
          <w:lang w:val="pt-BR"/>
        </w:rPr>
      </w:pPr>
    </w:p>
    <w:p w14:paraId="7D3365C1" w14:textId="77777777" w:rsidR="00BA7C8A" w:rsidRDefault="00BA7C8A" w:rsidP="00BA7C8A">
      <w:pPr>
        <w:jc w:val="center"/>
        <w:rPr>
          <w:rFonts w:ascii="Verdana" w:hAnsi="Verdana"/>
          <w:sz w:val="20"/>
          <w:lang w:val="pt-BR"/>
        </w:rPr>
      </w:pPr>
    </w:p>
    <w:p w14:paraId="37D3A423" w14:textId="77777777" w:rsidR="00BA7C8A" w:rsidRPr="0019261A" w:rsidRDefault="00BA7C8A" w:rsidP="00BA7C8A">
      <w:pPr>
        <w:jc w:val="center"/>
        <w:rPr>
          <w:rFonts w:ascii="Verdana" w:hAnsi="Verdana"/>
          <w:sz w:val="20"/>
          <w:lang w:val="pt-BR"/>
        </w:rPr>
      </w:pPr>
      <w:r>
        <w:rPr>
          <w:rFonts w:ascii="Verdana" w:hAnsi="Verdana"/>
          <w:sz w:val="20"/>
          <w:lang w:val="pt-BR"/>
        </w:rPr>
        <w:t xml:space="preserve">Ricardo C. Pérez </w:t>
      </w:r>
      <w:proofErr w:type="spellStart"/>
      <w:r>
        <w:rPr>
          <w:rFonts w:ascii="Verdana" w:hAnsi="Verdana"/>
          <w:sz w:val="20"/>
          <w:lang w:val="pt-BR"/>
        </w:rPr>
        <w:t>Manrique</w:t>
      </w:r>
      <w:proofErr w:type="spellEnd"/>
    </w:p>
    <w:p w14:paraId="4D4C927A" w14:textId="77777777" w:rsidR="00BA7C8A" w:rsidRDefault="00BA7C8A" w:rsidP="00BA7C8A">
      <w:pPr>
        <w:jc w:val="both"/>
        <w:rPr>
          <w:rFonts w:ascii="Verdana" w:hAnsi="Verdana"/>
          <w:sz w:val="20"/>
          <w:lang w:val="pt-BR"/>
        </w:rPr>
      </w:pPr>
    </w:p>
    <w:p w14:paraId="0D9C4244" w14:textId="77777777" w:rsidR="00BA7C8A" w:rsidRDefault="00BA7C8A" w:rsidP="00BA7C8A">
      <w:pPr>
        <w:jc w:val="both"/>
        <w:rPr>
          <w:rFonts w:ascii="Verdana" w:hAnsi="Verdana"/>
          <w:sz w:val="20"/>
          <w:lang w:val="pt-BR"/>
        </w:rPr>
      </w:pPr>
    </w:p>
    <w:p w14:paraId="3EA6EC6A" w14:textId="77777777" w:rsidR="00BA7C8A" w:rsidRDefault="00BA7C8A" w:rsidP="00BA7C8A">
      <w:pPr>
        <w:jc w:val="both"/>
        <w:rPr>
          <w:rFonts w:ascii="Verdana" w:hAnsi="Verdana"/>
          <w:sz w:val="20"/>
          <w:lang w:val="pt-BR"/>
        </w:rPr>
      </w:pPr>
    </w:p>
    <w:p w14:paraId="24C883D0" w14:textId="77777777" w:rsidR="00BA7C8A" w:rsidRPr="0019261A" w:rsidRDefault="00BA7C8A" w:rsidP="00BA7C8A">
      <w:pPr>
        <w:jc w:val="both"/>
        <w:rPr>
          <w:rFonts w:ascii="Verdana" w:hAnsi="Verdana"/>
          <w:sz w:val="20"/>
          <w:lang w:val="pt-BR"/>
        </w:rPr>
      </w:pPr>
    </w:p>
    <w:p w14:paraId="3B758C38" w14:textId="77777777" w:rsidR="00BA7C8A" w:rsidRPr="0019261A" w:rsidRDefault="00BA7C8A" w:rsidP="00BA7C8A">
      <w:pPr>
        <w:jc w:val="both"/>
        <w:rPr>
          <w:rFonts w:ascii="Verdana" w:hAnsi="Verdana"/>
          <w:sz w:val="20"/>
          <w:lang w:val="pt-BR"/>
        </w:rPr>
      </w:pPr>
    </w:p>
    <w:p w14:paraId="27910907" w14:textId="77777777" w:rsidR="00BA7C8A" w:rsidRPr="00FC4051" w:rsidRDefault="00BA7C8A" w:rsidP="00BA7C8A">
      <w:pPr>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02140C5E" w14:textId="77777777" w:rsidR="00BA7C8A" w:rsidRDefault="00BA7C8A" w:rsidP="00BA7C8A">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562B15D0" w14:textId="77777777" w:rsidR="00BA7C8A" w:rsidRPr="00FC4051" w:rsidRDefault="00BA7C8A" w:rsidP="00BA7C8A">
      <w:pPr>
        <w:pStyle w:val="Textonotapie"/>
        <w:rPr>
          <w:lang w:val="pt-BR"/>
        </w:rPr>
      </w:pPr>
    </w:p>
    <w:p w14:paraId="4DF0B816" w14:textId="77777777" w:rsidR="00BA7C8A" w:rsidRPr="00FC4051" w:rsidRDefault="00BA7C8A" w:rsidP="00BA7C8A">
      <w:pPr>
        <w:pStyle w:val="Textonotapie"/>
        <w:rPr>
          <w:lang w:val="pt-BR"/>
        </w:rPr>
      </w:pPr>
    </w:p>
    <w:p w14:paraId="26D30793" w14:textId="77777777" w:rsidR="00BA7C8A" w:rsidRPr="00FC4051" w:rsidRDefault="00BA7C8A" w:rsidP="00BA7C8A">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08D6553E" w14:textId="77777777" w:rsidR="00BA7C8A" w:rsidRPr="00FC4051" w:rsidRDefault="00BA7C8A" w:rsidP="00BA7C8A">
      <w:pPr>
        <w:rPr>
          <w:rFonts w:ascii="Verdana" w:hAnsi="Verdana"/>
          <w:sz w:val="20"/>
          <w:lang w:val="pt-BR"/>
        </w:rPr>
      </w:pPr>
    </w:p>
    <w:p w14:paraId="2190DFE7" w14:textId="77777777" w:rsidR="00BA7C8A" w:rsidRDefault="00BA7C8A" w:rsidP="00BA7C8A">
      <w:pPr>
        <w:jc w:val="center"/>
        <w:rPr>
          <w:rFonts w:ascii="Verdana" w:hAnsi="Verdana"/>
          <w:sz w:val="20"/>
          <w:lang w:val="pt-BR"/>
        </w:rPr>
      </w:pPr>
    </w:p>
    <w:p w14:paraId="4DEA531F" w14:textId="77777777" w:rsidR="00BA7C8A" w:rsidRDefault="00BA7C8A" w:rsidP="00BA7C8A">
      <w:pPr>
        <w:jc w:val="center"/>
        <w:rPr>
          <w:rFonts w:ascii="Verdana" w:hAnsi="Verdana"/>
          <w:sz w:val="20"/>
          <w:lang w:val="pt-BR"/>
        </w:rPr>
      </w:pPr>
    </w:p>
    <w:p w14:paraId="31839A90" w14:textId="77777777" w:rsidR="00BA7C8A" w:rsidRPr="00FC4051" w:rsidRDefault="00BA7C8A" w:rsidP="00BA7C8A">
      <w:pPr>
        <w:jc w:val="right"/>
        <w:rPr>
          <w:rFonts w:ascii="Verdana" w:hAnsi="Verdana"/>
          <w:sz w:val="20"/>
          <w:lang w:val="pt-BR"/>
        </w:rPr>
      </w:pPr>
    </w:p>
    <w:p w14:paraId="20CD5909" w14:textId="77777777" w:rsidR="00BA7C8A" w:rsidRDefault="00BA7C8A" w:rsidP="00BA7C8A">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00DD7621" w14:textId="77777777" w:rsidR="00BA7C8A" w:rsidRDefault="00BA7C8A" w:rsidP="00BA7C8A">
      <w:pPr>
        <w:ind w:left="6480" w:firstLine="720"/>
        <w:rPr>
          <w:rFonts w:ascii="Verdana" w:hAnsi="Verdana"/>
          <w:sz w:val="20"/>
          <w:lang w:val="pt-BR"/>
        </w:rPr>
      </w:pPr>
      <w:r>
        <w:rPr>
          <w:rFonts w:ascii="Verdana" w:hAnsi="Verdana"/>
          <w:sz w:val="20"/>
          <w:lang w:val="pt-BR"/>
        </w:rPr>
        <w:t xml:space="preserve">     Presidenta</w:t>
      </w:r>
    </w:p>
    <w:p w14:paraId="4B098AE2" w14:textId="77777777" w:rsidR="00BA7C8A" w:rsidRPr="00FC4051" w:rsidRDefault="00BA7C8A" w:rsidP="00BA7C8A">
      <w:pPr>
        <w:jc w:val="both"/>
        <w:rPr>
          <w:rFonts w:ascii="Verdana" w:hAnsi="Verdana"/>
          <w:sz w:val="20"/>
          <w:lang w:val="pt-BR"/>
        </w:rPr>
      </w:pPr>
    </w:p>
    <w:p w14:paraId="4821D11A" w14:textId="77777777" w:rsidR="00BA7C8A" w:rsidRDefault="00BA7C8A" w:rsidP="00BA7C8A">
      <w:pPr>
        <w:jc w:val="both"/>
        <w:rPr>
          <w:rFonts w:ascii="Verdana" w:hAnsi="Verdana"/>
          <w:sz w:val="20"/>
          <w:lang w:val="pt-BR"/>
        </w:rPr>
      </w:pPr>
    </w:p>
    <w:p w14:paraId="545F9EF2" w14:textId="77777777" w:rsidR="00BA7C8A" w:rsidRDefault="00BA7C8A" w:rsidP="00BA7C8A">
      <w:pPr>
        <w:jc w:val="both"/>
        <w:rPr>
          <w:rFonts w:ascii="Verdana" w:hAnsi="Verdana"/>
          <w:sz w:val="20"/>
          <w:lang w:val="pt-BR"/>
        </w:rPr>
      </w:pPr>
    </w:p>
    <w:p w14:paraId="73619535" w14:textId="77777777" w:rsidR="00BA7C8A" w:rsidRDefault="00BA7C8A" w:rsidP="00BA7C8A">
      <w:pPr>
        <w:jc w:val="both"/>
        <w:rPr>
          <w:rFonts w:ascii="Verdana" w:hAnsi="Verdana"/>
          <w:sz w:val="20"/>
          <w:lang w:val="pt-BR"/>
        </w:rPr>
      </w:pPr>
    </w:p>
    <w:p w14:paraId="01A616A8" w14:textId="77777777" w:rsidR="00BA7C8A" w:rsidRPr="00FC4051" w:rsidRDefault="00BA7C8A" w:rsidP="00BA7C8A">
      <w:pPr>
        <w:jc w:val="both"/>
        <w:rPr>
          <w:rFonts w:ascii="Verdana" w:hAnsi="Verdana"/>
          <w:sz w:val="20"/>
          <w:lang w:val="pt-BR"/>
        </w:rPr>
      </w:pPr>
    </w:p>
    <w:p w14:paraId="5BBFDD02" w14:textId="77777777" w:rsidR="00BA7C8A" w:rsidRPr="00FC4051" w:rsidRDefault="00BA7C8A" w:rsidP="00BA7C8A">
      <w:pPr>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6A8E757C" w14:textId="77777777" w:rsidR="00BA7C8A" w:rsidRPr="007E10A8" w:rsidRDefault="00BA7C8A" w:rsidP="00BA7C8A">
      <w:pPr>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56563566" w14:textId="77777777" w:rsidR="00F15F0A" w:rsidRPr="00846DC8" w:rsidRDefault="00F15F0A" w:rsidP="00BA7C8A">
      <w:pPr>
        <w:tabs>
          <w:tab w:val="left" w:pos="567"/>
        </w:tabs>
        <w:spacing w:before="120" w:after="120"/>
        <w:jc w:val="both"/>
        <w:rPr>
          <w:rFonts w:ascii="Verdana" w:hAnsi="Verdana" w:cs="Arial"/>
          <w:sz w:val="20"/>
        </w:rPr>
      </w:pPr>
    </w:p>
    <w:sectPr w:rsidR="00F15F0A" w:rsidRPr="00846DC8" w:rsidSect="00E03F44">
      <w:headerReference w:type="default" r:id="rId8"/>
      <w:footerReference w:type="default" r:id="rId9"/>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5394B" w14:textId="77777777" w:rsidR="00BB7B13" w:rsidRDefault="00BB7B13" w:rsidP="00D71858">
      <w:r>
        <w:separator/>
      </w:r>
    </w:p>
  </w:endnote>
  <w:endnote w:type="continuationSeparator" w:id="0">
    <w:p w14:paraId="607821FF" w14:textId="77777777" w:rsidR="00BB7B13" w:rsidRDefault="00BB7B13"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4D"/>
    <w:family w:val="roman"/>
    <w:notTrueType/>
    <w:pitch w:val="variable"/>
    <w:sig w:usb0="00000003" w:usb1="00000000" w:usb2="00000000" w:usb3="00000000" w:csb0="00000001" w:csb1="00000000"/>
  </w:font>
  <w:font w:name="Helvetica">
    <w:panose1 w:val="020B0504020202020204"/>
    <w:charset w:val="00"/>
    <w:family w:val="swiss"/>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883896"/>
      <w:docPartObj>
        <w:docPartGallery w:val="Page Numbers (Bottom of Page)"/>
        <w:docPartUnique/>
      </w:docPartObj>
    </w:sdtPr>
    <w:sdtEndPr/>
    <w:sdtContent>
      <w:p w14:paraId="33F1A06D" w14:textId="70AB04A8" w:rsidR="00EB7C26" w:rsidRDefault="00EB7C26">
        <w:pPr>
          <w:pStyle w:val="Piedepgina"/>
          <w:jc w:val="center"/>
        </w:pPr>
        <w:r w:rsidRPr="003278E2">
          <w:rPr>
            <w:rFonts w:ascii="Verdana" w:hAnsi="Verdana"/>
            <w:sz w:val="20"/>
          </w:rPr>
          <w:t>-</w:t>
        </w:r>
        <w:r w:rsidRPr="003278E2">
          <w:rPr>
            <w:rFonts w:ascii="Verdana" w:hAnsi="Verdana"/>
            <w:sz w:val="20"/>
          </w:rPr>
          <w:fldChar w:fldCharType="begin"/>
        </w:r>
        <w:r w:rsidRPr="003278E2">
          <w:rPr>
            <w:rFonts w:ascii="Verdana" w:hAnsi="Verdana"/>
            <w:sz w:val="20"/>
          </w:rPr>
          <w:instrText>PAGE   \* MERGEFORMAT</w:instrText>
        </w:r>
        <w:r w:rsidRPr="003278E2">
          <w:rPr>
            <w:rFonts w:ascii="Verdana" w:hAnsi="Verdana"/>
            <w:sz w:val="20"/>
          </w:rPr>
          <w:fldChar w:fldCharType="separate"/>
        </w:r>
        <w:r w:rsidR="00BF6773" w:rsidRPr="00BF6773">
          <w:rPr>
            <w:rFonts w:ascii="Verdana" w:hAnsi="Verdana"/>
            <w:noProof/>
            <w:sz w:val="20"/>
            <w:lang w:val="es-ES"/>
          </w:rPr>
          <w:t>14</w:t>
        </w:r>
        <w:r w:rsidRPr="003278E2">
          <w:rPr>
            <w:rFonts w:ascii="Verdana" w:hAnsi="Verdana"/>
            <w:sz w:val="20"/>
          </w:rPr>
          <w:fldChar w:fldCharType="end"/>
        </w:r>
        <w:r w:rsidRPr="003278E2">
          <w:rPr>
            <w:rFonts w:ascii="Verdana" w:hAnsi="Verdana"/>
            <w:sz w:val="20"/>
          </w:rPr>
          <w:t>-</w:t>
        </w:r>
      </w:p>
    </w:sdtContent>
  </w:sdt>
  <w:p w14:paraId="734CA031" w14:textId="77777777" w:rsidR="00EB7C26" w:rsidRDefault="00EB7C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8D3AE" w14:textId="77777777" w:rsidR="00BB7B13" w:rsidRDefault="00BB7B13" w:rsidP="00D71858">
      <w:r>
        <w:separator/>
      </w:r>
    </w:p>
  </w:footnote>
  <w:footnote w:type="continuationSeparator" w:id="0">
    <w:p w14:paraId="108CBD47" w14:textId="77777777" w:rsidR="00BB7B13" w:rsidRDefault="00BB7B13" w:rsidP="00D71858">
      <w:r>
        <w:continuationSeparator/>
      </w:r>
    </w:p>
  </w:footnote>
  <w:footnote w:id="1">
    <w:p w14:paraId="1E59E119" w14:textId="65096295" w:rsidR="00EB7C26" w:rsidRPr="002B1B9B" w:rsidRDefault="00EB7C26" w:rsidP="002B1B9B">
      <w:pPr>
        <w:pStyle w:val="Textonotapie"/>
        <w:rPr>
          <w:rFonts w:cs="Verdana"/>
          <w:szCs w:val="16"/>
          <w:lang w:val="es-ES"/>
        </w:rPr>
      </w:pPr>
      <w:r>
        <w:rPr>
          <w:szCs w:val="16"/>
          <w:vertAlign w:val="superscript"/>
          <w:lang w:val="es-CR"/>
        </w:rPr>
        <w:t>*</w:t>
      </w:r>
      <w:r>
        <w:rPr>
          <w:szCs w:val="16"/>
          <w:lang w:val="es-CR"/>
        </w:rPr>
        <w:tab/>
      </w:r>
      <w:r w:rsidRPr="0048725A">
        <w:rPr>
          <w:rFonts w:cs="Verdana"/>
          <w:szCs w:val="16"/>
          <w:lang w:val="es-CO"/>
        </w:rPr>
        <w:t xml:space="preserve">El Juez </w:t>
      </w:r>
      <w:r w:rsidRPr="0048725A">
        <w:rPr>
          <w:lang w:val="es-ES_tradnl"/>
        </w:rPr>
        <w:t>Eduardo Ferrer Mac-</w:t>
      </w:r>
      <w:proofErr w:type="spellStart"/>
      <w:r w:rsidRPr="0048725A">
        <w:rPr>
          <w:lang w:val="es-ES_tradnl"/>
        </w:rPr>
        <w:t>Gregor</w:t>
      </w:r>
      <w:proofErr w:type="spellEnd"/>
      <w:r w:rsidRPr="0048725A">
        <w:rPr>
          <w:lang w:val="es-ES_tradnl"/>
        </w:rPr>
        <w:t xml:space="preserve"> </w:t>
      </w:r>
      <w:proofErr w:type="spellStart"/>
      <w:r w:rsidRPr="0048725A">
        <w:rPr>
          <w:lang w:val="es-ES_tradnl"/>
        </w:rPr>
        <w:t>Poisot</w:t>
      </w:r>
      <w:proofErr w:type="spellEnd"/>
      <w:r w:rsidRPr="0048725A">
        <w:rPr>
          <w:lang w:val="es-ES_tradnl"/>
        </w:rPr>
        <w:t xml:space="preserve">, de nacionalidad mexicana, no participó en el conocimiento y deliberación de la presente Resolución, </w:t>
      </w:r>
      <w:r w:rsidRPr="0048725A">
        <w:rPr>
          <w:szCs w:val="16"/>
          <w:lang w:val="es-CR"/>
        </w:rPr>
        <w:t xml:space="preserve">de conformidad con lo dispuesto en </w:t>
      </w:r>
      <w:r w:rsidR="0048725A">
        <w:rPr>
          <w:szCs w:val="16"/>
          <w:lang w:val="es-CR"/>
        </w:rPr>
        <w:t>el</w:t>
      </w:r>
      <w:r w:rsidRPr="0048725A">
        <w:rPr>
          <w:szCs w:val="16"/>
          <w:lang w:val="es-CR"/>
        </w:rPr>
        <w:t xml:space="preserve"> </w:t>
      </w:r>
      <w:r w:rsidRPr="0048725A">
        <w:rPr>
          <w:rFonts w:cs="Verdana"/>
          <w:szCs w:val="16"/>
          <w:lang w:val="es-CO"/>
        </w:rPr>
        <w:t>artículo 19.1 del Reglamento de la Corte.</w:t>
      </w:r>
      <w:r>
        <w:rPr>
          <w:rFonts w:cs="Verdana"/>
          <w:szCs w:val="16"/>
          <w:lang w:val="es-CO"/>
        </w:rPr>
        <w:t xml:space="preserve"> </w:t>
      </w:r>
      <w:r w:rsidR="00A50B3C" w:rsidRPr="0048725A">
        <w:rPr>
          <w:lang w:val="es-AR"/>
        </w:rPr>
        <w:t>Debido a las circunstancias excepcionales ocasionadas por la pandemia COVID-19, esta Resolución fue deliberada y aprobada durante el 135 Período Ordinario de Sesiones, el cual se llevó a cabo de forma no presencial utilizando medios tecnológicos de conformidad con lo establecido en el Reglamento de la Corte.</w:t>
      </w:r>
    </w:p>
  </w:footnote>
  <w:footnote w:id="2">
    <w:p w14:paraId="06B0BE8F" w14:textId="4DBEE5F6" w:rsidR="00EB7C26" w:rsidRPr="00B06640" w:rsidRDefault="00EB7C26" w:rsidP="00260226">
      <w:pPr>
        <w:pStyle w:val="Textonotapie"/>
        <w:rPr>
          <w:lang w:val="es-CO"/>
        </w:rPr>
      </w:pPr>
      <w:r>
        <w:rPr>
          <w:rStyle w:val="Refdenotaalpie"/>
        </w:rPr>
        <w:footnoteRef/>
      </w:r>
      <w:r w:rsidRPr="00B06640">
        <w:rPr>
          <w:lang w:val="es-CO"/>
        </w:rPr>
        <w:t xml:space="preserve"> </w:t>
      </w:r>
      <w:r>
        <w:rPr>
          <w:lang w:val="es-CO"/>
        </w:rPr>
        <w:tab/>
      </w:r>
      <w:r w:rsidR="00A50B3C">
        <w:rPr>
          <w:i/>
          <w:lang w:val="es-CO"/>
        </w:rPr>
        <w:t xml:space="preserve">Cfr. </w:t>
      </w:r>
      <w:r w:rsidRPr="00A64BDE">
        <w:rPr>
          <w:i/>
          <w:lang w:val="es-CO"/>
        </w:rPr>
        <w:t>Caso Cabrera García y Montiel Flores Vs. México. Excepción Preliminar, Fondo, Reparaciones y Costas</w:t>
      </w:r>
      <w:r w:rsidRPr="00B06640">
        <w:rPr>
          <w:lang w:val="es-CO"/>
        </w:rPr>
        <w:t>. Sentencia de 26 de noviembre de 2010</w:t>
      </w:r>
      <w:r w:rsidR="00A50B3C">
        <w:rPr>
          <w:lang w:val="es-CO"/>
        </w:rPr>
        <w:t>.</w:t>
      </w:r>
      <w:r w:rsidRPr="00B06640">
        <w:rPr>
          <w:lang w:val="es-CO"/>
        </w:rPr>
        <w:t xml:space="preserve"> Serie C No. 220. El texto íntegro de la Sentencia se encuentra disponible en: </w:t>
      </w:r>
      <w:hyperlink r:id="rId1" w:history="1">
        <w:r w:rsidRPr="00B06640">
          <w:rPr>
            <w:rStyle w:val="Hipervnculo"/>
            <w:lang w:val="es-CO"/>
          </w:rPr>
          <w:t>http://www.corteidh.or.cr/docs/casos/articulos/seriec_220_esp.pdf</w:t>
        </w:r>
      </w:hyperlink>
      <w:r>
        <w:rPr>
          <w:rStyle w:val="Hipervnculo"/>
          <w:lang w:val="es-CO"/>
        </w:rPr>
        <w:t xml:space="preserve">. </w:t>
      </w:r>
      <w:r>
        <w:rPr>
          <w:lang w:val="es-CO"/>
        </w:rPr>
        <w:t xml:space="preserve">La Sentencia se notificó el 20 de diciembre de 2010. </w:t>
      </w:r>
    </w:p>
  </w:footnote>
  <w:footnote w:id="3">
    <w:p w14:paraId="36F7C8F2" w14:textId="043B77CE" w:rsidR="00EB7C26" w:rsidRPr="002B1B9B" w:rsidRDefault="00EB7C26">
      <w:pPr>
        <w:pStyle w:val="Textonotapie"/>
        <w:rPr>
          <w:lang w:val="es-ES"/>
        </w:rPr>
      </w:pPr>
      <w:r>
        <w:rPr>
          <w:rStyle w:val="Refdenotaalpie"/>
        </w:rPr>
        <w:footnoteRef/>
      </w:r>
      <w:r w:rsidRPr="002B1B9B">
        <w:rPr>
          <w:lang w:val="es-ES"/>
        </w:rPr>
        <w:t xml:space="preserve"> </w:t>
      </w:r>
      <w:r>
        <w:rPr>
          <w:lang w:val="es-ES"/>
        </w:rPr>
        <w:tab/>
        <w:t xml:space="preserve">Ello </w:t>
      </w:r>
      <w:r w:rsidRPr="002B1B9B">
        <w:rPr>
          <w:lang w:val="es-ES"/>
        </w:rPr>
        <w:t>debido a que el artículo 57 del Código de Justicia Militar permitía que los tribunales castrenses juzgaran a todo militar al que se le imputase un delito ordinario por el sólo hecho de estar en servicio. Adicionalmente, concluyó que México era responsable por la violación al derecho a la protección judicial, debido a que las víctimas no contaron con los recursos efectivos para impugnar el conocimiento de los hechos por la jurisdicción militar</w:t>
      </w:r>
      <w:r>
        <w:rPr>
          <w:lang w:val="es-ES"/>
        </w:rPr>
        <w:t xml:space="preserve">. </w:t>
      </w:r>
    </w:p>
  </w:footnote>
  <w:footnote w:id="4">
    <w:p w14:paraId="458B16F1" w14:textId="77777777" w:rsidR="00EB7C26" w:rsidRPr="00A46BB7" w:rsidRDefault="00EB7C26" w:rsidP="00260226">
      <w:pPr>
        <w:pStyle w:val="Textonotapie"/>
        <w:rPr>
          <w:szCs w:val="16"/>
          <w:lang w:val="es-AR"/>
        </w:rPr>
      </w:pPr>
      <w:r w:rsidRPr="00301EC6">
        <w:rPr>
          <w:rStyle w:val="Refdenotaalpie"/>
          <w:szCs w:val="16"/>
        </w:rPr>
        <w:footnoteRef/>
      </w:r>
      <w:r w:rsidRPr="00A46BB7">
        <w:rPr>
          <w:szCs w:val="16"/>
          <w:lang w:val="es-AR"/>
        </w:rPr>
        <w:t xml:space="preserve"> </w:t>
      </w:r>
      <w:r w:rsidRPr="00301EC6">
        <w:rPr>
          <w:szCs w:val="16"/>
          <w:lang w:val="es-AR"/>
        </w:rPr>
        <w:tab/>
      </w:r>
      <w:hyperlink r:id="rId2" w:history="1"/>
      <w:r>
        <w:rPr>
          <w:szCs w:val="16"/>
          <w:lang w:val="es-AR"/>
        </w:rPr>
        <w:t xml:space="preserve">Dichas </w:t>
      </w:r>
      <w:r>
        <w:rPr>
          <w:lang w:val="es-CR"/>
        </w:rPr>
        <w:t xml:space="preserve">Resoluciones se encuentran disponibles en el siguiente enlace: </w:t>
      </w:r>
      <w:hyperlink r:id="rId3" w:history="1">
        <w:r>
          <w:rPr>
            <w:rStyle w:val="Hipervnculo"/>
            <w:lang w:val="es-CR"/>
          </w:rPr>
          <w:t>http://www.corteidh.or.cr/cf/Jurisprudencia2/busqueda_supervision_cumplimiento.cfm?lang=es</w:t>
        </w:r>
      </w:hyperlink>
      <w:r>
        <w:rPr>
          <w:lang w:val="es-CR"/>
        </w:rPr>
        <w:t>.</w:t>
      </w:r>
    </w:p>
  </w:footnote>
  <w:footnote w:id="5">
    <w:p w14:paraId="03FBEEBA" w14:textId="1FD4A018" w:rsidR="00EB7C26" w:rsidRPr="006F52E1" w:rsidRDefault="00EB7C26" w:rsidP="00260226">
      <w:pPr>
        <w:pStyle w:val="Textonotapie"/>
        <w:rPr>
          <w:szCs w:val="16"/>
          <w:lang w:val="es-CO"/>
        </w:rPr>
      </w:pPr>
      <w:r w:rsidRPr="005F0D57">
        <w:rPr>
          <w:rStyle w:val="Refdenotaalpie"/>
          <w:szCs w:val="16"/>
        </w:rPr>
        <w:footnoteRef/>
      </w:r>
      <w:r w:rsidRPr="006F52E1">
        <w:rPr>
          <w:szCs w:val="16"/>
          <w:lang w:val="es-CO"/>
        </w:rPr>
        <w:t xml:space="preserve"> </w:t>
      </w:r>
      <w:r>
        <w:rPr>
          <w:szCs w:val="16"/>
          <w:lang w:val="es-CO"/>
        </w:rPr>
        <w:tab/>
        <w:t>Los</w:t>
      </w:r>
      <w:r>
        <w:rPr>
          <w:szCs w:val="16"/>
          <w:lang w:val="es-AR"/>
        </w:rPr>
        <w:t xml:space="preserve"> </w:t>
      </w:r>
      <w:r w:rsidRPr="007402D8">
        <w:rPr>
          <w:lang w:val="es-AR"/>
        </w:rPr>
        <w:t>representantes</w:t>
      </w:r>
      <w:r>
        <w:rPr>
          <w:szCs w:val="16"/>
          <w:lang w:val="es-AR"/>
        </w:rPr>
        <w:t xml:space="preserve"> en el presente caso son el Centro de Derechos Humanos Miguel Agu</w:t>
      </w:r>
      <w:r w:rsidR="004B25D5">
        <w:rPr>
          <w:szCs w:val="16"/>
          <w:lang w:val="es-AR"/>
        </w:rPr>
        <w:t>stín Pro Juárez (Centro Prodh),</w:t>
      </w:r>
      <w:r>
        <w:rPr>
          <w:szCs w:val="16"/>
          <w:lang w:val="es-AR"/>
        </w:rPr>
        <w:t xml:space="preserve"> el Centro por la Justicia y el Derecho Internacional (</w:t>
      </w:r>
      <w:r w:rsidRPr="002B18FA">
        <w:rPr>
          <w:szCs w:val="16"/>
          <w:lang w:val="es-AR"/>
        </w:rPr>
        <w:t>CEJIL</w:t>
      </w:r>
      <w:r>
        <w:rPr>
          <w:szCs w:val="16"/>
          <w:lang w:val="es-AR"/>
        </w:rPr>
        <w:t>)</w:t>
      </w:r>
      <w:r w:rsidR="004B25D5">
        <w:rPr>
          <w:szCs w:val="16"/>
          <w:lang w:val="es-CR"/>
        </w:rPr>
        <w:t xml:space="preserve"> y el </w:t>
      </w:r>
      <w:r w:rsidR="004B25D5" w:rsidRPr="004B25D5">
        <w:rPr>
          <w:szCs w:val="16"/>
          <w:lang w:val="es-CR"/>
        </w:rPr>
        <w:t>Centro de Derechos Humanos de la Montaña “Tlachinollan” A</w:t>
      </w:r>
      <w:r w:rsidR="004B25D5">
        <w:rPr>
          <w:szCs w:val="16"/>
          <w:lang w:val="es-CR"/>
        </w:rPr>
        <w:t>.</w:t>
      </w:r>
      <w:r w:rsidR="004B25D5" w:rsidRPr="004B25D5">
        <w:rPr>
          <w:szCs w:val="16"/>
          <w:lang w:val="es-CR"/>
        </w:rPr>
        <w:t>C</w:t>
      </w:r>
      <w:r w:rsidR="004B25D5">
        <w:rPr>
          <w:szCs w:val="16"/>
          <w:lang w:val="es-CR"/>
        </w:rPr>
        <w:t xml:space="preserve">. </w:t>
      </w:r>
    </w:p>
  </w:footnote>
  <w:footnote w:id="6">
    <w:p w14:paraId="69054266" w14:textId="71475D89" w:rsidR="00EB7C26" w:rsidRPr="001C1364" w:rsidRDefault="00EB7C26" w:rsidP="002D34E9">
      <w:pPr>
        <w:pStyle w:val="Textonotapie"/>
        <w:rPr>
          <w:lang w:val="es-ES"/>
        </w:rPr>
      </w:pPr>
      <w:r>
        <w:rPr>
          <w:rStyle w:val="Refdenotaalpie"/>
        </w:rPr>
        <w:footnoteRef/>
      </w:r>
      <w:r w:rsidRPr="002D34E9">
        <w:rPr>
          <w:lang w:val="es-ES"/>
        </w:rPr>
        <w:t xml:space="preserve"> </w:t>
      </w:r>
      <w:r>
        <w:rPr>
          <w:lang w:val="es-ES"/>
        </w:rPr>
        <w:tab/>
      </w:r>
      <w:r w:rsidRPr="00813B0F">
        <w:rPr>
          <w:lang w:val="es-ES"/>
        </w:rPr>
        <w:t xml:space="preserve">A dicha audiencia comparecieron: a) por las víctimas: los señores y señoras Marcia Aguiluz y María Florencia Reggiardo, del Centro por la Justicia y el Derecho Internacional (CEJIL); los señores y señoras Mario Ernesto Patrón Sánchez, Jorge Santiago Aguirre Espinoza, Stephanie Erin </w:t>
      </w:r>
      <w:proofErr w:type="spellStart"/>
      <w:r w:rsidRPr="00813B0F">
        <w:rPr>
          <w:lang w:val="es-ES"/>
        </w:rPr>
        <w:t>Brewer</w:t>
      </w:r>
      <w:proofErr w:type="spellEnd"/>
      <w:r w:rsidRPr="00813B0F">
        <w:rPr>
          <w:lang w:val="es-ES"/>
        </w:rPr>
        <w:t xml:space="preserve">, Luis Eliud Tapia Olivares, María Luisa Aguilar Rodríguez, Daniela Aguirre Luna, José Luis Alvarado Rodríguez, Pilar Carolina Arrese Alcalá, Raffaella </w:t>
      </w:r>
      <w:proofErr w:type="spellStart"/>
      <w:r w:rsidRPr="00813B0F">
        <w:rPr>
          <w:lang w:val="es-ES"/>
        </w:rPr>
        <w:t>Kely</w:t>
      </w:r>
      <w:proofErr w:type="spellEnd"/>
      <w:r w:rsidRPr="00813B0F">
        <w:rPr>
          <w:lang w:val="es-ES"/>
        </w:rPr>
        <w:t xml:space="preserve"> Brunner, Víctor Hugo Carlos Banda, Gabriela Carreón Lee, Juana Inés Casarrubias </w:t>
      </w:r>
      <w:proofErr w:type="spellStart"/>
      <w:r w:rsidRPr="00813B0F">
        <w:rPr>
          <w:lang w:val="es-ES"/>
        </w:rPr>
        <w:t>Gamez</w:t>
      </w:r>
      <w:proofErr w:type="spellEnd"/>
      <w:r w:rsidRPr="00813B0F">
        <w:rPr>
          <w:lang w:val="es-ES"/>
        </w:rPr>
        <w:t xml:space="preserve">, </w:t>
      </w:r>
      <w:proofErr w:type="spellStart"/>
      <w:r w:rsidRPr="00813B0F">
        <w:rPr>
          <w:lang w:val="es-ES"/>
        </w:rPr>
        <w:t>Adazahira</w:t>
      </w:r>
      <w:proofErr w:type="spellEnd"/>
      <w:r w:rsidRPr="00813B0F">
        <w:rPr>
          <w:lang w:val="es-ES"/>
        </w:rPr>
        <w:t xml:space="preserve"> Chávez Pérez, Sofía De </w:t>
      </w:r>
      <w:proofErr w:type="spellStart"/>
      <w:r w:rsidRPr="00813B0F">
        <w:rPr>
          <w:lang w:val="es-ES"/>
        </w:rPr>
        <w:t>Robina</w:t>
      </w:r>
      <w:proofErr w:type="spellEnd"/>
      <w:r w:rsidRPr="00813B0F">
        <w:rPr>
          <w:lang w:val="es-ES"/>
        </w:rPr>
        <w:t xml:space="preserve"> Castro, </w:t>
      </w:r>
      <w:proofErr w:type="spellStart"/>
      <w:r w:rsidRPr="00813B0F">
        <w:rPr>
          <w:lang w:val="es-ES"/>
        </w:rPr>
        <w:t>Xose</w:t>
      </w:r>
      <w:proofErr w:type="spellEnd"/>
      <w:r w:rsidRPr="00813B0F">
        <w:rPr>
          <w:lang w:val="es-ES"/>
        </w:rPr>
        <w:t xml:space="preserve"> Roberto Figueroa Rivera, Isaías Gonzalo Flores Romero, </w:t>
      </w:r>
      <w:proofErr w:type="spellStart"/>
      <w:r w:rsidRPr="00813B0F">
        <w:rPr>
          <w:lang w:val="es-ES"/>
        </w:rPr>
        <w:t>Raisa</w:t>
      </w:r>
      <w:proofErr w:type="spellEnd"/>
      <w:r w:rsidRPr="00813B0F">
        <w:rPr>
          <w:lang w:val="es-ES"/>
        </w:rPr>
        <w:t xml:space="preserve"> </w:t>
      </w:r>
      <w:proofErr w:type="spellStart"/>
      <w:r w:rsidRPr="00813B0F">
        <w:rPr>
          <w:lang w:val="es-ES"/>
        </w:rPr>
        <w:t>Josseline</w:t>
      </w:r>
      <w:proofErr w:type="spellEnd"/>
      <w:r w:rsidRPr="00813B0F">
        <w:rPr>
          <w:lang w:val="es-ES"/>
        </w:rPr>
        <w:t xml:space="preserve"> Gómez Loyo, Alberto González Torres, Alejandra Govea Briseño, Hiram Gutiérrez Bautista, Sayuri Herrera Román, Lindsey </w:t>
      </w:r>
      <w:proofErr w:type="spellStart"/>
      <w:r w:rsidRPr="00813B0F">
        <w:rPr>
          <w:lang w:val="es-ES"/>
        </w:rPr>
        <w:t>Hoemann</w:t>
      </w:r>
      <w:proofErr w:type="spellEnd"/>
      <w:r w:rsidRPr="00813B0F">
        <w:rPr>
          <w:lang w:val="es-ES"/>
        </w:rPr>
        <w:t xml:space="preserve">, María Guadalupe Isaac Carreño, Alexandra Nayeli Jiménez Martínez, Mireya López Cruz, José de Jesús Maldonado García, María Esther Martínez López, Laura Estela Mendoza Gómez, David Eduardo Mirafuentes Ortega, Araceli Magdalena Olivos Portugal, Carlos Alberto </w:t>
      </w:r>
      <w:proofErr w:type="spellStart"/>
      <w:r w:rsidRPr="00813B0F">
        <w:rPr>
          <w:lang w:val="es-ES"/>
        </w:rPr>
        <w:t>Osoria</w:t>
      </w:r>
      <w:proofErr w:type="spellEnd"/>
      <w:r w:rsidRPr="00813B0F">
        <w:rPr>
          <w:lang w:val="es-ES"/>
        </w:rPr>
        <w:t xml:space="preserve"> Polo, Bernardo Padrón Samaniego, María del Rosario Reyes Jiménez, Gabriela Rodríguez Limas, </w:t>
      </w:r>
      <w:proofErr w:type="spellStart"/>
      <w:r w:rsidRPr="00813B0F">
        <w:rPr>
          <w:lang w:val="es-ES"/>
        </w:rPr>
        <w:t>Yeny</w:t>
      </w:r>
      <w:proofErr w:type="spellEnd"/>
      <w:r w:rsidRPr="00813B0F">
        <w:rPr>
          <w:lang w:val="es-ES"/>
        </w:rPr>
        <w:t xml:space="preserve"> Evelia Santiago Alcaraz, </w:t>
      </w:r>
      <w:proofErr w:type="spellStart"/>
      <w:r w:rsidRPr="00813B0F">
        <w:rPr>
          <w:lang w:val="es-ES"/>
        </w:rPr>
        <w:t>Narce</w:t>
      </w:r>
      <w:proofErr w:type="spellEnd"/>
      <w:r w:rsidRPr="00813B0F">
        <w:rPr>
          <w:lang w:val="es-ES"/>
        </w:rPr>
        <w:t xml:space="preserve"> Dalia Santibáñez Alejandre, Nilda </w:t>
      </w:r>
      <w:proofErr w:type="spellStart"/>
      <w:r w:rsidRPr="00813B0F">
        <w:rPr>
          <w:lang w:val="es-ES"/>
        </w:rPr>
        <w:t>Meyatzin</w:t>
      </w:r>
      <w:proofErr w:type="spellEnd"/>
      <w:r w:rsidRPr="00813B0F">
        <w:rPr>
          <w:lang w:val="es-ES"/>
        </w:rPr>
        <w:t xml:space="preserve"> Velasco Santiago y Héctor Eduardo Vila Ortiz, del Centro PRODH; y el señor José </w:t>
      </w:r>
      <w:proofErr w:type="spellStart"/>
      <w:r w:rsidRPr="00813B0F">
        <w:rPr>
          <w:lang w:val="es-ES"/>
        </w:rPr>
        <w:t>Orvelín</w:t>
      </w:r>
      <w:proofErr w:type="spellEnd"/>
      <w:r w:rsidRPr="00813B0F">
        <w:rPr>
          <w:lang w:val="es-ES"/>
        </w:rPr>
        <w:t xml:space="preserve"> Montiel Cortés, hijo de</w:t>
      </w:r>
      <w:r w:rsidR="00063C45" w:rsidRPr="00813B0F">
        <w:rPr>
          <w:lang w:val="es-ES"/>
        </w:rPr>
        <w:t>l señor Rodolfo Montiel Flores,</w:t>
      </w:r>
      <w:r w:rsidRPr="00813B0F">
        <w:rPr>
          <w:lang w:val="es-ES"/>
        </w:rPr>
        <w:t xml:space="preserve"> víctima del caso; b) por el Estado: los señores y las señoras Roberto Campa Cifrián, Subsecretario de Derechos Humanos de la Secretaría de Gobernación; Erasmo A. Lara Cabrera, Director General de Derechos Humanos y Democracia de la Secretaría de Relaciones Exteriores; Sara Irene Herrerías Guerra, Titular de la Unidad para la Defensa de los Derechos Humanos de la Secretaría de Gobernación; Jaime Chávez Alor, Titular de la Coordinación de Asuntos Internacionales y Agregadurías de la Procuraduría General de la República; José Carlos Beltrán Benites, Director General de Derechos Humanos de la Secretaría de la Defensa Nacional; Alejandro Ramos Flores, Titular de la Unidad de Asuntos Jurídicos de la Secretaría de la Defensa Nacional; </w:t>
      </w:r>
      <w:r w:rsidR="00121FAF" w:rsidRPr="00813B0F">
        <w:rPr>
          <w:lang w:val="es-ES"/>
        </w:rPr>
        <w:t xml:space="preserve">Virgilio Hernández Rodríguez, Subdirector de Asuntos Internacionales de la Secretaría de Defensa Nacional; Miriam Heredia Zertuche, Directora General Adjunta y Encargada del Despacho de la Dirección General de Cooperación Internacional de la Procuraduría General de la República; Guillermo Eduardo Díaz Ordaz </w:t>
      </w:r>
      <w:proofErr w:type="spellStart"/>
      <w:r w:rsidR="00121FAF" w:rsidRPr="00813B0F">
        <w:rPr>
          <w:lang w:val="es-ES"/>
        </w:rPr>
        <w:t>Rigada</w:t>
      </w:r>
      <w:proofErr w:type="spellEnd"/>
      <w:r w:rsidR="00121FAF" w:rsidRPr="00813B0F">
        <w:rPr>
          <w:lang w:val="es-ES"/>
        </w:rPr>
        <w:t xml:space="preserve"> y Carlos Antonio </w:t>
      </w:r>
      <w:proofErr w:type="spellStart"/>
      <w:r w:rsidR="00121FAF" w:rsidRPr="00813B0F">
        <w:rPr>
          <w:lang w:val="es-ES"/>
        </w:rPr>
        <w:t>Crúz</w:t>
      </w:r>
      <w:proofErr w:type="spellEnd"/>
      <w:r w:rsidR="00121FAF" w:rsidRPr="00813B0F">
        <w:rPr>
          <w:lang w:val="es-ES"/>
        </w:rPr>
        <w:t xml:space="preserve"> Carrillo, de la Dirección de Casos de la Dirección General de Derechos Humanos y Democracia de la Secretaría de Relaciones Exteriores; </w:t>
      </w:r>
      <w:r w:rsidRPr="00813B0F">
        <w:rPr>
          <w:lang w:val="es-ES"/>
        </w:rPr>
        <w:t>Rebeca Nader, de la Unidad para la Defensa de los Derechos Humanos de la Secretaría de Gobernación; Eber Omar Betanzos Torres, Subprocurador de Derechos Humanos, Prevención del Delito y Servicios a la Comunidad de la Procuraduría General de la República; Mauricio Aldama Moreno y Silvia Juana Villanueva Romero, de la Subprocuraduría Especializada en Investigación de Delitos Federales de la Procuraduría General de la República;</w:t>
      </w:r>
      <w:r w:rsidR="00BC3B38" w:rsidRPr="00813B0F">
        <w:rPr>
          <w:lang w:val="es-ES"/>
        </w:rPr>
        <w:t xml:space="preserve"> </w:t>
      </w:r>
      <w:proofErr w:type="spellStart"/>
      <w:r w:rsidR="00BC3B38" w:rsidRPr="00813B0F">
        <w:rPr>
          <w:lang w:val="es-ES"/>
        </w:rPr>
        <w:t>Roselio</w:t>
      </w:r>
      <w:proofErr w:type="spellEnd"/>
      <w:r w:rsidR="00BC3B38" w:rsidRPr="00813B0F">
        <w:rPr>
          <w:lang w:val="es-ES"/>
        </w:rPr>
        <w:t xml:space="preserve"> Gutiérrez, de la Secretaría de Defensa Nacional,</w:t>
      </w:r>
      <w:r w:rsidRPr="00813B0F">
        <w:rPr>
          <w:lang w:val="es-ES"/>
        </w:rPr>
        <w:t xml:space="preserve"> y c) por la Comisión Interamericana: Silvia Serrano Guzmán y Jorge H. Meza, asesores de la Secretaría Ejecutiva.</w:t>
      </w:r>
      <w:r>
        <w:rPr>
          <w:lang w:val="es-ES"/>
        </w:rPr>
        <w:t xml:space="preserve"> </w:t>
      </w:r>
    </w:p>
  </w:footnote>
  <w:footnote w:id="7">
    <w:p w14:paraId="7301FA82" w14:textId="573427CB" w:rsidR="00EB7C26" w:rsidRDefault="00EB7C26" w:rsidP="00260226">
      <w:pPr>
        <w:pStyle w:val="Textonotapie"/>
        <w:rPr>
          <w:szCs w:val="16"/>
          <w:lang w:val="es-CR"/>
        </w:rPr>
      </w:pPr>
      <w:r>
        <w:rPr>
          <w:rStyle w:val="Refdenotaalpie"/>
          <w:szCs w:val="16"/>
        </w:rPr>
        <w:footnoteRef/>
      </w:r>
      <w:r>
        <w:rPr>
          <w:szCs w:val="16"/>
          <w:lang w:val="es-CR"/>
        </w:rPr>
        <w:t xml:space="preserve"> </w:t>
      </w:r>
      <w:r>
        <w:rPr>
          <w:szCs w:val="16"/>
          <w:lang w:val="es-CR"/>
        </w:rPr>
        <w:tab/>
      </w:r>
      <w:r w:rsidRPr="001970A1">
        <w:rPr>
          <w:lang w:val="es-AR"/>
        </w:rPr>
        <w:t>Facultad</w:t>
      </w:r>
      <w:r>
        <w:rPr>
          <w:szCs w:val="16"/>
          <w:lang w:val="es-CR"/>
        </w:rPr>
        <w:t xml:space="preserve"> que, además, </w:t>
      </w:r>
      <w:r>
        <w:rPr>
          <w:szCs w:val="16"/>
          <w:lang w:val="es-ES"/>
        </w:rPr>
        <w:t xml:space="preserve">se desprende de lo dispuesto en los artículos 33, 62.1, 62.3 y 65 de la Convención Americana y </w:t>
      </w:r>
      <w:r>
        <w:rPr>
          <w:szCs w:val="16"/>
          <w:lang w:val="es-CR"/>
        </w:rPr>
        <w:t>30 de su Estatuto y se encuentra regulada en el artículo 69 de su Reglamento.</w:t>
      </w:r>
    </w:p>
  </w:footnote>
  <w:footnote w:id="8">
    <w:p w14:paraId="2DF43C1F" w14:textId="65D98F61" w:rsidR="00EB7C26" w:rsidRDefault="00EB7C26" w:rsidP="00260226">
      <w:pPr>
        <w:pStyle w:val="Textonotapie"/>
        <w:rPr>
          <w:lang w:val="es-AR"/>
        </w:rPr>
      </w:pPr>
      <w:r>
        <w:rPr>
          <w:rStyle w:val="Refdenotaalpie"/>
        </w:rPr>
        <w:footnoteRef/>
      </w:r>
      <w:r>
        <w:rPr>
          <w:lang w:val="es-AR"/>
        </w:rPr>
        <w:t xml:space="preserve"> </w:t>
      </w:r>
      <w:r>
        <w:rPr>
          <w:lang w:val="es-AR"/>
        </w:rPr>
        <w:tab/>
        <w:t>El Estado dio cumplimiento total a las medidas relativas a: i) publicar la Sentencia en distintos medios de comunicación (</w:t>
      </w:r>
      <w:r>
        <w:rPr>
          <w:i/>
          <w:lang w:val="es-AR"/>
        </w:rPr>
        <w:t>punto resolutivo décimo tercero de la Sentencia</w:t>
      </w:r>
      <w:r>
        <w:rPr>
          <w:lang w:val="es-AR"/>
        </w:rPr>
        <w:t>); ii) pagar las cantidades fijadas por concepto de tratamiento médico (</w:t>
      </w:r>
      <w:r>
        <w:rPr>
          <w:i/>
          <w:lang w:val="es-AR"/>
        </w:rPr>
        <w:t>punto resolutivo décimo cuarto</w:t>
      </w:r>
      <w:r w:rsidR="00575E9A">
        <w:rPr>
          <w:i/>
          <w:lang w:val="es-AR"/>
        </w:rPr>
        <w:t xml:space="preserve"> de la Sentencia</w:t>
      </w:r>
      <w:r>
        <w:rPr>
          <w:lang w:val="es-AR"/>
        </w:rPr>
        <w:t xml:space="preserve">); iii) </w:t>
      </w:r>
      <w:r w:rsidRPr="00E11F7E">
        <w:rPr>
          <w:lang w:val="es-AR"/>
        </w:rPr>
        <w:t>continuar implementando programas y cursos permanentes de capacitación sobre investigación diligente en casos de tratos crueles, inhumanos o degradantes y tortura, así como fortalecer las capacidades institucionales del Estado mediante la capacitación de funcionarios de las Fuerzas Armadas sobre los principios y normas de protección de los derechos humanos y sobre los límites a los que deben estar sometidos</w:t>
      </w:r>
      <w:r>
        <w:rPr>
          <w:lang w:val="es-AR"/>
        </w:rPr>
        <w:t xml:space="preserve"> (</w:t>
      </w:r>
      <w:r>
        <w:rPr>
          <w:i/>
          <w:lang w:val="es-AR"/>
        </w:rPr>
        <w:t>punto resolutivo décimo séptimo de la Sentencia</w:t>
      </w:r>
      <w:r>
        <w:rPr>
          <w:lang w:val="es-AR"/>
        </w:rPr>
        <w:t>); iv) pagar las cantidades fijadas en la Sentencia por concepto de daños materiales e inmateriales a favor de las víctimas (</w:t>
      </w:r>
      <w:r>
        <w:rPr>
          <w:i/>
          <w:lang w:val="es-AR"/>
        </w:rPr>
        <w:t>punto resolutivo décimo octavo de la Sentencia</w:t>
      </w:r>
      <w:r>
        <w:rPr>
          <w:lang w:val="es-AR"/>
        </w:rPr>
        <w:t>); v) el reintegro de costas y gastos (</w:t>
      </w:r>
      <w:r>
        <w:rPr>
          <w:i/>
          <w:lang w:val="es-AR"/>
        </w:rPr>
        <w:t>punto resolutivo</w:t>
      </w:r>
      <w:r w:rsidRPr="00E11F7E">
        <w:rPr>
          <w:i/>
          <w:lang w:val="es-AR"/>
        </w:rPr>
        <w:t xml:space="preserve"> </w:t>
      </w:r>
      <w:r>
        <w:rPr>
          <w:i/>
          <w:lang w:val="es-AR"/>
        </w:rPr>
        <w:t>décimo octavo de la Sentencia</w:t>
      </w:r>
      <w:r>
        <w:rPr>
          <w:lang w:val="es-AR"/>
        </w:rPr>
        <w:t xml:space="preserve">), y vi) </w:t>
      </w:r>
      <w:r w:rsidRPr="00E11F7E">
        <w:rPr>
          <w:lang w:val="es-AR"/>
        </w:rPr>
        <w:t>adoptar las reformas pertinentes para permitir que las personas afectadas por la intervención del fuero militar cuenten con un recurso efectivo de impugnación de tal competencia</w:t>
      </w:r>
      <w:r>
        <w:rPr>
          <w:lang w:val="es-AR"/>
        </w:rPr>
        <w:t xml:space="preserve"> (</w:t>
      </w:r>
      <w:r>
        <w:rPr>
          <w:i/>
          <w:lang w:val="es-AR"/>
        </w:rPr>
        <w:t>punto resolutivo décimo quinto de la Sentencia</w:t>
      </w:r>
      <w:r>
        <w:rPr>
          <w:lang w:val="es-AR"/>
        </w:rPr>
        <w:t xml:space="preserve">). </w:t>
      </w:r>
    </w:p>
  </w:footnote>
  <w:footnote w:id="9">
    <w:p w14:paraId="19EDB63A" w14:textId="0EE1D9A9" w:rsidR="00270529" w:rsidRPr="00712460" w:rsidRDefault="00270529">
      <w:pPr>
        <w:pStyle w:val="Textonotapie"/>
        <w:rPr>
          <w:lang w:val="es-CR"/>
        </w:rPr>
      </w:pPr>
      <w:r>
        <w:rPr>
          <w:rStyle w:val="Refdenotaalpie"/>
        </w:rPr>
        <w:footnoteRef/>
      </w:r>
      <w:r w:rsidRPr="00712460">
        <w:rPr>
          <w:lang w:val="es-CR"/>
        </w:rPr>
        <w:t xml:space="preserve"> </w:t>
      </w:r>
      <w:r>
        <w:rPr>
          <w:lang w:val="es-CR"/>
        </w:rPr>
        <w:tab/>
        <w:t>Medida ordenada en el punto resolutivo décimo</w:t>
      </w:r>
      <w:r w:rsidR="00712460">
        <w:rPr>
          <w:lang w:val="es-CR"/>
        </w:rPr>
        <w:t xml:space="preserve"> quinto de la Sentencia. </w:t>
      </w:r>
    </w:p>
  </w:footnote>
  <w:footnote w:id="10">
    <w:p w14:paraId="0DB34483" w14:textId="0352AC8F" w:rsidR="00EB7C26" w:rsidRPr="00896673" w:rsidRDefault="00EB7C26" w:rsidP="00260226">
      <w:pPr>
        <w:pStyle w:val="Textonotapie"/>
        <w:rPr>
          <w:b/>
          <w:lang w:val="es-CR"/>
        </w:rPr>
      </w:pPr>
      <w:r>
        <w:rPr>
          <w:rStyle w:val="Refdenotaalpie"/>
        </w:rPr>
        <w:footnoteRef/>
      </w:r>
      <w:r>
        <w:rPr>
          <w:lang w:val="es-CR"/>
        </w:rPr>
        <w:t xml:space="preserve"> </w:t>
      </w:r>
      <w:r>
        <w:rPr>
          <w:lang w:val="es-CR"/>
        </w:rPr>
        <w:tab/>
      </w:r>
      <w:r>
        <w:rPr>
          <w:i/>
          <w:lang w:val="es-CO"/>
        </w:rPr>
        <w:t>Cfr</w:t>
      </w:r>
      <w:r w:rsidRPr="00896673">
        <w:rPr>
          <w:lang w:val="es-CO"/>
        </w:rPr>
        <w:t xml:space="preserve">. </w:t>
      </w:r>
      <w:r w:rsidRPr="00896673">
        <w:rPr>
          <w:i/>
          <w:lang w:val="es-CO"/>
        </w:rPr>
        <w:t>Caso Cinco Pensionistas Vs. Perú. Supervisión de cumplimiento de Sentencia</w:t>
      </w:r>
      <w:r w:rsidRPr="00896673">
        <w:rPr>
          <w:lang w:val="es-CO"/>
        </w:rPr>
        <w:t xml:space="preserve">. Resolución de la Corte </w:t>
      </w:r>
      <w:r w:rsidR="00575E9A">
        <w:rPr>
          <w:lang w:val="es-CO"/>
        </w:rPr>
        <w:t xml:space="preserve">Interamericana de Derechos Humanos </w:t>
      </w:r>
      <w:r w:rsidRPr="00896673">
        <w:rPr>
          <w:lang w:val="es-CO"/>
        </w:rPr>
        <w:t xml:space="preserve">de 17 </w:t>
      </w:r>
      <w:r w:rsidRPr="00896673">
        <w:rPr>
          <w:lang w:val="es-CR"/>
        </w:rPr>
        <w:t>de</w:t>
      </w:r>
      <w:r w:rsidRPr="00896673">
        <w:rPr>
          <w:lang w:val="es-CO"/>
        </w:rPr>
        <w:t xml:space="preserve"> noviembre de 2004, Considerando 5, y </w:t>
      </w:r>
      <w:r w:rsidRPr="002D0815">
        <w:rPr>
          <w:rStyle w:val="Textoennegrita"/>
          <w:b w:val="0"/>
          <w:i/>
          <w:color w:val="000000"/>
          <w:szCs w:val="16"/>
          <w:shd w:val="clear" w:color="auto" w:fill="FFFFFF"/>
          <w:lang w:val="es-ES"/>
        </w:rPr>
        <w:t xml:space="preserve">Caso </w:t>
      </w:r>
      <w:r w:rsidR="00575E9A">
        <w:rPr>
          <w:rStyle w:val="Textoennegrita"/>
          <w:b w:val="0"/>
          <w:i/>
          <w:color w:val="000000"/>
          <w:szCs w:val="16"/>
          <w:shd w:val="clear" w:color="auto" w:fill="FFFFFF"/>
          <w:lang w:val="es-ES"/>
        </w:rPr>
        <w:t xml:space="preserve">Valle </w:t>
      </w:r>
      <w:proofErr w:type="spellStart"/>
      <w:r w:rsidR="00575E9A">
        <w:rPr>
          <w:rStyle w:val="Textoennegrita"/>
          <w:b w:val="0"/>
          <w:i/>
          <w:color w:val="000000"/>
          <w:szCs w:val="16"/>
          <w:shd w:val="clear" w:color="auto" w:fill="FFFFFF"/>
          <w:lang w:val="es-ES"/>
        </w:rPr>
        <w:t>Jaraillo</w:t>
      </w:r>
      <w:proofErr w:type="spellEnd"/>
      <w:r w:rsidR="00575E9A">
        <w:rPr>
          <w:rStyle w:val="Textoennegrita"/>
          <w:b w:val="0"/>
          <w:i/>
          <w:color w:val="000000"/>
          <w:szCs w:val="16"/>
          <w:shd w:val="clear" w:color="auto" w:fill="FFFFFF"/>
          <w:lang w:val="es-ES"/>
        </w:rPr>
        <w:t xml:space="preserve"> y otros Vs. Colombia. </w:t>
      </w:r>
      <w:r w:rsidR="00575E9A">
        <w:rPr>
          <w:rStyle w:val="Textoennegrita"/>
          <w:b w:val="0"/>
          <w:color w:val="000000"/>
          <w:szCs w:val="16"/>
          <w:shd w:val="clear" w:color="auto" w:fill="FFFFFF"/>
          <w:lang w:val="es-ES"/>
        </w:rPr>
        <w:t xml:space="preserve">Resolución de la Corte </w:t>
      </w:r>
      <w:proofErr w:type="spellStart"/>
      <w:r w:rsidR="00575E9A">
        <w:rPr>
          <w:rStyle w:val="Textoennegrita"/>
          <w:b w:val="0"/>
          <w:color w:val="000000"/>
          <w:szCs w:val="16"/>
          <w:shd w:val="clear" w:color="auto" w:fill="FFFFFF"/>
          <w:lang w:val="es-ES"/>
        </w:rPr>
        <w:t>Intramericana</w:t>
      </w:r>
      <w:proofErr w:type="spellEnd"/>
      <w:r w:rsidR="00575E9A">
        <w:rPr>
          <w:rStyle w:val="Textoennegrita"/>
          <w:b w:val="0"/>
          <w:color w:val="000000"/>
          <w:szCs w:val="16"/>
          <w:shd w:val="clear" w:color="auto" w:fill="FFFFFF"/>
          <w:lang w:val="es-ES"/>
        </w:rPr>
        <w:t xml:space="preserve"> de Derechos Humanos de </w:t>
      </w:r>
      <w:r w:rsidR="00575E9A" w:rsidRPr="00575E9A">
        <w:rPr>
          <w:lang w:val="es-CR"/>
        </w:rPr>
        <w:t>1 de junio de 2020, Considerando 2.</w:t>
      </w:r>
    </w:p>
  </w:footnote>
  <w:footnote w:id="11">
    <w:p w14:paraId="31580180" w14:textId="5C773197" w:rsidR="00EB7C26" w:rsidRDefault="00EB7C26" w:rsidP="00260226">
      <w:pPr>
        <w:pStyle w:val="Textonotapie"/>
        <w:rPr>
          <w:rFonts w:ascii="Calibri" w:hAnsi="Calibri"/>
          <w:sz w:val="20"/>
          <w:lang w:val="es-CR"/>
        </w:rPr>
      </w:pPr>
      <w:r>
        <w:rPr>
          <w:rStyle w:val="Refdenotaalpie"/>
        </w:rPr>
        <w:footnoteRef/>
      </w:r>
      <w:r>
        <w:rPr>
          <w:lang w:val="es-CR"/>
        </w:rPr>
        <w:t xml:space="preserve"> </w:t>
      </w:r>
      <w:r>
        <w:rPr>
          <w:lang w:val="es-CR"/>
        </w:rPr>
        <w:tab/>
      </w:r>
      <w:r>
        <w:rPr>
          <w:i/>
          <w:szCs w:val="16"/>
          <w:lang w:val="es-CR"/>
        </w:rPr>
        <w:t>Cfr. Caso Ivcher Bronstein Vs. Perú. Competencia</w:t>
      </w:r>
      <w:r>
        <w:rPr>
          <w:szCs w:val="16"/>
          <w:lang w:val="es-CR"/>
        </w:rPr>
        <w:t xml:space="preserve">. Sentencia de la Corte Interamericana de Derechos Humanos de 24 de </w:t>
      </w:r>
      <w:r>
        <w:rPr>
          <w:lang w:val="es-CR"/>
        </w:rPr>
        <w:t>septiembre</w:t>
      </w:r>
      <w:r>
        <w:rPr>
          <w:szCs w:val="16"/>
          <w:lang w:val="es-CR"/>
        </w:rPr>
        <w:t xml:space="preserve"> de 1999. Serie C No. 54, párr. 37, </w:t>
      </w:r>
      <w:r>
        <w:rPr>
          <w:szCs w:val="16"/>
          <w:lang w:val="es-ES"/>
        </w:rPr>
        <w:t xml:space="preserve">y </w:t>
      </w:r>
      <w:r w:rsidR="00575E9A">
        <w:rPr>
          <w:rStyle w:val="Textoennegrita"/>
          <w:b w:val="0"/>
          <w:i/>
          <w:color w:val="000000"/>
          <w:szCs w:val="16"/>
          <w:shd w:val="clear" w:color="auto" w:fill="FFFFFF"/>
          <w:lang w:val="es-ES"/>
        </w:rPr>
        <w:t xml:space="preserve">Caso Valle </w:t>
      </w:r>
      <w:proofErr w:type="spellStart"/>
      <w:r w:rsidR="00575E9A">
        <w:rPr>
          <w:rStyle w:val="Textoennegrita"/>
          <w:b w:val="0"/>
          <w:i/>
          <w:color w:val="000000"/>
          <w:szCs w:val="16"/>
          <w:shd w:val="clear" w:color="auto" w:fill="FFFFFF"/>
          <w:lang w:val="es-ES"/>
        </w:rPr>
        <w:t>Jaraillo</w:t>
      </w:r>
      <w:proofErr w:type="spellEnd"/>
      <w:r w:rsidR="00575E9A">
        <w:rPr>
          <w:rStyle w:val="Textoennegrita"/>
          <w:b w:val="0"/>
          <w:i/>
          <w:color w:val="000000"/>
          <w:szCs w:val="16"/>
          <w:shd w:val="clear" w:color="auto" w:fill="FFFFFF"/>
          <w:lang w:val="es-ES"/>
        </w:rPr>
        <w:t xml:space="preserve"> y otros Vs. Colombia</w:t>
      </w:r>
      <w:r w:rsidRPr="002D0815">
        <w:rPr>
          <w:rStyle w:val="Textoennegrita"/>
          <w:b w:val="0"/>
          <w:i/>
          <w:color w:val="000000"/>
          <w:szCs w:val="16"/>
          <w:shd w:val="clear" w:color="auto" w:fill="FFFFFF"/>
          <w:lang w:val="es-ES"/>
        </w:rPr>
        <w:t xml:space="preserve">, supra </w:t>
      </w:r>
      <w:r w:rsidR="00575E9A">
        <w:rPr>
          <w:rStyle w:val="Textoennegrita"/>
          <w:b w:val="0"/>
          <w:color w:val="000000"/>
          <w:szCs w:val="16"/>
          <w:shd w:val="clear" w:color="auto" w:fill="FFFFFF"/>
          <w:lang w:val="es-ES"/>
        </w:rPr>
        <w:t>nota 8</w:t>
      </w:r>
      <w:r w:rsidRPr="002D0815">
        <w:rPr>
          <w:rStyle w:val="Textoennegrita"/>
          <w:b w:val="0"/>
          <w:color w:val="000000"/>
          <w:szCs w:val="16"/>
          <w:shd w:val="clear" w:color="auto" w:fill="FFFFFF"/>
          <w:lang w:val="es-ES"/>
        </w:rPr>
        <w:t>, Considerando 2.</w:t>
      </w:r>
    </w:p>
  </w:footnote>
  <w:footnote w:id="12">
    <w:p w14:paraId="630C5EBE" w14:textId="27C2D3A0" w:rsidR="00712460" w:rsidRPr="00712460" w:rsidRDefault="00712460">
      <w:pPr>
        <w:pStyle w:val="Textonotapie"/>
        <w:rPr>
          <w:i/>
          <w:lang w:val="es-CR"/>
        </w:rPr>
      </w:pPr>
      <w:r>
        <w:rPr>
          <w:rStyle w:val="Refdenotaalpie"/>
        </w:rPr>
        <w:footnoteRef/>
      </w:r>
      <w:r w:rsidRPr="00712460">
        <w:rPr>
          <w:lang w:val="es-CR"/>
        </w:rPr>
        <w:t xml:space="preserve"> </w:t>
      </w:r>
      <w:r>
        <w:rPr>
          <w:lang w:val="es-CR"/>
        </w:rPr>
        <w:tab/>
      </w:r>
      <w:r w:rsidRPr="00712460">
        <w:rPr>
          <w:i/>
          <w:lang w:val="es-CR"/>
        </w:rPr>
        <w:t>Cfr. Casos Radilla Pacheco, Fernández Ortega y otros, y Rosendo Cantú y otra Vs. México</w:t>
      </w:r>
      <w:r>
        <w:rPr>
          <w:i/>
          <w:lang w:val="es-CR"/>
        </w:rPr>
        <w:t xml:space="preserve">. Supervisión de cumplimietno de sentencia. </w:t>
      </w:r>
      <w:r w:rsidRPr="00712460">
        <w:rPr>
          <w:lang w:val="es-CR"/>
        </w:rPr>
        <w:t xml:space="preserve">Resolución de la Corte </w:t>
      </w:r>
      <w:r w:rsidRPr="00712460">
        <w:rPr>
          <w:lang w:val="es-CO"/>
        </w:rPr>
        <w:t>Interamericana</w:t>
      </w:r>
      <w:r>
        <w:rPr>
          <w:lang w:val="es-CO"/>
        </w:rPr>
        <w:t xml:space="preserve"> de Derechos Humanos </w:t>
      </w:r>
      <w:r w:rsidRPr="00896673">
        <w:rPr>
          <w:lang w:val="es-CO"/>
        </w:rPr>
        <w:t xml:space="preserve">de 17 </w:t>
      </w:r>
      <w:r w:rsidRPr="00896673">
        <w:rPr>
          <w:lang w:val="es-CR"/>
        </w:rPr>
        <w:t>de</w:t>
      </w:r>
      <w:r>
        <w:rPr>
          <w:lang w:val="es-CO"/>
        </w:rPr>
        <w:t xml:space="preserve"> abril de 2015.</w:t>
      </w:r>
    </w:p>
  </w:footnote>
  <w:footnote w:id="13">
    <w:p w14:paraId="213EB69D" w14:textId="6845AC0A" w:rsidR="00432DD5" w:rsidRPr="00A432C9" w:rsidRDefault="00432DD5">
      <w:pPr>
        <w:pStyle w:val="Textonotapie"/>
        <w:rPr>
          <w:lang w:val="es-ES"/>
        </w:rPr>
      </w:pPr>
      <w:r>
        <w:rPr>
          <w:rStyle w:val="Refdenotaalpie"/>
        </w:rPr>
        <w:footnoteRef/>
      </w:r>
      <w:r w:rsidRPr="00432DD5">
        <w:rPr>
          <w:lang w:val="es-ES"/>
        </w:rPr>
        <w:t xml:space="preserve"> </w:t>
      </w:r>
      <w:r w:rsidR="00A432C9">
        <w:rPr>
          <w:lang w:val="es-ES"/>
        </w:rPr>
        <w:tab/>
        <w:t>E</w:t>
      </w:r>
      <w:r w:rsidR="00A432C9" w:rsidRPr="00A432C9">
        <w:rPr>
          <w:lang w:val="es-ES"/>
        </w:rPr>
        <w:t>n la Sentencia, se tuvo por probado que el único proceso judicial con el objetivo exclusivo de investigar las denuncias por la alegada tortura y tratos crueles e inhumanos cometidos en contra de los señores Cabrera y Montiel, fue seguido por los órganos de investigación penal militar, los cuales no eran competentes para conocer de este caso</w:t>
      </w:r>
      <w:r w:rsidR="00A432C9">
        <w:rPr>
          <w:lang w:val="es-ES"/>
        </w:rPr>
        <w:t xml:space="preserve">. </w:t>
      </w:r>
      <w:r w:rsidR="00A432C9" w:rsidRPr="002D0815">
        <w:rPr>
          <w:i/>
          <w:lang w:val="es-AR"/>
        </w:rPr>
        <w:t xml:space="preserve">Cfr. </w:t>
      </w:r>
      <w:r w:rsidR="00A432C9" w:rsidRPr="002D0815">
        <w:rPr>
          <w:i/>
          <w:lang w:val="es-CO"/>
        </w:rPr>
        <w:t>Caso Cabrera García y Montiel Flores Vs. México</w:t>
      </w:r>
      <w:r w:rsidR="00A432C9">
        <w:rPr>
          <w:i/>
          <w:lang w:val="es-CO"/>
        </w:rPr>
        <w:t xml:space="preserve">, supra </w:t>
      </w:r>
      <w:r w:rsidR="00A432C9">
        <w:rPr>
          <w:lang w:val="es-CO"/>
        </w:rPr>
        <w:t>nota 1,</w:t>
      </w:r>
      <w:r w:rsidR="00A432C9" w:rsidRPr="002D0815">
        <w:rPr>
          <w:lang w:val="es-CO"/>
        </w:rPr>
        <w:t xml:space="preserve"> </w:t>
      </w:r>
      <w:r w:rsidR="00A432C9" w:rsidRPr="002D0815">
        <w:rPr>
          <w:lang w:val="es-AR"/>
        </w:rPr>
        <w:t>párrs. 74 a 76, 191 y 194 a 196.</w:t>
      </w:r>
    </w:p>
  </w:footnote>
  <w:footnote w:id="14">
    <w:p w14:paraId="0C2639D7" w14:textId="3A1DD5C7" w:rsidR="00EB7C26" w:rsidRPr="007510A1" w:rsidRDefault="00EB7C26" w:rsidP="00260226">
      <w:pPr>
        <w:pStyle w:val="Textonotapie"/>
        <w:rPr>
          <w:lang w:val="es-CO"/>
        </w:rPr>
      </w:pPr>
      <w:r>
        <w:rPr>
          <w:rStyle w:val="Refdenotaalpie"/>
        </w:rPr>
        <w:footnoteRef/>
      </w:r>
      <w:r w:rsidRPr="007510A1">
        <w:rPr>
          <w:lang w:val="es-CO"/>
        </w:rPr>
        <w:t xml:space="preserve"> </w:t>
      </w:r>
      <w:r>
        <w:rPr>
          <w:lang w:val="es-CO"/>
        </w:rPr>
        <w:tab/>
      </w:r>
      <w:r w:rsidRPr="007510A1">
        <w:rPr>
          <w:lang w:val="es-CO"/>
        </w:rPr>
        <w:t xml:space="preserve">El Estado señaló que “el 15 de julio de 2011, la Procuraduría General de la República, por conducta de la Unidad Especializada en la Investigación de Delitos contra el Ambiente y Previstos </w:t>
      </w:r>
      <w:r>
        <w:rPr>
          <w:lang w:val="es-CO"/>
        </w:rPr>
        <w:t>en Leyes Especiales, inició la A</w:t>
      </w:r>
      <w:r w:rsidRPr="007510A1">
        <w:rPr>
          <w:lang w:val="es-CO"/>
        </w:rPr>
        <w:t xml:space="preserve">veriguación </w:t>
      </w:r>
      <w:r>
        <w:rPr>
          <w:lang w:val="es-CO"/>
        </w:rPr>
        <w:t>P</w:t>
      </w:r>
      <w:r w:rsidRPr="007510A1">
        <w:rPr>
          <w:lang w:val="es-CO"/>
        </w:rPr>
        <w:t xml:space="preserve">revia 173/UEIDAPLE/LE/12/2011 en la que investiga […] </w:t>
      </w:r>
      <w:r w:rsidRPr="00B11089">
        <w:rPr>
          <w:lang w:val="es-CO"/>
        </w:rPr>
        <w:t>delitos previstos en la Ley Federal p</w:t>
      </w:r>
      <w:r w:rsidRPr="007510A1">
        <w:rPr>
          <w:lang w:val="es-CO"/>
        </w:rPr>
        <w:t>ara Prevenir y Sancionar la Tortura, en agravio de Teodoro Cabrera García y Rodolfo Montiel Flores”. Informó que “la indagatoria se enc</w:t>
      </w:r>
      <w:r>
        <w:rPr>
          <w:lang w:val="es-CO"/>
        </w:rPr>
        <w:t>[ontraba]</w:t>
      </w:r>
      <w:r w:rsidRPr="007510A1">
        <w:rPr>
          <w:lang w:val="es-CO"/>
        </w:rPr>
        <w:t xml:space="preserve"> en curso”</w:t>
      </w:r>
      <w:r>
        <w:rPr>
          <w:lang w:val="es-CO"/>
        </w:rPr>
        <w:t xml:space="preserve">, e indicó que había ordenado la integración del expediente con copias de los expedientes relativos a los procesos llevados en contra de las víctimas. </w:t>
      </w:r>
    </w:p>
  </w:footnote>
  <w:footnote w:id="15">
    <w:p w14:paraId="7D0954A0" w14:textId="076DD9DD" w:rsidR="00EB7C26" w:rsidRPr="00F91CAC" w:rsidRDefault="00EB7C26" w:rsidP="00260226">
      <w:pPr>
        <w:pStyle w:val="Textonotapie"/>
        <w:rPr>
          <w:lang w:val="es-AR"/>
        </w:rPr>
      </w:pPr>
      <w:r>
        <w:rPr>
          <w:rStyle w:val="Refdenotaalpie"/>
        </w:rPr>
        <w:footnoteRef/>
      </w:r>
      <w:r w:rsidRPr="00F91CAC">
        <w:rPr>
          <w:lang w:val="es-AR"/>
        </w:rPr>
        <w:t xml:space="preserve"> </w:t>
      </w:r>
      <w:r>
        <w:rPr>
          <w:lang w:val="es-AR"/>
        </w:rPr>
        <w:tab/>
        <w:t>Al momento de los hechos, los referidos militares ostentaban los cargos de Capitán Segundo, Sargento Segundo, Cabo y Teniente Coronel. De acuerdo a lo informado por el Estado, los primeros tres ya no forman parte de la fuer</w:t>
      </w:r>
      <w:r w:rsidR="00C8317D">
        <w:rPr>
          <w:lang w:val="es-AR"/>
        </w:rPr>
        <w:t>za, mientras que el último, sí.</w:t>
      </w:r>
      <w:r>
        <w:rPr>
          <w:b/>
          <w:lang w:val="es-AR"/>
        </w:rPr>
        <w:t xml:space="preserve"> </w:t>
      </w:r>
      <w:r>
        <w:rPr>
          <w:i/>
          <w:lang w:val="es-AR"/>
        </w:rPr>
        <w:t xml:space="preserve">Cfr. </w:t>
      </w:r>
      <w:r>
        <w:rPr>
          <w:lang w:val="es-AR"/>
        </w:rPr>
        <w:t>In</w:t>
      </w:r>
      <w:r w:rsidR="00C8317D">
        <w:rPr>
          <w:lang w:val="es-AR"/>
        </w:rPr>
        <w:t>forme estatal de 14 de diciembre</w:t>
      </w:r>
      <w:r>
        <w:rPr>
          <w:lang w:val="es-AR"/>
        </w:rPr>
        <w:t xml:space="preserve"> de 2013. </w:t>
      </w:r>
    </w:p>
  </w:footnote>
  <w:footnote w:id="16">
    <w:p w14:paraId="2E743FDA" w14:textId="670D4AB4" w:rsidR="00EB7C26" w:rsidRPr="00251822" w:rsidRDefault="00EB7C26" w:rsidP="00260226">
      <w:pPr>
        <w:pStyle w:val="Textonotapie"/>
        <w:rPr>
          <w:lang w:val="es-AR"/>
        </w:rPr>
      </w:pPr>
      <w:r>
        <w:rPr>
          <w:rStyle w:val="Refdenotaalpie"/>
        </w:rPr>
        <w:footnoteRef/>
      </w:r>
      <w:r w:rsidRPr="00C34E5B">
        <w:rPr>
          <w:lang w:val="es-AR"/>
        </w:rPr>
        <w:t xml:space="preserve"> </w:t>
      </w:r>
      <w:r>
        <w:rPr>
          <w:lang w:val="es-AR"/>
        </w:rPr>
        <w:tab/>
        <w:t xml:space="preserve">El Estado refirió que el militar que detentaba el grado de Teniente Coronel compareció </w:t>
      </w:r>
      <w:r w:rsidRPr="00DF064F">
        <w:rPr>
          <w:szCs w:val="16"/>
          <w:lang w:val="es-CO"/>
        </w:rPr>
        <w:t>el 30 de agosto de 2013</w:t>
      </w:r>
      <w:r>
        <w:rPr>
          <w:szCs w:val="16"/>
          <w:lang w:val="es-CO"/>
        </w:rPr>
        <w:t xml:space="preserve"> ante la Procuraduría General de la República, y “</w:t>
      </w:r>
      <w:r w:rsidRPr="00DF064F">
        <w:rPr>
          <w:szCs w:val="16"/>
          <w:lang w:val="es-CO"/>
        </w:rPr>
        <w:t>se reservó su derecho a declarar para hacerlo con posterioridad</w:t>
      </w:r>
      <w:r>
        <w:rPr>
          <w:szCs w:val="16"/>
          <w:lang w:val="es-CO"/>
        </w:rPr>
        <w:t>, [así como]</w:t>
      </w:r>
      <w:r w:rsidRPr="00DF064F">
        <w:rPr>
          <w:szCs w:val="16"/>
          <w:lang w:val="es-CO"/>
        </w:rPr>
        <w:t xml:space="preserve"> su derecho a contestar</w:t>
      </w:r>
      <w:r>
        <w:rPr>
          <w:szCs w:val="16"/>
          <w:lang w:val="es-CO"/>
        </w:rPr>
        <w:t xml:space="preserve"> las preguntas que le fueron formuladas por el agente del Ministerio Público de la Federación, por lo que a la fecha no se ha presentado su declaración”</w:t>
      </w:r>
      <w:r w:rsidRPr="00DF064F">
        <w:rPr>
          <w:szCs w:val="16"/>
          <w:lang w:val="es-CO"/>
        </w:rPr>
        <w:t xml:space="preserve">. </w:t>
      </w:r>
      <w:r>
        <w:rPr>
          <w:i/>
          <w:szCs w:val="16"/>
          <w:lang w:val="es-CO"/>
        </w:rPr>
        <w:t xml:space="preserve">Cfr. </w:t>
      </w:r>
      <w:r>
        <w:rPr>
          <w:szCs w:val="16"/>
          <w:lang w:val="es-CO"/>
        </w:rPr>
        <w:t xml:space="preserve">Informe estatal de </w:t>
      </w:r>
      <w:r w:rsidR="00D045DC">
        <w:rPr>
          <w:szCs w:val="16"/>
          <w:lang w:val="es-CO"/>
        </w:rPr>
        <w:t>14 de diciembre</w:t>
      </w:r>
      <w:r>
        <w:rPr>
          <w:szCs w:val="16"/>
          <w:lang w:val="es-CO"/>
        </w:rPr>
        <w:t xml:space="preserve"> de 2013. Asimismo, informó que el militar que detentaba el grado de Capitán Segundo </w:t>
      </w:r>
      <w:r w:rsidRPr="00DF064F">
        <w:rPr>
          <w:szCs w:val="16"/>
          <w:lang w:val="es-CR"/>
        </w:rPr>
        <w:t>compareció</w:t>
      </w:r>
      <w:r w:rsidRPr="00DF064F">
        <w:rPr>
          <w:szCs w:val="16"/>
          <w:lang w:val="es-CO"/>
        </w:rPr>
        <w:t xml:space="preserve"> </w:t>
      </w:r>
      <w:r w:rsidRPr="00DF064F">
        <w:rPr>
          <w:szCs w:val="16"/>
          <w:lang w:val="es-CR"/>
        </w:rPr>
        <w:t>el 25 de junio de 2014 ante el Ministerio Público</w:t>
      </w:r>
      <w:r>
        <w:rPr>
          <w:szCs w:val="16"/>
          <w:lang w:val="es-CR"/>
        </w:rPr>
        <w:t xml:space="preserve">. </w:t>
      </w:r>
      <w:r>
        <w:rPr>
          <w:i/>
          <w:szCs w:val="16"/>
          <w:lang w:val="es-CR"/>
        </w:rPr>
        <w:t xml:space="preserve">Cfr. </w:t>
      </w:r>
      <w:r>
        <w:rPr>
          <w:szCs w:val="16"/>
          <w:lang w:val="es-CR"/>
        </w:rPr>
        <w:t xml:space="preserve">Informe estatal de 17 de octubre de 2014. Al respecto, los representantes refirieron que éste último también se había reservado su derecho a declarar. </w:t>
      </w:r>
      <w:r>
        <w:rPr>
          <w:i/>
          <w:szCs w:val="16"/>
          <w:lang w:val="es-CR"/>
        </w:rPr>
        <w:t xml:space="preserve">Cfr. </w:t>
      </w:r>
      <w:r>
        <w:rPr>
          <w:szCs w:val="16"/>
          <w:lang w:val="es-CR"/>
        </w:rPr>
        <w:t>Escrito de observaciones de los representantes de 24 de julio de 2014. Finalmente, en su informe de 16 de agosto de 2016, el Estado refirió, en forma genérica, que había realizado “veinte comparecencias mini</w:t>
      </w:r>
      <w:r w:rsidRPr="00251822">
        <w:rPr>
          <w:szCs w:val="16"/>
          <w:lang w:val="es-CR"/>
        </w:rPr>
        <w:t>steriales</w:t>
      </w:r>
      <w:r w:rsidR="00033AA7">
        <w:rPr>
          <w:szCs w:val="16"/>
          <w:lang w:val="es-CR"/>
        </w:rPr>
        <w:t>”</w:t>
      </w:r>
      <w:r w:rsidRPr="00251822">
        <w:rPr>
          <w:szCs w:val="16"/>
          <w:lang w:val="es-CR"/>
        </w:rPr>
        <w:t xml:space="preserve">, entre las que </w:t>
      </w:r>
      <w:r w:rsidR="00033AA7">
        <w:rPr>
          <w:szCs w:val="16"/>
          <w:lang w:val="es-CR"/>
        </w:rPr>
        <w:t>se encontraban</w:t>
      </w:r>
      <w:r w:rsidRPr="00251822">
        <w:rPr>
          <w:szCs w:val="16"/>
          <w:lang w:val="es-CR"/>
        </w:rPr>
        <w:t xml:space="preserve"> </w:t>
      </w:r>
      <w:r w:rsidR="00033AA7">
        <w:rPr>
          <w:szCs w:val="16"/>
          <w:lang w:val="es-CR"/>
        </w:rPr>
        <w:t>“</w:t>
      </w:r>
      <w:r w:rsidRPr="00251822">
        <w:rPr>
          <w:szCs w:val="16"/>
          <w:lang w:val="es-CR"/>
        </w:rPr>
        <w:t>[l]los probables responsables, quienes se reservaron su derecho a declarar”</w:t>
      </w:r>
      <w:r>
        <w:rPr>
          <w:szCs w:val="16"/>
          <w:lang w:val="es-CR"/>
        </w:rPr>
        <w:t>, sin especificar de qué personas se trataba</w:t>
      </w:r>
      <w:r w:rsidRPr="00251822">
        <w:rPr>
          <w:szCs w:val="16"/>
          <w:lang w:val="es-CR"/>
        </w:rPr>
        <w:t>. A la fecha</w:t>
      </w:r>
      <w:r w:rsidR="00F0139A">
        <w:rPr>
          <w:szCs w:val="16"/>
          <w:lang w:val="es-CR"/>
        </w:rPr>
        <w:t xml:space="preserve"> de adopción de la presente Resolución</w:t>
      </w:r>
      <w:r w:rsidRPr="00251822">
        <w:rPr>
          <w:szCs w:val="16"/>
          <w:lang w:val="es-CR"/>
        </w:rPr>
        <w:t xml:space="preserve">, </w:t>
      </w:r>
      <w:r w:rsidR="00F0139A">
        <w:rPr>
          <w:szCs w:val="16"/>
          <w:lang w:val="es-CR"/>
        </w:rPr>
        <w:t>l</w:t>
      </w:r>
      <w:r w:rsidRPr="00251822">
        <w:rPr>
          <w:szCs w:val="16"/>
          <w:lang w:val="es-CR"/>
        </w:rPr>
        <w:t xml:space="preserve">a Corte no cuenta con información posterior que indique si las referidas personas comparecieron nuevamente. </w:t>
      </w:r>
    </w:p>
  </w:footnote>
  <w:footnote w:id="17">
    <w:p w14:paraId="3CC25F91" w14:textId="30FE0ABF" w:rsidR="00EB7C26" w:rsidRPr="00251822" w:rsidRDefault="00EB7C26" w:rsidP="00260226">
      <w:pPr>
        <w:pStyle w:val="Textonotapie"/>
        <w:rPr>
          <w:lang w:val="es-AR"/>
        </w:rPr>
      </w:pPr>
      <w:r w:rsidRPr="00251822">
        <w:rPr>
          <w:rStyle w:val="Refdenotaalpie"/>
        </w:rPr>
        <w:footnoteRef/>
      </w:r>
      <w:r w:rsidRPr="00251822">
        <w:rPr>
          <w:lang w:val="es-AR"/>
        </w:rPr>
        <w:t xml:space="preserve"> </w:t>
      </w:r>
      <w:r w:rsidRPr="00251822">
        <w:rPr>
          <w:lang w:val="es-AR"/>
        </w:rPr>
        <w:tab/>
        <w:t xml:space="preserve">El Estado informó que “[e]l 17 de febrero de 2015, se reiteró a la Policía Federal Ministerial la solicitud para que […] investigue y recabe el acta de defunción” del </w:t>
      </w:r>
      <w:r>
        <w:rPr>
          <w:lang w:val="es-AR"/>
        </w:rPr>
        <w:t xml:space="preserve">agente que detentaba el grado de </w:t>
      </w:r>
      <w:r w:rsidRPr="00251822">
        <w:rPr>
          <w:lang w:val="es-AR"/>
        </w:rPr>
        <w:t>Cabo</w:t>
      </w:r>
      <w:r>
        <w:rPr>
          <w:lang w:val="es-AR"/>
        </w:rPr>
        <w:t>,</w:t>
      </w:r>
      <w:r w:rsidRPr="00251822">
        <w:rPr>
          <w:lang w:val="es-AR"/>
        </w:rPr>
        <w:t xml:space="preserve"> señalado como probable responsable. </w:t>
      </w:r>
      <w:r w:rsidRPr="00B944AF">
        <w:rPr>
          <w:i/>
          <w:lang w:val="es-AR"/>
        </w:rPr>
        <w:t>Cfr.</w:t>
      </w:r>
      <w:r>
        <w:rPr>
          <w:b/>
          <w:lang w:val="es-AR"/>
        </w:rPr>
        <w:t xml:space="preserve"> </w:t>
      </w:r>
      <w:r w:rsidRPr="00251822">
        <w:rPr>
          <w:lang w:val="es-AR"/>
        </w:rPr>
        <w:t>Informe estatal de 10 de abril de 2015. A la fecha</w:t>
      </w:r>
      <w:r w:rsidR="006D11C7">
        <w:rPr>
          <w:lang w:val="es-AR"/>
        </w:rPr>
        <w:t xml:space="preserve"> </w:t>
      </w:r>
      <w:r w:rsidR="006D11C7">
        <w:rPr>
          <w:szCs w:val="16"/>
          <w:lang w:val="es-CR"/>
        </w:rPr>
        <w:t>de adopción de la presente Resolución</w:t>
      </w:r>
      <w:r w:rsidRPr="00251822">
        <w:rPr>
          <w:lang w:val="es-AR"/>
        </w:rPr>
        <w:t xml:space="preserve">, la Corte no cuenta con información actualizada sobre el resultado de dicha solicitud. </w:t>
      </w:r>
    </w:p>
  </w:footnote>
  <w:footnote w:id="18">
    <w:p w14:paraId="07D9218F" w14:textId="2977AFA3" w:rsidR="00EB7C26" w:rsidRPr="00114A36" w:rsidRDefault="00EB7C26" w:rsidP="00260226">
      <w:pPr>
        <w:pStyle w:val="Textonotapie"/>
        <w:rPr>
          <w:lang w:val="es-AR"/>
        </w:rPr>
      </w:pPr>
      <w:r w:rsidRPr="00251822">
        <w:rPr>
          <w:rStyle w:val="Refdenotaalpie"/>
        </w:rPr>
        <w:footnoteRef/>
      </w:r>
      <w:r w:rsidRPr="00251822">
        <w:rPr>
          <w:lang w:val="es-AR"/>
        </w:rPr>
        <w:t xml:space="preserve"> </w:t>
      </w:r>
      <w:r w:rsidRPr="00251822">
        <w:rPr>
          <w:lang w:val="es-AR"/>
        </w:rPr>
        <w:tab/>
        <w:t>El Estado refirió que</w:t>
      </w:r>
      <w:r>
        <w:rPr>
          <w:lang w:val="es-AR"/>
        </w:rPr>
        <w:t>,</w:t>
      </w:r>
      <w:r w:rsidRPr="00251822">
        <w:rPr>
          <w:lang w:val="es-AR"/>
        </w:rPr>
        <w:t xml:space="preserve"> según la información</w:t>
      </w:r>
      <w:r>
        <w:rPr>
          <w:lang w:val="es-AR"/>
        </w:rPr>
        <w:t xml:space="preserve"> remitida por la Secretaría de Defensa Nacional, el</w:t>
      </w:r>
      <w:r w:rsidRPr="009975C0">
        <w:rPr>
          <w:lang w:val="es-AR"/>
        </w:rPr>
        <w:t xml:space="preserve"> </w:t>
      </w:r>
      <w:r>
        <w:rPr>
          <w:lang w:val="es-AR"/>
        </w:rPr>
        <w:t xml:space="preserve">agente que detentaba el grado de Capitán Segundo, señalado como probable responsable, ya no era militar activo, por lo que “se llevó a cabo su localización por medio de la Policía Federal Ministerial”. El 19 de septiembre de 2013, la Policía Federal Ministerial informó que no había sido posible localizarlo, ratificando dicha información el 24 de noviembre de 2013. El 5 de febrero de 2014, la autoridad a cargo de la investigación giró oficios al Instituto Federal Electoral, al Instituto Mexicano del Seguro Social y a la Secretaría de Relaciones Exteriores, solicitando que se informara su domicilio. El Instituto de Seguridad Social remitió información que indicaba que esta persona había trabajado en una empresa, por lo que el 19 de febrero de 2014 se giró oficio a dicha empresa, solicitando que se informara </w:t>
      </w:r>
      <w:r w:rsidR="00685513">
        <w:rPr>
          <w:lang w:val="es-AR"/>
        </w:rPr>
        <w:t>su</w:t>
      </w:r>
      <w:r>
        <w:rPr>
          <w:lang w:val="es-AR"/>
        </w:rPr>
        <w:t xml:space="preserve"> domicilio. E</w:t>
      </w:r>
      <w:r w:rsidRPr="00114A36">
        <w:rPr>
          <w:lang w:val="es-AR"/>
        </w:rPr>
        <w:t>l 16 de junio de 2014</w:t>
      </w:r>
      <w:r>
        <w:rPr>
          <w:lang w:val="es-AR"/>
        </w:rPr>
        <w:t>, la empresa respondió</w:t>
      </w:r>
      <w:r w:rsidRPr="00114A36">
        <w:rPr>
          <w:lang w:val="es-AR"/>
        </w:rPr>
        <w:t xml:space="preserve"> que no contaba con dicha información. </w:t>
      </w:r>
      <w:r>
        <w:rPr>
          <w:lang w:val="es-AR"/>
        </w:rPr>
        <w:t xml:space="preserve">Paralelamente, el 1 de abril de 2014, la Unidad Especializada </w:t>
      </w:r>
      <w:r w:rsidRPr="007510A1">
        <w:rPr>
          <w:lang w:val="es-CO"/>
        </w:rPr>
        <w:t xml:space="preserve">en la Investigación de Delitos contra el Ambiente y Previstos </w:t>
      </w:r>
      <w:r>
        <w:rPr>
          <w:lang w:val="es-CO"/>
        </w:rPr>
        <w:t>en Leyes Especiales</w:t>
      </w:r>
      <w:r>
        <w:rPr>
          <w:lang w:val="es-AR"/>
        </w:rPr>
        <w:t xml:space="preserve"> envió un oficio a la Policía Federal Ministerial solicitando su búsqueda y localización. </w:t>
      </w:r>
      <w:r>
        <w:rPr>
          <w:i/>
          <w:lang w:val="es-AR"/>
        </w:rPr>
        <w:t xml:space="preserve">Cfr. </w:t>
      </w:r>
      <w:r>
        <w:rPr>
          <w:lang w:val="es-AR"/>
        </w:rPr>
        <w:t xml:space="preserve">Informes estatales de 23 de diciembre de 2013 y 18 de marzo, 17 de junio y 17 de octubre de 2014. La Corte no cuenta con información posterior </w:t>
      </w:r>
      <w:r w:rsidR="00685513">
        <w:rPr>
          <w:lang w:val="es-AR"/>
        </w:rPr>
        <w:t xml:space="preserve">a esa última fecha </w:t>
      </w:r>
      <w:r>
        <w:rPr>
          <w:lang w:val="es-AR"/>
        </w:rPr>
        <w:t xml:space="preserve">respecto de la búsqueda o localización del agente militar que detentaba el cargo de Capitán Segundo, señalado como probable responsable. </w:t>
      </w:r>
    </w:p>
  </w:footnote>
  <w:footnote w:id="19">
    <w:p w14:paraId="78C838C6" w14:textId="77777777" w:rsidR="00EB7C26" w:rsidRPr="00143DFB" w:rsidRDefault="00EB7C26" w:rsidP="00D8284C">
      <w:pPr>
        <w:pStyle w:val="Textonotapie"/>
        <w:rPr>
          <w:lang w:val="es-CR"/>
        </w:rPr>
      </w:pPr>
      <w:r>
        <w:rPr>
          <w:rStyle w:val="Refdenotaalpie"/>
        </w:rPr>
        <w:footnoteRef/>
      </w:r>
      <w:r w:rsidRPr="00143DFB">
        <w:rPr>
          <w:lang w:val="es-CR"/>
        </w:rPr>
        <w:t xml:space="preserve"> </w:t>
      </w:r>
      <w:r>
        <w:rPr>
          <w:lang w:val="es-CR"/>
        </w:rPr>
        <w:tab/>
      </w:r>
      <w:r>
        <w:rPr>
          <w:i/>
          <w:lang w:val="es-AR"/>
        </w:rPr>
        <w:t xml:space="preserve">Cfr. </w:t>
      </w:r>
      <w:r>
        <w:rPr>
          <w:lang w:val="es-AR"/>
        </w:rPr>
        <w:t>Informe estatal de 18 de marzo de 2014.</w:t>
      </w:r>
    </w:p>
  </w:footnote>
  <w:footnote w:id="20">
    <w:p w14:paraId="34370B2D" w14:textId="75C4005D" w:rsidR="00EB7C26" w:rsidRPr="00A6653A" w:rsidRDefault="00EB7C26" w:rsidP="00D8284C">
      <w:pPr>
        <w:pStyle w:val="Textonotapie"/>
        <w:rPr>
          <w:lang w:val="es-CR"/>
        </w:rPr>
      </w:pPr>
      <w:r>
        <w:rPr>
          <w:rStyle w:val="Refdenotaalpie"/>
        </w:rPr>
        <w:footnoteRef/>
      </w:r>
      <w:r w:rsidRPr="00A6653A">
        <w:rPr>
          <w:lang w:val="es-CR"/>
        </w:rPr>
        <w:t xml:space="preserve"> </w:t>
      </w:r>
      <w:r>
        <w:rPr>
          <w:lang w:val="es-CR"/>
        </w:rPr>
        <w:tab/>
      </w:r>
      <w:r>
        <w:rPr>
          <w:i/>
          <w:lang w:val="es-AR"/>
        </w:rPr>
        <w:t xml:space="preserve">Cfr. </w:t>
      </w:r>
      <w:r>
        <w:rPr>
          <w:lang w:val="es-AR"/>
        </w:rPr>
        <w:t>Informe estatal de 22 de diciembre de 2014</w:t>
      </w:r>
      <w:r w:rsidR="00A243A2">
        <w:rPr>
          <w:lang w:val="es-AR"/>
        </w:rPr>
        <w:t>.</w:t>
      </w:r>
    </w:p>
  </w:footnote>
  <w:footnote w:id="21">
    <w:p w14:paraId="3EB491F1" w14:textId="18C099D8" w:rsidR="00EB7C26" w:rsidRPr="000E5C2D" w:rsidRDefault="00EB7C26" w:rsidP="00D8284C">
      <w:pPr>
        <w:pStyle w:val="Textonotapie"/>
        <w:rPr>
          <w:lang w:val="es-AR"/>
        </w:rPr>
      </w:pPr>
      <w:r>
        <w:rPr>
          <w:rStyle w:val="Refdenotaalpie"/>
        </w:rPr>
        <w:footnoteRef/>
      </w:r>
      <w:r w:rsidRPr="00785398">
        <w:rPr>
          <w:lang w:val="es-AR"/>
        </w:rPr>
        <w:t xml:space="preserve"> </w:t>
      </w:r>
      <w:r>
        <w:rPr>
          <w:lang w:val="es-AR"/>
        </w:rPr>
        <w:tab/>
        <w:t xml:space="preserve">El 29 de enero de 2014 los representantes remitieron un escrito al Estado informando el nombre de cinco testigos de los hechos, a fin de que se solicite su declaración. </w:t>
      </w:r>
      <w:r>
        <w:rPr>
          <w:i/>
          <w:lang w:val="es-AR"/>
        </w:rPr>
        <w:t xml:space="preserve">Cfr. </w:t>
      </w:r>
      <w:r>
        <w:rPr>
          <w:lang w:val="es-AR"/>
        </w:rPr>
        <w:t>Informe estatal de 18 de marzo de 2014</w:t>
      </w:r>
      <w:r w:rsidR="000E5C2D">
        <w:rPr>
          <w:lang w:val="es-AR"/>
        </w:rPr>
        <w:t>.</w:t>
      </w:r>
    </w:p>
  </w:footnote>
  <w:footnote w:id="22">
    <w:p w14:paraId="304FA72A" w14:textId="13F023E8" w:rsidR="00EB7C26" w:rsidRPr="00A6653A" w:rsidRDefault="00EB7C26" w:rsidP="00D8284C">
      <w:pPr>
        <w:pStyle w:val="Textonotapie"/>
        <w:rPr>
          <w:lang w:val="es-CR"/>
        </w:rPr>
      </w:pPr>
      <w:r>
        <w:rPr>
          <w:rStyle w:val="Refdenotaalpie"/>
        </w:rPr>
        <w:footnoteRef/>
      </w:r>
      <w:r w:rsidRPr="00A6653A">
        <w:rPr>
          <w:lang w:val="es-CR"/>
        </w:rPr>
        <w:t xml:space="preserve"> </w:t>
      </w:r>
      <w:r>
        <w:rPr>
          <w:lang w:val="es-CR"/>
        </w:rPr>
        <w:tab/>
      </w:r>
      <w:r>
        <w:rPr>
          <w:i/>
          <w:lang w:val="es-AR"/>
        </w:rPr>
        <w:t xml:space="preserve">Cfr. </w:t>
      </w:r>
      <w:r w:rsidR="000E5C2D">
        <w:rPr>
          <w:lang w:val="es-AR"/>
        </w:rPr>
        <w:t>Informes estatal</w:t>
      </w:r>
      <w:r>
        <w:rPr>
          <w:lang w:val="es-AR"/>
        </w:rPr>
        <w:t xml:space="preserve"> de 17 de octubre de 2014.</w:t>
      </w:r>
    </w:p>
  </w:footnote>
  <w:footnote w:id="23">
    <w:p w14:paraId="6343812A" w14:textId="46C479B0" w:rsidR="00EB7C26" w:rsidRPr="00907269" w:rsidRDefault="00EB7C26" w:rsidP="00E43D70">
      <w:pPr>
        <w:pStyle w:val="Textonotapie"/>
        <w:rPr>
          <w:lang w:val="es-ES"/>
        </w:rPr>
      </w:pPr>
      <w:r>
        <w:rPr>
          <w:rStyle w:val="Refdenotaalpie"/>
        </w:rPr>
        <w:footnoteRef/>
      </w:r>
      <w:r w:rsidRPr="00907269">
        <w:rPr>
          <w:lang w:val="es-ES"/>
        </w:rPr>
        <w:t xml:space="preserve"> </w:t>
      </w:r>
      <w:r>
        <w:rPr>
          <w:lang w:val="es-ES"/>
        </w:rPr>
        <w:tab/>
      </w:r>
      <w:r>
        <w:rPr>
          <w:lang w:val="es-AR"/>
        </w:rPr>
        <w:t>E</w:t>
      </w:r>
      <w:r w:rsidRPr="00907269">
        <w:rPr>
          <w:lang w:val="es-AR"/>
        </w:rPr>
        <w:t xml:space="preserve">n </w:t>
      </w:r>
      <w:r>
        <w:rPr>
          <w:lang w:val="es-AR"/>
        </w:rPr>
        <w:t xml:space="preserve">su informe de 17 de </w:t>
      </w:r>
      <w:r w:rsidRPr="00907269">
        <w:rPr>
          <w:lang w:val="es-AR"/>
        </w:rPr>
        <w:t>junio de 2014 informó que dos de los cinco testigos señalados por las víctimas h</w:t>
      </w:r>
      <w:r>
        <w:rPr>
          <w:lang w:val="es-AR"/>
        </w:rPr>
        <w:t xml:space="preserve">abían comparecido a declarar; el 17 de octubre de 2014 </w:t>
      </w:r>
      <w:r w:rsidRPr="00907269">
        <w:rPr>
          <w:lang w:val="es-AR"/>
        </w:rPr>
        <w:t>refirió que habían comparecido a declarar otros seis testigos</w:t>
      </w:r>
      <w:r>
        <w:rPr>
          <w:lang w:val="es-AR"/>
        </w:rPr>
        <w:t xml:space="preserve"> </w:t>
      </w:r>
      <w:r w:rsidRPr="00907269">
        <w:rPr>
          <w:lang w:val="es-AR"/>
        </w:rPr>
        <w:t>y, en la audiencia privada de supervisión de cumplimiento de sentencia, cel</w:t>
      </w:r>
      <w:r w:rsidR="00A57DF5">
        <w:rPr>
          <w:lang w:val="es-AR"/>
        </w:rPr>
        <w:t>ebrada el 2 de septiembe de 2016</w:t>
      </w:r>
      <w:r>
        <w:rPr>
          <w:lang w:val="es-AR"/>
        </w:rPr>
        <w:t xml:space="preserve"> (</w:t>
      </w:r>
      <w:r>
        <w:rPr>
          <w:i/>
          <w:lang w:val="es-AR"/>
        </w:rPr>
        <w:t xml:space="preserve">supra </w:t>
      </w:r>
      <w:r>
        <w:rPr>
          <w:lang w:val="es-AR"/>
        </w:rPr>
        <w:t>Visto 6)</w:t>
      </w:r>
      <w:r w:rsidRPr="00907269">
        <w:rPr>
          <w:lang w:val="es-AR"/>
        </w:rPr>
        <w:t>, comunicó que se había realizado la comparecencia ministerial de “quince elementos militares que participaron en el operativo</w:t>
      </w:r>
      <w:r w:rsidR="00A57DF5">
        <w:rPr>
          <w:lang w:val="es-AR"/>
        </w:rPr>
        <w:t xml:space="preserve"> de detención” de las víctimas.</w:t>
      </w:r>
    </w:p>
  </w:footnote>
  <w:footnote w:id="24">
    <w:p w14:paraId="6DA3C9F2" w14:textId="15517439" w:rsidR="00EB7C26" w:rsidRPr="00E43D70" w:rsidRDefault="00EB7C26">
      <w:pPr>
        <w:pStyle w:val="Textonotapie"/>
        <w:rPr>
          <w:lang w:val="es-ES"/>
        </w:rPr>
      </w:pPr>
      <w:r>
        <w:rPr>
          <w:rStyle w:val="Refdenotaalpie"/>
        </w:rPr>
        <w:footnoteRef/>
      </w:r>
      <w:r w:rsidRPr="00E43D70">
        <w:rPr>
          <w:lang w:val="es-ES"/>
        </w:rPr>
        <w:t xml:space="preserve"> </w:t>
      </w:r>
      <w:r>
        <w:rPr>
          <w:lang w:val="es-ES"/>
        </w:rPr>
        <w:tab/>
      </w:r>
      <w:r w:rsidRPr="00E43D70">
        <w:rPr>
          <w:lang w:val="es-AR"/>
        </w:rPr>
        <w:t>Entre octubre de 2014 y septiembre de 2016, el Estado envío varias solicitudes de localización a la Policía Federal Ministerial, así como una solicitud de informar los domicilios de treinta y un testigos al Instituto Nacional Electoral, la cual le fue denegada ya que, según lo explicado por dicho Instituto, éste se encontraba “legalmente […] imposibilitado para remitir la información solicitada”</w:t>
      </w:r>
      <w:r>
        <w:rPr>
          <w:lang w:val="es-AR"/>
        </w:rPr>
        <w:t xml:space="preserve">. </w:t>
      </w:r>
      <w:r>
        <w:rPr>
          <w:i/>
          <w:lang w:val="es-AR"/>
        </w:rPr>
        <w:t xml:space="preserve">Cfr. </w:t>
      </w:r>
      <w:r>
        <w:rPr>
          <w:lang w:val="es-AR"/>
        </w:rPr>
        <w:t>Informe estatal de 22 de diciembre de 2014. Además, México hizo referencia a las siguientes gestiones: “[s]</w:t>
      </w:r>
      <w:r w:rsidRPr="00785398">
        <w:rPr>
          <w:lang w:val="es-AR"/>
        </w:rPr>
        <w:t>e solicitó a la Secretaría de la Defensa Nacional, el nombramiento de diversos</w:t>
      </w:r>
      <w:r>
        <w:rPr>
          <w:lang w:val="es-AR"/>
        </w:rPr>
        <w:t xml:space="preserve"> elementos militares[;] [s]</w:t>
      </w:r>
      <w:r w:rsidRPr="00785398">
        <w:rPr>
          <w:lang w:val="es-AR"/>
        </w:rPr>
        <w:t>e recibió oficio de la Procuraduría General de Justicia Militar, mediante el cual</w:t>
      </w:r>
      <w:r>
        <w:rPr>
          <w:lang w:val="es-AR"/>
        </w:rPr>
        <w:t xml:space="preserve"> </w:t>
      </w:r>
      <w:r w:rsidRPr="00785398">
        <w:rPr>
          <w:lang w:val="es-AR"/>
        </w:rPr>
        <w:t>informa que fueron remitidas diversas constancias en copia certificada de la similar a</w:t>
      </w:r>
      <w:r>
        <w:rPr>
          <w:lang w:val="es-AR"/>
        </w:rPr>
        <w:t xml:space="preserve"> su cargo [;] [s]</w:t>
      </w:r>
      <w:r w:rsidRPr="00785398">
        <w:rPr>
          <w:lang w:val="es-AR"/>
        </w:rPr>
        <w:t>e solicitó a la Policía Federal Ministerial su coadyuvancia para la localización de</w:t>
      </w:r>
      <w:r>
        <w:rPr>
          <w:lang w:val="es-AR"/>
        </w:rPr>
        <w:t xml:space="preserve"> </w:t>
      </w:r>
      <w:r w:rsidRPr="00785398">
        <w:rPr>
          <w:lang w:val="es-AR"/>
        </w:rPr>
        <w:t>dichas personas. Consecuentemente, se recibió oficio de la Policía Federal</w:t>
      </w:r>
      <w:r>
        <w:rPr>
          <w:lang w:val="es-AR"/>
        </w:rPr>
        <w:t xml:space="preserve"> </w:t>
      </w:r>
      <w:r w:rsidRPr="00785398">
        <w:rPr>
          <w:lang w:val="es-AR"/>
        </w:rPr>
        <w:t>Ministerial, a través del cual rinde informes de los militares relacionados con los</w:t>
      </w:r>
      <w:r>
        <w:rPr>
          <w:lang w:val="es-AR"/>
        </w:rPr>
        <w:t xml:space="preserve"> hechos que se investigan [;] [s]</w:t>
      </w:r>
      <w:r w:rsidRPr="00785398">
        <w:rPr>
          <w:lang w:val="es-AR"/>
        </w:rPr>
        <w:t>e recibió oficio de la Secretaría de la Defensa Nacional, en el que comunica lo</w:t>
      </w:r>
      <w:r>
        <w:rPr>
          <w:lang w:val="es-AR"/>
        </w:rPr>
        <w:t xml:space="preserve"> </w:t>
      </w:r>
      <w:r w:rsidRPr="00785398">
        <w:rPr>
          <w:lang w:val="es-AR"/>
        </w:rPr>
        <w:t>relativo con los 31 elementos militares, señalando que existen 3 homónimos, 7 no se</w:t>
      </w:r>
      <w:r>
        <w:rPr>
          <w:lang w:val="es-AR"/>
        </w:rPr>
        <w:t xml:space="preserve"> </w:t>
      </w:r>
      <w:r w:rsidRPr="00785398">
        <w:rPr>
          <w:lang w:val="es-AR"/>
        </w:rPr>
        <w:t>localizaron antecedentes de ser personal castrense y el resto emite síntesis de</w:t>
      </w:r>
      <w:r>
        <w:rPr>
          <w:lang w:val="es-AR"/>
        </w:rPr>
        <w:t xml:space="preserve"> antecedentes; en razón de [ello]</w:t>
      </w:r>
      <w:r w:rsidRPr="00785398">
        <w:rPr>
          <w:lang w:val="es-AR"/>
        </w:rPr>
        <w:t xml:space="preserve"> se solicitó a la Policía Federal Ministerial,</w:t>
      </w:r>
      <w:r>
        <w:rPr>
          <w:lang w:val="es-AR"/>
        </w:rPr>
        <w:t xml:space="preserve"> </w:t>
      </w:r>
      <w:r w:rsidRPr="00785398">
        <w:rPr>
          <w:lang w:val="es-AR"/>
        </w:rPr>
        <w:t>corroborar los datos proporcionados</w:t>
      </w:r>
      <w:r>
        <w:rPr>
          <w:lang w:val="es-AR"/>
        </w:rPr>
        <w:t xml:space="preserve">”. </w:t>
      </w:r>
      <w:r>
        <w:rPr>
          <w:i/>
          <w:lang w:val="es-AR"/>
        </w:rPr>
        <w:t xml:space="preserve">Cfr. </w:t>
      </w:r>
      <w:r>
        <w:rPr>
          <w:lang w:val="es-AR"/>
        </w:rPr>
        <w:t>Informe estatal de 17 de febrero de 2016.</w:t>
      </w:r>
    </w:p>
  </w:footnote>
  <w:footnote w:id="25">
    <w:p w14:paraId="5A52331C" w14:textId="5AC88A65" w:rsidR="00EB7C26" w:rsidRPr="00E3199F" w:rsidRDefault="00EB7C26">
      <w:pPr>
        <w:pStyle w:val="Textonotapie"/>
        <w:rPr>
          <w:lang w:val="es-ES"/>
        </w:rPr>
      </w:pPr>
      <w:r>
        <w:rPr>
          <w:rStyle w:val="Refdenotaalpie"/>
        </w:rPr>
        <w:footnoteRef/>
      </w:r>
      <w:r w:rsidRPr="00E3199F">
        <w:rPr>
          <w:lang w:val="es-ES"/>
        </w:rPr>
        <w:t xml:space="preserve"> </w:t>
      </w:r>
      <w:r>
        <w:rPr>
          <w:lang w:val="es-ES"/>
        </w:rPr>
        <w:tab/>
      </w:r>
      <w:r>
        <w:rPr>
          <w:lang w:val="es-AR"/>
        </w:rPr>
        <w:t xml:space="preserve">Sobre este punto, los representantes precisaron que los agentes que detentaban los grados de Capitán Segundo, Sargento Segundo y Cabo, identificados como probables responsables, eran quienes habían firmado las constancias de puesta a disposición de las víctimas, tal como surgía del expediente del proceso penal seguido en su momento contra los señores Cabrera García y Montiel Flores; mientras que “el nombre del agente que detentaba el cargo de Teniente Coronel […] se encontraba en la transcripción de un careo en el mismo proceso penal”. </w:t>
      </w:r>
      <w:r w:rsidRPr="00B944AF">
        <w:rPr>
          <w:i/>
          <w:lang w:val="es-AR"/>
        </w:rPr>
        <w:t>Cfr</w:t>
      </w:r>
      <w:r>
        <w:rPr>
          <w:lang w:val="es-AR"/>
        </w:rPr>
        <w:t>. Escrito de observaciones de los representantes de 5 de febrero de 2014.</w:t>
      </w:r>
    </w:p>
  </w:footnote>
  <w:footnote w:id="26">
    <w:p w14:paraId="0E0525D7" w14:textId="7EE554D8" w:rsidR="00EB7C26" w:rsidRPr="003F0A23" w:rsidRDefault="00EB7C26" w:rsidP="008A047A">
      <w:pPr>
        <w:pStyle w:val="Textonotapie"/>
        <w:rPr>
          <w:lang w:val="es-AR"/>
        </w:rPr>
      </w:pPr>
      <w:r>
        <w:rPr>
          <w:rStyle w:val="Refdenotaalpie"/>
        </w:rPr>
        <w:footnoteRef/>
      </w:r>
      <w:r w:rsidRPr="003F0A23">
        <w:rPr>
          <w:lang w:val="es-AR"/>
        </w:rPr>
        <w:t xml:space="preserve"> </w:t>
      </w:r>
      <w:r w:rsidR="003F7FA9">
        <w:rPr>
          <w:lang w:val="es-AR"/>
        </w:rPr>
        <w:tab/>
        <w:t>En particular, se refirieron a: (i) el</w:t>
      </w:r>
      <w:r>
        <w:rPr>
          <w:lang w:val="es-AR"/>
        </w:rPr>
        <w:t xml:space="preserve"> “</w:t>
      </w:r>
      <w:r w:rsidRPr="003828D3">
        <w:rPr>
          <w:lang w:val="es-AR"/>
        </w:rPr>
        <w:t>Teniente Coronel que tuvo a su mando a los elementos militares que llegaron a Pizotla ese día; del General de Brigada que informó de la salida de los elementos militares hacia la zona el día anterior</w:t>
      </w:r>
      <w:r w:rsidR="003F7FA9">
        <w:rPr>
          <w:lang w:val="es-AR"/>
        </w:rPr>
        <w:t>”</w:t>
      </w:r>
      <w:r w:rsidRPr="003828D3">
        <w:rPr>
          <w:lang w:val="es-AR"/>
        </w:rPr>
        <w:t xml:space="preserve">; </w:t>
      </w:r>
      <w:r w:rsidR="003F7FA9">
        <w:rPr>
          <w:lang w:val="es-AR"/>
        </w:rPr>
        <w:t xml:space="preserve">(ii) </w:t>
      </w:r>
      <w:r w:rsidRPr="003828D3">
        <w:rPr>
          <w:lang w:val="es-AR"/>
        </w:rPr>
        <w:t xml:space="preserve">el </w:t>
      </w:r>
      <w:r w:rsidR="003F7FA9">
        <w:rPr>
          <w:lang w:val="es-AR"/>
        </w:rPr>
        <w:t>“</w:t>
      </w:r>
      <w:r w:rsidRPr="003828D3">
        <w:rPr>
          <w:lang w:val="es-AR"/>
        </w:rPr>
        <w:t>Coronel de Infantería y dos agentes ministeriales que llegaron a Pizotla la noche del 3 de mayo (noche durante la cual ocurrieron los más fue</w:t>
      </w:r>
      <w:r w:rsidR="003F7FA9">
        <w:rPr>
          <w:lang w:val="es-AR"/>
        </w:rPr>
        <w:t>rtes actos de tortura física)”; y</w:t>
      </w:r>
      <w:r w:rsidRPr="003828D3">
        <w:rPr>
          <w:lang w:val="es-AR"/>
        </w:rPr>
        <w:t xml:space="preserve"> </w:t>
      </w:r>
      <w:r w:rsidR="003F7FA9">
        <w:rPr>
          <w:lang w:val="es-AR"/>
        </w:rPr>
        <w:t xml:space="preserve">(iii) </w:t>
      </w:r>
      <w:r w:rsidRPr="003828D3">
        <w:rPr>
          <w:lang w:val="es-AR"/>
        </w:rPr>
        <w:t xml:space="preserve">el </w:t>
      </w:r>
      <w:r w:rsidR="003F7FA9">
        <w:rPr>
          <w:lang w:val="es-AR"/>
        </w:rPr>
        <w:t>“</w:t>
      </w:r>
      <w:r w:rsidRPr="003828D3">
        <w:rPr>
          <w:lang w:val="es-AR"/>
        </w:rPr>
        <w:t>Capitán Segundo de Infantería que elaboró el croquis que demuestra la ubicación del cuerpo de Salomé Sánchez, éste último asesinado a disparo</w:t>
      </w:r>
      <w:r>
        <w:rPr>
          <w:lang w:val="es-AR"/>
        </w:rPr>
        <w:t>s durante el operativo militar”</w:t>
      </w:r>
      <w:r w:rsidRPr="003828D3">
        <w:rPr>
          <w:lang w:val="es-AR"/>
        </w:rPr>
        <w:t xml:space="preserve">. </w:t>
      </w:r>
      <w:r>
        <w:rPr>
          <w:i/>
          <w:lang w:val="es-AR"/>
        </w:rPr>
        <w:t xml:space="preserve">Cfr. </w:t>
      </w:r>
      <w:r>
        <w:rPr>
          <w:lang w:val="es-AR"/>
        </w:rPr>
        <w:t xml:space="preserve">Escrito de observaciones de los representantes de 5 de febrero de 2014. </w:t>
      </w:r>
    </w:p>
  </w:footnote>
  <w:footnote w:id="27">
    <w:p w14:paraId="6B28F6C1" w14:textId="3E26ED48" w:rsidR="00D13676" w:rsidRPr="00A432C9" w:rsidRDefault="00D13676">
      <w:pPr>
        <w:pStyle w:val="Textonotapie"/>
        <w:rPr>
          <w:lang w:val="es-ES"/>
        </w:rPr>
      </w:pPr>
      <w:r>
        <w:rPr>
          <w:rStyle w:val="Refdenotaalpie"/>
        </w:rPr>
        <w:footnoteRef/>
      </w:r>
      <w:r w:rsidRPr="00D13676">
        <w:rPr>
          <w:lang w:val="es-ES"/>
        </w:rPr>
        <w:t xml:space="preserve"> </w:t>
      </w:r>
      <w:r>
        <w:rPr>
          <w:lang w:val="es-ES"/>
        </w:rPr>
        <w:tab/>
        <w:t>Entre enero y febrero de 2013, personal de la Procuraduría General de la República practicó a las víctimas peritajes médico-psicológicos con</w:t>
      </w:r>
      <w:r w:rsidR="00A432C9">
        <w:rPr>
          <w:lang w:val="es-ES"/>
        </w:rPr>
        <w:t xml:space="preserve">forme al Protocolo de Estambul. </w:t>
      </w:r>
      <w:r w:rsidR="00A432C9">
        <w:rPr>
          <w:i/>
          <w:lang w:val="es-AR"/>
        </w:rPr>
        <w:t xml:space="preserve">Cfr. </w:t>
      </w:r>
      <w:r w:rsidR="00A432C9">
        <w:rPr>
          <w:lang w:val="es-AR"/>
        </w:rPr>
        <w:t xml:space="preserve">Informe estatal de 14 de diciembre de 2013 y </w:t>
      </w:r>
      <w:r w:rsidR="00A432C9">
        <w:rPr>
          <w:i/>
          <w:lang w:val="es-AR"/>
        </w:rPr>
        <w:t>supra</w:t>
      </w:r>
      <w:r w:rsidR="00A432C9">
        <w:rPr>
          <w:lang w:val="es-AR"/>
        </w:rPr>
        <w:t xml:space="preserve"> Considerando 5. </w:t>
      </w:r>
      <w:r w:rsidR="00A432C9">
        <w:rPr>
          <w:lang w:val="es-ES"/>
        </w:rPr>
        <w:t xml:space="preserve">En abril de 2014, por requerimiento de la autoridad a cargo de la investigación, se practicó la ampliación de dichos dictámenes, ratificando las conclusiones anteriores. </w:t>
      </w:r>
      <w:r w:rsidR="00A432C9">
        <w:rPr>
          <w:i/>
          <w:lang w:val="es-AR"/>
        </w:rPr>
        <w:t xml:space="preserve">Cfr. </w:t>
      </w:r>
      <w:r w:rsidR="00A432C9">
        <w:rPr>
          <w:lang w:val="es-AR"/>
        </w:rPr>
        <w:t xml:space="preserve">Informe estatal de </w:t>
      </w:r>
      <w:r w:rsidR="0052747D">
        <w:rPr>
          <w:lang w:val="es-AR"/>
        </w:rPr>
        <w:t>17 de junio de 2014 y Ampliación de dictamen médico/psicológico especializado para casos de posible tortura y/o maltrato de los señores Cabrera García y Montiel Flores de 22 de abril de 2014 (anexos 1 y 2 al escrito de observaciones de los representantes de 5 de febrero de 2019)</w:t>
      </w:r>
      <w:r w:rsidR="00A432C9">
        <w:rPr>
          <w:lang w:val="es-AR"/>
        </w:rPr>
        <w:t xml:space="preserve">. </w:t>
      </w:r>
    </w:p>
  </w:footnote>
  <w:footnote w:id="28">
    <w:p w14:paraId="5DA50408" w14:textId="77777777" w:rsidR="00A432C9" w:rsidRPr="00A40F4B" w:rsidRDefault="00A432C9" w:rsidP="00A432C9">
      <w:pPr>
        <w:pStyle w:val="Textonotapie"/>
        <w:rPr>
          <w:lang w:val="es-AR"/>
        </w:rPr>
      </w:pPr>
      <w:r>
        <w:rPr>
          <w:rStyle w:val="Refdenotaalpie"/>
        </w:rPr>
        <w:footnoteRef/>
      </w:r>
      <w:r w:rsidRPr="00A40F4B">
        <w:rPr>
          <w:lang w:val="es-AR"/>
        </w:rPr>
        <w:t xml:space="preserve"> </w:t>
      </w:r>
      <w:r>
        <w:rPr>
          <w:lang w:val="es-AR"/>
        </w:rPr>
        <w:tab/>
      </w:r>
      <w:r w:rsidRPr="00B944AF">
        <w:rPr>
          <w:i/>
          <w:lang w:val="es-AR"/>
        </w:rPr>
        <w:t>Cfr.</w:t>
      </w:r>
      <w:r>
        <w:rPr>
          <w:lang w:val="es-AR"/>
        </w:rPr>
        <w:t xml:space="preserve"> Informe estatal de 18 de marzo de 2014. </w:t>
      </w:r>
    </w:p>
  </w:footnote>
  <w:footnote w:id="29">
    <w:p w14:paraId="0A182D47" w14:textId="3473E516" w:rsidR="00A432C9" w:rsidRPr="00A432C9" w:rsidRDefault="00A432C9">
      <w:pPr>
        <w:pStyle w:val="Textonotapie"/>
        <w:rPr>
          <w:lang w:val="es-CR"/>
        </w:rPr>
      </w:pPr>
      <w:r>
        <w:rPr>
          <w:rStyle w:val="Refdenotaalpie"/>
        </w:rPr>
        <w:footnoteRef/>
      </w:r>
      <w:r w:rsidRPr="00A432C9">
        <w:rPr>
          <w:lang w:val="es-ES"/>
        </w:rPr>
        <w:t xml:space="preserve"> </w:t>
      </w:r>
      <w:r>
        <w:rPr>
          <w:lang w:val="es-ES"/>
        </w:rPr>
        <w:tab/>
      </w:r>
      <w:r w:rsidRPr="00A432C9">
        <w:rPr>
          <w:lang w:val="es-CR"/>
        </w:rPr>
        <w:t>En este sentido, precisaron que: (i) “no se incluyó la calificación técnica de la médica general que los practicó”; (ii) “no se realizó ninguna pregunta a las víctimas para conocer [en] detalle las circunstancias de la detención y de la tortura que sufrieron”, y (iii) “no [se] analizó el contexto en el que sucedió la tortura, incluso pasando por alto lo que [la] Corte ya determinó” en la Sentencia.</w:t>
      </w:r>
      <w:r>
        <w:rPr>
          <w:lang w:val="es-CR"/>
        </w:rPr>
        <w:t xml:space="preserve"> </w:t>
      </w:r>
      <w:r>
        <w:rPr>
          <w:i/>
          <w:lang w:val="es-CR"/>
        </w:rPr>
        <w:t xml:space="preserve">Cfr. </w:t>
      </w:r>
      <w:r>
        <w:rPr>
          <w:lang w:val="es-CR"/>
        </w:rPr>
        <w:t xml:space="preserve">Observaciones de los representanes manifestadas durante la audiencia de supervisión de cumplimiento de sentencia celebrada el 2 de septiembre de 2016. </w:t>
      </w:r>
      <w:r w:rsidRPr="00A432C9">
        <w:rPr>
          <w:lang w:val="es-CR"/>
        </w:rPr>
        <w:t>Ante esta situación, a propuesta de lo</w:t>
      </w:r>
      <w:r>
        <w:rPr>
          <w:lang w:val="es-CR"/>
        </w:rPr>
        <w:t>s representantes, se designó un</w:t>
      </w:r>
      <w:r w:rsidRPr="00A432C9">
        <w:rPr>
          <w:lang w:val="es-CR"/>
        </w:rPr>
        <w:t xml:space="preserve"> perito independiente “a efecto de analizar las certificaciones, dictámenes médicos y los peritajes basados en el Protocolo de Estambul para determinar su idoneidad, realizar una conclusión sobre los hallazgos y determinar</w:t>
      </w:r>
      <w:r>
        <w:rPr>
          <w:lang w:val="es-CR"/>
        </w:rPr>
        <w:t xml:space="preserve"> la existencia o no de tortura”,</w:t>
      </w:r>
      <w:r w:rsidRPr="00A432C9">
        <w:rPr>
          <w:lang w:val="es-CR"/>
        </w:rPr>
        <w:t xml:space="preserve"> </w:t>
      </w:r>
      <w:r>
        <w:rPr>
          <w:lang w:val="es-CR"/>
        </w:rPr>
        <w:t xml:space="preserve">cuyo peritaje concluyó que </w:t>
      </w:r>
      <w:r w:rsidRPr="00A432C9">
        <w:rPr>
          <w:lang w:val="es-CR"/>
        </w:rPr>
        <w:t xml:space="preserve">los </w:t>
      </w:r>
      <w:r w:rsidR="00163DC6">
        <w:rPr>
          <w:lang w:val="es-CR"/>
        </w:rPr>
        <w:t>exámenes</w:t>
      </w:r>
      <w:r w:rsidRPr="00A432C9">
        <w:rPr>
          <w:lang w:val="es-CR"/>
        </w:rPr>
        <w:t xml:space="preserve"> médicos </w:t>
      </w:r>
      <w:r>
        <w:rPr>
          <w:lang w:val="es-CR"/>
        </w:rPr>
        <w:t>realizados por</w:t>
      </w:r>
      <w:r w:rsidRPr="00A432C9">
        <w:rPr>
          <w:lang w:val="es-CR"/>
        </w:rPr>
        <w:t xml:space="preserve"> la Procuraduría </w:t>
      </w:r>
      <w:r>
        <w:rPr>
          <w:lang w:val="es-CR"/>
        </w:rPr>
        <w:t>“</w:t>
      </w:r>
      <w:r w:rsidRPr="00A432C9">
        <w:rPr>
          <w:lang w:val="es-CR"/>
        </w:rPr>
        <w:t>i</w:t>
      </w:r>
      <w:r w:rsidR="00F463B2">
        <w:rPr>
          <w:lang w:val="es-CR"/>
        </w:rPr>
        <w:t>ncumplían diversos estándares en</w:t>
      </w:r>
      <w:r w:rsidRPr="00A432C9">
        <w:rPr>
          <w:lang w:val="es-CR"/>
        </w:rPr>
        <w:t xml:space="preserve"> la materia</w:t>
      </w:r>
      <w:r>
        <w:rPr>
          <w:lang w:val="es-CR"/>
        </w:rPr>
        <w:t xml:space="preserve">”. </w:t>
      </w:r>
      <w:r>
        <w:rPr>
          <w:i/>
          <w:lang w:val="es-CR"/>
        </w:rPr>
        <w:t xml:space="preserve">Cfr. </w:t>
      </w:r>
      <w:r>
        <w:rPr>
          <w:lang w:val="es-AR"/>
        </w:rPr>
        <w:t>Informe estatal de 10 de abril de 2015 y escrito de observaciones de los representantes de 5 de febrero de 2019.</w:t>
      </w:r>
    </w:p>
  </w:footnote>
  <w:footnote w:id="30">
    <w:p w14:paraId="7AA8CC72" w14:textId="77777777" w:rsidR="00EB7C26" w:rsidRPr="008400B2" w:rsidRDefault="00EB7C26" w:rsidP="00CA7DEA">
      <w:pPr>
        <w:pStyle w:val="Textonotapie"/>
        <w:rPr>
          <w:lang w:val="es-ES"/>
        </w:rPr>
      </w:pPr>
      <w:r>
        <w:rPr>
          <w:rStyle w:val="Refdenotaalpie"/>
        </w:rPr>
        <w:footnoteRef/>
      </w:r>
      <w:r w:rsidRPr="00100388">
        <w:rPr>
          <w:lang w:val="es-CR"/>
        </w:rPr>
        <w:t xml:space="preserve"> </w:t>
      </w:r>
      <w:r>
        <w:rPr>
          <w:lang w:val="es-ES"/>
        </w:rPr>
        <w:tab/>
      </w:r>
      <w:r>
        <w:rPr>
          <w:i/>
          <w:lang w:val="es-AR"/>
        </w:rPr>
        <w:t xml:space="preserve">Cfr. </w:t>
      </w:r>
      <w:r>
        <w:rPr>
          <w:lang w:val="es-AR"/>
        </w:rPr>
        <w:t>Informe estatal de 19 de diciembre de 2018.</w:t>
      </w:r>
    </w:p>
  </w:footnote>
  <w:footnote w:id="31">
    <w:p w14:paraId="3025B952" w14:textId="77777777" w:rsidR="00EB7C26" w:rsidRPr="008400B2" w:rsidRDefault="00EB7C26" w:rsidP="00BE5E4E">
      <w:pPr>
        <w:pStyle w:val="Textonotapie"/>
        <w:rPr>
          <w:lang w:val="es-ES"/>
        </w:rPr>
      </w:pPr>
      <w:r>
        <w:rPr>
          <w:rStyle w:val="Refdenotaalpie"/>
        </w:rPr>
        <w:footnoteRef/>
      </w:r>
      <w:r w:rsidRPr="00100388">
        <w:rPr>
          <w:lang w:val="es-CR"/>
        </w:rPr>
        <w:t xml:space="preserve"> </w:t>
      </w:r>
      <w:r>
        <w:rPr>
          <w:lang w:val="es-ES"/>
        </w:rPr>
        <w:tab/>
      </w:r>
      <w:r>
        <w:rPr>
          <w:i/>
          <w:lang w:val="es-AR"/>
        </w:rPr>
        <w:t xml:space="preserve">Cfr. </w:t>
      </w:r>
      <w:r>
        <w:rPr>
          <w:lang w:val="es-AR"/>
        </w:rPr>
        <w:t>Informe estatal de 6 de agosto de 2019.</w:t>
      </w:r>
    </w:p>
  </w:footnote>
  <w:footnote w:id="32">
    <w:p w14:paraId="5D5D3840" w14:textId="23DB0FE6" w:rsidR="00EB7C26" w:rsidRPr="008400B2" w:rsidRDefault="00EB7C26" w:rsidP="00B45970">
      <w:pPr>
        <w:pStyle w:val="Textonotapie"/>
        <w:rPr>
          <w:lang w:val="es-ES"/>
        </w:rPr>
      </w:pPr>
      <w:r>
        <w:rPr>
          <w:rStyle w:val="Refdenotaalpie"/>
        </w:rPr>
        <w:footnoteRef/>
      </w:r>
      <w:r w:rsidRPr="00100388">
        <w:rPr>
          <w:lang w:val="es-CR"/>
        </w:rPr>
        <w:t xml:space="preserve"> </w:t>
      </w:r>
      <w:r>
        <w:rPr>
          <w:lang w:val="es-ES"/>
        </w:rPr>
        <w:tab/>
      </w:r>
      <w:r>
        <w:rPr>
          <w:i/>
          <w:lang w:val="es-ES"/>
        </w:rPr>
        <w:t xml:space="preserve">Cfr. </w:t>
      </w:r>
      <w:r>
        <w:rPr>
          <w:lang w:val="es-ES"/>
        </w:rPr>
        <w:t xml:space="preserve">Escrito de observaciones de los representantes de 5 de setiembre de 2019. </w:t>
      </w:r>
      <w:r>
        <w:rPr>
          <w:lang w:val="es-AR"/>
        </w:rPr>
        <w:t>En su escrito de observaciones de 5 de febrero de 2019, los representantes explicaron que “</w:t>
      </w:r>
      <w:r w:rsidRPr="00BA0064">
        <w:rPr>
          <w:lang w:val="es-AR"/>
        </w:rPr>
        <w:t>con fecha 14 de diciembre de 2018, se</w:t>
      </w:r>
      <w:r>
        <w:rPr>
          <w:lang w:val="es-AR"/>
        </w:rPr>
        <w:t xml:space="preserve"> </w:t>
      </w:r>
      <w:r w:rsidRPr="00BA0064">
        <w:rPr>
          <w:lang w:val="es-AR"/>
        </w:rPr>
        <w:t>publicó la Ley Orgánica de la Fiscal</w:t>
      </w:r>
      <w:r>
        <w:rPr>
          <w:lang w:val="es-AR"/>
        </w:rPr>
        <w:t>ía General de la República […]</w:t>
      </w:r>
      <w:r w:rsidRPr="00BA0064">
        <w:rPr>
          <w:lang w:val="es-AR"/>
        </w:rPr>
        <w:t>, nueva</w:t>
      </w:r>
      <w:r>
        <w:rPr>
          <w:lang w:val="es-AR"/>
        </w:rPr>
        <w:t xml:space="preserve"> </w:t>
      </w:r>
      <w:r w:rsidRPr="00BA0064">
        <w:rPr>
          <w:lang w:val="es-AR"/>
        </w:rPr>
        <w:t xml:space="preserve">institución autónoma que reemplaza a la </w:t>
      </w:r>
      <w:r>
        <w:rPr>
          <w:lang w:val="es-AR"/>
        </w:rPr>
        <w:t>[Procuración General de la República]</w:t>
      </w:r>
      <w:r w:rsidRPr="00BA0064">
        <w:rPr>
          <w:lang w:val="es-AR"/>
        </w:rPr>
        <w:t>, declarándose oficialmente su entrada</w:t>
      </w:r>
      <w:r>
        <w:rPr>
          <w:lang w:val="es-AR"/>
        </w:rPr>
        <w:t xml:space="preserve"> </w:t>
      </w:r>
      <w:r w:rsidRPr="00BA0064">
        <w:rPr>
          <w:lang w:val="es-AR"/>
        </w:rPr>
        <w:t>en vigor el 20 de diciembre de 2018. Así las cosas, de aquí en adelante, la</w:t>
      </w:r>
      <w:r>
        <w:rPr>
          <w:lang w:val="es-AR"/>
        </w:rPr>
        <w:t xml:space="preserve"> </w:t>
      </w:r>
      <w:r w:rsidRPr="00BA0064">
        <w:rPr>
          <w:lang w:val="es-ES_tradnl"/>
        </w:rPr>
        <w:t>investigación del prese</w:t>
      </w:r>
      <w:r>
        <w:rPr>
          <w:lang w:val="es-ES_tradnl"/>
        </w:rPr>
        <w:t>nte caso corresponderá a la [Fisc</w:t>
      </w:r>
      <w:r w:rsidR="00632590">
        <w:rPr>
          <w:lang w:val="es-ES_tradnl"/>
        </w:rPr>
        <w:t>alía General de la República]”.</w:t>
      </w:r>
    </w:p>
  </w:footnote>
  <w:footnote w:id="33">
    <w:p w14:paraId="10645798" w14:textId="7B7AB251" w:rsidR="00EB7C26" w:rsidRPr="00A6653A" w:rsidRDefault="00EB7C26" w:rsidP="004E574B">
      <w:pPr>
        <w:pStyle w:val="Textonotapie"/>
        <w:rPr>
          <w:lang w:val="es-CR"/>
        </w:rPr>
      </w:pPr>
      <w:r>
        <w:rPr>
          <w:rStyle w:val="Refdenotaalpie"/>
        </w:rPr>
        <w:footnoteRef/>
      </w:r>
      <w:r w:rsidRPr="00A6653A">
        <w:rPr>
          <w:lang w:val="es-CR"/>
        </w:rPr>
        <w:t xml:space="preserve"> </w:t>
      </w:r>
      <w:r>
        <w:rPr>
          <w:lang w:val="es-CR"/>
        </w:rPr>
        <w:tab/>
      </w:r>
      <w:r>
        <w:rPr>
          <w:i/>
          <w:lang w:val="es-AR"/>
        </w:rPr>
        <w:t xml:space="preserve">Cfr. </w:t>
      </w:r>
      <w:r>
        <w:rPr>
          <w:lang w:val="es-AR"/>
        </w:rPr>
        <w:t>Informe es</w:t>
      </w:r>
      <w:r w:rsidR="00632590">
        <w:rPr>
          <w:lang w:val="es-AR"/>
        </w:rPr>
        <w:t xml:space="preserve">tatal de 17 de junio y 17 de octubre de 2014. </w:t>
      </w:r>
    </w:p>
  </w:footnote>
  <w:footnote w:id="34">
    <w:p w14:paraId="2CE4871E" w14:textId="411C1225" w:rsidR="00EB7C26" w:rsidRPr="00031DDA" w:rsidRDefault="00EB7C26">
      <w:pPr>
        <w:pStyle w:val="Textonotapie"/>
        <w:rPr>
          <w:lang w:val="es-ES"/>
        </w:rPr>
      </w:pPr>
      <w:r>
        <w:rPr>
          <w:rStyle w:val="Refdenotaalpie"/>
        </w:rPr>
        <w:footnoteRef/>
      </w:r>
      <w:r w:rsidRPr="0016447E">
        <w:rPr>
          <w:lang w:val="es-ES"/>
        </w:rPr>
        <w:t xml:space="preserve"> </w:t>
      </w:r>
      <w:r>
        <w:rPr>
          <w:lang w:val="es-ES"/>
        </w:rPr>
        <w:tab/>
      </w:r>
      <w:r>
        <w:rPr>
          <w:i/>
          <w:lang w:val="es-ES"/>
        </w:rPr>
        <w:t xml:space="preserve">Cfr. </w:t>
      </w:r>
      <w:r>
        <w:rPr>
          <w:lang w:val="es-ES"/>
        </w:rPr>
        <w:t>Informes estata</w:t>
      </w:r>
      <w:r w:rsidR="00051128">
        <w:rPr>
          <w:lang w:val="es-ES"/>
        </w:rPr>
        <w:t xml:space="preserve">les de </w:t>
      </w:r>
      <w:r>
        <w:rPr>
          <w:lang w:val="es-ES"/>
        </w:rPr>
        <w:t xml:space="preserve">18 de </w:t>
      </w:r>
      <w:r w:rsidR="00BC6F4B">
        <w:rPr>
          <w:lang w:val="es-ES"/>
        </w:rPr>
        <w:t>marzo y 22 de diciembre de 2014.</w:t>
      </w:r>
      <w:r>
        <w:rPr>
          <w:lang w:val="es-ES"/>
        </w:rPr>
        <w:t xml:space="preserve"> </w:t>
      </w:r>
    </w:p>
  </w:footnote>
  <w:footnote w:id="35">
    <w:p w14:paraId="42CC2333" w14:textId="53C2D721" w:rsidR="00EB7C26" w:rsidRPr="00084CC2" w:rsidRDefault="00EB7C26" w:rsidP="00BB0F4B">
      <w:pPr>
        <w:pStyle w:val="Textonotapie"/>
        <w:rPr>
          <w:i/>
          <w:lang w:val="es-ES"/>
        </w:rPr>
      </w:pPr>
      <w:r>
        <w:rPr>
          <w:rStyle w:val="Refdenotaalpie"/>
        </w:rPr>
        <w:footnoteRef/>
      </w:r>
      <w:r w:rsidRPr="00BA6391">
        <w:rPr>
          <w:lang w:val="es-ES"/>
        </w:rPr>
        <w:t xml:space="preserve"> </w:t>
      </w:r>
      <w:r>
        <w:rPr>
          <w:lang w:val="es-ES"/>
        </w:rPr>
        <w:tab/>
      </w:r>
      <w:r>
        <w:rPr>
          <w:lang w:val="es-CR"/>
        </w:rPr>
        <w:t>L</w:t>
      </w:r>
      <w:r w:rsidRPr="00BA6391">
        <w:rPr>
          <w:lang w:val="es-CR"/>
        </w:rPr>
        <w:t>a información más reciente con la que cuenta la Corte con relación a cada uno de los cuatro militares señalados, data de: (i) agosto de 2016, en el caso de los dos militares que comparecieron pero se negaron a declarar</w:t>
      </w:r>
      <w:r>
        <w:rPr>
          <w:lang w:val="es-CR"/>
        </w:rPr>
        <w:t xml:space="preserve">; </w:t>
      </w:r>
      <w:r w:rsidRPr="00BA6391">
        <w:rPr>
          <w:lang w:val="es-CR"/>
        </w:rPr>
        <w:t xml:space="preserve">(ii) abril de 2015, en el caso de la persona que habría fallecido, y (iii) octubre de 2014, en el caso del agente que no ha sido localizado. </w:t>
      </w:r>
      <w:r>
        <w:rPr>
          <w:i/>
          <w:lang w:val="es-CR"/>
        </w:rPr>
        <w:t xml:space="preserve">Cfr. </w:t>
      </w:r>
      <w:r w:rsidRPr="00084CC2">
        <w:rPr>
          <w:lang w:val="es-AR"/>
        </w:rPr>
        <w:t>Informes estatales de 17 de octubre de 2014, 10 de abril de 2015 y 16 de agosto de 2016.</w:t>
      </w:r>
    </w:p>
  </w:footnote>
  <w:footnote w:id="36">
    <w:p w14:paraId="334EA3EA" w14:textId="4828FB54" w:rsidR="00EB7C26" w:rsidRPr="005B4245" w:rsidRDefault="00EB7C26" w:rsidP="00805A95">
      <w:pPr>
        <w:pStyle w:val="Textonotapie"/>
        <w:rPr>
          <w:lang w:val="es-CR"/>
        </w:rPr>
      </w:pPr>
      <w:r>
        <w:rPr>
          <w:rStyle w:val="Refdenotaalpie"/>
        </w:rPr>
        <w:footnoteRef/>
      </w:r>
      <w:r w:rsidRPr="00896E0A">
        <w:rPr>
          <w:lang w:val="es-AR"/>
        </w:rPr>
        <w:t xml:space="preserve"> </w:t>
      </w:r>
      <w:r>
        <w:rPr>
          <w:lang w:val="es-AR"/>
        </w:rPr>
        <w:tab/>
        <w:t>E</w:t>
      </w:r>
      <w:r w:rsidRPr="00896E0A">
        <w:rPr>
          <w:lang w:val="es-CR"/>
        </w:rPr>
        <w:t xml:space="preserve">l Estado </w:t>
      </w:r>
      <w:r w:rsidRPr="00896E0A">
        <w:rPr>
          <w:lang w:val="es-AR"/>
        </w:rPr>
        <w:t>aseveró que las “diligencias enfocadas a la investigación plena de los probables autores de los alegados actos de tortura” perseguían las siguientes líneas de investigación: (i) determinación de posibles irregularidades atribuibles a servidores públicos dentro de las distintas instituciones u organismos de cualquier nivel y orden de gobierno; (ii) investigación de presuntas violaciones al debido proceso, a la seguridad e integridad personal de los quejosos, y (iii) investigación sobre presuntas irregularidades de elementos del Ejército o en el ámbito</w:t>
      </w:r>
      <w:r w:rsidR="00C0370A">
        <w:rPr>
          <w:lang w:val="es-AR"/>
        </w:rPr>
        <w:t xml:space="preserve"> de la jurisdicción penal militar</w:t>
      </w:r>
      <w:r>
        <w:rPr>
          <w:lang w:val="es-AR"/>
        </w:rPr>
        <w:t>.</w:t>
      </w:r>
      <w:r w:rsidRPr="00896E0A">
        <w:rPr>
          <w:lang w:val="es-AR"/>
        </w:rPr>
        <w:t xml:space="preserve"> </w:t>
      </w:r>
      <w:r>
        <w:rPr>
          <w:i/>
          <w:lang w:val="es-AR"/>
        </w:rPr>
        <w:t xml:space="preserve">Cfr. </w:t>
      </w:r>
      <w:r>
        <w:rPr>
          <w:lang w:val="es-AR"/>
        </w:rPr>
        <w:t>Informe estatal de 17 de febrero de 2016.</w:t>
      </w:r>
    </w:p>
  </w:footnote>
  <w:footnote w:id="37">
    <w:p w14:paraId="6AF31AF3" w14:textId="080ACA1D" w:rsidR="00EB7C26" w:rsidRPr="00BA6391" w:rsidRDefault="00EB7C26" w:rsidP="00805A95">
      <w:pPr>
        <w:pStyle w:val="Textonotapie"/>
        <w:rPr>
          <w:lang w:val="es-ES"/>
        </w:rPr>
      </w:pPr>
      <w:r>
        <w:rPr>
          <w:rStyle w:val="Refdenotaalpie"/>
        </w:rPr>
        <w:footnoteRef/>
      </w:r>
      <w:r w:rsidRPr="00BA6391">
        <w:rPr>
          <w:lang w:val="es-ES"/>
        </w:rPr>
        <w:t xml:space="preserve"> </w:t>
      </w:r>
      <w:r>
        <w:rPr>
          <w:lang w:val="es-ES"/>
        </w:rPr>
        <w:tab/>
        <w:t xml:space="preserve">En el mismo sentido se expresó la Comisión en la audiencia </w:t>
      </w:r>
      <w:r w:rsidRPr="00BA6391">
        <w:rPr>
          <w:lang w:val="es-ES"/>
        </w:rPr>
        <w:t>de supervisión de cumplimiento celebrada el 2 de septiembre de 2016</w:t>
      </w:r>
      <w:r w:rsidR="00C0370A">
        <w:rPr>
          <w:lang w:val="es-ES"/>
        </w:rPr>
        <w:t>.</w:t>
      </w:r>
    </w:p>
  </w:footnote>
  <w:footnote w:id="38">
    <w:p w14:paraId="0B537D05" w14:textId="72B42D6C" w:rsidR="00EF3443" w:rsidRPr="00CC1B61" w:rsidRDefault="00EF3443" w:rsidP="00EF3443">
      <w:pPr>
        <w:pStyle w:val="Textonotapie"/>
        <w:rPr>
          <w:lang w:val="es-ES"/>
        </w:rPr>
      </w:pPr>
      <w:r>
        <w:rPr>
          <w:rStyle w:val="Refdenotaalpie"/>
        </w:rPr>
        <w:footnoteRef/>
      </w:r>
      <w:r w:rsidRPr="00A25898">
        <w:rPr>
          <w:lang w:val="es-ES"/>
        </w:rPr>
        <w:t xml:space="preserve"> </w:t>
      </w:r>
      <w:r w:rsidR="00BB7FF8">
        <w:rPr>
          <w:lang w:val="es-ES"/>
        </w:rPr>
        <w:tab/>
        <w:t xml:space="preserve">Esto </w:t>
      </w:r>
      <w:r w:rsidR="00BB7FF8" w:rsidRPr="00BB7FF8">
        <w:rPr>
          <w:lang w:val="es-AR"/>
        </w:rPr>
        <w:t>ya que se trataba de “la misma perita que compareció ante la Corte […] en el litigio del presente caso para argumentar de parte del Estado que los señores Montiel y Cabrera no habían sido objeto de algún tipo de abuso, basándose en certificados médicos militares y ministeriales (elaborados por autoridades cómplices en la tortura) y omitiendo incluir en su peritaje otros exámenes médicos en los que se detallaron huellas físicas de tortura”</w:t>
      </w:r>
      <w:r w:rsidR="00BB7FF8">
        <w:rPr>
          <w:lang w:val="es-AR"/>
        </w:rPr>
        <w:t xml:space="preserve">. </w:t>
      </w:r>
      <w:r w:rsidR="00CC1B61">
        <w:rPr>
          <w:i/>
          <w:lang w:val="es-AR"/>
        </w:rPr>
        <w:t>Cfr.</w:t>
      </w:r>
      <w:r w:rsidR="00CC1B61">
        <w:rPr>
          <w:lang w:val="es-AR"/>
        </w:rPr>
        <w:t xml:space="preserve"> </w:t>
      </w:r>
      <w:r w:rsidR="00CC1B61" w:rsidRPr="000D7CFA">
        <w:rPr>
          <w:lang w:val="es-AR"/>
        </w:rPr>
        <w:t>Escrito de observaciones de los representantes de 5 de febrero de 2014.</w:t>
      </w:r>
    </w:p>
  </w:footnote>
  <w:footnote w:id="39">
    <w:p w14:paraId="1CEFE00B" w14:textId="39B99144" w:rsidR="00EF3443" w:rsidRPr="00852C33" w:rsidRDefault="00EF3443" w:rsidP="00EF3443">
      <w:pPr>
        <w:pStyle w:val="Textonotapie"/>
        <w:rPr>
          <w:lang w:val="es-ES"/>
        </w:rPr>
      </w:pPr>
      <w:r>
        <w:rPr>
          <w:rStyle w:val="Refdenotaalpie"/>
        </w:rPr>
        <w:footnoteRef/>
      </w:r>
      <w:r w:rsidRPr="00A25898">
        <w:rPr>
          <w:lang w:val="es-ES"/>
        </w:rPr>
        <w:t xml:space="preserve"> </w:t>
      </w:r>
      <w:r w:rsidR="002B5858">
        <w:rPr>
          <w:lang w:val="es-ES"/>
        </w:rPr>
        <w:tab/>
        <w:t xml:space="preserve">Los representantes se refirieron a la solicitud de ampliación </w:t>
      </w:r>
      <w:proofErr w:type="spellStart"/>
      <w:r w:rsidR="002B5858">
        <w:rPr>
          <w:lang w:val="es-ES"/>
        </w:rPr>
        <w:t>realiada</w:t>
      </w:r>
      <w:proofErr w:type="spellEnd"/>
      <w:r w:rsidR="002B5858">
        <w:rPr>
          <w:lang w:val="es-ES"/>
        </w:rPr>
        <w:t xml:space="preserve"> por la PGR de los dictámenes médicos y psicológicos practicados inicialmente, haciendo notar que </w:t>
      </w:r>
      <w:r w:rsidR="002B5858">
        <w:rPr>
          <w:lang w:val="es-AR"/>
        </w:rPr>
        <w:t>“</w:t>
      </w:r>
      <w:r w:rsidR="002B5858" w:rsidRPr="002B5858">
        <w:rPr>
          <w:lang w:val="es-AR"/>
        </w:rPr>
        <w:t>la [Procuració</w:t>
      </w:r>
      <w:r w:rsidR="00852C33">
        <w:rPr>
          <w:lang w:val="es-AR"/>
        </w:rPr>
        <w:t>n General de la República] se [había visto]</w:t>
      </w:r>
      <w:r w:rsidR="002B5858" w:rsidRPr="002B5858">
        <w:rPr>
          <w:lang w:val="es-AR"/>
        </w:rPr>
        <w:t xml:space="preserve"> obligada a solicitar que la perita en medicina indique cuáles podrían ser las causas de los padecimientos presentados por las víctimas, y por otro lado que el perito en psicología haga una relación entre los elementos encontrados y los síntomas señalados en el Protocolo de Estambul</w:t>
      </w:r>
      <w:r w:rsidR="002B5858">
        <w:rPr>
          <w:lang w:val="es-AR"/>
        </w:rPr>
        <w:t>”</w:t>
      </w:r>
      <w:r w:rsidR="002B5858" w:rsidRPr="002B5858">
        <w:rPr>
          <w:lang w:val="es-AR"/>
        </w:rPr>
        <w:t>,</w:t>
      </w:r>
      <w:r w:rsidR="002B5858">
        <w:rPr>
          <w:lang w:val="es-AR"/>
        </w:rPr>
        <w:t xml:space="preserve"> por lo que “inf[ieren]</w:t>
      </w:r>
      <w:r w:rsidR="002B5858" w:rsidRPr="002B5858">
        <w:rPr>
          <w:lang w:val="es-AR"/>
        </w:rPr>
        <w:t xml:space="preserve"> que en los dictámenes originales […] faltaban datos en estos rubros”, lo cual era “muy grave ya que la identificación de los probables orígenes de padecimientos físicos y la relación entre síntomas encontrados y síntomas relacionados con la tortura (como los especificados en el Protocolo de Estambul) son precisamente los datos esenciales para do</w:t>
      </w:r>
      <w:r w:rsidR="00852C33">
        <w:rPr>
          <w:lang w:val="es-AR"/>
        </w:rPr>
        <w:t xml:space="preserve">cumentar y acreditar la misma”. </w:t>
      </w:r>
      <w:r w:rsidR="00852C33">
        <w:rPr>
          <w:i/>
          <w:lang w:val="es-AR"/>
        </w:rPr>
        <w:t xml:space="preserve">Cfr. </w:t>
      </w:r>
      <w:r w:rsidR="00852C33">
        <w:rPr>
          <w:lang w:val="es-AR"/>
        </w:rPr>
        <w:t>Escrito de observaciones de los representantes de 5 de mayo de 2014.</w:t>
      </w:r>
    </w:p>
  </w:footnote>
  <w:footnote w:id="40">
    <w:p w14:paraId="3972B474" w14:textId="1D09B0CB" w:rsidR="00EF3443" w:rsidRPr="002B5858" w:rsidRDefault="00EF3443" w:rsidP="00EF3443">
      <w:pPr>
        <w:pStyle w:val="Textonotapie"/>
        <w:rPr>
          <w:lang w:val="es-ES"/>
        </w:rPr>
      </w:pPr>
      <w:r>
        <w:rPr>
          <w:rStyle w:val="Refdenotaalpie"/>
        </w:rPr>
        <w:footnoteRef/>
      </w:r>
      <w:r w:rsidRPr="00447A27">
        <w:rPr>
          <w:lang w:val="es-ES"/>
        </w:rPr>
        <w:t xml:space="preserve"> </w:t>
      </w:r>
      <w:r w:rsidR="002B5858">
        <w:rPr>
          <w:lang w:val="es-ES"/>
        </w:rPr>
        <w:tab/>
      </w:r>
      <w:r w:rsidR="002B5858">
        <w:rPr>
          <w:i/>
          <w:lang w:val="es-ES"/>
        </w:rPr>
        <w:t xml:space="preserve">Cfr. </w:t>
      </w:r>
      <w:r w:rsidR="002B5858" w:rsidRPr="002B5858">
        <w:rPr>
          <w:lang w:val="es-ES"/>
        </w:rPr>
        <w:t xml:space="preserve">Naciones Unidas. Protocolo de Estambul. Manual para la </w:t>
      </w:r>
      <w:proofErr w:type="spellStart"/>
      <w:r w:rsidR="002B5858" w:rsidRPr="002B5858">
        <w:rPr>
          <w:lang w:val="es-ES"/>
        </w:rPr>
        <w:t>investigación</w:t>
      </w:r>
      <w:proofErr w:type="spellEnd"/>
      <w:r w:rsidR="002B5858" w:rsidRPr="002B5858">
        <w:rPr>
          <w:lang w:val="es-ES"/>
        </w:rPr>
        <w:t xml:space="preserve"> y </w:t>
      </w:r>
      <w:proofErr w:type="spellStart"/>
      <w:r w:rsidR="002B5858" w:rsidRPr="002B5858">
        <w:rPr>
          <w:lang w:val="es-ES"/>
        </w:rPr>
        <w:t>documentación</w:t>
      </w:r>
      <w:proofErr w:type="spellEnd"/>
      <w:r w:rsidR="002B5858" w:rsidRPr="002B5858">
        <w:rPr>
          <w:lang w:val="es-ES"/>
        </w:rPr>
        <w:t xml:space="preserve"> eficaces de la tortura y otros tratos o penas crueles, inhumanos o degradantes</w:t>
      </w:r>
      <w:r w:rsidR="007A4AA9">
        <w:rPr>
          <w:lang w:val="es-ES"/>
        </w:rPr>
        <w:t xml:space="preserve">, 9 de agosto de 1999, </w:t>
      </w:r>
      <w:proofErr w:type="spellStart"/>
      <w:r w:rsidR="007A4AA9">
        <w:rPr>
          <w:lang w:val="es-ES"/>
        </w:rPr>
        <w:t>párr</w:t>
      </w:r>
      <w:proofErr w:type="spellEnd"/>
      <w:r w:rsidR="007A4AA9">
        <w:rPr>
          <w:lang w:val="es-ES"/>
        </w:rPr>
        <w:t>. 83</w:t>
      </w:r>
      <w:r w:rsidR="002B5858" w:rsidRPr="002B5858">
        <w:rPr>
          <w:lang w:val="es-ES"/>
        </w:rPr>
        <w:t>.</w:t>
      </w:r>
      <w:r w:rsidR="002B5858">
        <w:rPr>
          <w:i/>
          <w:lang w:val="es-ES"/>
        </w:rPr>
        <w:t xml:space="preserve"> </w:t>
      </w:r>
    </w:p>
  </w:footnote>
  <w:footnote w:id="41">
    <w:p w14:paraId="2B8BBEDF" w14:textId="30AB8A99" w:rsidR="00A176CD" w:rsidRPr="00BA7C8A" w:rsidRDefault="00A176CD">
      <w:pPr>
        <w:pStyle w:val="Textonotapie"/>
        <w:rPr>
          <w:lang w:val="es-CR"/>
        </w:rPr>
      </w:pPr>
      <w:r w:rsidRPr="00BA7C8A">
        <w:rPr>
          <w:rStyle w:val="Refdenotaalpie"/>
        </w:rPr>
        <w:footnoteRef/>
      </w:r>
      <w:r w:rsidRPr="00BA7C8A">
        <w:rPr>
          <w:lang w:val="es-CR"/>
        </w:rPr>
        <w:t xml:space="preserve"> </w:t>
      </w:r>
      <w:r w:rsidRPr="00BA7C8A">
        <w:rPr>
          <w:lang w:val="es-CR"/>
        </w:rPr>
        <w:tab/>
      </w:r>
      <w:r w:rsidRPr="00BA7C8A">
        <w:rPr>
          <w:i/>
          <w:lang w:val="es-CO"/>
        </w:rPr>
        <w:t xml:space="preserve">Caso Cabrera García y Montiel Flores Vs. México, supra </w:t>
      </w:r>
      <w:r w:rsidRPr="00BA7C8A">
        <w:rPr>
          <w:lang w:val="es-CO"/>
        </w:rPr>
        <w:t>nota 1, párr. 137.</w:t>
      </w:r>
    </w:p>
  </w:footnote>
  <w:footnote w:id="42">
    <w:p w14:paraId="7A95D293" w14:textId="0A8F5B55" w:rsidR="00530694" w:rsidRPr="00530694" w:rsidRDefault="00530694">
      <w:pPr>
        <w:pStyle w:val="Textonotapie"/>
        <w:rPr>
          <w:i/>
          <w:lang w:val="es-ES"/>
        </w:rPr>
      </w:pPr>
      <w:r w:rsidRPr="00BA7C8A">
        <w:rPr>
          <w:rStyle w:val="Refdenotaalpie"/>
        </w:rPr>
        <w:footnoteRef/>
      </w:r>
      <w:r w:rsidRPr="00BA7C8A">
        <w:rPr>
          <w:lang w:val="es-ES"/>
        </w:rPr>
        <w:t xml:space="preserve"> </w:t>
      </w:r>
      <w:r w:rsidRPr="00BA7C8A">
        <w:rPr>
          <w:lang w:val="es-ES"/>
        </w:rPr>
        <w:tab/>
        <w:t xml:space="preserve">Algunos órganos y procedimientos especiales de la Organización de las Naciones Unidas, </w:t>
      </w:r>
      <w:proofErr w:type="gramStart"/>
      <w:r w:rsidRPr="00BA7C8A">
        <w:rPr>
          <w:lang w:val="es-ES"/>
        </w:rPr>
        <w:t>como</w:t>
      </w:r>
      <w:proofErr w:type="gramEnd"/>
      <w:r w:rsidRPr="00BA7C8A">
        <w:rPr>
          <w:lang w:val="es-ES"/>
        </w:rPr>
        <w:t xml:space="preserve"> por ejemplo, el Subcomité para la Prevención de la Tortura y otros Tratos o Penas crueles, Inhumanos o Degradantes y el Relator Especial sobre la tortura y otros tratos o penas crueles, inhumanos o degradantes, han hecho notar deficiencias en la detección de la tortura y la aplicación de las directrices contenidas en el Protocolo de Estambul. </w:t>
      </w:r>
      <w:r w:rsidRPr="00BA7C8A">
        <w:rPr>
          <w:i/>
          <w:lang w:val="es-ES"/>
        </w:rPr>
        <w:t xml:space="preserve">Cfr. </w:t>
      </w:r>
      <w:r w:rsidRPr="00BA7C8A">
        <w:rPr>
          <w:lang w:val="es-ES"/>
        </w:rPr>
        <w:t xml:space="preserve">Naciones Unidas, Subcomité para la Prevención de la Tortura y otros Tratos o Penas crueles, Inhumanos o Degradantes, Informe sobre la Visita a México del 12 al 21 de diciembre de 2016 observaciones y recomendaciones dirigidas al Estado parte, </w:t>
      </w:r>
      <w:proofErr w:type="spellStart"/>
      <w:r w:rsidRPr="00BA7C8A">
        <w:rPr>
          <w:lang w:val="es-ES"/>
        </w:rPr>
        <w:t>párrs</w:t>
      </w:r>
      <w:proofErr w:type="spellEnd"/>
      <w:r w:rsidRPr="00BA7C8A">
        <w:rPr>
          <w:lang w:val="es-ES"/>
        </w:rPr>
        <w:t xml:space="preserve">. 45 a 50. Disponible en: </w:t>
      </w:r>
      <w:hyperlink r:id="rId4" w:history="1">
        <w:r w:rsidRPr="00BA7C8A">
          <w:rPr>
            <w:rStyle w:val="Hipervnculo"/>
            <w:sz w:val="16"/>
            <w:szCs w:val="24"/>
            <w:lang w:val="es-ES"/>
          </w:rPr>
          <w:t>https://tbinternet.ohchr.org/_layouts/15/treatybodyexternal/Download.aspx?symbolno=CAT%2fOP%2fMEX%2f2&amp;Lang=en</w:t>
        </w:r>
      </w:hyperlink>
      <w:r w:rsidRPr="00BA7C8A">
        <w:rPr>
          <w:lang w:val="es-ES"/>
        </w:rPr>
        <w:t xml:space="preserve">, y Naciones Unidas, Relator Especial sobre la tortura y otros tratos o penas crueles, inhumanos o degradantes, “Informe de seguimiento del Relator Especial sobre la tortura y otros tratos o penas crueles, inhumanos o degradantes - </w:t>
      </w:r>
      <w:proofErr w:type="spellStart"/>
      <w:r w:rsidRPr="00BA7C8A">
        <w:rPr>
          <w:lang w:val="es-ES"/>
        </w:rPr>
        <w:t>México</w:t>
      </w:r>
      <w:proofErr w:type="spellEnd"/>
      <w:r w:rsidRPr="00BA7C8A">
        <w:rPr>
          <w:lang w:val="es-ES"/>
        </w:rPr>
        <w:t xml:space="preserve">”, 17 de febrero de 2017, UN Doc. No. A/HRC/34/54/Add.4, </w:t>
      </w:r>
      <w:proofErr w:type="spellStart"/>
      <w:r w:rsidRPr="00BA7C8A">
        <w:rPr>
          <w:lang w:val="es-ES"/>
        </w:rPr>
        <w:t>párrs</w:t>
      </w:r>
      <w:proofErr w:type="spellEnd"/>
      <w:r w:rsidRPr="00BA7C8A">
        <w:rPr>
          <w:lang w:val="es-ES"/>
        </w:rPr>
        <w:t>. 45 a 54.</w:t>
      </w:r>
    </w:p>
  </w:footnote>
  <w:footnote w:id="43">
    <w:p w14:paraId="1A28F610" w14:textId="70240D09" w:rsidR="00901E98" w:rsidRPr="00901E98" w:rsidRDefault="00901E98">
      <w:pPr>
        <w:pStyle w:val="Textonotapie"/>
        <w:rPr>
          <w:lang w:val="es-ES"/>
        </w:rPr>
      </w:pPr>
      <w:r>
        <w:rPr>
          <w:rStyle w:val="Refdenotaalpie"/>
        </w:rPr>
        <w:footnoteRef/>
      </w:r>
      <w:r w:rsidRPr="00901E98">
        <w:rPr>
          <w:lang w:val="es-ES"/>
        </w:rPr>
        <w:t xml:space="preserve"> </w:t>
      </w:r>
      <w:r>
        <w:rPr>
          <w:lang w:val="es-ES"/>
        </w:rPr>
        <w:tab/>
      </w:r>
      <w:r>
        <w:rPr>
          <w:i/>
          <w:lang w:val="es-ES"/>
        </w:rPr>
        <w:t xml:space="preserve">Cfr. </w:t>
      </w:r>
      <w:r w:rsidRPr="002B5858">
        <w:rPr>
          <w:lang w:val="es-ES"/>
        </w:rPr>
        <w:t>Naciones Unidas. Protocolo de Estambul</w:t>
      </w:r>
      <w:r w:rsidR="00C17F89">
        <w:rPr>
          <w:lang w:val="es-ES"/>
        </w:rPr>
        <w:t xml:space="preserve">, </w:t>
      </w:r>
      <w:r w:rsidR="00C17F89">
        <w:rPr>
          <w:i/>
          <w:lang w:val="es-ES"/>
        </w:rPr>
        <w:t xml:space="preserve">supra </w:t>
      </w:r>
      <w:r w:rsidR="00C17F89">
        <w:rPr>
          <w:lang w:val="es-ES"/>
        </w:rPr>
        <w:t>nota 39</w:t>
      </w:r>
      <w:r w:rsidR="007A4AA9">
        <w:rPr>
          <w:lang w:val="es-ES"/>
        </w:rPr>
        <w:t xml:space="preserve">, </w:t>
      </w:r>
      <w:proofErr w:type="spellStart"/>
      <w:r w:rsidR="007A4AA9">
        <w:rPr>
          <w:lang w:val="es-ES"/>
        </w:rPr>
        <w:t>párr</w:t>
      </w:r>
      <w:proofErr w:type="spellEnd"/>
      <w:r w:rsidR="007A4AA9">
        <w:rPr>
          <w:lang w:val="es-ES"/>
        </w:rPr>
        <w:t>. 161</w:t>
      </w:r>
      <w:r w:rsidRPr="002B5858">
        <w:rPr>
          <w:lang w:val="es-ES"/>
        </w:rPr>
        <w:t>.</w:t>
      </w:r>
    </w:p>
  </w:footnote>
  <w:footnote w:id="44">
    <w:p w14:paraId="2297C373" w14:textId="387BBD99" w:rsidR="00901E98" w:rsidRPr="00901E98" w:rsidRDefault="00901E98">
      <w:pPr>
        <w:pStyle w:val="Textonotapie"/>
        <w:rPr>
          <w:lang w:val="es-ES"/>
        </w:rPr>
      </w:pPr>
      <w:r>
        <w:rPr>
          <w:rStyle w:val="Refdenotaalpie"/>
        </w:rPr>
        <w:footnoteRef/>
      </w:r>
      <w:r w:rsidRPr="00901E98">
        <w:rPr>
          <w:lang w:val="es-ES"/>
        </w:rPr>
        <w:t xml:space="preserve"> </w:t>
      </w:r>
      <w:r>
        <w:rPr>
          <w:lang w:val="es-ES"/>
        </w:rPr>
        <w:tab/>
      </w:r>
      <w:r>
        <w:rPr>
          <w:i/>
          <w:lang w:val="es-ES"/>
        </w:rPr>
        <w:t xml:space="preserve">Cfr. </w:t>
      </w:r>
      <w:r w:rsidRPr="002B5858">
        <w:rPr>
          <w:lang w:val="es-ES"/>
        </w:rPr>
        <w:t>Naciones Unidas. Protocolo de Estambul</w:t>
      </w:r>
      <w:r w:rsidR="00C17F89">
        <w:rPr>
          <w:lang w:val="es-ES"/>
        </w:rPr>
        <w:t xml:space="preserve">, </w:t>
      </w:r>
      <w:r w:rsidR="00C17F89">
        <w:rPr>
          <w:i/>
          <w:lang w:val="es-ES"/>
        </w:rPr>
        <w:t xml:space="preserve">supra </w:t>
      </w:r>
      <w:r w:rsidR="00C17F89">
        <w:rPr>
          <w:lang w:val="es-ES"/>
        </w:rPr>
        <w:t xml:space="preserve">nota 39, </w:t>
      </w:r>
      <w:proofErr w:type="spellStart"/>
      <w:r w:rsidR="007A4AA9">
        <w:rPr>
          <w:lang w:val="es-ES"/>
        </w:rPr>
        <w:t>párr</w:t>
      </w:r>
      <w:proofErr w:type="spellEnd"/>
      <w:r w:rsidR="007A4AA9">
        <w:rPr>
          <w:lang w:val="es-ES"/>
        </w:rPr>
        <w:t>. 104</w:t>
      </w:r>
      <w:r w:rsidRPr="002B5858">
        <w:rPr>
          <w:lang w:val="es-ES"/>
        </w:rPr>
        <w:t>.</w:t>
      </w:r>
    </w:p>
  </w:footnote>
  <w:footnote w:id="45">
    <w:p w14:paraId="5292B5E5" w14:textId="3D76F6BC" w:rsidR="00BF7A39" w:rsidRPr="00BF7A39" w:rsidRDefault="00BF7A39">
      <w:pPr>
        <w:pStyle w:val="Textonotapie"/>
        <w:rPr>
          <w:szCs w:val="16"/>
          <w:lang w:val="es-ES"/>
        </w:rPr>
      </w:pPr>
      <w:r w:rsidRPr="00BF7A39">
        <w:rPr>
          <w:rStyle w:val="Refdenotaalpie"/>
          <w:szCs w:val="16"/>
        </w:rPr>
        <w:footnoteRef/>
      </w:r>
      <w:r w:rsidRPr="00BF7A39">
        <w:rPr>
          <w:szCs w:val="16"/>
          <w:lang w:val="es-ES"/>
        </w:rPr>
        <w:t xml:space="preserve"> </w:t>
      </w:r>
      <w:r w:rsidRPr="00BF7A39">
        <w:rPr>
          <w:szCs w:val="16"/>
          <w:lang w:val="es-ES"/>
        </w:rPr>
        <w:tab/>
      </w:r>
      <w:r>
        <w:rPr>
          <w:szCs w:val="16"/>
          <w:lang w:val="es-ES"/>
        </w:rPr>
        <w:t>E</w:t>
      </w:r>
      <w:r w:rsidRPr="00BF7A39">
        <w:rPr>
          <w:szCs w:val="16"/>
          <w:lang w:val="es-ES"/>
        </w:rPr>
        <w:t xml:space="preserve">l Estado refirió que se trataba de </w:t>
      </w:r>
      <w:r w:rsidRPr="00BF7A39">
        <w:rPr>
          <w:szCs w:val="16"/>
          <w:lang w:val="es-CR"/>
        </w:rPr>
        <w:t xml:space="preserve">una “solución tecnológica que permit[ía] realizar búsquedas en las bases de datos de detenidos, así como su localización física”, la cual estaría “disponible al ciuadano a través de […] internet”. </w:t>
      </w:r>
      <w:r w:rsidRPr="00BF7A39">
        <w:rPr>
          <w:i/>
          <w:szCs w:val="16"/>
          <w:lang w:val="es-ES"/>
        </w:rPr>
        <w:t xml:space="preserve">Cfr. </w:t>
      </w:r>
      <w:r w:rsidRPr="00BF7A39">
        <w:rPr>
          <w:szCs w:val="16"/>
          <w:lang w:val="es-ES"/>
        </w:rPr>
        <w:t xml:space="preserve">Informes estatales de 10 de abril y 26 de agosto de 2015, así como el informe rendido en la audiencia de supervisión de cumplimiento de sentencia celebrada el 2 de septiembre de 2016. </w:t>
      </w:r>
    </w:p>
  </w:footnote>
  <w:footnote w:id="46">
    <w:p w14:paraId="0BB782A6" w14:textId="77777777" w:rsidR="00DD2D07" w:rsidRPr="00F94E77" w:rsidRDefault="00DD2D07" w:rsidP="00DD2D07">
      <w:pPr>
        <w:pStyle w:val="Textonotapie"/>
        <w:rPr>
          <w:lang w:val="es-ES"/>
        </w:rPr>
      </w:pPr>
      <w:r>
        <w:rPr>
          <w:rStyle w:val="Refdenotaalpie"/>
        </w:rPr>
        <w:footnoteRef/>
      </w:r>
      <w:r w:rsidRPr="00F94E77">
        <w:rPr>
          <w:lang w:val="es-ES"/>
        </w:rPr>
        <w:t xml:space="preserve"> </w:t>
      </w:r>
      <w:r>
        <w:rPr>
          <w:lang w:val="es-ES"/>
        </w:rPr>
        <w:tab/>
      </w:r>
      <w:r>
        <w:rPr>
          <w:i/>
          <w:lang w:val="es-ES"/>
        </w:rPr>
        <w:t xml:space="preserve">Cfr. </w:t>
      </w:r>
      <w:r>
        <w:rPr>
          <w:lang w:val="es-ES"/>
        </w:rPr>
        <w:t xml:space="preserve">Informes estatales de 17 de febrero y 16 de agosto de 2016. </w:t>
      </w:r>
    </w:p>
  </w:footnote>
  <w:footnote w:id="47">
    <w:p w14:paraId="6B8C55FF" w14:textId="2B4E99A3" w:rsidR="00DD2D07" w:rsidRPr="008827EF" w:rsidRDefault="00DD2D07" w:rsidP="00DD2D07">
      <w:pPr>
        <w:pStyle w:val="Textonotapie"/>
        <w:rPr>
          <w:b/>
          <w:lang w:val="es-ES"/>
        </w:rPr>
      </w:pPr>
      <w:r>
        <w:rPr>
          <w:rStyle w:val="Refdenotaalpie"/>
        </w:rPr>
        <w:footnoteRef/>
      </w:r>
      <w:r w:rsidRPr="00710A0F">
        <w:rPr>
          <w:lang w:val="es-ES"/>
        </w:rPr>
        <w:t xml:space="preserve"> </w:t>
      </w:r>
      <w:r>
        <w:rPr>
          <w:lang w:val="es-ES"/>
        </w:rPr>
        <w:tab/>
      </w:r>
      <w:r>
        <w:rPr>
          <w:i/>
          <w:lang w:val="es-ES"/>
        </w:rPr>
        <w:t xml:space="preserve">Cfr. </w:t>
      </w:r>
      <w:r>
        <w:rPr>
          <w:lang w:val="es-ES"/>
        </w:rPr>
        <w:t>Informes estatales de 17 de junio, 22 de septiembre y 22 de diciembre de 2014, 10 de abril y 26 de agosto de 2015, y 17 de febrero de 2016.</w:t>
      </w:r>
    </w:p>
  </w:footnote>
  <w:footnote w:id="48">
    <w:p w14:paraId="01CC09AF" w14:textId="18605A2E" w:rsidR="00DD2D07" w:rsidRPr="00067B20" w:rsidRDefault="00DD2D07" w:rsidP="00DD2D07">
      <w:pPr>
        <w:pStyle w:val="Textonotapie"/>
        <w:rPr>
          <w:lang w:val="es-ES"/>
        </w:rPr>
      </w:pPr>
      <w:r>
        <w:rPr>
          <w:rStyle w:val="Refdenotaalpie"/>
        </w:rPr>
        <w:footnoteRef/>
      </w:r>
      <w:r w:rsidRPr="00067B20">
        <w:rPr>
          <w:lang w:val="es-ES"/>
        </w:rPr>
        <w:t xml:space="preserve"> </w:t>
      </w:r>
      <w:r>
        <w:rPr>
          <w:lang w:val="es-ES"/>
        </w:rPr>
        <w:tab/>
      </w:r>
      <w:r w:rsidRPr="00960957">
        <w:rPr>
          <w:lang w:val="es-ES"/>
        </w:rPr>
        <w:t xml:space="preserve">Durante la audiencia de supervisión de cumplimiento celebrada el 2 de septiembre de 2016, se presentaron tres objeciones con respecto al </w:t>
      </w:r>
      <w:r>
        <w:rPr>
          <w:lang w:val="es-ES"/>
        </w:rPr>
        <w:t>Registro Administrativo de Detenciones</w:t>
      </w:r>
      <w:r w:rsidRPr="00960957">
        <w:rPr>
          <w:lang w:val="es-ES"/>
        </w:rPr>
        <w:t xml:space="preserve">. En primer lugar, tanto los representantes como la Comisión coincidieron en que el registro no cumplía con el requisito de inmediatez establecido en la Sentencia. Al respecto, los representantes precisaron que no se trataba de un “registro a tiempo real”, en tanto “el Informe Policial Homologado del que se </w:t>
      </w:r>
      <w:proofErr w:type="spellStart"/>
      <w:r w:rsidRPr="00960957">
        <w:rPr>
          <w:lang w:val="es-ES"/>
        </w:rPr>
        <w:t>deb</w:t>
      </w:r>
      <w:proofErr w:type="spellEnd"/>
      <w:r w:rsidRPr="00960957">
        <w:rPr>
          <w:lang w:val="es-ES"/>
        </w:rPr>
        <w:t>[</w:t>
      </w:r>
      <w:proofErr w:type="spellStart"/>
      <w:r w:rsidRPr="00960957">
        <w:rPr>
          <w:lang w:val="es-ES"/>
        </w:rPr>
        <w:t>ía</w:t>
      </w:r>
      <w:proofErr w:type="spellEnd"/>
      <w:r w:rsidRPr="00960957">
        <w:rPr>
          <w:lang w:val="es-ES"/>
        </w:rPr>
        <w:t>] dar aviso dentro de las 24 horas al Centro Nacional de Información, no se completa[</w:t>
      </w:r>
      <w:proofErr w:type="spellStart"/>
      <w:r w:rsidRPr="00960957">
        <w:rPr>
          <w:lang w:val="es-ES"/>
        </w:rPr>
        <w:t>ba</w:t>
      </w:r>
      <w:proofErr w:type="spellEnd"/>
      <w:r w:rsidRPr="00960957">
        <w:rPr>
          <w:lang w:val="es-ES"/>
        </w:rPr>
        <w:t>] en el momento de la detención, sino cuando se pon[</w:t>
      </w:r>
      <w:proofErr w:type="spellStart"/>
      <w:r w:rsidRPr="00960957">
        <w:rPr>
          <w:lang w:val="es-ES"/>
        </w:rPr>
        <w:t>ía</w:t>
      </w:r>
      <w:proofErr w:type="spellEnd"/>
      <w:r w:rsidRPr="00960957">
        <w:rPr>
          <w:lang w:val="es-ES"/>
        </w:rPr>
        <w:t>] a disposición a la persona y, en muchos casos</w:t>
      </w:r>
      <w:r>
        <w:rPr>
          <w:lang w:val="es-ES"/>
        </w:rPr>
        <w:t>,</w:t>
      </w:r>
      <w:r w:rsidRPr="00960957">
        <w:rPr>
          <w:lang w:val="es-ES"/>
        </w:rPr>
        <w:t xml:space="preserve"> se completa[</w:t>
      </w:r>
      <w:proofErr w:type="spellStart"/>
      <w:r w:rsidRPr="00960957">
        <w:rPr>
          <w:lang w:val="es-ES"/>
        </w:rPr>
        <w:t>ba</w:t>
      </w:r>
      <w:proofErr w:type="spellEnd"/>
      <w:r w:rsidRPr="00960957">
        <w:rPr>
          <w:lang w:val="es-ES"/>
        </w:rPr>
        <w:t>] alterando la hora o la fecha de detención”. En segundo lugar, los representantes y la Comisión objetaron que el registro no incluía las detenciones realizadas por elementos de las Fuerzas Armadas. Sobre este punto, la Comisión indicó que “las Fuerzas Armadas […] realizan detenciones, precisamente como ocurrió en el caso de los</w:t>
      </w:r>
      <w:r w:rsidR="00506D8A">
        <w:rPr>
          <w:lang w:val="es-ES"/>
        </w:rPr>
        <w:t xml:space="preserve"> señores Cabrera y Montiel</w:t>
      </w:r>
      <w:r w:rsidRPr="00960957">
        <w:rPr>
          <w:lang w:val="es-ES"/>
        </w:rPr>
        <w:t xml:space="preserve"> y, por lo tanto, como una medida reparación fundamental y con efecto útil, este registro debería poder incluir también la información sobre [dichas] detenciones […], máxime en un contexto ya establecido por la Comisión en la que las Fuerzas Armadas en México están realizando cada vez más funciones de seguridad pública y, además, en operativos conjuntos con otros cuerpos de seguridad”. Finalmente, los representantes objetaron que “no hay un mecanismo de control efectivo que garantice consecuencias a las autoridades que no cumplan con registrar una detención”, en tanto “si bien puede haber sanciones establecidas </w:t>
      </w:r>
      <w:r w:rsidR="00506D8A">
        <w:rPr>
          <w:lang w:val="es-ES"/>
        </w:rPr>
        <w:t>en la ley, tanto administrativa como penal</w:t>
      </w:r>
      <w:r w:rsidRPr="00960957">
        <w:rPr>
          <w:lang w:val="es-ES"/>
        </w:rPr>
        <w:t>, […] no hay información sobre cu</w:t>
      </w:r>
      <w:r>
        <w:rPr>
          <w:lang w:val="es-ES"/>
        </w:rPr>
        <w:t>á</w:t>
      </w:r>
      <w:r w:rsidRPr="00960957">
        <w:rPr>
          <w:lang w:val="es-ES"/>
        </w:rPr>
        <w:t>ntas personas han sido sancionadas por incumplir con el registro”, ni tampoco está previsto un plazo para su cumplimiento, de modo que “no existe una consecuencia real ante la falta de registro”</w:t>
      </w:r>
      <w:r>
        <w:rPr>
          <w:lang w:val="es-ES"/>
        </w:rPr>
        <w:t xml:space="preserve">. </w:t>
      </w:r>
    </w:p>
  </w:footnote>
  <w:footnote w:id="49">
    <w:p w14:paraId="2C88B41A" w14:textId="7C7516A5" w:rsidR="00C37F27" w:rsidRPr="00C37F27" w:rsidRDefault="00C37F27">
      <w:pPr>
        <w:pStyle w:val="Textonotapie"/>
        <w:rPr>
          <w:szCs w:val="16"/>
          <w:lang w:val="es-ES"/>
        </w:rPr>
      </w:pPr>
      <w:r w:rsidRPr="00C37F27">
        <w:rPr>
          <w:rStyle w:val="Refdenotaalpie"/>
          <w:szCs w:val="16"/>
        </w:rPr>
        <w:footnoteRef/>
      </w:r>
      <w:r w:rsidRPr="00C37F27">
        <w:rPr>
          <w:szCs w:val="16"/>
          <w:lang w:val="es-ES"/>
        </w:rPr>
        <w:t xml:space="preserve"> </w:t>
      </w:r>
      <w:r w:rsidRPr="00C37F27">
        <w:rPr>
          <w:szCs w:val="16"/>
          <w:lang w:val="es-ES"/>
        </w:rPr>
        <w:tab/>
        <w:t>Al respecto, expresó su “plena disposición” respecto de la propuesta de los representantes de “crear una mesa de trabajo integrada por esta y las organizaciones representantes para acordar una ruta de trabajo que permita superar las deficiencias actuales y permita cumplir con la medida de la Corte”</w:t>
      </w:r>
      <w:r w:rsidR="006716E3">
        <w:rPr>
          <w:szCs w:val="16"/>
          <w:lang w:val="es-ES"/>
        </w:rPr>
        <w:t>.</w:t>
      </w:r>
    </w:p>
  </w:footnote>
  <w:footnote w:id="50">
    <w:p w14:paraId="40EA4EA0" w14:textId="77777777" w:rsidR="00DD2D07" w:rsidRPr="001361AE" w:rsidRDefault="00DD2D07" w:rsidP="00DD2D07">
      <w:pPr>
        <w:pStyle w:val="Textonotapie"/>
        <w:rPr>
          <w:lang w:val="es-ES"/>
        </w:rPr>
      </w:pPr>
      <w:r>
        <w:rPr>
          <w:rStyle w:val="Refdenotaalpie"/>
        </w:rPr>
        <w:footnoteRef/>
      </w:r>
      <w:r w:rsidRPr="001361AE">
        <w:rPr>
          <w:lang w:val="es-ES"/>
        </w:rPr>
        <w:t xml:space="preserve"> </w:t>
      </w:r>
      <w:r>
        <w:rPr>
          <w:lang w:val="es-ES"/>
        </w:rPr>
        <w:tab/>
      </w:r>
      <w:r>
        <w:rPr>
          <w:i/>
          <w:lang w:val="es-ES"/>
        </w:rPr>
        <w:t xml:space="preserve">Cfr. </w:t>
      </w:r>
      <w:r>
        <w:rPr>
          <w:lang w:val="es-ES"/>
        </w:rPr>
        <w:t xml:space="preserve">Ley Nacional del Registro de Detenciones, publicada en el Diario Oficial de la Federación el 27 de mayo de 2019 (anexa al escrito de observaciones de los representantes de 5 de septiembre de 2019) e informe estatal de 6 de agosto de 2019.  </w:t>
      </w:r>
    </w:p>
  </w:footnote>
  <w:footnote w:id="51">
    <w:p w14:paraId="3E36BFFD" w14:textId="47D75F8D" w:rsidR="002413FF" w:rsidRPr="002413FF" w:rsidRDefault="002413FF">
      <w:pPr>
        <w:pStyle w:val="Textonotapie"/>
        <w:rPr>
          <w:lang w:val="es-ES"/>
        </w:rPr>
      </w:pPr>
      <w:r>
        <w:rPr>
          <w:rStyle w:val="Refdenotaalpie"/>
        </w:rPr>
        <w:footnoteRef/>
      </w:r>
      <w:r w:rsidRPr="002413FF">
        <w:rPr>
          <w:lang w:val="es-ES"/>
        </w:rPr>
        <w:t xml:space="preserve"> </w:t>
      </w:r>
      <w:r>
        <w:rPr>
          <w:lang w:val="es-ES"/>
        </w:rPr>
        <w:tab/>
      </w:r>
      <w:r w:rsidR="00E90447">
        <w:rPr>
          <w:lang w:val="es-ES"/>
        </w:rPr>
        <w:t>Para los efectos de la L</w:t>
      </w:r>
      <w:r w:rsidRPr="002413FF">
        <w:rPr>
          <w:lang w:val="es-ES"/>
        </w:rPr>
        <w:t>ey, se entiende por “instituciones de seguridad pública</w:t>
      </w:r>
      <w:r w:rsidR="00E90447">
        <w:rPr>
          <w:lang w:val="es-ES"/>
        </w:rPr>
        <w:t xml:space="preserve">” a </w:t>
      </w:r>
      <w:r w:rsidRPr="002413FF">
        <w:rPr>
          <w:lang w:val="es-ES"/>
        </w:rPr>
        <w:t xml:space="preserve">las instituciones </w:t>
      </w:r>
      <w:r w:rsidR="00E90447">
        <w:rPr>
          <w:lang w:val="es-ES"/>
        </w:rPr>
        <w:t>“</w:t>
      </w:r>
      <w:r w:rsidRPr="002413FF">
        <w:rPr>
          <w:lang w:val="es-ES"/>
        </w:rPr>
        <w:t>policiales, de procuración de justicia, del sistema penitenciario y dependencias o entidades encargadas de la seguridad pública de orden federal, local o municipal, a que se refiere el artículo 5, fracción VIII, de la Ley General del Sistema Nacional de Seguridad Pública, así como las competentes para conocer y sancionar las infracciones administrativas, en sus respectivas competencias” (Artículo 2, inciso II).</w:t>
      </w:r>
      <w:r>
        <w:rPr>
          <w:lang w:val="es-ES"/>
        </w:rPr>
        <w:t xml:space="preserve"> </w:t>
      </w:r>
    </w:p>
  </w:footnote>
  <w:footnote w:id="52">
    <w:p w14:paraId="51125C48" w14:textId="35967AB1" w:rsidR="00EB7C26" w:rsidRPr="008035EE" w:rsidRDefault="00EB7C26" w:rsidP="00655467">
      <w:pPr>
        <w:pStyle w:val="Textonotapie"/>
        <w:rPr>
          <w:szCs w:val="16"/>
          <w:lang w:val="es-ES"/>
        </w:rPr>
      </w:pPr>
      <w:r w:rsidRPr="008035EE">
        <w:rPr>
          <w:rStyle w:val="Refdenotaalpie"/>
          <w:szCs w:val="16"/>
        </w:rPr>
        <w:footnoteRef/>
      </w:r>
      <w:r w:rsidRPr="008035EE">
        <w:rPr>
          <w:szCs w:val="16"/>
          <w:lang w:val="es-ES"/>
        </w:rPr>
        <w:t xml:space="preserve"> </w:t>
      </w:r>
      <w:r w:rsidRPr="008035EE">
        <w:rPr>
          <w:szCs w:val="16"/>
          <w:lang w:val="es-ES"/>
        </w:rPr>
        <w:tab/>
      </w:r>
      <w:r>
        <w:rPr>
          <w:i/>
          <w:szCs w:val="16"/>
          <w:lang w:val="es-ES"/>
        </w:rPr>
        <w:t xml:space="preserve">Cfr. </w:t>
      </w:r>
      <w:r>
        <w:rPr>
          <w:szCs w:val="16"/>
          <w:lang w:val="es-ES"/>
        </w:rPr>
        <w:t xml:space="preserve">Demanda de acción de inconstitucionalidad presentada por la Comisión Nacional de Derechos Humanos Nro. 63/2019. Disponible en: </w:t>
      </w:r>
      <w:hyperlink r:id="rId5" w:history="1">
        <w:r w:rsidRPr="00FE5B98">
          <w:rPr>
            <w:rStyle w:val="Hipervnculo"/>
            <w:sz w:val="16"/>
            <w:szCs w:val="16"/>
            <w:lang w:val="es-ES"/>
          </w:rPr>
          <w:t>https://www.cndh.org.mx/tipo/209/accion-de-inconstitucionalidad</w:t>
        </w:r>
      </w:hyperlink>
      <w:r w:rsidR="00E604FF">
        <w:rPr>
          <w:szCs w:val="16"/>
          <w:lang w:val="es-ES"/>
        </w:rPr>
        <w:t xml:space="preserve"> (última consulta: 26 de junio</w:t>
      </w:r>
      <w:r>
        <w:rPr>
          <w:szCs w:val="16"/>
          <w:lang w:val="es-ES"/>
        </w:rPr>
        <w:t xml:space="preserve"> de 2020), </w:t>
      </w:r>
      <w:r w:rsidR="00E604FF">
        <w:rPr>
          <w:szCs w:val="16"/>
          <w:lang w:val="es-ES"/>
        </w:rPr>
        <w:t>enlace aportado</w:t>
      </w:r>
      <w:r>
        <w:rPr>
          <w:szCs w:val="16"/>
          <w:lang w:val="es-ES"/>
        </w:rPr>
        <w:t xml:space="preserve"> por los representantes en su e</w:t>
      </w:r>
      <w:r w:rsidRPr="008035EE">
        <w:rPr>
          <w:szCs w:val="16"/>
          <w:lang w:val="es-ES"/>
        </w:rPr>
        <w:t xml:space="preserve">scrito de observaciones de 5 de septiembre de 2019. </w:t>
      </w:r>
      <w:r>
        <w:rPr>
          <w:szCs w:val="16"/>
          <w:lang w:val="es-ES"/>
        </w:rPr>
        <w:t xml:space="preserve">Según surge de la </w:t>
      </w:r>
      <w:r w:rsidR="00E604FF">
        <w:rPr>
          <w:szCs w:val="16"/>
          <w:lang w:val="es-ES"/>
        </w:rPr>
        <w:t xml:space="preserve">referida </w:t>
      </w:r>
      <w:r>
        <w:rPr>
          <w:szCs w:val="16"/>
          <w:lang w:val="es-ES"/>
        </w:rPr>
        <w:t>página web aportada por los representantes, a la fecha de la última</w:t>
      </w:r>
      <w:r w:rsidR="00E604FF">
        <w:rPr>
          <w:szCs w:val="16"/>
          <w:lang w:val="es-ES"/>
        </w:rPr>
        <w:t>,</w:t>
      </w:r>
      <w:r>
        <w:rPr>
          <w:szCs w:val="16"/>
          <w:lang w:val="es-ES"/>
        </w:rPr>
        <w:t xml:space="preserve"> consulta la acción aún estaba “pendiente por resolver”. </w:t>
      </w:r>
    </w:p>
  </w:footnote>
  <w:footnote w:id="53">
    <w:p w14:paraId="118DEBD3" w14:textId="111668DB" w:rsidR="00EB7C26" w:rsidRPr="002134C8" w:rsidRDefault="00EB7C26" w:rsidP="00655467">
      <w:pPr>
        <w:pStyle w:val="Textonotapie"/>
        <w:rPr>
          <w:lang w:val="es-ES"/>
        </w:rPr>
      </w:pPr>
      <w:r>
        <w:rPr>
          <w:rStyle w:val="Refdenotaalpie"/>
        </w:rPr>
        <w:footnoteRef/>
      </w:r>
      <w:r w:rsidRPr="002134C8">
        <w:rPr>
          <w:lang w:val="es-ES"/>
        </w:rPr>
        <w:t xml:space="preserve"> </w:t>
      </w:r>
      <w:r>
        <w:rPr>
          <w:lang w:val="es-ES"/>
        </w:rPr>
        <w:tab/>
        <w:t xml:space="preserve">El </w:t>
      </w:r>
      <w:proofErr w:type="spellStart"/>
      <w:r>
        <w:rPr>
          <w:lang w:val="es-ES"/>
        </w:rPr>
        <w:t>Artículo</w:t>
      </w:r>
      <w:proofErr w:type="spellEnd"/>
      <w:r>
        <w:rPr>
          <w:lang w:val="es-ES"/>
        </w:rPr>
        <w:t xml:space="preserve"> 19 establece:</w:t>
      </w:r>
      <w:r w:rsidRPr="002134C8">
        <w:rPr>
          <w:lang w:val="es-ES"/>
        </w:rPr>
        <w:t xml:space="preserve"> </w:t>
      </w:r>
      <w:r>
        <w:rPr>
          <w:lang w:val="es-ES"/>
        </w:rPr>
        <w:t>“[c]</w:t>
      </w:r>
      <w:proofErr w:type="spellStart"/>
      <w:r w:rsidRPr="002134C8">
        <w:rPr>
          <w:lang w:val="es-ES"/>
        </w:rPr>
        <w:t>uando</w:t>
      </w:r>
      <w:proofErr w:type="spellEnd"/>
      <w:r w:rsidRPr="002134C8">
        <w:rPr>
          <w:lang w:val="es-ES"/>
        </w:rPr>
        <w:t xml:space="preserve"> la </w:t>
      </w:r>
      <w:proofErr w:type="spellStart"/>
      <w:r w:rsidRPr="002134C8">
        <w:rPr>
          <w:lang w:val="es-ES"/>
        </w:rPr>
        <w:t>detención</w:t>
      </w:r>
      <w:proofErr w:type="spellEnd"/>
      <w:r w:rsidRPr="002134C8">
        <w:rPr>
          <w:lang w:val="es-ES"/>
        </w:rPr>
        <w:t xml:space="preserve"> se practique por autoridades que realicen funciones de apoyo a la seguridad </w:t>
      </w:r>
      <w:proofErr w:type="spellStart"/>
      <w:r w:rsidRPr="002134C8">
        <w:rPr>
          <w:lang w:val="es-ES"/>
        </w:rPr>
        <w:t>pública</w:t>
      </w:r>
      <w:proofErr w:type="spellEnd"/>
      <w:r w:rsidRPr="002134C8">
        <w:rPr>
          <w:lang w:val="es-ES"/>
        </w:rPr>
        <w:t xml:space="preserve">, </w:t>
      </w:r>
      <w:proofErr w:type="spellStart"/>
      <w:r w:rsidRPr="002134C8">
        <w:rPr>
          <w:lang w:val="es-ES"/>
        </w:rPr>
        <w:t>éstas</w:t>
      </w:r>
      <w:proofErr w:type="spellEnd"/>
      <w:r w:rsidRPr="002134C8">
        <w:rPr>
          <w:lang w:val="es-ES"/>
        </w:rPr>
        <w:t xml:space="preserve">, bajo su </w:t>
      </w:r>
      <w:proofErr w:type="spellStart"/>
      <w:r w:rsidRPr="002134C8">
        <w:rPr>
          <w:lang w:val="es-ES"/>
        </w:rPr>
        <w:t>más</w:t>
      </w:r>
      <w:proofErr w:type="spellEnd"/>
      <w:r w:rsidRPr="002134C8">
        <w:rPr>
          <w:lang w:val="es-ES"/>
        </w:rPr>
        <w:t xml:space="preserve"> estricta responsabilidad, </w:t>
      </w:r>
      <w:proofErr w:type="spellStart"/>
      <w:r w:rsidRPr="002134C8">
        <w:rPr>
          <w:lang w:val="es-ES"/>
        </w:rPr>
        <w:t>deberán</w:t>
      </w:r>
      <w:proofErr w:type="spellEnd"/>
      <w:r w:rsidRPr="002134C8">
        <w:rPr>
          <w:lang w:val="es-ES"/>
        </w:rPr>
        <w:t xml:space="preserve"> dar aviso, inmediatamente, de la </w:t>
      </w:r>
      <w:proofErr w:type="spellStart"/>
      <w:r w:rsidRPr="002134C8">
        <w:rPr>
          <w:lang w:val="es-ES"/>
        </w:rPr>
        <w:t>detención</w:t>
      </w:r>
      <w:proofErr w:type="spellEnd"/>
      <w:r w:rsidRPr="002134C8">
        <w:rPr>
          <w:lang w:val="es-ES"/>
        </w:rPr>
        <w:t xml:space="preserve"> a la autoridad policial competente, brindando la </w:t>
      </w:r>
      <w:proofErr w:type="spellStart"/>
      <w:r w:rsidRPr="002134C8">
        <w:rPr>
          <w:lang w:val="es-ES"/>
        </w:rPr>
        <w:t>información</w:t>
      </w:r>
      <w:proofErr w:type="spellEnd"/>
      <w:r w:rsidRPr="002134C8">
        <w:rPr>
          <w:lang w:val="es-ES"/>
        </w:rPr>
        <w:t xml:space="preserve"> necesaria para que </w:t>
      </w:r>
      <w:proofErr w:type="spellStart"/>
      <w:r w:rsidRPr="002134C8">
        <w:rPr>
          <w:lang w:val="es-ES"/>
        </w:rPr>
        <w:t>ésta</w:t>
      </w:r>
      <w:proofErr w:type="spellEnd"/>
      <w:r w:rsidRPr="002134C8">
        <w:rPr>
          <w:lang w:val="es-ES"/>
        </w:rPr>
        <w:t xml:space="preserve"> genere el registro correspondiente, en </w:t>
      </w:r>
      <w:proofErr w:type="spellStart"/>
      <w:r w:rsidRPr="002134C8">
        <w:rPr>
          <w:lang w:val="es-ES"/>
        </w:rPr>
        <w:t>términos</w:t>
      </w:r>
      <w:proofErr w:type="spellEnd"/>
      <w:r w:rsidRPr="002134C8">
        <w:rPr>
          <w:lang w:val="es-ES"/>
        </w:rPr>
        <w:t xml:space="preserve"> de lo establecido por esta Ley</w:t>
      </w:r>
      <w:r>
        <w:rPr>
          <w:lang w:val="es-ES"/>
        </w:rPr>
        <w:t>”</w:t>
      </w:r>
      <w:r w:rsidRPr="002134C8">
        <w:rPr>
          <w:lang w:val="es-ES"/>
        </w:rPr>
        <w:t xml:space="preserve">. </w:t>
      </w:r>
    </w:p>
  </w:footnote>
  <w:footnote w:id="54">
    <w:p w14:paraId="0C9CC4EA" w14:textId="1A06CC1E" w:rsidR="00EB7C26" w:rsidRPr="002134C8" w:rsidRDefault="00EB7C26" w:rsidP="00655467">
      <w:pPr>
        <w:pStyle w:val="Textonotapie"/>
        <w:rPr>
          <w:lang w:val="es-ES"/>
        </w:rPr>
      </w:pPr>
      <w:r>
        <w:rPr>
          <w:rStyle w:val="Refdenotaalpie"/>
        </w:rPr>
        <w:footnoteRef/>
      </w:r>
      <w:r w:rsidRPr="002134C8">
        <w:rPr>
          <w:lang w:val="es-ES"/>
        </w:rPr>
        <w:t xml:space="preserve"> </w:t>
      </w:r>
      <w:r>
        <w:rPr>
          <w:lang w:val="es-ES"/>
        </w:rPr>
        <w:tab/>
        <w:t>El Artículo Quinto Transitorio dispone: “</w:t>
      </w:r>
      <w:r w:rsidR="00E604FF">
        <w:rPr>
          <w:lang w:val="es-ES"/>
        </w:rPr>
        <w:t>[d]</w:t>
      </w:r>
      <w:r w:rsidRPr="002134C8">
        <w:rPr>
          <w:lang w:val="es-ES"/>
        </w:rPr>
        <w:t xml:space="preserve">e conformidad con el </w:t>
      </w:r>
      <w:proofErr w:type="spellStart"/>
      <w:r w:rsidRPr="002134C8">
        <w:rPr>
          <w:lang w:val="es-ES"/>
        </w:rPr>
        <w:t>artículo</w:t>
      </w:r>
      <w:proofErr w:type="spellEnd"/>
      <w:r w:rsidRPr="002134C8">
        <w:rPr>
          <w:lang w:val="es-ES"/>
        </w:rPr>
        <w:t xml:space="preserve"> Quinto Transitorio del Decreto por el que se reforman, adicionan y derogan diversas disposiciones de la </w:t>
      </w:r>
      <w:proofErr w:type="spellStart"/>
      <w:r w:rsidRPr="002134C8">
        <w:rPr>
          <w:lang w:val="es-ES"/>
        </w:rPr>
        <w:t>Constitución</w:t>
      </w:r>
      <w:proofErr w:type="spellEnd"/>
      <w:r w:rsidRPr="002134C8">
        <w:rPr>
          <w:lang w:val="es-ES"/>
        </w:rPr>
        <w:t xml:space="preserve"> </w:t>
      </w:r>
      <w:proofErr w:type="spellStart"/>
      <w:r w:rsidRPr="002134C8">
        <w:rPr>
          <w:lang w:val="es-ES"/>
        </w:rPr>
        <w:t>Política</w:t>
      </w:r>
      <w:proofErr w:type="spellEnd"/>
      <w:r w:rsidRPr="002134C8">
        <w:rPr>
          <w:lang w:val="es-ES"/>
        </w:rPr>
        <w:t xml:space="preserve"> de los Estados Unidos Mexicanos, en materia de Guardia Nacional, publicado en el Diario Oficial de la </w:t>
      </w:r>
      <w:proofErr w:type="spellStart"/>
      <w:r w:rsidRPr="002134C8">
        <w:rPr>
          <w:lang w:val="es-ES"/>
        </w:rPr>
        <w:t>Federación</w:t>
      </w:r>
      <w:proofErr w:type="spellEnd"/>
      <w:r w:rsidRPr="002134C8">
        <w:rPr>
          <w:lang w:val="es-ES"/>
        </w:rPr>
        <w:t xml:space="preserve"> el 26 de marzo de 2019, la Fuerza Armada permanente que realice tareas de seguridad </w:t>
      </w:r>
      <w:proofErr w:type="spellStart"/>
      <w:r w:rsidRPr="002134C8">
        <w:rPr>
          <w:lang w:val="es-ES"/>
        </w:rPr>
        <w:t>pública</w:t>
      </w:r>
      <w:proofErr w:type="spellEnd"/>
      <w:r w:rsidRPr="002134C8">
        <w:rPr>
          <w:lang w:val="es-ES"/>
        </w:rPr>
        <w:t xml:space="preserve"> </w:t>
      </w:r>
      <w:proofErr w:type="spellStart"/>
      <w:r w:rsidRPr="002134C8">
        <w:rPr>
          <w:lang w:val="es-ES"/>
        </w:rPr>
        <w:t>estara</w:t>
      </w:r>
      <w:proofErr w:type="spellEnd"/>
      <w:r w:rsidRPr="002134C8">
        <w:rPr>
          <w:lang w:val="es-ES"/>
        </w:rPr>
        <w:t xml:space="preserve">́ sujeta a lo dispuesto en la presente Ley; en este caso, no </w:t>
      </w:r>
      <w:proofErr w:type="spellStart"/>
      <w:r w:rsidRPr="002134C8">
        <w:rPr>
          <w:lang w:val="es-ES"/>
        </w:rPr>
        <w:t>sera</w:t>
      </w:r>
      <w:proofErr w:type="spellEnd"/>
      <w:r w:rsidRPr="002134C8">
        <w:rPr>
          <w:lang w:val="es-ES"/>
        </w:rPr>
        <w:t xml:space="preserve">́ aplicable lo dispuesto en el </w:t>
      </w:r>
      <w:proofErr w:type="spellStart"/>
      <w:r w:rsidRPr="002134C8">
        <w:rPr>
          <w:lang w:val="es-ES"/>
        </w:rPr>
        <w:t>artículo</w:t>
      </w:r>
      <w:proofErr w:type="spellEnd"/>
      <w:r w:rsidRPr="002134C8">
        <w:rPr>
          <w:lang w:val="es-ES"/>
        </w:rPr>
        <w:t xml:space="preserve"> 19</w:t>
      </w:r>
      <w:r>
        <w:rPr>
          <w:lang w:val="es-ES"/>
        </w:rPr>
        <w:t>”</w:t>
      </w:r>
      <w:r w:rsidR="00E604FF">
        <w:rPr>
          <w:lang w:val="es-ES"/>
        </w:rPr>
        <w:t>.</w:t>
      </w:r>
    </w:p>
  </w:footnote>
  <w:footnote w:id="55">
    <w:p w14:paraId="2AB60DD4" w14:textId="77777777" w:rsidR="00EB7C26" w:rsidRPr="008035EE" w:rsidRDefault="00EB7C26" w:rsidP="00655467">
      <w:pPr>
        <w:pStyle w:val="Textonotapie"/>
        <w:rPr>
          <w:szCs w:val="16"/>
          <w:lang w:val="es-ES"/>
        </w:rPr>
      </w:pPr>
      <w:r w:rsidRPr="008035EE">
        <w:rPr>
          <w:rStyle w:val="Refdenotaalpie"/>
          <w:szCs w:val="16"/>
        </w:rPr>
        <w:footnoteRef/>
      </w:r>
      <w:r w:rsidRPr="008035EE">
        <w:rPr>
          <w:szCs w:val="16"/>
          <w:lang w:val="es-ES"/>
        </w:rPr>
        <w:t xml:space="preserve"> </w:t>
      </w:r>
      <w:r w:rsidRPr="008035EE">
        <w:rPr>
          <w:szCs w:val="16"/>
          <w:lang w:val="es-ES"/>
        </w:rPr>
        <w:tab/>
      </w:r>
      <w:r>
        <w:rPr>
          <w:i/>
          <w:szCs w:val="16"/>
          <w:lang w:val="es-ES"/>
        </w:rPr>
        <w:t xml:space="preserve">Cfr. </w:t>
      </w:r>
      <w:r w:rsidRPr="008035EE">
        <w:rPr>
          <w:szCs w:val="16"/>
          <w:lang w:val="es-ES"/>
        </w:rPr>
        <w:t xml:space="preserve">Escrito de observaciones de los representantes de 5 de septiembre de 2019. </w:t>
      </w:r>
    </w:p>
  </w:footnote>
  <w:footnote w:id="56">
    <w:p w14:paraId="1CFEB90A" w14:textId="168D7C4A" w:rsidR="00EB7C26" w:rsidRPr="008035EE" w:rsidRDefault="00EB7C26" w:rsidP="00260226">
      <w:pPr>
        <w:pStyle w:val="Textonotapie"/>
        <w:rPr>
          <w:szCs w:val="16"/>
          <w:lang w:val="es-ES"/>
        </w:rPr>
      </w:pPr>
      <w:r w:rsidRPr="008035EE">
        <w:rPr>
          <w:rStyle w:val="Refdenotaalpie"/>
          <w:szCs w:val="16"/>
        </w:rPr>
        <w:footnoteRef/>
      </w:r>
      <w:r w:rsidRPr="008035EE">
        <w:rPr>
          <w:szCs w:val="16"/>
          <w:lang w:val="es-ES"/>
        </w:rPr>
        <w:t xml:space="preserve"> </w:t>
      </w:r>
      <w:r w:rsidRPr="008035EE">
        <w:rPr>
          <w:szCs w:val="16"/>
          <w:lang w:val="es-ES"/>
        </w:rPr>
        <w:tab/>
        <w:t xml:space="preserve">En la Sentencia, la Corte observó que “[l]os hechos del presente caso se producen en un contexto de importante presencia militar en el estado de Guerrero en los </w:t>
      </w:r>
      <w:proofErr w:type="spellStart"/>
      <w:r w:rsidRPr="008035EE">
        <w:rPr>
          <w:szCs w:val="16"/>
          <w:lang w:val="es-ES"/>
        </w:rPr>
        <w:t>años</w:t>
      </w:r>
      <w:proofErr w:type="spellEnd"/>
      <w:r w:rsidRPr="008035EE">
        <w:rPr>
          <w:szCs w:val="16"/>
          <w:lang w:val="es-ES"/>
        </w:rPr>
        <w:t xml:space="preserve"> 90, como respuesta estatal al </w:t>
      </w:r>
      <w:proofErr w:type="spellStart"/>
      <w:r w:rsidRPr="008035EE">
        <w:rPr>
          <w:szCs w:val="16"/>
          <w:lang w:val="es-ES"/>
        </w:rPr>
        <w:t>narcotráfico</w:t>
      </w:r>
      <w:proofErr w:type="spellEnd"/>
      <w:r w:rsidRPr="008035EE">
        <w:rPr>
          <w:szCs w:val="16"/>
          <w:lang w:val="es-ES"/>
        </w:rPr>
        <w:t xml:space="preserve"> y a grupos armados como el </w:t>
      </w:r>
      <w:proofErr w:type="spellStart"/>
      <w:r w:rsidRPr="008035EE">
        <w:rPr>
          <w:szCs w:val="16"/>
          <w:lang w:val="es-ES"/>
        </w:rPr>
        <w:t>Ejército</w:t>
      </w:r>
      <w:proofErr w:type="spellEnd"/>
      <w:r w:rsidRPr="008035EE">
        <w:rPr>
          <w:szCs w:val="16"/>
          <w:lang w:val="es-ES"/>
        </w:rPr>
        <w:t xml:space="preserve"> Zapatista de </w:t>
      </w:r>
      <w:proofErr w:type="spellStart"/>
      <w:r w:rsidRPr="008035EE">
        <w:rPr>
          <w:szCs w:val="16"/>
          <w:lang w:val="es-ES"/>
        </w:rPr>
        <w:t>Liberación</w:t>
      </w:r>
      <w:proofErr w:type="spellEnd"/>
      <w:r w:rsidRPr="008035EE">
        <w:rPr>
          <w:szCs w:val="16"/>
          <w:lang w:val="es-ES"/>
        </w:rPr>
        <w:t xml:space="preserve"> Nacional (EZLN) y el </w:t>
      </w:r>
      <w:proofErr w:type="spellStart"/>
      <w:r w:rsidRPr="008035EE">
        <w:rPr>
          <w:szCs w:val="16"/>
          <w:lang w:val="es-ES"/>
        </w:rPr>
        <w:t>Ejército</w:t>
      </w:r>
      <w:proofErr w:type="spellEnd"/>
      <w:r w:rsidRPr="008035EE">
        <w:rPr>
          <w:szCs w:val="16"/>
          <w:lang w:val="es-ES"/>
        </w:rPr>
        <w:t xml:space="preserve"> Popular Revolucionario (EPR)”, la cual “</w:t>
      </w:r>
      <w:proofErr w:type="spellStart"/>
      <w:r w:rsidRPr="008035EE">
        <w:rPr>
          <w:szCs w:val="16"/>
          <w:lang w:val="es-ES"/>
        </w:rPr>
        <w:t>consistio</w:t>
      </w:r>
      <w:proofErr w:type="spellEnd"/>
      <w:r w:rsidRPr="008035EE">
        <w:rPr>
          <w:szCs w:val="16"/>
          <w:lang w:val="es-ES"/>
        </w:rPr>
        <w:t xml:space="preserve">́ en el despliegue de fuerzas armadas en los estados en los cuales operaban estos grupos y donde se desarrollaban actividades de </w:t>
      </w:r>
      <w:proofErr w:type="spellStart"/>
      <w:r w:rsidRPr="008035EE">
        <w:rPr>
          <w:szCs w:val="16"/>
          <w:lang w:val="es-ES"/>
        </w:rPr>
        <w:t>narcotráfico</w:t>
      </w:r>
      <w:proofErr w:type="spellEnd"/>
      <w:r w:rsidRPr="008035EE">
        <w:rPr>
          <w:szCs w:val="16"/>
          <w:lang w:val="es-ES"/>
        </w:rPr>
        <w:t xml:space="preserve">”. Agregó que “a partir de dicha </w:t>
      </w:r>
      <w:proofErr w:type="spellStart"/>
      <w:r w:rsidRPr="008035EE">
        <w:rPr>
          <w:szCs w:val="16"/>
          <w:lang w:val="es-ES"/>
        </w:rPr>
        <w:t>década</w:t>
      </w:r>
      <w:proofErr w:type="spellEnd"/>
      <w:r w:rsidRPr="008035EE">
        <w:rPr>
          <w:szCs w:val="16"/>
          <w:lang w:val="es-ES"/>
        </w:rPr>
        <w:t xml:space="preserve">, las Fuerzas Armadas asumieron funciones y tareas de seguridad </w:t>
      </w:r>
      <w:proofErr w:type="spellStart"/>
      <w:r w:rsidRPr="008035EE">
        <w:rPr>
          <w:szCs w:val="16"/>
          <w:lang w:val="es-ES"/>
        </w:rPr>
        <w:t>pública</w:t>
      </w:r>
      <w:proofErr w:type="spellEnd"/>
      <w:r w:rsidRPr="008035EE">
        <w:rPr>
          <w:szCs w:val="16"/>
          <w:lang w:val="es-ES"/>
        </w:rPr>
        <w:t xml:space="preserve"> en algunos estados, entre ellos Guerrero, a </w:t>
      </w:r>
      <w:proofErr w:type="spellStart"/>
      <w:r w:rsidRPr="008035EE">
        <w:rPr>
          <w:szCs w:val="16"/>
          <w:lang w:val="es-ES"/>
        </w:rPr>
        <w:t>través</w:t>
      </w:r>
      <w:proofErr w:type="spellEnd"/>
      <w:r w:rsidRPr="008035EE">
        <w:rPr>
          <w:szCs w:val="16"/>
          <w:lang w:val="es-ES"/>
        </w:rPr>
        <w:t xml:space="preserve"> del establecimiento de patrullajes en carreteras y caminos, </w:t>
      </w:r>
      <w:proofErr w:type="spellStart"/>
      <w:r w:rsidRPr="008035EE">
        <w:rPr>
          <w:szCs w:val="16"/>
          <w:lang w:val="es-ES"/>
        </w:rPr>
        <w:t>instalación</w:t>
      </w:r>
      <w:proofErr w:type="spellEnd"/>
      <w:r w:rsidRPr="008035EE">
        <w:rPr>
          <w:szCs w:val="16"/>
          <w:lang w:val="es-ES"/>
        </w:rPr>
        <w:t xml:space="preserve"> de retenes, </w:t>
      </w:r>
      <w:proofErr w:type="spellStart"/>
      <w:r w:rsidRPr="008035EE">
        <w:rPr>
          <w:szCs w:val="16"/>
          <w:lang w:val="es-ES"/>
        </w:rPr>
        <w:t>ocupación</w:t>
      </w:r>
      <w:proofErr w:type="spellEnd"/>
      <w:r w:rsidRPr="008035EE">
        <w:rPr>
          <w:szCs w:val="16"/>
          <w:lang w:val="es-ES"/>
        </w:rPr>
        <w:t xml:space="preserve"> de poblados, detenciones e interrogatorios y cateo de domicilios en busca de uniformes, armas y documentos”, y concluyó que este caso “tiene </w:t>
      </w:r>
      <w:proofErr w:type="spellStart"/>
      <w:r w:rsidRPr="008035EE">
        <w:rPr>
          <w:szCs w:val="16"/>
          <w:lang w:val="es-ES"/>
        </w:rPr>
        <w:t>relación</w:t>
      </w:r>
      <w:proofErr w:type="spellEnd"/>
      <w:r w:rsidRPr="008035EE">
        <w:rPr>
          <w:szCs w:val="16"/>
          <w:lang w:val="es-ES"/>
        </w:rPr>
        <w:t xml:space="preserve"> con jurisprudencia previa donde […]</w:t>
      </w:r>
      <w:r w:rsidR="00502DF3">
        <w:rPr>
          <w:szCs w:val="16"/>
          <w:lang w:val="es-ES"/>
        </w:rPr>
        <w:t xml:space="preserve"> </w:t>
      </w:r>
      <w:r w:rsidRPr="008035EE">
        <w:rPr>
          <w:szCs w:val="16"/>
          <w:lang w:val="es-ES"/>
        </w:rPr>
        <w:t xml:space="preserve">se </w:t>
      </w:r>
      <w:proofErr w:type="spellStart"/>
      <w:r w:rsidRPr="008035EE">
        <w:rPr>
          <w:szCs w:val="16"/>
          <w:lang w:val="es-ES"/>
        </w:rPr>
        <w:t>constato</w:t>
      </w:r>
      <w:proofErr w:type="spellEnd"/>
      <w:r w:rsidRPr="008035EE">
        <w:rPr>
          <w:szCs w:val="16"/>
          <w:lang w:val="es-ES"/>
        </w:rPr>
        <w:t xml:space="preserve">́ que la presencia del </w:t>
      </w:r>
      <w:proofErr w:type="spellStart"/>
      <w:r w:rsidRPr="008035EE">
        <w:rPr>
          <w:szCs w:val="16"/>
          <w:lang w:val="es-ES"/>
        </w:rPr>
        <w:t>Ejército</w:t>
      </w:r>
      <w:proofErr w:type="spellEnd"/>
      <w:r w:rsidRPr="008035EE">
        <w:rPr>
          <w:szCs w:val="16"/>
          <w:lang w:val="es-ES"/>
        </w:rPr>
        <w:t xml:space="preserve"> cumpliendo labores policiales en Guerrero ha sido un tema controvertido en </w:t>
      </w:r>
      <w:proofErr w:type="spellStart"/>
      <w:r w:rsidRPr="008035EE">
        <w:rPr>
          <w:szCs w:val="16"/>
          <w:lang w:val="es-ES"/>
        </w:rPr>
        <w:t>relación</w:t>
      </w:r>
      <w:proofErr w:type="spellEnd"/>
      <w:r w:rsidRPr="008035EE">
        <w:rPr>
          <w:szCs w:val="16"/>
          <w:lang w:val="es-ES"/>
        </w:rPr>
        <w:t xml:space="preserve"> con los derechos y libertades individuales y comunitarias, y ha colocado a la </w:t>
      </w:r>
      <w:proofErr w:type="spellStart"/>
      <w:r w:rsidRPr="008035EE">
        <w:rPr>
          <w:szCs w:val="16"/>
          <w:lang w:val="es-ES"/>
        </w:rPr>
        <w:t>población</w:t>
      </w:r>
      <w:proofErr w:type="spellEnd"/>
      <w:r w:rsidRPr="008035EE">
        <w:rPr>
          <w:szCs w:val="16"/>
          <w:lang w:val="es-ES"/>
        </w:rPr>
        <w:t xml:space="preserve"> en una </w:t>
      </w:r>
      <w:proofErr w:type="spellStart"/>
      <w:r w:rsidRPr="008035EE">
        <w:rPr>
          <w:szCs w:val="16"/>
          <w:lang w:val="es-ES"/>
        </w:rPr>
        <w:t>situación</w:t>
      </w:r>
      <w:proofErr w:type="spellEnd"/>
      <w:r w:rsidRPr="008035EE">
        <w:rPr>
          <w:szCs w:val="16"/>
          <w:lang w:val="es-ES"/>
        </w:rPr>
        <w:t xml:space="preserve"> de vulnerabilidad”. </w:t>
      </w:r>
      <w:r w:rsidRPr="00F11DB8">
        <w:rPr>
          <w:rStyle w:val="Textoennegrita"/>
          <w:b w:val="0"/>
          <w:i/>
          <w:color w:val="000000"/>
          <w:szCs w:val="16"/>
          <w:shd w:val="clear" w:color="auto" w:fill="FFFFFF"/>
          <w:lang w:val="es-MX"/>
        </w:rPr>
        <w:t>Caso Cabrera García y Montiel Flores Vs. México</w:t>
      </w:r>
      <w:r>
        <w:rPr>
          <w:rStyle w:val="Textoennegrita"/>
          <w:b w:val="0"/>
          <w:color w:val="000000"/>
          <w:szCs w:val="16"/>
          <w:shd w:val="clear" w:color="auto" w:fill="FFFFFF"/>
          <w:lang w:val="es-MX"/>
        </w:rPr>
        <w:t>,</w:t>
      </w:r>
      <w:r w:rsidRPr="00F11DB8">
        <w:rPr>
          <w:rStyle w:val="Textoennegrita"/>
          <w:b w:val="0"/>
          <w:color w:val="000000"/>
          <w:szCs w:val="16"/>
          <w:shd w:val="clear" w:color="auto" w:fill="FFFFFF"/>
          <w:lang w:val="es-MX"/>
        </w:rPr>
        <w:t xml:space="preserve"> </w:t>
      </w:r>
      <w:r w:rsidRPr="00C11558">
        <w:rPr>
          <w:i/>
          <w:szCs w:val="16"/>
          <w:lang w:val="es-ES"/>
        </w:rPr>
        <w:t>supra</w:t>
      </w:r>
      <w:r w:rsidRPr="00C11558">
        <w:rPr>
          <w:szCs w:val="16"/>
          <w:lang w:val="es-ES"/>
        </w:rPr>
        <w:t xml:space="preserve"> nota 1, </w:t>
      </w:r>
      <w:proofErr w:type="spellStart"/>
      <w:r w:rsidRPr="00C11558">
        <w:rPr>
          <w:szCs w:val="16"/>
          <w:lang w:val="es-ES"/>
        </w:rPr>
        <w:t>parrs</w:t>
      </w:r>
      <w:proofErr w:type="spellEnd"/>
      <w:r w:rsidRPr="00C11558">
        <w:rPr>
          <w:szCs w:val="16"/>
          <w:lang w:val="es-ES"/>
        </w:rPr>
        <w:t>. 81, 82 y 85.</w:t>
      </w:r>
      <w:r w:rsidRPr="008035EE">
        <w:rPr>
          <w:szCs w:val="16"/>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110B3" w14:textId="309BD74F" w:rsidR="00EB7C26" w:rsidRPr="003278E2" w:rsidRDefault="00EB7C26" w:rsidP="003278E2">
    <w:pPr>
      <w:pStyle w:val="Encabezado"/>
      <w:jc w:val="right"/>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3763A"/>
    <w:multiLevelType w:val="hybridMultilevel"/>
    <w:tmpl w:val="A642C08E"/>
    <w:lvl w:ilvl="0" w:tplc="0409001B">
      <w:start w:val="1"/>
      <w:numFmt w:val="lowerRoman"/>
      <w:lvlText w:val="%1."/>
      <w:lvlJc w:val="righ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5E049F8"/>
    <w:multiLevelType w:val="hybridMultilevel"/>
    <w:tmpl w:val="DB388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415CA"/>
    <w:multiLevelType w:val="hybridMultilevel"/>
    <w:tmpl w:val="1D9677BC"/>
    <w:lvl w:ilvl="0" w:tplc="0409001B">
      <w:start w:val="1"/>
      <w:numFmt w:val="lowerRoman"/>
      <w:lvlText w:val="%1."/>
      <w:lvlJc w:val="right"/>
      <w:pPr>
        <w:ind w:left="3184" w:hanging="360"/>
      </w:pPr>
    </w:lvl>
    <w:lvl w:ilvl="1" w:tplc="04090019" w:tentative="1">
      <w:start w:val="1"/>
      <w:numFmt w:val="lowerLetter"/>
      <w:lvlText w:val="%2."/>
      <w:lvlJc w:val="left"/>
      <w:pPr>
        <w:ind w:left="3904" w:hanging="360"/>
      </w:pPr>
    </w:lvl>
    <w:lvl w:ilvl="2" w:tplc="0409001B" w:tentative="1">
      <w:start w:val="1"/>
      <w:numFmt w:val="lowerRoman"/>
      <w:lvlText w:val="%3."/>
      <w:lvlJc w:val="right"/>
      <w:pPr>
        <w:ind w:left="4624" w:hanging="180"/>
      </w:pPr>
    </w:lvl>
    <w:lvl w:ilvl="3" w:tplc="0409000F" w:tentative="1">
      <w:start w:val="1"/>
      <w:numFmt w:val="decimal"/>
      <w:lvlText w:val="%4."/>
      <w:lvlJc w:val="left"/>
      <w:pPr>
        <w:ind w:left="5344" w:hanging="360"/>
      </w:pPr>
    </w:lvl>
    <w:lvl w:ilvl="4" w:tplc="04090019" w:tentative="1">
      <w:start w:val="1"/>
      <w:numFmt w:val="lowerLetter"/>
      <w:lvlText w:val="%5."/>
      <w:lvlJc w:val="left"/>
      <w:pPr>
        <w:ind w:left="6064" w:hanging="360"/>
      </w:pPr>
    </w:lvl>
    <w:lvl w:ilvl="5" w:tplc="0409001B" w:tentative="1">
      <w:start w:val="1"/>
      <w:numFmt w:val="lowerRoman"/>
      <w:lvlText w:val="%6."/>
      <w:lvlJc w:val="right"/>
      <w:pPr>
        <w:ind w:left="6784" w:hanging="180"/>
      </w:pPr>
    </w:lvl>
    <w:lvl w:ilvl="6" w:tplc="0409000F" w:tentative="1">
      <w:start w:val="1"/>
      <w:numFmt w:val="decimal"/>
      <w:lvlText w:val="%7."/>
      <w:lvlJc w:val="left"/>
      <w:pPr>
        <w:ind w:left="7504" w:hanging="360"/>
      </w:pPr>
    </w:lvl>
    <w:lvl w:ilvl="7" w:tplc="04090019" w:tentative="1">
      <w:start w:val="1"/>
      <w:numFmt w:val="lowerLetter"/>
      <w:lvlText w:val="%8."/>
      <w:lvlJc w:val="left"/>
      <w:pPr>
        <w:ind w:left="8224" w:hanging="360"/>
      </w:pPr>
    </w:lvl>
    <w:lvl w:ilvl="8" w:tplc="0409001B" w:tentative="1">
      <w:start w:val="1"/>
      <w:numFmt w:val="lowerRoman"/>
      <w:lvlText w:val="%9."/>
      <w:lvlJc w:val="right"/>
      <w:pPr>
        <w:ind w:left="8944" w:hanging="180"/>
      </w:pPr>
    </w:lvl>
  </w:abstractNum>
  <w:abstractNum w:abstractNumId="4" w15:restartNumberingAfterBreak="0">
    <w:nsid w:val="393014FD"/>
    <w:multiLevelType w:val="hybridMultilevel"/>
    <w:tmpl w:val="7B561A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066405E"/>
    <w:multiLevelType w:val="multilevel"/>
    <w:tmpl w:val="A642C08E"/>
    <w:numStyleLink w:val="CurrentList1"/>
  </w:abstractNum>
  <w:abstractNum w:abstractNumId="6" w15:restartNumberingAfterBreak="0">
    <w:nsid w:val="4BBE0E90"/>
    <w:multiLevelType w:val="hybridMultilevel"/>
    <w:tmpl w:val="B54E04A2"/>
    <w:lvl w:ilvl="0" w:tplc="3938730A">
      <w:start w:val="1"/>
      <w:numFmt w:val="decimal"/>
      <w:lvlText w:val="%1."/>
      <w:lvlJc w:val="left"/>
      <w:pPr>
        <w:ind w:left="360" w:hanging="360"/>
      </w:pPr>
      <w:rPr>
        <w:rFonts w:ascii="Verdana" w:hAnsi="Verdana"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3437EEB"/>
    <w:multiLevelType w:val="hybridMultilevel"/>
    <w:tmpl w:val="88B64E9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49F0C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0" w15:restartNumberingAfterBreak="0">
    <w:nsid w:val="5D11103A"/>
    <w:multiLevelType w:val="hybridMultilevel"/>
    <w:tmpl w:val="B6A20FD0"/>
    <w:lvl w:ilvl="0" w:tplc="BCDA839A">
      <w:start w:val="1"/>
      <w:numFmt w:val="upperLetter"/>
      <w:lvlText w:val="%1."/>
      <w:lvlJc w:val="left"/>
      <w:pPr>
        <w:ind w:left="720" w:hanging="360"/>
      </w:pPr>
      <w:rPr>
        <w:rFonts w:ascii="Verdana" w:hAnsi="Verdana" w:hint="default"/>
        <w:b/>
        <w:i/>
        <w:color w:val="000000" w:themeColor="text1"/>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05430E0"/>
    <w:multiLevelType w:val="hybridMultilevel"/>
    <w:tmpl w:val="99DAE5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A97B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8B6260"/>
    <w:multiLevelType w:val="multilevel"/>
    <w:tmpl w:val="A642C08E"/>
    <w:styleLink w:val="CurrentList1"/>
    <w:lvl w:ilvl="0">
      <w:start w:val="1"/>
      <w:numFmt w:val="lowerRoman"/>
      <w:lvlText w:val="%1."/>
      <w:lvlJc w:val="right"/>
      <w:pPr>
        <w:ind w:left="36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630F7B"/>
    <w:multiLevelType w:val="hybridMultilevel"/>
    <w:tmpl w:val="E392EA52"/>
    <w:lvl w:ilvl="0" w:tplc="F904C440">
      <w:start w:val="1"/>
      <w:numFmt w:val="decimal"/>
      <w:lvlText w:val="%1."/>
      <w:lvlJc w:val="left"/>
      <w:pPr>
        <w:ind w:left="360" w:hanging="360"/>
      </w:pPr>
      <w:rPr>
        <w:rFonts w:ascii="Verdana" w:hAnsi="Verdana" w:hint="default"/>
        <w:b w:val="0"/>
        <w:i w:val="0"/>
        <w:color w:val="auto"/>
        <w:sz w:val="20"/>
      </w:rPr>
    </w:lvl>
    <w:lvl w:ilvl="1" w:tplc="04090019">
      <w:start w:val="1"/>
      <w:numFmt w:val="lowerLetter"/>
      <w:lvlText w:val="%2."/>
      <w:lvlJc w:val="left"/>
      <w:pPr>
        <w:ind w:left="1440" w:hanging="360"/>
      </w:pPr>
    </w:lvl>
    <w:lvl w:ilvl="2" w:tplc="EB48BB0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066BCA"/>
    <w:multiLevelType w:val="hybridMultilevel"/>
    <w:tmpl w:val="99DAE5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0"/>
  </w:num>
  <w:num w:numId="8">
    <w:abstractNumId w:val="3"/>
  </w:num>
  <w:num w:numId="9">
    <w:abstractNumId w:val="13"/>
  </w:num>
  <w:num w:numId="10">
    <w:abstractNumId w:val="5"/>
  </w:num>
  <w:num w:numId="11">
    <w:abstractNumId w:val="1"/>
  </w:num>
  <w:num w:numId="12">
    <w:abstractNumId w:val="8"/>
  </w:num>
  <w:num w:numId="13">
    <w:abstractNumId w:val="12"/>
  </w:num>
  <w:num w:numId="14">
    <w:abstractNumId w:val="7"/>
  </w:num>
  <w:num w:numId="15">
    <w:abstractNumId w:val="11"/>
  </w:num>
  <w:num w:numId="1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3504"/>
    <w:rsid w:val="000038F5"/>
    <w:rsid w:val="00003923"/>
    <w:rsid w:val="00003DD0"/>
    <w:rsid w:val="00004D1D"/>
    <w:rsid w:val="000058B5"/>
    <w:rsid w:val="0000710E"/>
    <w:rsid w:val="00007F05"/>
    <w:rsid w:val="00010DCD"/>
    <w:rsid w:val="000110EB"/>
    <w:rsid w:val="00012E0C"/>
    <w:rsid w:val="00013935"/>
    <w:rsid w:val="0001409C"/>
    <w:rsid w:val="0001597E"/>
    <w:rsid w:val="0001622E"/>
    <w:rsid w:val="00016C98"/>
    <w:rsid w:val="00017502"/>
    <w:rsid w:val="00017825"/>
    <w:rsid w:val="00017B9F"/>
    <w:rsid w:val="000217EC"/>
    <w:rsid w:val="00022D40"/>
    <w:rsid w:val="0002331E"/>
    <w:rsid w:val="000249A2"/>
    <w:rsid w:val="00024FDB"/>
    <w:rsid w:val="00025121"/>
    <w:rsid w:val="00025E1F"/>
    <w:rsid w:val="00026350"/>
    <w:rsid w:val="00026DC1"/>
    <w:rsid w:val="000273AB"/>
    <w:rsid w:val="00031437"/>
    <w:rsid w:val="00031668"/>
    <w:rsid w:val="00031DDA"/>
    <w:rsid w:val="00033477"/>
    <w:rsid w:val="00033AA7"/>
    <w:rsid w:val="000352C3"/>
    <w:rsid w:val="000352EB"/>
    <w:rsid w:val="000365B6"/>
    <w:rsid w:val="000371F9"/>
    <w:rsid w:val="00040325"/>
    <w:rsid w:val="00041950"/>
    <w:rsid w:val="000443D8"/>
    <w:rsid w:val="00046038"/>
    <w:rsid w:val="00050436"/>
    <w:rsid w:val="00051128"/>
    <w:rsid w:val="0005199E"/>
    <w:rsid w:val="00051FC7"/>
    <w:rsid w:val="00052D15"/>
    <w:rsid w:val="00055C9A"/>
    <w:rsid w:val="00056C5E"/>
    <w:rsid w:val="00060B32"/>
    <w:rsid w:val="00060B8A"/>
    <w:rsid w:val="000625E8"/>
    <w:rsid w:val="000639C1"/>
    <w:rsid w:val="00063C45"/>
    <w:rsid w:val="000640FA"/>
    <w:rsid w:val="0006432B"/>
    <w:rsid w:val="0006513B"/>
    <w:rsid w:val="000655F7"/>
    <w:rsid w:val="0006590A"/>
    <w:rsid w:val="00067B20"/>
    <w:rsid w:val="00070B30"/>
    <w:rsid w:val="00070D82"/>
    <w:rsid w:val="0007219A"/>
    <w:rsid w:val="000775C6"/>
    <w:rsid w:val="00077FEA"/>
    <w:rsid w:val="000809C1"/>
    <w:rsid w:val="00080C1D"/>
    <w:rsid w:val="00080F74"/>
    <w:rsid w:val="00081064"/>
    <w:rsid w:val="00082EC8"/>
    <w:rsid w:val="00083684"/>
    <w:rsid w:val="00084CC2"/>
    <w:rsid w:val="0008503F"/>
    <w:rsid w:val="00085BE4"/>
    <w:rsid w:val="0008721B"/>
    <w:rsid w:val="000905B4"/>
    <w:rsid w:val="00091496"/>
    <w:rsid w:val="00091A25"/>
    <w:rsid w:val="000930D5"/>
    <w:rsid w:val="00093CA9"/>
    <w:rsid w:val="000945C0"/>
    <w:rsid w:val="000962F2"/>
    <w:rsid w:val="000970B3"/>
    <w:rsid w:val="0009771F"/>
    <w:rsid w:val="00097783"/>
    <w:rsid w:val="000A0204"/>
    <w:rsid w:val="000A1B34"/>
    <w:rsid w:val="000A28B7"/>
    <w:rsid w:val="000A604C"/>
    <w:rsid w:val="000A6F77"/>
    <w:rsid w:val="000A78C1"/>
    <w:rsid w:val="000B0327"/>
    <w:rsid w:val="000B0732"/>
    <w:rsid w:val="000B0AC1"/>
    <w:rsid w:val="000B1BCB"/>
    <w:rsid w:val="000B4AA5"/>
    <w:rsid w:val="000B5AAC"/>
    <w:rsid w:val="000B5CA3"/>
    <w:rsid w:val="000B7ECC"/>
    <w:rsid w:val="000C0D9E"/>
    <w:rsid w:val="000C1441"/>
    <w:rsid w:val="000C36CD"/>
    <w:rsid w:val="000C42A4"/>
    <w:rsid w:val="000C4C20"/>
    <w:rsid w:val="000C58D2"/>
    <w:rsid w:val="000D03EF"/>
    <w:rsid w:val="000D07FC"/>
    <w:rsid w:val="000D1EDA"/>
    <w:rsid w:val="000D3208"/>
    <w:rsid w:val="000D410F"/>
    <w:rsid w:val="000D69E0"/>
    <w:rsid w:val="000D77B5"/>
    <w:rsid w:val="000D7CFA"/>
    <w:rsid w:val="000E0D1B"/>
    <w:rsid w:val="000E1F9E"/>
    <w:rsid w:val="000E2195"/>
    <w:rsid w:val="000E26E3"/>
    <w:rsid w:val="000E3930"/>
    <w:rsid w:val="000E5A39"/>
    <w:rsid w:val="000E5C2D"/>
    <w:rsid w:val="000E6870"/>
    <w:rsid w:val="000E6B05"/>
    <w:rsid w:val="000F0C6F"/>
    <w:rsid w:val="000F70C5"/>
    <w:rsid w:val="001001E8"/>
    <w:rsid w:val="00100535"/>
    <w:rsid w:val="001010E8"/>
    <w:rsid w:val="0010385B"/>
    <w:rsid w:val="00105A53"/>
    <w:rsid w:val="00105A95"/>
    <w:rsid w:val="00110C32"/>
    <w:rsid w:val="00113B80"/>
    <w:rsid w:val="00114AE6"/>
    <w:rsid w:val="001161B0"/>
    <w:rsid w:val="00117D60"/>
    <w:rsid w:val="00121C55"/>
    <w:rsid w:val="00121FAF"/>
    <w:rsid w:val="00123855"/>
    <w:rsid w:val="00124995"/>
    <w:rsid w:val="001259D6"/>
    <w:rsid w:val="00126E94"/>
    <w:rsid w:val="001275E8"/>
    <w:rsid w:val="0013023E"/>
    <w:rsid w:val="0013027E"/>
    <w:rsid w:val="00130B3C"/>
    <w:rsid w:val="001314DD"/>
    <w:rsid w:val="001320E1"/>
    <w:rsid w:val="00132F93"/>
    <w:rsid w:val="00134ADD"/>
    <w:rsid w:val="001352F0"/>
    <w:rsid w:val="00135D43"/>
    <w:rsid w:val="001361AE"/>
    <w:rsid w:val="00137288"/>
    <w:rsid w:val="0014034D"/>
    <w:rsid w:val="00140988"/>
    <w:rsid w:val="001412BD"/>
    <w:rsid w:val="00143B69"/>
    <w:rsid w:val="00143DFB"/>
    <w:rsid w:val="00144F4C"/>
    <w:rsid w:val="00145CDA"/>
    <w:rsid w:val="00146651"/>
    <w:rsid w:val="00146898"/>
    <w:rsid w:val="001478E2"/>
    <w:rsid w:val="00151621"/>
    <w:rsid w:val="00152C2E"/>
    <w:rsid w:val="001534B3"/>
    <w:rsid w:val="00153814"/>
    <w:rsid w:val="001544EB"/>
    <w:rsid w:val="00155410"/>
    <w:rsid w:val="00155559"/>
    <w:rsid w:val="001565D1"/>
    <w:rsid w:val="00157AEA"/>
    <w:rsid w:val="00160A29"/>
    <w:rsid w:val="00161502"/>
    <w:rsid w:val="00162412"/>
    <w:rsid w:val="00162EF7"/>
    <w:rsid w:val="00163DC6"/>
    <w:rsid w:val="0016447E"/>
    <w:rsid w:val="0016697C"/>
    <w:rsid w:val="00166CAE"/>
    <w:rsid w:val="0016766B"/>
    <w:rsid w:val="00167A2F"/>
    <w:rsid w:val="001715E8"/>
    <w:rsid w:val="0017242F"/>
    <w:rsid w:val="00172C05"/>
    <w:rsid w:val="0017592A"/>
    <w:rsid w:val="0017676E"/>
    <w:rsid w:val="00176D3A"/>
    <w:rsid w:val="00176E8E"/>
    <w:rsid w:val="00177909"/>
    <w:rsid w:val="001802A2"/>
    <w:rsid w:val="00180360"/>
    <w:rsid w:val="001804A1"/>
    <w:rsid w:val="00180652"/>
    <w:rsid w:val="00180654"/>
    <w:rsid w:val="001811F3"/>
    <w:rsid w:val="001812EE"/>
    <w:rsid w:val="001820D5"/>
    <w:rsid w:val="00183149"/>
    <w:rsid w:val="00184AE8"/>
    <w:rsid w:val="00186B3B"/>
    <w:rsid w:val="00187267"/>
    <w:rsid w:val="0019140A"/>
    <w:rsid w:val="001A1D13"/>
    <w:rsid w:val="001A260B"/>
    <w:rsid w:val="001A2A41"/>
    <w:rsid w:val="001A5708"/>
    <w:rsid w:val="001A5F35"/>
    <w:rsid w:val="001A6BFC"/>
    <w:rsid w:val="001A7065"/>
    <w:rsid w:val="001A762A"/>
    <w:rsid w:val="001B0739"/>
    <w:rsid w:val="001B0F43"/>
    <w:rsid w:val="001B1B5E"/>
    <w:rsid w:val="001B20E6"/>
    <w:rsid w:val="001B2CED"/>
    <w:rsid w:val="001B2E5D"/>
    <w:rsid w:val="001B3D6F"/>
    <w:rsid w:val="001B3D77"/>
    <w:rsid w:val="001B58C0"/>
    <w:rsid w:val="001B5950"/>
    <w:rsid w:val="001B5A15"/>
    <w:rsid w:val="001B5FBB"/>
    <w:rsid w:val="001B6D4A"/>
    <w:rsid w:val="001B78C9"/>
    <w:rsid w:val="001C0FA6"/>
    <w:rsid w:val="001C133B"/>
    <w:rsid w:val="001C1364"/>
    <w:rsid w:val="001C28F2"/>
    <w:rsid w:val="001C3560"/>
    <w:rsid w:val="001C4211"/>
    <w:rsid w:val="001C618B"/>
    <w:rsid w:val="001C640D"/>
    <w:rsid w:val="001C672F"/>
    <w:rsid w:val="001C7154"/>
    <w:rsid w:val="001C7E1C"/>
    <w:rsid w:val="001D39C5"/>
    <w:rsid w:val="001D4E2A"/>
    <w:rsid w:val="001D516F"/>
    <w:rsid w:val="001D790A"/>
    <w:rsid w:val="001D7E9D"/>
    <w:rsid w:val="001E0D90"/>
    <w:rsid w:val="001E10A9"/>
    <w:rsid w:val="001E17E7"/>
    <w:rsid w:val="001E50CA"/>
    <w:rsid w:val="001E6D8D"/>
    <w:rsid w:val="001E7DE0"/>
    <w:rsid w:val="001F1D8E"/>
    <w:rsid w:val="001F2E66"/>
    <w:rsid w:val="001F41D5"/>
    <w:rsid w:val="001F5E59"/>
    <w:rsid w:val="001F6A2B"/>
    <w:rsid w:val="001F7CBD"/>
    <w:rsid w:val="00202E93"/>
    <w:rsid w:val="002039E9"/>
    <w:rsid w:val="002043DE"/>
    <w:rsid w:val="00204DC3"/>
    <w:rsid w:val="00205C1A"/>
    <w:rsid w:val="00206F29"/>
    <w:rsid w:val="0021111B"/>
    <w:rsid w:val="00212328"/>
    <w:rsid w:val="002129BC"/>
    <w:rsid w:val="0021321C"/>
    <w:rsid w:val="002134C8"/>
    <w:rsid w:val="00213A0D"/>
    <w:rsid w:val="00215EC6"/>
    <w:rsid w:val="002160C1"/>
    <w:rsid w:val="0021728C"/>
    <w:rsid w:val="00217507"/>
    <w:rsid w:val="002176FF"/>
    <w:rsid w:val="00220B2F"/>
    <w:rsid w:val="00220EE1"/>
    <w:rsid w:val="00221757"/>
    <w:rsid w:val="002219A4"/>
    <w:rsid w:val="00222CCA"/>
    <w:rsid w:val="00225635"/>
    <w:rsid w:val="00227115"/>
    <w:rsid w:val="002276FD"/>
    <w:rsid w:val="00227D74"/>
    <w:rsid w:val="00227FB2"/>
    <w:rsid w:val="00231394"/>
    <w:rsid w:val="002313CD"/>
    <w:rsid w:val="00232877"/>
    <w:rsid w:val="00233FE2"/>
    <w:rsid w:val="002341E5"/>
    <w:rsid w:val="002347F2"/>
    <w:rsid w:val="0023592D"/>
    <w:rsid w:val="00236F94"/>
    <w:rsid w:val="0023793B"/>
    <w:rsid w:val="00240DF1"/>
    <w:rsid w:val="002413FF"/>
    <w:rsid w:val="00243DF3"/>
    <w:rsid w:val="00245426"/>
    <w:rsid w:val="00246288"/>
    <w:rsid w:val="00246F23"/>
    <w:rsid w:val="00247CEA"/>
    <w:rsid w:val="002500CB"/>
    <w:rsid w:val="00251113"/>
    <w:rsid w:val="0025421C"/>
    <w:rsid w:val="00254F3A"/>
    <w:rsid w:val="00255565"/>
    <w:rsid w:val="00255BE4"/>
    <w:rsid w:val="00256772"/>
    <w:rsid w:val="002569FA"/>
    <w:rsid w:val="00260226"/>
    <w:rsid w:val="002614F3"/>
    <w:rsid w:val="002615DE"/>
    <w:rsid w:val="00262FF2"/>
    <w:rsid w:val="0026371A"/>
    <w:rsid w:val="00263A67"/>
    <w:rsid w:val="00265322"/>
    <w:rsid w:val="0026615E"/>
    <w:rsid w:val="00267BBC"/>
    <w:rsid w:val="00270529"/>
    <w:rsid w:val="0027143C"/>
    <w:rsid w:val="00271E29"/>
    <w:rsid w:val="002753E0"/>
    <w:rsid w:val="00275BFE"/>
    <w:rsid w:val="0027692D"/>
    <w:rsid w:val="002774AE"/>
    <w:rsid w:val="00277719"/>
    <w:rsid w:val="00277875"/>
    <w:rsid w:val="002821A0"/>
    <w:rsid w:val="00283B03"/>
    <w:rsid w:val="00285574"/>
    <w:rsid w:val="0028666D"/>
    <w:rsid w:val="00287012"/>
    <w:rsid w:val="00290E0C"/>
    <w:rsid w:val="00291FA4"/>
    <w:rsid w:val="002922F4"/>
    <w:rsid w:val="00292954"/>
    <w:rsid w:val="00293029"/>
    <w:rsid w:val="00295245"/>
    <w:rsid w:val="00296583"/>
    <w:rsid w:val="00297596"/>
    <w:rsid w:val="00297CB3"/>
    <w:rsid w:val="002A1D2B"/>
    <w:rsid w:val="002A20A3"/>
    <w:rsid w:val="002A2BDE"/>
    <w:rsid w:val="002A41BB"/>
    <w:rsid w:val="002A46EF"/>
    <w:rsid w:val="002A6168"/>
    <w:rsid w:val="002A72DB"/>
    <w:rsid w:val="002B18FA"/>
    <w:rsid w:val="002B1B9B"/>
    <w:rsid w:val="002B1C62"/>
    <w:rsid w:val="002B26E7"/>
    <w:rsid w:val="002B3D4A"/>
    <w:rsid w:val="002B435A"/>
    <w:rsid w:val="002B47BC"/>
    <w:rsid w:val="002B5858"/>
    <w:rsid w:val="002B6AC9"/>
    <w:rsid w:val="002B6AE5"/>
    <w:rsid w:val="002B6B30"/>
    <w:rsid w:val="002B7704"/>
    <w:rsid w:val="002B7F9D"/>
    <w:rsid w:val="002C0B54"/>
    <w:rsid w:val="002C0CB6"/>
    <w:rsid w:val="002C1C80"/>
    <w:rsid w:val="002C21D8"/>
    <w:rsid w:val="002C30E5"/>
    <w:rsid w:val="002C3BDB"/>
    <w:rsid w:val="002C6465"/>
    <w:rsid w:val="002C6F17"/>
    <w:rsid w:val="002D0815"/>
    <w:rsid w:val="002D3079"/>
    <w:rsid w:val="002D34E9"/>
    <w:rsid w:val="002D40E5"/>
    <w:rsid w:val="002D5565"/>
    <w:rsid w:val="002D71C8"/>
    <w:rsid w:val="002D71DF"/>
    <w:rsid w:val="002E2061"/>
    <w:rsid w:val="002E2656"/>
    <w:rsid w:val="002E349F"/>
    <w:rsid w:val="002E3EA4"/>
    <w:rsid w:val="002E5946"/>
    <w:rsid w:val="002E6A34"/>
    <w:rsid w:val="002E7466"/>
    <w:rsid w:val="002E75A1"/>
    <w:rsid w:val="002E7F61"/>
    <w:rsid w:val="002F219A"/>
    <w:rsid w:val="002F390F"/>
    <w:rsid w:val="002F42A4"/>
    <w:rsid w:val="002F5B12"/>
    <w:rsid w:val="003042B8"/>
    <w:rsid w:val="003054B4"/>
    <w:rsid w:val="00305A0D"/>
    <w:rsid w:val="0030618C"/>
    <w:rsid w:val="00306C1A"/>
    <w:rsid w:val="00310439"/>
    <w:rsid w:val="003106DF"/>
    <w:rsid w:val="00312631"/>
    <w:rsid w:val="00312B40"/>
    <w:rsid w:val="003156FE"/>
    <w:rsid w:val="00315DAE"/>
    <w:rsid w:val="003161B4"/>
    <w:rsid w:val="00317664"/>
    <w:rsid w:val="00321114"/>
    <w:rsid w:val="003213E7"/>
    <w:rsid w:val="003235D6"/>
    <w:rsid w:val="00325F28"/>
    <w:rsid w:val="00326300"/>
    <w:rsid w:val="00326C34"/>
    <w:rsid w:val="00326E94"/>
    <w:rsid w:val="003278E2"/>
    <w:rsid w:val="00327D80"/>
    <w:rsid w:val="00327DAC"/>
    <w:rsid w:val="00327DB0"/>
    <w:rsid w:val="00331EFF"/>
    <w:rsid w:val="00333DD8"/>
    <w:rsid w:val="003341B0"/>
    <w:rsid w:val="00335159"/>
    <w:rsid w:val="00337E71"/>
    <w:rsid w:val="00340ABD"/>
    <w:rsid w:val="0034143B"/>
    <w:rsid w:val="003415B4"/>
    <w:rsid w:val="003456CE"/>
    <w:rsid w:val="00345BE8"/>
    <w:rsid w:val="003467B3"/>
    <w:rsid w:val="00352E7B"/>
    <w:rsid w:val="00352EED"/>
    <w:rsid w:val="00355646"/>
    <w:rsid w:val="003574BB"/>
    <w:rsid w:val="00361B01"/>
    <w:rsid w:val="0036321B"/>
    <w:rsid w:val="003633F3"/>
    <w:rsid w:val="00363E8C"/>
    <w:rsid w:val="00364AF9"/>
    <w:rsid w:val="0036585E"/>
    <w:rsid w:val="00365DE4"/>
    <w:rsid w:val="00365FE6"/>
    <w:rsid w:val="00366381"/>
    <w:rsid w:val="00366601"/>
    <w:rsid w:val="00366A6B"/>
    <w:rsid w:val="00370BA7"/>
    <w:rsid w:val="0037100D"/>
    <w:rsid w:val="00374695"/>
    <w:rsid w:val="00375293"/>
    <w:rsid w:val="003768D3"/>
    <w:rsid w:val="003828D3"/>
    <w:rsid w:val="00382BBE"/>
    <w:rsid w:val="0038381F"/>
    <w:rsid w:val="0038458F"/>
    <w:rsid w:val="00384A0C"/>
    <w:rsid w:val="00385DB7"/>
    <w:rsid w:val="00386535"/>
    <w:rsid w:val="00386ADF"/>
    <w:rsid w:val="0038719F"/>
    <w:rsid w:val="00387EE7"/>
    <w:rsid w:val="003936B7"/>
    <w:rsid w:val="00397CA7"/>
    <w:rsid w:val="003A0309"/>
    <w:rsid w:val="003A0845"/>
    <w:rsid w:val="003A2A12"/>
    <w:rsid w:val="003A3772"/>
    <w:rsid w:val="003A3D5B"/>
    <w:rsid w:val="003A41F4"/>
    <w:rsid w:val="003A6027"/>
    <w:rsid w:val="003A677F"/>
    <w:rsid w:val="003A6A93"/>
    <w:rsid w:val="003A6CD2"/>
    <w:rsid w:val="003A784A"/>
    <w:rsid w:val="003B0B40"/>
    <w:rsid w:val="003B275A"/>
    <w:rsid w:val="003B2C56"/>
    <w:rsid w:val="003B39FC"/>
    <w:rsid w:val="003B53E2"/>
    <w:rsid w:val="003B5CBB"/>
    <w:rsid w:val="003B7782"/>
    <w:rsid w:val="003C0F11"/>
    <w:rsid w:val="003C199C"/>
    <w:rsid w:val="003C3584"/>
    <w:rsid w:val="003C3631"/>
    <w:rsid w:val="003C3DC0"/>
    <w:rsid w:val="003C4E03"/>
    <w:rsid w:val="003C634F"/>
    <w:rsid w:val="003C794A"/>
    <w:rsid w:val="003D068E"/>
    <w:rsid w:val="003D08F7"/>
    <w:rsid w:val="003D265B"/>
    <w:rsid w:val="003D4287"/>
    <w:rsid w:val="003D45AD"/>
    <w:rsid w:val="003D4BFA"/>
    <w:rsid w:val="003D4ED6"/>
    <w:rsid w:val="003D5216"/>
    <w:rsid w:val="003D52BE"/>
    <w:rsid w:val="003D67F8"/>
    <w:rsid w:val="003D71C3"/>
    <w:rsid w:val="003E380E"/>
    <w:rsid w:val="003E7291"/>
    <w:rsid w:val="003F0B18"/>
    <w:rsid w:val="003F2D1B"/>
    <w:rsid w:val="003F4AE3"/>
    <w:rsid w:val="003F7FA9"/>
    <w:rsid w:val="00400143"/>
    <w:rsid w:val="00400664"/>
    <w:rsid w:val="00401521"/>
    <w:rsid w:val="00401EA8"/>
    <w:rsid w:val="00404625"/>
    <w:rsid w:val="00404B65"/>
    <w:rsid w:val="004053DD"/>
    <w:rsid w:val="00406087"/>
    <w:rsid w:val="004064A6"/>
    <w:rsid w:val="00407B46"/>
    <w:rsid w:val="00407DF5"/>
    <w:rsid w:val="004106FA"/>
    <w:rsid w:val="004108F3"/>
    <w:rsid w:val="00410F49"/>
    <w:rsid w:val="00411788"/>
    <w:rsid w:val="00412787"/>
    <w:rsid w:val="004152E8"/>
    <w:rsid w:val="004173A9"/>
    <w:rsid w:val="004219BC"/>
    <w:rsid w:val="00421ACB"/>
    <w:rsid w:val="00422215"/>
    <w:rsid w:val="00422792"/>
    <w:rsid w:val="004234C7"/>
    <w:rsid w:val="00423BF0"/>
    <w:rsid w:val="004240F6"/>
    <w:rsid w:val="00424205"/>
    <w:rsid w:val="004250AC"/>
    <w:rsid w:val="004266FD"/>
    <w:rsid w:val="00426793"/>
    <w:rsid w:val="00426A85"/>
    <w:rsid w:val="00430072"/>
    <w:rsid w:val="0043025D"/>
    <w:rsid w:val="004304D5"/>
    <w:rsid w:val="00430781"/>
    <w:rsid w:val="004312B5"/>
    <w:rsid w:val="00432DD5"/>
    <w:rsid w:val="0043348C"/>
    <w:rsid w:val="0043388E"/>
    <w:rsid w:val="004340AB"/>
    <w:rsid w:val="00434FCE"/>
    <w:rsid w:val="00435224"/>
    <w:rsid w:val="00435E78"/>
    <w:rsid w:val="00436CB7"/>
    <w:rsid w:val="00436D6E"/>
    <w:rsid w:val="0043724B"/>
    <w:rsid w:val="00440A24"/>
    <w:rsid w:val="0044432D"/>
    <w:rsid w:val="0044455C"/>
    <w:rsid w:val="00447A27"/>
    <w:rsid w:val="00447A4F"/>
    <w:rsid w:val="00451AE0"/>
    <w:rsid w:val="00451B69"/>
    <w:rsid w:val="00452347"/>
    <w:rsid w:val="00453336"/>
    <w:rsid w:val="00454A76"/>
    <w:rsid w:val="004555EB"/>
    <w:rsid w:val="00457428"/>
    <w:rsid w:val="00461394"/>
    <w:rsid w:val="00461566"/>
    <w:rsid w:val="0046314C"/>
    <w:rsid w:val="00463612"/>
    <w:rsid w:val="00465473"/>
    <w:rsid w:val="00467415"/>
    <w:rsid w:val="0047073E"/>
    <w:rsid w:val="004709BF"/>
    <w:rsid w:val="00471CB2"/>
    <w:rsid w:val="00471FBE"/>
    <w:rsid w:val="0047203B"/>
    <w:rsid w:val="004724B2"/>
    <w:rsid w:val="004740D3"/>
    <w:rsid w:val="00475213"/>
    <w:rsid w:val="00475D0B"/>
    <w:rsid w:val="004803D1"/>
    <w:rsid w:val="004804F2"/>
    <w:rsid w:val="00481582"/>
    <w:rsid w:val="00482CBC"/>
    <w:rsid w:val="00484493"/>
    <w:rsid w:val="004845B0"/>
    <w:rsid w:val="00486FBD"/>
    <w:rsid w:val="0048725A"/>
    <w:rsid w:val="00487877"/>
    <w:rsid w:val="0049008F"/>
    <w:rsid w:val="00490EAE"/>
    <w:rsid w:val="004916A2"/>
    <w:rsid w:val="00491D6A"/>
    <w:rsid w:val="00492441"/>
    <w:rsid w:val="0049268B"/>
    <w:rsid w:val="00492913"/>
    <w:rsid w:val="00492AA4"/>
    <w:rsid w:val="00492AAA"/>
    <w:rsid w:val="004931B2"/>
    <w:rsid w:val="004957BA"/>
    <w:rsid w:val="004964F9"/>
    <w:rsid w:val="004A298B"/>
    <w:rsid w:val="004A4D54"/>
    <w:rsid w:val="004A564F"/>
    <w:rsid w:val="004A5657"/>
    <w:rsid w:val="004A5C50"/>
    <w:rsid w:val="004A7254"/>
    <w:rsid w:val="004A7FBF"/>
    <w:rsid w:val="004B1B2A"/>
    <w:rsid w:val="004B1E34"/>
    <w:rsid w:val="004B1E71"/>
    <w:rsid w:val="004B25D5"/>
    <w:rsid w:val="004B2C69"/>
    <w:rsid w:val="004B3FCB"/>
    <w:rsid w:val="004B5428"/>
    <w:rsid w:val="004B7356"/>
    <w:rsid w:val="004B753A"/>
    <w:rsid w:val="004C04DE"/>
    <w:rsid w:val="004C0600"/>
    <w:rsid w:val="004C10AC"/>
    <w:rsid w:val="004C13B0"/>
    <w:rsid w:val="004C2057"/>
    <w:rsid w:val="004C31AD"/>
    <w:rsid w:val="004C3CC6"/>
    <w:rsid w:val="004C5218"/>
    <w:rsid w:val="004C648D"/>
    <w:rsid w:val="004C6896"/>
    <w:rsid w:val="004C7D91"/>
    <w:rsid w:val="004D0190"/>
    <w:rsid w:val="004D1A58"/>
    <w:rsid w:val="004D1C12"/>
    <w:rsid w:val="004D343D"/>
    <w:rsid w:val="004D6B03"/>
    <w:rsid w:val="004D749C"/>
    <w:rsid w:val="004E038B"/>
    <w:rsid w:val="004E03C5"/>
    <w:rsid w:val="004E0879"/>
    <w:rsid w:val="004E0B5D"/>
    <w:rsid w:val="004E0CAA"/>
    <w:rsid w:val="004E1507"/>
    <w:rsid w:val="004E25B1"/>
    <w:rsid w:val="004E3BA0"/>
    <w:rsid w:val="004E46DF"/>
    <w:rsid w:val="004E4CC9"/>
    <w:rsid w:val="004E4F38"/>
    <w:rsid w:val="004E574B"/>
    <w:rsid w:val="004E61BE"/>
    <w:rsid w:val="004E6EB0"/>
    <w:rsid w:val="004F0015"/>
    <w:rsid w:val="004F007F"/>
    <w:rsid w:val="004F1C49"/>
    <w:rsid w:val="004F5472"/>
    <w:rsid w:val="004F5DF3"/>
    <w:rsid w:val="004F6226"/>
    <w:rsid w:val="004F62A7"/>
    <w:rsid w:val="004F6C31"/>
    <w:rsid w:val="004F790A"/>
    <w:rsid w:val="004F7914"/>
    <w:rsid w:val="0050061F"/>
    <w:rsid w:val="00500672"/>
    <w:rsid w:val="00500DB8"/>
    <w:rsid w:val="00501580"/>
    <w:rsid w:val="00502118"/>
    <w:rsid w:val="00502DF3"/>
    <w:rsid w:val="00503192"/>
    <w:rsid w:val="005044C8"/>
    <w:rsid w:val="00504DB6"/>
    <w:rsid w:val="00504E9C"/>
    <w:rsid w:val="00504EC8"/>
    <w:rsid w:val="005055DB"/>
    <w:rsid w:val="00505DE6"/>
    <w:rsid w:val="00506303"/>
    <w:rsid w:val="00506415"/>
    <w:rsid w:val="00506D8A"/>
    <w:rsid w:val="00507858"/>
    <w:rsid w:val="00512EB4"/>
    <w:rsid w:val="00514D8B"/>
    <w:rsid w:val="005160C5"/>
    <w:rsid w:val="00516FF2"/>
    <w:rsid w:val="00517509"/>
    <w:rsid w:val="00521664"/>
    <w:rsid w:val="00521923"/>
    <w:rsid w:val="00521C92"/>
    <w:rsid w:val="00522B52"/>
    <w:rsid w:val="005245EB"/>
    <w:rsid w:val="00525D4B"/>
    <w:rsid w:val="00525F89"/>
    <w:rsid w:val="0052717E"/>
    <w:rsid w:val="0052747D"/>
    <w:rsid w:val="0052782F"/>
    <w:rsid w:val="00530626"/>
    <w:rsid w:val="00530694"/>
    <w:rsid w:val="005309B3"/>
    <w:rsid w:val="005321C0"/>
    <w:rsid w:val="005329BC"/>
    <w:rsid w:val="00533989"/>
    <w:rsid w:val="00537101"/>
    <w:rsid w:val="0054029A"/>
    <w:rsid w:val="0054082F"/>
    <w:rsid w:val="00541ED3"/>
    <w:rsid w:val="0054209F"/>
    <w:rsid w:val="005422E0"/>
    <w:rsid w:val="0054234E"/>
    <w:rsid w:val="00542B22"/>
    <w:rsid w:val="00543035"/>
    <w:rsid w:val="00543EA8"/>
    <w:rsid w:val="005455B3"/>
    <w:rsid w:val="005464E6"/>
    <w:rsid w:val="00546FBE"/>
    <w:rsid w:val="005473E3"/>
    <w:rsid w:val="00551097"/>
    <w:rsid w:val="00551609"/>
    <w:rsid w:val="0055218F"/>
    <w:rsid w:val="005525EC"/>
    <w:rsid w:val="00553CEF"/>
    <w:rsid w:val="00555555"/>
    <w:rsid w:val="00556143"/>
    <w:rsid w:val="00556995"/>
    <w:rsid w:val="00556F82"/>
    <w:rsid w:val="00557890"/>
    <w:rsid w:val="0056156D"/>
    <w:rsid w:val="00562777"/>
    <w:rsid w:val="00564B3A"/>
    <w:rsid w:val="00564E74"/>
    <w:rsid w:val="0056624D"/>
    <w:rsid w:val="005665B0"/>
    <w:rsid w:val="005665D5"/>
    <w:rsid w:val="0057009B"/>
    <w:rsid w:val="00570BA1"/>
    <w:rsid w:val="00570C74"/>
    <w:rsid w:val="00571FF7"/>
    <w:rsid w:val="005724B6"/>
    <w:rsid w:val="00572CB4"/>
    <w:rsid w:val="0057390F"/>
    <w:rsid w:val="00574C2B"/>
    <w:rsid w:val="00575590"/>
    <w:rsid w:val="0057571E"/>
    <w:rsid w:val="00575CAA"/>
    <w:rsid w:val="00575E9A"/>
    <w:rsid w:val="00577C8F"/>
    <w:rsid w:val="0058125C"/>
    <w:rsid w:val="00581F5D"/>
    <w:rsid w:val="00582181"/>
    <w:rsid w:val="0058238A"/>
    <w:rsid w:val="00584E32"/>
    <w:rsid w:val="00585D6E"/>
    <w:rsid w:val="00591F84"/>
    <w:rsid w:val="005936BC"/>
    <w:rsid w:val="005951D8"/>
    <w:rsid w:val="005958DD"/>
    <w:rsid w:val="00596A82"/>
    <w:rsid w:val="00596FAF"/>
    <w:rsid w:val="00597376"/>
    <w:rsid w:val="00597584"/>
    <w:rsid w:val="005976FF"/>
    <w:rsid w:val="00597991"/>
    <w:rsid w:val="005A066C"/>
    <w:rsid w:val="005A181B"/>
    <w:rsid w:val="005A2D88"/>
    <w:rsid w:val="005A3EB3"/>
    <w:rsid w:val="005A50AB"/>
    <w:rsid w:val="005A55AB"/>
    <w:rsid w:val="005A5F17"/>
    <w:rsid w:val="005A5FF0"/>
    <w:rsid w:val="005A7D9F"/>
    <w:rsid w:val="005B0ABC"/>
    <w:rsid w:val="005B1689"/>
    <w:rsid w:val="005B1CA3"/>
    <w:rsid w:val="005B1D94"/>
    <w:rsid w:val="005B25CD"/>
    <w:rsid w:val="005B4245"/>
    <w:rsid w:val="005B5617"/>
    <w:rsid w:val="005B5B13"/>
    <w:rsid w:val="005B5CA8"/>
    <w:rsid w:val="005B60A4"/>
    <w:rsid w:val="005C32AC"/>
    <w:rsid w:val="005C4175"/>
    <w:rsid w:val="005C5803"/>
    <w:rsid w:val="005C5F13"/>
    <w:rsid w:val="005C63D8"/>
    <w:rsid w:val="005D00A1"/>
    <w:rsid w:val="005D08FA"/>
    <w:rsid w:val="005D0F91"/>
    <w:rsid w:val="005D2DFF"/>
    <w:rsid w:val="005D351F"/>
    <w:rsid w:val="005D5DD8"/>
    <w:rsid w:val="005D7B70"/>
    <w:rsid w:val="005E0394"/>
    <w:rsid w:val="005E0D96"/>
    <w:rsid w:val="005E0EE3"/>
    <w:rsid w:val="005E143B"/>
    <w:rsid w:val="005E3CA1"/>
    <w:rsid w:val="005E4874"/>
    <w:rsid w:val="005E5044"/>
    <w:rsid w:val="005F1F07"/>
    <w:rsid w:val="005F2774"/>
    <w:rsid w:val="005F2F89"/>
    <w:rsid w:val="005F3AB8"/>
    <w:rsid w:val="005F4F45"/>
    <w:rsid w:val="005F64EF"/>
    <w:rsid w:val="005F67AC"/>
    <w:rsid w:val="005F737B"/>
    <w:rsid w:val="00603B77"/>
    <w:rsid w:val="00604AA5"/>
    <w:rsid w:val="00605E70"/>
    <w:rsid w:val="0060670D"/>
    <w:rsid w:val="00606889"/>
    <w:rsid w:val="00606B8E"/>
    <w:rsid w:val="0060753D"/>
    <w:rsid w:val="00610C32"/>
    <w:rsid w:val="00610F12"/>
    <w:rsid w:val="00611539"/>
    <w:rsid w:val="00613181"/>
    <w:rsid w:val="006141B1"/>
    <w:rsid w:val="006162DE"/>
    <w:rsid w:val="0061635D"/>
    <w:rsid w:val="006166D4"/>
    <w:rsid w:val="00616F4B"/>
    <w:rsid w:val="00617D53"/>
    <w:rsid w:val="00617E0A"/>
    <w:rsid w:val="00620716"/>
    <w:rsid w:val="00622061"/>
    <w:rsid w:val="00623019"/>
    <w:rsid w:val="00624F48"/>
    <w:rsid w:val="00625228"/>
    <w:rsid w:val="00625F04"/>
    <w:rsid w:val="00625FD0"/>
    <w:rsid w:val="006261AE"/>
    <w:rsid w:val="0062690B"/>
    <w:rsid w:val="00626942"/>
    <w:rsid w:val="00627013"/>
    <w:rsid w:val="0062726E"/>
    <w:rsid w:val="00627F30"/>
    <w:rsid w:val="00630508"/>
    <w:rsid w:val="00630BAF"/>
    <w:rsid w:val="00630D8B"/>
    <w:rsid w:val="00630EAD"/>
    <w:rsid w:val="00632590"/>
    <w:rsid w:val="00632AD8"/>
    <w:rsid w:val="006347E7"/>
    <w:rsid w:val="00635CE7"/>
    <w:rsid w:val="006376B7"/>
    <w:rsid w:val="00637CF1"/>
    <w:rsid w:val="00640910"/>
    <w:rsid w:val="00642C16"/>
    <w:rsid w:val="00644981"/>
    <w:rsid w:val="00644C4D"/>
    <w:rsid w:val="00645EE2"/>
    <w:rsid w:val="00650383"/>
    <w:rsid w:val="00652112"/>
    <w:rsid w:val="00652490"/>
    <w:rsid w:val="00652C23"/>
    <w:rsid w:val="006535A5"/>
    <w:rsid w:val="00653612"/>
    <w:rsid w:val="00653F6E"/>
    <w:rsid w:val="00655428"/>
    <w:rsid w:val="00655467"/>
    <w:rsid w:val="00655D86"/>
    <w:rsid w:val="00657DB4"/>
    <w:rsid w:val="00660983"/>
    <w:rsid w:val="006632A8"/>
    <w:rsid w:val="006648BD"/>
    <w:rsid w:val="00665477"/>
    <w:rsid w:val="00665B28"/>
    <w:rsid w:val="00666948"/>
    <w:rsid w:val="00667F47"/>
    <w:rsid w:val="0067048A"/>
    <w:rsid w:val="00670AA1"/>
    <w:rsid w:val="006716E3"/>
    <w:rsid w:val="00674283"/>
    <w:rsid w:val="006742D0"/>
    <w:rsid w:val="006765A3"/>
    <w:rsid w:val="00680E5F"/>
    <w:rsid w:val="00681721"/>
    <w:rsid w:val="0068314F"/>
    <w:rsid w:val="006854A4"/>
    <w:rsid w:val="00685513"/>
    <w:rsid w:val="0068585B"/>
    <w:rsid w:val="00685BF1"/>
    <w:rsid w:val="00686B1D"/>
    <w:rsid w:val="006903B4"/>
    <w:rsid w:val="00690BA5"/>
    <w:rsid w:val="00691796"/>
    <w:rsid w:val="00694CBD"/>
    <w:rsid w:val="00694F81"/>
    <w:rsid w:val="006966FC"/>
    <w:rsid w:val="00697FA2"/>
    <w:rsid w:val="006A0F28"/>
    <w:rsid w:val="006A206B"/>
    <w:rsid w:val="006A247D"/>
    <w:rsid w:val="006A3560"/>
    <w:rsid w:val="006A4711"/>
    <w:rsid w:val="006A4E72"/>
    <w:rsid w:val="006A5329"/>
    <w:rsid w:val="006A5544"/>
    <w:rsid w:val="006A6430"/>
    <w:rsid w:val="006A67E4"/>
    <w:rsid w:val="006A7500"/>
    <w:rsid w:val="006B0075"/>
    <w:rsid w:val="006B0AFF"/>
    <w:rsid w:val="006B1067"/>
    <w:rsid w:val="006B1445"/>
    <w:rsid w:val="006B2B14"/>
    <w:rsid w:val="006B3463"/>
    <w:rsid w:val="006B3BA3"/>
    <w:rsid w:val="006B52B6"/>
    <w:rsid w:val="006B7918"/>
    <w:rsid w:val="006B7C13"/>
    <w:rsid w:val="006B7C3A"/>
    <w:rsid w:val="006C26FF"/>
    <w:rsid w:val="006C5ECC"/>
    <w:rsid w:val="006C69C9"/>
    <w:rsid w:val="006C777D"/>
    <w:rsid w:val="006D11C7"/>
    <w:rsid w:val="006D1ACA"/>
    <w:rsid w:val="006D228D"/>
    <w:rsid w:val="006D2ED9"/>
    <w:rsid w:val="006D3FBC"/>
    <w:rsid w:val="006D4331"/>
    <w:rsid w:val="006D4C77"/>
    <w:rsid w:val="006D6234"/>
    <w:rsid w:val="006D6291"/>
    <w:rsid w:val="006D67CF"/>
    <w:rsid w:val="006D6F66"/>
    <w:rsid w:val="006E1239"/>
    <w:rsid w:val="006E25CC"/>
    <w:rsid w:val="006E285A"/>
    <w:rsid w:val="006E53EA"/>
    <w:rsid w:val="006E623F"/>
    <w:rsid w:val="006E7020"/>
    <w:rsid w:val="006E7367"/>
    <w:rsid w:val="006E792C"/>
    <w:rsid w:val="006E7F8F"/>
    <w:rsid w:val="006F12E2"/>
    <w:rsid w:val="006F2A6E"/>
    <w:rsid w:val="006F3B2F"/>
    <w:rsid w:val="006F52E1"/>
    <w:rsid w:val="006F577E"/>
    <w:rsid w:val="006F597A"/>
    <w:rsid w:val="006F6FA2"/>
    <w:rsid w:val="006F7E01"/>
    <w:rsid w:val="006F7F6F"/>
    <w:rsid w:val="0070008C"/>
    <w:rsid w:val="00701880"/>
    <w:rsid w:val="00704DD7"/>
    <w:rsid w:val="00705A70"/>
    <w:rsid w:val="007074BB"/>
    <w:rsid w:val="0070783A"/>
    <w:rsid w:val="007078D4"/>
    <w:rsid w:val="00710265"/>
    <w:rsid w:val="0071029F"/>
    <w:rsid w:val="00710433"/>
    <w:rsid w:val="00710A0F"/>
    <w:rsid w:val="00711A9D"/>
    <w:rsid w:val="00712460"/>
    <w:rsid w:val="0071377A"/>
    <w:rsid w:val="0071422C"/>
    <w:rsid w:val="007149F1"/>
    <w:rsid w:val="00715AD9"/>
    <w:rsid w:val="00716BB7"/>
    <w:rsid w:val="00721A4E"/>
    <w:rsid w:val="00721D5D"/>
    <w:rsid w:val="00721E5D"/>
    <w:rsid w:val="007225E1"/>
    <w:rsid w:val="00723CCE"/>
    <w:rsid w:val="00724999"/>
    <w:rsid w:val="00724E80"/>
    <w:rsid w:val="00725064"/>
    <w:rsid w:val="0072545B"/>
    <w:rsid w:val="00725E97"/>
    <w:rsid w:val="007271DF"/>
    <w:rsid w:val="00727CFB"/>
    <w:rsid w:val="007311BF"/>
    <w:rsid w:val="00732978"/>
    <w:rsid w:val="00733043"/>
    <w:rsid w:val="007332EB"/>
    <w:rsid w:val="00733691"/>
    <w:rsid w:val="0073530B"/>
    <w:rsid w:val="00735438"/>
    <w:rsid w:val="00736A83"/>
    <w:rsid w:val="00737536"/>
    <w:rsid w:val="0073767D"/>
    <w:rsid w:val="007402E2"/>
    <w:rsid w:val="007408C1"/>
    <w:rsid w:val="007413AF"/>
    <w:rsid w:val="007415BB"/>
    <w:rsid w:val="00743163"/>
    <w:rsid w:val="0074322D"/>
    <w:rsid w:val="0074336C"/>
    <w:rsid w:val="00743798"/>
    <w:rsid w:val="00743815"/>
    <w:rsid w:val="0074397E"/>
    <w:rsid w:val="00744661"/>
    <w:rsid w:val="007457AA"/>
    <w:rsid w:val="00745939"/>
    <w:rsid w:val="007463B0"/>
    <w:rsid w:val="007501D0"/>
    <w:rsid w:val="00750418"/>
    <w:rsid w:val="00751176"/>
    <w:rsid w:val="00751514"/>
    <w:rsid w:val="00751CE4"/>
    <w:rsid w:val="00751F8D"/>
    <w:rsid w:val="00752DC3"/>
    <w:rsid w:val="007530DC"/>
    <w:rsid w:val="00754316"/>
    <w:rsid w:val="007554F5"/>
    <w:rsid w:val="00755AD0"/>
    <w:rsid w:val="00755AD4"/>
    <w:rsid w:val="00756319"/>
    <w:rsid w:val="0075716B"/>
    <w:rsid w:val="00760FAB"/>
    <w:rsid w:val="007627A0"/>
    <w:rsid w:val="00762959"/>
    <w:rsid w:val="007634D4"/>
    <w:rsid w:val="00764DC3"/>
    <w:rsid w:val="007658B6"/>
    <w:rsid w:val="00765F05"/>
    <w:rsid w:val="0076651C"/>
    <w:rsid w:val="00766A62"/>
    <w:rsid w:val="00766CA9"/>
    <w:rsid w:val="00767004"/>
    <w:rsid w:val="007673E3"/>
    <w:rsid w:val="007700E9"/>
    <w:rsid w:val="00770557"/>
    <w:rsid w:val="0077173F"/>
    <w:rsid w:val="0077354F"/>
    <w:rsid w:val="00773636"/>
    <w:rsid w:val="00773912"/>
    <w:rsid w:val="00773EA9"/>
    <w:rsid w:val="00774A84"/>
    <w:rsid w:val="007751D7"/>
    <w:rsid w:val="0077559D"/>
    <w:rsid w:val="00776375"/>
    <w:rsid w:val="00777A6F"/>
    <w:rsid w:val="00780308"/>
    <w:rsid w:val="00784052"/>
    <w:rsid w:val="007851E7"/>
    <w:rsid w:val="00787086"/>
    <w:rsid w:val="0078735A"/>
    <w:rsid w:val="00787CFA"/>
    <w:rsid w:val="00790627"/>
    <w:rsid w:val="00790759"/>
    <w:rsid w:val="00790AAE"/>
    <w:rsid w:val="00791AD4"/>
    <w:rsid w:val="00792311"/>
    <w:rsid w:val="0079265B"/>
    <w:rsid w:val="007931A6"/>
    <w:rsid w:val="0079344D"/>
    <w:rsid w:val="00795275"/>
    <w:rsid w:val="00797097"/>
    <w:rsid w:val="007A2BAF"/>
    <w:rsid w:val="007A353A"/>
    <w:rsid w:val="007A4AA9"/>
    <w:rsid w:val="007A562A"/>
    <w:rsid w:val="007A6671"/>
    <w:rsid w:val="007A7322"/>
    <w:rsid w:val="007B14F7"/>
    <w:rsid w:val="007B2462"/>
    <w:rsid w:val="007B2B9B"/>
    <w:rsid w:val="007B33D2"/>
    <w:rsid w:val="007B4E2B"/>
    <w:rsid w:val="007B5938"/>
    <w:rsid w:val="007B653E"/>
    <w:rsid w:val="007B6E79"/>
    <w:rsid w:val="007B71FD"/>
    <w:rsid w:val="007B7231"/>
    <w:rsid w:val="007B7E14"/>
    <w:rsid w:val="007C09DE"/>
    <w:rsid w:val="007C1C17"/>
    <w:rsid w:val="007C2074"/>
    <w:rsid w:val="007C34B9"/>
    <w:rsid w:val="007C4E33"/>
    <w:rsid w:val="007C4FC2"/>
    <w:rsid w:val="007C5C23"/>
    <w:rsid w:val="007C6B28"/>
    <w:rsid w:val="007C792C"/>
    <w:rsid w:val="007C7970"/>
    <w:rsid w:val="007C7AD9"/>
    <w:rsid w:val="007D14A5"/>
    <w:rsid w:val="007D2580"/>
    <w:rsid w:val="007D3A6E"/>
    <w:rsid w:val="007D6CAE"/>
    <w:rsid w:val="007D79BD"/>
    <w:rsid w:val="007D7B9B"/>
    <w:rsid w:val="007E2A19"/>
    <w:rsid w:val="007E2B23"/>
    <w:rsid w:val="007E483F"/>
    <w:rsid w:val="007E5A21"/>
    <w:rsid w:val="007E6B78"/>
    <w:rsid w:val="007E7BC6"/>
    <w:rsid w:val="007F2BC9"/>
    <w:rsid w:val="007F36AF"/>
    <w:rsid w:val="007F4F3B"/>
    <w:rsid w:val="007F6138"/>
    <w:rsid w:val="00801FE7"/>
    <w:rsid w:val="00803325"/>
    <w:rsid w:val="008037CB"/>
    <w:rsid w:val="008049BB"/>
    <w:rsid w:val="00805A81"/>
    <w:rsid w:val="00805A95"/>
    <w:rsid w:val="00806374"/>
    <w:rsid w:val="008068CB"/>
    <w:rsid w:val="00806CA3"/>
    <w:rsid w:val="00806D2E"/>
    <w:rsid w:val="00807BC4"/>
    <w:rsid w:val="00811A80"/>
    <w:rsid w:val="00812FF2"/>
    <w:rsid w:val="00813441"/>
    <w:rsid w:val="00813B0F"/>
    <w:rsid w:val="00813B3A"/>
    <w:rsid w:val="008152BA"/>
    <w:rsid w:val="00816757"/>
    <w:rsid w:val="008167CB"/>
    <w:rsid w:val="00817634"/>
    <w:rsid w:val="00823A21"/>
    <w:rsid w:val="00826239"/>
    <w:rsid w:val="008278E0"/>
    <w:rsid w:val="00830944"/>
    <w:rsid w:val="00833F37"/>
    <w:rsid w:val="0083461F"/>
    <w:rsid w:val="00834E27"/>
    <w:rsid w:val="0083556F"/>
    <w:rsid w:val="00835749"/>
    <w:rsid w:val="00835A7D"/>
    <w:rsid w:val="00836D0A"/>
    <w:rsid w:val="00842BCA"/>
    <w:rsid w:val="00842D91"/>
    <w:rsid w:val="00844E6C"/>
    <w:rsid w:val="00846441"/>
    <w:rsid w:val="00846DC8"/>
    <w:rsid w:val="008506C4"/>
    <w:rsid w:val="00850C05"/>
    <w:rsid w:val="00851340"/>
    <w:rsid w:val="00852C33"/>
    <w:rsid w:val="0085385F"/>
    <w:rsid w:val="008555F2"/>
    <w:rsid w:val="00855C08"/>
    <w:rsid w:val="00860780"/>
    <w:rsid w:val="00860F82"/>
    <w:rsid w:val="0086192D"/>
    <w:rsid w:val="00862552"/>
    <w:rsid w:val="00863038"/>
    <w:rsid w:val="0086384B"/>
    <w:rsid w:val="0086451C"/>
    <w:rsid w:val="008649B9"/>
    <w:rsid w:val="00865190"/>
    <w:rsid w:val="00872EEE"/>
    <w:rsid w:val="0087483A"/>
    <w:rsid w:val="008748DE"/>
    <w:rsid w:val="0087611D"/>
    <w:rsid w:val="0088028F"/>
    <w:rsid w:val="00880D3A"/>
    <w:rsid w:val="00880F20"/>
    <w:rsid w:val="008827EF"/>
    <w:rsid w:val="00882EFC"/>
    <w:rsid w:val="0088339F"/>
    <w:rsid w:val="00883B57"/>
    <w:rsid w:val="008840DD"/>
    <w:rsid w:val="0089004B"/>
    <w:rsid w:val="00890384"/>
    <w:rsid w:val="0089053D"/>
    <w:rsid w:val="00890587"/>
    <w:rsid w:val="00891423"/>
    <w:rsid w:val="00892BC4"/>
    <w:rsid w:val="008A00B3"/>
    <w:rsid w:val="008A047A"/>
    <w:rsid w:val="008A0847"/>
    <w:rsid w:val="008A13B0"/>
    <w:rsid w:val="008A2F79"/>
    <w:rsid w:val="008A31DB"/>
    <w:rsid w:val="008A41F8"/>
    <w:rsid w:val="008A4825"/>
    <w:rsid w:val="008A5719"/>
    <w:rsid w:val="008A7407"/>
    <w:rsid w:val="008A7471"/>
    <w:rsid w:val="008B191B"/>
    <w:rsid w:val="008B27E1"/>
    <w:rsid w:val="008B3C17"/>
    <w:rsid w:val="008B410E"/>
    <w:rsid w:val="008B4D79"/>
    <w:rsid w:val="008B5866"/>
    <w:rsid w:val="008B5BA8"/>
    <w:rsid w:val="008B5EC7"/>
    <w:rsid w:val="008B7449"/>
    <w:rsid w:val="008C300E"/>
    <w:rsid w:val="008C360C"/>
    <w:rsid w:val="008C5B05"/>
    <w:rsid w:val="008C5C87"/>
    <w:rsid w:val="008C63B1"/>
    <w:rsid w:val="008C758E"/>
    <w:rsid w:val="008D064D"/>
    <w:rsid w:val="008D1354"/>
    <w:rsid w:val="008D1C14"/>
    <w:rsid w:val="008D27DF"/>
    <w:rsid w:val="008D4322"/>
    <w:rsid w:val="008D4968"/>
    <w:rsid w:val="008D5D85"/>
    <w:rsid w:val="008D6A22"/>
    <w:rsid w:val="008D7567"/>
    <w:rsid w:val="008D7B6B"/>
    <w:rsid w:val="008D7F0D"/>
    <w:rsid w:val="008E2620"/>
    <w:rsid w:val="008E2BBD"/>
    <w:rsid w:val="008E2C7A"/>
    <w:rsid w:val="008E5E00"/>
    <w:rsid w:val="008E7FDA"/>
    <w:rsid w:val="008F0B56"/>
    <w:rsid w:val="008F0D2A"/>
    <w:rsid w:val="008F211B"/>
    <w:rsid w:val="008F2A90"/>
    <w:rsid w:val="008F2BB6"/>
    <w:rsid w:val="008F3E9A"/>
    <w:rsid w:val="008F4616"/>
    <w:rsid w:val="008F58CD"/>
    <w:rsid w:val="008F6B60"/>
    <w:rsid w:val="008F6CB3"/>
    <w:rsid w:val="008F7D33"/>
    <w:rsid w:val="00901E98"/>
    <w:rsid w:val="009022AA"/>
    <w:rsid w:val="009023AB"/>
    <w:rsid w:val="00902A80"/>
    <w:rsid w:val="00902DA1"/>
    <w:rsid w:val="0090393F"/>
    <w:rsid w:val="009048F9"/>
    <w:rsid w:val="00905FCE"/>
    <w:rsid w:val="00906ED7"/>
    <w:rsid w:val="00907269"/>
    <w:rsid w:val="009073AB"/>
    <w:rsid w:val="00907E24"/>
    <w:rsid w:val="00913C3A"/>
    <w:rsid w:val="00914ECD"/>
    <w:rsid w:val="00915D2E"/>
    <w:rsid w:val="00915F0B"/>
    <w:rsid w:val="00917325"/>
    <w:rsid w:val="009204B0"/>
    <w:rsid w:val="009211C0"/>
    <w:rsid w:val="00921759"/>
    <w:rsid w:val="00923D02"/>
    <w:rsid w:val="00924042"/>
    <w:rsid w:val="00925D2A"/>
    <w:rsid w:val="009268E9"/>
    <w:rsid w:val="00930DF2"/>
    <w:rsid w:val="00931013"/>
    <w:rsid w:val="0093238C"/>
    <w:rsid w:val="00932863"/>
    <w:rsid w:val="00932B1F"/>
    <w:rsid w:val="009336C7"/>
    <w:rsid w:val="00933E20"/>
    <w:rsid w:val="00934A2B"/>
    <w:rsid w:val="0093636B"/>
    <w:rsid w:val="00936AC1"/>
    <w:rsid w:val="009402C6"/>
    <w:rsid w:val="00945AFA"/>
    <w:rsid w:val="00946CB4"/>
    <w:rsid w:val="00950BD5"/>
    <w:rsid w:val="009514A6"/>
    <w:rsid w:val="00951562"/>
    <w:rsid w:val="00951697"/>
    <w:rsid w:val="009516FD"/>
    <w:rsid w:val="0095174B"/>
    <w:rsid w:val="0095183F"/>
    <w:rsid w:val="00951999"/>
    <w:rsid w:val="009531D6"/>
    <w:rsid w:val="00953B4D"/>
    <w:rsid w:val="00955137"/>
    <w:rsid w:val="00956000"/>
    <w:rsid w:val="0095698A"/>
    <w:rsid w:val="00960957"/>
    <w:rsid w:val="00960BE5"/>
    <w:rsid w:val="00961136"/>
    <w:rsid w:val="009622F5"/>
    <w:rsid w:val="00962319"/>
    <w:rsid w:val="0096576D"/>
    <w:rsid w:val="00966283"/>
    <w:rsid w:val="00967087"/>
    <w:rsid w:val="00967286"/>
    <w:rsid w:val="00967D7D"/>
    <w:rsid w:val="00970B88"/>
    <w:rsid w:val="00971BA7"/>
    <w:rsid w:val="009721D2"/>
    <w:rsid w:val="00973604"/>
    <w:rsid w:val="00973DBF"/>
    <w:rsid w:val="00974B14"/>
    <w:rsid w:val="00974C54"/>
    <w:rsid w:val="00976EBB"/>
    <w:rsid w:val="00980967"/>
    <w:rsid w:val="00981198"/>
    <w:rsid w:val="009823A5"/>
    <w:rsid w:val="00982D85"/>
    <w:rsid w:val="0098555E"/>
    <w:rsid w:val="00985D88"/>
    <w:rsid w:val="00986060"/>
    <w:rsid w:val="00986102"/>
    <w:rsid w:val="009869A7"/>
    <w:rsid w:val="00990613"/>
    <w:rsid w:val="00990AC1"/>
    <w:rsid w:val="009911E3"/>
    <w:rsid w:val="00992375"/>
    <w:rsid w:val="009923DE"/>
    <w:rsid w:val="00992770"/>
    <w:rsid w:val="00992F9B"/>
    <w:rsid w:val="009936C6"/>
    <w:rsid w:val="00993DB9"/>
    <w:rsid w:val="009944F8"/>
    <w:rsid w:val="009959F7"/>
    <w:rsid w:val="0099716F"/>
    <w:rsid w:val="009A5E7B"/>
    <w:rsid w:val="009A63F4"/>
    <w:rsid w:val="009B01C5"/>
    <w:rsid w:val="009B226E"/>
    <w:rsid w:val="009B23AD"/>
    <w:rsid w:val="009B3B82"/>
    <w:rsid w:val="009B3DC9"/>
    <w:rsid w:val="009B415A"/>
    <w:rsid w:val="009B4216"/>
    <w:rsid w:val="009B4961"/>
    <w:rsid w:val="009B4BFC"/>
    <w:rsid w:val="009B52A3"/>
    <w:rsid w:val="009B5834"/>
    <w:rsid w:val="009C0798"/>
    <w:rsid w:val="009C134A"/>
    <w:rsid w:val="009C1608"/>
    <w:rsid w:val="009C365E"/>
    <w:rsid w:val="009C41A7"/>
    <w:rsid w:val="009C4C9A"/>
    <w:rsid w:val="009C6166"/>
    <w:rsid w:val="009C6457"/>
    <w:rsid w:val="009C6C15"/>
    <w:rsid w:val="009D009C"/>
    <w:rsid w:val="009D0AEC"/>
    <w:rsid w:val="009D220E"/>
    <w:rsid w:val="009D3252"/>
    <w:rsid w:val="009D39FA"/>
    <w:rsid w:val="009D4F0B"/>
    <w:rsid w:val="009D60F6"/>
    <w:rsid w:val="009E07B0"/>
    <w:rsid w:val="009E0FC7"/>
    <w:rsid w:val="009E38A0"/>
    <w:rsid w:val="009E3BEE"/>
    <w:rsid w:val="009E50FA"/>
    <w:rsid w:val="009E5A70"/>
    <w:rsid w:val="009E60DC"/>
    <w:rsid w:val="009E6F3A"/>
    <w:rsid w:val="009E6F95"/>
    <w:rsid w:val="009E7A93"/>
    <w:rsid w:val="009F1B41"/>
    <w:rsid w:val="009F21A8"/>
    <w:rsid w:val="009F3F77"/>
    <w:rsid w:val="009F64E6"/>
    <w:rsid w:val="009F717D"/>
    <w:rsid w:val="00A003B6"/>
    <w:rsid w:val="00A004FA"/>
    <w:rsid w:val="00A0108A"/>
    <w:rsid w:val="00A0128F"/>
    <w:rsid w:val="00A01A1F"/>
    <w:rsid w:val="00A01DE1"/>
    <w:rsid w:val="00A06253"/>
    <w:rsid w:val="00A10699"/>
    <w:rsid w:val="00A11331"/>
    <w:rsid w:val="00A12B93"/>
    <w:rsid w:val="00A13A5F"/>
    <w:rsid w:val="00A153F7"/>
    <w:rsid w:val="00A15716"/>
    <w:rsid w:val="00A15BCB"/>
    <w:rsid w:val="00A15CCF"/>
    <w:rsid w:val="00A15D48"/>
    <w:rsid w:val="00A16B04"/>
    <w:rsid w:val="00A17622"/>
    <w:rsid w:val="00A176CD"/>
    <w:rsid w:val="00A17769"/>
    <w:rsid w:val="00A20CF2"/>
    <w:rsid w:val="00A2218B"/>
    <w:rsid w:val="00A22BB1"/>
    <w:rsid w:val="00A2387D"/>
    <w:rsid w:val="00A243A2"/>
    <w:rsid w:val="00A24DDA"/>
    <w:rsid w:val="00A250C0"/>
    <w:rsid w:val="00A25898"/>
    <w:rsid w:val="00A25CC1"/>
    <w:rsid w:val="00A25D3B"/>
    <w:rsid w:val="00A3135E"/>
    <w:rsid w:val="00A31711"/>
    <w:rsid w:val="00A34FFB"/>
    <w:rsid w:val="00A37162"/>
    <w:rsid w:val="00A37615"/>
    <w:rsid w:val="00A37D03"/>
    <w:rsid w:val="00A4173D"/>
    <w:rsid w:val="00A41D0A"/>
    <w:rsid w:val="00A426E5"/>
    <w:rsid w:val="00A432C9"/>
    <w:rsid w:val="00A43BF5"/>
    <w:rsid w:val="00A4484C"/>
    <w:rsid w:val="00A4525F"/>
    <w:rsid w:val="00A46199"/>
    <w:rsid w:val="00A46AA5"/>
    <w:rsid w:val="00A47031"/>
    <w:rsid w:val="00A50B3C"/>
    <w:rsid w:val="00A52300"/>
    <w:rsid w:val="00A52750"/>
    <w:rsid w:val="00A5281A"/>
    <w:rsid w:val="00A538C5"/>
    <w:rsid w:val="00A5410F"/>
    <w:rsid w:val="00A542E0"/>
    <w:rsid w:val="00A551A4"/>
    <w:rsid w:val="00A56C2C"/>
    <w:rsid w:val="00A56CE3"/>
    <w:rsid w:val="00A56D1C"/>
    <w:rsid w:val="00A57DF5"/>
    <w:rsid w:val="00A61CDA"/>
    <w:rsid w:val="00A634E7"/>
    <w:rsid w:val="00A6453E"/>
    <w:rsid w:val="00A64B68"/>
    <w:rsid w:val="00A6653A"/>
    <w:rsid w:val="00A702D6"/>
    <w:rsid w:val="00A70301"/>
    <w:rsid w:val="00A71E12"/>
    <w:rsid w:val="00A722D5"/>
    <w:rsid w:val="00A73CF7"/>
    <w:rsid w:val="00A748CB"/>
    <w:rsid w:val="00A7608A"/>
    <w:rsid w:val="00A7682C"/>
    <w:rsid w:val="00A77271"/>
    <w:rsid w:val="00A77A17"/>
    <w:rsid w:val="00A80295"/>
    <w:rsid w:val="00A80326"/>
    <w:rsid w:val="00A83B6B"/>
    <w:rsid w:val="00A86119"/>
    <w:rsid w:val="00A87641"/>
    <w:rsid w:val="00A90D70"/>
    <w:rsid w:val="00A92DC1"/>
    <w:rsid w:val="00A935B7"/>
    <w:rsid w:val="00A93998"/>
    <w:rsid w:val="00A94482"/>
    <w:rsid w:val="00A95179"/>
    <w:rsid w:val="00A96817"/>
    <w:rsid w:val="00A9763D"/>
    <w:rsid w:val="00AA052A"/>
    <w:rsid w:val="00AA061A"/>
    <w:rsid w:val="00AA1765"/>
    <w:rsid w:val="00AA2A31"/>
    <w:rsid w:val="00AA492B"/>
    <w:rsid w:val="00AA4BD4"/>
    <w:rsid w:val="00AA7C00"/>
    <w:rsid w:val="00AB075B"/>
    <w:rsid w:val="00AB1E14"/>
    <w:rsid w:val="00AB33B4"/>
    <w:rsid w:val="00AB3976"/>
    <w:rsid w:val="00AB4534"/>
    <w:rsid w:val="00AB46C8"/>
    <w:rsid w:val="00AB6B3A"/>
    <w:rsid w:val="00AB7C63"/>
    <w:rsid w:val="00AC1880"/>
    <w:rsid w:val="00AC305A"/>
    <w:rsid w:val="00AC4E21"/>
    <w:rsid w:val="00AC54E3"/>
    <w:rsid w:val="00AC76E1"/>
    <w:rsid w:val="00AD07BF"/>
    <w:rsid w:val="00AD2287"/>
    <w:rsid w:val="00AD2556"/>
    <w:rsid w:val="00AD2E83"/>
    <w:rsid w:val="00AD3325"/>
    <w:rsid w:val="00AD334F"/>
    <w:rsid w:val="00AD3F61"/>
    <w:rsid w:val="00AD613E"/>
    <w:rsid w:val="00AD7741"/>
    <w:rsid w:val="00AD7EFB"/>
    <w:rsid w:val="00AE159E"/>
    <w:rsid w:val="00AE173E"/>
    <w:rsid w:val="00AE1A32"/>
    <w:rsid w:val="00AE312E"/>
    <w:rsid w:val="00AE4511"/>
    <w:rsid w:val="00AE6A4A"/>
    <w:rsid w:val="00AE74F2"/>
    <w:rsid w:val="00AF10FA"/>
    <w:rsid w:val="00AF154B"/>
    <w:rsid w:val="00AF4319"/>
    <w:rsid w:val="00AF5FE4"/>
    <w:rsid w:val="00AF7075"/>
    <w:rsid w:val="00AF790F"/>
    <w:rsid w:val="00B00235"/>
    <w:rsid w:val="00B01082"/>
    <w:rsid w:val="00B01CAF"/>
    <w:rsid w:val="00B0214A"/>
    <w:rsid w:val="00B02938"/>
    <w:rsid w:val="00B02E6A"/>
    <w:rsid w:val="00B039F4"/>
    <w:rsid w:val="00B05173"/>
    <w:rsid w:val="00B06626"/>
    <w:rsid w:val="00B06E7D"/>
    <w:rsid w:val="00B0704E"/>
    <w:rsid w:val="00B11089"/>
    <w:rsid w:val="00B12029"/>
    <w:rsid w:val="00B1359D"/>
    <w:rsid w:val="00B14AB5"/>
    <w:rsid w:val="00B15646"/>
    <w:rsid w:val="00B1671B"/>
    <w:rsid w:val="00B17584"/>
    <w:rsid w:val="00B21A1B"/>
    <w:rsid w:val="00B222C2"/>
    <w:rsid w:val="00B234C2"/>
    <w:rsid w:val="00B27F35"/>
    <w:rsid w:val="00B27FBE"/>
    <w:rsid w:val="00B30339"/>
    <w:rsid w:val="00B30807"/>
    <w:rsid w:val="00B30BD6"/>
    <w:rsid w:val="00B325E1"/>
    <w:rsid w:val="00B33B7A"/>
    <w:rsid w:val="00B35905"/>
    <w:rsid w:val="00B368FE"/>
    <w:rsid w:val="00B37828"/>
    <w:rsid w:val="00B37BE9"/>
    <w:rsid w:val="00B4113E"/>
    <w:rsid w:val="00B413D7"/>
    <w:rsid w:val="00B41925"/>
    <w:rsid w:val="00B429D3"/>
    <w:rsid w:val="00B43C5B"/>
    <w:rsid w:val="00B444BD"/>
    <w:rsid w:val="00B44822"/>
    <w:rsid w:val="00B44DF0"/>
    <w:rsid w:val="00B45970"/>
    <w:rsid w:val="00B47877"/>
    <w:rsid w:val="00B51FCA"/>
    <w:rsid w:val="00B522FA"/>
    <w:rsid w:val="00B5267D"/>
    <w:rsid w:val="00B55E52"/>
    <w:rsid w:val="00B576DA"/>
    <w:rsid w:val="00B579BC"/>
    <w:rsid w:val="00B612CB"/>
    <w:rsid w:val="00B64364"/>
    <w:rsid w:val="00B663A6"/>
    <w:rsid w:val="00B663F7"/>
    <w:rsid w:val="00B666BC"/>
    <w:rsid w:val="00B67018"/>
    <w:rsid w:val="00B67381"/>
    <w:rsid w:val="00B673FE"/>
    <w:rsid w:val="00B7413C"/>
    <w:rsid w:val="00B75906"/>
    <w:rsid w:val="00B767F6"/>
    <w:rsid w:val="00B83F4D"/>
    <w:rsid w:val="00B84086"/>
    <w:rsid w:val="00B85592"/>
    <w:rsid w:val="00B86D42"/>
    <w:rsid w:val="00B86FB6"/>
    <w:rsid w:val="00B93563"/>
    <w:rsid w:val="00B95AEB"/>
    <w:rsid w:val="00B966E0"/>
    <w:rsid w:val="00B97C96"/>
    <w:rsid w:val="00BA1659"/>
    <w:rsid w:val="00BA6391"/>
    <w:rsid w:val="00BA6E70"/>
    <w:rsid w:val="00BA7C8A"/>
    <w:rsid w:val="00BB0F4B"/>
    <w:rsid w:val="00BB227C"/>
    <w:rsid w:val="00BB45BF"/>
    <w:rsid w:val="00BB5D7C"/>
    <w:rsid w:val="00BB619A"/>
    <w:rsid w:val="00BB7219"/>
    <w:rsid w:val="00BB745F"/>
    <w:rsid w:val="00BB75DF"/>
    <w:rsid w:val="00BB7B13"/>
    <w:rsid w:val="00BB7FF8"/>
    <w:rsid w:val="00BC04B5"/>
    <w:rsid w:val="00BC09B8"/>
    <w:rsid w:val="00BC128D"/>
    <w:rsid w:val="00BC2004"/>
    <w:rsid w:val="00BC24E5"/>
    <w:rsid w:val="00BC2640"/>
    <w:rsid w:val="00BC2F4F"/>
    <w:rsid w:val="00BC3B38"/>
    <w:rsid w:val="00BC6F4B"/>
    <w:rsid w:val="00BC795C"/>
    <w:rsid w:val="00BD48A9"/>
    <w:rsid w:val="00BD52EC"/>
    <w:rsid w:val="00BD5309"/>
    <w:rsid w:val="00BD538D"/>
    <w:rsid w:val="00BD5E19"/>
    <w:rsid w:val="00BD6D99"/>
    <w:rsid w:val="00BE0BA4"/>
    <w:rsid w:val="00BE0C3A"/>
    <w:rsid w:val="00BE1623"/>
    <w:rsid w:val="00BE212B"/>
    <w:rsid w:val="00BE2636"/>
    <w:rsid w:val="00BE3BF1"/>
    <w:rsid w:val="00BE4953"/>
    <w:rsid w:val="00BE4A0E"/>
    <w:rsid w:val="00BE4E3B"/>
    <w:rsid w:val="00BE4FB5"/>
    <w:rsid w:val="00BE5242"/>
    <w:rsid w:val="00BE5D4B"/>
    <w:rsid w:val="00BE5E4E"/>
    <w:rsid w:val="00BE7334"/>
    <w:rsid w:val="00BF1A01"/>
    <w:rsid w:val="00BF351F"/>
    <w:rsid w:val="00BF5FB1"/>
    <w:rsid w:val="00BF6342"/>
    <w:rsid w:val="00BF6773"/>
    <w:rsid w:val="00BF7147"/>
    <w:rsid w:val="00BF7A39"/>
    <w:rsid w:val="00C00000"/>
    <w:rsid w:val="00C01401"/>
    <w:rsid w:val="00C0173D"/>
    <w:rsid w:val="00C01740"/>
    <w:rsid w:val="00C034C9"/>
    <w:rsid w:val="00C035E6"/>
    <w:rsid w:val="00C0370A"/>
    <w:rsid w:val="00C03BBC"/>
    <w:rsid w:val="00C0648B"/>
    <w:rsid w:val="00C06B1A"/>
    <w:rsid w:val="00C073E9"/>
    <w:rsid w:val="00C07874"/>
    <w:rsid w:val="00C07F44"/>
    <w:rsid w:val="00C126A4"/>
    <w:rsid w:val="00C17A80"/>
    <w:rsid w:val="00C17F89"/>
    <w:rsid w:val="00C21965"/>
    <w:rsid w:val="00C21FE5"/>
    <w:rsid w:val="00C22F44"/>
    <w:rsid w:val="00C2392E"/>
    <w:rsid w:val="00C23F07"/>
    <w:rsid w:val="00C253B2"/>
    <w:rsid w:val="00C25A5D"/>
    <w:rsid w:val="00C324AD"/>
    <w:rsid w:val="00C32BEE"/>
    <w:rsid w:val="00C33BFC"/>
    <w:rsid w:val="00C34396"/>
    <w:rsid w:val="00C36234"/>
    <w:rsid w:val="00C37C47"/>
    <w:rsid w:val="00C37F27"/>
    <w:rsid w:val="00C402DA"/>
    <w:rsid w:val="00C41E5D"/>
    <w:rsid w:val="00C41F0B"/>
    <w:rsid w:val="00C440BC"/>
    <w:rsid w:val="00C460D4"/>
    <w:rsid w:val="00C46F84"/>
    <w:rsid w:val="00C47EAA"/>
    <w:rsid w:val="00C50A42"/>
    <w:rsid w:val="00C5281A"/>
    <w:rsid w:val="00C52FB6"/>
    <w:rsid w:val="00C52FC5"/>
    <w:rsid w:val="00C538E8"/>
    <w:rsid w:val="00C54DC1"/>
    <w:rsid w:val="00C55DFC"/>
    <w:rsid w:val="00C564AB"/>
    <w:rsid w:val="00C608F4"/>
    <w:rsid w:val="00C61194"/>
    <w:rsid w:val="00C61463"/>
    <w:rsid w:val="00C6241B"/>
    <w:rsid w:val="00C63898"/>
    <w:rsid w:val="00C63F23"/>
    <w:rsid w:val="00C6589B"/>
    <w:rsid w:val="00C65D80"/>
    <w:rsid w:val="00C67120"/>
    <w:rsid w:val="00C67D09"/>
    <w:rsid w:val="00C735FC"/>
    <w:rsid w:val="00C73EEE"/>
    <w:rsid w:val="00C74CEF"/>
    <w:rsid w:val="00C754D3"/>
    <w:rsid w:val="00C75809"/>
    <w:rsid w:val="00C76B12"/>
    <w:rsid w:val="00C811FD"/>
    <w:rsid w:val="00C81E06"/>
    <w:rsid w:val="00C8213D"/>
    <w:rsid w:val="00C8317D"/>
    <w:rsid w:val="00C83714"/>
    <w:rsid w:val="00C84314"/>
    <w:rsid w:val="00C8502B"/>
    <w:rsid w:val="00C8694D"/>
    <w:rsid w:val="00C86AD6"/>
    <w:rsid w:val="00C87564"/>
    <w:rsid w:val="00C87B07"/>
    <w:rsid w:val="00C9440E"/>
    <w:rsid w:val="00C96A80"/>
    <w:rsid w:val="00C97536"/>
    <w:rsid w:val="00C97A31"/>
    <w:rsid w:val="00CA131A"/>
    <w:rsid w:val="00CA1779"/>
    <w:rsid w:val="00CA177F"/>
    <w:rsid w:val="00CA24C8"/>
    <w:rsid w:val="00CA38A0"/>
    <w:rsid w:val="00CA4930"/>
    <w:rsid w:val="00CA59DA"/>
    <w:rsid w:val="00CA7DEA"/>
    <w:rsid w:val="00CB04CE"/>
    <w:rsid w:val="00CB338A"/>
    <w:rsid w:val="00CB3C14"/>
    <w:rsid w:val="00CB3D3C"/>
    <w:rsid w:val="00CB53B9"/>
    <w:rsid w:val="00CB7517"/>
    <w:rsid w:val="00CB7BB6"/>
    <w:rsid w:val="00CC0655"/>
    <w:rsid w:val="00CC0FA0"/>
    <w:rsid w:val="00CC17A2"/>
    <w:rsid w:val="00CC1B61"/>
    <w:rsid w:val="00CC37CE"/>
    <w:rsid w:val="00CC3AC7"/>
    <w:rsid w:val="00CC4F02"/>
    <w:rsid w:val="00CC7C7C"/>
    <w:rsid w:val="00CD016D"/>
    <w:rsid w:val="00CD0C09"/>
    <w:rsid w:val="00CD0E2D"/>
    <w:rsid w:val="00CD1554"/>
    <w:rsid w:val="00CD21FA"/>
    <w:rsid w:val="00CD3EE8"/>
    <w:rsid w:val="00CD44C1"/>
    <w:rsid w:val="00CD4672"/>
    <w:rsid w:val="00CD64AA"/>
    <w:rsid w:val="00CD6C71"/>
    <w:rsid w:val="00CD6DA4"/>
    <w:rsid w:val="00CD743D"/>
    <w:rsid w:val="00CE0090"/>
    <w:rsid w:val="00CE01E1"/>
    <w:rsid w:val="00CE2EEF"/>
    <w:rsid w:val="00CE4FF0"/>
    <w:rsid w:val="00CE5C73"/>
    <w:rsid w:val="00CE7AB5"/>
    <w:rsid w:val="00CE7FE9"/>
    <w:rsid w:val="00CF0B3D"/>
    <w:rsid w:val="00CF167E"/>
    <w:rsid w:val="00CF16B3"/>
    <w:rsid w:val="00CF3E87"/>
    <w:rsid w:val="00CF6360"/>
    <w:rsid w:val="00D0193B"/>
    <w:rsid w:val="00D03DC6"/>
    <w:rsid w:val="00D045DC"/>
    <w:rsid w:val="00D04D0B"/>
    <w:rsid w:val="00D05100"/>
    <w:rsid w:val="00D07BA1"/>
    <w:rsid w:val="00D1054F"/>
    <w:rsid w:val="00D10C6F"/>
    <w:rsid w:val="00D11D4A"/>
    <w:rsid w:val="00D12168"/>
    <w:rsid w:val="00D12F7B"/>
    <w:rsid w:val="00D13610"/>
    <w:rsid w:val="00D13676"/>
    <w:rsid w:val="00D14578"/>
    <w:rsid w:val="00D1497F"/>
    <w:rsid w:val="00D169A3"/>
    <w:rsid w:val="00D16B02"/>
    <w:rsid w:val="00D204DE"/>
    <w:rsid w:val="00D2161F"/>
    <w:rsid w:val="00D21926"/>
    <w:rsid w:val="00D22374"/>
    <w:rsid w:val="00D22A65"/>
    <w:rsid w:val="00D23118"/>
    <w:rsid w:val="00D23EDA"/>
    <w:rsid w:val="00D2509C"/>
    <w:rsid w:val="00D27970"/>
    <w:rsid w:val="00D35098"/>
    <w:rsid w:val="00D358FD"/>
    <w:rsid w:val="00D3595C"/>
    <w:rsid w:val="00D36860"/>
    <w:rsid w:val="00D36D8C"/>
    <w:rsid w:val="00D37589"/>
    <w:rsid w:val="00D40715"/>
    <w:rsid w:val="00D4078C"/>
    <w:rsid w:val="00D417E8"/>
    <w:rsid w:val="00D42C15"/>
    <w:rsid w:val="00D42C6D"/>
    <w:rsid w:val="00D4464B"/>
    <w:rsid w:val="00D44B20"/>
    <w:rsid w:val="00D46096"/>
    <w:rsid w:val="00D46546"/>
    <w:rsid w:val="00D47971"/>
    <w:rsid w:val="00D5343B"/>
    <w:rsid w:val="00D53F77"/>
    <w:rsid w:val="00D54D0F"/>
    <w:rsid w:val="00D57167"/>
    <w:rsid w:val="00D6024C"/>
    <w:rsid w:val="00D62848"/>
    <w:rsid w:val="00D70D5A"/>
    <w:rsid w:val="00D70FC7"/>
    <w:rsid w:val="00D71858"/>
    <w:rsid w:val="00D72662"/>
    <w:rsid w:val="00D7394E"/>
    <w:rsid w:val="00D77F22"/>
    <w:rsid w:val="00D805DC"/>
    <w:rsid w:val="00D80BE6"/>
    <w:rsid w:val="00D80C80"/>
    <w:rsid w:val="00D8284C"/>
    <w:rsid w:val="00D82C6C"/>
    <w:rsid w:val="00D840A5"/>
    <w:rsid w:val="00D86119"/>
    <w:rsid w:val="00D86C03"/>
    <w:rsid w:val="00D87A6C"/>
    <w:rsid w:val="00D900A0"/>
    <w:rsid w:val="00D90CA4"/>
    <w:rsid w:val="00D926AD"/>
    <w:rsid w:val="00D9280D"/>
    <w:rsid w:val="00D94005"/>
    <w:rsid w:val="00D94259"/>
    <w:rsid w:val="00D943E9"/>
    <w:rsid w:val="00D94880"/>
    <w:rsid w:val="00D952D2"/>
    <w:rsid w:val="00D962BC"/>
    <w:rsid w:val="00DA03AD"/>
    <w:rsid w:val="00DA2299"/>
    <w:rsid w:val="00DA2329"/>
    <w:rsid w:val="00DA42F6"/>
    <w:rsid w:val="00DA561C"/>
    <w:rsid w:val="00DB01FB"/>
    <w:rsid w:val="00DB03FA"/>
    <w:rsid w:val="00DB15A6"/>
    <w:rsid w:val="00DB1969"/>
    <w:rsid w:val="00DB3359"/>
    <w:rsid w:val="00DB5B49"/>
    <w:rsid w:val="00DB6D61"/>
    <w:rsid w:val="00DB7231"/>
    <w:rsid w:val="00DC0269"/>
    <w:rsid w:val="00DC0496"/>
    <w:rsid w:val="00DC086B"/>
    <w:rsid w:val="00DC1230"/>
    <w:rsid w:val="00DC12A5"/>
    <w:rsid w:val="00DC2556"/>
    <w:rsid w:val="00DC2B5E"/>
    <w:rsid w:val="00DC3B79"/>
    <w:rsid w:val="00DC3DC3"/>
    <w:rsid w:val="00DC5519"/>
    <w:rsid w:val="00DC6A39"/>
    <w:rsid w:val="00DD0275"/>
    <w:rsid w:val="00DD0F35"/>
    <w:rsid w:val="00DD1DA4"/>
    <w:rsid w:val="00DD227F"/>
    <w:rsid w:val="00DD2D07"/>
    <w:rsid w:val="00DD3506"/>
    <w:rsid w:val="00DD75F2"/>
    <w:rsid w:val="00DD7A06"/>
    <w:rsid w:val="00DE03D4"/>
    <w:rsid w:val="00DE22E1"/>
    <w:rsid w:val="00DE2AD5"/>
    <w:rsid w:val="00DE2FBD"/>
    <w:rsid w:val="00DE3CBC"/>
    <w:rsid w:val="00DF0EBF"/>
    <w:rsid w:val="00DF1FC5"/>
    <w:rsid w:val="00DF1FFA"/>
    <w:rsid w:val="00DF2177"/>
    <w:rsid w:val="00DF5C1C"/>
    <w:rsid w:val="00DF62B9"/>
    <w:rsid w:val="00DF667B"/>
    <w:rsid w:val="00DF74C8"/>
    <w:rsid w:val="00E00557"/>
    <w:rsid w:val="00E02B5F"/>
    <w:rsid w:val="00E02CA9"/>
    <w:rsid w:val="00E031BF"/>
    <w:rsid w:val="00E03F44"/>
    <w:rsid w:val="00E04060"/>
    <w:rsid w:val="00E10500"/>
    <w:rsid w:val="00E126A3"/>
    <w:rsid w:val="00E12B76"/>
    <w:rsid w:val="00E144BC"/>
    <w:rsid w:val="00E153EC"/>
    <w:rsid w:val="00E15B1B"/>
    <w:rsid w:val="00E16A93"/>
    <w:rsid w:val="00E2299D"/>
    <w:rsid w:val="00E2320B"/>
    <w:rsid w:val="00E23933"/>
    <w:rsid w:val="00E24284"/>
    <w:rsid w:val="00E24E9A"/>
    <w:rsid w:val="00E25845"/>
    <w:rsid w:val="00E25A71"/>
    <w:rsid w:val="00E271CD"/>
    <w:rsid w:val="00E3199F"/>
    <w:rsid w:val="00E31CE5"/>
    <w:rsid w:val="00E320EF"/>
    <w:rsid w:val="00E32D6F"/>
    <w:rsid w:val="00E357CC"/>
    <w:rsid w:val="00E360B2"/>
    <w:rsid w:val="00E37E99"/>
    <w:rsid w:val="00E402D4"/>
    <w:rsid w:val="00E41151"/>
    <w:rsid w:val="00E41E45"/>
    <w:rsid w:val="00E436AC"/>
    <w:rsid w:val="00E43D70"/>
    <w:rsid w:val="00E460E4"/>
    <w:rsid w:val="00E46643"/>
    <w:rsid w:val="00E4767B"/>
    <w:rsid w:val="00E513F3"/>
    <w:rsid w:val="00E515A0"/>
    <w:rsid w:val="00E526C1"/>
    <w:rsid w:val="00E5271C"/>
    <w:rsid w:val="00E533A7"/>
    <w:rsid w:val="00E536E4"/>
    <w:rsid w:val="00E53D7A"/>
    <w:rsid w:val="00E53FF3"/>
    <w:rsid w:val="00E54AD5"/>
    <w:rsid w:val="00E5789C"/>
    <w:rsid w:val="00E57A51"/>
    <w:rsid w:val="00E6015D"/>
    <w:rsid w:val="00E604FF"/>
    <w:rsid w:val="00E63740"/>
    <w:rsid w:val="00E63BCE"/>
    <w:rsid w:val="00E6444F"/>
    <w:rsid w:val="00E67A04"/>
    <w:rsid w:val="00E72D4A"/>
    <w:rsid w:val="00E73D11"/>
    <w:rsid w:val="00E7430D"/>
    <w:rsid w:val="00E74BBE"/>
    <w:rsid w:val="00E752B9"/>
    <w:rsid w:val="00E75B82"/>
    <w:rsid w:val="00E76809"/>
    <w:rsid w:val="00E770F8"/>
    <w:rsid w:val="00E77F9B"/>
    <w:rsid w:val="00E80866"/>
    <w:rsid w:val="00E81375"/>
    <w:rsid w:val="00E81C3B"/>
    <w:rsid w:val="00E82E74"/>
    <w:rsid w:val="00E82F63"/>
    <w:rsid w:val="00E8329E"/>
    <w:rsid w:val="00E84946"/>
    <w:rsid w:val="00E87927"/>
    <w:rsid w:val="00E90447"/>
    <w:rsid w:val="00E91477"/>
    <w:rsid w:val="00E91B6E"/>
    <w:rsid w:val="00E91CA5"/>
    <w:rsid w:val="00E93418"/>
    <w:rsid w:val="00E948D3"/>
    <w:rsid w:val="00E96068"/>
    <w:rsid w:val="00E96CF8"/>
    <w:rsid w:val="00EA0F9D"/>
    <w:rsid w:val="00EA1713"/>
    <w:rsid w:val="00EA19AA"/>
    <w:rsid w:val="00EA21F1"/>
    <w:rsid w:val="00EA4E76"/>
    <w:rsid w:val="00EA5611"/>
    <w:rsid w:val="00EA5793"/>
    <w:rsid w:val="00EA76E3"/>
    <w:rsid w:val="00EB1B2C"/>
    <w:rsid w:val="00EB39C4"/>
    <w:rsid w:val="00EB446B"/>
    <w:rsid w:val="00EB5975"/>
    <w:rsid w:val="00EB5A06"/>
    <w:rsid w:val="00EB5DBB"/>
    <w:rsid w:val="00EB6729"/>
    <w:rsid w:val="00EB7C26"/>
    <w:rsid w:val="00EC22F4"/>
    <w:rsid w:val="00EC38EA"/>
    <w:rsid w:val="00EC4135"/>
    <w:rsid w:val="00EC498A"/>
    <w:rsid w:val="00EC687A"/>
    <w:rsid w:val="00EC69AF"/>
    <w:rsid w:val="00EC6E29"/>
    <w:rsid w:val="00EC73D2"/>
    <w:rsid w:val="00EC77A6"/>
    <w:rsid w:val="00EC7F10"/>
    <w:rsid w:val="00ED39A8"/>
    <w:rsid w:val="00ED3A58"/>
    <w:rsid w:val="00ED5498"/>
    <w:rsid w:val="00ED5A22"/>
    <w:rsid w:val="00ED7D64"/>
    <w:rsid w:val="00EE0277"/>
    <w:rsid w:val="00EE18CC"/>
    <w:rsid w:val="00EE327C"/>
    <w:rsid w:val="00EE38AA"/>
    <w:rsid w:val="00EE4D33"/>
    <w:rsid w:val="00EE4DBB"/>
    <w:rsid w:val="00EE68EC"/>
    <w:rsid w:val="00EE7638"/>
    <w:rsid w:val="00EE7806"/>
    <w:rsid w:val="00EE7F4D"/>
    <w:rsid w:val="00EF0209"/>
    <w:rsid w:val="00EF3443"/>
    <w:rsid w:val="00EF3718"/>
    <w:rsid w:val="00EF391A"/>
    <w:rsid w:val="00EF4210"/>
    <w:rsid w:val="00EF49D4"/>
    <w:rsid w:val="00EF5647"/>
    <w:rsid w:val="00EF621E"/>
    <w:rsid w:val="00F0139A"/>
    <w:rsid w:val="00F01AC5"/>
    <w:rsid w:val="00F01AEF"/>
    <w:rsid w:val="00F020A0"/>
    <w:rsid w:val="00F03814"/>
    <w:rsid w:val="00F11DB8"/>
    <w:rsid w:val="00F13F86"/>
    <w:rsid w:val="00F1457C"/>
    <w:rsid w:val="00F15A33"/>
    <w:rsid w:val="00F15F0A"/>
    <w:rsid w:val="00F164EE"/>
    <w:rsid w:val="00F16E7D"/>
    <w:rsid w:val="00F17547"/>
    <w:rsid w:val="00F17C25"/>
    <w:rsid w:val="00F23B88"/>
    <w:rsid w:val="00F2477B"/>
    <w:rsid w:val="00F2649F"/>
    <w:rsid w:val="00F31DB7"/>
    <w:rsid w:val="00F33B8C"/>
    <w:rsid w:val="00F35399"/>
    <w:rsid w:val="00F35666"/>
    <w:rsid w:val="00F35BF8"/>
    <w:rsid w:val="00F36244"/>
    <w:rsid w:val="00F36354"/>
    <w:rsid w:val="00F36994"/>
    <w:rsid w:val="00F418E6"/>
    <w:rsid w:val="00F42014"/>
    <w:rsid w:val="00F4320C"/>
    <w:rsid w:val="00F4472A"/>
    <w:rsid w:val="00F448E4"/>
    <w:rsid w:val="00F463B2"/>
    <w:rsid w:val="00F47ED6"/>
    <w:rsid w:val="00F51E58"/>
    <w:rsid w:val="00F52725"/>
    <w:rsid w:val="00F54124"/>
    <w:rsid w:val="00F54B31"/>
    <w:rsid w:val="00F55420"/>
    <w:rsid w:val="00F56A33"/>
    <w:rsid w:val="00F56B32"/>
    <w:rsid w:val="00F56C60"/>
    <w:rsid w:val="00F576FC"/>
    <w:rsid w:val="00F615B0"/>
    <w:rsid w:val="00F61D38"/>
    <w:rsid w:val="00F62329"/>
    <w:rsid w:val="00F63278"/>
    <w:rsid w:val="00F63B35"/>
    <w:rsid w:val="00F63BA5"/>
    <w:rsid w:val="00F63CE6"/>
    <w:rsid w:val="00F65394"/>
    <w:rsid w:val="00F654F7"/>
    <w:rsid w:val="00F671B8"/>
    <w:rsid w:val="00F6724C"/>
    <w:rsid w:val="00F67817"/>
    <w:rsid w:val="00F708A4"/>
    <w:rsid w:val="00F72D1D"/>
    <w:rsid w:val="00F72EC4"/>
    <w:rsid w:val="00F73392"/>
    <w:rsid w:val="00F748B0"/>
    <w:rsid w:val="00F75A5B"/>
    <w:rsid w:val="00F76043"/>
    <w:rsid w:val="00F77D4A"/>
    <w:rsid w:val="00F77DD0"/>
    <w:rsid w:val="00F84082"/>
    <w:rsid w:val="00F8452B"/>
    <w:rsid w:val="00F84AED"/>
    <w:rsid w:val="00F87A6F"/>
    <w:rsid w:val="00F87D41"/>
    <w:rsid w:val="00F90261"/>
    <w:rsid w:val="00F903C3"/>
    <w:rsid w:val="00F9042A"/>
    <w:rsid w:val="00F913A3"/>
    <w:rsid w:val="00F93D59"/>
    <w:rsid w:val="00F94C80"/>
    <w:rsid w:val="00F94E77"/>
    <w:rsid w:val="00F95AF0"/>
    <w:rsid w:val="00F95BA1"/>
    <w:rsid w:val="00F96FA6"/>
    <w:rsid w:val="00F977FA"/>
    <w:rsid w:val="00F97FB7"/>
    <w:rsid w:val="00FA0EFD"/>
    <w:rsid w:val="00FA2105"/>
    <w:rsid w:val="00FA3308"/>
    <w:rsid w:val="00FA3931"/>
    <w:rsid w:val="00FA58B1"/>
    <w:rsid w:val="00FA59B6"/>
    <w:rsid w:val="00FA5C91"/>
    <w:rsid w:val="00FA7ADC"/>
    <w:rsid w:val="00FB066E"/>
    <w:rsid w:val="00FB08E9"/>
    <w:rsid w:val="00FB2073"/>
    <w:rsid w:val="00FB2C94"/>
    <w:rsid w:val="00FB2E59"/>
    <w:rsid w:val="00FB497D"/>
    <w:rsid w:val="00FB4CE0"/>
    <w:rsid w:val="00FB5108"/>
    <w:rsid w:val="00FB55CC"/>
    <w:rsid w:val="00FB5748"/>
    <w:rsid w:val="00FB5926"/>
    <w:rsid w:val="00FB62B4"/>
    <w:rsid w:val="00FB7B2D"/>
    <w:rsid w:val="00FC21E4"/>
    <w:rsid w:val="00FC2BE7"/>
    <w:rsid w:val="00FC367D"/>
    <w:rsid w:val="00FC3A44"/>
    <w:rsid w:val="00FC3A51"/>
    <w:rsid w:val="00FC3AF0"/>
    <w:rsid w:val="00FC4586"/>
    <w:rsid w:val="00FC79E8"/>
    <w:rsid w:val="00FD01F3"/>
    <w:rsid w:val="00FD0254"/>
    <w:rsid w:val="00FD0648"/>
    <w:rsid w:val="00FD37BF"/>
    <w:rsid w:val="00FE014A"/>
    <w:rsid w:val="00FE08CE"/>
    <w:rsid w:val="00FE0DC4"/>
    <w:rsid w:val="00FE13BF"/>
    <w:rsid w:val="00FE235D"/>
    <w:rsid w:val="00FE3AE5"/>
    <w:rsid w:val="00FE3FD8"/>
    <w:rsid w:val="00FE6375"/>
    <w:rsid w:val="00FE68A7"/>
    <w:rsid w:val="00FF309D"/>
    <w:rsid w:val="00FF3EE5"/>
    <w:rsid w:val="00FF437A"/>
    <w:rsid w:val="00FF4A3C"/>
    <w:rsid w:val="00FF5EF4"/>
    <w:rsid w:val="00FF5FF5"/>
    <w:rsid w:val="00FF6163"/>
    <w:rsid w:val="00FF6BE0"/>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02D5C1"/>
  <w15:docId w15:val="{5B07D430-3E24-48C0-92E3-983956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1858"/>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11"/>
      </w:numPr>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71858"/>
    <w:rPr>
      <w:vertAlign w:val="superscript"/>
    </w:rPr>
  </w:style>
  <w:style w:type="paragraph" w:customStyle="1" w:styleId="ColorfulList-Accent11">
    <w:name w:val="Colorful List - Accent 11"/>
    <w:aliases w:val="Footnote,Párrafo de lista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iPriority w:val="99"/>
    <w:semiHidden/>
    <w:unhideWhenUsed/>
    <w:rsid w:val="00D71858"/>
    <w:rPr>
      <w:sz w:val="16"/>
      <w:szCs w:val="16"/>
    </w:rPr>
  </w:style>
  <w:style w:type="paragraph" w:styleId="Textocomentario">
    <w:name w:val="annotation text"/>
    <w:basedOn w:val="Normal"/>
    <w:link w:val="TextocomentarioCar"/>
    <w:uiPriority w:val="99"/>
    <w:unhideWhenUsed/>
    <w:rsid w:val="00D71858"/>
    <w:rPr>
      <w:sz w:val="20"/>
    </w:rPr>
  </w:style>
  <w:style w:type="character" w:customStyle="1" w:styleId="TextocomentarioCar">
    <w:name w:val="Texto comentario Car"/>
    <w:link w:val="Textocomentario"/>
    <w:uiPriority w:val="99"/>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semiHidden/>
    <w:unhideWhenUsed/>
    <w:rsid w:val="00D71858"/>
    <w:pPr>
      <w:spacing w:after="120"/>
    </w:pPr>
  </w:style>
  <w:style w:type="character" w:customStyle="1" w:styleId="TextoindependienteCar">
    <w:name w:val="Texto independiente Car"/>
    <w:link w:val="Textoindependiente"/>
    <w:uiPriority w:val="99"/>
    <w:semiHidden/>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2"/>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sz w:val="22"/>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basedOn w:val="Normal"/>
    <w:link w:val="EncabezadoCar"/>
    <w:uiPriority w:val="99"/>
    <w:unhideWhenUsed/>
    <w:rsid w:val="000905B4"/>
    <w:pPr>
      <w:tabs>
        <w:tab w:val="center" w:pos="4419"/>
        <w:tab w:val="right" w:pos="8838"/>
      </w:tabs>
    </w:pPr>
  </w:style>
  <w:style w:type="character" w:customStyle="1" w:styleId="EncabezadoCar">
    <w:name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F13F86"/>
    <w:pPr>
      <w:tabs>
        <w:tab w:val="left" w:pos="709"/>
        <w:tab w:val="left" w:pos="9356"/>
      </w:tabs>
      <w:spacing w:after="100" w:line="276" w:lineRule="auto"/>
      <w:ind w:left="284" w:right="996"/>
    </w:pPr>
    <w:rPr>
      <w:rFonts w:ascii="Verdana" w:eastAsia="Calibri" w:hAnsi="Verdana"/>
      <w:noProof/>
      <w:sz w:val="16"/>
      <w:szCs w:val="16"/>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cs="Times New Roman"/>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aliases w:val="List Paragraph1"/>
    <w:basedOn w:val="Normal"/>
    <w:link w:val="PrrafodelistaCar"/>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customStyle="1" w:styleId="PrrafodelistaCar">
    <w:name w:val="Párrafo de lista Car"/>
    <w:aliases w:val="List Paragraph1 Car"/>
    <w:link w:val="Prrafodelista"/>
    <w:uiPriority w:val="34"/>
    <w:locked/>
    <w:rsid w:val="00506303"/>
    <w:rPr>
      <w:sz w:val="22"/>
      <w:szCs w:val="22"/>
    </w:rPr>
  </w:style>
  <w:style w:type="paragraph" w:styleId="Sinespaciado">
    <w:name w:val="No Spacing"/>
    <w:uiPriority w:val="1"/>
    <w:qFormat/>
    <w:rsid w:val="00293029"/>
    <w:rPr>
      <w:rFonts w:asciiTheme="minorHAnsi" w:eastAsiaTheme="minorHAnsi" w:hAnsiTheme="minorHAnsi" w:cstheme="minorBidi"/>
      <w:sz w:val="22"/>
      <w:szCs w:val="22"/>
      <w:lang w:val="es-CR"/>
    </w:rPr>
  </w:style>
  <w:style w:type="numbering" w:customStyle="1" w:styleId="CurrentList1">
    <w:name w:val="Current List1"/>
    <w:uiPriority w:val="99"/>
    <w:rsid w:val="008A5719"/>
    <w:pPr>
      <w:numPr>
        <w:numId w:val="9"/>
      </w:numPr>
    </w:pPr>
  </w:style>
  <w:style w:type="paragraph" w:styleId="Revisin">
    <w:name w:val="Revision"/>
    <w:hidden/>
    <w:uiPriority w:val="99"/>
    <w:semiHidden/>
    <w:rsid w:val="00543035"/>
    <w:rPr>
      <w:rFonts w:ascii="Times" w:eastAsia="Times" w:hAnsi="Time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65420689">
      <w:bodyDiv w:val="1"/>
      <w:marLeft w:val="0"/>
      <w:marRight w:val="0"/>
      <w:marTop w:val="0"/>
      <w:marBottom w:val="0"/>
      <w:divBdr>
        <w:top w:val="none" w:sz="0" w:space="0" w:color="auto"/>
        <w:left w:val="none" w:sz="0" w:space="0" w:color="auto"/>
        <w:bottom w:val="none" w:sz="0" w:space="0" w:color="auto"/>
        <w:right w:val="none" w:sz="0" w:space="0" w:color="auto"/>
      </w:divBdr>
      <w:divsChild>
        <w:div w:id="1171914922">
          <w:marLeft w:val="0"/>
          <w:marRight w:val="0"/>
          <w:marTop w:val="0"/>
          <w:marBottom w:val="0"/>
          <w:divBdr>
            <w:top w:val="none" w:sz="0" w:space="0" w:color="auto"/>
            <w:left w:val="none" w:sz="0" w:space="0" w:color="auto"/>
            <w:bottom w:val="none" w:sz="0" w:space="0" w:color="auto"/>
            <w:right w:val="none" w:sz="0" w:space="0" w:color="auto"/>
          </w:divBdr>
          <w:divsChild>
            <w:div w:id="1649629385">
              <w:marLeft w:val="0"/>
              <w:marRight w:val="0"/>
              <w:marTop w:val="0"/>
              <w:marBottom w:val="0"/>
              <w:divBdr>
                <w:top w:val="none" w:sz="0" w:space="0" w:color="auto"/>
                <w:left w:val="none" w:sz="0" w:space="0" w:color="auto"/>
                <w:bottom w:val="none" w:sz="0" w:space="0" w:color="auto"/>
                <w:right w:val="none" w:sz="0" w:space="0" w:color="auto"/>
              </w:divBdr>
              <w:divsChild>
                <w:div w:id="11935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8935">
      <w:bodyDiv w:val="1"/>
      <w:marLeft w:val="0"/>
      <w:marRight w:val="0"/>
      <w:marTop w:val="0"/>
      <w:marBottom w:val="0"/>
      <w:divBdr>
        <w:top w:val="none" w:sz="0" w:space="0" w:color="auto"/>
        <w:left w:val="none" w:sz="0" w:space="0" w:color="auto"/>
        <w:bottom w:val="none" w:sz="0" w:space="0" w:color="auto"/>
        <w:right w:val="none" w:sz="0" w:space="0" w:color="auto"/>
      </w:divBdr>
    </w:div>
    <w:div w:id="176817023">
      <w:bodyDiv w:val="1"/>
      <w:marLeft w:val="0"/>
      <w:marRight w:val="0"/>
      <w:marTop w:val="0"/>
      <w:marBottom w:val="0"/>
      <w:divBdr>
        <w:top w:val="none" w:sz="0" w:space="0" w:color="auto"/>
        <w:left w:val="none" w:sz="0" w:space="0" w:color="auto"/>
        <w:bottom w:val="none" w:sz="0" w:space="0" w:color="auto"/>
        <w:right w:val="none" w:sz="0" w:space="0" w:color="auto"/>
      </w:divBdr>
      <w:divsChild>
        <w:div w:id="134757384">
          <w:marLeft w:val="0"/>
          <w:marRight w:val="0"/>
          <w:marTop w:val="0"/>
          <w:marBottom w:val="0"/>
          <w:divBdr>
            <w:top w:val="none" w:sz="0" w:space="0" w:color="auto"/>
            <w:left w:val="none" w:sz="0" w:space="0" w:color="auto"/>
            <w:bottom w:val="none" w:sz="0" w:space="0" w:color="auto"/>
            <w:right w:val="none" w:sz="0" w:space="0" w:color="auto"/>
          </w:divBdr>
          <w:divsChild>
            <w:div w:id="1447653280">
              <w:marLeft w:val="0"/>
              <w:marRight w:val="0"/>
              <w:marTop w:val="0"/>
              <w:marBottom w:val="0"/>
              <w:divBdr>
                <w:top w:val="none" w:sz="0" w:space="0" w:color="auto"/>
                <w:left w:val="none" w:sz="0" w:space="0" w:color="auto"/>
                <w:bottom w:val="none" w:sz="0" w:space="0" w:color="auto"/>
                <w:right w:val="none" w:sz="0" w:space="0" w:color="auto"/>
              </w:divBdr>
              <w:divsChild>
                <w:div w:id="18470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556173">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3156084">
      <w:bodyDiv w:val="1"/>
      <w:marLeft w:val="0"/>
      <w:marRight w:val="0"/>
      <w:marTop w:val="0"/>
      <w:marBottom w:val="0"/>
      <w:divBdr>
        <w:top w:val="none" w:sz="0" w:space="0" w:color="auto"/>
        <w:left w:val="none" w:sz="0" w:space="0" w:color="auto"/>
        <w:bottom w:val="none" w:sz="0" w:space="0" w:color="auto"/>
        <w:right w:val="none" w:sz="0" w:space="0" w:color="auto"/>
      </w:divBdr>
      <w:divsChild>
        <w:div w:id="1189758047">
          <w:marLeft w:val="0"/>
          <w:marRight w:val="0"/>
          <w:marTop w:val="0"/>
          <w:marBottom w:val="0"/>
          <w:divBdr>
            <w:top w:val="none" w:sz="0" w:space="0" w:color="auto"/>
            <w:left w:val="none" w:sz="0" w:space="0" w:color="auto"/>
            <w:bottom w:val="none" w:sz="0" w:space="0" w:color="auto"/>
            <w:right w:val="none" w:sz="0" w:space="0" w:color="auto"/>
          </w:divBdr>
          <w:divsChild>
            <w:div w:id="1983804366">
              <w:marLeft w:val="0"/>
              <w:marRight w:val="0"/>
              <w:marTop w:val="0"/>
              <w:marBottom w:val="0"/>
              <w:divBdr>
                <w:top w:val="none" w:sz="0" w:space="0" w:color="auto"/>
                <w:left w:val="none" w:sz="0" w:space="0" w:color="auto"/>
                <w:bottom w:val="none" w:sz="0" w:space="0" w:color="auto"/>
                <w:right w:val="none" w:sz="0" w:space="0" w:color="auto"/>
              </w:divBdr>
              <w:divsChild>
                <w:div w:id="19133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08613216">
      <w:bodyDiv w:val="1"/>
      <w:marLeft w:val="0"/>
      <w:marRight w:val="0"/>
      <w:marTop w:val="0"/>
      <w:marBottom w:val="0"/>
      <w:divBdr>
        <w:top w:val="none" w:sz="0" w:space="0" w:color="auto"/>
        <w:left w:val="none" w:sz="0" w:space="0" w:color="auto"/>
        <w:bottom w:val="none" w:sz="0" w:space="0" w:color="auto"/>
        <w:right w:val="none" w:sz="0" w:space="0" w:color="auto"/>
      </w:divBdr>
    </w:div>
    <w:div w:id="229193395">
      <w:bodyDiv w:val="1"/>
      <w:marLeft w:val="0"/>
      <w:marRight w:val="0"/>
      <w:marTop w:val="0"/>
      <w:marBottom w:val="0"/>
      <w:divBdr>
        <w:top w:val="none" w:sz="0" w:space="0" w:color="auto"/>
        <w:left w:val="none" w:sz="0" w:space="0" w:color="auto"/>
        <w:bottom w:val="none" w:sz="0" w:space="0" w:color="auto"/>
        <w:right w:val="none" w:sz="0" w:space="0" w:color="auto"/>
      </w:divBdr>
    </w:div>
    <w:div w:id="238445946">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81494462">
      <w:bodyDiv w:val="1"/>
      <w:marLeft w:val="0"/>
      <w:marRight w:val="0"/>
      <w:marTop w:val="0"/>
      <w:marBottom w:val="0"/>
      <w:divBdr>
        <w:top w:val="none" w:sz="0" w:space="0" w:color="auto"/>
        <w:left w:val="none" w:sz="0" w:space="0" w:color="auto"/>
        <w:bottom w:val="none" w:sz="0" w:space="0" w:color="auto"/>
        <w:right w:val="none" w:sz="0" w:space="0" w:color="auto"/>
      </w:divBdr>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5766">
      <w:bodyDiv w:val="1"/>
      <w:marLeft w:val="0"/>
      <w:marRight w:val="0"/>
      <w:marTop w:val="0"/>
      <w:marBottom w:val="0"/>
      <w:divBdr>
        <w:top w:val="none" w:sz="0" w:space="0" w:color="auto"/>
        <w:left w:val="none" w:sz="0" w:space="0" w:color="auto"/>
        <w:bottom w:val="none" w:sz="0" w:space="0" w:color="auto"/>
        <w:right w:val="none" w:sz="0" w:space="0" w:color="auto"/>
      </w:divBdr>
    </w:div>
    <w:div w:id="381945067">
      <w:bodyDiv w:val="1"/>
      <w:marLeft w:val="0"/>
      <w:marRight w:val="0"/>
      <w:marTop w:val="0"/>
      <w:marBottom w:val="0"/>
      <w:divBdr>
        <w:top w:val="none" w:sz="0" w:space="0" w:color="auto"/>
        <w:left w:val="none" w:sz="0" w:space="0" w:color="auto"/>
        <w:bottom w:val="none" w:sz="0" w:space="0" w:color="auto"/>
        <w:right w:val="none" w:sz="0" w:space="0" w:color="auto"/>
      </w:divBdr>
      <w:divsChild>
        <w:div w:id="391730162">
          <w:marLeft w:val="0"/>
          <w:marRight w:val="0"/>
          <w:marTop w:val="0"/>
          <w:marBottom w:val="0"/>
          <w:divBdr>
            <w:top w:val="none" w:sz="0" w:space="0" w:color="auto"/>
            <w:left w:val="none" w:sz="0" w:space="0" w:color="auto"/>
            <w:bottom w:val="none" w:sz="0" w:space="0" w:color="auto"/>
            <w:right w:val="none" w:sz="0" w:space="0" w:color="auto"/>
          </w:divBdr>
          <w:divsChild>
            <w:div w:id="1190069592">
              <w:marLeft w:val="0"/>
              <w:marRight w:val="0"/>
              <w:marTop w:val="0"/>
              <w:marBottom w:val="0"/>
              <w:divBdr>
                <w:top w:val="none" w:sz="0" w:space="0" w:color="auto"/>
                <w:left w:val="none" w:sz="0" w:space="0" w:color="auto"/>
                <w:bottom w:val="none" w:sz="0" w:space="0" w:color="auto"/>
                <w:right w:val="none" w:sz="0" w:space="0" w:color="auto"/>
              </w:divBdr>
              <w:divsChild>
                <w:div w:id="1302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533032372">
      <w:bodyDiv w:val="1"/>
      <w:marLeft w:val="0"/>
      <w:marRight w:val="0"/>
      <w:marTop w:val="0"/>
      <w:marBottom w:val="0"/>
      <w:divBdr>
        <w:top w:val="none" w:sz="0" w:space="0" w:color="auto"/>
        <w:left w:val="none" w:sz="0" w:space="0" w:color="auto"/>
        <w:bottom w:val="none" w:sz="0" w:space="0" w:color="auto"/>
        <w:right w:val="none" w:sz="0" w:space="0" w:color="auto"/>
      </w:divBdr>
    </w:div>
    <w:div w:id="547450218">
      <w:bodyDiv w:val="1"/>
      <w:marLeft w:val="0"/>
      <w:marRight w:val="0"/>
      <w:marTop w:val="0"/>
      <w:marBottom w:val="0"/>
      <w:divBdr>
        <w:top w:val="none" w:sz="0" w:space="0" w:color="auto"/>
        <w:left w:val="none" w:sz="0" w:space="0" w:color="auto"/>
        <w:bottom w:val="none" w:sz="0" w:space="0" w:color="auto"/>
        <w:right w:val="none" w:sz="0" w:space="0" w:color="auto"/>
      </w:divBdr>
    </w:div>
    <w:div w:id="575407146">
      <w:bodyDiv w:val="1"/>
      <w:marLeft w:val="0"/>
      <w:marRight w:val="0"/>
      <w:marTop w:val="0"/>
      <w:marBottom w:val="0"/>
      <w:divBdr>
        <w:top w:val="none" w:sz="0" w:space="0" w:color="auto"/>
        <w:left w:val="none" w:sz="0" w:space="0" w:color="auto"/>
        <w:bottom w:val="none" w:sz="0" w:space="0" w:color="auto"/>
        <w:right w:val="none" w:sz="0" w:space="0" w:color="auto"/>
      </w:divBdr>
    </w:div>
    <w:div w:id="580140227">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737451">
      <w:bodyDiv w:val="1"/>
      <w:marLeft w:val="0"/>
      <w:marRight w:val="0"/>
      <w:marTop w:val="0"/>
      <w:marBottom w:val="0"/>
      <w:divBdr>
        <w:top w:val="none" w:sz="0" w:space="0" w:color="auto"/>
        <w:left w:val="none" w:sz="0" w:space="0" w:color="auto"/>
        <w:bottom w:val="none" w:sz="0" w:space="0" w:color="auto"/>
        <w:right w:val="none" w:sz="0" w:space="0" w:color="auto"/>
      </w:divBdr>
      <w:divsChild>
        <w:div w:id="1870608439">
          <w:marLeft w:val="0"/>
          <w:marRight w:val="0"/>
          <w:marTop w:val="0"/>
          <w:marBottom w:val="0"/>
          <w:divBdr>
            <w:top w:val="none" w:sz="0" w:space="0" w:color="auto"/>
            <w:left w:val="none" w:sz="0" w:space="0" w:color="auto"/>
            <w:bottom w:val="none" w:sz="0" w:space="0" w:color="auto"/>
            <w:right w:val="none" w:sz="0" w:space="0" w:color="auto"/>
          </w:divBdr>
          <w:divsChild>
            <w:div w:id="1862549231">
              <w:marLeft w:val="0"/>
              <w:marRight w:val="0"/>
              <w:marTop w:val="0"/>
              <w:marBottom w:val="0"/>
              <w:divBdr>
                <w:top w:val="none" w:sz="0" w:space="0" w:color="auto"/>
                <w:left w:val="none" w:sz="0" w:space="0" w:color="auto"/>
                <w:bottom w:val="none" w:sz="0" w:space="0" w:color="auto"/>
                <w:right w:val="none" w:sz="0" w:space="0" w:color="auto"/>
              </w:divBdr>
              <w:divsChild>
                <w:div w:id="186131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79701285">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63964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266">
          <w:marLeft w:val="0"/>
          <w:marRight w:val="0"/>
          <w:marTop w:val="0"/>
          <w:marBottom w:val="0"/>
          <w:divBdr>
            <w:top w:val="none" w:sz="0" w:space="0" w:color="auto"/>
            <w:left w:val="none" w:sz="0" w:space="0" w:color="auto"/>
            <w:bottom w:val="none" w:sz="0" w:space="0" w:color="auto"/>
            <w:right w:val="none" w:sz="0" w:space="0" w:color="auto"/>
          </w:divBdr>
          <w:divsChild>
            <w:div w:id="1482041984">
              <w:marLeft w:val="0"/>
              <w:marRight w:val="0"/>
              <w:marTop w:val="0"/>
              <w:marBottom w:val="0"/>
              <w:divBdr>
                <w:top w:val="none" w:sz="0" w:space="0" w:color="auto"/>
                <w:left w:val="none" w:sz="0" w:space="0" w:color="auto"/>
                <w:bottom w:val="none" w:sz="0" w:space="0" w:color="auto"/>
                <w:right w:val="none" w:sz="0" w:space="0" w:color="auto"/>
              </w:divBdr>
              <w:divsChild>
                <w:div w:id="92637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88720">
      <w:bodyDiv w:val="1"/>
      <w:marLeft w:val="0"/>
      <w:marRight w:val="0"/>
      <w:marTop w:val="0"/>
      <w:marBottom w:val="0"/>
      <w:divBdr>
        <w:top w:val="none" w:sz="0" w:space="0" w:color="auto"/>
        <w:left w:val="none" w:sz="0" w:space="0" w:color="auto"/>
        <w:bottom w:val="none" w:sz="0" w:space="0" w:color="auto"/>
        <w:right w:val="none" w:sz="0" w:space="0" w:color="auto"/>
      </w:divBdr>
      <w:divsChild>
        <w:div w:id="1308317713">
          <w:marLeft w:val="0"/>
          <w:marRight w:val="0"/>
          <w:marTop w:val="0"/>
          <w:marBottom w:val="0"/>
          <w:divBdr>
            <w:top w:val="none" w:sz="0" w:space="0" w:color="auto"/>
            <w:left w:val="none" w:sz="0" w:space="0" w:color="auto"/>
            <w:bottom w:val="none" w:sz="0" w:space="0" w:color="auto"/>
            <w:right w:val="none" w:sz="0" w:space="0" w:color="auto"/>
          </w:divBdr>
          <w:divsChild>
            <w:div w:id="1650161187">
              <w:marLeft w:val="0"/>
              <w:marRight w:val="0"/>
              <w:marTop w:val="0"/>
              <w:marBottom w:val="0"/>
              <w:divBdr>
                <w:top w:val="none" w:sz="0" w:space="0" w:color="auto"/>
                <w:left w:val="none" w:sz="0" w:space="0" w:color="auto"/>
                <w:bottom w:val="none" w:sz="0" w:space="0" w:color="auto"/>
                <w:right w:val="none" w:sz="0" w:space="0" w:color="auto"/>
              </w:divBdr>
              <w:divsChild>
                <w:div w:id="48963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32322">
      <w:bodyDiv w:val="1"/>
      <w:marLeft w:val="0"/>
      <w:marRight w:val="0"/>
      <w:marTop w:val="0"/>
      <w:marBottom w:val="0"/>
      <w:divBdr>
        <w:top w:val="none" w:sz="0" w:space="0" w:color="auto"/>
        <w:left w:val="none" w:sz="0" w:space="0" w:color="auto"/>
        <w:bottom w:val="none" w:sz="0" w:space="0" w:color="auto"/>
        <w:right w:val="none" w:sz="0" w:space="0" w:color="auto"/>
      </w:divBdr>
    </w:div>
    <w:div w:id="855265015">
      <w:bodyDiv w:val="1"/>
      <w:marLeft w:val="0"/>
      <w:marRight w:val="0"/>
      <w:marTop w:val="0"/>
      <w:marBottom w:val="0"/>
      <w:divBdr>
        <w:top w:val="none" w:sz="0" w:space="0" w:color="auto"/>
        <w:left w:val="none" w:sz="0" w:space="0" w:color="auto"/>
        <w:bottom w:val="none" w:sz="0" w:space="0" w:color="auto"/>
        <w:right w:val="none" w:sz="0" w:space="0" w:color="auto"/>
      </w:divBdr>
    </w:div>
    <w:div w:id="860584158">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1136278">
      <w:bodyDiv w:val="1"/>
      <w:marLeft w:val="0"/>
      <w:marRight w:val="0"/>
      <w:marTop w:val="0"/>
      <w:marBottom w:val="0"/>
      <w:divBdr>
        <w:top w:val="none" w:sz="0" w:space="0" w:color="auto"/>
        <w:left w:val="none" w:sz="0" w:space="0" w:color="auto"/>
        <w:bottom w:val="none" w:sz="0" w:space="0" w:color="auto"/>
        <w:right w:val="none" w:sz="0" w:space="0" w:color="auto"/>
      </w:divBdr>
    </w:div>
    <w:div w:id="892039662">
      <w:bodyDiv w:val="1"/>
      <w:marLeft w:val="0"/>
      <w:marRight w:val="0"/>
      <w:marTop w:val="0"/>
      <w:marBottom w:val="0"/>
      <w:divBdr>
        <w:top w:val="none" w:sz="0" w:space="0" w:color="auto"/>
        <w:left w:val="none" w:sz="0" w:space="0" w:color="auto"/>
        <w:bottom w:val="none" w:sz="0" w:space="0" w:color="auto"/>
        <w:right w:val="none" w:sz="0" w:space="0" w:color="auto"/>
      </w:divBdr>
      <w:divsChild>
        <w:div w:id="1084643672">
          <w:marLeft w:val="0"/>
          <w:marRight w:val="0"/>
          <w:marTop w:val="0"/>
          <w:marBottom w:val="0"/>
          <w:divBdr>
            <w:top w:val="none" w:sz="0" w:space="0" w:color="auto"/>
            <w:left w:val="none" w:sz="0" w:space="0" w:color="auto"/>
            <w:bottom w:val="none" w:sz="0" w:space="0" w:color="auto"/>
            <w:right w:val="none" w:sz="0" w:space="0" w:color="auto"/>
          </w:divBdr>
          <w:divsChild>
            <w:div w:id="1330524749">
              <w:marLeft w:val="0"/>
              <w:marRight w:val="0"/>
              <w:marTop w:val="0"/>
              <w:marBottom w:val="0"/>
              <w:divBdr>
                <w:top w:val="none" w:sz="0" w:space="0" w:color="auto"/>
                <w:left w:val="none" w:sz="0" w:space="0" w:color="auto"/>
                <w:bottom w:val="none" w:sz="0" w:space="0" w:color="auto"/>
                <w:right w:val="none" w:sz="0" w:space="0" w:color="auto"/>
              </w:divBdr>
              <w:divsChild>
                <w:div w:id="47398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25379">
      <w:bodyDiv w:val="1"/>
      <w:marLeft w:val="0"/>
      <w:marRight w:val="0"/>
      <w:marTop w:val="0"/>
      <w:marBottom w:val="0"/>
      <w:divBdr>
        <w:top w:val="none" w:sz="0" w:space="0" w:color="auto"/>
        <w:left w:val="none" w:sz="0" w:space="0" w:color="auto"/>
        <w:bottom w:val="none" w:sz="0" w:space="0" w:color="auto"/>
        <w:right w:val="none" w:sz="0" w:space="0" w:color="auto"/>
      </w:divBdr>
      <w:divsChild>
        <w:div w:id="414325256">
          <w:marLeft w:val="0"/>
          <w:marRight w:val="0"/>
          <w:marTop w:val="0"/>
          <w:marBottom w:val="0"/>
          <w:divBdr>
            <w:top w:val="none" w:sz="0" w:space="0" w:color="auto"/>
            <w:left w:val="none" w:sz="0" w:space="0" w:color="auto"/>
            <w:bottom w:val="none" w:sz="0" w:space="0" w:color="auto"/>
            <w:right w:val="none" w:sz="0" w:space="0" w:color="auto"/>
          </w:divBdr>
          <w:divsChild>
            <w:div w:id="1263731823">
              <w:marLeft w:val="0"/>
              <w:marRight w:val="0"/>
              <w:marTop w:val="0"/>
              <w:marBottom w:val="0"/>
              <w:divBdr>
                <w:top w:val="none" w:sz="0" w:space="0" w:color="auto"/>
                <w:left w:val="none" w:sz="0" w:space="0" w:color="auto"/>
                <w:bottom w:val="none" w:sz="0" w:space="0" w:color="auto"/>
                <w:right w:val="none" w:sz="0" w:space="0" w:color="auto"/>
              </w:divBdr>
              <w:divsChild>
                <w:div w:id="3117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1020201575">
      <w:bodyDiv w:val="1"/>
      <w:marLeft w:val="0"/>
      <w:marRight w:val="0"/>
      <w:marTop w:val="0"/>
      <w:marBottom w:val="0"/>
      <w:divBdr>
        <w:top w:val="none" w:sz="0" w:space="0" w:color="auto"/>
        <w:left w:val="none" w:sz="0" w:space="0" w:color="auto"/>
        <w:bottom w:val="none" w:sz="0" w:space="0" w:color="auto"/>
        <w:right w:val="none" w:sz="0" w:space="0" w:color="auto"/>
      </w:divBdr>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65493235">
      <w:bodyDiv w:val="1"/>
      <w:marLeft w:val="0"/>
      <w:marRight w:val="0"/>
      <w:marTop w:val="0"/>
      <w:marBottom w:val="0"/>
      <w:divBdr>
        <w:top w:val="none" w:sz="0" w:space="0" w:color="auto"/>
        <w:left w:val="none" w:sz="0" w:space="0" w:color="auto"/>
        <w:bottom w:val="none" w:sz="0" w:space="0" w:color="auto"/>
        <w:right w:val="none" w:sz="0" w:space="0" w:color="auto"/>
      </w:divBdr>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61582925">
      <w:bodyDiv w:val="1"/>
      <w:marLeft w:val="0"/>
      <w:marRight w:val="0"/>
      <w:marTop w:val="0"/>
      <w:marBottom w:val="0"/>
      <w:divBdr>
        <w:top w:val="none" w:sz="0" w:space="0" w:color="auto"/>
        <w:left w:val="none" w:sz="0" w:space="0" w:color="auto"/>
        <w:bottom w:val="none" w:sz="0" w:space="0" w:color="auto"/>
        <w:right w:val="none" w:sz="0" w:space="0" w:color="auto"/>
      </w:divBdr>
      <w:divsChild>
        <w:div w:id="12923652">
          <w:marLeft w:val="0"/>
          <w:marRight w:val="0"/>
          <w:marTop w:val="0"/>
          <w:marBottom w:val="0"/>
          <w:divBdr>
            <w:top w:val="none" w:sz="0" w:space="0" w:color="auto"/>
            <w:left w:val="none" w:sz="0" w:space="0" w:color="auto"/>
            <w:bottom w:val="none" w:sz="0" w:space="0" w:color="auto"/>
            <w:right w:val="none" w:sz="0" w:space="0" w:color="auto"/>
          </w:divBdr>
          <w:divsChild>
            <w:div w:id="1624145552">
              <w:marLeft w:val="0"/>
              <w:marRight w:val="0"/>
              <w:marTop w:val="0"/>
              <w:marBottom w:val="0"/>
              <w:divBdr>
                <w:top w:val="none" w:sz="0" w:space="0" w:color="auto"/>
                <w:left w:val="none" w:sz="0" w:space="0" w:color="auto"/>
                <w:bottom w:val="none" w:sz="0" w:space="0" w:color="auto"/>
                <w:right w:val="none" w:sz="0" w:space="0" w:color="auto"/>
              </w:divBdr>
              <w:divsChild>
                <w:div w:id="113896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207064353">
      <w:bodyDiv w:val="1"/>
      <w:marLeft w:val="0"/>
      <w:marRight w:val="0"/>
      <w:marTop w:val="0"/>
      <w:marBottom w:val="0"/>
      <w:divBdr>
        <w:top w:val="none" w:sz="0" w:space="0" w:color="auto"/>
        <w:left w:val="none" w:sz="0" w:space="0" w:color="auto"/>
        <w:bottom w:val="none" w:sz="0" w:space="0" w:color="auto"/>
        <w:right w:val="none" w:sz="0" w:space="0" w:color="auto"/>
      </w:divBdr>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45412026">
      <w:bodyDiv w:val="1"/>
      <w:marLeft w:val="0"/>
      <w:marRight w:val="0"/>
      <w:marTop w:val="0"/>
      <w:marBottom w:val="0"/>
      <w:divBdr>
        <w:top w:val="none" w:sz="0" w:space="0" w:color="auto"/>
        <w:left w:val="none" w:sz="0" w:space="0" w:color="auto"/>
        <w:bottom w:val="none" w:sz="0" w:space="0" w:color="auto"/>
        <w:right w:val="none" w:sz="0" w:space="0" w:color="auto"/>
      </w:divBdr>
      <w:divsChild>
        <w:div w:id="1996106590">
          <w:marLeft w:val="0"/>
          <w:marRight w:val="0"/>
          <w:marTop w:val="0"/>
          <w:marBottom w:val="0"/>
          <w:divBdr>
            <w:top w:val="none" w:sz="0" w:space="0" w:color="auto"/>
            <w:left w:val="none" w:sz="0" w:space="0" w:color="auto"/>
            <w:bottom w:val="none" w:sz="0" w:space="0" w:color="auto"/>
            <w:right w:val="none" w:sz="0" w:space="0" w:color="auto"/>
          </w:divBdr>
          <w:divsChild>
            <w:div w:id="519860575">
              <w:marLeft w:val="0"/>
              <w:marRight w:val="0"/>
              <w:marTop w:val="0"/>
              <w:marBottom w:val="0"/>
              <w:divBdr>
                <w:top w:val="none" w:sz="0" w:space="0" w:color="auto"/>
                <w:left w:val="none" w:sz="0" w:space="0" w:color="auto"/>
                <w:bottom w:val="none" w:sz="0" w:space="0" w:color="auto"/>
                <w:right w:val="none" w:sz="0" w:space="0" w:color="auto"/>
              </w:divBdr>
              <w:divsChild>
                <w:div w:id="173134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4551725">
      <w:bodyDiv w:val="1"/>
      <w:marLeft w:val="0"/>
      <w:marRight w:val="0"/>
      <w:marTop w:val="0"/>
      <w:marBottom w:val="0"/>
      <w:divBdr>
        <w:top w:val="none" w:sz="0" w:space="0" w:color="auto"/>
        <w:left w:val="none" w:sz="0" w:space="0" w:color="auto"/>
        <w:bottom w:val="none" w:sz="0" w:space="0" w:color="auto"/>
        <w:right w:val="none" w:sz="0" w:space="0" w:color="auto"/>
      </w:divBdr>
      <w:divsChild>
        <w:div w:id="80834693">
          <w:marLeft w:val="0"/>
          <w:marRight w:val="0"/>
          <w:marTop w:val="0"/>
          <w:marBottom w:val="0"/>
          <w:divBdr>
            <w:top w:val="none" w:sz="0" w:space="0" w:color="auto"/>
            <w:left w:val="none" w:sz="0" w:space="0" w:color="auto"/>
            <w:bottom w:val="none" w:sz="0" w:space="0" w:color="auto"/>
            <w:right w:val="none" w:sz="0" w:space="0" w:color="auto"/>
          </w:divBdr>
          <w:divsChild>
            <w:div w:id="667027153">
              <w:marLeft w:val="0"/>
              <w:marRight w:val="0"/>
              <w:marTop w:val="0"/>
              <w:marBottom w:val="0"/>
              <w:divBdr>
                <w:top w:val="none" w:sz="0" w:space="0" w:color="auto"/>
                <w:left w:val="none" w:sz="0" w:space="0" w:color="auto"/>
                <w:bottom w:val="none" w:sz="0" w:space="0" w:color="auto"/>
                <w:right w:val="none" w:sz="0" w:space="0" w:color="auto"/>
              </w:divBdr>
              <w:divsChild>
                <w:div w:id="14605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44384">
      <w:bodyDiv w:val="1"/>
      <w:marLeft w:val="0"/>
      <w:marRight w:val="0"/>
      <w:marTop w:val="0"/>
      <w:marBottom w:val="0"/>
      <w:divBdr>
        <w:top w:val="none" w:sz="0" w:space="0" w:color="auto"/>
        <w:left w:val="none" w:sz="0" w:space="0" w:color="auto"/>
        <w:bottom w:val="none" w:sz="0" w:space="0" w:color="auto"/>
        <w:right w:val="none" w:sz="0" w:space="0" w:color="auto"/>
      </w:divBdr>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4603048">
      <w:bodyDiv w:val="1"/>
      <w:marLeft w:val="0"/>
      <w:marRight w:val="0"/>
      <w:marTop w:val="0"/>
      <w:marBottom w:val="0"/>
      <w:divBdr>
        <w:top w:val="none" w:sz="0" w:space="0" w:color="auto"/>
        <w:left w:val="none" w:sz="0" w:space="0" w:color="auto"/>
        <w:bottom w:val="none" w:sz="0" w:space="0" w:color="auto"/>
        <w:right w:val="none" w:sz="0" w:space="0" w:color="auto"/>
      </w:divBdr>
      <w:divsChild>
        <w:div w:id="1964312809">
          <w:marLeft w:val="0"/>
          <w:marRight w:val="0"/>
          <w:marTop w:val="0"/>
          <w:marBottom w:val="0"/>
          <w:divBdr>
            <w:top w:val="none" w:sz="0" w:space="0" w:color="auto"/>
            <w:left w:val="none" w:sz="0" w:space="0" w:color="auto"/>
            <w:bottom w:val="none" w:sz="0" w:space="0" w:color="auto"/>
            <w:right w:val="none" w:sz="0" w:space="0" w:color="auto"/>
          </w:divBdr>
          <w:divsChild>
            <w:div w:id="1578437419">
              <w:marLeft w:val="0"/>
              <w:marRight w:val="0"/>
              <w:marTop w:val="0"/>
              <w:marBottom w:val="0"/>
              <w:divBdr>
                <w:top w:val="none" w:sz="0" w:space="0" w:color="auto"/>
                <w:left w:val="none" w:sz="0" w:space="0" w:color="auto"/>
                <w:bottom w:val="none" w:sz="0" w:space="0" w:color="auto"/>
                <w:right w:val="none" w:sz="0" w:space="0" w:color="auto"/>
              </w:divBdr>
              <w:divsChild>
                <w:div w:id="1211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246940">
      <w:bodyDiv w:val="1"/>
      <w:marLeft w:val="0"/>
      <w:marRight w:val="0"/>
      <w:marTop w:val="0"/>
      <w:marBottom w:val="0"/>
      <w:divBdr>
        <w:top w:val="none" w:sz="0" w:space="0" w:color="auto"/>
        <w:left w:val="none" w:sz="0" w:space="0" w:color="auto"/>
        <w:bottom w:val="none" w:sz="0" w:space="0" w:color="auto"/>
        <w:right w:val="none" w:sz="0" w:space="0" w:color="auto"/>
      </w:divBdr>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17312">
      <w:bodyDiv w:val="1"/>
      <w:marLeft w:val="0"/>
      <w:marRight w:val="0"/>
      <w:marTop w:val="0"/>
      <w:marBottom w:val="0"/>
      <w:divBdr>
        <w:top w:val="none" w:sz="0" w:space="0" w:color="auto"/>
        <w:left w:val="none" w:sz="0" w:space="0" w:color="auto"/>
        <w:bottom w:val="none" w:sz="0" w:space="0" w:color="auto"/>
        <w:right w:val="none" w:sz="0" w:space="0" w:color="auto"/>
      </w:divBdr>
    </w:div>
    <w:div w:id="1428771405">
      <w:bodyDiv w:val="1"/>
      <w:marLeft w:val="0"/>
      <w:marRight w:val="0"/>
      <w:marTop w:val="0"/>
      <w:marBottom w:val="0"/>
      <w:divBdr>
        <w:top w:val="none" w:sz="0" w:space="0" w:color="auto"/>
        <w:left w:val="none" w:sz="0" w:space="0" w:color="auto"/>
        <w:bottom w:val="none" w:sz="0" w:space="0" w:color="auto"/>
        <w:right w:val="none" w:sz="0" w:space="0" w:color="auto"/>
      </w:divBdr>
      <w:divsChild>
        <w:div w:id="385027692">
          <w:marLeft w:val="0"/>
          <w:marRight w:val="0"/>
          <w:marTop w:val="0"/>
          <w:marBottom w:val="0"/>
          <w:divBdr>
            <w:top w:val="none" w:sz="0" w:space="0" w:color="auto"/>
            <w:left w:val="none" w:sz="0" w:space="0" w:color="auto"/>
            <w:bottom w:val="none" w:sz="0" w:space="0" w:color="auto"/>
            <w:right w:val="none" w:sz="0" w:space="0" w:color="auto"/>
          </w:divBdr>
          <w:divsChild>
            <w:div w:id="1219630285">
              <w:marLeft w:val="0"/>
              <w:marRight w:val="0"/>
              <w:marTop w:val="0"/>
              <w:marBottom w:val="0"/>
              <w:divBdr>
                <w:top w:val="none" w:sz="0" w:space="0" w:color="auto"/>
                <w:left w:val="none" w:sz="0" w:space="0" w:color="auto"/>
                <w:bottom w:val="none" w:sz="0" w:space="0" w:color="auto"/>
                <w:right w:val="none" w:sz="0" w:space="0" w:color="auto"/>
              </w:divBdr>
              <w:divsChild>
                <w:div w:id="136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67968458">
      <w:bodyDiv w:val="1"/>
      <w:marLeft w:val="0"/>
      <w:marRight w:val="0"/>
      <w:marTop w:val="0"/>
      <w:marBottom w:val="0"/>
      <w:divBdr>
        <w:top w:val="none" w:sz="0" w:space="0" w:color="auto"/>
        <w:left w:val="none" w:sz="0" w:space="0" w:color="auto"/>
        <w:bottom w:val="none" w:sz="0" w:space="0" w:color="auto"/>
        <w:right w:val="none" w:sz="0" w:space="0" w:color="auto"/>
      </w:divBdr>
      <w:divsChild>
        <w:div w:id="1845051198">
          <w:marLeft w:val="0"/>
          <w:marRight w:val="0"/>
          <w:marTop w:val="0"/>
          <w:marBottom w:val="0"/>
          <w:divBdr>
            <w:top w:val="none" w:sz="0" w:space="0" w:color="auto"/>
            <w:left w:val="none" w:sz="0" w:space="0" w:color="auto"/>
            <w:bottom w:val="none" w:sz="0" w:space="0" w:color="auto"/>
            <w:right w:val="none" w:sz="0" w:space="0" w:color="auto"/>
          </w:divBdr>
          <w:divsChild>
            <w:div w:id="793981324">
              <w:marLeft w:val="0"/>
              <w:marRight w:val="0"/>
              <w:marTop w:val="0"/>
              <w:marBottom w:val="0"/>
              <w:divBdr>
                <w:top w:val="none" w:sz="0" w:space="0" w:color="auto"/>
                <w:left w:val="none" w:sz="0" w:space="0" w:color="auto"/>
                <w:bottom w:val="none" w:sz="0" w:space="0" w:color="auto"/>
                <w:right w:val="none" w:sz="0" w:space="0" w:color="auto"/>
              </w:divBdr>
              <w:divsChild>
                <w:div w:id="8481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4812881">
      <w:bodyDiv w:val="1"/>
      <w:marLeft w:val="0"/>
      <w:marRight w:val="0"/>
      <w:marTop w:val="0"/>
      <w:marBottom w:val="0"/>
      <w:divBdr>
        <w:top w:val="none" w:sz="0" w:space="0" w:color="auto"/>
        <w:left w:val="none" w:sz="0" w:space="0" w:color="auto"/>
        <w:bottom w:val="none" w:sz="0" w:space="0" w:color="auto"/>
        <w:right w:val="none" w:sz="0" w:space="0" w:color="auto"/>
      </w:divBdr>
      <w:divsChild>
        <w:div w:id="505942703">
          <w:marLeft w:val="0"/>
          <w:marRight w:val="0"/>
          <w:marTop w:val="0"/>
          <w:marBottom w:val="0"/>
          <w:divBdr>
            <w:top w:val="none" w:sz="0" w:space="0" w:color="auto"/>
            <w:left w:val="none" w:sz="0" w:space="0" w:color="auto"/>
            <w:bottom w:val="none" w:sz="0" w:space="0" w:color="auto"/>
            <w:right w:val="none" w:sz="0" w:space="0" w:color="auto"/>
          </w:divBdr>
          <w:divsChild>
            <w:div w:id="1449007377">
              <w:marLeft w:val="0"/>
              <w:marRight w:val="0"/>
              <w:marTop w:val="0"/>
              <w:marBottom w:val="0"/>
              <w:divBdr>
                <w:top w:val="none" w:sz="0" w:space="0" w:color="auto"/>
                <w:left w:val="none" w:sz="0" w:space="0" w:color="auto"/>
                <w:bottom w:val="none" w:sz="0" w:space="0" w:color="auto"/>
                <w:right w:val="none" w:sz="0" w:space="0" w:color="auto"/>
              </w:divBdr>
              <w:divsChild>
                <w:div w:id="83803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26862689">
      <w:bodyDiv w:val="1"/>
      <w:marLeft w:val="0"/>
      <w:marRight w:val="0"/>
      <w:marTop w:val="0"/>
      <w:marBottom w:val="0"/>
      <w:divBdr>
        <w:top w:val="none" w:sz="0" w:space="0" w:color="auto"/>
        <w:left w:val="none" w:sz="0" w:space="0" w:color="auto"/>
        <w:bottom w:val="none" w:sz="0" w:space="0" w:color="auto"/>
        <w:right w:val="none" w:sz="0" w:space="0" w:color="auto"/>
      </w:divBdr>
    </w:div>
    <w:div w:id="1542942047">
      <w:bodyDiv w:val="1"/>
      <w:marLeft w:val="0"/>
      <w:marRight w:val="0"/>
      <w:marTop w:val="0"/>
      <w:marBottom w:val="0"/>
      <w:divBdr>
        <w:top w:val="none" w:sz="0" w:space="0" w:color="auto"/>
        <w:left w:val="none" w:sz="0" w:space="0" w:color="auto"/>
        <w:bottom w:val="none" w:sz="0" w:space="0" w:color="auto"/>
        <w:right w:val="none" w:sz="0" w:space="0" w:color="auto"/>
      </w:divBdr>
      <w:divsChild>
        <w:div w:id="1135946270">
          <w:marLeft w:val="0"/>
          <w:marRight w:val="0"/>
          <w:marTop w:val="0"/>
          <w:marBottom w:val="0"/>
          <w:divBdr>
            <w:top w:val="none" w:sz="0" w:space="0" w:color="auto"/>
            <w:left w:val="none" w:sz="0" w:space="0" w:color="auto"/>
            <w:bottom w:val="none" w:sz="0" w:space="0" w:color="auto"/>
            <w:right w:val="none" w:sz="0" w:space="0" w:color="auto"/>
          </w:divBdr>
          <w:divsChild>
            <w:div w:id="120653429">
              <w:marLeft w:val="0"/>
              <w:marRight w:val="0"/>
              <w:marTop w:val="0"/>
              <w:marBottom w:val="0"/>
              <w:divBdr>
                <w:top w:val="none" w:sz="0" w:space="0" w:color="auto"/>
                <w:left w:val="none" w:sz="0" w:space="0" w:color="auto"/>
                <w:bottom w:val="none" w:sz="0" w:space="0" w:color="auto"/>
                <w:right w:val="none" w:sz="0" w:space="0" w:color="auto"/>
              </w:divBdr>
              <w:divsChild>
                <w:div w:id="2857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69421122">
      <w:bodyDiv w:val="1"/>
      <w:marLeft w:val="0"/>
      <w:marRight w:val="0"/>
      <w:marTop w:val="0"/>
      <w:marBottom w:val="0"/>
      <w:divBdr>
        <w:top w:val="none" w:sz="0" w:space="0" w:color="auto"/>
        <w:left w:val="none" w:sz="0" w:space="0" w:color="auto"/>
        <w:bottom w:val="none" w:sz="0" w:space="0" w:color="auto"/>
        <w:right w:val="none" w:sz="0" w:space="0" w:color="auto"/>
      </w:divBdr>
      <w:divsChild>
        <w:div w:id="1703438566">
          <w:marLeft w:val="0"/>
          <w:marRight w:val="0"/>
          <w:marTop w:val="0"/>
          <w:marBottom w:val="0"/>
          <w:divBdr>
            <w:top w:val="none" w:sz="0" w:space="0" w:color="auto"/>
            <w:left w:val="none" w:sz="0" w:space="0" w:color="auto"/>
            <w:bottom w:val="none" w:sz="0" w:space="0" w:color="auto"/>
            <w:right w:val="none" w:sz="0" w:space="0" w:color="auto"/>
          </w:divBdr>
          <w:divsChild>
            <w:div w:id="68698346">
              <w:marLeft w:val="0"/>
              <w:marRight w:val="0"/>
              <w:marTop w:val="0"/>
              <w:marBottom w:val="0"/>
              <w:divBdr>
                <w:top w:val="none" w:sz="0" w:space="0" w:color="auto"/>
                <w:left w:val="none" w:sz="0" w:space="0" w:color="auto"/>
                <w:bottom w:val="none" w:sz="0" w:space="0" w:color="auto"/>
                <w:right w:val="none" w:sz="0" w:space="0" w:color="auto"/>
              </w:divBdr>
              <w:divsChild>
                <w:div w:id="199899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95711">
      <w:bodyDiv w:val="1"/>
      <w:marLeft w:val="0"/>
      <w:marRight w:val="0"/>
      <w:marTop w:val="0"/>
      <w:marBottom w:val="0"/>
      <w:divBdr>
        <w:top w:val="none" w:sz="0" w:space="0" w:color="auto"/>
        <w:left w:val="none" w:sz="0" w:space="0" w:color="auto"/>
        <w:bottom w:val="none" w:sz="0" w:space="0" w:color="auto"/>
        <w:right w:val="none" w:sz="0" w:space="0" w:color="auto"/>
      </w:divBdr>
    </w:div>
    <w:div w:id="1595362139">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17524215">
      <w:bodyDiv w:val="1"/>
      <w:marLeft w:val="0"/>
      <w:marRight w:val="0"/>
      <w:marTop w:val="0"/>
      <w:marBottom w:val="0"/>
      <w:divBdr>
        <w:top w:val="none" w:sz="0" w:space="0" w:color="auto"/>
        <w:left w:val="none" w:sz="0" w:space="0" w:color="auto"/>
        <w:bottom w:val="none" w:sz="0" w:space="0" w:color="auto"/>
        <w:right w:val="none" w:sz="0" w:space="0" w:color="auto"/>
      </w:divBdr>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61696555">
      <w:bodyDiv w:val="1"/>
      <w:marLeft w:val="0"/>
      <w:marRight w:val="0"/>
      <w:marTop w:val="0"/>
      <w:marBottom w:val="0"/>
      <w:divBdr>
        <w:top w:val="none" w:sz="0" w:space="0" w:color="auto"/>
        <w:left w:val="none" w:sz="0" w:space="0" w:color="auto"/>
        <w:bottom w:val="none" w:sz="0" w:space="0" w:color="auto"/>
        <w:right w:val="none" w:sz="0" w:space="0" w:color="auto"/>
      </w:divBdr>
    </w:div>
    <w:div w:id="1682198230">
      <w:bodyDiv w:val="1"/>
      <w:marLeft w:val="0"/>
      <w:marRight w:val="0"/>
      <w:marTop w:val="0"/>
      <w:marBottom w:val="0"/>
      <w:divBdr>
        <w:top w:val="none" w:sz="0" w:space="0" w:color="auto"/>
        <w:left w:val="none" w:sz="0" w:space="0" w:color="auto"/>
        <w:bottom w:val="none" w:sz="0" w:space="0" w:color="auto"/>
        <w:right w:val="none" w:sz="0" w:space="0" w:color="auto"/>
      </w:divBdr>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707634142">
      <w:bodyDiv w:val="1"/>
      <w:marLeft w:val="0"/>
      <w:marRight w:val="0"/>
      <w:marTop w:val="0"/>
      <w:marBottom w:val="0"/>
      <w:divBdr>
        <w:top w:val="none" w:sz="0" w:space="0" w:color="auto"/>
        <w:left w:val="none" w:sz="0" w:space="0" w:color="auto"/>
        <w:bottom w:val="none" w:sz="0" w:space="0" w:color="auto"/>
        <w:right w:val="none" w:sz="0" w:space="0" w:color="auto"/>
      </w:divBdr>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007">
      <w:bodyDiv w:val="1"/>
      <w:marLeft w:val="0"/>
      <w:marRight w:val="0"/>
      <w:marTop w:val="0"/>
      <w:marBottom w:val="0"/>
      <w:divBdr>
        <w:top w:val="none" w:sz="0" w:space="0" w:color="auto"/>
        <w:left w:val="none" w:sz="0" w:space="0" w:color="auto"/>
        <w:bottom w:val="none" w:sz="0" w:space="0" w:color="auto"/>
        <w:right w:val="none" w:sz="0" w:space="0" w:color="auto"/>
      </w:divBdr>
      <w:divsChild>
        <w:div w:id="642661800">
          <w:marLeft w:val="0"/>
          <w:marRight w:val="0"/>
          <w:marTop w:val="0"/>
          <w:marBottom w:val="0"/>
          <w:divBdr>
            <w:top w:val="none" w:sz="0" w:space="0" w:color="auto"/>
            <w:left w:val="none" w:sz="0" w:space="0" w:color="auto"/>
            <w:bottom w:val="none" w:sz="0" w:space="0" w:color="auto"/>
            <w:right w:val="none" w:sz="0" w:space="0" w:color="auto"/>
          </w:divBdr>
          <w:divsChild>
            <w:div w:id="1077480940">
              <w:marLeft w:val="0"/>
              <w:marRight w:val="0"/>
              <w:marTop w:val="0"/>
              <w:marBottom w:val="0"/>
              <w:divBdr>
                <w:top w:val="none" w:sz="0" w:space="0" w:color="auto"/>
                <w:left w:val="none" w:sz="0" w:space="0" w:color="auto"/>
                <w:bottom w:val="none" w:sz="0" w:space="0" w:color="auto"/>
                <w:right w:val="none" w:sz="0" w:space="0" w:color="auto"/>
              </w:divBdr>
              <w:divsChild>
                <w:div w:id="3430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9645139">
      <w:bodyDiv w:val="1"/>
      <w:marLeft w:val="0"/>
      <w:marRight w:val="0"/>
      <w:marTop w:val="0"/>
      <w:marBottom w:val="0"/>
      <w:divBdr>
        <w:top w:val="none" w:sz="0" w:space="0" w:color="auto"/>
        <w:left w:val="none" w:sz="0" w:space="0" w:color="auto"/>
        <w:bottom w:val="none" w:sz="0" w:space="0" w:color="auto"/>
        <w:right w:val="none" w:sz="0" w:space="0" w:color="auto"/>
      </w:divBdr>
    </w:div>
    <w:div w:id="1805847118">
      <w:bodyDiv w:val="1"/>
      <w:marLeft w:val="0"/>
      <w:marRight w:val="0"/>
      <w:marTop w:val="0"/>
      <w:marBottom w:val="0"/>
      <w:divBdr>
        <w:top w:val="none" w:sz="0" w:space="0" w:color="auto"/>
        <w:left w:val="none" w:sz="0" w:space="0" w:color="auto"/>
        <w:bottom w:val="none" w:sz="0" w:space="0" w:color="auto"/>
        <w:right w:val="none" w:sz="0" w:space="0" w:color="auto"/>
      </w:divBdr>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53563635">
      <w:bodyDiv w:val="1"/>
      <w:marLeft w:val="0"/>
      <w:marRight w:val="0"/>
      <w:marTop w:val="0"/>
      <w:marBottom w:val="0"/>
      <w:divBdr>
        <w:top w:val="none" w:sz="0" w:space="0" w:color="auto"/>
        <w:left w:val="none" w:sz="0" w:space="0" w:color="auto"/>
        <w:bottom w:val="none" w:sz="0" w:space="0" w:color="auto"/>
        <w:right w:val="none" w:sz="0" w:space="0" w:color="auto"/>
      </w:divBdr>
    </w:div>
    <w:div w:id="1862670271">
      <w:bodyDiv w:val="1"/>
      <w:marLeft w:val="0"/>
      <w:marRight w:val="0"/>
      <w:marTop w:val="0"/>
      <w:marBottom w:val="0"/>
      <w:divBdr>
        <w:top w:val="none" w:sz="0" w:space="0" w:color="auto"/>
        <w:left w:val="none" w:sz="0" w:space="0" w:color="auto"/>
        <w:bottom w:val="none" w:sz="0" w:space="0" w:color="auto"/>
        <w:right w:val="none" w:sz="0" w:space="0" w:color="auto"/>
      </w:divBdr>
      <w:divsChild>
        <w:div w:id="420418678">
          <w:marLeft w:val="0"/>
          <w:marRight w:val="0"/>
          <w:marTop w:val="0"/>
          <w:marBottom w:val="0"/>
          <w:divBdr>
            <w:top w:val="none" w:sz="0" w:space="0" w:color="auto"/>
            <w:left w:val="none" w:sz="0" w:space="0" w:color="auto"/>
            <w:bottom w:val="none" w:sz="0" w:space="0" w:color="auto"/>
            <w:right w:val="none" w:sz="0" w:space="0" w:color="auto"/>
          </w:divBdr>
          <w:divsChild>
            <w:div w:id="905188911">
              <w:marLeft w:val="0"/>
              <w:marRight w:val="0"/>
              <w:marTop w:val="0"/>
              <w:marBottom w:val="0"/>
              <w:divBdr>
                <w:top w:val="none" w:sz="0" w:space="0" w:color="auto"/>
                <w:left w:val="none" w:sz="0" w:space="0" w:color="auto"/>
                <w:bottom w:val="none" w:sz="0" w:space="0" w:color="auto"/>
                <w:right w:val="none" w:sz="0" w:space="0" w:color="auto"/>
              </w:divBdr>
              <w:divsChild>
                <w:div w:id="156344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74002117">
      <w:bodyDiv w:val="1"/>
      <w:marLeft w:val="0"/>
      <w:marRight w:val="0"/>
      <w:marTop w:val="0"/>
      <w:marBottom w:val="0"/>
      <w:divBdr>
        <w:top w:val="none" w:sz="0" w:space="0" w:color="auto"/>
        <w:left w:val="none" w:sz="0" w:space="0" w:color="auto"/>
        <w:bottom w:val="none" w:sz="0" w:space="0" w:color="auto"/>
        <w:right w:val="none" w:sz="0" w:space="0" w:color="auto"/>
      </w:divBdr>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75286183">
      <w:bodyDiv w:val="1"/>
      <w:marLeft w:val="0"/>
      <w:marRight w:val="0"/>
      <w:marTop w:val="0"/>
      <w:marBottom w:val="0"/>
      <w:divBdr>
        <w:top w:val="none" w:sz="0" w:space="0" w:color="auto"/>
        <w:left w:val="none" w:sz="0" w:space="0" w:color="auto"/>
        <w:bottom w:val="none" w:sz="0" w:space="0" w:color="auto"/>
        <w:right w:val="none" w:sz="0" w:space="0" w:color="auto"/>
      </w:divBdr>
    </w:div>
    <w:div w:id="1984045194">
      <w:bodyDiv w:val="1"/>
      <w:marLeft w:val="0"/>
      <w:marRight w:val="0"/>
      <w:marTop w:val="0"/>
      <w:marBottom w:val="0"/>
      <w:divBdr>
        <w:top w:val="none" w:sz="0" w:space="0" w:color="auto"/>
        <w:left w:val="none" w:sz="0" w:space="0" w:color="auto"/>
        <w:bottom w:val="none" w:sz="0" w:space="0" w:color="auto"/>
        <w:right w:val="none" w:sz="0" w:space="0" w:color="auto"/>
      </w:divBdr>
      <w:divsChild>
        <w:div w:id="713967991">
          <w:marLeft w:val="0"/>
          <w:marRight w:val="0"/>
          <w:marTop w:val="0"/>
          <w:marBottom w:val="0"/>
          <w:divBdr>
            <w:top w:val="none" w:sz="0" w:space="0" w:color="auto"/>
            <w:left w:val="none" w:sz="0" w:space="0" w:color="auto"/>
            <w:bottom w:val="none" w:sz="0" w:space="0" w:color="auto"/>
            <w:right w:val="none" w:sz="0" w:space="0" w:color="auto"/>
          </w:divBdr>
          <w:divsChild>
            <w:div w:id="1978148668">
              <w:marLeft w:val="0"/>
              <w:marRight w:val="0"/>
              <w:marTop w:val="0"/>
              <w:marBottom w:val="0"/>
              <w:divBdr>
                <w:top w:val="none" w:sz="0" w:space="0" w:color="auto"/>
                <w:left w:val="none" w:sz="0" w:space="0" w:color="auto"/>
                <w:bottom w:val="none" w:sz="0" w:space="0" w:color="auto"/>
                <w:right w:val="none" w:sz="0" w:space="0" w:color="auto"/>
              </w:divBdr>
              <w:divsChild>
                <w:div w:id="12140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3048">
      <w:bodyDiv w:val="1"/>
      <w:marLeft w:val="0"/>
      <w:marRight w:val="0"/>
      <w:marTop w:val="0"/>
      <w:marBottom w:val="0"/>
      <w:divBdr>
        <w:top w:val="none" w:sz="0" w:space="0" w:color="auto"/>
        <w:left w:val="none" w:sz="0" w:space="0" w:color="auto"/>
        <w:bottom w:val="none" w:sz="0" w:space="0" w:color="auto"/>
        <w:right w:val="none" w:sz="0" w:space="0" w:color="auto"/>
      </w:divBdr>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47292315">
      <w:bodyDiv w:val="1"/>
      <w:marLeft w:val="0"/>
      <w:marRight w:val="0"/>
      <w:marTop w:val="0"/>
      <w:marBottom w:val="0"/>
      <w:divBdr>
        <w:top w:val="none" w:sz="0" w:space="0" w:color="auto"/>
        <w:left w:val="none" w:sz="0" w:space="0" w:color="auto"/>
        <w:bottom w:val="none" w:sz="0" w:space="0" w:color="auto"/>
        <w:right w:val="none" w:sz="0" w:space="0" w:color="auto"/>
      </w:divBdr>
      <w:divsChild>
        <w:div w:id="997466167">
          <w:marLeft w:val="0"/>
          <w:marRight w:val="0"/>
          <w:marTop w:val="0"/>
          <w:marBottom w:val="0"/>
          <w:divBdr>
            <w:top w:val="none" w:sz="0" w:space="0" w:color="auto"/>
            <w:left w:val="none" w:sz="0" w:space="0" w:color="auto"/>
            <w:bottom w:val="none" w:sz="0" w:space="0" w:color="auto"/>
            <w:right w:val="none" w:sz="0" w:space="0" w:color="auto"/>
          </w:divBdr>
          <w:divsChild>
            <w:div w:id="1229851183">
              <w:marLeft w:val="0"/>
              <w:marRight w:val="0"/>
              <w:marTop w:val="0"/>
              <w:marBottom w:val="0"/>
              <w:divBdr>
                <w:top w:val="none" w:sz="0" w:space="0" w:color="auto"/>
                <w:left w:val="none" w:sz="0" w:space="0" w:color="auto"/>
                <w:bottom w:val="none" w:sz="0" w:space="0" w:color="auto"/>
                <w:right w:val="none" w:sz="0" w:space="0" w:color="auto"/>
              </w:divBdr>
              <w:divsChild>
                <w:div w:id="139804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38275">
      <w:bodyDiv w:val="1"/>
      <w:marLeft w:val="0"/>
      <w:marRight w:val="0"/>
      <w:marTop w:val="0"/>
      <w:marBottom w:val="0"/>
      <w:divBdr>
        <w:top w:val="none" w:sz="0" w:space="0" w:color="auto"/>
        <w:left w:val="none" w:sz="0" w:space="0" w:color="auto"/>
        <w:bottom w:val="none" w:sz="0" w:space="0" w:color="auto"/>
        <w:right w:val="none" w:sz="0" w:space="0" w:color="auto"/>
      </w:divBdr>
    </w:div>
    <w:div w:id="2060783506">
      <w:bodyDiv w:val="1"/>
      <w:marLeft w:val="0"/>
      <w:marRight w:val="0"/>
      <w:marTop w:val="0"/>
      <w:marBottom w:val="0"/>
      <w:divBdr>
        <w:top w:val="none" w:sz="0" w:space="0" w:color="auto"/>
        <w:left w:val="none" w:sz="0" w:space="0" w:color="auto"/>
        <w:bottom w:val="none" w:sz="0" w:space="0" w:color="auto"/>
        <w:right w:val="none" w:sz="0" w:space="0" w:color="auto"/>
      </w:divBdr>
    </w:div>
    <w:div w:id="2101632498">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33867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cf/Jurisprudencia2/busqueda_supervision_cumplimiento.cfm?lang=es" TargetMode="External"/><Relationship Id="rId2" Type="http://schemas.openxmlformats.org/officeDocument/2006/relationships/hyperlink" Target="http://www.corteidh.or.cr/docs/supervisiones/cabrera_17_04_15.pdf" TargetMode="External"/><Relationship Id="rId1" Type="http://schemas.openxmlformats.org/officeDocument/2006/relationships/hyperlink" Target="http://www.corteidh.or.cr/docs/casos/articulos/seriec_220_esp.pdf" TargetMode="External"/><Relationship Id="rId5" Type="http://schemas.openxmlformats.org/officeDocument/2006/relationships/hyperlink" Target="https://www.cndh.org.mx/tipo/209/accion-de-inconstitucionalidad" TargetMode="External"/><Relationship Id="rId4" Type="http://schemas.openxmlformats.org/officeDocument/2006/relationships/hyperlink" Target="https://tbinternet.ohchr.org/_layouts/15/treatybodyexternal/Download.aspx?symbolno=CAT%2fOP%2fMEX%2f2&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A555B-86DD-8D42-96CA-33AE94AA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5005</Words>
  <Characters>27528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32469</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2020-09-16T16:24:00Z</cp:lastPrinted>
  <dcterms:created xsi:type="dcterms:W3CDTF">2020-09-25T17:59:00Z</dcterms:created>
  <dcterms:modified xsi:type="dcterms:W3CDTF">2020-09-25T17:59:00Z</dcterms:modified>
</cp:coreProperties>
</file>