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C272C" w14:textId="77777777" w:rsidR="00000000" w:rsidRDefault="009D1196">
      <w:pPr>
        <w:pStyle w:val="Ttulo"/>
      </w:pPr>
      <w:r>
        <w:t>VOTO CONCURRENTE DEL JUEZ A.A. CANÇADO TRINDADE</w:t>
      </w:r>
    </w:p>
    <w:p w14:paraId="4047C450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b/>
          <w:spacing w:val="-3"/>
          <w:sz w:val="20"/>
          <w:lang w:val="es-ES"/>
        </w:rPr>
      </w:pPr>
    </w:p>
    <w:p w14:paraId="1C42F852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503D31A9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1.</w:t>
      </w:r>
      <w:r>
        <w:rPr>
          <w:rFonts w:ascii="Verdana" w:hAnsi="Verdana"/>
          <w:spacing w:val="-3"/>
          <w:sz w:val="20"/>
          <w:lang w:val="es-ES"/>
        </w:rPr>
        <w:tab/>
        <w:t xml:space="preserve">Voto a favor de la presente Sentencia que viene de adoptar la Corte Interamericana de Derechos Humanos en el caso </w:t>
      </w:r>
      <w:r>
        <w:rPr>
          <w:rFonts w:ascii="Verdana" w:hAnsi="Verdana"/>
          <w:i/>
          <w:spacing w:val="-3"/>
          <w:sz w:val="20"/>
          <w:lang w:val="es-ES"/>
        </w:rPr>
        <w:t>Maritza Urrutia versus Guatemala</w:t>
      </w:r>
      <w:r>
        <w:rPr>
          <w:rFonts w:ascii="Verdana" w:hAnsi="Verdana"/>
          <w:spacing w:val="-3"/>
          <w:sz w:val="20"/>
          <w:lang w:val="es-ES"/>
        </w:rPr>
        <w:t>, y me permito agregar, en este Voto Concurrente, algunas</w:t>
      </w:r>
      <w:r>
        <w:rPr>
          <w:rFonts w:ascii="Verdana" w:hAnsi="Verdana"/>
          <w:spacing w:val="-3"/>
          <w:sz w:val="20"/>
          <w:lang w:val="es-ES"/>
        </w:rPr>
        <w:t xml:space="preserve"> breves reflexiones personales en firme respaldo a la caracterización, por parte la Corte, de la prohibición absoluta de la tortura, en todas sus formas (inclusive la psicológica), como perteneciente al dominio del </w:t>
      </w:r>
      <w:proofErr w:type="spellStart"/>
      <w:r>
        <w:rPr>
          <w:rFonts w:ascii="Verdana" w:hAnsi="Verdana"/>
          <w:i/>
          <w:spacing w:val="-3"/>
          <w:sz w:val="20"/>
          <w:lang w:val="es-ES"/>
        </w:rPr>
        <w:t>jus</w:t>
      </w:r>
      <w:proofErr w:type="spellEnd"/>
      <w:r>
        <w:rPr>
          <w:rFonts w:ascii="Verdana" w:hAnsi="Verdana"/>
          <w:i/>
          <w:spacing w:val="-3"/>
          <w:sz w:val="20"/>
          <w:lang w:val="es-ES"/>
        </w:rPr>
        <w:t xml:space="preserve"> cogens</w:t>
      </w:r>
      <w:r>
        <w:rPr>
          <w:rFonts w:ascii="Verdana" w:hAnsi="Verdana"/>
          <w:spacing w:val="-3"/>
          <w:sz w:val="20"/>
          <w:lang w:val="es-ES"/>
        </w:rPr>
        <w:t xml:space="preserve"> internacional. Dicha caracteri</w:t>
      </w:r>
      <w:r>
        <w:rPr>
          <w:rFonts w:ascii="Verdana" w:hAnsi="Verdana"/>
          <w:spacing w:val="-3"/>
          <w:sz w:val="20"/>
          <w:lang w:val="es-ES"/>
        </w:rPr>
        <w:t>zación se inserta en la evolución del más lúcido pensamiento jurídico contemporáneo, que ha inclusive conllevado - entre los avances logrados en los últimos años en el combate a las violaciones particularmente graves de los derechos humanos - a la emergenc</w:t>
      </w:r>
      <w:r>
        <w:rPr>
          <w:rFonts w:ascii="Verdana" w:hAnsi="Verdana"/>
          <w:spacing w:val="-3"/>
          <w:sz w:val="20"/>
          <w:lang w:val="es-ES"/>
        </w:rPr>
        <w:t xml:space="preserve">ia de un verdadero régimen jurídico internacional contra la tortura. </w:t>
      </w:r>
    </w:p>
    <w:p w14:paraId="56A7125C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627837D3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2.</w:t>
      </w:r>
      <w:r>
        <w:rPr>
          <w:rFonts w:ascii="Verdana" w:hAnsi="Verdana"/>
          <w:spacing w:val="-3"/>
          <w:sz w:val="20"/>
          <w:lang w:val="es-ES"/>
        </w:rPr>
        <w:tab/>
        <w:t>Conforman dicho régimen jurídico los distintos instrumentos y procedimientos internacionales de prohibición de la tortura: a las Convenciones de las Naciones Unidas (de 1984, y su Pr</w:t>
      </w:r>
      <w:r>
        <w:rPr>
          <w:rFonts w:ascii="Verdana" w:hAnsi="Verdana"/>
          <w:spacing w:val="-3"/>
          <w:sz w:val="20"/>
          <w:lang w:val="es-ES"/>
        </w:rPr>
        <w:t xml:space="preserve">otocolo Facultativo, de 2002) e Interamericana (1985) sobre la materia, hay que agregar la Convención Europea para la Prevención de la Tortura y Trato o Pena Inhumano o Degradante (1987), el Relator Especial sobre la Tortura (desde 1985) de la Comisión de </w:t>
      </w:r>
      <w:r>
        <w:rPr>
          <w:rFonts w:ascii="Verdana" w:hAnsi="Verdana"/>
          <w:spacing w:val="-3"/>
          <w:sz w:val="20"/>
          <w:lang w:val="es-ES"/>
        </w:rPr>
        <w:t>Derechos Humanos de las Naciones Unidas, y el Grupo de Trabajo sobre Detención Arbitraria (desde 1991) de la misma Comisión de Derechos Humanos (atento a la prevención de la tortura). Las tres Convenciones coexistentes de combate a la tortura - la de Nacio</w:t>
      </w:r>
      <w:r>
        <w:rPr>
          <w:rFonts w:ascii="Verdana" w:hAnsi="Verdana"/>
          <w:spacing w:val="-3"/>
          <w:sz w:val="20"/>
          <w:lang w:val="es-ES"/>
        </w:rPr>
        <w:t xml:space="preserve">nes Unidas, de 1984, la Interamericana, de 1985, y la Europea, de 1987 - son, más que compatibles, complementarias. </w:t>
      </w:r>
    </w:p>
    <w:p w14:paraId="390282C7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305FE010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3.</w:t>
      </w:r>
      <w:r>
        <w:rPr>
          <w:rFonts w:ascii="Verdana" w:hAnsi="Verdana"/>
          <w:spacing w:val="-3"/>
          <w:sz w:val="20"/>
          <w:lang w:val="es-ES"/>
        </w:rPr>
        <w:tab/>
        <w:t xml:space="preserve">Las dos primeras (la de Naciones Unidas y la Interamericana) contienen una definición de tortura, mientras que la tercera (la Europea) </w:t>
      </w:r>
      <w:r>
        <w:rPr>
          <w:rFonts w:ascii="Verdana" w:hAnsi="Verdana"/>
          <w:spacing w:val="-3"/>
          <w:sz w:val="20"/>
          <w:lang w:val="es-ES"/>
        </w:rPr>
        <w:t xml:space="preserve">se abstiene de definirla. En la presente Sentencia en el caso </w:t>
      </w:r>
      <w:r>
        <w:rPr>
          <w:rFonts w:ascii="Verdana" w:hAnsi="Verdana"/>
          <w:i/>
          <w:spacing w:val="-3"/>
          <w:sz w:val="20"/>
          <w:lang w:val="es-ES"/>
        </w:rPr>
        <w:t>Maritza Urrutia versus Guatemala</w:t>
      </w:r>
      <w:r>
        <w:rPr>
          <w:rFonts w:ascii="Verdana" w:hAnsi="Verdana"/>
          <w:spacing w:val="-3"/>
          <w:sz w:val="20"/>
          <w:lang w:val="es-ES"/>
        </w:rPr>
        <w:t>, la Corte se refiere a los elementos constitutivos de la definición de tortura por ambas Convenciones, la de Naciones Unidas y la Interamericana (</w:t>
      </w:r>
      <w:proofErr w:type="spellStart"/>
      <w:r>
        <w:rPr>
          <w:rFonts w:ascii="Verdana" w:hAnsi="Verdana"/>
          <w:spacing w:val="-3"/>
          <w:sz w:val="20"/>
          <w:lang w:val="es-ES"/>
        </w:rPr>
        <w:t>párrs</w:t>
      </w:r>
      <w:proofErr w:type="spellEnd"/>
      <w:r>
        <w:rPr>
          <w:rFonts w:ascii="Verdana" w:hAnsi="Verdana"/>
          <w:spacing w:val="-3"/>
          <w:sz w:val="20"/>
          <w:lang w:val="es-ES"/>
        </w:rPr>
        <w:t xml:space="preserve">. 90-91), </w:t>
      </w:r>
      <w:r>
        <w:rPr>
          <w:rFonts w:ascii="Verdana" w:hAnsi="Verdana"/>
          <w:spacing w:val="-3"/>
          <w:sz w:val="20"/>
          <w:lang w:val="es-ES"/>
        </w:rPr>
        <w:t xml:space="preserve">al establecer, en el </w:t>
      </w:r>
      <w:proofErr w:type="spellStart"/>
      <w:r>
        <w:rPr>
          <w:rFonts w:ascii="Verdana" w:hAnsi="Verdana"/>
          <w:i/>
          <w:spacing w:val="-3"/>
          <w:sz w:val="20"/>
          <w:lang w:val="es-ES"/>
        </w:rPr>
        <w:t>cas</w:t>
      </w:r>
      <w:proofErr w:type="spellEnd"/>
      <w:r>
        <w:rPr>
          <w:rFonts w:ascii="Verdana" w:hAnsi="Verdana"/>
          <w:i/>
          <w:spacing w:val="-3"/>
          <w:sz w:val="20"/>
          <w:lang w:val="es-ES"/>
        </w:rPr>
        <w:t xml:space="preserve"> </w:t>
      </w:r>
      <w:proofErr w:type="spellStart"/>
      <w:r>
        <w:rPr>
          <w:rFonts w:ascii="Verdana" w:hAnsi="Verdana"/>
          <w:i/>
          <w:spacing w:val="-3"/>
          <w:sz w:val="20"/>
          <w:lang w:val="es-ES"/>
        </w:rPr>
        <w:t>d'espèce</w:t>
      </w:r>
      <w:proofErr w:type="spellEnd"/>
      <w:r>
        <w:rPr>
          <w:rFonts w:ascii="Verdana" w:hAnsi="Verdana"/>
          <w:spacing w:val="-3"/>
          <w:sz w:val="20"/>
          <w:lang w:val="es-ES"/>
        </w:rPr>
        <w:t>, la ocurrencia de tortura psicológica, en perjuicio de la víctima, en violación del artículo 5(1) y (2) de la Convención Americana. La Corte ha advertido claramente que</w:t>
      </w:r>
    </w:p>
    <w:p w14:paraId="6923A27F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171DD66E" w14:textId="77777777" w:rsidR="00000000" w:rsidRDefault="009D1196">
      <w:pPr>
        <w:suppressAutoHyphens/>
        <w:spacing w:line="240" w:lineRule="atLeast"/>
        <w:ind w:left="720" w:right="720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ab/>
        <w:t xml:space="preserve">-"(...) La prohibición de la tortura es absoluta e </w:t>
      </w:r>
      <w:r>
        <w:rPr>
          <w:rFonts w:ascii="Verdana" w:hAnsi="Verdana"/>
          <w:spacing w:val="-3"/>
          <w:sz w:val="20"/>
          <w:lang w:val="es-ES"/>
        </w:rPr>
        <w:t>inderogable, aún en las circunstancias más difíciles, tales como la guerra, amenaza de guerra, lucha contra el terrorismo y cualesquiera otros delitos, estado de sitio o de emergencia, conmoción o conflicto interior, suspensión de garantías constitucionale</w:t>
      </w:r>
      <w:r>
        <w:rPr>
          <w:rFonts w:ascii="Verdana" w:hAnsi="Verdana"/>
          <w:spacing w:val="-3"/>
          <w:sz w:val="20"/>
          <w:lang w:val="es-ES"/>
        </w:rPr>
        <w:t>s, inestabilidad política interna u otras emergencias o calamidades públicas" (párr. 89).</w:t>
      </w:r>
    </w:p>
    <w:p w14:paraId="6EB7E9D6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2092B992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4.</w:t>
      </w:r>
      <w:r>
        <w:rPr>
          <w:rFonts w:ascii="Verdana" w:hAnsi="Verdana"/>
          <w:spacing w:val="-3"/>
          <w:sz w:val="20"/>
          <w:lang w:val="es-ES"/>
        </w:rPr>
        <w:tab/>
        <w:t xml:space="preserve">La advertencia de la Corte Interamericana viene en buena hora, en el sentido de que, aún para los Estados que no han ratificado la Convención Americana o ninguna </w:t>
      </w:r>
      <w:r>
        <w:rPr>
          <w:rFonts w:ascii="Verdana" w:hAnsi="Verdana"/>
          <w:spacing w:val="-3"/>
          <w:sz w:val="20"/>
          <w:lang w:val="es-ES"/>
        </w:rPr>
        <w:t>de las tres Convenciones contra la Tortura (</w:t>
      </w:r>
      <w:r>
        <w:rPr>
          <w:rFonts w:ascii="Verdana" w:hAnsi="Verdana"/>
          <w:i/>
          <w:spacing w:val="-3"/>
          <w:sz w:val="20"/>
          <w:lang w:val="es-ES"/>
        </w:rPr>
        <w:t>supra</w:t>
      </w:r>
      <w:r>
        <w:rPr>
          <w:rFonts w:ascii="Verdana" w:hAnsi="Verdana"/>
          <w:spacing w:val="-3"/>
          <w:sz w:val="20"/>
          <w:lang w:val="es-ES"/>
        </w:rPr>
        <w:t>), sería inadmisible intentar eludir o relativizar el carácter perentorio o absoluto de la prohibición de la tortura (ni siquiera en la llamada "lucha contra el terrorismo" y cualesquiera otros delitos). A s</w:t>
      </w:r>
      <w:r>
        <w:rPr>
          <w:rFonts w:ascii="Verdana" w:hAnsi="Verdana"/>
          <w:spacing w:val="-3"/>
          <w:sz w:val="20"/>
          <w:lang w:val="es-ES"/>
        </w:rPr>
        <w:t xml:space="preserve">u vez, la Corte Europea de Derechos Humanos, en el caso </w:t>
      </w:r>
      <w:proofErr w:type="spellStart"/>
      <w:r>
        <w:rPr>
          <w:rFonts w:ascii="Verdana" w:hAnsi="Verdana"/>
          <w:i/>
          <w:spacing w:val="-3"/>
          <w:sz w:val="20"/>
          <w:lang w:val="es-ES"/>
        </w:rPr>
        <w:t>Soering</w:t>
      </w:r>
      <w:proofErr w:type="spellEnd"/>
      <w:r>
        <w:rPr>
          <w:rFonts w:ascii="Verdana" w:hAnsi="Verdana"/>
          <w:i/>
          <w:spacing w:val="-3"/>
          <w:sz w:val="20"/>
          <w:lang w:val="es-ES"/>
        </w:rPr>
        <w:t xml:space="preserve"> versus Reino Unido</w:t>
      </w:r>
      <w:r>
        <w:rPr>
          <w:rFonts w:ascii="Verdana" w:hAnsi="Verdana"/>
          <w:spacing w:val="-3"/>
          <w:sz w:val="20"/>
          <w:lang w:val="es-ES"/>
        </w:rPr>
        <w:t xml:space="preserve"> (Sentencia del 07.07.1989), afirmó categóricamente que la prohibición absoluta - inclusive en tiempos de guerra y otras emergencias nacionales - de la tortura y de los trato</w:t>
      </w:r>
      <w:r>
        <w:rPr>
          <w:rFonts w:ascii="Verdana" w:hAnsi="Verdana"/>
          <w:spacing w:val="-3"/>
          <w:sz w:val="20"/>
          <w:lang w:val="es-ES"/>
        </w:rPr>
        <w:t>s o penas inhumanos o degradantes, en los términos del artículo 3 de la Convención Europea de Derechos Humanos, demuestra que esta disposición incorpora uno de los "valores fundamentales de las sociedades democráticas"</w:t>
      </w:r>
      <w:r>
        <w:rPr>
          <w:rStyle w:val="Refdenotaalpie"/>
          <w:rFonts w:ascii="Verdana" w:hAnsi="Verdana"/>
          <w:spacing w:val="-3"/>
          <w:sz w:val="20"/>
        </w:rPr>
        <w:footnoteReference w:id="1"/>
      </w:r>
      <w:r>
        <w:rPr>
          <w:rFonts w:ascii="Verdana" w:hAnsi="Verdana"/>
          <w:spacing w:val="-3"/>
          <w:sz w:val="20"/>
          <w:lang w:val="es-ES"/>
        </w:rPr>
        <w:t xml:space="preserve">. </w:t>
      </w:r>
    </w:p>
    <w:p w14:paraId="37E5CF36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064B14CD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5.</w:t>
      </w:r>
      <w:r>
        <w:rPr>
          <w:rFonts w:ascii="Verdana" w:hAnsi="Verdana"/>
          <w:spacing w:val="-3"/>
          <w:sz w:val="20"/>
          <w:lang w:val="es-ES"/>
        </w:rPr>
        <w:tab/>
        <w:t xml:space="preserve">En el caso </w:t>
      </w:r>
      <w:r>
        <w:rPr>
          <w:rFonts w:ascii="Verdana" w:hAnsi="Verdana"/>
          <w:i/>
          <w:spacing w:val="-3"/>
          <w:sz w:val="20"/>
          <w:lang w:val="es-ES"/>
        </w:rPr>
        <w:t xml:space="preserve">Cantoral Benavides </w:t>
      </w:r>
      <w:r>
        <w:rPr>
          <w:rFonts w:ascii="Verdana" w:hAnsi="Verdana"/>
          <w:i/>
          <w:spacing w:val="-3"/>
          <w:sz w:val="20"/>
          <w:lang w:val="es-ES"/>
        </w:rPr>
        <w:t>versus Perú</w:t>
      </w:r>
      <w:r>
        <w:rPr>
          <w:rFonts w:ascii="Verdana" w:hAnsi="Verdana"/>
          <w:spacing w:val="-3"/>
          <w:sz w:val="20"/>
          <w:lang w:val="es-ES"/>
        </w:rPr>
        <w:t xml:space="preserve"> (Sentencia del 18.08.2000), la Corte Interamericana, al establecer una violación del artículo 5 de la Convención Americana, ponderó que determinados actos que, en el pasado, eran calificados como "trato inhumano y degradante", podrían, posterio</w:t>
      </w:r>
      <w:r>
        <w:rPr>
          <w:rFonts w:ascii="Verdana" w:hAnsi="Verdana"/>
          <w:spacing w:val="-3"/>
          <w:sz w:val="20"/>
          <w:lang w:val="es-ES"/>
        </w:rPr>
        <w:t xml:space="preserve">rmente, con el pasar del tiempo, venir a ser considerados como tortura, dado que las necesidades crecientes de protección  deben hacerse acompañar de una respuesta pronta y más vigorosa a atentados contra los valores básicos de las sociedades democráticas </w:t>
      </w:r>
      <w:r>
        <w:rPr>
          <w:rFonts w:ascii="Verdana" w:hAnsi="Verdana"/>
          <w:spacing w:val="-3"/>
          <w:sz w:val="20"/>
          <w:lang w:val="es-ES"/>
        </w:rPr>
        <w:t>(párr. 99). El ineludible combate a la tortura - "una forma de infierno que ha acompañado nuestra civilización" - y otras violaciones graves de los derechos humanos representa, en última instancia, la lucha de lo cotidiano para "hacer prevalecer los princi</w:t>
      </w:r>
      <w:r>
        <w:rPr>
          <w:rFonts w:ascii="Verdana" w:hAnsi="Verdana"/>
          <w:spacing w:val="-3"/>
          <w:sz w:val="20"/>
          <w:lang w:val="es-ES"/>
        </w:rPr>
        <w:t>pios de humanidad"</w:t>
      </w:r>
      <w:r>
        <w:rPr>
          <w:rStyle w:val="Refdenotaalpie"/>
          <w:rFonts w:ascii="Verdana" w:hAnsi="Verdana"/>
          <w:spacing w:val="-3"/>
          <w:sz w:val="20"/>
        </w:rPr>
        <w:footnoteReference w:id="2"/>
      </w:r>
      <w:r>
        <w:rPr>
          <w:rFonts w:ascii="Verdana" w:hAnsi="Verdana"/>
          <w:spacing w:val="-3"/>
          <w:sz w:val="20"/>
          <w:lang w:val="es-ES"/>
        </w:rPr>
        <w:t xml:space="preserve">. </w:t>
      </w:r>
    </w:p>
    <w:p w14:paraId="0969A935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358D1A97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6.</w:t>
      </w:r>
      <w:r>
        <w:rPr>
          <w:rFonts w:ascii="Verdana" w:hAnsi="Verdana"/>
          <w:spacing w:val="-3"/>
          <w:sz w:val="20"/>
          <w:lang w:val="es-ES"/>
        </w:rPr>
        <w:tab/>
        <w:t xml:space="preserve">La prohibición categórica y absoluta de la tortura en cualesquiera circunstancias, que recae en el dominio del </w:t>
      </w:r>
      <w:proofErr w:type="spellStart"/>
      <w:r>
        <w:rPr>
          <w:rFonts w:ascii="Verdana" w:hAnsi="Verdana"/>
          <w:i/>
          <w:spacing w:val="-3"/>
          <w:sz w:val="20"/>
          <w:lang w:val="es-ES"/>
        </w:rPr>
        <w:t>jus</w:t>
      </w:r>
      <w:proofErr w:type="spellEnd"/>
      <w:r>
        <w:rPr>
          <w:rFonts w:ascii="Verdana" w:hAnsi="Verdana"/>
          <w:i/>
          <w:spacing w:val="-3"/>
          <w:sz w:val="20"/>
          <w:lang w:val="es-ES"/>
        </w:rPr>
        <w:t xml:space="preserve"> cogens</w:t>
      </w:r>
      <w:r>
        <w:rPr>
          <w:rFonts w:ascii="Verdana" w:hAnsi="Verdana"/>
          <w:spacing w:val="-3"/>
          <w:sz w:val="20"/>
          <w:lang w:val="es-ES"/>
        </w:rPr>
        <w:t xml:space="preserve"> internacional</w:t>
      </w:r>
      <w:r>
        <w:rPr>
          <w:rStyle w:val="Refdenotaalpie"/>
          <w:rFonts w:ascii="Verdana" w:hAnsi="Verdana"/>
          <w:spacing w:val="-3"/>
          <w:sz w:val="20"/>
        </w:rPr>
        <w:footnoteReference w:id="3"/>
      </w:r>
      <w:r>
        <w:rPr>
          <w:rFonts w:ascii="Verdana" w:hAnsi="Verdana"/>
          <w:spacing w:val="-3"/>
          <w:sz w:val="20"/>
          <w:lang w:val="es-ES"/>
        </w:rPr>
        <w:t xml:space="preserve">, es una conquista definitiva de la civilización. Un criterio infalible de medición del grado </w:t>
      </w:r>
      <w:r>
        <w:rPr>
          <w:rFonts w:ascii="Verdana" w:hAnsi="Verdana"/>
          <w:spacing w:val="-3"/>
          <w:sz w:val="20"/>
          <w:lang w:val="es-ES"/>
        </w:rPr>
        <w:t>de civilización alcanzado por cualquier país (sea o no Parte en los tratados de derechos humanos) reside efectivamente en el trato dispensado por las autoridades públicas a las personas detenidas. Es lo que, ya en el siglo XIX, advertía F.M. Dostoievski, e</w:t>
      </w:r>
      <w:r>
        <w:rPr>
          <w:rFonts w:ascii="Verdana" w:hAnsi="Verdana"/>
          <w:spacing w:val="-3"/>
          <w:sz w:val="20"/>
          <w:lang w:val="es-ES"/>
        </w:rPr>
        <w:t xml:space="preserve">n sus </w:t>
      </w:r>
      <w:r>
        <w:rPr>
          <w:rFonts w:ascii="Verdana" w:hAnsi="Verdana"/>
          <w:i/>
          <w:spacing w:val="-3"/>
          <w:sz w:val="20"/>
          <w:lang w:val="es-ES"/>
        </w:rPr>
        <w:t>Recuerdos de la Casa de los Muertos</w:t>
      </w:r>
      <w:r>
        <w:rPr>
          <w:rFonts w:ascii="Verdana" w:hAnsi="Verdana"/>
          <w:spacing w:val="-3"/>
          <w:sz w:val="20"/>
          <w:lang w:val="es-ES"/>
        </w:rPr>
        <w:t xml:space="preserve"> (1862)</w:t>
      </w:r>
      <w:r>
        <w:rPr>
          <w:rStyle w:val="Refdenotaalpie"/>
          <w:rFonts w:ascii="Verdana" w:hAnsi="Verdana"/>
          <w:spacing w:val="-3"/>
          <w:sz w:val="20"/>
        </w:rPr>
        <w:footnoteReference w:id="4"/>
      </w:r>
      <w:r>
        <w:rPr>
          <w:rFonts w:ascii="Verdana" w:hAnsi="Verdana"/>
          <w:spacing w:val="-3"/>
          <w:sz w:val="20"/>
          <w:lang w:val="es-ES"/>
        </w:rPr>
        <w:t xml:space="preserve">, para quien el grado de civilización alcanzado por cualquier sociedad podía ser evaluado entrando en sus cárceles. </w:t>
      </w:r>
    </w:p>
    <w:p w14:paraId="0141DF83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57285119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7.</w:t>
      </w:r>
      <w:r>
        <w:rPr>
          <w:rFonts w:ascii="Verdana" w:hAnsi="Verdana"/>
          <w:spacing w:val="-3"/>
          <w:sz w:val="20"/>
          <w:lang w:val="es-ES"/>
        </w:rPr>
        <w:tab/>
        <w:t>En realidad, la definición del crimen de tortura hoy encontrada en dos de las tres Con</w:t>
      </w:r>
      <w:r>
        <w:rPr>
          <w:rFonts w:ascii="Verdana" w:hAnsi="Verdana"/>
          <w:spacing w:val="-3"/>
          <w:sz w:val="20"/>
          <w:lang w:val="es-ES"/>
        </w:rPr>
        <w:t>venciones contra la Tortura coexistentes (la de Naciones Unidas de 1984, artículo 1, y la Interamericana de 1985, artículo 2) debe su contenido a la propia jurisprudencia internacional en materia de derechos humanos, y no a la tipificación del crimen de to</w:t>
      </w:r>
      <w:r>
        <w:rPr>
          <w:rFonts w:ascii="Verdana" w:hAnsi="Verdana"/>
          <w:spacing w:val="-3"/>
          <w:sz w:val="20"/>
          <w:lang w:val="es-ES"/>
        </w:rPr>
        <w:t xml:space="preserve">rtura en el plano del derecho interno. Los elementos constitutivos de la tortura en la definición encontrada en las dos Convenciones </w:t>
      </w:r>
      <w:proofErr w:type="spellStart"/>
      <w:r>
        <w:rPr>
          <w:rFonts w:ascii="Verdana" w:hAnsi="Verdana"/>
          <w:spacing w:val="-3"/>
          <w:sz w:val="20"/>
          <w:lang w:val="es-ES"/>
        </w:rPr>
        <w:t>supracitadas</w:t>
      </w:r>
      <w:proofErr w:type="spellEnd"/>
      <w:r>
        <w:rPr>
          <w:rFonts w:ascii="Verdana" w:hAnsi="Verdana"/>
          <w:spacing w:val="-3"/>
          <w:sz w:val="20"/>
          <w:lang w:val="es-ES"/>
        </w:rPr>
        <w:t xml:space="preserve"> - sufrimiento severo físico o mental, infligido intencionalmente, para obtener informaciones o confesión, con </w:t>
      </w:r>
      <w:r>
        <w:rPr>
          <w:rFonts w:ascii="Verdana" w:hAnsi="Verdana"/>
          <w:spacing w:val="-3"/>
          <w:sz w:val="20"/>
          <w:lang w:val="es-ES"/>
        </w:rPr>
        <w:t xml:space="preserve">el consentimiento o aquiescencia de las autoridades u otras personas actuando en capacidad oficial - resultan de la construcción jurisprudencial de la antigua Comisión Europea de Derechos Humanos en el </w:t>
      </w:r>
      <w:r>
        <w:rPr>
          <w:rFonts w:ascii="Verdana" w:hAnsi="Verdana"/>
          <w:i/>
          <w:spacing w:val="-3"/>
          <w:sz w:val="20"/>
          <w:lang w:val="es-ES"/>
        </w:rPr>
        <w:t>caso griego</w:t>
      </w:r>
      <w:r>
        <w:rPr>
          <w:rFonts w:ascii="Verdana" w:hAnsi="Verdana"/>
          <w:spacing w:val="-3"/>
          <w:sz w:val="20"/>
          <w:lang w:val="es-ES"/>
        </w:rPr>
        <w:t xml:space="preserve"> (1967-1970), elaborada en seguida por la C</w:t>
      </w:r>
      <w:r>
        <w:rPr>
          <w:rFonts w:ascii="Verdana" w:hAnsi="Verdana"/>
          <w:spacing w:val="-3"/>
          <w:sz w:val="20"/>
          <w:lang w:val="es-ES"/>
        </w:rPr>
        <w:t xml:space="preserve">omisión y Corte Europeas en el caso </w:t>
      </w:r>
      <w:r>
        <w:rPr>
          <w:rFonts w:ascii="Verdana" w:hAnsi="Verdana"/>
          <w:i/>
          <w:spacing w:val="-3"/>
          <w:sz w:val="20"/>
          <w:lang w:val="es-ES"/>
        </w:rPr>
        <w:t>Irlanda versus Reino Unido</w:t>
      </w:r>
      <w:r>
        <w:rPr>
          <w:rFonts w:ascii="Verdana" w:hAnsi="Verdana"/>
          <w:spacing w:val="-3"/>
          <w:sz w:val="20"/>
          <w:lang w:val="es-ES"/>
        </w:rPr>
        <w:t xml:space="preserve"> (1971-1978)</w:t>
      </w:r>
      <w:r>
        <w:rPr>
          <w:rStyle w:val="Refdenotaalpie"/>
          <w:rFonts w:ascii="Verdana" w:hAnsi="Verdana"/>
          <w:spacing w:val="-3"/>
          <w:sz w:val="20"/>
        </w:rPr>
        <w:footnoteReference w:id="5"/>
      </w:r>
      <w:r>
        <w:rPr>
          <w:rFonts w:ascii="Verdana" w:hAnsi="Verdana"/>
          <w:spacing w:val="-3"/>
          <w:sz w:val="20"/>
          <w:lang w:val="es-ES"/>
        </w:rPr>
        <w:t xml:space="preserve">. </w:t>
      </w:r>
    </w:p>
    <w:p w14:paraId="40BC01E0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07A0D2DC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8.</w:t>
      </w:r>
      <w:r>
        <w:rPr>
          <w:rFonts w:ascii="Verdana" w:hAnsi="Verdana"/>
          <w:spacing w:val="-3"/>
          <w:sz w:val="20"/>
          <w:lang w:val="es-ES"/>
        </w:rPr>
        <w:tab/>
        <w:t xml:space="preserve">En este particular, la jurisprudencia internacional precedió e influenció la legislación internacional en el dominio de la protección de los derechos humanos. Manifestándose </w:t>
      </w:r>
      <w:r>
        <w:rPr>
          <w:rFonts w:ascii="Verdana" w:hAnsi="Verdana"/>
          <w:spacing w:val="-3"/>
          <w:sz w:val="20"/>
          <w:lang w:val="es-ES"/>
        </w:rPr>
        <w:t xml:space="preserve">formalmente, en el dominio del Derecho Internacional de los Derechos Humanos, sea a través de la jurisprudencia, sea a través de la legislación, la prohibición absoluta de la tortura emana de la fuente </w:t>
      </w:r>
      <w:r>
        <w:rPr>
          <w:rFonts w:ascii="Verdana" w:hAnsi="Verdana"/>
          <w:i/>
          <w:spacing w:val="-3"/>
          <w:sz w:val="20"/>
          <w:lang w:val="es-ES"/>
        </w:rPr>
        <w:t>material</w:t>
      </w:r>
      <w:r>
        <w:rPr>
          <w:rFonts w:ascii="Verdana" w:hAnsi="Verdana"/>
          <w:spacing w:val="-3"/>
          <w:sz w:val="20"/>
          <w:lang w:val="es-ES"/>
        </w:rPr>
        <w:t xml:space="preserve"> del Derecho por excelencia, la </w:t>
      </w:r>
      <w:r>
        <w:rPr>
          <w:rFonts w:ascii="Verdana" w:hAnsi="Verdana"/>
          <w:i/>
          <w:spacing w:val="-3"/>
          <w:sz w:val="20"/>
          <w:lang w:val="es-ES"/>
        </w:rPr>
        <w:t>conciencia jur</w:t>
      </w:r>
      <w:r>
        <w:rPr>
          <w:rFonts w:ascii="Verdana" w:hAnsi="Verdana"/>
          <w:i/>
          <w:spacing w:val="-3"/>
          <w:sz w:val="20"/>
          <w:lang w:val="es-ES"/>
        </w:rPr>
        <w:t>ídica universal</w:t>
      </w:r>
      <w:r>
        <w:rPr>
          <w:rFonts w:ascii="Verdana" w:hAnsi="Verdana"/>
          <w:spacing w:val="-3"/>
          <w:sz w:val="20"/>
          <w:lang w:val="es-ES"/>
        </w:rPr>
        <w:t xml:space="preserve">. De esta última emanan igualmente la consagración y expansión del dominio del </w:t>
      </w:r>
      <w:proofErr w:type="spellStart"/>
      <w:r>
        <w:rPr>
          <w:rFonts w:ascii="Verdana" w:hAnsi="Verdana"/>
          <w:i/>
          <w:spacing w:val="-3"/>
          <w:sz w:val="20"/>
          <w:lang w:val="es-ES"/>
        </w:rPr>
        <w:t>jus</w:t>
      </w:r>
      <w:proofErr w:type="spellEnd"/>
      <w:r>
        <w:rPr>
          <w:rFonts w:ascii="Verdana" w:hAnsi="Verdana"/>
          <w:i/>
          <w:spacing w:val="-3"/>
          <w:sz w:val="20"/>
          <w:lang w:val="es-ES"/>
        </w:rPr>
        <w:t xml:space="preserve"> cogens</w:t>
      </w:r>
      <w:r>
        <w:rPr>
          <w:rFonts w:ascii="Verdana" w:hAnsi="Verdana"/>
          <w:spacing w:val="-3"/>
          <w:sz w:val="20"/>
          <w:lang w:val="es-ES"/>
        </w:rPr>
        <w:t xml:space="preserve"> internacional.</w:t>
      </w:r>
    </w:p>
    <w:p w14:paraId="3FC5E54A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25FA1789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9.</w:t>
      </w:r>
      <w:r>
        <w:rPr>
          <w:rFonts w:ascii="Verdana" w:hAnsi="Verdana"/>
          <w:spacing w:val="-3"/>
          <w:sz w:val="20"/>
          <w:lang w:val="es-ES"/>
        </w:rPr>
        <w:tab/>
        <w:t xml:space="preserve">Al respecto, en mi Voto Concurrente en la Opinión Consultiva n. 18 de la Corte Interamericana, sobre </w:t>
      </w:r>
      <w:r>
        <w:rPr>
          <w:rFonts w:ascii="Verdana" w:hAnsi="Verdana"/>
          <w:i/>
          <w:spacing w:val="-3"/>
          <w:sz w:val="20"/>
          <w:lang w:val="es-ES"/>
        </w:rPr>
        <w:t>La Condición Jurídica y los Der</w:t>
      </w:r>
      <w:r>
        <w:rPr>
          <w:rFonts w:ascii="Verdana" w:hAnsi="Verdana"/>
          <w:i/>
          <w:spacing w:val="-3"/>
          <w:sz w:val="20"/>
          <w:lang w:val="es-ES"/>
        </w:rPr>
        <w:t>echos de los Migrantes Indocumentados</w:t>
      </w:r>
      <w:r>
        <w:rPr>
          <w:rFonts w:ascii="Verdana" w:hAnsi="Verdana"/>
          <w:spacing w:val="-3"/>
          <w:sz w:val="20"/>
          <w:lang w:val="es-ES"/>
        </w:rPr>
        <w:t xml:space="preserve"> (del 17.09.2003), me permití señalar que</w:t>
      </w:r>
    </w:p>
    <w:p w14:paraId="06659979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02BD5B00" w14:textId="77777777" w:rsidR="00000000" w:rsidRDefault="009D1196">
      <w:pPr>
        <w:suppressAutoHyphens/>
        <w:spacing w:line="240" w:lineRule="atLeast"/>
        <w:ind w:left="720" w:right="720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ab/>
        <w:t xml:space="preserve">"(...) En el caso </w:t>
      </w:r>
      <w:r>
        <w:rPr>
          <w:rFonts w:ascii="Verdana" w:hAnsi="Verdana"/>
          <w:i/>
          <w:spacing w:val="-3"/>
          <w:sz w:val="20"/>
          <w:lang w:val="es-ES"/>
        </w:rPr>
        <w:t xml:space="preserve">A. </w:t>
      </w:r>
      <w:proofErr w:type="spellStart"/>
      <w:r>
        <w:rPr>
          <w:rFonts w:ascii="Verdana" w:hAnsi="Verdana"/>
          <w:i/>
          <w:spacing w:val="-3"/>
          <w:sz w:val="20"/>
          <w:lang w:val="es-ES"/>
        </w:rPr>
        <w:t>Furundzija</w:t>
      </w:r>
      <w:proofErr w:type="spellEnd"/>
      <w:r>
        <w:rPr>
          <w:rFonts w:ascii="Verdana" w:hAnsi="Verdana"/>
          <w:spacing w:val="-3"/>
          <w:sz w:val="20"/>
          <w:lang w:val="es-ES"/>
        </w:rPr>
        <w:t xml:space="preserve"> (Sentencia del 10.12.1998), el Tribunal Penal Internacional </w:t>
      </w:r>
      <w:r>
        <w:rPr>
          <w:rFonts w:ascii="Verdana" w:hAnsi="Verdana"/>
          <w:i/>
          <w:spacing w:val="-3"/>
          <w:sz w:val="20"/>
          <w:lang w:val="es-ES"/>
        </w:rPr>
        <w:t>ad hoc</w:t>
      </w:r>
      <w:r>
        <w:rPr>
          <w:rFonts w:ascii="Verdana" w:hAnsi="Verdana"/>
          <w:spacing w:val="-3"/>
          <w:sz w:val="20"/>
          <w:lang w:val="es-ES"/>
        </w:rPr>
        <w:t xml:space="preserve"> para la Ex-Yugoslavia (</w:t>
      </w:r>
      <w:r>
        <w:rPr>
          <w:rFonts w:ascii="Verdana" w:hAnsi="Verdana"/>
          <w:i/>
          <w:spacing w:val="-3"/>
          <w:sz w:val="20"/>
          <w:lang w:val="es-ES"/>
        </w:rPr>
        <w:t xml:space="preserve">Trial </w:t>
      </w:r>
      <w:proofErr w:type="spellStart"/>
      <w:r>
        <w:rPr>
          <w:rFonts w:ascii="Verdana" w:hAnsi="Verdana"/>
          <w:i/>
          <w:spacing w:val="-3"/>
          <w:sz w:val="20"/>
          <w:lang w:val="es-ES"/>
        </w:rPr>
        <w:t>Chamber</w:t>
      </w:r>
      <w:proofErr w:type="spellEnd"/>
      <w:r>
        <w:rPr>
          <w:rFonts w:ascii="Verdana" w:hAnsi="Verdana"/>
          <w:spacing w:val="-3"/>
          <w:sz w:val="20"/>
          <w:lang w:val="es-ES"/>
        </w:rPr>
        <w:t>) sostuvo que la prohibición de la tortu</w:t>
      </w:r>
      <w:r>
        <w:rPr>
          <w:rFonts w:ascii="Verdana" w:hAnsi="Verdana"/>
          <w:spacing w:val="-3"/>
          <w:sz w:val="20"/>
          <w:lang w:val="es-ES"/>
        </w:rPr>
        <w:t xml:space="preserve">ra, efectuada de modo absoluto por el Derecho Internacional tanto convencional (bajo determinados tratados de derechos humanos) como consuetudinario, tenía el carácter de una norma de </w:t>
      </w:r>
      <w:proofErr w:type="spellStart"/>
      <w:r>
        <w:rPr>
          <w:rFonts w:ascii="Verdana" w:hAnsi="Verdana"/>
          <w:i/>
          <w:spacing w:val="-3"/>
          <w:sz w:val="20"/>
          <w:lang w:val="es-ES"/>
        </w:rPr>
        <w:t>jus</w:t>
      </w:r>
      <w:proofErr w:type="spellEnd"/>
      <w:r>
        <w:rPr>
          <w:rFonts w:ascii="Verdana" w:hAnsi="Verdana"/>
          <w:i/>
          <w:spacing w:val="-3"/>
          <w:sz w:val="20"/>
          <w:lang w:val="es-ES"/>
        </w:rPr>
        <w:t xml:space="preserve"> cogens</w:t>
      </w:r>
      <w:r>
        <w:rPr>
          <w:rFonts w:ascii="Verdana" w:hAnsi="Verdana"/>
          <w:spacing w:val="-3"/>
          <w:sz w:val="20"/>
          <w:lang w:val="es-ES"/>
        </w:rPr>
        <w:t xml:space="preserve"> (...). Esto ocurría en razón de la importancia de los valores</w:t>
      </w:r>
      <w:r>
        <w:rPr>
          <w:rFonts w:ascii="Verdana" w:hAnsi="Verdana"/>
          <w:spacing w:val="-3"/>
          <w:sz w:val="20"/>
          <w:lang w:val="es-ES"/>
        </w:rPr>
        <w:t xml:space="preserve"> protegidos (...). Tal prohibición absoluta de la tortura, - agregó el Tribunal, - impone a los Estados obligaciones </w:t>
      </w:r>
      <w:r>
        <w:rPr>
          <w:rFonts w:ascii="Verdana" w:hAnsi="Verdana"/>
          <w:i/>
          <w:spacing w:val="-3"/>
          <w:sz w:val="20"/>
          <w:lang w:val="es-ES"/>
        </w:rPr>
        <w:t>erga omnes</w:t>
      </w:r>
      <w:r>
        <w:rPr>
          <w:rFonts w:ascii="Verdana" w:hAnsi="Verdana"/>
          <w:spacing w:val="-3"/>
          <w:sz w:val="20"/>
          <w:lang w:val="es-ES"/>
        </w:rPr>
        <w:t xml:space="preserve"> (...); la naturaleza de </w:t>
      </w:r>
      <w:proofErr w:type="spellStart"/>
      <w:r>
        <w:rPr>
          <w:rFonts w:ascii="Verdana" w:hAnsi="Verdana"/>
          <w:i/>
          <w:spacing w:val="-3"/>
          <w:sz w:val="20"/>
          <w:lang w:val="es-ES"/>
        </w:rPr>
        <w:t>jus</w:t>
      </w:r>
      <w:proofErr w:type="spellEnd"/>
      <w:r>
        <w:rPr>
          <w:rFonts w:ascii="Verdana" w:hAnsi="Verdana"/>
          <w:i/>
          <w:spacing w:val="-3"/>
          <w:sz w:val="20"/>
          <w:lang w:val="es-ES"/>
        </w:rPr>
        <w:t xml:space="preserve"> cogens</w:t>
      </w:r>
      <w:r>
        <w:rPr>
          <w:rFonts w:ascii="Verdana" w:hAnsi="Verdana"/>
          <w:spacing w:val="-3"/>
          <w:sz w:val="20"/>
          <w:lang w:val="es-ES"/>
        </w:rPr>
        <w:t xml:space="preserve"> de esta prohibición la 'torna uno de los estándares más fundamentales de la comunidad interna</w:t>
      </w:r>
      <w:r>
        <w:rPr>
          <w:rFonts w:ascii="Verdana" w:hAnsi="Verdana"/>
          <w:spacing w:val="-3"/>
          <w:sz w:val="20"/>
          <w:lang w:val="es-ES"/>
        </w:rPr>
        <w:t xml:space="preserve">cional', incorporando 'un valor absoluto del cual nadie debe desviarse' (...).    </w:t>
      </w:r>
    </w:p>
    <w:p w14:paraId="3558D0A3" w14:textId="77777777" w:rsidR="00000000" w:rsidRDefault="009D1196">
      <w:pPr>
        <w:suppressAutoHyphens/>
        <w:spacing w:line="240" w:lineRule="atLeast"/>
        <w:ind w:left="720" w:right="720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ab/>
        <w:t xml:space="preserve">El concepto de </w:t>
      </w:r>
      <w:proofErr w:type="spellStart"/>
      <w:r>
        <w:rPr>
          <w:rFonts w:ascii="Verdana" w:hAnsi="Verdana"/>
          <w:i/>
          <w:spacing w:val="-3"/>
          <w:sz w:val="20"/>
          <w:lang w:val="es-ES"/>
        </w:rPr>
        <w:t>jus</w:t>
      </w:r>
      <w:proofErr w:type="spellEnd"/>
      <w:r>
        <w:rPr>
          <w:rFonts w:ascii="Verdana" w:hAnsi="Verdana"/>
          <w:i/>
          <w:spacing w:val="-3"/>
          <w:sz w:val="20"/>
          <w:lang w:val="es-ES"/>
        </w:rPr>
        <w:t xml:space="preserve"> cogens</w:t>
      </w:r>
      <w:r>
        <w:rPr>
          <w:rFonts w:ascii="Verdana" w:hAnsi="Verdana"/>
          <w:spacing w:val="-3"/>
          <w:sz w:val="20"/>
          <w:lang w:val="es-ES"/>
        </w:rPr>
        <w:t xml:space="preserve"> efectivamente no se limita al derecho de los tratados, y es igualmente propio del derecho de la responsabilidad internacional de los Estados. (...</w:t>
      </w:r>
      <w:r>
        <w:rPr>
          <w:rFonts w:ascii="Verdana" w:hAnsi="Verdana"/>
          <w:spacing w:val="-3"/>
          <w:sz w:val="20"/>
          <w:lang w:val="es-ES"/>
        </w:rPr>
        <w:t xml:space="preserve">) En mi entendimiento, es en este capítulo central del Derecho Internacional, el de la responsabilidad internacional (quizás más que en el capítulo del derecho de los tratados), que el </w:t>
      </w:r>
      <w:proofErr w:type="spellStart"/>
      <w:r>
        <w:rPr>
          <w:rFonts w:ascii="Verdana" w:hAnsi="Verdana"/>
          <w:i/>
          <w:spacing w:val="-3"/>
          <w:sz w:val="20"/>
          <w:lang w:val="es-ES"/>
        </w:rPr>
        <w:t>jus</w:t>
      </w:r>
      <w:proofErr w:type="spellEnd"/>
      <w:r>
        <w:rPr>
          <w:rFonts w:ascii="Verdana" w:hAnsi="Verdana"/>
          <w:i/>
          <w:spacing w:val="-3"/>
          <w:sz w:val="20"/>
          <w:lang w:val="es-ES"/>
        </w:rPr>
        <w:t xml:space="preserve"> cogens</w:t>
      </w:r>
      <w:r>
        <w:rPr>
          <w:rFonts w:ascii="Verdana" w:hAnsi="Verdana"/>
          <w:spacing w:val="-3"/>
          <w:sz w:val="20"/>
          <w:lang w:val="es-ES"/>
        </w:rPr>
        <w:t xml:space="preserve"> revela su real, amplia y profunda dimensión, alcanzando todo</w:t>
      </w:r>
      <w:r>
        <w:rPr>
          <w:rFonts w:ascii="Verdana" w:hAnsi="Verdana"/>
          <w:spacing w:val="-3"/>
          <w:sz w:val="20"/>
          <w:lang w:val="es-ES"/>
        </w:rPr>
        <w:t xml:space="preserve">s los actos jurídicos (inclusive los unilaterales), e incidiendo (inclusive más allá del dominio de la responsabilidad estatal) en los propios </w:t>
      </w:r>
      <w:r>
        <w:rPr>
          <w:rFonts w:ascii="Verdana" w:hAnsi="Verdana"/>
          <w:i/>
          <w:spacing w:val="-3"/>
          <w:sz w:val="20"/>
          <w:lang w:val="es-ES"/>
        </w:rPr>
        <w:t>fundamentos</w:t>
      </w:r>
      <w:r>
        <w:rPr>
          <w:rFonts w:ascii="Verdana" w:hAnsi="Verdana"/>
          <w:spacing w:val="-3"/>
          <w:sz w:val="20"/>
          <w:lang w:val="es-ES"/>
        </w:rPr>
        <w:t xml:space="preserve"> de un derecho internacional verdaderamente universal" (</w:t>
      </w:r>
      <w:proofErr w:type="spellStart"/>
      <w:r>
        <w:rPr>
          <w:rFonts w:ascii="Verdana" w:hAnsi="Verdana"/>
          <w:spacing w:val="-3"/>
          <w:sz w:val="20"/>
          <w:lang w:val="es-ES"/>
        </w:rPr>
        <w:t>párrs</w:t>
      </w:r>
      <w:proofErr w:type="spellEnd"/>
      <w:r>
        <w:rPr>
          <w:rFonts w:ascii="Verdana" w:hAnsi="Verdana"/>
          <w:spacing w:val="-3"/>
          <w:sz w:val="20"/>
          <w:lang w:val="es-ES"/>
        </w:rPr>
        <w:t>. 69-70).</w:t>
      </w:r>
    </w:p>
    <w:p w14:paraId="2B48DB8E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251B9501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10.</w:t>
      </w:r>
      <w:r>
        <w:rPr>
          <w:rFonts w:ascii="Verdana" w:hAnsi="Verdana"/>
          <w:spacing w:val="-3"/>
          <w:sz w:val="20"/>
          <w:lang w:val="es-ES"/>
        </w:rPr>
        <w:tab/>
        <w:t>En el marco del régimen ju</w:t>
      </w:r>
      <w:r>
        <w:rPr>
          <w:rFonts w:ascii="Verdana" w:hAnsi="Verdana"/>
          <w:spacing w:val="-3"/>
          <w:sz w:val="20"/>
          <w:lang w:val="es-ES"/>
        </w:rPr>
        <w:t>rídico internacional contra la tortura</w:t>
      </w:r>
      <w:r>
        <w:rPr>
          <w:rStyle w:val="Refdenotaalpie"/>
          <w:rFonts w:ascii="Verdana" w:hAnsi="Verdana"/>
          <w:spacing w:val="-3"/>
          <w:sz w:val="20"/>
        </w:rPr>
        <w:footnoteReference w:id="6"/>
      </w:r>
      <w:r>
        <w:rPr>
          <w:rFonts w:ascii="Verdana" w:hAnsi="Verdana"/>
          <w:spacing w:val="-3"/>
          <w:sz w:val="20"/>
          <w:lang w:val="es-ES"/>
        </w:rPr>
        <w:t xml:space="preserve">, se busca en nuestros días establecer un mecanismo de monitoreo continuo de carácter preventivo. El Comité para la Prevención de la Tortura y Trato o Punición Inhumano o Degradante bajo la Convención Europea de 1987 </w:t>
      </w:r>
      <w:r>
        <w:rPr>
          <w:rFonts w:ascii="Verdana" w:hAnsi="Verdana"/>
          <w:spacing w:val="-3"/>
          <w:sz w:val="20"/>
          <w:lang w:val="es-ES"/>
        </w:rPr>
        <w:t>realiza inspecciones preventivas en instituciones de detención en los Estados Partes (artículo 2)</w:t>
      </w:r>
      <w:r>
        <w:rPr>
          <w:rStyle w:val="Refdenotaalpie"/>
          <w:rFonts w:ascii="Verdana" w:hAnsi="Verdana"/>
          <w:spacing w:val="-3"/>
          <w:sz w:val="20"/>
        </w:rPr>
        <w:footnoteReference w:id="7"/>
      </w:r>
      <w:r>
        <w:rPr>
          <w:rFonts w:ascii="Verdana" w:hAnsi="Verdana"/>
          <w:spacing w:val="-3"/>
          <w:sz w:val="20"/>
          <w:lang w:val="es-ES"/>
        </w:rPr>
        <w:t>. Del mismo modo, el reciente Protocolo Facultativo (de 2002) a la Convención de Naciones Unidas contra la Tortura faculta al Subcomité de Prevención de la To</w:t>
      </w:r>
      <w:r>
        <w:rPr>
          <w:rFonts w:ascii="Verdana" w:hAnsi="Verdana"/>
          <w:spacing w:val="-3"/>
          <w:sz w:val="20"/>
          <w:lang w:val="es-ES"/>
        </w:rPr>
        <w:t>rtura (por él creado) visitar preventivamente centros de detención en los Estados Partes y formular recomendaciones a éstos (artículos 4 y 11).</w:t>
      </w:r>
    </w:p>
    <w:p w14:paraId="2E30069B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037A277A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11.</w:t>
      </w:r>
      <w:r>
        <w:rPr>
          <w:rFonts w:ascii="Verdana" w:hAnsi="Verdana"/>
          <w:spacing w:val="-3"/>
          <w:sz w:val="20"/>
          <w:lang w:val="es-ES"/>
        </w:rPr>
        <w:tab/>
        <w:t xml:space="preserve">Los desarrollos anteriormente mencionados han puesto fin a uno de los reductos de la soberanía estatal, al </w:t>
      </w:r>
      <w:r>
        <w:rPr>
          <w:rFonts w:ascii="Verdana" w:hAnsi="Verdana"/>
          <w:spacing w:val="-3"/>
          <w:sz w:val="20"/>
          <w:lang w:val="es-ES"/>
        </w:rPr>
        <w:t xml:space="preserve">permitir el escrutinio de los </w:t>
      </w:r>
      <w:r>
        <w:rPr>
          <w:rFonts w:ascii="Verdana" w:hAnsi="Verdana"/>
          <w:i/>
          <w:spacing w:val="-3"/>
          <w:sz w:val="20"/>
          <w:lang w:val="es-ES"/>
        </w:rPr>
        <w:t>sancta sanctorum</w:t>
      </w:r>
      <w:r>
        <w:rPr>
          <w:rFonts w:ascii="Verdana" w:hAnsi="Verdana"/>
          <w:spacing w:val="-3"/>
          <w:sz w:val="20"/>
          <w:lang w:val="es-ES"/>
        </w:rPr>
        <w:t xml:space="preserve"> del Estado - sus prisiones y casas de detención, delegaciones policiales, prisiones militares, centros de detención para extranjeros, instituciones psiquiátricas, entre otros, - de sus prácticas administrativa</w:t>
      </w:r>
      <w:r>
        <w:rPr>
          <w:rFonts w:ascii="Verdana" w:hAnsi="Verdana"/>
          <w:spacing w:val="-3"/>
          <w:sz w:val="20"/>
          <w:lang w:val="es-ES"/>
        </w:rPr>
        <w:t>s y medidas legislativas, para determinar su compatibilidad o no con los estándares internacionales de derechos humanos</w:t>
      </w:r>
      <w:r>
        <w:rPr>
          <w:rStyle w:val="Refdenotaalpie"/>
          <w:rFonts w:ascii="Verdana" w:hAnsi="Verdana"/>
          <w:spacing w:val="-3"/>
          <w:sz w:val="20"/>
        </w:rPr>
        <w:footnoteReference w:id="8"/>
      </w:r>
      <w:r>
        <w:rPr>
          <w:rFonts w:ascii="Verdana" w:hAnsi="Verdana"/>
          <w:spacing w:val="-3"/>
          <w:sz w:val="20"/>
          <w:lang w:val="es-ES"/>
        </w:rPr>
        <w:t xml:space="preserve">. </w:t>
      </w:r>
      <w:proofErr w:type="spellStart"/>
      <w:r>
        <w:rPr>
          <w:rFonts w:ascii="Verdana" w:hAnsi="Verdana"/>
          <w:spacing w:val="-3"/>
          <w:sz w:val="20"/>
          <w:lang w:val="es-ES"/>
        </w:rPr>
        <w:t>Ésto</w:t>
      </w:r>
      <w:proofErr w:type="spellEnd"/>
      <w:r>
        <w:rPr>
          <w:rFonts w:ascii="Verdana" w:hAnsi="Verdana"/>
          <w:spacing w:val="-3"/>
          <w:sz w:val="20"/>
          <w:lang w:val="es-ES"/>
        </w:rPr>
        <w:t xml:space="preserve"> se ha logrado en nombre de valores comunes superiores, consustanciados en la prevalencia de los derechos fundamentales inherentes</w:t>
      </w:r>
      <w:r>
        <w:rPr>
          <w:rFonts w:ascii="Verdana" w:hAnsi="Verdana"/>
          <w:spacing w:val="-3"/>
          <w:sz w:val="20"/>
          <w:lang w:val="es-ES"/>
        </w:rPr>
        <w:t xml:space="preserve"> a la persona humana.</w:t>
      </w:r>
    </w:p>
    <w:p w14:paraId="00492B85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121749A3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12.</w:t>
      </w:r>
      <w:r>
        <w:rPr>
          <w:rFonts w:ascii="Verdana" w:hAnsi="Verdana"/>
          <w:spacing w:val="-3"/>
          <w:sz w:val="20"/>
          <w:lang w:val="es-ES"/>
        </w:rPr>
        <w:tab/>
        <w:t xml:space="preserve">La presente Sentencia de la Corte Interamericana se enmarca en esta notable evolución jurídica civilizatoria. Aún antes del presente caso </w:t>
      </w:r>
      <w:r>
        <w:rPr>
          <w:rFonts w:ascii="Verdana" w:hAnsi="Verdana"/>
          <w:i/>
          <w:spacing w:val="-3"/>
          <w:sz w:val="20"/>
          <w:lang w:val="es-ES"/>
        </w:rPr>
        <w:t>Maritza Urrutia versus Guatemala</w:t>
      </w:r>
      <w:r>
        <w:rPr>
          <w:rFonts w:ascii="Verdana" w:hAnsi="Verdana"/>
          <w:spacing w:val="-3"/>
          <w:sz w:val="20"/>
          <w:lang w:val="es-ES"/>
        </w:rPr>
        <w:t>, la Corte ya se manifestara sobre la violación del derecho</w:t>
      </w:r>
      <w:r>
        <w:rPr>
          <w:rFonts w:ascii="Verdana" w:hAnsi="Verdana"/>
          <w:spacing w:val="-3"/>
          <w:sz w:val="20"/>
          <w:lang w:val="es-ES"/>
        </w:rPr>
        <w:t xml:space="preserve"> a la integridad psíquica (en el caso </w:t>
      </w:r>
      <w:r>
        <w:rPr>
          <w:rFonts w:ascii="Verdana" w:hAnsi="Verdana"/>
          <w:i/>
          <w:spacing w:val="-3"/>
          <w:sz w:val="20"/>
          <w:lang w:val="es-ES"/>
        </w:rPr>
        <w:t>Loayza Tamayo versus Perú</w:t>
      </w:r>
      <w:r>
        <w:rPr>
          <w:rFonts w:ascii="Verdana" w:hAnsi="Verdana"/>
          <w:spacing w:val="-3"/>
          <w:sz w:val="20"/>
          <w:lang w:val="es-ES"/>
        </w:rPr>
        <w:t xml:space="preserve">, Sentencia del 17.09.1997, </w:t>
      </w:r>
      <w:proofErr w:type="spellStart"/>
      <w:r>
        <w:rPr>
          <w:rFonts w:ascii="Verdana" w:hAnsi="Verdana"/>
          <w:spacing w:val="-3"/>
          <w:sz w:val="20"/>
          <w:lang w:val="es-ES"/>
        </w:rPr>
        <w:t>párrs</w:t>
      </w:r>
      <w:proofErr w:type="spellEnd"/>
      <w:r>
        <w:rPr>
          <w:rFonts w:ascii="Verdana" w:hAnsi="Verdana"/>
          <w:spacing w:val="-3"/>
          <w:sz w:val="20"/>
          <w:lang w:val="es-ES"/>
        </w:rPr>
        <w:t xml:space="preserve">. 57-58) y sobre la "tortura psicológica" (en el caso </w:t>
      </w:r>
      <w:r>
        <w:rPr>
          <w:rFonts w:ascii="Verdana" w:hAnsi="Verdana"/>
          <w:i/>
          <w:spacing w:val="-3"/>
          <w:sz w:val="20"/>
          <w:lang w:val="es-ES"/>
        </w:rPr>
        <w:t>Cantoral Benavides versus Perú</w:t>
      </w:r>
      <w:r>
        <w:rPr>
          <w:rFonts w:ascii="Verdana" w:hAnsi="Verdana"/>
          <w:spacing w:val="-3"/>
          <w:sz w:val="20"/>
          <w:lang w:val="es-ES"/>
        </w:rPr>
        <w:t>, Sentencia del 18.08.2000, párr. 102). En el presente caso, la Corte vuelve</w:t>
      </w:r>
      <w:r>
        <w:rPr>
          <w:rFonts w:ascii="Verdana" w:hAnsi="Verdana"/>
          <w:spacing w:val="-3"/>
          <w:sz w:val="20"/>
          <w:lang w:val="es-ES"/>
        </w:rPr>
        <w:t xml:space="preserve"> a pronunciarse sobre esta última, en medio a su categórica afirmación de la prohibición absoluta de la tortura en todas sus formas. En las palabras acertadas de la Corte,</w:t>
      </w:r>
    </w:p>
    <w:p w14:paraId="2270AE29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57D628BA" w14:textId="77777777" w:rsidR="00000000" w:rsidRDefault="009D1196">
      <w:pPr>
        <w:suppressAutoHyphens/>
        <w:spacing w:line="240" w:lineRule="atLeast"/>
        <w:ind w:left="720" w:right="720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ab/>
        <w:t>-"Se ha conformado un régimen jurídico internacional de prohibición absoluta de to</w:t>
      </w:r>
      <w:r>
        <w:rPr>
          <w:rFonts w:ascii="Verdana" w:hAnsi="Verdana"/>
          <w:spacing w:val="-3"/>
          <w:sz w:val="20"/>
          <w:lang w:val="es-ES"/>
        </w:rPr>
        <w:t>das las formas de tortura, tanto física como psicológica, y respecto a esta última, se ha reconocido que las amenazas y el peligro real de someter a una persona a lesiones físicas produce, en determinadas circunstancias, una angustia moral de tal grado que</w:t>
      </w:r>
      <w:r>
        <w:rPr>
          <w:rFonts w:ascii="Verdana" w:hAnsi="Verdana"/>
          <w:spacing w:val="-3"/>
          <w:sz w:val="20"/>
          <w:lang w:val="es-ES"/>
        </w:rPr>
        <w:t xml:space="preserve"> puede ser considerada 'tortura psicológica'. La prohibición absoluta de la tortura, en todas sus formas, pertenece hoy al dominio del </w:t>
      </w:r>
      <w:proofErr w:type="spellStart"/>
      <w:r>
        <w:rPr>
          <w:rFonts w:ascii="Verdana" w:hAnsi="Verdana"/>
          <w:i/>
          <w:spacing w:val="-3"/>
          <w:sz w:val="20"/>
          <w:lang w:val="es-ES"/>
        </w:rPr>
        <w:t>jus</w:t>
      </w:r>
      <w:proofErr w:type="spellEnd"/>
      <w:r>
        <w:rPr>
          <w:rFonts w:ascii="Verdana" w:hAnsi="Verdana"/>
          <w:i/>
          <w:spacing w:val="-3"/>
          <w:sz w:val="20"/>
          <w:lang w:val="es-ES"/>
        </w:rPr>
        <w:t xml:space="preserve"> cogens</w:t>
      </w:r>
      <w:r>
        <w:rPr>
          <w:rFonts w:ascii="Verdana" w:hAnsi="Verdana"/>
          <w:spacing w:val="-3"/>
          <w:sz w:val="20"/>
          <w:lang w:val="es-ES"/>
        </w:rPr>
        <w:t xml:space="preserve"> internacional" (párr. 92).</w:t>
      </w:r>
    </w:p>
    <w:p w14:paraId="4DE53EB6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6EA3AF78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No hay alternativa a esta evolución jurídica movida por la conciencia humana; fuer</w:t>
      </w:r>
      <w:r>
        <w:rPr>
          <w:rFonts w:ascii="Verdana" w:hAnsi="Verdana"/>
          <w:spacing w:val="-3"/>
          <w:sz w:val="20"/>
          <w:lang w:val="es-ES"/>
        </w:rPr>
        <w:t>a de ella, sería el retorno a la barbarie.</w:t>
      </w:r>
    </w:p>
    <w:p w14:paraId="188F8941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5591436D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40D48B02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34E5A079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684A0624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proofErr w:type="spellStart"/>
      <w:r>
        <w:rPr>
          <w:rFonts w:ascii="Verdana" w:hAnsi="Verdana"/>
          <w:spacing w:val="-3"/>
          <w:sz w:val="20"/>
          <w:lang w:val="es-ES"/>
        </w:rPr>
        <w:t>Antônio</w:t>
      </w:r>
      <w:proofErr w:type="spellEnd"/>
      <w:r>
        <w:rPr>
          <w:rFonts w:ascii="Verdana" w:hAnsi="Verdana"/>
          <w:spacing w:val="-3"/>
          <w:sz w:val="20"/>
          <w:lang w:val="es-ES"/>
        </w:rPr>
        <w:t xml:space="preserve"> Augusto </w:t>
      </w:r>
      <w:proofErr w:type="spellStart"/>
      <w:r>
        <w:rPr>
          <w:rFonts w:ascii="Verdana" w:hAnsi="Verdana"/>
          <w:spacing w:val="-3"/>
          <w:sz w:val="20"/>
          <w:lang w:val="es-ES"/>
        </w:rPr>
        <w:t>Cançado</w:t>
      </w:r>
      <w:proofErr w:type="spellEnd"/>
      <w:r>
        <w:rPr>
          <w:rFonts w:ascii="Verdana" w:hAnsi="Verdana"/>
          <w:spacing w:val="-3"/>
          <w:sz w:val="20"/>
          <w:lang w:val="es-ES"/>
        </w:rPr>
        <w:t xml:space="preserve"> </w:t>
      </w:r>
      <w:proofErr w:type="spellStart"/>
      <w:r>
        <w:rPr>
          <w:rFonts w:ascii="Verdana" w:hAnsi="Verdana"/>
          <w:spacing w:val="-3"/>
          <w:sz w:val="20"/>
          <w:lang w:val="es-ES"/>
        </w:rPr>
        <w:t>Trindade</w:t>
      </w:r>
      <w:proofErr w:type="spellEnd"/>
    </w:p>
    <w:p w14:paraId="7ADA7827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</w:r>
      <w:r>
        <w:rPr>
          <w:rFonts w:ascii="Verdana" w:hAnsi="Verdana"/>
          <w:spacing w:val="-3"/>
          <w:sz w:val="20"/>
          <w:lang w:val="es-ES"/>
        </w:rPr>
        <w:tab/>
        <w:t xml:space="preserve">   Juez</w:t>
      </w:r>
    </w:p>
    <w:p w14:paraId="2A4071A5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05549BFD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19F0F29C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4B97F8E7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</w:p>
    <w:p w14:paraId="20349288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  <w:lang w:val="es-ES"/>
        </w:rPr>
      </w:pPr>
      <w:r>
        <w:rPr>
          <w:rFonts w:ascii="Verdana" w:hAnsi="Verdana"/>
          <w:spacing w:val="-3"/>
          <w:sz w:val="20"/>
          <w:lang w:val="es-ES"/>
        </w:rPr>
        <w:t>Manuel E. Ventura Robles</w:t>
      </w:r>
    </w:p>
    <w:p w14:paraId="1BE6325E" w14:textId="77777777" w:rsidR="00000000" w:rsidRDefault="009D1196">
      <w:pPr>
        <w:suppressAutoHyphens/>
        <w:spacing w:line="240" w:lineRule="atLeast"/>
        <w:jc w:val="both"/>
        <w:rPr>
          <w:rFonts w:ascii="Verdana" w:hAnsi="Verdana"/>
          <w:spacing w:val="-3"/>
          <w:sz w:val="20"/>
        </w:rPr>
      </w:pPr>
      <w:r>
        <w:rPr>
          <w:rFonts w:ascii="Verdana" w:hAnsi="Verdana"/>
          <w:spacing w:val="-3"/>
          <w:sz w:val="20"/>
          <w:lang w:val="es-ES"/>
        </w:rPr>
        <w:t xml:space="preserve">       </w:t>
      </w:r>
      <w:proofErr w:type="spellStart"/>
      <w:r>
        <w:rPr>
          <w:rFonts w:ascii="Verdana" w:hAnsi="Verdana"/>
          <w:spacing w:val="-3"/>
          <w:sz w:val="20"/>
        </w:rPr>
        <w:t>Secretario</w:t>
      </w:r>
      <w:proofErr w:type="spellEnd"/>
    </w:p>
    <w:p w14:paraId="6926F426" w14:textId="77777777" w:rsidR="009D1196" w:rsidRDefault="009D1196">
      <w:pPr>
        <w:rPr>
          <w:rFonts w:ascii="Verdana" w:hAnsi="Verdana"/>
          <w:sz w:val="20"/>
        </w:rPr>
      </w:pPr>
    </w:p>
    <w:sectPr w:rsidR="009D1196">
      <w:headerReference w:type="even" r:id="rId6"/>
      <w:headerReference w:type="default" r:id="rId7"/>
      <w:pgSz w:w="12240" w:h="15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E27E6" w14:textId="77777777" w:rsidR="009D1196" w:rsidRDefault="009D1196">
      <w:r>
        <w:separator/>
      </w:r>
    </w:p>
  </w:endnote>
  <w:endnote w:type="continuationSeparator" w:id="0">
    <w:p w14:paraId="71168F4E" w14:textId="77777777" w:rsidR="009D1196" w:rsidRDefault="009D1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D09D99" w14:textId="77777777" w:rsidR="009D1196" w:rsidRDefault="009D1196">
      <w:r>
        <w:separator/>
      </w:r>
    </w:p>
  </w:footnote>
  <w:footnote w:type="continuationSeparator" w:id="0">
    <w:p w14:paraId="61CCDDC4" w14:textId="77777777" w:rsidR="009D1196" w:rsidRDefault="009D1196">
      <w:r>
        <w:continuationSeparator/>
      </w:r>
    </w:p>
  </w:footnote>
  <w:footnote w:id="1">
    <w:p w14:paraId="41F68D56" w14:textId="77777777" w:rsidR="00000000" w:rsidRDefault="009D1196">
      <w:pPr>
        <w:pStyle w:val="Textodenotaalpie"/>
        <w:tabs>
          <w:tab w:val="left" w:pos="-720"/>
        </w:tabs>
        <w:suppressAutoHyphens/>
        <w:spacing w:after="240" w:line="240" w:lineRule="atLeast"/>
        <w:jc w:val="both"/>
        <w:rPr>
          <w:rFonts w:ascii="Verdana" w:hAnsi="Verdana"/>
          <w:spacing w:val="-3"/>
          <w:sz w:val="16"/>
          <w:lang w:val="en-US"/>
        </w:rPr>
      </w:pPr>
      <w:r>
        <w:rPr>
          <w:rStyle w:val="Refdenotaalpie"/>
          <w:rFonts w:ascii="Verdana" w:hAnsi="Verdana"/>
          <w:spacing w:val="-3"/>
          <w:sz w:val="16"/>
          <w:vertAlign w:val="baseline"/>
          <w:lang w:val="es-ES"/>
        </w:rPr>
        <w:t>    </w:t>
      </w:r>
      <w:r>
        <w:rPr>
          <w:rStyle w:val="Refdenotaalpie"/>
          <w:rFonts w:ascii="Verdana" w:hAnsi="Verdana"/>
          <w:spacing w:val="-3"/>
          <w:sz w:val="16"/>
        </w:rPr>
        <w:footnoteRef/>
      </w:r>
      <w:r>
        <w:rPr>
          <w:rFonts w:ascii="Verdana" w:hAnsi="Verdana"/>
          <w:spacing w:val="-3"/>
          <w:sz w:val="16"/>
        </w:rPr>
        <w:t>. Valor éste que se encuentra también consagrado en términos semejantes en otros instrumentos interna</w:t>
      </w:r>
      <w:r>
        <w:rPr>
          <w:rFonts w:ascii="Verdana" w:hAnsi="Verdana"/>
          <w:spacing w:val="-3"/>
          <w:sz w:val="16"/>
        </w:rPr>
        <w:t xml:space="preserve">cionales, tales como el Pacto de Derechos Civiles y Políticos de las Naciones Unidas y la Convención Americana sobre Derechos Humanos, y que es "generalmente reconocido como un estándar internacionalmente aceptado"; Corte Europea de Derechos Humanos, caso </w:t>
      </w:r>
      <w:proofErr w:type="spellStart"/>
      <w:r>
        <w:rPr>
          <w:rFonts w:ascii="Verdana" w:hAnsi="Verdana"/>
          <w:i/>
          <w:spacing w:val="-3"/>
          <w:sz w:val="16"/>
        </w:rPr>
        <w:t>Soering</w:t>
      </w:r>
      <w:proofErr w:type="spellEnd"/>
      <w:r>
        <w:rPr>
          <w:rFonts w:ascii="Verdana" w:hAnsi="Verdana"/>
          <w:i/>
          <w:spacing w:val="-3"/>
          <w:sz w:val="16"/>
        </w:rPr>
        <w:t xml:space="preserve"> versus Reino Unido</w:t>
      </w:r>
      <w:r>
        <w:rPr>
          <w:rFonts w:ascii="Verdana" w:hAnsi="Verdana"/>
          <w:spacing w:val="-3"/>
          <w:sz w:val="16"/>
        </w:rPr>
        <w:t xml:space="preserve">, Sentencia del 07.07.1989, p. 26, </w:t>
      </w:r>
      <w:proofErr w:type="spellStart"/>
      <w:r>
        <w:rPr>
          <w:rFonts w:ascii="Verdana" w:hAnsi="Verdana"/>
          <w:spacing w:val="-3"/>
          <w:sz w:val="16"/>
        </w:rPr>
        <w:t>párr.</w:t>
      </w:r>
      <w:proofErr w:type="spellEnd"/>
      <w:r>
        <w:rPr>
          <w:rFonts w:ascii="Verdana" w:hAnsi="Verdana"/>
          <w:spacing w:val="-3"/>
          <w:sz w:val="16"/>
        </w:rPr>
        <w:t xml:space="preserve"> </w:t>
      </w:r>
      <w:r>
        <w:rPr>
          <w:rFonts w:ascii="Verdana" w:hAnsi="Verdana"/>
          <w:spacing w:val="-3"/>
          <w:sz w:val="16"/>
          <w:lang w:val="en-US"/>
        </w:rPr>
        <w:t>88.</w:t>
      </w:r>
    </w:p>
  </w:footnote>
  <w:footnote w:id="2">
    <w:p w14:paraId="2A98FE66" w14:textId="77777777" w:rsidR="00000000" w:rsidRDefault="009D1196">
      <w:pPr>
        <w:pStyle w:val="Textodenotaalpie"/>
        <w:tabs>
          <w:tab w:val="left" w:pos="-720"/>
        </w:tabs>
        <w:suppressAutoHyphens/>
        <w:spacing w:after="240" w:line="240" w:lineRule="atLeast"/>
        <w:jc w:val="both"/>
        <w:rPr>
          <w:rFonts w:ascii="Verdana" w:hAnsi="Verdana"/>
          <w:spacing w:val="-3"/>
          <w:sz w:val="16"/>
          <w:lang w:val="en-US"/>
        </w:rPr>
      </w:pPr>
      <w:r>
        <w:rPr>
          <w:rStyle w:val="Refdenotaalpie"/>
          <w:rFonts w:ascii="Verdana" w:hAnsi="Verdana"/>
          <w:spacing w:val="-3"/>
          <w:sz w:val="16"/>
          <w:vertAlign w:val="baseline"/>
        </w:rPr>
        <w:t>    </w:t>
      </w:r>
      <w:r>
        <w:rPr>
          <w:rStyle w:val="Refdenotaalpie"/>
          <w:rFonts w:ascii="Verdana" w:hAnsi="Verdana"/>
          <w:spacing w:val="-3"/>
          <w:sz w:val="16"/>
        </w:rPr>
        <w:footnoteRef/>
      </w:r>
      <w:r>
        <w:rPr>
          <w:rFonts w:ascii="Verdana" w:hAnsi="Verdana"/>
          <w:spacing w:val="-3"/>
          <w:sz w:val="16"/>
          <w:lang w:val="en-US"/>
        </w:rPr>
        <w:t xml:space="preserve">. A. </w:t>
      </w:r>
      <w:proofErr w:type="spellStart"/>
      <w:r>
        <w:rPr>
          <w:rFonts w:ascii="Verdana" w:hAnsi="Verdana"/>
          <w:spacing w:val="-3"/>
          <w:sz w:val="16"/>
          <w:lang w:val="en-US"/>
        </w:rPr>
        <w:t>Cassese</w:t>
      </w:r>
      <w:proofErr w:type="spellEnd"/>
      <w:r>
        <w:rPr>
          <w:rFonts w:ascii="Verdana" w:hAnsi="Verdana"/>
          <w:spacing w:val="-3"/>
          <w:sz w:val="16"/>
          <w:lang w:val="en-US"/>
        </w:rPr>
        <w:t xml:space="preserve">, </w:t>
      </w:r>
      <w:r>
        <w:rPr>
          <w:rFonts w:ascii="Verdana" w:hAnsi="Verdana"/>
          <w:i/>
          <w:spacing w:val="-3"/>
          <w:sz w:val="16"/>
          <w:lang w:val="en-US"/>
        </w:rPr>
        <w:t>Inhuman States - Imprisonment, Detention and Torture in Europe Today</w:t>
      </w:r>
      <w:r>
        <w:rPr>
          <w:rFonts w:ascii="Verdana" w:hAnsi="Verdana"/>
          <w:spacing w:val="-3"/>
          <w:sz w:val="16"/>
          <w:lang w:val="en-US"/>
        </w:rPr>
        <w:t>, Cambridge, Polity Press, 1996, pp. 59-61.</w:t>
      </w:r>
    </w:p>
  </w:footnote>
  <w:footnote w:id="3">
    <w:p w14:paraId="4A6466F2" w14:textId="77777777" w:rsidR="00000000" w:rsidRDefault="009D1196">
      <w:pPr>
        <w:pStyle w:val="Textodenotaalpie"/>
        <w:tabs>
          <w:tab w:val="left" w:pos="-720"/>
        </w:tabs>
        <w:suppressAutoHyphens/>
        <w:spacing w:after="240" w:line="240" w:lineRule="atLeast"/>
        <w:jc w:val="both"/>
        <w:rPr>
          <w:rFonts w:ascii="Verdana" w:hAnsi="Verdana"/>
          <w:spacing w:val="-3"/>
          <w:sz w:val="16"/>
          <w:lang w:val="en-US"/>
        </w:rPr>
      </w:pPr>
      <w:r>
        <w:rPr>
          <w:rStyle w:val="Refdenotaalpie"/>
          <w:rFonts w:ascii="Verdana" w:hAnsi="Verdana"/>
          <w:spacing w:val="-3"/>
          <w:sz w:val="16"/>
          <w:vertAlign w:val="baseline"/>
        </w:rPr>
        <w:t>    </w:t>
      </w:r>
      <w:r>
        <w:rPr>
          <w:rStyle w:val="Refdenotaalpie"/>
          <w:rFonts w:ascii="Verdana" w:hAnsi="Verdana"/>
          <w:spacing w:val="-3"/>
          <w:sz w:val="16"/>
        </w:rPr>
        <w:footnoteRef/>
      </w:r>
      <w:r>
        <w:rPr>
          <w:rFonts w:ascii="Verdana" w:hAnsi="Verdana"/>
          <w:spacing w:val="-3"/>
          <w:sz w:val="16"/>
          <w:lang w:val="en-US"/>
        </w:rPr>
        <w:t xml:space="preserve">. Cf. M. Nowak e W. </w:t>
      </w:r>
      <w:proofErr w:type="spellStart"/>
      <w:r>
        <w:rPr>
          <w:rFonts w:ascii="Verdana" w:hAnsi="Verdana"/>
          <w:spacing w:val="-3"/>
          <w:sz w:val="16"/>
          <w:lang w:val="en-US"/>
        </w:rPr>
        <w:t>Suntinger</w:t>
      </w:r>
      <w:proofErr w:type="spellEnd"/>
      <w:r>
        <w:rPr>
          <w:rFonts w:ascii="Verdana" w:hAnsi="Verdana"/>
          <w:spacing w:val="-3"/>
          <w:sz w:val="16"/>
          <w:lang w:val="en-US"/>
        </w:rPr>
        <w:t>, "International Mec</w:t>
      </w:r>
      <w:r>
        <w:rPr>
          <w:rFonts w:ascii="Verdana" w:hAnsi="Verdana"/>
          <w:spacing w:val="-3"/>
          <w:sz w:val="16"/>
          <w:lang w:val="en-US"/>
        </w:rPr>
        <w:t xml:space="preserve">hanisms for the Prevention of Torture", </w:t>
      </w:r>
      <w:r>
        <w:rPr>
          <w:rFonts w:ascii="Verdana" w:hAnsi="Verdana"/>
          <w:i/>
          <w:spacing w:val="-3"/>
          <w:sz w:val="16"/>
          <w:lang w:val="en-US"/>
        </w:rPr>
        <w:t>in</w:t>
      </w:r>
      <w:r>
        <w:rPr>
          <w:rFonts w:ascii="Verdana" w:hAnsi="Verdana"/>
          <w:spacing w:val="-3"/>
          <w:sz w:val="16"/>
          <w:lang w:val="en-US"/>
        </w:rPr>
        <w:t xml:space="preserve"> A. </w:t>
      </w:r>
      <w:proofErr w:type="spellStart"/>
      <w:r>
        <w:rPr>
          <w:rFonts w:ascii="Verdana" w:hAnsi="Verdana"/>
          <w:spacing w:val="-3"/>
          <w:sz w:val="16"/>
          <w:lang w:val="en-US"/>
        </w:rPr>
        <w:t>Bloed</w:t>
      </w:r>
      <w:proofErr w:type="spellEnd"/>
      <w:r>
        <w:rPr>
          <w:rFonts w:ascii="Verdana" w:hAnsi="Verdana"/>
          <w:spacing w:val="-3"/>
          <w:sz w:val="16"/>
          <w:lang w:val="en-US"/>
        </w:rPr>
        <w:t xml:space="preserve"> </w:t>
      </w:r>
      <w:r>
        <w:rPr>
          <w:rFonts w:ascii="Verdana" w:hAnsi="Verdana"/>
          <w:i/>
          <w:spacing w:val="-3"/>
          <w:sz w:val="16"/>
          <w:lang w:val="en-US"/>
        </w:rPr>
        <w:t xml:space="preserve">et </w:t>
      </w:r>
      <w:proofErr w:type="spellStart"/>
      <w:r>
        <w:rPr>
          <w:rFonts w:ascii="Verdana" w:hAnsi="Verdana"/>
          <w:i/>
          <w:spacing w:val="-3"/>
          <w:sz w:val="16"/>
          <w:lang w:val="en-US"/>
        </w:rPr>
        <w:t>alii</w:t>
      </w:r>
      <w:proofErr w:type="spellEnd"/>
      <w:r>
        <w:rPr>
          <w:rFonts w:ascii="Verdana" w:hAnsi="Verdana"/>
          <w:spacing w:val="-3"/>
          <w:sz w:val="16"/>
          <w:lang w:val="en-US"/>
        </w:rPr>
        <w:t xml:space="preserve"> (eds.), </w:t>
      </w:r>
      <w:r>
        <w:rPr>
          <w:rFonts w:ascii="Verdana" w:hAnsi="Verdana"/>
          <w:i/>
          <w:spacing w:val="-3"/>
          <w:sz w:val="16"/>
          <w:lang w:val="en-US"/>
        </w:rPr>
        <w:t>Monitoring Human Rights in Europe - Comparing International Procedures and Mechanisms</w:t>
      </w:r>
      <w:r>
        <w:rPr>
          <w:rFonts w:ascii="Verdana" w:hAnsi="Verdana"/>
          <w:spacing w:val="-3"/>
          <w:sz w:val="16"/>
          <w:lang w:val="en-US"/>
        </w:rPr>
        <w:t xml:space="preserve">, </w:t>
      </w:r>
      <w:proofErr w:type="spellStart"/>
      <w:r>
        <w:rPr>
          <w:rFonts w:ascii="Verdana" w:hAnsi="Verdana"/>
          <w:spacing w:val="-3"/>
          <w:sz w:val="16"/>
          <w:lang w:val="en-US"/>
        </w:rPr>
        <w:t>Dordrecht</w:t>
      </w:r>
      <w:proofErr w:type="spellEnd"/>
      <w:r>
        <w:rPr>
          <w:rFonts w:ascii="Verdana" w:hAnsi="Verdana"/>
          <w:spacing w:val="-3"/>
          <w:sz w:val="16"/>
          <w:lang w:val="en-US"/>
        </w:rPr>
        <w:t xml:space="preserve">, </w:t>
      </w:r>
      <w:proofErr w:type="spellStart"/>
      <w:r>
        <w:rPr>
          <w:rFonts w:ascii="Verdana" w:hAnsi="Verdana"/>
          <w:spacing w:val="-3"/>
          <w:sz w:val="16"/>
          <w:lang w:val="en-US"/>
        </w:rPr>
        <w:t>Nijhoff</w:t>
      </w:r>
      <w:proofErr w:type="spellEnd"/>
      <w:r>
        <w:rPr>
          <w:rFonts w:ascii="Verdana" w:hAnsi="Verdana"/>
          <w:spacing w:val="-3"/>
          <w:sz w:val="16"/>
          <w:lang w:val="en-US"/>
        </w:rPr>
        <w:t>, 1993, pp. 145-168.</w:t>
      </w:r>
    </w:p>
  </w:footnote>
  <w:footnote w:id="4">
    <w:p w14:paraId="08CE2E3B" w14:textId="77777777" w:rsidR="00000000" w:rsidRDefault="009D1196">
      <w:pPr>
        <w:pStyle w:val="Textodenotaalpie"/>
        <w:tabs>
          <w:tab w:val="left" w:pos="-720"/>
        </w:tabs>
        <w:suppressAutoHyphens/>
        <w:spacing w:after="240" w:line="240" w:lineRule="atLeast"/>
        <w:jc w:val="both"/>
        <w:rPr>
          <w:rFonts w:ascii="Verdana" w:hAnsi="Verdana"/>
          <w:spacing w:val="-3"/>
          <w:sz w:val="16"/>
          <w:lang w:val="fr-FR"/>
        </w:rPr>
      </w:pPr>
      <w:r>
        <w:rPr>
          <w:rStyle w:val="Refdenotaalpie"/>
          <w:rFonts w:ascii="Verdana" w:hAnsi="Verdana"/>
          <w:spacing w:val="-3"/>
          <w:sz w:val="16"/>
          <w:vertAlign w:val="baseline"/>
          <w:lang w:val="fr-FR"/>
        </w:rPr>
        <w:t>    </w:t>
      </w:r>
      <w:r>
        <w:rPr>
          <w:rStyle w:val="Refdenotaalpie"/>
          <w:rFonts w:ascii="Verdana" w:hAnsi="Verdana"/>
          <w:spacing w:val="-3"/>
          <w:sz w:val="16"/>
        </w:rPr>
        <w:footnoteRef/>
      </w:r>
      <w:r>
        <w:rPr>
          <w:rFonts w:ascii="Verdana" w:hAnsi="Verdana"/>
          <w:spacing w:val="-3"/>
          <w:sz w:val="16"/>
          <w:lang w:val="fr-FR"/>
        </w:rPr>
        <w:t xml:space="preserve">. Cf. F. </w:t>
      </w:r>
      <w:proofErr w:type="spellStart"/>
      <w:r>
        <w:rPr>
          <w:rFonts w:ascii="Verdana" w:hAnsi="Verdana"/>
          <w:spacing w:val="-3"/>
          <w:sz w:val="16"/>
          <w:lang w:val="fr-FR"/>
        </w:rPr>
        <w:t>Dostoievski</w:t>
      </w:r>
      <w:proofErr w:type="spellEnd"/>
      <w:r>
        <w:rPr>
          <w:rFonts w:ascii="Verdana" w:hAnsi="Verdana"/>
          <w:spacing w:val="-3"/>
          <w:sz w:val="16"/>
          <w:lang w:val="fr-FR"/>
        </w:rPr>
        <w:t xml:space="preserve">, </w:t>
      </w:r>
      <w:r>
        <w:rPr>
          <w:rFonts w:ascii="Verdana" w:hAnsi="Verdana"/>
          <w:i/>
          <w:spacing w:val="-3"/>
          <w:sz w:val="16"/>
          <w:lang w:val="fr-FR"/>
        </w:rPr>
        <w:t>Souvenirs de la maison des morts</w:t>
      </w:r>
      <w:r>
        <w:rPr>
          <w:rFonts w:ascii="Verdana" w:hAnsi="Verdana"/>
          <w:spacing w:val="-3"/>
          <w:sz w:val="16"/>
          <w:lang w:val="fr-FR"/>
        </w:rPr>
        <w:t>, P</w:t>
      </w:r>
      <w:r>
        <w:rPr>
          <w:rFonts w:ascii="Verdana" w:hAnsi="Verdana"/>
          <w:spacing w:val="-3"/>
          <w:sz w:val="16"/>
          <w:lang w:val="fr-FR"/>
        </w:rPr>
        <w:t>aris, Gallimard, 1997 (</w:t>
      </w:r>
      <w:proofErr w:type="spellStart"/>
      <w:r>
        <w:rPr>
          <w:rFonts w:ascii="Verdana" w:hAnsi="Verdana"/>
          <w:spacing w:val="-3"/>
          <w:sz w:val="16"/>
          <w:lang w:val="fr-FR"/>
        </w:rPr>
        <w:t>reimpresión</w:t>
      </w:r>
      <w:proofErr w:type="spellEnd"/>
      <w:r>
        <w:rPr>
          <w:rFonts w:ascii="Verdana" w:hAnsi="Verdana"/>
          <w:spacing w:val="-3"/>
          <w:sz w:val="16"/>
          <w:lang w:val="fr-FR"/>
        </w:rPr>
        <w:t xml:space="preserve">), pp. 35-416. </w:t>
      </w:r>
    </w:p>
  </w:footnote>
  <w:footnote w:id="5">
    <w:p w14:paraId="68D03884" w14:textId="77777777" w:rsidR="00000000" w:rsidRDefault="009D1196">
      <w:pPr>
        <w:pStyle w:val="Textodenotaalpie"/>
        <w:tabs>
          <w:tab w:val="left" w:pos="-720"/>
        </w:tabs>
        <w:suppressAutoHyphens/>
        <w:spacing w:after="240" w:line="240" w:lineRule="atLeast"/>
        <w:jc w:val="both"/>
        <w:rPr>
          <w:rFonts w:ascii="Verdana" w:hAnsi="Verdana"/>
          <w:spacing w:val="-3"/>
          <w:sz w:val="16"/>
        </w:rPr>
      </w:pPr>
      <w:r>
        <w:rPr>
          <w:rStyle w:val="Refdenotaalpie"/>
          <w:rFonts w:ascii="Verdana" w:hAnsi="Verdana"/>
          <w:spacing w:val="-3"/>
          <w:sz w:val="16"/>
          <w:vertAlign w:val="baseline"/>
          <w:lang w:val="es-ES"/>
        </w:rPr>
        <w:t>    </w:t>
      </w:r>
      <w:r>
        <w:rPr>
          <w:rStyle w:val="Refdenotaalpie"/>
          <w:rFonts w:ascii="Verdana" w:hAnsi="Verdana"/>
          <w:spacing w:val="-3"/>
          <w:sz w:val="16"/>
        </w:rPr>
        <w:footnoteRef/>
      </w:r>
      <w:r>
        <w:rPr>
          <w:rFonts w:ascii="Verdana" w:hAnsi="Verdana"/>
          <w:spacing w:val="-3"/>
          <w:sz w:val="16"/>
        </w:rPr>
        <w:t xml:space="preserve">. </w:t>
      </w:r>
      <w:proofErr w:type="spellStart"/>
      <w:r>
        <w:rPr>
          <w:rFonts w:ascii="Verdana" w:hAnsi="Verdana"/>
          <w:spacing w:val="-3"/>
          <w:sz w:val="16"/>
        </w:rPr>
        <w:t>A.A</w:t>
      </w:r>
      <w:proofErr w:type="spellEnd"/>
      <w:r>
        <w:rPr>
          <w:rFonts w:ascii="Verdana" w:hAnsi="Verdana"/>
          <w:spacing w:val="-3"/>
          <w:sz w:val="16"/>
        </w:rPr>
        <w:t xml:space="preserve">. </w:t>
      </w:r>
      <w:proofErr w:type="spellStart"/>
      <w:r>
        <w:rPr>
          <w:rFonts w:ascii="Verdana" w:hAnsi="Verdana"/>
          <w:spacing w:val="-3"/>
          <w:sz w:val="16"/>
        </w:rPr>
        <w:t>Cançado</w:t>
      </w:r>
      <w:proofErr w:type="spellEnd"/>
      <w:r>
        <w:rPr>
          <w:rFonts w:ascii="Verdana" w:hAnsi="Verdana"/>
          <w:spacing w:val="-3"/>
          <w:sz w:val="16"/>
        </w:rPr>
        <w:t xml:space="preserve"> </w:t>
      </w:r>
      <w:proofErr w:type="spellStart"/>
      <w:r>
        <w:rPr>
          <w:rFonts w:ascii="Verdana" w:hAnsi="Verdana"/>
          <w:spacing w:val="-3"/>
          <w:sz w:val="16"/>
        </w:rPr>
        <w:t>Trindade</w:t>
      </w:r>
      <w:proofErr w:type="spellEnd"/>
      <w:r>
        <w:rPr>
          <w:rFonts w:ascii="Verdana" w:hAnsi="Verdana"/>
          <w:spacing w:val="-3"/>
          <w:sz w:val="16"/>
        </w:rPr>
        <w:t xml:space="preserve">, </w:t>
      </w:r>
      <w:r>
        <w:rPr>
          <w:rFonts w:ascii="Verdana" w:hAnsi="Verdana"/>
          <w:i/>
          <w:spacing w:val="-3"/>
          <w:sz w:val="16"/>
        </w:rPr>
        <w:t xml:space="preserve">Tratado de </w:t>
      </w:r>
      <w:proofErr w:type="spellStart"/>
      <w:r>
        <w:rPr>
          <w:rFonts w:ascii="Verdana" w:hAnsi="Verdana"/>
          <w:i/>
          <w:spacing w:val="-3"/>
          <w:sz w:val="16"/>
        </w:rPr>
        <w:t>Direito</w:t>
      </w:r>
      <w:proofErr w:type="spellEnd"/>
      <w:r>
        <w:rPr>
          <w:rFonts w:ascii="Verdana" w:hAnsi="Verdana"/>
          <w:i/>
          <w:spacing w:val="-3"/>
          <w:sz w:val="16"/>
        </w:rPr>
        <w:t xml:space="preserve"> Internacional dos </w:t>
      </w:r>
      <w:proofErr w:type="spellStart"/>
      <w:r>
        <w:rPr>
          <w:rFonts w:ascii="Verdana" w:hAnsi="Verdana"/>
          <w:i/>
          <w:spacing w:val="-3"/>
          <w:sz w:val="16"/>
        </w:rPr>
        <w:t>Direitos</w:t>
      </w:r>
      <w:proofErr w:type="spellEnd"/>
      <w:r>
        <w:rPr>
          <w:rFonts w:ascii="Verdana" w:hAnsi="Verdana"/>
          <w:i/>
          <w:spacing w:val="-3"/>
          <w:sz w:val="16"/>
        </w:rPr>
        <w:t xml:space="preserve"> Humanos</w:t>
      </w:r>
      <w:r>
        <w:rPr>
          <w:rFonts w:ascii="Verdana" w:hAnsi="Verdana"/>
          <w:spacing w:val="-3"/>
          <w:sz w:val="16"/>
        </w:rPr>
        <w:t xml:space="preserve">, tomo II, Porto </w:t>
      </w:r>
      <w:proofErr w:type="spellStart"/>
      <w:r>
        <w:rPr>
          <w:rFonts w:ascii="Verdana" w:hAnsi="Verdana"/>
          <w:spacing w:val="-3"/>
          <w:sz w:val="16"/>
        </w:rPr>
        <w:t>Alegre/Brasil</w:t>
      </w:r>
      <w:proofErr w:type="spellEnd"/>
      <w:r>
        <w:rPr>
          <w:rFonts w:ascii="Verdana" w:hAnsi="Verdana"/>
          <w:spacing w:val="-3"/>
          <w:sz w:val="16"/>
        </w:rPr>
        <w:t xml:space="preserve">, S.A. </w:t>
      </w:r>
      <w:proofErr w:type="spellStart"/>
      <w:r>
        <w:rPr>
          <w:rFonts w:ascii="Verdana" w:hAnsi="Verdana"/>
          <w:spacing w:val="-3"/>
          <w:sz w:val="16"/>
        </w:rPr>
        <w:t>Fabris</w:t>
      </w:r>
      <w:proofErr w:type="spellEnd"/>
      <w:r>
        <w:rPr>
          <w:rFonts w:ascii="Verdana" w:hAnsi="Verdana"/>
          <w:spacing w:val="-3"/>
          <w:sz w:val="16"/>
        </w:rPr>
        <w:t xml:space="preserve"> </w:t>
      </w:r>
      <w:proofErr w:type="spellStart"/>
      <w:r>
        <w:rPr>
          <w:rFonts w:ascii="Verdana" w:hAnsi="Verdana"/>
          <w:spacing w:val="-3"/>
          <w:sz w:val="16"/>
        </w:rPr>
        <w:t>Ed</w:t>
      </w:r>
      <w:proofErr w:type="spellEnd"/>
      <w:r>
        <w:rPr>
          <w:rFonts w:ascii="Verdana" w:hAnsi="Verdana"/>
          <w:spacing w:val="-3"/>
          <w:sz w:val="16"/>
        </w:rPr>
        <w:t>., 1999, pp. 37-38.</w:t>
      </w:r>
    </w:p>
  </w:footnote>
  <w:footnote w:id="6">
    <w:p w14:paraId="17150ACE" w14:textId="77777777" w:rsidR="00000000" w:rsidRDefault="009D1196">
      <w:pPr>
        <w:pStyle w:val="Textodenotaalpie"/>
        <w:tabs>
          <w:tab w:val="left" w:pos="-720"/>
        </w:tabs>
        <w:suppressAutoHyphens/>
        <w:spacing w:line="240" w:lineRule="atLeast"/>
        <w:jc w:val="both"/>
        <w:rPr>
          <w:rFonts w:ascii="Verdana" w:hAnsi="Verdana"/>
          <w:spacing w:val="-3"/>
          <w:sz w:val="16"/>
          <w:lang w:val="en-US"/>
        </w:rPr>
      </w:pPr>
      <w:r>
        <w:rPr>
          <w:rStyle w:val="Refdenotaalpie"/>
          <w:rFonts w:ascii="Verdana" w:hAnsi="Verdana"/>
          <w:spacing w:val="-3"/>
          <w:sz w:val="16"/>
          <w:vertAlign w:val="baseline"/>
        </w:rPr>
        <w:t>    </w:t>
      </w:r>
      <w:r>
        <w:rPr>
          <w:rStyle w:val="Refdenotaalpie"/>
          <w:rFonts w:ascii="Verdana" w:hAnsi="Verdana"/>
          <w:spacing w:val="-3"/>
          <w:sz w:val="16"/>
        </w:rPr>
        <w:footnoteRef/>
      </w:r>
      <w:r>
        <w:rPr>
          <w:rFonts w:ascii="Verdana" w:hAnsi="Verdana"/>
          <w:spacing w:val="-3"/>
          <w:sz w:val="16"/>
          <w:lang w:val="en-US"/>
        </w:rPr>
        <w:t xml:space="preserve">. Cf., </w:t>
      </w:r>
      <w:proofErr w:type="spellStart"/>
      <w:r>
        <w:rPr>
          <w:rFonts w:ascii="Verdana" w:hAnsi="Verdana"/>
          <w:spacing w:val="-3"/>
          <w:sz w:val="16"/>
          <w:lang w:val="en-US"/>
        </w:rPr>
        <w:t>v.g</w:t>
      </w:r>
      <w:proofErr w:type="spellEnd"/>
      <w:r>
        <w:rPr>
          <w:rFonts w:ascii="Verdana" w:hAnsi="Verdana"/>
          <w:spacing w:val="-3"/>
          <w:sz w:val="16"/>
          <w:lang w:val="en-US"/>
        </w:rPr>
        <w:t xml:space="preserve">., en general, N.S. </w:t>
      </w:r>
      <w:proofErr w:type="spellStart"/>
      <w:r>
        <w:rPr>
          <w:rFonts w:ascii="Verdana" w:hAnsi="Verdana"/>
          <w:spacing w:val="-3"/>
          <w:sz w:val="16"/>
          <w:lang w:val="en-US"/>
        </w:rPr>
        <w:t>Rodley</w:t>
      </w:r>
      <w:proofErr w:type="spellEnd"/>
      <w:r>
        <w:rPr>
          <w:rFonts w:ascii="Verdana" w:hAnsi="Verdana"/>
          <w:spacing w:val="-3"/>
          <w:sz w:val="16"/>
          <w:lang w:val="en-US"/>
        </w:rPr>
        <w:t xml:space="preserve">, </w:t>
      </w:r>
      <w:r>
        <w:rPr>
          <w:rFonts w:ascii="Verdana" w:hAnsi="Verdana"/>
          <w:i/>
          <w:spacing w:val="-3"/>
          <w:sz w:val="16"/>
          <w:lang w:val="en-US"/>
        </w:rPr>
        <w:t xml:space="preserve">The Treatment </w:t>
      </w:r>
      <w:r>
        <w:rPr>
          <w:rFonts w:ascii="Verdana" w:hAnsi="Verdana"/>
          <w:i/>
          <w:spacing w:val="-3"/>
          <w:sz w:val="16"/>
          <w:lang w:val="en-US"/>
        </w:rPr>
        <w:t>of Prisoners under International Law</w:t>
      </w:r>
      <w:r>
        <w:rPr>
          <w:rFonts w:ascii="Verdana" w:hAnsi="Verdana"/>
          <w:spacing w:val="-3"/>
          <w:sz w:val="16"/>
          <w:lang w:val="en-US"/>
        </w:rPr>
        <w:t xml:space="preserve">, Oxford, Clarendon Press, 1987, pp. 1-374; y cf. J. Donnelly, "The Emerging International Regime against Torture", 33 </w:t>
      </w:r>
      <w:r>
        <w:rPr>
          <w:rFonts w:ascii="Verdana" w:hAnsi="Verdana"/>
          <w:i/>
          <w:spacing w:val="-3"/>
          <w:sz w:val="16"/>
          <w:lang w:val="en-US"/>
        </w:rPr>
        <w:t>Netherlands International Law Review</w:t>
      </w:r>
      <w:r>
        <w:rPr>
          <w:rFonts w:ascii="Verdana" w:hAnsi="Verdana"/>
          <w:spacing w:val="-3"/>
          <w:sz w:val="16"/>
          <w:lang w:val="en-US"/>
        </w:rPr>
        <w:t xml:space="preserve"> (1986) pp. 1-23.  </w:t>
      </w:r>
    </w:p>
    <w:p w14:paraId="1D4C3510" w14:textId="77777777" w:rsidR="00000000" w:rsidRDefault="009D1196">
      <w:pPr>
        <w:pStyle w:val="Textodenotaalpie"/>
        <w:tabs>
          <w:tab w:val="left" w:pos="-720"/>
        </w:tabs>
        <w:suppressAutoHyphens/>
        <w:spacing w:after="240" w:line="240" w:lineRule="atLeast"/>
        <w:jc w:val="both"/>
        <w:rPr>
          <w:rFonts w:ascii="Verdana" w:hAnsi="Verdana"/>
          <w:spacing w:val="-3"/>
          <w:sz w:val="16"/>
          <w:lang w:val="en-US"/>
        </w:rPr>
      </w:pPr>
    </w:p>
  </w:footnote>
  <w:footnote w:id="7">
    <w:p w14:paraId="0F9C7172" w14:textId="77777777" w:rsidR="00000000" w:rsidRDefault="009D1196">
      <w:pPr>
        <w:pStyle w:val="Textodenotaalpie"/>
        <w:tabs>
          <w:tab w:val="left" w:pos="-720"/>
        </w:tabs>
        <w:suppressAutoHyphens/>
        <w:spacing w:after="240" w:line="240" w:lineRule="atLeast"/>
        <w:jc w:val="both"/>
        <w:rPr>
          <w:rFonts w:ascii="Verdana" w:hAnsi="Verdana"/>
          <w:spacing w:val="-3"/>
          <w:sz w:val="16"/>
          <w:lang w:val="fr-FR"/>
        </w:rPr>
      </w:pPr>
      <w:r>
        <w:rPr>
          <w:rStyle w:val="Refdenotaalpie"/>
          <w:rFonts w:ascii="Verdana" w:hAnsi="Verdana"/>
          <w:spacing w:val="-3"/>
          <w:sz w:val="16"/>
          <w:vertAlign w:val="baseline"/>
          <w:lang w:val="fr-FR"/>
        </w:rPr>
        <w:t>    </w:t>
      </w:r>
      <w:r>
        <w:rPr>
          <w:rStyle w:val="Refdenotaalpie"/>
          <w:rFonts w:ascii="Verdana" w:hAnsi="Verdana"/>
          <w:spacing w:val="-3"/>
          <w:sz w:val="16"/>
        </w:rPr>
        <w:footnoteRef/>
      </w:r>
      <w:r>
        <w:rPr>
          <w:rFonts w:ascii="Verdana" w:hAnsi="Verdana"/>
          <w:spacing w:val="-3"/>
          <w:sz w:val="16"/>
          <w:lang w:val="fr-FR"/>
        </w:rPr>
        <w:t xml:space="preserve">. Cf. </w:t>
      </w:r>
      <w:proofErr w:type="spellStart"/>
      <w:r>
        <w:rPr>
          <w:rFonts w:ascii="Verdana" w:hAnsi="Verdana"/>
          <w:spacing w:val="-3"/>
          <w:sz w:val="16"/>
          <w:lang w:val="fr-FR"/>
        </w:rPr>
        <w:t>Council</w:t>
      </w:r>
      <w:proofErr w:type="spellEnd"/>
      <w:r>
        <w:rPr>
          <w:rFonts w:ascii="Verdana" w:hAnsi="Verdana"/>
          <w:spacing w:val="-3"/>
          <w:sz w:val="16"/>
          <w:lang w:val="fr-FR"/>
        </w:rPr>
        <w:t xml:space="preserve"> of Europe, </w:t>
      </w:r>
      <w:proofErr w:type="spellStart"/>
      <w:r>
        <w:rPr>
          <w:rFonts w:ascii="Verdana" w:hAnsi="Verdana"/>
          <w:i/>
          <w:spacing w:val="-3"/>
          <w:sz w:val="16"/>
          <w:lang w:val="fr-FR"/>
        </w:rPr>
        <w:t>Explanatory</w:t>
      </w:r>
      <w:proofErr w:type="spellEnd"/>
      <w:r>
        <w:rPr>
          <w:rFonts w:ascii="Verdana" w:hAnsi="Verdana"/>
          <w:i/>
          <w:spacing w:val="-3"/>
          <w:sz w:val="16"/>
          <w:lang w:val="fr-FR"/>
        </w:rPr>
        <w:t xml:space="preserve"> Re</w:t>
      </w:r>
      <w:r>
        <w:rPr>
          <w:rFonts w:ascii="Verdana" w:hAnsi="Verdana"/>
          <w:i/>
          <w:spacing w:val="-3"/>
          <w:sz w:val="16"/>
          <w:lang w:val="fr-FR"/>
        </w:rPr>
        <w:t xml:space="preserve">port of </w:t>
      </w:r>
      <w:proofErr w:type="spellStart"/>
      <w:r>
        <w:rPr>
          <w:rFonts w:ascii="Verdana" w:hAnsi="Verdana"/>
          <w:i/>
          <w:spacing w:val="-3"/>
          <w:sz w:val="16"/>
          <w:lang w:val="fr-FR"/>
        </w:rPr>
        <w:t>the</w:t>
      </w:r>
      <w:proofErr w:type="spellEnd"/>
      <w:r>
        <w:rPr>
          <w:rFonts w:ascii="Verdana" w:hAnsi="Verdana"/>
          <w:i/>
          <w:spacing w:val="-3"/>
          <w:sz w:val="16"/>
          <w:lang w:val="fr-FR"/>
        </w:rPr>
        <w:t xml:space="preserve"> </w:t>
      </w:r>
      <w:proofErr w:type="spellStart"/>
      <w:r>
        <w:rPr>
          <w:rFonts w:ascii="Verdana" w:hAnsi="Verdana"/>
          <w:i/>
          <w:spacing w:val="-3"/>
          <w:sz w:val="16"/>
          <w:lang w:val="fr-FR"/>
        </w:rPr>
        <w:t>European</w:t>
      </w:r>
      <w:proofErr w:type="spellEnd"/>
      <w:r>
        <w:rPr>
          <w:rFonts w:ascii="Verdana" w:hAnsi="Verdana"/>
          <w:i/>
          <w:spacing w:val="-3"/>
          <w:sz w:val="16"/>
          <w:lang w:val="fr-FR"/>
        </w:rPr>
        <w:t xml:space="preserve"> Convention for </w:t>
      </w:r>
      <w:proofErr w:type="spellStart"/>
      <w:r>
        <w:rPr>
          <w:rFonts w:ascii="Verdana" w:hAnsi="Verdana"/>
          <w:i/>
          <w:spacing w:val="-3"/>
          <w:sz w:val="16"/>
          <w:lang w:val="fr-FR"/>
        </w:rPr>
        <w:t>the</w:t>
      </w:r>
      <w:proofErr w:type="spellEnd"/>
      <w:r>
        <w:rPr>
          <w:rFonts w:ascii="Verdana" w:hAnsi="Verdana"/>
          <w:i/>
          <w:spacing w:val="-3"/>
          <w:sz w:val="16"/>
          <w:lang w:val="fr-FR"/>
        </w:rPr>
        <w:t xml:space="preserve"> </w:t>
      </w:r>
      <w:proofErr w:type="spellStart"/>
      <w:r>
        <w:rPr>
          <w:rFonts w:ascii="Verdana" w:hAnsi="Verdana"/>
          <w:i/>
          <w:spacing w:val="-3"/>
          <w:sz w:val="16"/>
          <w:lang w:val="fr-FR"/>
        </w:rPr>
        <w:t>Prevention</w:t>
      </w:r>
      <w:proofErr w:type="spellEnd"/>
      <w:r>
        <w:rPr>
          <w:rFonts w:ascii="Verdana" w:hAnsi="Verdana"/>
          <w:i/>
          <w:spacing w:val="-3"/>
          <w:sz w:val="16"/>
          <w:lang w:val="fr-FR"/>
        </w:rPr>
        <w:t xml:space="preserve"> of Torture </w:t>
      </w:r>
      <w:proofErr w:type="spellStart"/>
      <w:r>
        <w:rPr>
          <w:rFonts w:ascii="Verdana" w:hAnsi="Verdana"/>
          <w:i/>
          <w:spacing w:val="-3"/>
          <w:sz w:val="16"/>
          <w:lang w:val="fr-FR"/>
        </w:rPr>
        <w:t>and</w:t>
      </w:r>
      <w:proofErr w:type="spellEnd"/>
      <w:r>
        <w:rPr>
          <w:rFonts w:ascii="Verdana" w:hAnsi="Verdana"/>
          <w:i/>
          <w:spacing w:val="-3"/>
          <w:sz w:val="16"/>
          <w:lang w:val="fr-FR"/>
        </w:rPr>
        <w:t xml:space="preserve"> </w:t>
      </w:r>
      <w:proofErr w:type="spellStart"/>
      <w:r>
        <w:rPr>
          <w:rFonts w:ascii="Verdana" w:hAnsi="Verdana"/>
          <w:i/>
          <w:spacing w:val="-3"/>
          <w:sz w:val="16"/>
          <w:lang w:val="fr-FR"/>
        </w:rPr>
        <w:t>Inhuman</w:t>
      </w:r>
      <w:proofErr w:type="spellEnd"/>
      <w:r>
        <w:rPr>
          <w:rFonts w:ascii="Verdana" w:hAnsi="Verdana"/>
          <w:i/>
          <w:spacing w:val="-3"/>
          <w:sz w:val="16"/>
          <w:lang w:val="fr-FR"/>
        </w:rPr>
        <w:t xml:space="preserve"> or </w:t>
      </w:r>
      <w:proofErr w:type="spellStart"/>
      <w:r>
        <w:rPr>
          <w:rFonts w:ascii="Verdana" w:hAnsi="Verdana"/>
          <w:i/>
          <w:spacing w:val="-3"/>
          <w:sz w:val="16"/>
          <w:lang w:val="fr-FR"/>
        </w:rPr>
        <w:t>Degrading</w:t>
      </w:r>
      <w:proofErr w:type="spellEnd"/>
      <w:r>
        <w:rPr>
          <w:rFonts w:ascii="Verdana" w:hAnsi="Verdana"/>
          <w:i/>
          <w:spacing w:val="-3"/>
          <w:sz w:val="16"/>
          <w:lang w:val="fr-FR"/>
        </w:rPr>
        <w:t xml:space="preserve"> </w:t>
      </w:r>
      <w:proofErr w:type="spellStart"/>
      <w:r>
        <w:rPr>
          <w:rFonts w:ascii="Verdana" w:hAnsi="Verdana"/>
          <w:i/>
          <w:spacing w:val="-3"/>
          <w:sz w:val="16"/>
          <w:lang w:val="fr-FR"/>
        </w:rPr>
        <w:t>Treatment</w:t>
      </w:r>
      <w:proofErr w:type="spellEnd"/>
      <w:r>
        <w:rPr>
          <w:rFonts w:ascii="Verdana" w:hAnsi="Verdana"/>
          <w:i/>
          <w:spacing w:val="-3"/>
          <w:sz w:val="16"/>
          <w:lang w:val="fr-FR"/>
        </w:rPr>
        <w:t xml:space="preserve"> or </w:t>
      </w:r>
      <w:proofErr w:type="spellStart"/>
      <w:r>
        <w:rPr>
          <w:rFonts w:ascii="Verdana" w:hAnsi="Verdana"/>
          <w:i/>
          <w:spacing w:val="-3"/>
          <w:sz w:val="16"/>
          <w:lang w:val="fr-FR"/>
        </w:rPr>
        <w:t>Punishment</w:t>
      </w:r>
      <w:proofErr w:type="spellEnd"/>
      <w:r>
        <w:rPr>
          <w:rFonts w:ascii="Verdana" w:hAnsi="Verdana"/>
          <w:spacing w:val="-3"/>
          <w:sz w:val="16"/>
          <w:lang w:val="fr-FR"/>
        </w:rPr>
        <w:t xml:space="preserve">, Strasbourg, C.E., 1989, pp. 5-23, </w:t>
      </w:r>
      <w:proofErr w:type="spellStart"/>
      <w:r>
        <w:rPr>
          <w:rFonts w:ascii="Verdana" w:hAnsi="Verdana"/>
          <w:spacing w:val="-3"/>
          <w:sz w:val="16"/>
          <w:lang w:val="fr-FR"/>
        </w:rPr>
        <w:t>esp</w:t>
      </w:r>
      <w:proofErr w:type="spellEnd"/>
      <w:r>
        <w:rPr>
          <w:rFonts w:ascii="Verdana" w:hAnsi="Verdana"/>
          <w:spacing w:val="-3"/>
          <w:sz w:val="16"/>
          <w:lang w:val="fr-FR"/>
        </w:rPr>
        <w:t>. pp. 10-11 y 21; D. Rouget, "La Convention Européenne pour la Prévention de la Torture et des Peines ou Tr</w:t>
      </w:r>
      <w:r>
        <w:rPr>
          <w:rFonts w:ascii="Verdana" w:hAnsi="Verdana"/>
          <w:spacing w:val="-3"/>
          <w:sz w:val="16"/>
          <w:lang w:val="fr-FR"/>
        </w:rPr>
        <w:t xml:space="preserve">aitements Inhumains ou Dégradants - Un outil essentiel de promotion de la dignité des personnes privées de liberté", 2 </w:t>
      </w:r>
      <w:r>
        <w:rPr>
          <w:rFonts w:ascii="Verdana" w:hAnsi="Verdana"/>
          <w:i/>
          <w:spacing w:val="-3"/>
          <w:sz w:val="16"/>
          <w:lang w:val="fr-FR"/>
        </w:rPr>
        <w:t>Cahiers de l'Institut des Droits de l'Homme - De la prévention des traitements inhumains et dégradants en France</w:t>
      </w:r>
      <w:r>
        <w:rPr>
          <w:rFonts w:ascii="Verdana" w:hAnsi="Verdana"/>
          <w:spacing w:val="-3"/>
          <w:sz w:val="16"/>
          <w:lang w:val="fr-FR"/>
        </w:rPr>
        <w:t xml:space="preserve"> - Lyon (1996) pp. 17-31;</w:t>
      </w:r>
      <w:r>
        <w:rPr>
          <w:rFonts w:ascii="Verdana" w:hAnsi="Verdana"/>
          <w:spacing w:val="-3"/>
          <w:sz w:val="16"/>
          <w:lang w:val="fr-FR"/>
        </w:rPr>
        <w:t xml:space="preserve"> Comité Européen pour la Prévention de la Torture et des Peines ou Traitements Inhumains ou Dégradants, </w:t>
      </w:r>
      <w:r>
        <w:rPr>
          <w:rFonts w:ascii="Verdana" w:hAnsi="Verdana"/>
          <w:i/>
          <w:spacing w:val="-3"/>
          <w:sz w:val="16"/>
          <w:lang w:val="fr-FR"/>
        </w:rPr>
        <w:t>Contexte historique et principales caractéristiques de la Convention</w:t>
      </w:r>
      <w:r>
        <w:rPr>
          <w:rFonts w:ascii="Verdana" w:hAnsi="Verdana"/>
          <w:spacing w:val="-3"/>
          <w:sz w:val="16"/>
          <w:lang w:val="fr-FR"/>
        </w:rPr>
        <w:t xml:space="preserve">, Strasbourg, Conseil de l'Europe, [1991], pp. 1-4. </w:t>
      </w:r>
    </w:p>
  </w:footnote>
  <w:footnote w:id="8">
    <w:p w14:paraId="7FB8D297" w14:textId="77777777" w:rsidR="00000000" w:rsidRDefault="009D1196">
      <w:pPr>
        <w:pStyle w:val="Textodenotaalpie"/>
        <w:tabs>
          <w:tab w:val="left" w:pos="-720"/>
        </w:tabs>
        <w:suppressAutoHyphens/>
        <w:spacing w:after="240" w:line="240" w:lineRule="atLeast"/>
        <w:jc w:val="both"/>
        <w:rPr>
          <w:rFonts w:ascii="Verdana" w:hAnsi="Verdana"/>
          <w:spacing w:val="-3"/>
          <w:sz w:val="16"/>
          <w:lang w:val="en-US"/>
        </w:rPr>
      </w:pPr>
      <w:r>
        <w:rPr>
          <w:rStyle w:val="Refdenotaalpie"/>
          <w:rFonts w:ascii="Verdana" w:hAnsi="Verdana"/>
          <w:spacing w:val="-3"/>
          <w:sz w:val="16"/>
          <w:vertAlign w:val="baseline"/>
          <w:lang w:val="fr-FR"/>
        </w:rPr>
        <w:t>    </w:t>
      </w:r>
      <w:r>
        <w:rPr>
          <w:rStyle w:val="Refdenotaalpie"/>
          <w:rFonts w:ascii="Verdana" w:hAnsi="Verdana"/>
          <w:spacing w:val="-3"/>
          <w:sz w:val="16"/>
        </w:rPr>
        <w:footnoteRef/>
      </w:r>
      <w:r>
        <w:rPr>
          <w:rFonts w:ascii="Verdana" w:hAnsi="Verdana"/>
          <w:spacing w:val="-3"/>
          <w:sz w:val="16"/>
          <w:lang w:val="en-US"/>
        </w:rPr>
        <w:t xml:space="preserve">. A. </w:t>
      </w:r>
      <w:proofErr w:type="spellStart"/>
      <w:r>
        <w:rPr>
          <w:rFonts w:ascii="Verdana" w:hAnsi="Verdana"/>
          <w:spacing w:val="-3"/>
          <w:sz w:val="16"/>
          <w:lang w:val="en-US"/>
        </w:rPr>
        <w:t>Cassese</w:t>
      </w:r>
      <w:proofErr w:type="spellEnd"/>
      <w:r>
        <w:rPr>
          <w:rFonts w:ascii="Verdana" w:hAnsi="Verdana"/>
          <w:spacing w:val="-3"/>
          <w:sz w:val="16"/>
          <w:lang w:val="en-US"/>
        </w:rPr>
        <w:t xml:space="preserve">, </w:t>
      </w:r>
      <w:r>
        <w:rPr>
          <w:rFonts w:ascii="Verdana" w:hAnsi="Verdana"/>
          <w:i/>
          <w:spacing w:val="-3"/>
          <w:sz w:val="16"/>
          <w:lang w:val="en-US"/>
        </w:rPr>
        <w:t>op. cit. sup</w:t>
      </w:r>
      <w:r>
        <w:rPr>
          <w:rFonts w:ascii="Verdana" w:hAnsi="Verdana"/>
          <w:i/>
          <w:spacing w:val="-3"/>
          <w:sz w:val="16"/>
          <w:lang w:val="en-US"/>
        </w:rPr>
        <w:t>ra</w:t>
      </w:r>
      <w:r>
        <w:rPr>
          <w:rFonts w:ascii="Verdana" w:hAnsi="Verdana"/>
          <w:spacing w:val="-3"/>
          <w:sz w:val="16"/>
          <w:lang w:val="en-US"/>
        </w:rPr>
        <w:t xml:space="preserve"> n. (2), pp. 1 y 131-133.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EFD7C" w14:textId="77777777" w:rsidR="00000000" w:rsidRDefault="009D1196">
    <w:pPr>
      <w:pStyle w:val="Encabezad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0EF819F" w14:textId="77777777" w:rsidR="00000000" w:rsidRDefault="009D1196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48A33" w14:textId="77777777" w:rsidR="00000000" w:rsidRDefault="009D1196">
    <w:pPr>
      <w:pStyle w:val="Encabezado"/>
      <w:framePr w:wrap="around" w:vAnchor="text" w:hAnchor="margin" w:xAlign="center" w:y="1"/>
      <w:rPr>
        <w:rStyle w:val="Nmerodepgina"/>
        <w:rFonts w:ascii="Verdana" w:hAnsi="Verdana"/>
        <w:sz w:val="20"/>
      </w:rPr>
    </w:pPr>
    <w:r>
      <w:rPr>
        <w:rStyle w:val="Nmerodepgina"/>
        <w:rFonts w:ascii="Verdana" w:hAnsi="Verdana"/>
        <w:sz w:val="20"/>
      </w:rPr>
      <w:fldChar w:fldCharType="begin"/>
    </w:r>
    <w:r>
      <w:rPr>
        <w:rStyle w:val="Nmerodepgina"/>
        <w:rFonts w:ascii="Verdana" w:hAnsi="Verdana"/>
        <w:sz w:val="20"/>
      </w:rPr>
      <w:instrText xml:space="preserve">PAGE  </w:instrText>
    </w:r>
    <w:r>
      <w:rPr>
        <w:rStyle w:val="Nmerodepgina"/>
        <w:rFonts w:ascii="Verdana" w:hAnsi="Verdana"/>
        <w:sz w:val="20"/>
      </w:rPr>
      <w:fldChar w:fldCharType="separate"/>
    </w:r>
    <w:r>
      <w:rPr>
        <w:rStyle w:val="Nmerodepgina"/>
        <w:rFonts w:ascii="Verdana" w:hAnsi="Verdana"/>
        <w:noProof/>
        <w:sz w:val="20"/>
      </w:rPr>
      <w:t>2</w:t>
    </w:r>
    <w:r>
      <w:rPr>
        <w:rStyle w:val="Nmerodepgina"/>
        <w:rFonts w:ascii="Verdana" w:hAnsi="Verdana"/>
        <w:sz w:val="20"/>
      </w:rPr>
      <w:fldChar w:fldCharType="end"/>
    </w:r>
  </w:p>
  <w:p w14:paraId="58A6CBF9" w14:textId="77777777" w:rsidR="00000000" w:rsidRDefault="009D1196">
    <w:pPr>
      <w:pStyle w:val="Encabezad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8B"/>
    <w:rsid w:val="009D1196"/>
    <w:rsid w:val="00D6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77FF3"/>
  <w15:chartTrackingRefBased/>
  <w15:docId w15:val="{9AE757CE-371C-4864-B0C8-722158D6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U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Nmerodepgina">
    <w:name w:val="page number"/>
    <w:basedOn w:val="Fuentedeprrafopredeter"/>
    <w:semiHidden/>
  </w:style>
  <w:style w:type="paragraph" w:customStyle="1" w:styleId="Textodenotaalpie">
    <w:name w:val="Texto de nota al pie"/>
    <w:basedOn w:val="Normal"/>
    <w:pPr>
      <w:widowControl w:val="0"/>
      <w:autoSpaceDE w:val="0"/>
      <w:autoSpaceDN w:val="0"/>
      <w:adjustRightInd w:val="0"/>
    </w:pPr>
    <w:rPr>
      <w:rFonts w:ascii="Courier New" w:eastAsia="Times New Roman" w:hAnsi="Courier New"/>
      <w:sz w:val="20"/>
      <w:lang w:val="es-ES"/>
    </w:rPr>
  </w:style>
  <w:style w:type="character" w:styleId="Refdenotaalpie">
    <w:name w:val="footnote reference"/>
    <w:basedOn w:val="Fuentedeprrafopredeter"/>
    <w:semiHidden/>
    <w:rPr>
      <w:rFonts w:ascii="Times New Roman" w:hAnsi="Times New Roman"/>
      <w:noProof w:val="0"/>
      <w:sz w:val="24"/>
      <w:vertAlign w:val="superscript"/>
      <w:lang w:val="en-US"/>
    </w:rPr>
  </w:style>
  <w:style w:type="paragraph" w:styleId="Ttulo">
    <w:name w:val="Title"/>
    <w:basedOn w:val="Normal"/>
    <w:qFormat/>
    <w:pPr>
      <w:suppressAutoHyphens/>
      <w:spacing w:line="240" w:lineRule="atLeast"/>
      <w:jc w:val="center"/>
    </w:pPr>
    <w:rPr>
      <w:rFonts w:ascii="Verdana" w:hAnsi="Verdana"/>
      <w:b/>
      <w:spacing w:val="-3"/>
      <w:sz w:val="20"/>
      <w:lang w:val="es-ES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1741</Words>
  <Characters>9161</Characters>
  <Application>Microsoft Office Word</Application>
  <DocSecurity>0</DocSecurity>
  <Lines>155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Corte IDH</Company>
  <LinksUpToDate>false</LinksUpToDate>
  <CharactersWithSpaces>10861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</dc:creator>
  <cp:keywords/>
  <cp:lastModifiedBy>Liliana Tojo</cp:lastModifiedBy>
  <cp:revision>2</cp:revision>
  <cp:lastPrinted>2003-12-15T21:44:00Z</cp:lastPrinted>
  <dcterms:created xsi:type="dcterms:W3CDTF">2020-09-30T17:04:00Z</dcterms:created>
  <dcterms:modified xsi:type="dcterms:W3CDTF">2020-09-30T17:04:00Z</dcterms:modified>
</cp:coreProperties>
</file>