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A4DEA6" w14:textId="77777777" w:rsidR="00000000" w:rsidRDefault="000B42E3">
      <w:pPr>
        <w:rPr>
          <w:rFonts w:ascii="Verdana" w:hAnsi="Verdana"/>
          <w:b/>
          <w:sz w:val="20"/>
        </w:rPr>
      </w:pPr>
    </w:p>
    <w:p w14:paraId="4CFE4312" w14:textId="77777777" w:rsidR="00000000" w:rsidRDefault="000B42E3">
      <w:pPr>
        <w:rPr>
          <w:rFonts w:ascii="Verdana" w:hAnsi="Verdana"/>
          <w:b/>
          <w:sz w:val="20"/>
        </w:rPr>
      </w:pPr>
    </w:p>
    <w:p w14:paraId="515FEF4A" w14:textId="77777777" w:rsidR="00000000" w:rsidRDefault="000B42E3">
      <w:pPr>
        <w:jc w:val="center"/>
        <w:rPr>
          <w:rFonts w:ascii="Verdana" w:hAnsi="Verdana"/>
          <w:b/>
          <w:sz w:val="20"/>
        </w:rPr>
      </w:pPr>
    </w:p>
    <w:p w14:paraId="686BDD58" w14:textId="77777777" w:rsidR="00000000" w:rsidRDefault="000B42E3">
      <w:pPr>
        <w:jc w:val="center"/>
        <w:rPr>
          <w:rFonts w:ascii="Verdana" w:hAnsi="Verdana"/>
          <w:b/>
          <w:smallCaps/>
          <w:sz w:val="20"/>
        </w:rPr>
      </w:pPr>
      <w:r>
        <w:rPr>
          <w:rFonts w:ascii="Verdana" w:hAnsi="Verdana"/>
          <w:b/>
          <w:smallCaps/>
          <w:sz w:val="20"/>
        </w:rPr>
        <w:t xml:space="preserve">RESOLUCIÓN DEL PRESIDENTE DE </w:t>
      </w:r>
    </w:p>
    <w:p w14:paraId="0D1775A7" w14:textId="77777777" w:rsidR="00000000" w:rsidRDefault="000B42E3">
      <w:pPr>
        <w:jc w:val="center"/>
        <w:rPr>
          <w:rFonts w:ascii="Verdana" w:hAnsi="Verdana"/>
          <w:b/>
          <w:smallCaps/>
          <w:sz w:val="20"/>
        </w:rPr>
      </w:pPr>
      <w:r>
        <w:rPr>
          <w:rFonts w:ascii="Verdana" w:hAnsi="Verdana"/>
          <w:b/>
          <w:smallCaps/>
          <w:sz w:val="20"/>
        </w:rPr>
        <w:t>CORTE INTERAMERICANA DE DERECHOS HUMANOS</w:t>
      </w:r>
    </w:p>
    <w:p w14:paraId="580944BC" w14:textId="77777777" w:rsidR="00000000" w:rsidRDefault="000B42E3">
      <w:pPr>
        <w:jc w:val="center"/>
        <w:rPr>
          <w:rFonts w:ascii="Verdana" w:hAnsi="Verdana"/>
          <w:b/>
          <w:smallCaps/>
          <w:sz w:val="20"/>
        </w:rPr>
      </w:pPr>
      <w:r>
        <w:rPr>
          <w:rFonts w:ascii="Verdana" w:hAnsi="Verdana"/>
          <w:b/>
          <w:smallCaps/>
          <w:sz w:val="20"/>
        </w:rPr>
        <w:t>DE 10 DE FEBRERO 1998</w:t>
      </w:r>
    </w:p>
    <w:p w14:paraId="769EBB8E" w14:textId="77777777" w:rsidR="00000000" w:rsidRDefault="000B42E3">
      <w:pPr>
        <w:jc w:val="both"/>
        <w:rPr>
          <w:rFonts w:ascii="Verdana" w:hAnsi="Verdana"/>
          <w:b/>
          <w:smallCaps/>
          <w:sz w:val="20"/>
        </w:rPr>
      </w:pPr>
    </w:p>
    <w:p w14:paraId="428E3FEE" w14:textId="77777777" w:rsidR="00000000" w:rsidRDefault="000B42E3">
      <w:pPr>
        <w:jc w:val="both"/>
        <w:rPr>
          <w:rFonts w:ascii="Verdana" w:hAnsi="Verdana"/>
          <w:b/>
          <w:smallCaps/>
          <w:sz w:val="20"/>
        </w:rPr>
      </w:pPr>
    </w:p>
    <w:p w14:paraId="6637655A" w14:textId="77777777" w:rsidR="00000000" w:rsidRDefault="000B42E3">
      <w:pPr>
        <w:jc w:val="center"/>
        <w:rPr>
          <w:rFonts w:ascii="Verdana" w:hAnsi="Verdana"/>
          <w:b/>
          <w:smallCaps/>
          <w:sz w:val="20"/>
        </w:rPr>
      </w:pPr>
      <w:r>
        <w:rPr>
          <w:rFonts w:ascii="Verdana" w:hAnsi="Verdana"/>
          <w:b/>
          <w:smallCaps/>
          <w:sz w:val="20"/>
        </w:rPr>
        <w:t>MEDIDAS PROVISIONALES SOLICITADAS POR LA</w:t>
      </w:r>
    </w:p>
    <w:p w14:paraId="76380A01" w14:textId="77777777" w:rsidR="00000000" w:rsidRDefault="000B42E3">
      <w:pPr>
        <w:pStyle w:val="Ttulo1"/>
        <w:rPr>
          <w:rFonts w:ascii="Verdana" w:hAnsi="Verdana"/>
          <w:sz w:val="20"/>
          <w:lang w:val="es-ES"/>
        </w:rPr>
      </w:pPr>
      <w:r>
        <w:rPr>
          <w:rFonts w:ascii="Verdana" w:hAnsi="Verdana"/>
          <w:sz w:val="20"/>
          <w:lang w:val="es-ES"/>
        </w:rPr>
        <w:t xml:space="preserve"> COMISIÓN INTERAMERICANA DE DERECHOS HUMANOS</w:t>
      </w:r>
    </w:p>
    <w:p w14:paraId="5EE4C02C" w14:textId="77777777" w:rsidR="00000000" w:rsidRDefault="000B42E3">
      <w:pPr>
        <w:pStyle w:val="Ttulo1"/>
        <w:rPr>
          <w:rFonts w:ascii="Verdana" w:hAnsi="Verdana"/>
          <w:sz w:val="20"/>
          <w:lang w:val="es-ES"/>
        </w:rPr>
      </w:pPr>
      <w:r>
        <w:rPr>
          <w:rFonts w:ascii="Verdana" w:hAnsi="Verdana"/>
          <w:sz w:val="20"/>
          <w:lang w:val="es-ES"/>
        </w:rPr>
        <w:t>RESPECTO DE LA REPÚBLICA DE GUATEMALA</w:t>
      </w:r>
    </w:p>
    <w:p w14:paraId="08AD42E9" w14:textId="77777777" w:rsidR="00000000" w:rsidRDefault="000B42E3">
      <w:pPr>
        <w:jc w:val="both"/>
        <w:rPr>
          <w:rFonts w:ascii="Verdana" w:hAnsi="Verdana"/>
          <w:b/>
          <w:smallCaps/>
          <w:sz w:val="20"/>
        </w:rPr>
      </w:pPr>
    </w:p>
    <w:p w14:paraId="79EC9FD6" w14:textId="77777777" w:rsidR="00000000" w:rsidRDefault="000B42E3">
      <w:pPr>
        <w:jc w:val="both"/>
        <w:rPr>
          <w:rFonts w:ascii="Verdana" w:hAnsi="Verdana"/>
          <w:b/>
          <w:smallCaps/>
          <w:sz w:val="20"/>
        </w:rPr>
      </w:pPr>
    </w:p>
    <w:p w14:paraId="05BCC19E" w14:textId="77777777" w:rsidR="00000000" w:rsidRDefault="000B42E3">
      <w:pPr>
        <w:jc w:val="center"/>
        <w:rPr>
          <w:rFonts w:ascii="Verdana" w:hAnsi="Verdana"/>
          <w:b/>
          <w:smallCaps/>
          <w:sz w:val="20"/>
        </w:rPr>
      </w:pPr>
      <w:r>
        <w:rPr>
          <w:rFonts w:ascii="Verdana" w:hAnsi="Verdana"/>
          <w:b/>
          <w:smallCaps/>
          <w:sz w:val="20"/>
        </w:rPr>
        <w:t>CASOS PANIAGUA MORALES Y OTROS Y</w:t>
      </w:r>
    </w:p>
    <w:p w14:paraId="355C7B07" w14:textId="77777777" w:rsidR="00000000" w:rsidRDefault="000B42E3">
      <w:pPr>
        <w:jc w:val="center"/>
        <w:rPr>
          <w:rFonts w:ascii="Verdana" w:hAnsi="Verdana"/>
          <w:b/>
          <w:smallCaps/>
          <w:sz w:val="20"/>
        </w:rPr>
      </w:pPr>
      <w:r>
        <w:rPr>
          <w:rFonts w:ascii="Verdana" w:hAnsi="Verdana"/>
          <w:b/>
          <w:smallCaps/>
          <w:sz w:val="20"/>
        </w:rPr>
        <w:t>VÁSQUEZ Y OTROS (N. 11.448)</w:t>
      </w:r>
    </w:p>
    <w:p w14:paraId="37E890F6" w14:textId="77777777" w:rsidR="00000000" w:rsidRDefault="000B42E3">
      <w:pPr>
        <w:jc w:val="both"/>
        <w:rPr>
          <w:rFonts w:ascii="Verdana" w:hAnsi="Verdana"/>
          <w:sz w:val="20"/>
        </w:rPr>
      </w:pPr>
    </w:p>
    <w:p w14:paraId="700E09E7" w14:textId="77777777" w:rsidR="00000000" w:rsidRDefault="000B42E3">
      <w:pPr>
        <w:jc w:val="both"/>
        <w:rPr>
          <w:rFonts w:ascii="Verdana" w:hAnsi="Verdana"/>
          <w:sz w:val="20"/>
        </w:rPr>
      </w:pPr>
    </w:p>
    <w:p w14:paraId="659EC945" w14:textId="77777777" w:rsidR="00000000" w:rsidRDefault="000B42E3">
      <w:pPr>
        <w:jc w:val="both"/>
        <w:rPr>
          <w:rFonts w:ascii="Verdana" w:hAnsi="Verdana"/>
          <w:sz w:val="20"/>
        </w:rPr>
      </w:pPr>
    </w:p>
    <w:p w14:paraId="179C3AB4" w14:textId="77777777" w:rsidR="00000000" w:rsidRDefault="000B42E3">
      <w:pPr>
        <w:jc w:val="both"/>
        <w:rPr>
          <w:rFonts w:ascii="Verdana" w:hAnsi="Verdana"/>
          <w:sz w:val="20"/>
        </w:rPr>
      </w:pPr>
    </w:p>
    <w:p w14:paraId="5F84CEAD" w14:textId="77777777" w:rsidR="00000000" w:rsidRDefault="000B42E3">
      <w:pPr>
        <w:jc w:val="both"/>
        <w:rPr>
          <w:rFonts w:ascii="Verdana" w:hAnsi="Verdana"/>
          <w:b/>
          <w:smallCaps/>
          <w:sz w:val="20"/>
        </w:rPr>
      </w:pPr>
      <w:r>
        <w:rPr>
          <w:rFonts w:ascii="Verdana" w:hAnsi="Verdana"/>
          <w:b/>
          <w:smallCaps/>
          <w:sz w:val="20"/>
        </w:rPr>
        <w:t>VISTOS:</w:t>
      </w:r>
    </w:p>
    <w:p w14:paraId="04F9A109" w14:textId="77777777" w:rsidR="00000000" w:rsidRDefault="000B42E3">
      <w:pPr>
        <w:tabs>
          <w:tab w:val="left" w:pos="680"/>
        </w:tabs>
        <w:jc w:val="both"/>
        <w:rPr>
          <w:rFonts w:ascii="Verdana" w:hAnsi="Verdana"/>
          <w:sz w:val="20"/>
        </w:rPr>
      </w:pPr>
    </w:p>
    <w:p w14:paraId="77A3961B" w14:textId="77777777" w:rsidR="00000000" w:rsidRDefault="000B42E3">
      <w:pPr>
        <w:tabs>
          <w:tab w:val="left" w:pos="680"/>
        </w:tabs>
        <w:jc w:val="both"/>
        <w:rPr>
          <w:rFonts w:ascii="Verdana" w:hAnsi="Verdana"/>
          <w:sz w:val="20"/>
        </w:rPr>
      </w:pPr>
      <w:r>
        <w:rPr>
          <w:rFonts w:ascii="Verdana" w:hAnsi="Verdana"/>
          <w:sz w:val="20"/>
        </w:rPr>
        <w:t>1.</w:t>
      </w:r>
      <w:r>
        <w:rPr>
          <w:rFonts w:ascii="Verdana" w:hAnsi="Verdana"/>
          <w:sz w:val="20"/>
        </w:rPr>
        <w:tab/>
        <w:t>El proceso en el caso Paniagua Morales y otros, en trámite ante la Corte Interamericana de Derechos Humanos (en adelante “la Corte” o “la Corte Interamericana”) y la transcripción de las declaraciones rendidas p</w:t>
      </w:r>
      <w:r>
        <w:rPr>
          <w:rFonts w:ascii="Verdana" w:hAnsi="Verdana"/>
          <w:sz w:val="20"/>
        </w:rPr>
        <w:t xml:space="preserve">or los señores Oscar Humberto Vásquez y Raquel de Jesús Solórzano durante la audiencia pública que, sobre el fondo del caso citado, celebró la Corte en su sede los días 22, 23 y 24 de septiembre de 1997. </w:t>
      </w:r>
    </w:p>
    <w:p w14:paraId="59C280B8" w14:textId="77777777" w:rsidR="00000000" w:rsidRDefault="000B42E3">
      <w:pPr>
        <w:tabs>
          <w:tab w:val="left" w:pos="680"/>
        </w:tabs>
        <w:jc w:val="both"/>
        <w:rPr>
          <w:rFonts w:ascii="Verdana" w:hAnsi="Verdana"/>
          <w:sz w:val="20"/>
        </w:rPr>
      </w:pPr>
    </w:p>
    <w:p w14:paraId="15D0F6E0" w14:textId="77777777" w:rsidR="00000000" w:rsidRDefault="000B42E3">
      <w:pPr>
        <w:tabs>
          <w:tab w:val="left" w:pos="0"/>
        </w:tabs>
        <w:ind w:right="4"/>
        <w:jc w:val="both"/>
        <w:rPr>
          <w:rFonts w:ascii="Garamond" w:hAnsi="Garamond"/>
        </w:rPr>
      </w:pPr>
      <w:r>
        <w:rPr>
          <w:rFonts w:ascii="Verdana" w:hAnsi="Verdana"/>
          <w:sz w:val="20"/>
        </w:rPr>
        <w:t>2.</w:t>
      </w:r>
      <w:r>
        <w:rPr>
          <w:rFonts w:ascii="Verdana" w:hAnsi="Verdana"/>
          <w:sz w:val="20"/>
        </w:rPr>
        <w:tab/>
        <w:t>El escrito de la Comisión Interamericana de Der</w:t>
      </w:r>
      <w:r>
        <w:rPr>
          <w:rFonts w:ascii="Verdana" w:hAnsi="Verdana"/>
          <w:sz w:val="20"/>
        </w:rPr>
        <w:t>echos Humanos (en adelante “la Comisión” o “la Comisión Interamericana”) de 5 de febrero de 1998, mediante el cual solicitó a la Corte, en virtud de lo dispuesto en el artículo 63.2 de la Convención Americana sobre Derechos Humanos (en adelante “la Convenc</w:t>
      </w:r>
      <w:r>
        <w:rPr>
          <w:rFonts w:ascii="Verdana" w:hAnsi="Verdana"/>
          <w:sz w:val="20"/>
        </w:rPr>
        <w:t>ión” o “la Convención Americana”) y 25 de su Reglamento (en adelante “el Reglamento”), que adopte</w:t>
      </w:r>
      <w:r>
        <w:rPr>
          <w:rFonts w:ascii="Verdana" w:hAnsi="Verdana"/>
          <w:i/>
          <w:sz w:val="20"/>
        </w:rPr>
        <w:t xml:space="preserve"> “medidas provisionales para proteger la vida e integridad física de los miembros de la familia Vásquez, entre ellos, Oscar Humberto Vásquez, Raquel Solórzano,</w:t>
      </w:r>
      <w:r>
        <w:rPr>
          <w:rFonts w:ascii="Verdana" w:hAnsi="Verdana"/>
          <w:i/>
          <w:sz w:val="20"/>
        </w:rPr>
        <w:t xml:space="preserve"> Thelma Judith de Vásquez, Marvin Vásquez y Lydia de Vásquez</w:t>
      </w:r>
      <w:r>
        <w:rPr>
          <w:rFonts w:ascii="Verdana" w:hAnsi="Verdana"/>
          <w:sz w:val="20"/>
        </w:rPr>
        <w:t>”.  La Comisión indicó que dicha solicitud se hizo respecto de dos casos: el caso Paniagua Morales y otros, actualmente en trámite ante la Corte y el caso Vásquez y otros (número 11.448), actualme</w:t>
      </w:r>
      <w:r>
        <w:rPr>
          <w:rFonts w:ascii="Verdana" w:hAnsi="Verdana"/>
          <w:sz w:val="20"/>
        </w:rPr>
        <w:t>nte en trámite ante la Comisión.  Como fundamento de su solicitud, esta última informó a la Corte que:</w:t>
      </w:r>
    </w:p>
    <w:p w14:paraId="0C9BB5A9" w14:textId="77777777" w:rsidR="00000000" w:rsidRDefault="000B42E3">
      <w:pPr>
        <w:tabs>
          <w:tab w:val="left" w:pos="0"/>
        </w:tabs>
        <w:ind w:right="724"/>
        <w:jc w:val="both"/>
        <w:rPr>
          <w:rFonts w:ascii="Garamond" w:hAnsi="Garamond"/>
        </w:rPr>
      </w:pPr>
    </w:p>
    <w:p w14:paraId="4C94D668" w14:textId="77777777" w:rsidR="00000000" w:rsidRDefault="000B42E3">
      <w:pPr>
        <w:pStyle w:val="Textodebloque"/>
      </w:pPr>
      <w:r>
        <w:t>[e]l 24 de enero de 1998, el señor Oscar Humberto Vásquez, hijo del señor Oscar Vásquez (víctima en el caso de la Panel Blanca) y testigo que rindiera t</w:t>
      </w:r>
      <w:r>
        <w:t>estimonio ante la Honorable Corte en septiembre de 1997, fue detenido ilegalmente por un grupo de tres hombres desconocidos, quienes lo agredieron físicamente en forma severa y lo amenazaron de muerte.</w:t>
      </w:r>
    </w:p>
    <w:p w14:paraId="04F22E99" w14:textId="77777777" w:rsidR="00000000" w:rsidRDefault="000B42E3">
      <w:pPr>
        <w:ind w:left="1120" w:right="724"/>
        <w:jc w:val="both"/>
        <w:rPr>
          <w:rFonts w:ascii="Garamond" w:hAnsi="Garamond"/>
          <w:sz w:val="20"/>
        </w:rPr>
      </w:pPr>
    </w:p>
    <w:p w14:paraId="59F25CC0" w14:textId="77777777" w:rsidR="00000000" w:rsidRDefault="000B42E3">
      <w:pPr>
        <w:ind w:right="4"/>
        <w:jc w:val="both"/>
        <w:rPr>
          <w:rFonts w:ascii="Verdana" w:hAnsi="Verdana"/>
          <w:sz w:val="20"/>
        </w:rPr>
      </w:pPr>
      <w:r>
        <w:rPr>
          <w:rFonts w:ascii="Verdana" w:hAnsi="Verdana"/>
          <w:sz w:val="20"/>
        </w:rPr>
        <w:t xml:space="preserve">Asimismo, la Comisión informó a la Corte que quienes </w:t>
      </w:r>
      <w:r>
        <w:rPr>
          <w:rFonts w:ascii="Verdana" w:hAnsi="Verdana"/>
          <w:sz w:val="20"/>
        </w:rPr>
        <w:t>privaron de libertad al señor Vásquez le dijeron “</w:t>
      </w:r>
      <w:r>
        <w:rPr>
          <w:rFonts w:ascii="Verdana" w:hAnsi="Verdana"/>
          <w:i/>
          <w:sz w:val="20"/>
        </w:rPr>
        <w:t>que dejara de estarse metiendo en problemas porque si no iba a terminar como su padre y su hermano</w:t>
      </w:r>
      <w:r>
        <w:rPr>
          <w:rFonts w:ascii="Verdana" w:hAnsi="Verdana"/>
          <w:sz w:val="20"/>
        </w:rPr>
        <w:t>”, quienes fueron asesinados cinco días antes de la audiencia final celebrada por la Comisión respecto del c</w:t>
      </w:r>
      <w:r>
        <w:rPr>
          <w:rFonts w:ascii="Verdana" w:hAnsi="Verdana"/>
          <w:sz w:val="20"/>
        </w:rPr>
        <w:t>aso Paniagua Morales y otros (11 de septiembre de 1994).  Según la Comisión, cuando el señor Vásquez intentó presentar una denuncia por su detención y las agresiones de que fue víctima, el Ministerio Público se negó a recibirla, “</w:t>
      </w:r>
      <w:r>
        <w:rPr>
          <w:rFonts w:ascii="Verdana" w:hAnsi="Verdana"/>
          <w:i/>
          <w:sz w:val="20"/>
        </w:rPr>
        <w:t xml:space="preserve">arguyendo que debía haber </w:t>
      </w:r>
      <w:r>
        <w:rPr>
          <w:rFonts w:ascii="Verdana" w:hAnsi="Verdana"/>
          <w:i/>
          <w:sz w:val="20"/>
        </w:rPr>
        <w:t>ido inmediatamente después de sucedidos los hechos</w:t>
      </w:r>
      <w:r>
        <w:rPr>
          <w:rFonts w:ascii="Verdana" w:hAnsi="Verdana"/>
          <w:sz w:val="20"/>
        </w:rPr>
        <w:t>”.</w:t>
      </w:r>
    </w:p>
    <w:p w14:paraId="41DD224B" w14:textId="77777777" w:rsidR="00000000" w:rsidRDefault="000B42E3">
      <w:pPr>
        <w:tabs>
          <w:tab w:val="left" w:pos="680"/>
        </w:tabs>
        <w:jc w:val="both"/>
        <w:rPr>
          <w:rFonts w:ascii="Garamond" w:hAnsi="Garamond"/>
          <w:sz w:val="20"/>
        </w:rPr>
      </w:pPr>
    </w:p>
    <w:p w14:paraId="5B796A57" w14:textId="77777777" w:rsidR="00000000" w:rsidRDefault="000B42E3">
      <w:pPr>
        <w:tabs>
          <w:tab w:val="left" w:pos="680"/>
        </w:tabs>
        <w:jc w:val="both"/>
        <w:rPr>
          <w:rFonts w:ascii="Verdana" w:hAnsi="Verdana"/>
          <w:sz w:val="20"/>
        </w:rPr>
      </w:pPr>
      <w:r>
        <w:rPr>
          <w:rFonts w:ascii="Verdana" w:hAnsi="Verdana"/>
          <w:sz w:val="20"/>
        </w:rPr>
        <w:t>3.</w:t>
      </w:r>
      <w:r>
        <w:rPr>
          <w:rFonts w:ascii="Verdana" w:hAnsi="Verdana"/>
          <w:sz w:val="20"/>
        </w:rPr>
        <w:tab/>
        <w:t>Las manifestaciones de la Comisión Interamericana en su escrito de solicitud de medidas provisionales, de acuerdo con las cuales el 13 de diciembre de 1994 solicitó al Estado de Guatemala (en adelant</w:t>
      </w:r>
      <w:r>
        <w:rPr>
          <w:rFonts w:ascii="Verdana" w:hAnsi="Verdana"/>
          <w:sz w:val="20"/>
        </w:rPr>
        <w:t xml:space="preserve">e “el Estado” o “Guatemala”) que adoptara medidas cautelares para proteger la vida, integridad personal y libertad de Oscar Ricardo Vásquez Monroy, María Refugio Raymundo, Marvin Alfonso Vásquez Solórzano, Raquel de Jesús Solórzano, Oscar Humberto Vásquez </w:t>
      </w:r>
      <w:r>
        <w:rPr>
          <w:rFonts w:ascii="Verdana" w:hAnsi="Verdana"/>
          <w:sz w:val="20"/>
        </w:rPr>
        <w:t>Solórzano, Víctor Arnoldo Vásquez y Lydia de Vásquez.  La Comisión también manifestó que dichas personas le han informado que desconfían de los agentes que trabajan en la Dirección General de la Policía Nacional, a quienes relacionan con los actos de hosti</w:t>
      </w:r>
      <w:r>
        <w:rPr>
          <w:rFonts w:ascii="Verdana" w:hAnsi="Verdana"/>
          <w:sz w:val="20"/>
        </w:rPr>
        <w:t>gamiento de los cuales han sido víctima y con el homicidio de los señores Oscar y Erik Orlando Vásquez, y que han informado a los peticionarios en el caso respectivo que la protección policial necesaria para dar cumplimiento a las medidas cautelares adopta</w:t>
      </w:r>
      <w:r>
        <w:rPr>
          <w:rFonts w:ascii="Verdana" w:hAnsi="Verdana"/>
          <w:sz w:val="20"/>
        </w:rPr>
        <w:t>das por la Comisión no está siendo brindada.</w:t>
      </w:r>
    </w:p>
    <w:p w14:paraId="5BF1764D" w14:textId="77777777" w:rsidR="00000000" w:rsidRDefault="000B42E3">
      <w:pPr>
        <w:tabs>
          <w:tab w:val="left" w:pos="680"/>
        </w:tabs>
        <w:jc w:val="both"/>
        <w:rPr>
          <w:rFonts w:ascii="Verdana" w:hAnsi="Verdana"/>
          <w:b/>
          <w:sz w:val="20"/>
        </w:rPr>
      </w:pPr>
    </w:p>
    <w:p w14:paraId="59545AFD" w14:textId="77777777" w:rsidR="00000000" w:rsidRDefault="000B42E3">
      <w:pPr>
        <w:tabs>
          <w:tab w:val="left" w:pos="680"/>
        </w:tabs>
        <w:jc w:val="both"/>
        <w:rPr>
          <w:rFonts w:ascii="Verdana" w:hAnsi="Verdana"/>
          <w:sz w:val="20"/>
        </w:rPr>
      </w:pPr>
      <w:r>
        <w:rPr>
          <w:rFonts w:ascii="Verdana" w:hAnsi="Verdana"/>
          <w:b/>
          <w:sz w:val="20"/>
        </w:rPr>
        <w:t>CONSIDERANDO:</w:t>
      </w:r>
    </w:p>
    <w:p w14:paraId="14336EC9" w14:textId="77777777" w:rsidR="00000000" w:rsidRDefault="000B42E3">
      <w:pPr>
        <w:tabs>
          <w:tab w:val="left" w:pos="0"/>
        </w:tabs>
        <w:ind w:right="4"/>
        <w:jc w:val="both"/>
        <w:rPr>
          <w:rFonts w:ascii="Verdana" w:hAnsi="Verdana"/>
          <w:sz w:val="20"/>
        </w:rPr>
      </w:pPr>
    </w:p>
    <w:p w14:paraId="142DC474" w14:textId="77777777" w:rsidR="00000000" w:rsidRDefault="000B42E3">
      <w:pPr>
        <w:tabs>
          <w:tab w:val="left" w:pos="0"/>
        </w:tabs>
        <w:ind w:right="4"/>
        <w:jc w:val="both"/>
        <w:rPr>
          <w:rFonts w:ascii="Verdana" w:hAnsi="Verdana"/>
          <w:b/>
          <w:sz w:val="20"/>
        </w:rPr>
      </w:pPr>
      <w:r>
        <w:rPr>
          <w:rFonts w:ascii="Verdana" w:hAnsi="Verdana"/>
          <w:sz w:val="20"/>
        </w:rPr>
        <w:t>1.</w:t>
      </w:r>
      <w:r>
        <w:rPr>
          <w:rFonts w:ascii="Verdana" w:hAnsi="Verdana"/>
          <w:sz w:val="20"/>
        </w:rPr>
        <w:tab/>
        <w:t xml:space="preserve">Que Guatemala es Estado Parte en la Convención Americana desde el 25 de mayo de 1978 y aceptó la competencia obligatoria de la Corte el 9 de marzo de 1987. </w:t>
      </w:r>
    </w:p>
    <w:p w14:paraId="3AD648CB" w14:textId="77777777" w:rsidR="00000000" w:rsidRDefault="000B42E3">
      <w:pPr>
        <w:tabs>
          <w:tab w:val="left" w:pos="0"/>
        </w:tabs>
        <w:ind w:right="4"/>
        <w:jc w:val="both"/>
        <w:rPr>
          <w:rFonts w:ascii="Verdana" w:hAnsi="Verdana"/>
          <w:sz w:val="20"/>
        </w:rPr>
      </w:pPr>
    </w:p>
    <w:p w14:paraId="49B3657E" w14:textId="77777777" w:rsidR="00000000" w:rsidRDefault="000B42E3">
      <w:pPr>
        <w:tabs>
          <w:tab w:val="left" w:pos="0"/>
        </w:tabs>
        <w:ind w:right="4"/>
        <w:jc w:val="both"/>
        <w:rPr>
          <w:rFonts w:ascii="Verdana" w:hAnsi="Verdana"/>
          <w:b/>
          <w:sz w:val="20"/>
        </w:rPr>
      </w:pPr>
      <w:r>
        <w:rPr>
          <w:rFonts w:ascii="Verdana" w:hAnsi="Verdana"/>
          <w:sz w:val="20"/>
        </w:rPr>
        <w:t>2.</w:t>
      </w:r>
      <w:r>
        <w:rPr>
          <w:rFonts w:ascii="Verdana" w:hAnsi="Verdana"/>
          <w:sz w:val="20"/>
        </w:rPr>
        <w:tab/>
        <w:t>Que el artículo 63.2 de la Conv</w:t>
      </w:r>
      <w:r>
        <w:rPr>
          <w:rFonts w:ascii="Verdana" w:hAnsi="Verdana"/>
          <w:sz w:val="20"/>
        </w:rPr>
        <w:t>ención establece que la Corte podrá tomar las medidas provisionales que considere pertinentes en los asuntos que estén sometidos a su conocimiento y para ello requiere que se trate de casos “</w:t>
      </w:r>
      <w:r>
        <w:rPr>
          <w:rFonts w:ascii="Verdana" w:hAnsi="Verdana"/>
          <w:i/>
          <w:sz w:val="20"/>
        </w:rPr>
        <w:t>de extrema gravedad y urgencia, y cuando se haga necesario evitar</w:t>
      </w:r>
      <w:r>
        <w:rPr>
          <w:rFonts w:ascii="Verdana" w:hAnsi="Verdana"/>
          <w:i/>
          <w:sz w:val="20"/>
        </w:rPr>
        <w:t xml:space="preserve"> daños irreparables a las personas</w:t>
      </w:r>
      <w:r>
        <w:rPr>
          <w:rFonts w:ascii="Verdana" w:hAnsi="Verdana"/>
          <w:sz w:val="20"/>
        </w:rPr>
        <w:t xml:space="preserve"> [y que s]</w:t>
      </w:r>
      <w:r>
        <w:rPr>
          <w:rFonts w:ascii="Verdana" w:hAnsi="Verdana"/>
          <w:i/>
          <w:sz w:val="20"/>
        </w:rPr>
        <w:t xml:space="preserve">i se tratare de asuntos que aún no estén sometidos a su conocimiento, </w:t>
      </w:r>
      <w:r>
        <w:rPr>
          <w:rFonts w:ascii="Verdana" w:hAnsi="Verdana"/>
          <w:sz w:val="20"/>
        </w:rPr>
        <w:t xml:space="preserve">[la Corte] </w:t>
      </w:r>
      <w:r>
        <w:rPr>
          <w:rFonts w:ascii="Verdana" w:hAnsi="Verdana"/>
          <w:i/>
          <w:sz w:val="20"/>
        </w:rPr>
        <w:t>podrá actuar a solicitud de la Comisión</w:t>
      </w:r>
      <w:r>
        <w:rPr>
          <w:rFonts w:ascii="Verdana" w:hAnsi="Verdana"/>
          <w:sz w:val="20"/>
        </w:rPr>
        <w:t>”.</w:t>
      </w:r>
    </w:p>
    <w:p w14:paraId="02497323" w14:textId="77777777" w:rsidR="00000000" w:rsidRDefault="000B42E3">
      <w:pPr>
        <w:tabs>
          <w:tab w:val="left" w:pos="0"/>
        </w:tabs>
        <w:ind w:right="4"/>
        <w:jc w:val="both"/>
        <w:rPr>
          <w:rFonts w:ascii="Verdana" w:hAnsi="Verdana"/>
          <w:sz w:val="20"/>
        </w:rPr>
      </w:pPr>
    </w:p>
    <w:p w14:paraId="56D2A974" w14:textId="77777777" w:rsidR="00000000" w:rsidRDefault="000B42E3">
      <w:pPr>
        <w:tabs>
          <w:tab w:val="left" w:pos="0"/>
        </w:tabs>
        <w:ind w:right="4"/>
        <w:jc w:val="both"/>
        <w:rPr>
          <w:rFonts w:ascii="Verdana" w:hAnsi="Verdana"/>
          <w:sz w:val="20"/>
        </w:rPr>
      </w:pPr>
      <w:r>
        <w:rPr>
          <w:rFonts w:ascii="Verdana" w:hAnsi="Verdana"/>
          <w:sz w:val="20"/>
        </w:rPr>
        <w:t>3.</w:t>
      </w:r>
      <w:r>
        <w:rPr>
          <w:rFonts w:ascii="Verdana" w:hAnsi="Verdana"/>
          <w:sz w:val="20"/>
        </w:rPr>
        <w:tab/>
        <w:t>Que en relación con esta materia, el artículo 25 del Reglamento dispone que</w:t>
      </w:r>
    </w:p>
    <w:p w14:paraId="6ABBB9A2" w14:textId="77777777" w:rsidR="00000000" w:rsidRDefault="000B42E3">
      <w:pPr>
        <w:tabs>
          <w:tab w:val="left" w:pos="0"/>
        </w:tabs>
        <w:ind w:right="4"/>
        <w:jc w:val="both"/>
        <w:rPr>
          <w:rFonts w:ascii="Verdana" w:hAnsi="Verdana"/>
          <w:sz w:val="20"/>
        </w:rPr>
      </w:pPr>
    </w:p>
    <w:p w14:paraId="3ECD5B50" w14:textId="77777777" w:rsidR="00000000" w:rsidRDefault="000B42E3">
      <w:pPr>
        <w:ind w:left="720" w:right="724"/>
        <w:jc w:val="both"/>
        <w:rPr>
          <w:rFonts w:ascii="Verdana" w:hAnsi="Verdana"/>
          <w:sz w:val="18"/>
        </w:rPr>
      </w:pPr>
      <w:r>
        <w:rPr>
          <w:rFonts w:ascii="Verdana" w:hAnsi="Verdana"/>
          <w:sz w:val="18"/>
        </w:rPr>
        <w:t>1.</w:t>
      </w:r>
      <w:r>
        <w:rPr>
          <w:rFonts w:ascii="Verdana" w:hAnsi="Verdana"/>
          <w:sz w:val="18"/>
        </w:rPr>
        <w:tab/>
        <w:t>En cu</w:t>
      </w:r>
      <w:r>
        <w:rPr>
          <w:rFonts w:ascii="Verdana" w:hAnsi="Verdana"/>
          <w:sz w:val="18"/>
        </w:rPr>
        <w:t>alquier estado del procedimiento, siempre que se trate de casos de extrema gravedad y urgencia y cuando sea necesario para evitar daños irreparables a las personas, la Corte, de oficio o a instancia de parte, podrá ordenar las medidas provisionales que con</w:t>
      </w:r>
      <w:r>
        <w:rPr>
          <w:rFonts w:ascii="Verdana" w:hAnsi="Verdana"/>
          <w:sz w:val="18"/>
        </w:rPr>
        <w:t>sidere pertinentes, en los términos del artículo 63.2 de la Convención.</w:t>
      </w:r>
    </w:p>
    <w:p w14:paraId="6734CF45" w14:textId="77777777" w:rsidR="00000000" w:rsidRDefault="000B42E3">
      <w:pPr>
        <w:ind w:left="720" w:right="724"/>
        <w:jc w:val="both"/>
        <w:rPr>
          <w:rFonts w:ascii="Verdana" w:hAnsi="Verdana"/>
          <w:sz w:val="18"/>
        </w:rPr>
      </w:pPr>
    </w:p>
    <w:p w14:paraId="700087A5" w14:textId="77777777" w:rsidR="00000000" w:rsidRDefault="000B42E3">
      <w:pPr>
        <w:ind w:left="720" w:right="724"/>
        <w:jc w:val="both"/>
        <w:rPr>
          <w:rFonts w:ascii="Verdana" w:hAnsi="Verdana"/>
          <w:sz w:val="18"/>
        </w:rPr>
      </w:pPr>
      <w:r>
        <w:rPr>
          <w:rFonts w:ascii="Verdana" w:hAnsi="Verdana"/>
          <w:sz w:val="18"/>
        </w:rPr>
        <w:t>2.</w:t>
      </w:r>
      <w:r>
        <w:rPr>
          <w:rFonts w:ascii="Verdana" w:hAnsi="Verdana"/>
          <w:sz w:val="18"/>
        </w:rPr>
        <w:tab/>
        <w:t>Si se tratare de asuntos aún no sometidos a su conocimiento, podrá actuar a solicitud de la Comisión.</w:t>
      </w:r>
    </w:p>
    <w:p w14:paraId="5F60AF43" w14:textId="77777777" w:rsidR="00000000" w:rsidRDefault="000B42E3">
      <w:pPr>
        <w:ind w:left="720" w:right="724"/>
        <w:jc w:val="both"/>
        <w:rPr>
          <w:rFonts w:ascii="Verdana" w:hAnsi="Verdana"/>
          <w:sz w:val="18"/>
        </w:rPr>
      </w:pPr>
    </w:p>
    <w:p w14:paraId="1B3093F4" w14:textId="77777777" w:rsidR="00000000" w:rsidRDefault="000B42E3">
      <w:pPr>
        <w:ind w:left="720" w:right="724"/>
        <w:jc w:val="both"/>
        <w:rPr>
          <w:rFonts w:ascii="Verdana" w:hAnsi="Verdana"/>
          <w:sz w:val="18"/>
        </w:rPr>
      </w:pPr>
      <w:r>
        <w:rPr>
          <w:rFonts w:ascii="Verdana" w:hAnsi="Verdana"/>
          <w:sz w:val="18"/>
        </w:rPr>
        <w:t>...</w:t>
      </w:r>
    </w:p>
    <w:p w14:paraId="31A8BFB9" w14:textId="77777777" w:rsidR="00000000" w:rsidRDefault="000B42E3">
      <w:pPr>
        <w:ind w:left="720" w:right="724"/>
        <w:jc w:val="both"/>
        <w:rPr>
          <w:rFonts w:ascii="Verdana" w:hAnsi="Verdana"/>
          <w:sz w:val="20"/>
        </w:rPr>
      </w:pPr>
    </w:p>
    <w:p w14:paraId="31CFEC02" w14:textId="77777777" w:rsidR="00000000" w:rsidRDefault="000B42E3">
      <w:pPr>
        <w:ind w:left="720" w:right="724"/>
        <w:jc w:val="both"/>
        <w:rPr>
          <w:rFonts w:ascii="Verdana" w:hAnsi="Verdana"/>
          <w:sz w:val="18"/>
        </w:rPr>
      </w:pPr>
      <w:r>
        <w:rPr>
          <w:rFonts w:ascii="Verdana" w:hAnsi="Verdana"/>
          <w:sz w:val="18"/>
        </w:rPr>
        <w:t>4.</w:t>
      </w:r>
      <w:r>
        <w:rPr>
          <w:rFonts w:ascii="Verdana" w:hAnsi="Verdana"/>
          <w:sz w:val="18"/>
        </w:rPr>
        <w:tab/>
        <w:t>Si la Corte no estuviere reunida, el presidente, en consulta con la c</w:t>
      </w:r>
      <w:r>
        <w:rPr>
          <w:rFonts w:ascii="Verdana" w:hAnsi="Verdana"/>
          <w:sz w:val="18"/>
        </w:rPr>
        <w:t>omisión permanente y, de ser posible, con los demás jueces, requerirá del gobierno respectivo que dicte las providencias urgentes necesarias a fin de asegurar la eficacia de las medidas provisionales que después pueda tomar la Corte en su próximo período d</w:t>
      </w:r>
      <w:r>
        <w:rPr>
          <w:rFonts w:ascii="Verdana" w:hAnsi="Verdana"/>
          <w:sz w:val="18"/>
        </w:rPr>
        <w:t>e sesiones.</w:t>
      </w:r>
    </w:p>
    <w:p w14:paraId="109DCD5D" w14:textId="77777777" w:rsidR="00000000" w:rsidRDefault="000B42E3">
      <w:pPr>
        <w:tabs>
          <w:tab w:val="left" w:pos="0"/>
        </w:tabs>
        <w:ind w:right="4"/>
        <w:jc w:val="both"/>
        <w:rPr>
          <w:rFonts w:ascii="Verdana" w:hAnsi="Verdana"/>
          <w:sz w:val="20"/>
        </w:rPr>
      </w:pPr>
    </w:p>
    <w:p w14:paraId="10DC2AF3" w14:textId="77777777" w:rsidR="00000000" w:rsidRDefault="000B42E3">
      <w:pPr>
        <w:tabs>
          <w:tab w:val="left" w:pos="0"/>
        </w:tabs>
        <w:ind w:right="4"/>
        <w:jc w:val="both"/>
        <w:rPr>
          <w:rFonts w:ascii="Verdana" w:hAnsi="Verdana"/>
          <w:sz w:val="20"/>
        </w:rPr>
      </w:pPr>
      <w:r>
        <w:rPr>
          <w:rFonts w:ascii="Verdana" w:hAnsi="Verdana"/>
          <w:sz w:val="20"/>
        </w:rPr>
        <w:t>4.</w:t>
      </w:r>
      <w:r>
        <w:rPr>
          <w:rFonts w:ascii="Verdana" w:hAnsi="Verdana"/>
          <w:sz w:val="20"/>
        </w:rPr>
        <w:tab/>
        <w:t>Que la solicitud de medidas provisionales está relacionada con el caso Paniagua Morales y otros, en trámite ante la Corte y con el caso Vásquez y otros (número 11.448), en trámite ante la Comisión, la cual ha manifestado que las medidas cau</w:t>
      </w:r>
      <w:r>
        <w:rPr>
          <w:rFonts w:ascii="Verdana" w:hAnsi="Verdana"/>
          <w:sz w:val="20"/>
        </w:rPr>
        <w:t>telares que adoptó en el último de ellos no han tenido resultados satisfactorios.</w:t>
      </w:r>
    </w:p>
    <w:p w14:paraId="69686EA9" w14:textId="77777777" w:rsidR="00000000" w:rsidRDefault="000B42E3">
      <w:pPr>
        <w:tabs>
          <w:tab w:val="left" w:pos="0"/>
        </w:tabs>
        <w:ind w:right="4"/>
        <w:jc w:val="both"/>
        <w:rPr>
          <w:rFonts w:ascii="Verdana" w:hAnsi="Verdana"/>
          <w:sz w:val="20"/>
        </w:rPr>
      </w:pPr>
    </w:p>
    <w:p w14:paraId="666A470C" w14:textId="77777777" w:rsidR="00000000" w:rsidRDefault="000B42E3">
      <w:pPr>
        <w:tabs>
          <w:tab w:val="left" w:pos="0"/>
        </w:tabs>
        <w:ind w:right="44"/>
        <w:jc w:val="both"/>
        <w:rPr>
          <w:rFonts w:ascii="Verdana" w:hAnsi="Verdana"/>
          <w:sz w:val="20"/>
        </w:rPr>
      </w:pPr>
      <w:r>
        <w:rPr>
          <w:rFonts w:ascii="Verdana" w:hAnsi="Verdana"/>
          <w:sz w:val="20"/>
        </w:rPr>
        <w:t>5.</w:t>
      </w:r>
      <w:r>
        <w:rPr>
          <w:rFonts w:ascii="Verdana" w:hAnsi="Verdana"/>
          <w:sz w:val="20"/>
        </w:rPr>
        <w:tab/>
        <w:t>Que la Comisión pide a la Corte requerir a Guatemala que adopte las medidas provisionales</w:t>
      </w:r>
      <w:r>
        <w:rPr>
          <w:rFonts w:ascii="Verdana" w:hAnsi="Verdana"/>
          <w:i/>
          <w:sz w:val="20"/>
        </w:rPr>
        <w:t xml:space="preserve"> “necesarias para proteger la vida e integridad física de los miembros de la fami</w:t>
      </w:r>
      <w:r>
        <w:rPr>
          <w:rFonts w:ascii="Verdana" w:hAnsi="Verdana"/>
          <w:i/>
          <w:sz w:val="20"/>
        </w:rPr>
        <w:t>lia Vásquez, entre ellos, Oscar Humberto Vásquez, Raquel Solórzano, Thelma Judith de Vásquez, Marvin Vásquez y Lydia de Vásquez</w:t>
      </w:r>
      <w:r>
        <w:rPr>
          <w:rFonts w:ascii="Verdana" w:hAnsi="Verdana"/>
          <w:sz w:val="20"/>
        </w:rPr>
        <w:t>”.</w:t>
      </w:r>
    </w:p>
    <w:p w14:paraId="163488A7" w14:textId="77777777" w:rsidR="00000000" w:rsidRDefault="000B42E3">
      <w:pPr>
        <w:tabs>
          <w:tab w:val="left" w:pos="0"/>
        </w:tabs>
        <w:ind w:right="724"/>
        <w:jc w:val="both"/>
        <w:rPr>
          <w:rFonts w:ascii="Verdana" w:hAnsi="Verdana"/>
          <w:sz w:val="20"/>
        </w:rPr>
      </w:pPr>
    </w:p>
    <w:p w14:paraId="786B3AB8" w14:textId="77777777" w:rsidR="00000000" w:rsidRDefault="000B42E3">
      <w:pPr>
        <w:tabs>
          <w:tab w:val="left" w:pos="0"/>
        </w:tabs>
        <w:ind w:right="4"/>
        <w:jc w:val="both"/>
        <w:rPr>
          <w:rFonts w:ascii="Verdana" w:hAnsi="Verdana"/>
          <w:sz w:val="20"/>
        </w:rPr>
      </w:pPr>
      <w:r>
        <w:rPr>
          <w:rFonts w:ascii="Verdana" w:hAnsi="Verdana"/>
          <w:sz w:val="20"/>
        </w:rPr>
        <w:t>6.</w:t>
      </w:r>
      <w:r>
        <w:rPr>
          <w:rFonts w:ascii="Verdana" w:hAnsi="Verdana"/>
          <w:sz w:val="20"/>
        </w:rPr>
        <w:tab/>
        <w:t>Que, de acuerdo con lo afirmado por la Comisión, la situación de los miembros de la familia Vásquez es de extrema gravedad</w:t>
      </w:r>
      <w:r>
        <w:rPr>
          <w:rFonts w:ascii="Verdana" w:hAnsi="Verdana"/>
          <w:sz w:val="20"/>
        </w:rPr>
        <w:t xml:space="preserve"> y urgencia y la adopción de medidas es necesaria para evitarles daños irreparables.</w:t>
      </w:r>
    </w:p>
    <w:p w14:paraId="44B88CB2" w14:textId="77777777" w:rsidR="00000000" w:rsidRDefault="000B42E3">
      <w:pPr>
        <w:tabs>
          <w:tab w:val="left" w:pos="0"/>
        </w:tabs>
        <w:ind w:right="44"/>
        <w:jc w:val="both"/>
        <w:rPr>
          <w:rFonts w:ascii="Verdana" w:hAnsi="Verdana"/>
          <w:sz w:val="20"/>
        </w:rPr>
      </w:pPr>
    </w:p>
    <w:p w14:paraId="76FA5935" w14:textId="77777777" w:rsidR="00000000" w:rsidRDefault="000B42E3">
      <w:pPr>
        <w:tabs>
          <w:tab w:val="left" w:pos="0"/>
        </w:tabs>
        <w:ind w:right="4"/>
        <w:jc w:val="both"/>
        <w:rPr>
          <w:rFonts w:ascii="Verdana" w:hAnsi="Verdana"/>
          <w:sz w:val="20"/>
        </w:rPr>
      </w:pPr>
      <w:r>
        <w:rPr>
          <w:rFonts w:ascii="Verdana" w:hAnsi="Verdana"/>
          <w:sz w:val="20"/>
        </w:rPr>
        <w:t>7.</w:t>
      </w:r>
      <w:r>
        <w:rPr>
          <w:rFonts w:ascii="Verdana" w:hAnsi="Verdana"/>
          <w:sz w:val="20"/>
        </w:rPr>
        <w:tab/>
        <w:t>Que el Presidente de la Corte está facultado para decretar medidas urgentes y corresponde a la Corte resolver sobre la procedencia de las medidas provisionales en su p</w:t>
      </w:r>
      <w:r>
        <w:rPr>
          <w:rFonts w:ascii="Verdana" w:hAnsi="Verdana"/>
          <w:sz w:val="20"/>
        </w:rPr>
        <w:t>róximo Período Ordinario de Sesiones.</w:t>
      </w:r>
    </w:p>
    <w:p w14:paraId="7D3D5091" w14:textId="77777777" w:rsidR="00000000" w:rsidRDefault="000B42E3">
      <w:pPr>
        <w:tabs>
          <w:tab w:val="left" w:pos="0"/>
        </w:tabs>
        <w:ind w:right="4"/>
        <w:jc w:val="both"/>
        <w:rPr>
          <w:rFonts w:ascii="Verdana" w:hAnsi="Verdana"/>
          <w:sz w:val="20"/>
        </w:rPr>
      </w:pPr>
    </w:p>
    <w:p w14:paraId="3448D6DE" w14:textId="77777777" w:rsidR="00000000" w:rsidRDefault="000B42E3">
      <w:pPr>
        <w:tabs>
          <w:tab w:val="left" w:pos="680"/>
        </w:tabs>
        <w:jc w:val="both"/>
        <w:rPr>
          <w:rFonts w:ascii="Verdana" w:hAnsi="Verdana"/>
          <w:sz w:val="20"/>
        </w:rPr>
      </w:pPr>
      <w:r>
        <w:rPr>
          <w:rFonts w:ascii="Verdana" w:hAnsi="Verdana"/>
          <w:b/>
          <w:sz w:val="20"/>
        </w:rPr>
        <w:t>POR TANTO:</w:t>
      </w:r>
    </w:p>
    <w:p w14:paraId="6967D6CA" w14:textId="77777777" w:rsidR="00000000" w:rsidRDefault="000B42E3">
      <w:pPr>
        <w:tabs>
          <w:tab w:val="left" w:pos="680"/>
        </w:tabs>
        <w:jc w:val="both"/>
        <w:rPr>
          <w:rFonts w:ascii="Verdana" w:hAnsi="Verdana"/>
          <w:sz w:val="20"/>
        </w:rPr>
      </w:pPr>
    </w:p>
    <w:p w14:paraId="4FA802E9" w14:textId="77777777" w:rsidR="00000000" w:rsidRDefault="000B42E3">
      <w:pPr>
        <w:tabs>
          <w:tab w:val="left" w:pos="680"/>
        </w:tabs>
        <w:jc w:val="both"/>
        <w:rPr>
          <w:rFonts w:ascii="Verdana" w:hAnsi="Verdana"/>
          <w:b/>
          <w:sz w:val="20"/>
        </w:rPr>
      </w:pPr>
      <w:r>
        <w:rPr>
          <w:rFonts w:ascii="Verdana" w:hAnsi="Verdana"/>
          <w:b/>
          <w:sz w:val="20"/>
        </w:rPr>
        <w:t>EL PRESIDENTE DE LA CORTE INTERAMERICANA DE DERECHOS HUMANOS,</w:t>
      </w:r>
    </w:p>
    <w:p w14:paraId="7B848453" w14:textId="77777777" w:rsidR="00000000" w:rsidRDefault="000B42E3">
      <w:pPr>
        <w:tabs>
          <w:tab w:val="left" w:pos="680"/>
        </w:tabs>
        <w:jc w:val="both"/>
        <w:rPr>
          <w:rFonts w:ascii="Verdana" w:hAnsi="Verdana"/>
          <w:sz w:val="20"/>
        </w:rPr>
      </w:pPr>
    </w:p>
    <w:p w14:paraId="25D562A2" w14:textId="77777777" w:rsidR="00000000" w:rsidRDefault="000B42E3">
      <w:pPr>
        <w:tabs>
          <w:tab w:val="left" w:pos="680"/>
        </w:tabs>
        <w:jc w:val="both"/>
        <w:rPr>
          <w:rFonts w:ascii="Verdana" w:hAnsi="Verdana"/>
          <w:sz w:val="20"/>
        </w:rPr>
      </w:pPr>
      <w:r>
        <w:rPr>
          <w:rFonts w:ascii="Verdana" w:hAnsi="Verdana"/>
          <w:sz w:val="20"/>
        </w:rPr>
        <w:t xml:space="preserve">de conformidad con el artículo 63.2 de la Convención Americana sobre Derechos Humanos, en uso de las atribuciones que le confiere el artículo </w:t>
      </w:r>
      <w:r>
        <w:rPr>
          <w:rFonts w:ascii="Verdana" w:hAnsi="Verdana"/>
          <w:sz w:val="20"/>
        </w:rPr>
        <w:t>25 del Reglamento y en consulta con la Comisión Permanente,</w:t>
      </w:r>
    </w:p>
    <w:p w14:paraId="0635ABB5" w14:textId="77777777" w:rsidR="00000000" w:rsidRDefault="000B42E3">
      <w:pPr>
        <w:tabs>
          <w:tab w:val="left" w:pos="680"/>
        </w:tabs>
        <w:jc w:val="both"/>
        <w:rPr>
          <w:rFonts w:ascii="Verdana" w:hAnsi="Verdana"/>
          <w:sz w:val="20"/>
        </w:rPr>
      </w:pPr>
    </w:p>
    <w:p w14:paraId="540903D6" w14:textId="77777777" w:rsidR="00000000" w:rsidRDefault="000B42E3">
      <w:pPr>
        <w:tabs>
          <w:tab w:val="left" w:pos="680"/>
        </w:tabs>
        <w:jc w:val="both"/>
        <w:rPr>
          <w:rFonts w:ascii="Verdana" w:hAnsi="Verdana"/>
          <w:b/>
          <w:sz w:val="20"/>
        </w:rPr>
      </w:pPr>
      <w:r>
        <w:rPr>
          <w:rFonts w:ascii="Verdana" w:hAnsi="Verdana"/>
          <w:b/>
          <w:sz w:val="20"/>
        </w:rPr>
        <w:t>RESUELVE:</w:t>
      </w:r>
    </w:p>
    <w:p w14:paraId="78E514B6" w14:textId="77777777" w:rsidR="00000000" w:rsidRDefault="000B42E3">
      <w:pPr>
        <w:tabs>
          <w:tab w:val="left" w:pos="680"/>
        </w:tabs>
        <w:jc w:val="both"/>
        <w:rPr>
          <w:rFonts w:ascii="Verdana" w:hAnsi="Verdana"/>
          <w:b/>
          <w:sz w:val="20"/>
        </w:rPr>
      </w:pPr>
    </w:p>
    <w:p w14:paraId="07588082" w14:textId="77777777" w:rsidR="00000000" w:rsidRDefault="000B42E3">
      <w:pPr>
        <w:tabs>
          <w:tab w:val="left" w:pos="680"/>
        </w:tabs>
        <w:jc w:val="both"/>
        <w:rPr>
          <w:rFonts w:ascii="Verdana" w:hAnsi="Verdana"/>
          <w:sz w:val="20"/>
        </w:rPr>
      </w:pPr>
      <w:r>
        <w:rPr>
          <w:rFonts w:ascii="Verdana" w:hAnsi="Verdana"/>
          <w:sz w:val="20"/>
        </w:rPr>
        <w:t xml:space="preserve">1. </w:t>
      </w:r>
      <w:r>
        <w:rPr>
          <w:rFonts w:ascii="Verdana" w:hAnsi="Verdana"/>
          <w:sz w:val="20"/>
        </w:rPr>
        <w:tab/>
        <w:t>Requerir al Estado de Guatemala que adopte, sin dilación, cuantas medidas sean necesarias para asegurar eficazmente la integridad física y psíquica de los miembros de la familia Vá</w:t>
      </w:r>
      <w:r>
        <w:rPr>
          <w:rFonts w:ascii="Verdana" w:hAnsi="Verdana"/>
          <w:sz w:val="20"/>
        </w:rPr>
        <w:t>squez, entre ellos, los señores Oscar Humberto Vásquez, Raquel de Jesús Solórzano, Thelma Judith de Vásquez, Marvin Vásquez y Lydia de Vásquez y para investigar el ataque y las amenazas que sufrió el primero de ellos.</w:t>
      </w:r>
    </w:p>
    <w:p w14:paraId="6946AE67" w14:textId="77777777" w:rsidR="00000000" w:rsidRDefault="000B42E3">
      <w:pPr>
        <w:tabs>
          <w:tab w:val="left" w:pos="680"/>
        </w:tabs>
        <w:jc w:val="both"/>
        <w:rPr>
          <w:rFonts w:ascii="Verdana" w:hAnsi="Verdana"/>
          <w:sz w:val="20"/>
        </w:rPr>
      </w:pPr>
    </w:p>
    <w:p w14:paraId="579D8194" w14:textId="77777777" w:rsidR="00000000" w:rsidRDefault="000B42E3">
      <w:pPr>
        <w:tabs>
          <w:tab w:val="left" w:pos="680"/>
        </w:tabs>
        <w:jc w:val="both"/>
        <w:rPr>
          <w:rFonts w:ascii="Verdana" w:hAnsi="Verdana"/>
          <w:sz w:val="20"/>
        </w:rPr>
      </w:pPr>
      <w:r>
        <w:rPr>
          <w:rFonts w:ascii="Verdana" w:hAnsi="Verdana"/>
          <w:sz w:val="20"/>
        </w:rPr>
        <w:t>2.</w:t>
      </w:r>
      <w:r>
        <w:rPr>
          <w:rFonts w:ascii="Verdana" w:hAnsi="Verdana"/>
          <w:sz w:val="20"/>
        </w:rPr>
        <w:tab/>
        <w:t>Requerir al Estado de Guatemala qu</w:t>
      </w:r>
      <w:r>
        <w:rPr>
          <w:rFonts w:ascii="Verdana" w:hAnsi="Verdana"/>
          <w:sz w:val="20"/>
        </w:rPr>
        <w:t>e presente a la Corte, dentro de un plazo de cinco días hábiles a partir de que la presente resolución le sea notificada, un primer informe sobre las medidas concretas adoptadas para proteger a dichas personas.</w:t>
      </w:r>
    </w:p>
    <w:p w14:paraId="5080F4A3" w14:textId="77777777" w:rsidR="00000000" w:rsidRDefault="000B42E3">
      <w:pPr>
        <w:tabs>
          <w:tab w:val="left" w:pos="680"/>
        </w:tabs>
        <w:jc w:val="both"/>
        <w:rPr>
          <w:rFonts w:ascii="Verdana" w:hAnsi="Verdana"/>
          <w:sz w:val="20"/>
        </w:rPr>
      </w:pPr>
    </w:p>
    <w:p w14:paraId="7E36044D" w14:textId="77777777" w:rsidR="00000000" w:rsidRDefault="000B42E3">
      <w:pPr>
        <w:tabs>
          <w:tab w:val="left" w:pos="680"/>
        </w:tabs>
        <w:jc w:val="both"/>
        <w:rPr>
          <w:rFonts w:ascii="Verdana" w:hAnsi="Verdana"/>
          <w:sz w:val="20"/>
        </w:rPr>
      </w:pPr>
      <w:r>
        <w:rPr>
          <w:rFonts w:ascii="Verdana" w:hAnsi="Verdana"/>
          <w:sz w:val="20"/>
        </w:rPr>
        <w:t>3.</w:t>
      </w:r>
      <w:r>
        <w:rPr>
          <w:rFonts w:ascii="Verdana" w:hAnsi="Verdana"/>
          <w:sz w:val="20"/>
        </w:rPr>
        <w:tab/>
        <w:t>Solicitar a la Comisión Interamericana qu</w:t>
      </w:r>
      <w:r>
        <w:rPr>
          <w:rFonts w:ascii="Verdana" w:hAnsi="Verdana"/>
          <w:sz w:val="20"/>
        </w:rPr>
        <w:t>e presente a la Corte sus observaciones al informe inicial del Estado de Guatemala dentro de un plazo de quince días a partir de que éste le sea transmitido.</w:t>
      </w:r>
    </w:p>
    <w:p w14:paraId="794FFE2C" w14:textId="77777777" w:rsidR="00000000" w:rsidRDefault="000B42E3">
      <w:pPr>
        <w:tabs>
          <w:tab w:val="left" w:pos="680"/>
        </w:tabs>
        <w:jc w:val="both"/>
        <w:rPr>
          <w:rFonts w:ascii="Verdana" w:hAnsi="Verdana"/>
          <w:sz w:val="20"/>
        </w:rPr>
      </w:pPr>
    </w:p>
    <w:p w14:paraId="0CD6D619" w14:textId="77777777" w:rsidR="00000000" w:rsidRDefault="000B42E3">
      <w:pPr>
        <w:tabs>
          <w:tab w:val="left" w:pos="680"/>
        </w:tabs>
        <w:jc w:val="both"/>
        <w:rPr>
          <w:rFonts w:ascii="Verdana" w:hAnsi="Verdana"/>
          <w:sz w:val="20"/>
        </w:rPr>
      </w:pPr>
      <w:r>
        <w:rPr>
          <w:rFonts w:ascii="Verdana" w:hAnsi="Verdana"/>
          <w:sz w:val="20"/>
        </w:rPr>
        <w:t>4.</w:t>
      </w:r>
      <w:r>
        <w:rPr>
          <w:rFonts w:ascii="Verdana" w:hAnsi="Verdana"/>
          <w:sz w:val="20"/>
        </w:rPr>
        <w:tab/>
        <w:t>Requerir al Estado de Guatemala que, después de la presentación de su primer informe, continúe</w:t>
      </w:r>
      <w:r>
        <w:rPr>
          <w:rFonts w:ascii="Verdana" w:hAnsi="Verdana"/>
          <w:sz w:val="20"/>
        </w:rPr>
        <w:t xml:space="preserve"> presentando cada dos meses sus informes sobre las medidas adoptadas.</w:t>
      </w:r>
    </w:p>
    <w:p w14:paraId="28E03727" w14:textId="77777777" w:rsidR="00000000" w:rsidRDefault="000B42E3">
      <w:pPr>
        <w:tabs>
          <w:tab w:val="left" w:pos="680"/>
        </w:tabs>
        <w:jc w:val="both"/>
        <w:rPr>
          <w:rFonts w:ascii="Verdana" w:hAnsi="Verdana"/>
          <w:sz w:val="20"/>
        </w:rPr>
      </w:pPr>
    </w:p>
    <w:p w14:paraId="3CB0A43E" w14:textId="77777777" w:rsidR="00000000" w:rsidRDefault="000B42E3">
      <w:pPr>
        <w:tabs>
          <w:tab w:val="left" w:pos="680"/>
        </w:tabs>
        <w:jc w:val="both"/>
        <w:rPr>
          <w:rFonts w:ascii="Verdana" w:hAnsi="Verdana"/>
          <w:sz w:val="20"/>
        </w:rPr>
      </w:pPr>
      <w:r>
        <w:rPr>
          <w:rFonts w:ascii="Verdana" w:hAnsi="Verdana"/>
          <w:sz w:val="20"/>
        </w:rPr>
        <w:t>5.</w:t>
      </w:r>
      <w:r>
        <w:rPr>
          <w:rFonts w:ascii="Verdana" w:hAnsi="Verdana"/>
          <w:sz w:val="20"/>
        </w:rPr>
        <w:tab/>
        <w:t>Solicitar a la Comisión Interamericana que presente sus observaciones a los informes periódicos del Estado dentro de un plazo de seis semanas a partir de que éstos le sean transmitid</w:t>
      </w:r>
      <w:r>
        <w:rPr>
          <w:rFonts w:ascii="Verdana" w:hAnsi="Verdana"/>
          <w:sz w:val="20"/>
        </w:rPr>
        <w:t>os.</w:t>
      </w:r>
    </w:p>
    <w:p w14:paraId="5F99A687" w14:textId="77777777" w:rsidR="00000000" w:rsidRDefault="000B42E3">
      <w:pPr>
        <w:tabs>
          <w:tab w:val="left" w:pos="680"/>
        </w:tabs>
        <w:jc w:val="both"/>
        <w:rPr>
          <w:rFonts w:ascii="Verdana" w:hAnsi="Verdana"/>
          <w:sz w:val="20"/>
        </w:rPr>
      </w:pPr>
    </w:p>
    <w:p w14:paraId="2496783D" w14:textId="77777777" w:rsidR="00000000" w:rsidRDefault="000B42E3">
      <w:pPr>
        <w:tabs>
          <w:tab w:val="left" w:pos="680"/>
        </w:tabs>
        <w:jc w:val="both"/>
        <w:rPr>
          <w:rFonts w:ascii="Verdana" w:hAnsi="Verdana"/>
          <w:sz w:val="20"/>
        </w:rPr>
      </w:pPr>
      <w:r>
        <w:rPr>
          <w:rFonts w:ascii="Verdana" w:hAnsi="Verdana"/>
          <w:sz w:val="20"/>
        </w:rPr>
        <w:t>6.</w:t>
      </w:r>
      <w:r>
        <w:rPr>
          <w:rFonts w:ascii="Verdana" w:hAnsi="Verdana"/>
          <w:sz w:val="20"/>
        </w:rPr>
        <w:tab/>
        <w:t>Poner la presente resolución a la consideración de la Corte durante su próximo Período Ordinario de Sesiones para los efectos pertinentes.</w:t>
      </w:r>
    </w:p>
    <w:p w14:paraId="3B8F84EB" w14:textId="77777777" w:rsidR="00000000" w:rsidRDefault="000B42E3">
      <w:pPr>
        <w:tabs>
          <w:tab w:val="left" w:pos="680"/>
        </w:tabs>
        <w:jc w:val="both"/>
        <w:rPr>
          <w:rFonts w:ascii="Verdana" w:hAnsi="Verdana"/>
          <w:sz w:val="20"/>
        </w:rPr>
      </w:pPr>
    </w:p>
    <w:p w14:paraId="0BEAED29" w14:textId="77777777" w:rsidR="00000000" w:rsidRDefault="000B42E3">
      <w:pPr>
        <w:tabs>
          <w:tab w:val="left" w:pos="680"/>
        </w:tabs>
        <w:jc w:val="both"/>
        <w:rPr>
          <w:rFonts w:ascii="Verdana" w:hAnsi="Verdana"/>
          <w:sz w:val="20"/>
        </w:rPr>
      </w:pPr>
    </w:p>
    <w:p w14:paraId="4E9903CD" w14:textId="77777777" w:rsidR="00000000" w:rsidRDefault="000B42E3">
      <w:pPr>
        <w:tabs>
          <w:tab w:val="left" w:pos="680"/>
        </w:tabs>
        <w:jc w:val="both"/>
        <w:rPr>
          <w:rFonts w:ascii="Verdana" w:hAnsi="Verdana"/>
          <w:sz w:val="20"/>
        </w:rPr>
      </w:pPr>
    </w:p>
    <w:p w14:paraId="5F33BB5E" w14:textId="77777777" w:rsidR="00000000" w:rsidRDefault="000B42E3">
      <w:pPr>
        <w:tabs>
          <w:tab w:val="left" w:pos="680"/>
        </w:tabs>
        <w:jc w:val="both"/>
        <w:rPr>
          <w:rFonts w:ascii="Verdana" w:hAnsi="Verdana"/>
          <w:sz w:val="20"/>
        </w:rPr>
      </w:pPr>
    </w:p>
    <w:p w14:paraId="5EA7F491" w14:textId="77777777" w:rsidR="00000000" w:rsidRDefault="000B42E3">
      <w:pPr>
        <w:tabs>
          <w:tab w:val="left" w:pos="680"/>
        </w:tabs>
        <w:ind w:left="4520"/>
        <w:jc w:val="center"/>
        <w:rPr>
          <w:rFonts w:ascii="Verdana" w:hAnsi="Verdana"/>
          <w:sz w:val="20"/>
        </w:rPr>
      </w:pPr>
    </w:p>
    <w:p w14:paraId="6C5E3C55" w14:textId="77777777" w:rsidR="00000000" w:rsidRDefault="000B42E3">
      <w:pPr>
        <w:tabs>
          <w:tab w:val="left" w:pos="680"/>
        </w:tabs>
        <w:ind w:left="4520"/>
        <w:jc w:val="center"/>
        <w:rPr>
          <w:rFonts w:ascii="Verdana" w:hAnsi="Verdana"/>
          <w:sz w:val="20"/>
        </w:rPr>
      </w:pPr>
    </w:p>
    <w:p w14:paraId="763D8B07" w14:textId="77777777" w:rsidR="00000000" w:rsidRDefault="000B42E3">
      <w:pPr>
        <w:tabs>
          <w:tab w:val="left" w:pos="680"/>
        </w:tabs>
        <w:ind w:left="4520"/>
        <w:jc w:val="center"/>
        <w:rPr>
          <w:rFonts w:ascii="Verdana" w:hAnsi="Verdana"/>
          <w:sz w:val="20"/>
        </w:rPr>
      </w:pPr>
    </w:p>
    <w:p w14:paraId="320B7904" w14:textId="77777777" w:rsidR="00000000" w:rsidRDefault="000B42E3">
      <w:pPr>
        <w:tabs>
          <w:tab w:val="left" w:pos="680"/>
        </w:tabs>
        <w:ind w:left="4520"/>
        <w:jc w:val="center"/>
        <w:rPr>
          <w:rFonts w:ascii="Verdana" w:hAnsi="Verdana"/>
          <w:sz w:val="20"/>
        </w:rPr>
      </w:pPr>
    </w:p>
    <w:p w14:paraId="7D2E5076" w14:textId="77777777" w:rsidR="00000000" w:rsidRDefault="000B42E3">
      <w:pPr>
        <w:tabs>
          <w:tab w:val="left" w:pos="680"/>
        </w:tabs>
        <w:ind w:left="4520"/>
        <w:jc w:val="center"/>
        <w:rPr>
          <w:rFonts w:ascii="Verdana" w:hAnsi="Verdana"/>
          <w:sz w:val="20"/>
        </w:rPr>
      </w:pPr>
    </w:p>
    <w:p w14:paraId="74D1C00A" w14:textId="77777777" w:rsidR="00000000" w:rsidRDefault="000B42E3">
      <w:pPr>
        <w:tabs>
          <w:tab w:val="left" w:pos="680"/>
        </w:tabs>
        <w:ind w:left="4520"/>
        <w:jc w:val="center"/>
        <w:rPr>
          <w:rFonts w:ascii="Verdana" w:hAnsi="Verdana"/>
          <w:sz w:val="20"/>
        </w:rPr>
      </w:pPr>
      <w:r>
        <w:rPr>
          <w:rFonts w:ascii="Verdana" w:hAnsi="Verdana"/>
          <w:sz w:val="20"/>
        </w:rPr>
        <w:t>Hernán Salgado Pesantes</w:t>
      </w:r>
    </w:p>
    <w:p w14:paraId="2DC14588" w14:textId="77777777" w:rsidR="00000000" w:rsidRDefault="000B42E3">
      <w:pPr>
        <w:tabs>
          <w:tab w:val="left" w:pos="680"/>
        </w:tabs>
        <w:ind w:left="4520"/>
        <w:jc w:val="center"/>
        <w:rPr>
          <w:rFonts w:ascii="Verdana" w:hAnsi="Verdana"/>
          <w:sz w:val="20"/>
        </w:rPr>
      </w:pPr>
      <w:r>
        <w:rPr>
          <w:rFonts w:ascii="Verdana" w:hAnsi="Verdana"/>
          <w:sz w:val="20"/>
        </w:rPr>
        <w:t>Presidente</w:t>
      </w:r>
    </w:p>
    <w:p w14:paraId="6A953CA8" w14:textId="77777777" w:rsidR="00000000" w:rsidRDefault="000B42E3">
      <w:pPr>
        <w:tabs>
          <w:tab w:val="left" w:pos="680"/>
        </w:tabs>
        <w:ind w:left="4520"/>
        <w:jc w:val="center"/>
        <w:rPr>
          <w:rFonts w:ascii="Verdana" w:hAnsi="Verdana"/>
          <w:sz w:val="20"/>
        </w:rPr>
      </w:pPr>
    </w:p>
    <w:p w14:paraId="7A44F975" w14:textId="77777777" w:rsidR="00000000" w:rsidRDefault="000B42E3">
      <w:pPr>
        <w:tabs>
          <w:tab w:val="left" w:pos="680"/>
        </w:tabs>
        <w:ind w:left="4520"/>
        <w:jc w:val="center"/>
        <w:rPr>
          <w:rFonts w:ascii="Verdana" w:hAnsi="Verdana"/>
          <w:sz w:val="20"/>
        </w:rPr>
      </w:pPr>
    </w:p>
    <w:p w14:paraId="4322E415" w14:textId="77777777" w:rsidR="00000000" w:rsidRDefault="000B42E3">
      <w:pPr>
        <w:tabs>
          <w:tab w:val="left" w:pos="680"/>
        </w:tabs>
        <w:ind w:left="4520"/>
        <w:jc w:val="center"/>
        <w:rPr>
          <w:rFonts w:ascii="Verdana" w:hAnsi="Verdana"/>
          <w:sz w:val="20"/>
        </w:rPr>
      </w:pPr>
    </w:p>
    <w:p w14:paraId="2C94C6BB" w14:textId="77777777" w:rsidR="00000000" w:rsidRDefault="000B42E3">
      <w:pPr>
        <w:tabs>
          <w:tab w:val="left" w:pos="680"/>
        </w:tabs>
        <w:ind w:left="4520"/>
        <w:jc w:val="center"/>
        <w:rPr>
          <w:rFonts w:ascii="Verdana" w:hAnsi="Verdana"/>
          <w:sz w:val="20"/>
        </w:rPr>
      </w:pPr>
    </w:p>
    <w:p w14:paraId="6298CA40" w14:textId="77777777" w:rsidR="00000000" w:rsidRDefault="000B42E3">
      <w:pPr>
        <w:tabs>
          <w:tab w:val="left" w:pos="680"/>
        </w:tabs>
        <w:ind w:left="840"/>
        <w:jc w:val="both"/>
        <w:rPr>
          <w:rFonts w:ascii="Verdana" w:hAnsi="Verdana"/>
          <w:sz w:val="20"/>
        </w:rPr>
      </w:pPr>
      <w:r>
        <w:rPr>
          <w:rFonts w:ascii="Verdana" w:hAnsi="Verdana"/>
          <w:sz w:val="20"/>
        </w:rPr>
        <w:t>Manuel E. Ventura Robles</w:t>
      </w:r>
    </w:p>
    <w:p w14:paraId="1A93DCAF" w14:textId="77777777" w:rsidR="00000000" w:rsidRDefault="000B42E3">
      <w:pPr>
        <w:tabs>
          <w:tab w:val="left" w:pos="680"/>
        </w:tabs>
        <w:ind w:left="1600"/>
        <w:jc w:val="both"/>
        <w:rPr>
          <w:rFonts w:ascii="Verdana" w:hAnsi="Verdana"/>
          <w:sz w:val="20"/>
        </w:rPr>
      </w:pPr>
      <w:r>
        <w:rPr>
          <w:rFonts w:ascii="Verdana" w:hAnsi="Verdana"/>
          <w:sz w:val="20"/>
        </w:rPr>
        <w:t>Secretario</w:t>
      </w:r>
    </w:p>
    <w:p w14:paraId="3585DA79" w14:textId="77777777" w:rsidR="00000000" w:rsidRDefault="000B42E3">
      <w:pPr>
        <w:tabs>
          <w:tab w:val="left" w:pos="680"/>
        </w:tabs>
        <w:jc w:val="both"/>
        <w:rPr>
          <w:rFonts w:ascii="Verdana" w:hAnsi="Verdana"/>
          <w:b/>
          <w:sz w:val="20"/>
        </w:rPr>
      </w:pPr>
    </w:p>
    <w:p w14:paraId="6B1B36EF" w14:textId="77777777" w:rsidR="00000000" w:rsidRDefault="000B42E3">
      <w:pPr>
        <w:tabs>
          <w:tab w:val="left" w:pos="680"/>
        </w:tabs>
        <w:jc w:val="both"/>
        <w:rPr>
          <w:rFonts w:ascii="Verdana" w:hAnsi="Verdana"/>
          <w:sz w:val="20"/>
        </w:rPr>
      </w:pPr>
    </w:p>
    <w:p w14:paraId="0E176D02" w14:textId="77777777" w:rsidR="00000000" w:rsidRDefault="000B42E3">
      <w:pPr>
        <w:tabs>
          <w:tab w:val="left" w:pos="680"/>
        </w:tabs>
        <w:jc w:val="both"/>
        <w:rPr>
          <w:rFonts w:ascii="Verdana" w:hAnsi="Verdana"/>
          <w:sz w:val="20"/>
        </w:rPr>
      </w:pPr>
    </w:p>
    <w:p w14:paraId="33BD94B5" w14:textId="77777777" w:rsidR="00000000" w:rsidRDefault="000B42E3">
      <w:pPr>
        <w:tabs>
          <w:tab w:val="left" w:pos="680"/>
        </w:tabs>
        <w:jc w:val="both"/>
        <w:rPr>
          <w:rFonts w:ascii="Verdana" w:hAnsi="Verdana"/>
          <w:sz w:val="20"/>
        </w:rPr>
      </w:pPr>
    </w:p>
    <w:p w14:paraId="0AFEB953" w14:textId="77777777" w:rsidR="00000000" w:rsidRDefault="000B42E3">
      <w:pPr>
        <w:tabs>
          <w:tab w:val="left" w:pos="680"/>
        </w:tabs>
        <w:jc w:val="both"/>
        <w:rPr>
          <w:rFonts w:ascii="Verdana" w:hAnsi="Verdana"/>
          <w:sz w:val="20"/>
        </w:rPr>
      </w:pPr>
      <w:r>
        <w:rPr>
          <w:rFonts w:ascii="Verdana" w:hAnsi="Verdana"/>
          <w:sz w:val="20"/>
        </w:rPr>
        <w:t>Comuníquese y ejecúte</w:t>
      </w:r>
      <w:r>
        <w:rPr>
          <w:rFonts w:ascii="Verdana" w:hAnsi="Verdana"/>
          <w:sz w:val="20"/>
        </w:rPr>
        <w:t>se,</w:t>
      </w:r>
    </w:p>
    <w:p w14:paraId="69186943" w14:textId="77777777" w:rsidR="00000000" w:rsidRDefault="000B42E3">
      <w:pPr>
        <w:tabs>
          <w:tab w:val="left" w:pos="680"/>
        </w:tabs>
        <w:jc w:val="both"/>
        <w:rPr>
          <w:rFonts w:ascii="Verdana" w:hAnsi="Verdana"/>
          <w:sz w:val="20"/>
        </w:rPr>
      </w:pPr>
    </w:p>
    <w:p w14:paraId="688B0D73" w14:textId="77777777" w:rsidR="00000000" w:rsidRDefault="000B42E3">
      <w:pPr>
        <w:tabs>
          <w:tab w:val="left" w:pos="680"/>
        </w:tabs>
        <w:ind w:left="4520"/>
        <w:jc w:val="center"/>
        <w:rPr>
          <w:rFonts w:ascii="Verdana" w:hAnsi="Verdana"/>
          <w:sz w:val="20"/>
        </w:rPr>
      </w:pPr>
    </w:p>
    <w:p w14:paraId="398FD403" w14:textId="77777777" w:rsidR="00000000" w:rsidRDefault="000B42E3">
      <w:pPr>
        <w:tabs>
          <w:tab w:val="left" w:pos="680"/>
        </w:tabs>
        <w:ind w:left="4520"/>
        <w:jc w:val="center"/>
        <w:rPr>
          <w:rFonts w:ascii="Verdana" w:hAnsi="Verdana"/>
          <w:sz w:val="20"/>
        </w:rPr>
      </w:pPr>
    </w:p>
    <w:p w14:paraId="5DC54BC2" w14:textId="77777777" w:rsidR="00000000" w:rsidRDefault="000B42E3">
      <w:pPr>
        <w:tabs>
          <w:tab w:val="left" w:pos="680"/>
        </w:tabs>
        <w:ind w:left="4520"/>
        <w:jc w:val="center"/>
        <w:rPr>
          <w:rFonts w:ascii="Verdana" w:hAnsi="Verdana"/>
          <w:sz w:val="20"/>
        </w:rPr>
      </w:pPr>
      <w:r>
        <w:rPr>
          <w:rFonts w:ascii="Verdana" w:hAnsi="Verdana"/>
          <w:sz w:val="20"/>
        </w:rPr>
        <w:t>Hernán Salgado Pesantes</w:t>
      </w:r>
    </w:p>
    <w:p w14:paraId="74F8350E" w14:textId="77777777" w:rsidR="00000000" w:rsidRDefault="000B42E3">
      <w:pPr>
        <w:tabs>
          <w:tab w:val="left" w:pos="680"/>
        </w:tabs>
        <w:ind w:left="4520"/>
        <w:jc w:val="center"/>
        <w:rPr>
          <w:rFonts w:ascii="Verdana" w:hAnsi="Verdana"/>
          <w:sz w:val="20"/>
        </w:rPr>
      </w:pPr>
      <w:r>
        <w:rPr>
          <w:rFonts w:ascii="Verdana" w:hAnsi="Verdana"/>
          <w:sz w:val="20"/>
        </w:rPr>
        <w:t>Presidente</w:t>
      </w:r>
    </w:p>
    <w:p w14:paraId="71184348" w14:textId="77777777" w:rsidR="00000000" w:rsidRDefault="000B42E3">
      <w:pPr>
        <w:tabs>
          <w:tab w:val="left" w:pos="680"/>
        </w:tabs>
        <w:ind w:left="4520"/>
        <w:jc w:val="center"/>
        <w:rPr>
          <w:rFonts w:ascii="Verdana" w:hAnsi="Verdana"/>
          <w:sz w:val="20"/>
        </w:rPr>
      </w:pPr>
    </w:p>
    <w:p w14:paraId="4ADA2242" w14:textId="77777777" w:rsidR="00000000" w:rsidRDefault="000B42E3">
      <w:pPr>
        <w:tabs>
          <w:tab w:val="left" w:pos="680"/>
        </w:tabs>
        <w:ind w:left="4520"/>
        <w:jc w:val="center"/>
        <w:rPr>
          <w:rFonts w:ascii="Verdana" w:hAnsi="Verdana"/>
          <w:sz w:val="20"/>
        </w:rPr>
      </w:pPr>
    </w:p>
    <w:p w14:paraId="2D61169E" w14:textId="77777777" w:rsidR="00000000" w:rsidRDefault="000B42E3">
      <w:pPr>
        <w:tabs>
          <w:tab w:val="left" w:pos="680"/>
        </w:tabs>
        <w:ind w:left="4520"/>
        <w:jc w:val="center"/>
        <w:rPr>
          <w:rFonts w:ascii="Verdana" w:hAnsi="Verdana"/>
          <w:sz w:val="20"/>
        </w:rPr>
      </w:pPr>
    </w:p>
    <w:p w14:paraId="00AD80AC" w14:textId="77777777" w:rsidR="00000000" w:rsidRDefault="000B42E3">
      <w:pPr>
        <w:tabs>
          <w:tab w:val="left" w:pos="680"/>
        </w:tabs>
        <w:ind w:left="4520"/>
        <w:jc w:val="center"/>
        <w:rPr>
          <w:rFonts w:ascii="Verdana" w:hAnsi="Verdana"/>
          <w:sz w:val="20"/>
        </w:rPr>
      </w:pPr>
    </w:p>
    <w:p w14:paraId="1B2DEEB9" w14:textId="77777777" w:rsidR="00000000" w:rsidRDefault="000B42E3">
      <w:pPr>
        <w:tabs>
          <w:tab w:val="left" w:pos="680"/>
        </w:tabs>
        <w:ind w:left="840"/>
        <w:jc w:val="both"/>
        <w:rPr>
          <w:rFonts w:ascii="Verdana" w:hAnsi="Verdana"/>
          <w:sz w:val="20"/>
        </w:rPr>
      </w:pPr>
      <w:r>
        <w:rPr>
          <w:rFonts w:ascii="Verdana" w:hAnsi="Verdana"/>
          <w:sz w:val="20"/>
        </w:rPr>
        <w:t>Manuel E. Ventura Robles</w:t>
      </w:r>
    </w:p>
    <w:p w14:paraId="4C2BF770" w14:textId="77777777" w:rsidR="00000000" w:rsidRDefault="000B42E3">
      <w:pPr>
        <w:tabs>
          <w:tab w:val="left" w:pos="680"/>
        </w:tabs>
        <w:ind w:left="1600"/>
        <w:jc w:val="both"/>
        <w:rPr>
          <w:rFonts w:ascii="Verdana" w:hAnsi="Verdana"/>
          <w:sz w:val="20"/>
        </w:rPr>
      </w:pPr>
      <w:r>
        <w:rPr>
          <w:rFonts w:ascii="Verdana" w:hAnsi="Verdana"/>
          <w:sz w:val="20"/>
        </w:rPr>
        <w:t>Secretario</w:t>
      </w:r>
    </w:p>
    <w:p w14:paraId="4DC06CEC" w14:textId="77777777" w:rsidR="000B42E3" w:rsidRDefault="000B42E3">
      <w:pPr>
        <w:rPr>
          <w:rFonts w:ascii="Verdana" w:hAnsi="Verdana"/>
          <w:sz w:val="20"/>
        </w:rPr>
      </w:pPr>
    </w:p>
    <w:sectPr w:rsidR="000B42E3">
      <w:headerReference w:type="even" r:id="rId6"/>
      <w:headerReference w:type="default" r:id="rId7"/>
      <w:footerReference w:type="even" r:id="rId8"/>
      <w:footerReference w:type="default" r:id="rId9"/>
      <w:headerReference w:type="first" r:id="rId10"/>
      <w:footerReference w:type="first" r:id="rId11"/>
      <w:pgSz w:w="12240" w:h="15840"/>
      <w:pgMar w:top="-1701" w:right="1418" w:bottom="-1418"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F5A0F1" w14:textId="77777777" w:rsidR="000B42E3" w:rsidRDefault="000B42E3">
      <w:r>
        <w:separator/>
      </w:r>
    </w:p>
  </w:endnote>
  <w:endnote w:type="continuationSeparator" w:id="0">
    <w:p w14:paraId="2BC5D83F" w14:textId="77777777" w:rsidR="000B42E3" w:rsidRDefault="000B4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A8A2A9" w14:textId="77777777" w:rsidR="00000000" w:rsidRDefault="000B42E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30089E" w14:textId="77777777" w:rsidR="00000000" w:rsidRDefault="000B42E3">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3232AF" w14:textId="77777777" w:rsidR="00000000" w:rsidRDefault="000B42E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BCFFFD" w14:textId="77777777" w:rsidR="000B42E3" w:rsidRDefault="000B42E3">
      <w:r>
        <w:separator/>
      </w:r>
    </w:p>
  </w:footnote>
  <w:footnote w:type="continuationSeparator" w:id="0">
    <w:p w14:paraId="0FBE21BF" w14:textId="77777777" w:rsidR="000B42E3" w:rsidRDefault="000B4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C03E31" w14:textId="77777777" w:rsidR="00000000" w:rsidRDefault="000B42E3">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2C1EA55C" w14:textId="77777777" w:rsidR="00000000" w:rsidRDefault="000B42E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C5E351" w14:textId="77777777" w:rsidR="00000000" w:rsidRDefault="000B42E3">
    <w:pPr>
      <w:pStyle w:val="Encabezado"/>
      <w:framePr w:wrap="around" w:vAnchor="text" w:hAnchor="margin" w:xAlign="center" w:y="1"/>
      <w:rPr>
        <w:rStyle w:val="Nmerodepgina"/>
        <w:rFonts w:ascii="Verdana" w:hAnsi="Verdana"/>
        <w:sz w:val="20"/>
      </w:rPr>
    </w:pPr>
    <w:r>
      <w:rPr>
        <w:rStyle w:val="Nmerodepgina"/>
        <w:rFonts w:ascii="Verdana" w:hAnsi="Verdana"/>
        <w:sz w:val="20"/>
      </w:rPr>
      <w:fldChar w:fldCharType="begin"/>
    </w:r>
    <w:r>
      <w:rPr>
        <w:rStyle w:val="Nmerodepgina"/>
        <w:rFonts w:ascii="Verdana" w:hAnsi="Verdana"/>
        <w:sz w:val="20"/>
      </w:rPr>
      <w:instrText xml:space="preserve">PAGE  </w:instrText>
    </w:r>
    <w:r>
      <w:rPr>
        <w:rStyle w:val="Nmerodepgina"/>
        <w:rFonts w:ascii="Verdana" w:hAnsi="Verdana"/>
        <w:sz w:val="20"/>
      </w:rPr>
      <w:fldChar w:fldCharType="separate"/>
    </w:r>
    <w:r>
      <w:rPr>
        <w:rStyle w:val="Nmerodepgina"/>
        <w:rFonts w:ascii="Verdana" w:hAnsi="Verdana"/>
        <w:noProof/>
        <w:sz w:val="20"/>
      </w:rPr>
      <w:t>2</w:t>
    </w:r>
    <w:r>
      <w:rPr>
        <w:rStyle w:val="Nmerodepgina"/>
        <w:rFonts w:ascii="Verdana" w:hAnsi="Verdana"/>
        <w:sz w:val="20"/>
      </w:rPr>
      <w:fldChar w:fldCharType="end"/>
    </w:r>
  </w:p>
  <w:p w14:paraId="19AE8055" w14:textId="77777777" w:rsidR="00000000" w:rsidRDefault="000B42E3">
    <w:pPr>
      <w:pStyle w:val="Encabezado"/>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B47BD4" w14:textId="77777777" w:rsidR="00000000" w:rsidRDefault="000B42E3">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844"/>
    <w:rsid w:val="000B42E3"/>
    <w:rsid w:val="00D8184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F52579"/>
  <w15:chartTrackingRefBased/>
  <w15:docId w15:val="{9AE757CE-371C-4864-B0C8-722158D68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AR" w:eastAsia="es-A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s-ES" w:eastAsia="es-ES"/>
    </w:rPr>
  </w:style>
  <w:style w:type="paragraph" w:styleId="Ttulo1">
    <w:name w:val="heading 1"/>
    <w:basedOn w:val="Normal"/>
    <w:next w:val="Normal"/>
    <w:qFormat/>
    <w:pPr>
      <w:keepNext/>
      <w:jc w:val="center"/>
      <w:outlineLvl w:val="0"/>
    </w:pPr>
    <w:rPr>
      <w:rFonts w:ascii="Garamond" w:hAnsi="Garamond"/>
      <w:b/>
      <w:smallCaps/>
      <w:szCs w:val="20"/>
      <w:lang w:val="en-US"/>
    </w:rPr>
  </w:style>
  <w:style w:type="character" w:default="1" w:styleId="Fuentedeprrafopredeter">
    <w:name w:val="Default Paragraph Font"/>
    <w:semiHidden/>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320"/>
        <w:tab w:val="right" w:pos="8640"/>
      </w:tabs>
    </w:pPr>
    <w:rPr>
      <w:rFonts w:ascii="Times" w:hAnsi="Times"/>
      <w:szCs w:val="20"/>
      <w:lang w:val="en-US"/>
    </w:rPr>
  </w:style>
  <w:style w:type="paragraph" w:styleId="Textodebloque">
    <w:name w:val="Block Text"/>
    <w:basedOn w:val="Normal"/>
    <w:semiHidden/>
    <w:pPr>
      <w:ind w:left="1120" w:right="724"/>
      <w:jc w:val="both"/>
    </w:pPr>
    <w:rPr>
      <w:rFonts w:ascii="Verdana" w:hAnsi="Verdana"/>
      <w:sz w:val="18"/>
    </w:rPr>
  </w:style>
  <w:style w:type="paragraph" w:styleId="Piedepgina">
    <w:name w:val="footer"/>
    <w:basedOn w:val="Normal"/>
    <w:semiHidden/>
    <w:pPr>
      <w:tabs>
        <w:tab w:val="center" w:pos="4252"/>
        <w:tab w:val="right" w:pos="8504"/>
      </w:tabs>
    </w:pPr>
  </w:style>
  <w:style w:type="character" w:styleId="Nmerodepgina">
    <w:name w:val="page number"/>
    <w:basedOn w:val="Fuentedeprrafopredeter"/>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1280</Words>
  <Characters>6739</Characters>
  <Application>Microsoft Office Word</Application>
  <DocSecurity>0</DocSecurity>
  <Lines>114</Lines>
  <Paragraphs>30</Paragraphs>
  <ScaleCrop>false</ScaleCrop>
  <HeadingPairs>
    <vt:vector size="2" baseType="variant">
      <vt:variant>
        <vt:lpstr>Título</vt:lpstr>
      </vt:variant>
      <vt:variant>
        <vt:i4>1</vt:i4>
      </vt:variant>
    </vt:vector>
  </HeadingPairs>
  <TitlesOfParts>
    <vt:vector size="1" baseType="lpstr">
      <vt:lpstr>RESOLUCIÓN DEL PRESIDENTE DE </vt:lpstr>
    </vt:vector>
  </TitlesOfParts>
  <Company>Corte IDH</Company>
  <LinksUpToDate>false</LinksUpToDate>
  <CharactersWithSpaces>7989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RESOLUCIÓN DEL PRESIDENTE DE</dc:title>
  <dc:subject/>
  <dc:creator>cla</dc:creator>
  <cp:keywords/>
  <dc:description/>
  <cp:lastModifiedBy>Liliana Tojo</cp:lastModifiedBy>
  <cp:revision>2</cp:revision>
  <dcterms:created xsi:type="dcterms:W3CDTF">2020-09-30T16:54:00Z</dcterms:created>
  <dcterms:modified xsi:type="dcterms:W3CDTF">2020-09-30T16:54:00Z</dcterms:modified>
</cp:coreProperties>
</file>