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78BF7" w14:textId="77777777" w:rsidR="00204734" w:rsidRPr="003D709A" w:rsidRDefault="00204734" w:rsidP="003D709A">
      <w:pPr>
        <w:spacing w:after="0" w:line="240" w:lineRule="auto"/>
        <w:jc w:val="center"/>
        <w:rPr>
          <w:rFonts w:ascii="Verdana" w:hAnsi="Verdana"/>
          <w:b/>
          <w:sz w:val="20"/>
          <w:szCs w:val="20"/>
          <w:lang w:val="es-CR"/>
        </w:rPr>
      </w:pPr>
    </w:p>
    <w:p w14:paraId="483157B3" w14:textId="77777777" w:rsidR="00204734" w:rsidRPr="003D709A" w:rsidRDefault="00204734" w:rsidP="003D709A">
      <w:pPr>
        <w:spacing w:after="0" w:line="240" w:lineRule="auto"/>
        <w:jc w:val="center"/>
        <w:rPr>
          <w:rFonts w:ascii="Verdana" w:hAnsi="Verdana"/>
          <w:b/>
          <w:sz w:val="20"/>
          <w:szCs w:val="20"/>
          <w:lang w:val="es-CR"/>
        </w:rPr>
      </w:pPr>
    </w:p>
    <w:p w14:paraId="27FE471E" w14:textId="77777777" w:rsidR="00002BC3" w:rsidRPr="003D709A" w:rsidRDefault="00002BC3" w:rsidP="003D709A">
      <w:pPr>
        <w:spacing w:after="0" w:line="240" w:lineRule="auto"/>
        <w:jc w:val="center"/>
        <w:rPr>
          <w:rFonts w:ascii="Verdana" w:hAnsi="Verdana"/>
          <w:b/>
          <w:sz w:val="20"/>
          <w:szCs w:val="20"/>
          <w:lang w:val="es-CR"/>
        </w:rPr>
      </w:pPr>
    </w:p>
    <w:p w14:paraId="60FB229D" w14:textId="77777777" w:rsidR="00EB6306" w:rsidRPr="003D709A" w:rsidRDefault="00EB6306" w:rsidP="003D709A">
      <w:pPr>
        <w:spacing w:after="0" w:line="240" w:lineRule="auto"/>
        <w:jc w:val="center"/>
        <w:rPr>
          <w:rFonts w:ascii="Verdana" w:hAnsi="Verdana"/>
          <w:b/>
          <w:sz w:val="20"/>
          <w:szCs w:val="20"/>
          <w:lang w:val="es-CR"/>
        </w:rPr>
      </w:pPr>
    </w:p>
    <w:p w14:paraId="1D6BBD46" w14:textId="77777777" w:rsidR="00EB6306" w:rsidRPr="003D709A" w:rsidRDefault="00EB6306" w:rsidP="003D709A">
      <w:pPr>
        <w:spacing w:after="0" w:line="240" w:lineRule="auto"/>
        <w:jc w:val="center"/>
        <w:rPr>
          <w:rFonts w:ascii="Verdana" w:hAnsi="Verdana"/>
          <w:b/>
          <w:sz w:val="20"/>
          <w:szCs w:val="20"/>
          <w:lang w:val="es-CR"/>
        </w:rPr>
      </w:pPr>
    </w:p>
    <w:p w14:paraId="4948F0E8" w14:textId="77777777" w:rsidR="00002BC3" w:rsidRPr="003D709A" w:rsidRDefault="00002BC3" w:rsidP="003D709A">
      <w:pPr>
        <w:spacing w:after="0" w:line="240" w:lineRule="auto"/>
        <w:jc w:val="center"/>
        <w:rPr>
          <w:rFonts w:ascii="Verdana" w:hAnsi="Verdana"/>
          <w:b/>
          <w:sz w:val="20"/>
          <w:szCs w:val="20"/>
          <w:lang w:val="es-CR"/>
        </w:rPr>
      </w:pPr>
    </w:p>
    <w:p w14:paraId="0E4EE341" w14:textId="77777777" w:rsidR="009426EB" w:rsidRPr="003D709A" w:rsidRDefault="009426EB" w:rsidP="003D709A">
      <w:pPr>
        <w:spacing w:after="0" w:line="240" w:lineRule="auto"/>
        <w:jc w:val="center"/>
        <w:rPr>
          <w:rFonts w:ascii="Verdana" w:hAnsi="Verdana"/>
          <w:b/>
          <w:sz w:val="20"/>
          <w:szCs w:val="20"/>
          <w:lang w:val="es-CR"/>
        </w:rPr>
      </w:pPr>
    </w:p>
    <w:p w14:paraId="0370E878" w14:textId="77777777" w:rsidR="00002BC3" w:rsidRPr="003D709A" w:rsidRDefault="00002BC3" w:rsidP="003D709A">
      <w:pPr>
        <w:spacing w:after="0" w:line="240" w:lineRule="auto"/>
        <w:jc w:val="center"/>
        <w:rPr>
          <w:rFonts w:ascii="Verdana" w:hAnsi="Verdana"/>
          <w:b/>
          <w:sz w:val="20"/>
          <w:szCs w:val="20"/>
          <w:lang w:val="es-CR"/>
        </w:rPr>
      </w:pPr>
      <w:r w:rsidRPr="003D709A">
        <w:rPr>
          <w:rFonts w:ascii="Verdana" w:hAnsi="Verdana"/>
          <w:b/>
          <w:sz w:val="20"/>
          <w:szCs w:val="20"/>
          <w:lang w:val="es-CR"/>
        </w:rPr>
        <w:t xml:space="preserve">RESOLUCIÓN DE LA </w:t>
      </w:r>
    </w:p>
    <w:p w14:paraId="1D92EB62" w14:textId="77777777" w:rsidR="00002BC3" w:rsidRPr="003D709A" w:rsidRDefault="00002BC3" w:rsidP="003D709A">
      <w:pPr>
        <w:spacing w:after="0" w:line="240" w:lineRule="auto"/>
        <w:jc w:val="center"/>
        <w:rPr>
          <w:rFonts w:ascii="Verdana" w:hAnsi="Verdana"/>
          <w:b/>
          <w:smallCaps/>
          <w:sz w:val="20"/>
          <w:szCs w:val="20"/>
          <w:lang w:val="es-CR"/>
        </w:rPr>
      </w:pPr>
      <w:r w:rsidRPr="003D709A">
        <w:rPr>
          <w:rFonts w:ascii="Verdana" w:hAnsi="Verdana"/>
          <w:b/>
          <w:sz w:val="20"/>
          <w:szCs w:val="20"/>
          <w:lang w:val="es-CR"/>
        </w:rPr>
        <w:t>CORTE INTERAMERICANA DE DERECHOS HUMANOS</w:t>
      </w:r>
      <w:r w:rsidR="00EC36B9">
        <w:rPr>
          <w:rFonts w:ascii="Verdana" w:hAnsi="Verdana"/>
          <w:b/>
          <w:sz w:val="20"/>
          <w:szCs w:val="20"/>
          <w:lang w:val="es-CR"/>
        </w:rPr>
        <w:t>*</w:t>
      </w:r>
    </w:p>
    <w:p w14:paraId="285CD363" w14:textId="77777777" w:rsidR="00002BC3" w:rsidRPr="003D709A" w:rsidRDefault="00002BC3" w:rsidP="003D709A">
      <w:pPr>
        <w:spacing w:after="0" w:line="240" w:lineRule="auto"/>
        <w:jc w:val="center"/>
        <w:rPr>
          <w:rFonts w:ascii="Verdana" w:hAnsi="Verdana"/>
          <w:b/>
          <w:sz w:val="20"/>
          <w:szCs w:val="20"/>
          <w:lang w:val="es-CR"/>
        </w:rPr>
      </w:pPr>
    </w:p>
    <w:p w14:paraId="0C264D11" w14:textId="77777777" w:rsidR="00002BC3" w:rsidRPr="003D709A" w:rsidRDefault="00002BC3" w:rsidP="003D709A">
      <w:pPr>
        <w:spacing w:after="0" w:line="240" w:lineRule="auto"/>
        <w:jc w:val="center"/>
        <w:rPr>
          <w:rFonts w:ascii="Verdana" w:hAnsi="Verdana"/>
          <w:b/>
          <w:sz w:val="20"/>
          <w:szCs w:val="20"/>
          <w:lang w:val="es-CR"/>
        </w:rPr>
      </w:pPr>
      <w:r w:rsidRPr="003D709A">
        <w:rPr>
          <w:rFonts w:ascii="Verdana" w:hAnsi="Verdana"/>
          <w:b/>
          <w:sz w:val="20"/>
          <w:szCs w:val="20"/>
          <w:lang w:val="es-CR"/>
        </w:rPr>
        <w:t xml:space="preserve">DE </w:t>
      </w:r>
      <w:r w:rsidR="0090732D">
        <w:rPr>
          <w:rFonts w:ascii="Verdana" w:hAnsi="Verdana"/>
          <w:b/>
          <w:sz w:val="20"/>
          <w:szCs w:val="20"/>
          <w:lang w:val="es-CR"/>
        </w:rPr>
        <w:t>20</w:t>
      </w:r>
      <w:r w:rsidRPr="003D709A">
        <w:rPr>
          <w:rFonts w:ascii="Verdana" w:hAnsi="Verdana"/>
          <w:b/>
          <w:sz w:val="20"/>
          <w:szCs w:val="20"/>
          <w:lang w:val="es-CR"/>
        </w:rPr>
        <w:t xml:space="preserve"> </w:t>
      </w:r>
      <w:r w:rsidRPr="0090732D">
        <w:rPr>
          <w:rFonts w:ascii="Verdana" w:hAnsi="Verdana"/>
          <w:b/>
          <w:sz w:val="20"/>
          <w:szCs w:val="20"/>
          <w:lang w:val="es-CR"/>
        </w:rPr>
        <w:t xml:space="preserve">DE </w:t>
      </w:r>
      <w:r w:rsidR="00906A1F" w:rsidRPr="0090732D">
        <w:rPr>
          <w:rFonts w:ascii="Verdana" w:hAnsi="Verdana"/>
          <w:b/>
          <w:sz w:val="20"/>
          <w:szCs w:val="20"/>
          <w:lang w:val="es-CR"/>
        </w:rPr>
        <w:t>JULIO</w:t>
      </w:r>
      <w:r w:rsidR="001B76DD">
        <w:rPr>
          <w:rFonts w:ascii="Verdana" w:hAnsi="Verdana"/>
          <w:b/>
          <w:sz w:val="20"/>
          <w:szCs w:val="20"/>
          <w:lang w:val="es-CR"/>
        </w:rPr>
        <w:t xml:space="preserve"> DE 2020</w:t>
      </w:r>
    </w:p>
    <w:p w14:paraId="34673F52" w14:textId="77777777" w:rsidR="00002BC3" w:rsidRPr="003D709A" w:rsidRDefault="00002BC3" w:rsidP="003D709A">
      <w:pPr>
        <w:spacing w:after="0" w:line="240" w:lineRule="auto"/>
        <w:jc w:val="center"/>
        <w:rPr>
          <w:rFonts w:ascii="Verdana" w:hAnsi="Verdana"/>
          <w:b/>
          <w:sz w:val="20"/>
          <w:szCs w:val="20"/>
          <w:lang w:val="es-CR"/>
        </w:rPr>
      </w:pPr>
    </w:p>
    <w:p w14:paraId="77F504D4" w14:textId="77777777" w:rsidR="00002BC3" w:rsidRPr="003D709A" w:rsidRDefault="00002BC3" w:rsidP="003D709A">
      <w:pPr>
        <w:spacing w:after="0" w:line="240" w:lineRule="auto"/>
        <w:jc w:val="center"/>
        <w:rPr>
          <w:rFonts w:ascii="Verdana" w:hAnsi="Verdana"/>
          <w:b/>
          <w:i/>
          <w:sz w:val="20"/>
          <w:szCs w:val="20"/>
          <w:lang w:val="es-CR"/>
        </w:rPr>
      </w:pPr>
      <w:r w:rsidRPr="003D709A">
        <w:rPr>
          <w:rFonts w:ascii="Verdana" w:hAnsi="Verdana"/>
          <w:b/>
          <w:i/>
          <w:sz w:val="20"/>
          <w:szCs w:val="20"/>
          <w:lang w:val="es-CR"/>
        </w:rPr>
        <w:t xml:space="preserve">CASO </w:t>
      </w:r>
      <w:r w:rsidR="00346E35" w:rsidRPr="003D709A">
        <w:rPr>
          <w:rFonts w:ascii="Verdana" w:hAnsi="Verdana"/>
          <w:b/>
          <w:i/>
          <w:sz w:val="20"/>
          <w:szCs w:val="20"/>
          <w:lang w:val="es-CR"/>
        </w:rPr>
        <w:t>MUNÁRRIZ ESCOBAR</w:t>
      </w:r>
      <w:r w:rsidRPr="003D709A">
        <w:rPr>
          <w:rFonts w:ascii="Verdana" w:hAnsi="Verdana"/>
          <w:b/>
          <w:i/>
          <w:sz w:val="20"/>
          <w:szCs w:val="20"/>
          <w:lang w:val="es-CR"/>
        </w:rPr>
        <w:t xml:space="preserve"> Y OTROS VS. PERÚ</w:t>
      </w:r>
    </w:p>
    <w:p w14:paraId="0DC72344" w14:textId="77777777" w:rsidR="00002BC3" w:rsidRPr="003D709A" w:rsidRDefault="00002BC3" w:rsidP="003D709A">
      <w:pPr>
        <w:spacing w:after="0" w:line="240" w:lineRule="auto"/>
        <w:jc w:val="center"/>
        <w:rPr>
          <w:rFonts w:ascii="Verdana" w:hAnsi="Verdana"/>
          <w:b/>
          <w:sz w:val="20"/>
          <w:szCs w:val="20"/>
          <w:lang w:val="es-CR"/>
        </w:rPr>
      </w:pPr>
    </w:p>
    <w:p w14:paraId="2BA0B10F" w14:textId="77777777" w:rsidR="00002BC3" w:rsidRPr="003D709A" w:rsidRDefault="00002BC3" w:rsidP="003D709A">
      <w:pPr>
        <w:spacing w:after="0" w:line="240" w:lineRule="auto"/>
        <w:jc w:val="center"/>
        <w:rPr>
          <w:rFonts w:ascii="Verdana" w:hAnsi="Verdana"/>
          <w:b/>
          <w:sz w:val="20"/>
          <w:szCs w:val="20"/>
          <w:lang w:val="es-CR"/>
        </w:rPr>
      </w:pPr>
      <w:r w:rsidRPr="003D709A">
        <w:rPr>
          <w:rFonts w:ascii="Verdana" w:hAnsi="Verdana"/>
          <w:b/>
          <w:sz w:val="20"/>
          <w:szCs w:val="20"/>
          <w:lang w:val="es-CR"/>
        </w:rPr>
        <w:t>SUPERVISIÓN DE CUMPLIMIENTO DE SENTENCIA</w:t>
      </w:r>
    </w:p>
    <w:p w14:paraId="4EB55F9E" w14:textId="77777777" w:rsidR="00002BC3" w:rsidRPr="003D709A" w:rsidRDefault="00002BC3" w:rsidP="003D709A">
      <w:pPr>
        <w:spacing w:after="0" w:line="240" w:lineRule="auto"/>
        <w:jc w:val="both"/>
        <w:rPr>
          <w:rFonts w:ascii="Verdana" w:hAnsi="Verdana"/>
          <w:b/>
          <w:sz w:val="20"/>
          <w:szCs w:val="20"/>
          <w:lang w:val="es-CR"/>
        </w:rPr>
      </w:pPr>
    </w:p>
    <w:p w14:paraId="1F222211" w14:textId="77777777" w:rsidR="00002BC3" w:rsidRPr="003D709A" w:rsidRDefault="00002BC3" w:rsidP="003D709A">
      <w:pPr>
        <w:spacing w:after="0" w:line="240" w:lineRule="auto"/>
        <w:jc w:val="both"/>
        <w:rPr>
          <w:rFonts w:ascii="Verdana" w:hAnsi="Verdana"/>
          <w:b/>
          <w:sz w:val="20"/>
          <w:szCs w:val="20"/>
          <w:lang w:val="es-CR"/>
        </w:rPr>
      </w:pPr>
      <w:r w:rsidRPr="003D709A">
        <w:rPr>
          <w:rFonts w:ascii="Verdana" w:hAnsi="Verdana"/>
          <w:b/>
          <w:sz w:val="20"/>
          <w:szCs w:val="20"/>
          <w:lang w:val="es-CR"/>
        </w:rPr>
        <w:t xml:space="preserve">VISTO: </w:t>
      </w:r>
    </w:p>
    <w:p w14:paraId="7B81AEB4" w14:textId="77777777" w:rsidR="00374253" w:rsidRPr="003D709A" w:rsidRDefault="00374253" w:rsidP="003D709A">
      <w:pPr>
        <w:pStyle w:val="Prrafodelista"/>
        <w:spacing w:after="0" w:line="240" w:lineRule="auto"/>
        <w:ind w:left="0"/>
        <w:jc w:val="both"/>
        <w:rPr>
          <w:rFonts w:ascii="Verdana" w:hAnsi="Verdana"/>
          <w:sz w:val="20"/>
          <w:szCs w:val="20"/>
          <w:lang w:val="es-CR"/>
        </w:rPr>
      </w:pPr>
    </w:p>
    <w:p w14:paraId="39182900" w14:textId="77777777" w:rsidR="00201442" w:rsidRPr="00D51BA7" w:rsidRDefault="005B288B" w:rsidP="003D709A">
      <w:pPr>
        <w:pStyle w:val="Prrafodelista"/>
        <w:numPr>
          <w:ilvl w:val="0"/>
          <w:numId w:val="1"/>
        </w:numPr>
        <w:spacing w:after="0" w:line="240" w:lineRule="auto"/>
        <w:ind w:left="0" w:firstLine="0"/>
        <w:jc w:val="both"/>
        <w:rPr>
          <w:rFonts w:ascii="Verdana" w:hAnsi="Verdana"/>
          <w:sz w:val="20"/>
          <w:szCs w:val="20"/>
          <w:lang w:val="es-CR"/>
        </w:rPr>
      </w:pPr>
      <w:r w:rsidRPr="00D51BA7">
        <w:rPr>
          <w:rFonts w:ascii="Verdana" w:hAnsi="Verdana"/>
          <w:sz w:val="20"/>
          <w:szCs w:val="20"/>
          <w:lang w:val="es-CR"/>
        </w:rPr>
        <w:t>La Sentencia de excepción</w:t>
      </w:r>
      <w:r w:rsidR="00002BC3" w:rsidRPr="00D51BA7">
        <w:rPr>
          <w:rFonts w:ascii="Verdana" w:hAnsi="Verdana"/>
          <w:sz w:val="20"/>
          <w:szCs w:val="20"/>
          <w:lang w:val="es-CR"/>
        </w:rPr>
        <w:t xml:space="preserve"> preliminar, fondo, reparaciones y costas (en adelante “la Sentencia”) dictada por la Corte Interamericana de Derechos Humanos (en adelante “la Corte Interamericana”, “la Corte” o “el Tribunal”) el </w:t>
      </w:r>
      <w:r w:rsidRPr="00D51BA7">
        <w:rPr>
          <w:rFonts w:ascii="Verdana" w:hAnsi="Verdana"/>
          <w:sz w:val="20"/>
          <w:szCs w:val="20"/>
          <w:lang w:val="es-CR"/>
        </w:rPr>
        <w:t>20 de agosto de 2018</w:t>
      </w:r>
      <w:r w:rsidR="00002BC3" w:rsidRPr="00D51BA7">
        <w:rPr>
          <w:rStyle w:val="Refdenotaalpie"/>
          <w:rFonts w:ascii="Verdana" w:hAnsi="Verdana"/>
          <w:sz w:val="20"/>
          <w:szCs w:val="20"/>
          <w:lang w:val="es-CR"/>
        </w:rPr>
        <w:footnoteReference w:id="1"/>
      </w:r>
      <w:r w:rsidR="00002BC3" w:rsidRPr="00D51BA7">
        <w:rPr>
          <w:rFonts w:ascii="Verdana" w:hAnsi="Verdana"/>
          <w:sz w:val="20"/>
          <w:szCs w:val="20"/>
          <w:lang w:val="es-CR"/>
        </w:rPr>
        <w:t>. La Corte</w:t>
      </w:r>
      <w:r w:rsidR="006A1223" w:rsidRPr="00D51BA7">
        <w:rPr>
          <w:rFonts w:ascii="Verdana" w:hAnsi="Verdana"/>
          <w:sz w:val="20"/>
          <w:szCs w:val="20"/>
          <w:lang w:val="es-CR"/>
        </w:rPr>
        <w:t xml:space="preserve"> </w:t>
      </w:r>
      <w:r w:rsidR="00002BC3" w:rsidRPr="00D51BA7">
        <w:rPr>
          <w:rFonts w:ascii="Verdana" w:hAnsi="Verdana"/>
          <w:sz w:val="20"/>
          <w:szCs w:val="20"/>
          <w:lang w:val="es-CR"/>
        </w:rPr>
        <w:t xml:space="preserve">declaró la responsabilidad internacional </w:t>
      </w:r>
      <w:r w:rsidR="006A1223" w:rsidRPr="00D51BA7">
        <w:rPr>
          <w:rFonts w:ascii="Verdana" w:hAnsi="Verdana"/>
          <w:sz w:val="20"/>
          <w:szCs w:val="20"/>
          <w:lang w:val="es-CR"/>
        </w:rPr>
        <w:t xml:space="preserve">de </w:t>
      </w:r>
      <w:r w:rsidR="00D20C28" w:rsidRPr="00D51BA7">
        <w:rPr>
          <w:rFonts w:ascii="Verdana" w:hAnsi="Verdana"/>
          <w:sz w:val="20"/>
          <w:szCs w:val="20"/>
          <w:lang w:val="es-CR"/>
        </w:rPr>
        <w:t xml:space="preserve">la República del Perú (en adelante “el Estado” o “el Perú”) </w:t>
      </w:r>
      <w:r w:rsidR="002C34E6" w:rsidRPr="00D51BA7">
        <w:rPr>
          <w:rFonts w:ascii="Verdana" w:hAnsi="Verdana"/>
          <w:sz w:val="20"/>
          <w:szCs w:val="20"/>
          <w:lang w:val="es-CR"/>
        </w:rPr>
        <w:t xml:space="preserve">por </w:t>
      </w:r>
      <w:r w:rsidR="00D20C28" w:rsidRPr="00D51BA7">
        <w:rPr>
          <w:rFonts w:ascii="Verdana" w:hAnsi="Verdana"/>
          <w:sz w:val="20"/>
          <w:szCs w:val="20"/>
          <w:lang w:val="es-CR"/>
        </w:rPr>
        <w:t>la desaparición forzada de Walter Munárriz Escobar</w:t>
      </w:r>
      <w:r w:rsidR="00955E1E" w:rsidRPr="00D51BA7">
        <w:rPr>
          <w:rFonts w:ascii="Verdana" w:hAnsi="Verdana"/>
          <w:sz w:val="20"/>
          <w:szCs w:val="20"/>
          <w:lang w:val="es-CR"/>
        </w:rPr>
        <w:t xml:space="preserve">, ocurrida </w:t>
      </w:r>
      <w:r w:rsidR="00906A1F" w:rsidRPr="00D51BA7">
        <w:rPr>
          <w:rFonts w:ascii="Verdana" w:hAnsi="Verdana"/>
          <w:sz w:val="20"/>
          <w:szCs w:val="20"/>
          <w:lang w:val="es-CR"/>
        </w:rPr>
        <w:t>a partir d</w:t>
      </w:r>
      <w:r w:rsidR="00955E1E" w:rsidRPr="00D51BA7">
        <w:rPr>
          <w:rFonts w:ascii="Verdana" w:hAnsi="Verdana"/>
          <w:sz w:val="20"/>
          <w:szCs w:val="20"/>
          <w:lang w:val="es-CR"/>
        </w:rPr>
        <w:t>el 20 de marzo de 1999,</w:t>
      </w:r>
      <w:r w:rsidR="00D20C28" w:rsidRPr="00D51BA7">
        <w:rPr>
          <w:rFonts w:ascii="Verdana" w:hAnsi="Verdana"/>
          <w:sz w:val="20"/>
          <w:szCs w:val="20"/>
          <w:lang w:val="es-CR"/>
        </w:rPr>
        <w:t xml:space="preserve"> y la consiguiente v</w:t>
      </w:r>
      <w:r w:rsidR="00955E1E" w:rsidRPr="00D51BA7">
        <w:rPr>
          <w:rFonts w:ascii="Verdana" w:hAnsi="Verdana"/>
          <w:sz w:val="20"/>
          <w:szCs w:val="20"/>
          <w:lang w:val="es-CR"/>
        </w:rPr>
        <w:t>i</w:t>
      </w:r>
      <w:r w:rsidR="00D20C28" w:rsidRPr="00D51BA7">
        <w:rPr>
          <w:rFonts w:ascii="Verdana" w:hAnsi="Verdana"/>
          <w:sz w:val="20"/>
          <w:szCs w:val="20"/>
          <w:lang w:val="es-CR"/>
        </w:rPr>
        <w:t xml:space="preserve">olación </w:t>
      </w:r>
      <w:r w:rsidR="00D30AE0" w:rsidRPr="00D51BA7">
        <w:rPr>
          <w:rFonts w:ascii="Verdana" w:hAnsi="Verdana"/>
          <w:sz w:val="20"/>
          <w:szCs w:val="20"/>
          <w:lang w:val="es-CR"/>
        </w:rPr>
        <w:t xml:space="preserve">en su perjuicio </w:t>
      </w:r>
      <w:r w:rsidR="00D20C28" w:rsidRPr="00D51BA7">
        <w:rPr>
          <w:rFonts w:ascii="Verdana" w:hAnsi="Verdana"/>
          <w:sz w:val="20"/>
          <w:szCs w:val="20"/>
          <w:lang w:val="es-CR"/>
        </w:rPr>
        <w:t>de los derechos a la libertad personal, integridad personal, vida y al reconocimiento de la personalidad jurídica</w:t>
      </w:r>
      <w:r w:rsidR="00436C77" w:rsidRPr="00D51BA7">
        <w:rPr>
          <w:rFonts w:ascii="Verdana" w:hAnsi="Verdana"/>
          <w:sz w:val="20"/>
          <w:szCs w:val="20"/>
          <w:lang w:val="es-CR"/>
        </w:rPr>
        <w:t>. A</w:t>
      </w:r>
      <w:r w:rsidR="00D75A1E" w:rsidRPr="00D51BA7">
        <w:rPr>
          <w:rFonts w:ascii="Verdana" w:hAnsi="Verdana"/>
          <w:sz w:val="20"/>
          <w:szCs w:val="20"/>
          <w:lang w:val="es-CR"/>
        </w:rPr>
        <w:t>demás, la Corte declaró la responsabilidad</w:t>
      </w:r>
      <w:r w:rsidR="009F3E93" w:rsidRPr="00D51BA7">
        <w:rPr>
          <w:rFonts w:ascii="Verdana" w:hAnsi="Verdana"/>
          <w:sz w:val="20"/>
          <w:szCs w:val="20"/>
          <w:lang w:val="es-CR"/>
        </w:rPr>
        <w:t xml:space="preserve"> internacional</w:t>
      </w:r>
      <w:r w:rsidR="00D75A1E" w:rsidRPr="00D51BA7">
        <w:rPr>
          <w:rFonts w:ascii="Verdana" w:hAnsi="Verdana"/>
          <w:sz w:val="20"/>
          <w:szCs w:val="20"/>
          <w:lang w:val="es-CR"/>
        </w:rPr>
        <w:t xml:space="preserve"> del </w:t>
      </w:r>
      <w:r w:rsidR="00052597" w:rsidRPr="00D51BA7">
        <w:rPr>
          <w:rFonts w:ascii="Verdana" w:hAnsi="Verdana"/>
          <w:sz w:val="20"/>
          <w:szCs w:val="20"/>
          <w:lang w:val="es-CR"/>
        </w:rPr>
        <w:t>Perú</w:t>
      </w:r>
      <w:r w:rsidR="00D75A1E" w:rsidRPr="00D51BA7">
        <w:rPr>
          <w:rFonts w:ascii="Verdana" w:hAnsi="Verdana"/>
          <w:sz w:val="20"/>
          <w:szCs w:val="20"/>
          <w:lang w:val="es-CR"/>
        </w:rPr>
        <w:t xml:space="preserve"> </w:t>
      </w:r>
      <w:r w:rsidR="00D471DB" w:rsidRPr="00D51BA7">
        <w:rPr>
          <w:rFonts w:ascii="Verdana" w:hAnsi="Verdana"/>
          <w:sz w:val="20"/>
          <w:szCs w:val="20"/>
          <w:lang w:val="es-CR"/>
        </w:rPr>
        <w:t>por la violación de los derech</w:t>
      </w:r>
      <w:r w:rsidR="00436C77" w:rsidRPr="00D51BA7">
        <w:rPr>
          <w:rFonts w:ascii="Verdana" w:hAnsi="Verdana"/>
          <w:sz w:val="20"/>
          <w:szCs w:val="20"/>
          <w:lang w:val="es-CR"/>
        </w:rPr>
        <w:t xml:space="preserve">os a las garantías judiciales y </w:t>
      </w:r>
      <w:r w:rsidR="00D471DB" w:rsidRPr="00D51BA7">
        <w:rPr>
          <w:rFonts w:ascii="Verdana" w:hAnsi="Verdana"/>
          <w:sz w:val="20"/>
          <w:szCs w:val="20"/>
          <w:lang w:val="es-CR"/>
        </w:rPr>
        <w:t>a la protección judicial en perjuicio de</w:t>
      </w:r>
      <w:r w:rsidR="00436C77" w:rsidRPr="00D51BA7">
        <w:rPr>
          <w:rFonts w:ascii="Verdana" w:hAnsi="Verdana"/>
          <w:sz w:val="20"/>
          <w:szCs w:val="20"/>
          <w:lang w:val="es-CR"/>
        </w:rPr>
        <w:t>l señor Munárriz Escobar y sus familiares</w:t>
      </w:r>
      <w:r w:rsidR="00436C77" w:rsidRPr="00D51BA7">
        <w:rPr>
          <w:rStyle w:val="Refdenotaalpie"/>
          <w:rFonts w:ascii="Verdana" w:hAnsi="Verdana"/>
          <w:sz w:val="20"/>
          <w:szCs w:val="20"/>
          <w:lang w:val="es-CR"/>
        </w:rPr>
        <w:footnoteReference w:id="2"/>
      </w:r>
      <w:r w:rsidR="00436C77" w:rsidRPr="00D51BA7">
        <w:rPr>
          <w:rFonts w:ascii="Verdana" w:hAnsi="Verdana"/>
          <w:sz w:val="20"/>
          <w:szCs w:val="20"/>
          <w:lang w:val="es-CR"/>
        </w:rPr>
        <w:t>, en virtud de que el Perú no llevó a cabo la investigación con la debida diligencia</w:t>
      </w:r>
      <w:r w:rsidR="003B06B6" w:rsidRPr="00D51BA7">
        <w:rPr>
          <w:rFonts w:ascii="Verdana" w:hAnsi="Verdana"/>
          <w:sz w:val="20"/>
          <w:szCs w:val="20"/>
          <w:lang w:val="es-CR"/>
        </w:rPr>
        <w:t xml:space="preserve"> ni en un plazo razonable e</w:t>
      </w:r>
      <w:r w:rsidR="00436C77" w:rsidRPr="00D51BA7">
        <w:rPr>
          <w:rFonts w:ascii="Verdana" w:hAnsi="Verdana"/>
          <w:sz w:val="20"/>
          <w:szCs w:val="20"/>
          <w:lang w:val="es-CR"/>
        </w:rPr>
        <w:t xml:space="preserve"> incumplió su obligación de búsqueda del señor Munárriz Escobar. </w:t>
      </w:r>
      <w:r w:rsidR="00D75A1E" w:rsidRPr="00D51BA7">
        <w:rPr>
          <w:rFonts w:ascii="Verdana" w:hAnsi="Verdana"/>
          <w:sz w:val="20"/>
          <w:szCs w:val="20"/>
          <w:lang w:val="es-CR"/>
        </w:rPr>
        <w:t>Finalmente</w:t>
      </w:r>
      <w:r w:rsidR="00D471DB" w:rsidRPr="00D51BA7">
        <w:rPr>
          <w:rFonts w:ascii="Verdana" w:hAnsi="Verdana"/>
          <w:sz w:val="20"/>
          <w:szCs w:val="20"/>
          <w:lang w:val="es-CR"/>
        </w:rPr>
        <w:t>, el Tribunal declaró a</w:t>
      </w:r>
      <w:r w:rsidR="00AD617A" w:rsidRPr="00D51BA7">
        <w:rPr>
          <w:rFonts w:ascii="Verdana" w:hAnsi="Verdana"/>
          <w:sz w:val="20"/>
          <w:szCs w:val="20"/>
          <w:lang w:val="es-CR"/>
        </w:rPr>
        <w:t>l</w:t>
      </w:r>
      <w:r w:rsidR="00D471DB" w:rsidRPr="00D51BA7">
        <w:rPr>
          <w:rFonts w:ascii="Verdana" w:hAnsi="Verdana"/>
          <w:sz w:val="20"/>
          <w:szCs w:val="20"/>
          <w:lang w:val="es-CR"/>
        </w:rPr>
        <w:t xml:space="preserve"> </w:t>
      </w:r>
      <w:r w:rsidR="00052597" w:rsidRPr="00D51BA7">
        <w:rPr>
          <w:rFonts w:ascii="Verdana" w:hAnsi="Verdana"/>
          <w:sz w:val="20"/>
          <w:szCs w:val="20"/>
          <w:lang w:val="es-CR"/>
        </w:rPr>
        <w:t>Estado</w:t>
      </w:r>
      <w:r w:rsidR="00D471DB" w:rsidRPr="00D51BA7">
        <w:rPr>
          <w:rFonts w:ascii="Verdana" w:hAnsi="Verdana"/>
          <w:sz w:val="20"/>
          <w:szCs w:val="20"/>
          <w:lang w:val="es-CR"/>
        </w:rPr>
        <w:t xml:space="preserve"> </w:t>
      </w:r>
      <w:r w:rsidR="00BF5A2A" w:rsidRPr="00D51BA7">
        <w:rPr>
          <w:rFonts w:ascii="Verdana" w:hAnsi="Verdana"/>
          <w:sz w:val="20"/>
          <w:szCs w:val="20"/>
          <w:lang w:val="es-CR"/>
        </w:rPr>
        <w:t xml:space="preserve">internacionalmente </w:t>
      </w:r>
      <w:r w:rsidR="00D471DB" w:rsidRPr="00D51BA7">
        <w:rPr>
          <w:rFonts w:ascii="Verdana" w:hAnsi="Verdana"/>
          <w:sz w:val="20"/>
          <w:szCs w:val="20"/>
          <w:lang w:val="es-CR"/>
        </w:rPr>
        <w:t>responsable por la violación del derecho a la integridad personal en per</w:t>
      </w:r>
      <w:r w:rsidR="00D75A1E" w:rsidRPr="00D51BA7">
        <w:rPr>
          <w:rFonts w:ascii="Verdana" w:hAnsi="Verdana"/>
          <w:sz w:val="20"/>
          <w:szCs w:val="20"/>
          <w:lang w:val="es-CR"/>
        </w:rPr>
        <w:t xml:space="preserve">juicio de </w:t>
      </w:r>
      <w:r w:rsidR="004D2F4B" w:rsidRPr="00D51BA7">
        <w:rPr>
          <w:rFonts w:ascii="Verdana" w:hAnsi="Verdana"/>
          <w:sz w:val="20"/>
          <w:szCs w:val="20"/>
          <w:lang w:val="es-CR"/>
        </w:rPr>
        <w:t xml:space="preserve">los familiares del </w:t>
      </w:r>
      <w:r w:rsidR="003B06B6" w:rsidRPr="00D51BA7">
        <w:rPr>
          <w:rFonts w:ascii="Verdana" w:hAnsi="Verdana"/>
          <w:sz w:val="20"/>
          <w:szCs w:val="20"/>
          <w:lang w:val="es-CR"/>
        </w:rPr>
        <w:t xml:space="preserve">señor </w:t>
      </w:r>
      <w:r w:rsidR="004D2F4B" w:rsidRPr="00D51BA7">
        <w:rPr>
          <w:rFonts w:ascii="Verdana" w:hAnsi="Verdana"/>
          <w:sz w:val="20"/>
          <w:szCs w:val="20"/>
          <w:lang w:val="es-CR"/>
        </w:rPr>
        <w:t xml:space="preserve">Walter </w:t>
      </w:r>
      <w:r w:rsidR="004D2F4B" w:rsidRPr="00BF5047">
        <w:rPr>
          <w:rFonts w:ascii="Verdana" w:hAnsi="Verdana"/>
          <w:sz w:val="20"/>
          <w:szCs w:val="20"/>
          <w:lang w:val="es-CR"/>
        </w:rPr>
        <w:t>Mu</w:t>
      </w:r>
      <w:r w:rsidR="00BF5047" w:rsidRPr="00BF5047">
        <w:rPr>
          <w:rFonts w:ascii="Verdana" w:hAnsi="Verdana"/>
          <w:sz w:val="20"/>
          <w:szCs w:val="20"/>
          <w:lang w:val="es-CR"/>
        </w:rPr>
        <w:t>n</w:t>
      </w:r>
      <w:r w:rsidR="004D2F4B" w:rsidRPr="00BF5047">
        <w:rPr>
          <w:rFonts w:ascii="Verdana" w:hAnsi="Verdana"/>
          <w:sz w:val="20"/>
          <w:szCs w:val="20"/>
          <w:lang w:val="es-CR"/>
        </w:rPr>
        <w:t>árriz</w:t>
      </w:r>
      <w:r w:rsidR="004D2F4B" w:rsidRPr="00D51BA7">
        <w:rPr>
          <w:rFonts w:ascii="Verdana" w:hAnsi="Verdana"/>
          <w:sz w:val="20"/>
          <w:szCs w:val="20"/>
          <w:lang w:val="es-CR"/>
        </w:rPr>
        <w:t xml:space="preserve"> Escobar</w:t>
      </w:r>
      <w:r w:rsidR="00BF5A2A" w:rsidRPr="00D51BA7">
        <w:rPr>
          <w:rFonts w:ascii="Verdana" w:hAnsi="Verdana"/>
          <w:sz w:val="20"/>
          <w:szCs w:val="20"/>
          <w:lang w:val="es-CR"/>
        </w:rPr>
        <w:t xml:space="preserve">, por </w:t>
      </w:r>
      <w:r w:rsidR="004D2F4B" w:rsidRPr="00D51BA7">
        <w:rPr>
          <w:rFonts w:ascii="Verdana" w:hAnsi="Verdana"/>
          <w:sz w:val="20"/>
          <w:szCs w:val="20"/>
          <w:lang w:val="es-CR"/>
        </w:rPr>
        <w:t xml:space="preserve">la angustia sufrida por la desaparición forzada de la referida víctima y la </w:t>
      </w:r>
      <w:r w:rsidR="00CE6D4C" w:rsidRPr="00D51BA7">
        <w:rPr>
          <w:rFonts w:ascii="Verdana" w:hAnsi="Verdana"/>
          <w:sz w:val="20"/>
          <w:szCs w:val="20"/>
          <w:lang w:val="es-CR"/>
        </w:rPr>
        <w:t>actuación</w:t>
      </w:r>
      <w:r w:rsidR="004D2F4B" w:rsidRPr="00D51BA7">
        <w:rPr>
          <w:rFonts w:ascii="Verdana" w:hAnsi="Verdana"/>
          <w:sz w:val="20"/>
          <w:szCs w:val="20"/>
          <w:lang w:val="es-CR"/>
        </w:rPr>
        <w:t xml:space="preserve"> de las autoridades estatales respecto de la investigación de lo sucedido</w:t>
      </w:r>
      <w:r w:rsidR="00AD617A" w:rsidRPr="00D51BA7">
        <w:rPr>
          <w:rFonts w:ascii="Verdana" w:hAnsi="Verdana"/>
          <w:sz w:val="20"/>
          <w:szCs w:val="20"/>
          <w:lang w:val="es-CR"/>
        </w:rPr>
        <w:t>.</w:t>
      </w:r>
      <w:r w:rsidR="00740A14" w:rsidRPr="00D51BA7">
        <w:rPr>
          <w:rFonts w:ascii="Verdana" w:hAnsi="Verdana"/>
          <w:sz w:val="20"/>
          <w:szCs w:val="20"/>
          <w:lang w:val="es-CR"/>
        </w:rPr>
        <w:t xml:space="preserve"> </w:t>
      </w:r>
      <w:r w:rsidR="00234DEA" w:rsidRPr="00D51BA7">
        <w:rPr>
          <w:rFonts w:ascii="Verdana" w:hAnsi="Verdana"/>
          <w:sz w:val="20"/>
          <w:szCs w:val="20"/>
          <w:lang w:val="es-CR"/>
        </w:rPr>
        <w:t>La Corte estableció que su Sentencia constituye por sí misma una forma de reparación y</w:t>
      </w:r>
      <w:r w:rsidR="00D41D57" w:rsidRPr="00D51BA7">
        <w:rPr>
          <w:rFonts w:ascii="Verdana" w:hAnsi="Verdana"/>
          <w:sz w:val="20"/>
          <w:szCs w:val="20"/>
          <w:lang w:val="es-CR"/>
        </w:rPr>
        <w:t>, adicionalmente,</w:t>
      </w:r>
      <w:r w:rsidR="00234DEA" w:rsidRPr="00D51BA7">
        <w:rPr>
          <w:rFonts w:ascii="Verdana" w:hAnsi="Verdana"/>
          <w:sz w:val="20"/>
          <w:szCs w:val="20"/>
          <w:lang w:val="es-CR"/>
        </w:rPr>
        <w:t xml:space="preserve"> ordenó al Estado </w:t>
      </w:r>
      <w:r w:rsidR="00D41D57" w:rsidRPr="00D51BA7">
        <w:rPr>
          <w:rFonts w:ascii="Verdana" w:hAnsi="Verdana"/>
          <w:sz w:val="20"/>
          <w:szCs w:val="20"/>
          <w:lang w:val="es-CR"/>
        </w:rPr>
        <w:t>determinadas</w:t>
      </w:r>
      <w:r w:rsidR="00234DEA" w:rsidRPr="00D51BA7">
        <w:rPr>
          <w:rFonts w:ascii="Verdana" w:hAnsi="Verdana"/>
          <w:sz w:val="20"/>
          <w:szCs w:val="20"/>
          <w:lang w:val="es-CR"/>
        </w:rPr>
        <w:t xml:space="preserve"> medidas de reparación (</w:t>
      </w:r>
      <w:r w:rsidR="00234DEA" w:rsidRPr="00D51BA7">
        <w:rPr>
          <w:rFonts w:ascii="Verdana" w:hAnsi="Verdana"/>
          <w:i/>
          <w:sz w:val="20"/>
          <w:szCs w:val="20"/>
          <w:lang w:val="es-CR"/>
        </w:rPr>
        <w:t xml:space="preserve">infra </w:t>
      </w:r>
      <w:r w:rsidR="00234DEA" w:rsidRPr="00D51BA7">
        <w:rPr>
          <w:rFonts w:ascii="Verdana" w:hAnsi="Verdana"/>
          <w:sz w:val="20"/>
          <w:szCs w:val="20"/>
          <w:lang w:val="es-CR"/>
        </w:rPr>
        <w:t>Considerando 1)</w:t>
      </w:r>
      <w:r w:rsidR="00002BC3" w:rsidRPr="00D51BA7">
        <w:rPr>
          <w:rFonts w:ascii="Verdana" w:hAnsi="Verdana"/>
          <w:sz w:val="20"/>
          <w:szCs w:val="20"/>
          <w:lang w:val="es-CR"/>
        </w:rPr>
        <w:t xml:space="preserve">. </w:t>
      </w:r>
    </w:p>
    <w:p w14:paraId="6EE9B758" w14:textId="77777777" w:rsidR="00465669" w:rsidRDefault="00465669" w:rsidP="00465669">
      <w:pPr>
        <w:pStyle w:val="Prrafodelista"/>
        <w:spacing w:after="0" w:line="240" w:lineRule="auto"/>
        <w:ind w:left="0"/>
        <w:jc w:val="both"/>
        <w:rPr>
          <w:rFonts w:ascii="Verdana" w:hAnsi="Verdana"/>
          <w:sz w:val="20"/>
          <w:szCs w:val="20"/>
          <w:lang w:val="es-CR"/>
        </w:rPr>
      </w:pPr>
    </w:p>
    <w:p w14:paraId="172B9CB6" w14:textId="77777777" w:rsidR="00465669" w:rsidRDefault="00465669" w:rsidP="003D709A">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La Resolución de supervisión de cumplimiento de Sentencia emitida por la Corte el 14 de mayo de 2019</w:t>
      </w:r>
      <w:r>
        <w:rPr>
          <w:rStyle w:val="Refdenotaalpie"/>
          <w:rFonts w:ascii="Verdana" w:hAnsi="Verdana"/>
          <w:sz w:val="20"/>
          <w:szCs w:val="20"/>
          <w:lang w:val="es-CR"/>
        </w:rPr>
        <w:footnoteReference w:id="3"/>
      </w:r>
      <w:r>
        <w:rPr>
          <w:rFonts w:ascii="Verdana" w:hAnsi="Verdana"/>
          <w:sz w:val="20"/>
          <w:szCs w:val="20"/>
          <w:lang w:val="es-CR"/>
        </w:rPr>
        <w:t>.</w:t>
      </w:r>
    </w:p>
    <w:p w14:paraId="7F27C1C3" w14:textId="77777777" w:rsidR="008E43A9" w:rsidRDefault="008E43A9" w:rsidP="008E43A9">
      <w:pPr>
        <w:pStyle w:val="Prrafodelista"/>
        <w:rPr>
          <w:rFonts w:ascii="Verdana" w:hAnsi="Verdana"/>
          <w:sz w:val="20"/>
          <w:szCs w:val="20"/>
          <w:lang w:val="es-CR"/>
        </w:rPr>
      </w:pPr>
    </w:p>
    <w:p w14:paraId="33415944" w14:textId="77777777" w:rsidR="008E43A9" w:rsidRPr="003D709A" w:rsidRDefault="008E43A9" w:rsidP="003D709A">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La Resolución emitida por la Corte el 7 de octubre de 2019 sobre el reintegro </w:t>
      </w:r>
      <w:r w:rsidR="005A6FB4">
        <w:rPr>
          <w:rFonts w:ascii="Verdana" w:hAnsi="Verdana"/>
          <w:sz w:val="20"/>
          <w:szCs w:val="20"/>
          <w:lang w:val="es-CR"/>
        </w:rPr>
        <w:t>realizado por el Estado al Fondo de Asistencia Legal de Víctimas</w:t>
      </w:r>
      <w:r w:rsidR="005A6FB4">
        <w:rPr>
          <w:rStyle w:val="Refdenotaalpie"/>
          <w:rFonts w:ascii="Verdana" w:hAnsi="Verdana"/>
          <w:sz w:val="20"/>
          <w:szCs w:val="20"/>
          <w:lang w:val="es-CR"/>
        </w:rPr>
        <w:footnoteReference w:id="4"/>
      </w:r>
      <w:r w:rsidR="005A6FB4">
        <w:rPr>
          <w:rFonts w:ascii="Verdana" w:hAnsi="Verdana"/>
          <w:sz w:val="20"/>
          <w:szCs w:val="20"/>
          <w:lang w:val="es-CR"/>
        </w:rPr>
        <w:t>.</w:t>
      </w:r>
    </w:p>
    <w:p w14:paraId="6D0A5041" w14:textId="77777777" w:rsidR="004D2F4B" w:rsidRPr="003D709A" w:rsidRDefault="004D2F4B" w:rsidP="003D709A">
      <w:pPr>
        <w:pStyle w:val="Prrafodelista"/>
        <w:spacing w:after="0" w:line="240" w:lineRule="auto"/>
        <w:ind w:left="0"/>
        <w:jc w:val="both"/>
        <w:rPr>
          <w:rFonts w:ascii="Verdana" w:hAnsi="Verdana"/>
          <w:sz w:val="20"/>
          <w:szCs w:val="20"/>
          <w:lang w:val="es-CR"/>
        </w:rPr>
      </w:pPr>
    </w:p>
    <w:p w14:paraId="3FB5C38D" w14:textId="77777777" w:rsidR="00002BC3" w:rsidRPr="00CC07AE" w:rsidRDefault="00740A14" w:rsidP="003D709A">
      <w:pPr>
        <w:pStyle w:val="Prrafodelista"/>
        <w:numPr>
          <w:ilvl w:val="0"/>
          <w:numId w:val="1"/>
        </w:numPr>
        <w:spacing w:after="0" w:line="240" w:lineRule="auto"/>
        <w:ind w:left="0" w:firstLine="0"/>
        <w:contextualSpacing w:val="0"/>
        <w:jc w:val="both"/>
        <w:rPr>
          <w:rFonts w:ascii="Verdana" w:hAnsi="Verdana"/>
          <w:b/>
          <w:color w:val="000000"/>
          <w:sz w:val="20"/>
          <w:szCs w:val="20"/>
          <w:shd w:val="clear" w:color="auto" w:fill="FFFFFF"/>
          <w:lang w:val="es-CR"/>
        </w:rPr>
      </w:pPr>
      <w:r w:rsidRPr="003D709A">
        <w:rPr>
          <w:rFonts w:ascii="Verdana" w:hAnsi="Verdana"/>
          <w:sz w:val="20"/>
          <w:szCs w:val="20"/>
          <w:lang w:val="es-CR"/>
        </w:rPr>
        <w:t xml:space="preserve">Los </w:t>
      </w:r>
      <w:r w:rsidR="00002BC3" w:rsidRPr="003D709A">
        <w:rPr>
          <w:rFonts w:ascii="Verdana" w:hAnsi="Verdana"/>
          <w:sz w:val="20"/>
          <w:szCs w:val="20"/>
          <w:lang w:val="es-CR"/>
        </w:rPr>
        <w:t xml:space="preserve">informes presentados por el Estado </w:t>
      </w:r>
      <w:r w:rsidR="00C535B4" w:rsidRPr="003D709A">
        <w:rPr>
          <w:rFonts w:ascii="Verdana" w:hAnsi="Verdana"/>
          <w:sz w:val="20"/>
          <w:szCs w:val="20"/>
          <w:lang w:val="es-CR"/>
        </w:rPr>
        <w:t>entre</w:t>
      </w:r>
      <w:r w:rsidR="006D3CC8" w:rsidRPr="003D709A">
        <w:rPr>
          <w:rFonts w:ascii="Verdana" w:hAnsi="Verdana"/>
          <w:sz w:val="20"/>
          <w:szCs w:val="20"/>
          <w:lang w:val="es-CR"/>
        </w:rPr>
        <w:t xml:space="preserve"> </w:t>
      </w:r>
      <w:r w:rsidR="00CC07AE">
        <w:rPr>
          <w:rFonts w:ascii="Verdana" w:hAnsi="Verdana"/>
          <w:sz w:val="20"/>
          <w:szCs w:val="20"/>
          <w:lang w:val="es-CR"/>
        </w:rPr>
        <w:t xml:space="preserve">mayo y octubre de 2019. </w:t>
      </w:r>
    </w:p>
    <w:p w14:paraId="3B1BCE77" w14:textId="77777777" w:rsidR="00374253" w:rsidRPr="003D709A" w:rsidRDefault="00374253" w:rsidP="003D709A">
      <w:pPr>
        <w:pStyle w:val="Prrafodelista"/>
        <w:spacing w:after="0" w:line="240" w:lineRule="auto"/>
        <w:ind w:left="0"/>
        <w:contextualSpacing w:val="0"/>
        <w:jc w:val="both"/>
        <w:rPr>
          <w:rFonts w:ascii="Verdana" w:hAnsi="Verdana"/>
          <w:color w:val="000000"/>
          <w:sz w:val="20"/>
          <w:szCs w:val="20"/>
          <w:shd w:val="clear" w:color="auto" w:fill="FFFFFF"/>
          <w:lang w:val="es-CR"/>
        </w:rPr>
      </w:pPr>
    </w:p>
    <w:p w14:paraId="34CC87B1" w14:textId="77777777" w:rsidR="00002BC3" w:rsidRPr="00CC07AE" w:rsidRDefault="00002BC3" w:rsidP="00CC07AE">
      <w:pPr>
        <w:pStyle w:val="Prrafodelista"/>
        <w:numPr>
          <w:ilvl w:val="0"/>
          <w:numId w:val="1"/>
        </w:numPr>
        <w:spacing w:after="0" w:line="240" w:lineRule="auto"/>
        <w:ind w:left="0" w:firstLine="0"/>
        <w:contextualSpacing w:val="0"/>
        <w:jc w:val="both"/>
        <w:rPr>
          <w:rFonts w:ascii="Verdana" w:hAnsi="Verdana"/>
          <w:b/>
          <w:color w:val="000000"/>
          <w:sz w:val="20"/>
          <w:szCs w:val="20"/>
          <w:shd w:val="clear" w:color="auto" w:fill="FFFFFF"/>
          <w:lang w:val="es-CR"/>
        </w:rPr>
      </w:pPr>
      <w:r w:rsidRPr="003D709A">
        <w:rPr>
          <w:rFonts w:ascii="Verdana" w:hAnsi="Verdana"/>
          <w:color w:val="000000"/>
          <w:sz w:val="20"/>
          <w:szCs w:val="20"/>
          <w:shd w:val="clear" w:color="auto" w:fill="FFFFFF"/>
          <w:lang w:val="es-CR"/>
        </w:rPr>
        <w:t>Los escritos de observaciones presentados por los representantes de las víctimas (en adelante “los representantes”)</w:t>
      </w:r>
      <w:r w:rsidRPr="003D709A">
        <w:rPr>
          <w:rStyle w:val="Refdenotaalpie"/>
          <w:rFonts w:ascii="Verdana" w:hAnsi="Verdana"/>
          <w:color w:val="000000"/>
          <w:sz w:val="20"/>
          <w:szCs w:val="20"/>
          <w:shd w:val="clear" w:color="auto" w:fill="FFFFFF"/>
          <w:lang w:val="es-CR"/>
        </w:rPr>
        <w:footnoteReference w:id="5"/>
      </w:r>
      <w:r w:rsidRPr="003D709A">
        <w:rPr>
          <w:rFonts w:ascii="Verdana" w:hAnsi="Verdana"/>
          <w:color w:val="000000"/>
          <w:sz w:val="20"/>
          <w:szCs w:val="20"/>
          <w:shd w:val="clear" w:color="auto" w:fill="FFFFFF"/>
          <w:lang w:val="es-CR"/>
        </w:rPr>
        <w:t xml:space="preserve"> </w:t>
      </w:r>
      <w:r w:rsidR="00F243BB" w:rsidRPr="003D709A">
        <w:rPr>
          <w:rFonts w:ascii="Verdana" w:hAnsi="Verdana"/>
          <w:color w:val="000000"/>
          <w:sz w:val="20"/>
          <w:szCs w:val="20"/>
          <w:shd w:val="clear" w:color="auto" w:fill="FFFFFF"/>
          <w:lang w:val="es-CR"/>
        </w:rPr>
        <w:t xml:space="preserve">entre </w:t>
      </w:r>
      <w:r w:rsidR="00C53B41">
        <w:rPr>
          <w:rFonts w:ascii="Verdana" w:hAnsi="Verdana"/>
          <w:color w:val="000000"/>
          <w:sz w:val="20"/>
          <w:szCs w:val="20"/>
          <w:shd w:val="clear" w:color="auto" w:fill="FFFFFF"/>
          <w:lang w:val="es-CR"/>
        </w:rPr>
        <w:t>mayo</w:t>
      </w:r>
      <w:r w:rsidR="00E0029B">
        <w:rPr>
          <w:rFonts w:ascii="Verdana" w:hAnsi="Verdana"/>
          <w:color w:val="000000"/>
          <w:sz w:val="20"/>
          <w:szCs w:val="20"/>
          <w:shd w:val="clear" w:color="auto" w:fill="FFFFFF"/>
          <w:lang w:val="es-CR"/>
        </w:rPr>
        <w:t xml:space="preserve"> </w:t>
      </w:r>
      <w:r w:rsidR="00CC07AE">
        <w:rPr>
          <w:rFonts w:ascii="Verdana" w:hAnsi="Verdana"/>
          <w:color w:val="000000"/>
          <w:sz w:val="20"/>
          <w:szCs w:val="20"/>
          <w:shd w:val="clear" w:color="auto" w:fill="FFFFFF"/>
          <w:lang w:val="es-CR"/>
        </w:rPr>
        <w:t xml:space="preserve">y diciembre de 2019. </w:t>
      </w:r>
    </w:p>
    <w:p w14:paraId="257E70B0" w14:textId="77777777" w:rsidR="00374253" w:rsidRPr="003D709A" w:rsidRDefault="00374253" w:rsidP="003D709A">
      <w:pPr>
        <w:pStyle w:val="Prrafodelista"/>
        <w:spacing w:after="0" w:line="240" w:lineRule="auto"/>
        <w:ind w:left="0"/>
        <w:contextualSpacing w:val="0"/>
        <w:jc w:val="both"/>
        <w:rPr>
          <w:rFonts w:ascii="Verdana" w:hAnsi="Verdana"/>
          <w:color w:val="000000"/>
          <w:sz w:val="20"/>
          <w:szCs w:val="20"/>
          <w:shd w:val="clear" w:color="auto" w:fill="FFFFFF"/>
          <w:lang w:val="es-CR"/>
        </w:rPr>
      </w:pPr>
    </w:p>
    <w:p w14:paraId="7EB5CC2D" w14:textId="77777777" w:rsidR="00CC07AE" w:rsidRPr="00CC07AE" w:rsidRDefault="00C53B41" w:rsidP="00CC07AE">
      <w:pPr>
        <w:pStyle w:val="Prrafodelista"/>
        <w:numPr>
          <w:ilvl w:val="0"/>
          <w:numId w:val="1"/>
        </w:numPr>
        <w:spacing w:after="0" w:line="240" w:lineRule="auto"/>
        <w:ind w:left="0" w:firstLine="0"/>
        <w:contextualSpacing w:val="0"/>
        <w:jc w:val="both"/>
        <w:rPr>
          <w:rFonts w:ascii="Verdana" w:hAnsi="Verdana"/>
          <w:b/>
          <w:color w:val="000000"/>
          <w:sz w:val="20"/>
          <w:szCs w:val="20"/>
          <w:shd w:val="clear" w:color="auto" w:fill="FFFFFF"/>
          <w:lang w:val="es-CR"/>
        </w:rPr>
      </w:pPr>
      <w:r>
        <w:rPr>
          <w:rFonts w:ascii="Verdana" w:hAnsi="Verdana"/>
          <w:color w:val="000000"/>
          <w:sz w:val="20"/>
          <w:szCs w:val="20"/>
          <w:shd w:val="clear" w:color="auto" w:fill="FFFFFF"/>
          <w:lang w:val="es-CR"/>
        </w:rPr>
        <w:t>Los</w:t>
      </w:r>
      <w:r w:rsidR="00427FA7" w:rsidRPr="003D709A">
        <w:rPr>
          <w:rFonts w:ascii="Verdana" w:hAnsi="Verdana"/>
          <w:color w:val="000000"/>
          <w:sz w:val="20"/>
          <w:szCs w:val="20"/>
          <w:shd w:val="clear" w:color="auto" w:fill="FFFFFF"/>
          <w:lang w:val="es-CR"/>
        </w:rPr>
        <w:t xml:space="preserve"> escrito</w:t>
      </w:r>
      <w:r>
        <w:rPr>
          <w:rFonts w:ascii="Verdana" w:hAnsi="Verdana"/>
          <w:color w:val="000000"/>
          <w:sz w:val="20"/>
          <w:szCs w:val="20"/>
          <w:shd w:val="clear" w:color="auto" w:fill="FFFFFF"/>
          <w:lang w:val="es-CR"/>
        </w:rPr>
        <w:t>s</w:t>
      </w:r>
      <w:r w:rsidR="00427FA7" w:rsidRPr="003D709A">
        <w:rPr>
          <w:rFonts w:ascii="Verdana" w:hAnsi="Verdana"/>
          <w:color w:val="000000"/>
          <w:sz w:val="20"/>
          <w:szCs w:val="20"/>
          <w:shd w:val="clear" w:color="auto" w:fill="FFFFFF"/>
          <w:lang w:val="es-CR"/>
        </w:rPr>
        <w:t xml:space="preserve"> de observaciones presentado</w:t>
      </w:r>
      <w:r>
        <w:rPr>
          <w:rFonts w:ascii="Verdana" w:hAnsi="Verdana"/>
          <w:color w:val="000000"/>
          <w:sz w:val="20"/>
          <w:szCs w:val="20"/>
          <w:shd w:val="clear" w:color="auto" w:fill="FFFFFF"/>
          <w:lang w:val="es-CR"/>
        </w:rPr>
        <w:t>s</w:t>
      </w:r>
      <w:r w:rsidR="00002BC3" w:rsidRPr="003D709A">
        <w:rPr>
          <w:rFonts w:ascii="Verdana" w:hAnsi="Verdana"/>
          <w:color w:val="000000"/>
          <w:sz w:val="20"/>
          <w:szCs w:val="20"/>
          <w:shd w:val="clear" w:color="auto" w:fill="FFFFFF"/>
          <w:lang w:val="es-CR"/>
        </w:rPr>
        <w:t xml:space="preserve"> por la Comisión Interamericana de Derechos Humanos (en adelante “la Comisión Interamericana” o “la Comisión”) </w:t>
      </w:r>
      <w:r w:rsidR="00427FA7" w:rsidRPr="003D709A">
        <w:rPr>
          <w:rFonts w:ascii="Verdana" w:hAnsi="Verdana"/>
          <w:color w:val="000000"/>
          <w:sz w:val="20"/>
          <w:szCs w:val="20"/>
          <w:shd w:val="clear" w:color="auto" w:fill="FFFFFF"/>
          <w:lang w:val="es-CR"/>
        </w:rPr>
        <w:t xml:space="preserve">en </w:t>
      </w:r>
      <w:r>
        <w:rPr>
          <w:rFonts w:ascii="Verdana" w:hAnsi="Verdana"/>
          <w:color w:val="000000"/>
          <w:sz w:val="20"/>
          <w:szCs w:val="20"/>
          <w:shd w:val="clear" w:color="auto" w:fill="FFFFFF"/>
          <w:lang w:val="es-CR"/>
        </w:rPr>
        <w:t xml:space="preserve">mayo y </w:t>
      </w:r>
      <w:r w:rsidR="006C7F42">
        <w:rPr>
          <w:rFonts w:ascii="Verdana" w:hAnsi="Verdana"/>
          <w:color w:val="000000"/>
          <w:sz w:val="20"/>
          <w:szCs w:val="20"/>
          <w:shd w:val="clear" w:color="auto" w:fill="FFFFFF"/>
          <w:lang w:val="es-CR"/>
        </w:rPr>
        <w:t xml:space="preserve">julio </w:t>
      </w:r>
      <w:r w:rsidR="00CC07AE">
        <w:rPr>
          <w:rFonts w:ascii="Verdana" w:hAnsi="Verdana"/>
          <w:color w:val="000000"/>
          <w:sz w:val="20"/>
          <w:szCs w:val="20"/>
          <w:shd w:val="clear" w:color="auto" w:fill="FFFFFF"/>
          <w:lang w:val="es-CR"/>
        </w:rPr>
        <w:t>de 2019.</w:t>
      </w:r>
    </w:p>
    <w:p w14:paraId="1F66DC0D" w14:textId="77777777" w:rsidR="00374253" w:rsidRPr="003D709A" w:rsidRDefault="00374253" w:rsidP="00CC07AE">
      <w:pPr>
        <w:pStyle w:val="Prrafodelista"/>
        <w:spacing w:after="0" w:line="240" w:lineRule="auto"/>
        <w:ind w:left="0"/>
        <w:contextualSpacing w:val="0"/>
        <w:jc w:val="both"/>
        <w:rPr>
          <w:rFonts w:ascii="Verdana" w:hAnsi="Verdana"/>
          <w:color w:val="000000"/>
          <w:sz w:val="20"/>
          <w:szCs w:val="20"/>
          <w:shd w:val="clear" w:color="auto" w:fill="FFFFFF"/>
          <w:lang w:val="es-CR"/>
        </w:rPr>
      </w:pPr>
    </w:p>
    <w:p w14:paraId="4814A262" w14:textId="77777777" w:rsidR="00BB59FD" w:rsidRPr="003D709A" w:rsidRDefault="00BB59FD" w:rsidP="003D709A">
      <w:pPr>
        <w:spacing w:after="0" w:line="240" w:lineRule="auto"/>
        <w:jc w:val="both"/>
        <w:rPr>
          <w:rFonts w:ascii="Verdana" w:hAnsi="Verdana"/>
          <w:b/>
          <w:sz w:val="20"/>
          <w:szCs w:val="20"/>
          <w:lang w:val="es-CR"/>
        </w:rPr>
      </w:pPr>
    </w:p>
    <w:p w14:paraId="5AA66443" w14:textId="77777777" w:rsidR="00002BC3" w:rsidRPr="003D709A" w:rsidRDefault="00002BC3" w:rsidP="003D709A">
      <w:pPr>
        <w:spacing w:after="0" w:line="240" w:lineRule="auto"/>
        <w:jc w:val="both"/>
        <w:rPr>
          <w:rFonts w:ascii="Verdana" w:hAnsi="Verdana"/>
          <w:b/>
          <w:sz w:val="20"/>
          <w:szCs w:val="20"/>
          <w:lang w:val="es-MX"/>
        </w:rPr>
      </w:pPr>
      <w:r w:rsidRPr="003D709A">
        <w:rPr>
          <w:rFonts w:ascii="Verdana" w:hAnsi="Verdana"/>
          <w:b/>
          <w:sz w:val="20"/>
          <w:szCs w:val="20"/>
          <w:lang w:val="es-CR"/>
        </w:rPr>
        <w:t>C</w:t>
      </w:r>
      <w:r w:rsidRPr="003D709A">
        <w:rPr>
          <w:rFonts w:ascii="Verdana" w:hAnsi="Verdana"/>
          <w:b/>
          <w:sz w:val="20"/>
          <w:szCs w:val="20"/>
          <w:lang w:val="es-MX"/>
        </w:rPr>
        <w:t xml:space="preserve">ONSIDERANDO QUE: </w:t>
      </w:r>
    </w:p>
    <w:p w14:paraId="3C61564D" w14:textId="77777777" w:rsidR="00B64288" w:rsidRPr="003D709A" w:rsidRDefault="00B64288" w:rsidP="003D709A">
      <w:pPr>
        <w:pStyle w:val="Prrafodelista"/>
        <w:spacing w:after="0" w:line="240" w:lineRule="auto"/>
        <w:ind w:left="0"/>
        <w:contextualSpacing w:val="0"/>
        <w:jc w:val="both"/>
        <w:rPr>
          <w:rFonts w:ascii="Verdana" w:hAnsi="Verdana"/>
          <w:b/>
          <w:sz w:val="20"/>
          <w:szCs w:val="20"/>
          <w:lang w:val="es-MX"/>
        </w:rPr>
      </w:pPr>
    </w:p>
    <w:p w14:paraId="7D389A64" w14:textId="77777777" w:rsidR="00002BC3" w:rsidRPr="00E75884" w:rsidRDefault="00002BC3" w:rsidP="001B5670">
      <w:pPr>
        <w:pStyle w:val="Prrafodelista"/>
        <w:numPr>
          <w:ilvl w:val="0"/>
          <w:numId w:val="2"/>
        </w:numPr>
        <w:spacing w:after="0" w:line="240" w:lineRule="auto"/>
        <w:ind w:left="0" w:firstLine="0"/>
        <w:contextualSpacing w:val="0"/>
        <w:jc w:val="both"/>
        <w:rPr>
          <w:rFonts w:ascii="Verdana" w:hAnsi="Verdana"/>
          <w:b/>
          <w:sz w:val="20"/>
          <w:szCs w:val="20"/>
          <w:lang w:val="es-MX"/>
        </w:rPr>
      </w:pPr>
      <w:r w:rsidRPr="00E75884">
        <w:rPr>
          <w:rFonts w:ascii="Verdana" w:hAnsi="Verdana"/>
          <w:sz w:val="20"/>
          <w:szCs w:val="20"/>
          <w:lang w:val="es-CR"/>
        </w:rPr>
        <w:t xml:space="preserve">En el ejercicio de </w:t>
      </w:r>
      <w:r w:rsidRPr="00E75884">
        <w:rPr>
          <w:rFonts w:ascii="Verdana" w:hAnsi="Verdana"/>
          <w:sz w:val="20"/>
          <w:szCs w:val="20"/>
          <w:lang w:val="es-ES"/>
        </w:rPr>
        <w:t xml:space="preserve">su función jurisdiccional de </w:t>
      </w:r>
      <w:r w:rsidRPr="00E75884">
        <w:rPr>
          <w:rFonts w:ascii="Verdana" w:hAnsi="Verdana"/>
          <w:sz w:val="20"/>
          <w:szCs w:val="20"/>
          <w:lang w:val="es-CR"/>
        </w:rPr>
        <w:t>supervisar el cumplimiento de sus decisiones</w:t>
      </w:r>
      <w:r w:rsidRPr="003D709A">
        <w:rPr>
          <w:rStyle w:val="Refdenotaalpie"/>
          <w:rFonts w:ascii="Verdana" w:hAnsi="Verdana"/>
          <w:sz w:val="20"/>
          <w:szCs w:val="20"/>
        </w:rPr>
        <w:footnoteReference w:id="6"/>
      </w:r>
      <w:r w:rsidRPr="00E75884">
        <w:rPr>
          <w:rFonts w:ascii="Verdana" w:hAnsi="Verdana"/>
          <w:sz w:val="20"/>
          <w:szCs w:val="20"/>
          <w:lang w:val="es-CR"/>
        </w:rPr>
        <w:t xml:space="preserve">, la Corte ha venido supervisando la ejecución de la referida Sentencia emitida </w:t>
      </w:r>
      <w:r w:rsidRPr="00E75884">
        <w:rPr>
          <w:rFonts w:ascii="Verdana" w:hAnsi="Verdana"/>
          <w:sz w:val="20"/>
          <w:szCs w:val="20"/>
          <w:lang w:val="es-MX"/>
        </w:rPr>
        <w:t xml:space="preserve">en el </w:t>
      </w:r>
      <w:r w:rsidR="00FB3A04" w:rsidRPr="00E75884">
        <w:rPr>
          <w:rFonts w:ascii="Verdana" w:hAnsi="Verdana"/>
          <w:sz w:val="20"/>
          <w:szCs w:val="20"/>
          <w:lang w:val="es-MX"/>
        </w:rPr>
        <w:t>201</w:t>
      </w:r>
      <w:r w:rsidR="00611413" w:rsidRPr="00E75884">
        <w:rPr>
          <w:rFonts w:ascii="Verdana" w:hAnsi="Verdana"/>
          <w:sz w:val="20"/>
          <w:szCs w:val="20"/>
          <w:lang w:val="es-MX"/>
        </w:rPr>
        <w:t>8</w:t>
      </w:r>
      <w:r w:rsidRPr="00E75884">
        <w:rPr>
          <w:rFonts w:ascii="Verdana" w:hAnsi="Verdana"/>
          <w:sz w:val="20"/>
          <w:szCs w:val="20"/>
          <w:lang w:val="es-MX"/>
        </w:rPr>
        <w:t xml:space="preserve"> (</w:t>
      </w:r>
      <w:r w:rsidRPr="00E75884">
        <w:rPr>
          <w:rFonts w:ascii="Verdana" w:hAnsi="Verdana"/>
          <w:i/>
          <w:sz w:val="20"/>
          <w:szCs w:val="20"/>
          <w:lang w:val="es-MX"/>
        </w:rPr>
        <w:t>supra</w:t>
      </w:r>
      <w:r w:rsidRPr="00E75884">
        <w:rPr>
          <w:rFonts w:ascii="Verdana" w:hAnsi="Verdana"/>
          <w:sz w:val="20"/>
          <w:szCs w:val="20"/>
          <w:lang w:val="es-MX"/>
        </w:rPr>
        <w:t xml:space="preserve"> Visto 1). </w:t>
      </w:r>
      <w:r w:rsidRPr="00E75884">
        <w:rPr>
          <w:rFonts w:ascii="Verdana" w:hAnsi="Verdana"/>
          <w:sz w:val="20"/>
          <w:szCs w:val="20"/>
          <w:lang w:val="es-CR"/>
        </w:rPr>
        <w:t xml:space="preserve">En dicho fallo la Corte dispuso </w:t>
      </w:r>
      <w:r w:rsidR="00422C99" w:rsidRPr="00E75884">
        <w:rPr>
          <w:rFonts w:ascii="Verdana" w:hAnsi="Verdana"/>
          <w:sz w:val="20"/>
          <w:szCs w:val="20"/>
          <w:lang w:val="es-CR"/>
        </w:rPr>
        <w:t>siete</w:t>
      </w:r>
      <w:r w:rsidRPr="00E75884">
        <w:rPr>
          <w:rFonts w:ascii="Verdana" w:hAnsi="Verdana"/>
          <w:sz w:val="20"/>
          <w:szCs w:val="20"/>
          <w:lang w:val="es-CR"/>
        </w:rPr>
        <w:t xml:space="preserve"> medidas de reparación</w:t>
      </w:r>
      <w:r w:rsidR="007D0BA0" w:rsidRPr="00E75884">
        <w:rPr>
          <w:rFonts w:ascii="Verdana" w:hAnsi="Verdana"/>
          <w:sz w:val="20"/>
          <w:szCs w:val="20"/>
          <w:lang w:val="es-CR"/>
        </w:rPr>
        <w:t xml:space="preserve"> (</w:t>
      </w:r>
      <w:r w:rsidR="007D0BA0" w:rsidRPr="00E75884">
        <w:rPr>
          <w:rFonts w:ascii="Verdana" w:hAnsi="Verdana"/>
          <w:i/>
          <w:sz w:val="20"/>
          <w:szCs w:val="20"/>
          <w:lang w:val="es-CR"/>
        </w:rPr>
        <w:t>infra</w:t>
      </w:r>
      <w:r w:rsidR="007D0BA0" w:rsidRPr="00E75884">
        <w:rPr>
          <w:rFonts w:ascii="Verdana" w:hAnsi="Verdana"/>
          <w:sz w:val="20"/>
          <w:szCs w:val="20"/>
          <w:lang w:val="es-CR"/>
        </w:rPr>
        <w:t xml:space="preserve"> Considerando 4 y punto resolutivo 2)</w:t>
      </w:r>
      <w:r w:rsidR="0071085E">
        <w:rPr>
          <w:rFonts w:ascii="Verdana" w:hAnsi="Verdana"/>
          <w:sz w:val="20"/>
          <w:szCs w:val="20"/>
          <w:lang w:val="es-CR"/>
        </w:rPr>
        <w:t xml:space="preserve"> y el </w:t>
      </w:r>
      <w:r w:rsidR="0071085E" w:rsidRPr="00E75884">
        <w:rPr>
          <w:rFonts w:ascii="Verdana" w:hAnsi="Verdana"/>
          <w:sz w:val="20"/>
          <w:szCs w:val="20"/>
          <w:lang w:val="es-CR"/>
        </w:rPr>
        <w:t>reintegro al Fondo de Asistencia Legal de Víctimas</w:t>
      </w:r>
      <w:r w:rsidRPr="00E75884">
        <w:rPr>
          <w:rFonts w:ascii="Verdana" w:hAnsi="Verdana"/>
          <w:sz w:val="20"/>
          <w:szCs w:val="20"/>
          <w:lang w:val="es-CR"/>
        </w:rPr>
        <w:t xml:space="preserve">. </w:t>
      </w:r>
      <w:r w:rsidR="00136FA6" w:rsidRPr="00E75884">
        <w:rPr>
          <w:rFonts w:ascii="Verdana" w:hAnsi="Verdana"/>
          <w:sz w:val="20"/>
          <w:szCs w:val="20"/>
          <w:lang w:val="es-CR"/>
        </w:rPr>
        <w:t xml:space="preserve">El Tribunal ha emitido </w:t>
      </w:r>
      <w:r w:rsidR="00CA4DDB">
        <w:rPr>
          <w:rFonts w:ascii="Verdana" w:hAnsi="Verdana"/>
          <w:sz w:val="20"/>
          <w:szCs w:val="20"/>
          <w:lang w:val="es-CR"/>
        </w:rPr>
        <w:t>dos</w:t>
      </w:r>
      <w:r w:rsidR="00136FA6" w:rsidRPr="00E75884">
        <w:rPr>
          <w:rFonts w:ascii="Verdana" w:hAnsi="Verdana"/>
          <w:sz w:val="20"/>
          <w:szCs w:val="20"/>
          <w:lang w:val="es-CR"/>
        </w:rPr>
        <w:t xml:space="preserve"> resoluci</w:t>
      </w:r>
      <w:r w:rsidR="00CA4DDB">
        <w:rPr>
          <w:rFonts w:ascii="Verdana" w:hAnsi="Verdana"/>
          <w:sz w:val="20"/>
          <w:szCs w:val="20"/>
          <w:lang w:val="es-CR"/>
        </w:rPr>
        <w:t>ones</w:t>
      </w:r>
      <w:r w:rsidR="00136FA6" w:rsidRPr="00E75884">
        <w:rPr>
          <w:rFonts w:ascii="Verdana" w:hAnsi="Verdana"/>
          <w:sz w:val="20"/>
          <w:szCs w:val="20"/>
          <w:lang w:val="es-CR"/>
        </w:rPr>
        <w:t xml:space="preserve"> de supervisi</w:t>
      </w:r>
      <w:r w:rsidR="00E560C7" w:rsidRPr="00E75884">
        <w:rPr>
          <w:rFonts w:ascii="Verdana" w:hAnsi="Verdana"/>
          <w:sz w:val="20"/>
          <w:szCs w:val="20"/>
          <w:lang w:val="es-CR"/>
        </w:rPr>
        <w:t xml:space="preserve">ón de cumplimiento </w:t>
      </w:r>
      <w:r w:rsidR="00136FA6" w:rsidRPr="00E75884">
        <w:rPr>
          <w:rFonts w:ascii="Verdana" w:hAnsi="Verdana"/>
          <w:sz w:val="20"/>
          <w:szCs w:val="20"/>
          <w:lang w:val="es-CR"/>
        </w:rPr>
        <w:t>en la</w:t>
      </w:r>
      <w:r w:rsidR="00CA4DDB">
        <w:rPr>
          <w:rFonts w:ascii="Verdana" w:hAnsi="Verdana"/>
          <w:sz w:val="20"/>
          <w:szCs w:val="20"/>
          <w:lang w:val="es-CR"/>
        </w:rPr>
        <w:t>s</w:t>
      </w:r>
      <w:r w:rsidR="00136FA6" w:rsidRPr="00E75884">
        <w:rPr>
          <w:rFonts w:ascii="Verdana" w:hAnsi="Verdana"/>
          <w:sz w:val="20"/>
          <w:szCs w:val="20"/>
          <w:lang w:val="es-CR"/>
        </w:rPr>
        <w:t xml:space="preserve"> que declaró que el Estado dio cumplimiento a la medida de reparación relativa a </w:t>
      </w:r>
      <w:r w:rsidR="00C45FCC" w:rsidRPr="00E75884">
        <w:rPr>
          <w:rFonts w:ascii="Verdana" w:hAnsi="Verdana"/>
          <w:sz w:val="20"/>
          <w:szCs w:val="20"/>
          <w:lang w:val="es-CR"/>
        </w:rPr>
        <w:t>la publicación y difusión de la Sentencia y su resumen oficia</w:t>
      </w:r>
      <w:r w:rsidR="00E560C7" w:rsidRPr="00E75884">
        <w:rPr>
          <w:rFonts w:ascii="Verdana" w:hAnsi="Verdana"/>
          <w:sz w:val="20"/>
          <w:szCs w:val="20"/>
          <w:lang w:val="es-CR"/>
        </w:rPr>
        <w:t>l</w:t>
      </w:r>
      <w:r w:rsidR="00906A1F">
        <w:rPr>
          <w:rFonts w:ascii="Verdana" w:hAnsi="Verdana"/>
          <w:sz w:val="20"/>
          <w:szCs w:val="20"/>
          <w:lang w:val="es-CR"/>
        </w:rPr>
        <w:t xml:space="preserve"> (</w:t>
      </w:r>
      <w:r w:rsidR="00906A1F" w:rsidRPr="00906A1F">
        <w:rPr>
          <w:rFonts w:ascii="Verdana" w:hAnsi="Verdana"/>
          <w:i/>
          <w:sz w:val="20"/>
          <w:szCs w:val="20"/>
          <w:lang w:val="es-CR"/>
        </w:rPr>
        <w:t>supra</w:t>
      </w:r>
      <w:r w:rsidR="00906A1F">
        <w:rPr>
          <w:rFonts w:ascii="Verdana" w:hAnsi="Verdana"/>
          <w:sz w:val="20"/>
          <w:szCs w:val="20"/>
          <w:lang w:val="es-CR"/>
        </w:rPr>
        <w:t xml:space="preserve"> Visto 2)</w:t>
      </w:r>
      <w:r w:rsidR="00E75884" w:rsidRPr="00E75884">
        <w:rPr>
          <w:rFonts w:ascii="Verdana" w:hAnsi="Verdana"/>
          <w:sz w:val="20"/>
          <w:szCs w:val="20"/>
          <w:lang w:val="es-CR"/>
        </w:rPr>
        <w:t xml:space="preserve">, así como </w:t>
      </w:r>
      <w:r w:rsidR="00CA4DDB">
        <w:rPr>
          <w:rFonts w:ascii="Verdana" w:hAnsi="Verdana"/>
          <w:sz w:val="20"/>
          <w:szCs w:val="20"/>
          <w:lang w:val="es-CR"/>
        </w:rPr>
        <w:t xml:space="preserve">que realizó </w:t>
      </w:r>
      <w:r w:rsidR="00E75884" w:rsidRPr="00E75884">
        <w:rPr>
          <w:rFonts w:ascii="Verdana" w:hAnsi="Verdana"/>
          <w:sz w:val="20"/>
          <w:szCs w:val="20"/>
          <w:lang w:val="es-CR"/>
        </w:rPr>
        <w:t xml:space="preserve">el reintegro al Fondo de Asistencia Legal de Víctimas </w:t>
      </w:r>
      <w:r w:rsidR="00E560C7" w:rsidRPr="00E75884">
        <w:rPr>
          <w:rFonts w:ascii="Verdana" w:hAnsi="Verdana"/>
          <w:sz w:val="20"/>
          <w:szCs w:val="20"/>
          <w:lang w:val="es-CR"/>
        </w:rPr>
        <w:t>(</w:t>
      </w:r>
      <w:r w:rsidR="00E560C7" w:rsidRPr="00E75884">
        <w:rPr>
          <w:rFonts w:ascii="Verdana" w:hAnsi="Verdana"/>
          <w:i/>
          <w:sz w:val="20"/>
          <w:szCs w:val="20"/>
          <w:lang w:val="es-CR"/>
        </w:rPr>
        <w:t xml:space="preserve">supra </w:t>
      </w:r>
      <w:r w:rsidR="00E560C7" w:rsidRPr="00E75884">
        <w:rPr>
          <w:rFonts w:ascii="Verdana" w:hAnsi="Verdana"/>
          <w:sz w:val="20"/>
          <w:szCs w:val="20"/>
          <w:lang w:val="es-CR"/>
        </w:rPr>
        <w:t xml:space="preserve">Visto </w:t>
      </w:r>
      <w:r w:rsidR="00906A1F">
        <w:rPr>
          <w:rFonts w:ascii="Verdana" w:hAnsi="Verdana"/>
          <w:sz w:val="20"/>
          <w:szCs w:val="20"/>
          <w:lang w:val="es-CR"/>
        </w:rPr>
        <w:t>3</w:t>
      </w:r>
      <w:r w:rsidR="00E560C7" w:rsidRPr="00E75884">
        <w:rPr>
          <w:rFonts w:ascii="Verdana" w:hAnsi="Verdana"/>
          <w:sz w:val="20"/>
          <w:szCs w:val="20"/>
          <w:lang w:val="es-CR"/>
        </w:rPr>
        <w:t>)</w:t>
      </w:r>
      <w:r w:rsidR="00E75884" w:rsidRPr="00E75884">
        <w:rPr>
          <w:rFonts w:ascii="Verdana" w:hAnsi="Verdana"/>
          <w:sz w:val="20"/>
          <w:szCs w:val="20"/>
          <w:lang w:val="es-CR"/>
        </w:rPr>
        <w:t xml:space="preserve">, </w:t>
      </w:r>
      <w:r w:rsidR="00C45FCC" w:rsidRPr="00E75884">
        <w:rPr>
          <w:rFonts w:ascii="Verdana" w:hAnsi="Verdana"/>
          <w:sz w:val="20"/>
          <w:szCs w:val="20"/>
          <w:lang w:val="es-CR"/>
        </w:rPr>
        <w:t xml:space="preserve">encontrándose pendientes de cumplimiento </w:t>
      </w:r>
      <w:r w:rsidR="0071085E">
        <w:rPr>
          <w:rFonts w:ascii="Verdana" w:hAnsi="Verdana"/>
          <w:sz w:val="20"/>
          <w:szCs w:val="20"/>
          <w:lang w:val="es-CR"/>
        </w:rPr>
        <w:t>seis</w:t>
      </w:r>
      <w:r w:rsidR="00C45FCC" w:rsidRPr="00E75884">
        <w:rPr>
          <w:rFonts w:ascii="Verdana" w:hAnsi="Verdana"/>
          <w:sz w:val="20"/>
          <w:szCs w:val="20"/>
          <w:lang w:val="es-CR"/>
        </w:rPr>
        <w:t xml:space="preserve"> medidas de reparación (</w:t>
      </w:r>
      <w:r w:rsidR="00C45FCC" w:rsidRPr="00E75884">
        <w:rPr>
          <w:rFonts w:ascii="Verdana" w:hAnsi="Verdana"/>
          <w:i/>
          <w:sz w:val="20"/>
          <w:szCs w:val="20"/>
          <w:lang w:val="es-CR"/>
        </w:rPr>
        <w:t>infra</w:t>
      </w:r>
      <w:r w:rsidR="00C45FCC" w:rsidRPr="00E75884">
        <w:rPr>
          <w:rFonts w:ascii="Verdana" w:hAnsi="Verdana"/>
          <w:sz w:val="20"/>
          <w:szCs w:val="20"/>
          <w:lang w:val="es-CR"/>
        </w:rPr>
        <w:t xml:space="preserve"> Considerando 3).</w:t>
      </w:r>
    </w:p>
    <w:p w14:paraId="7F87E709" w14:textId="77777777" w:rsidR="007B74E4" w:rsidRPr="003D709A" w:rsidRDefault="007B74E4" w:rsidP="003D709A">
      <w:pPr>
        <w:pStyle w:val="Prrafodelista"/>
        <w:spacing w:after="0" w:line="240" w:lineRule="auto"/>
        <w:ind w:left="0"/>
        <w:contextualSpacing w:val="0"/>
        <w:jc w:val="both"/>
        <w:rPr>
          <w:rFonts w:ascii="Verdana" w:hAnsi="Verdana"/>
          <w:b/>
          <w:sz w:val="20"/>
          <w:szCs w:val="20"/>
          <w:lang w:val="es-MX"/>
        </w:rPr>
      </w:pPr>
    </w:p>
    <w:p w14:paraId="1BB73617" w14:textId="77777777" w:rsidR="00002BC3" w:rsidRPr="003D709A" w:rsidRDefault="00002BC3" w:rsidP="003D709A">
      <w:pPr>
        <w:pStyle w:val="Prrafodelista"/>
        <w:numPr>
          <w:ilvl w:val="0"/>
          <w:numId w:val="2"/>
        </w:numPr>
        <w:spacing w:after="0" w:line="240" w:lineRule="auto"/>
        <w:ind w:left="0" w:firstLine="0"/>
        <w:contextualSpacing w:val="0"/>
        <w:jc w:val="both"/>
        <w:rPr>
          <w:rFonts w:ascii="Verdana" w:hAnsi="Verdana"/>
          <w:b/>
          <w:sz w:val="20"/>
          <w:szCs w:val="20"/>
          <w:lang w:val="es-MX"/>
        </w:rPr>
      </w:pPr>
      <w:r w:rsidRPr="003D709A">
        <w:rPr>
          <w:rFonts w:ascii="Verdana" w:hAnsi="Verdana"/>
          <w:sz w:val="20"/>
          <w:szCs w:val="20"/>
          <w:lang w:val="es-CR"/>
        </w:rPr>
        <w:t>De conformidad con lo establecido en el artículo 68.1 de la Convención Americana</w:t>
      </w:r>
      <w:r w:rsidR="0071085E">
        <w:rPr>
          <w:rFonts w:ascii="Verdana" w:hAnsi="Verdana"/>
          <w:sz w:val="20"/>
          <w:szCs w:val="20"/>
          <w:lang w:val="es-CR"/>
        </w:rPr>
        <w:t xml:space="preserve"> sobre Derechos Humanos</w:t>
      </w:r>
      <w:r w:rsidRPr="003D709A">
        <w:rPr>
          <w:rFonts w:ascii="Verdana" w:hAnsi="Verdana"/>
          <w:sz w:val="20"/>
          <w:szCs w:val="20"/>
          <w:lang w:val="es-CR"/>
        </w:rPr>
        <w:t xml:space="preserve">, “[l]os </w:t>
      </w:r>
      <w:proofErr w:type="gramStart"/>
      <w:r w:rsidRPr="003D709A">
        <w:rPr>
          <w:rFonts w:ascii="Verdana" w:hAnsi="Verdana"/>
          <w:sz w:val="20"/>
          <w:szCs w:val="20"/>
          <w:lang w:val="es-CR"/>
        </w:rPr>
        <w:t>Estados Partes</w:t>
      </w:r>
      <w:proofErr w:type="gramEnd"/>
      <w:r w:rsidRPr="003D709A">
        <w:rPr>
          <w:rFonts w:ascii="Verdana" w:hAnsi="Verdana"/>
          <w:sz w:val="20"/>
          <w:szCs w:val="20"/>
          <w:lang w:val="es-CR"/>
        </w:rPr>
        <w:t xml:space="preserve">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3D709A">
        <w:rPr>
          <w:rStyle w:val="Refdenotaalpie"/>
          <w:rFonts w:ascii="Verdana" w:hAnsi="Verdana"/>
          <w:sz w:val="20"/>
          <w:szCs w:val="20"/>
        </w:rPr>
        <w:footnoteReference w:id="7"/>
      </w:r>
      <w:r w:rsidRPr="003D709A">
        <w:rPr>
          <w:rFonts w:ascii="Verdana" w:hAnsi="Verdana"/>
          <w:sz w:val="20"/>
          <w:szCs w:val="20"/>
          <w:lang w:val="es-CR"/>
        </w:rPr>
        <w:t>.</w:t>
      </w:r>
      <w:r w:rsidRPr="003D709A">
        <w:rPr>
          <w:rFonts w:ascii="Times New Roman" w:hAnsi="Times New Roman"/>
          <w:sz w:val="20"/>
          <w:szCs w:val="20"/>
          <w:lang w:val="es-CR"/>
        </w:rPr>
        <w:t xml:space="preserve"> </w:t>
      </w:r>
      <w:r w:rsidRPr="003D709A">
        <w:rPr>
          <w:rFonts w:ascii="Verdana" w:hAnsi="Verdana"/>
          <w:sz w:val="20"/>
          <w:szCs w:val="20"/>
          <w:lang w:val="es-CR"/>
        </w:rPr>
        <w:t>Los Estados Parte en la Convención deben garantizar el cumplimiento de las disposiciones convencionales y sus efectos propios (</w:t>
      </w:r>
      <w:r w:rsidRPr="003D709A">
        <w:rPr>
          <w:rFonts w:ascii="Verdana" w:hAnsi="Verdana"/>
          <w:i/>
          <w:sz w:val="20"/>
          <w:szCs w:val="20"/>
          <w:lang w:val="es-CR"/>
        </w:rPr>
        <w:t>effet utile</w:t>
      </w:r>
      <w:r w:rsidRPr="003D709A">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3D709A">
        <w:rPr>
          <w:rStyle w:val="Refdenotaalpie"/>
          <w:rFonts w:ascii="Verdana" w:hAnsi="Verdana"/>
          <w:sz w:val="20"/>
          <w:szCs w:val="20"/>
          <w:lang w:val="es-CR"/>
        </w:rPr>
        <w:footnoteReference w:id="8"/>
      </w:r>
      <w:r w:rsidRPr="003D709A">
        <w:rPr>
          <w:rFonts w:ascii="Verdana" w:hAnsi="Verdana"/>
          <w:sz w:val="20"/>
          <w:szCs w:val="20"/>
          <w:lang w:val="es-CR"/>
        </w:rPr>
        <w:t>.</w:t>
      </w:r>
    </w:p>
    <w:p w14:paraId="5EA2C088" w14:textId="77777777" w:rsidR="007B74E4" w:rsidRPr="003D709A" w:rsidRDefault="007B74E4" w:rsidP="003D709A">
      <w:pPr>
        <w:pStyle w:val="Prrafodelista"/>
        <w:spacing w:after="0" w:line="240" w:lineRule="auto"/>
        <w:ind w:left="0"/>
        <w:contextualSpacing w:val="0"/>
        <w:jc w:val="both"/>
        <w:rPr>
          <w:rFonts w:ascii="Verdana" w:hAnsi="Verdana"/>
          <w:b/>
          <w:sz w:val="20"/>
          <w:szCs w:val="20"/>
          <w:lang w:val="es-MX"/>
        </w:rPr>
      </w:pPr>
    </w:p>
    <w:p w14:paraId="24C119BE" w14:textId="77777777" w:rsidR="002E7A6A" w:rsidRPr="006D3BEF" w:rsidRDefault="00062DC4" w:rsidP="001B5670">
      <w:pPr>
        <w:pStyle w:val="Prrafodelista"/>
        <w:numPr>
          <w:ilvl w:val="0"/>
          <w:numId w:val="3"/>
        </w:numPr>
        <w:spacing w:after="0" w:line="240" w:lineRule="auto"/>
        <w:ind w:left="0" w:hanging="11"/>
        <w:contextualSpacing w:val="0"/>
        <w:jc w:val="both"/>
        <w:rPr>
          <w:rFonts w:ascii="Verdana" w:hAnsi="Verdana"/>
          <w:sz w:val="20"/>
          <w:szCs w:val="20"/>
          <w:lang w:val="es-CR"/>
        </w:rPr>
      </w:pPr>
      <w:r w:rsidRPr="006D3BEF">
        <w:rPr>
          <w:rFonts w:ascii="Verdana" w:hAnsi="Verdana"/>
          <w:sz w:val="20"/>
          <w:szCs w:val="20"/>
          <w:lang w:val="es-CR"/>
        </w:rPr>
        <w:t xml:space="preserve">En la presente Resolución, la Corte </w:t>
      </w:r>
      <w:r w:rsidR="00C150D1" w:rsidRPr="006D3BEF">
        <w:rPr>
          <w:rFonts w:ascii="Verdana" w:hAnsi="Verdana"/>
          <w:sz w:val="20"/>
          <w:szCs w:val="20"/>
          <w:lang w:val="es-CR"/>
        </w:rPr>
        <w:t xml:space="preserve">se pronunciará sobre </w:t>
      </w:r>
      <w:r w:rsidR="005172F7" w:rsidRPr="006D3BEF">
        <w:rPr>
          <w:rFonts w:ascii="Verdana" w:hAnsi="Verdana"/>
          <w:sz w:val="20"/>
          <w:szCs w:val="20"/>
          <w:lang w:val="es-CR"/>
        </w:rPr>
        <w:t>la</w:t>
      </w:r>
      <w:r w:rsidR="0061225F" w:rsidRPr="006D3BEF">
        <w:rPr>
          <w:rFonts w:ascii="Verdana" w:hAnsi="Verdana"/>
          <w:sz w:val="20"/>
          <w:szCs w:val="20"/>
          <w:lang w:val="es-CR"/>
        </w:rPr>
        <w:t xml:space="preserve"> medida relativa a </w:t>
      </w:r>
      <w:r w:rsidR="006D3BEF" w:rsidRPr="006D3BEF">
        <w:rPr>
          <w:rFonts w:ascii="Verdana" w:hAnsi="Verdana"/>
          <w:sz w:val="20"/>
          <w:szCs w:val="20"/>
          <w:lang w:val="es-CR"/>
        </w:rPr>
        <w:t>realizar un acto público de reconocimiento de responsabilidad internacional. En una posterior resolución, el Tribunal se pronunciará sobre las</w:t>
      </w:r>
      <w:r w:rsidR="00426DBB">
        <w:rPr>
          <w:rFonts w:ascii="Verdana" w:hAnsi="Verdana"/>
          <w:sz w:val="20"/>
          <w:szCs w:val="20"/>
          <w:lang w:val="es-CR"/>
        </w:rPr>
        <w:t xml:space="preserve"> demás</w:t>
      </w:r>
      <w:r w:rsidR="006D3BEF" w:rsidRPr="006D3BEF">
        <w:rPr>
          <w:rFonts w:ascii="Verdana" w:hAnsi="Verdana"/>
          <w:sz w:val="20"/>
          <w:szCs w:val="20"/>
          <w:lang w:val="es-CR"/>
        </w:rPr>
        <w:t xml:space="preserve"> medidas pendientes de cumplimiento</w:t>
      </w:r>
      <w:r w:rsidR="001102B9" w:rsidRPr="006D3BEF">
        <w:rPr>
          <w:rFonts w:ascii="Verdana" w:hAnsi="Verdana"/>
          <w:sz w:val="20"/>
          <w:szCs w:val="20"/>
          <w:lang w:val="es-CR"/>
        </w:rPr>
        <w:t xml:space="preserve"> </w:t>
      </w:r>
      <w:r w:rsidR="00C150D1" w:rsidRPr="006D3BEF">
        <w:rPr>
          <w:rFonts w:ascii="Verdana" w:hAnsi="Verdana"/>
          <w:sz w:val="20"/>
          <w:szCs w:val="20"/>
          <w:lang w:val="es-CR"/>
        </w:rPr>
        <w:t>(</w:t>
      </w:r>
      <w:r w:rsidR="00EB6306" w:rsidRPr="006D3BEF">
        <w:rPr>
          <w:rFonts w:ascii="Verdana" w:hAnsi="Verdana"/>
          <w:i/>
          <w:sz w:val="20"/>
          <w:szCs w:val="20"/>
          <w:lang w:val="es-CR"/>
        </w:rPr>
        <w:t xml:space="preserve">infra </w:t>
      </w:r>
      <w:r w:rsidR="00EB6306" w:rsidRPr="006D3BEF">
        <w:rPr>
          <w:rFonts w:ascii="Verdana" w:hAnsi="Verdana"/>
          <w:sz w:val="20"/>
          <w:szCs w:val="20"/>
          <w:lang w:val="es-CR"/>
        </w:rPr>
        <w:t>punto resolutivo 2</w:t>
      </w:r>
      <w:r w:rsidR="00C150D1" w:rsidRPr="006D3BEF">
        <w:rPr>
          <w:rFonts w:ascii="Verdana" w:hAnsi="Verdana"/>
          <w:sz w:val="20"/>
          <w:szCs w:val="20"/>
          <w:lang w:val="es-CR"/>
        </w:rPr>
        <w:t>).</w:t>
      </w:r>
      <w:r w:rsidRPr="006D3BEF">
        <w:rPr>
          <w:rFonts w:ascii="Verdana" w:hAnsi="Verdana"/>
          <w:sz w:val="20"/>
          <w:szCs w:val="20"/>
          <w:lang w:val="es-CR"/>
        </w:rPr>
        <w:t xml:space="preserve"> </w:t>
      </w:r>
      <w:bookmarkStart w:id="0" w:name="_Toc1394497"/>
    </w:p>
    <w:p w14:paraId="1F055CED" w14:textId="77777777" w:rsidR="002E7A6A" w:rsidRDefault="002E7A6A" w:rsidP="003D709A">
      <w:pPr>
        <w:spacing w:after="0" w:line="240" w:lineRule="auto"/>
        <w:rPr>
          <w:rFonts w:ascii="Verdana" w:hAnsi="Verdana"/>
          <w:sz w:val="20"/>
          <w:szCs w:val="20"/>
          <w:lang w:val="es-CR"/>
        </w:rPr>
      </w:pPr>
    </w:p>
    <w:p w14:paraId="2BCAADD7" w14:textId="77777777" w:rsidR="0071085E" w:rsidRDefault="0071085E" w:rsidP="003D709A">
      <w:pPr>
        <w:spacing w:after="0" w:line="240" w:lineRule="auto"/>
        <w:rPr>
          <w:rFonts w:ascii="Verdana" w:hAnsi="Verdana"/>
          <w:sz w:val="20"/>
          <w:szCs w:val="20"/>
          <w:lang w:val="es-CR"/>
        </w:rPr>
      </w:pPr>
    </w:p>
    <w:p w14:paraId="197BDE5C" w14:textId="77777777" w:rsidR="0071085E" w:rsidRDefault="0071085E" w:rsidP="003D709A">
      <w:pPr>
        <w:spacing w:after="0" w:line="240" w:lineRule="auto"/>
        <w:rPr>
          <w:rFonts w:ascii="Verdana" w:hAnsi="Verdana"/>
          <w:sz w:val="20"/>
          <w:szCs w:val="20"/>
          <w:lang w:val="es-CR"/>
        </w:rPr>
      </w:pPr>
    </w:p>
    <w:p w14:paraId="400E2D50" w14:textId="77777777" w:rsidR="0071085E" w:rsidRDefault="0071085E" w:rsidP="003D709A">
      <w:pPr>
        <w:spacing w:after="0" w:line="240" w:lineRule="auto"/>
        <w:rPr>
          <w:rFonts w:ascii="Verdana" w:hAnsi="Verdana"/>
          <w:sz w:val="20"/>
          <w:szCs w:val="20"/>
          <w:lang w:val="es-CR"/>
        </w:rPr>
      </w:pPr>
    </w:p>
    <w:bookmarkEnd w:id="0"/>
    <w:p w14:paraId="7AED313F" w14:textId="77777777" w:rsidR="00062DC4" w:rsidRPr="003D709A" w:rsidRDefault="00062DC4" w:rsidP="003D709A">
      <w:pPr>
        <w:pStyle w:val="Prrafodelista"/>
        <w:spacing w:after="0" w:line="240" w:lineRule="auto"/>
        <w:contextualSpacing w:val="0"/>
        <w:jc w:val="both"/>
        <w:rPr>
          <w:rFonts w:ascii="Verdana" w:hAnsi="Verdana"/>
          <w:i/>
          <w:sz w:val="20"/>
          <w:szCs w:val="20"/>
          <w:lang w:val="es-MX"/>
        </w:rPr>
      </w:pPr>
      <w:r w:rsidRPr="003D709A">
        <w:rPr>
          <w:rFonts w:ascii="Verdana" w:hAnsi="Verdana"/>
          <w:i/>
          <w:sz w:val="20"/>
          <w:szCs w:val="20"/>
          <w:lang w:val="es-MX"/>
        </w:rPr>
        <w:t>A. Medida ordenada por la Corte</w:t>
      </w:r>
    </w:p>
    <w:p w14:paraId="78874042" w14:textId="77777777" w:rsidR="00B64288" w:rsidRPr="003D709A" w:rsidRDefault="00B64288" w:rsidP="003D709A">
      <w:pPr>
        <w:pStyle w:val="Prrafodelista"/>
        <w:spacing w:after="0" w:line="240" w:lineRule="auto"/>
        <w:ind w:left="0"/>
        <w:contextualSpacing w:val="0"/>
        <w:jc w:val="both"/>
        <w:rPr>
          <w:rFonts w:ascii="Verdana" w:hAnsi="Verdana"/>
          <w:sz w:val="20"/>
          <w:szCs w:val="20"/>
          <w:lang w:val="es-MX"/>
        </w:rPr>
      </w:pPr>
    </w:p>
    <w:p w14:paraId="77B92646" w14:textId="77777777" w:rsidR="00B64288" w:rsidRPr="003B4A91" w:rsidRDefault="00062DC4" w:rsidP="001B5670">
      <w:pPr>
        <w:pStyle w:val="Prrafodelista"/>
        <w:numPr>
          <w:ilvl w:val="0"/>
          <w:numId w:val="3"/>
        </w:numPr>
        <w:spacing w:after="0" w:line="240" w:lineRule="auto"/>
        <w:ind w:left="0" w:hanging="11"/>
        <w:contextualSpacing w:val="0"/>
        <w:jc w:val="both"/>
        <w:rPr>
          <w:rFonts w:ascii="Verdana" w:hAnsi="Verdana"/>
          <w:i/>
          <w:sz w:val="20"/>
          <w:szCs w:val="20"/>
          <w:lang w:val="es-MX"/>
        </w:rPr>
      </w:pPr>
      <w:r w:rsidRPr="003B4A91">
        <w:rPr>
          <w:rFonts w:ascii="Verdana" w:hAnsi="Verdana"/>
          <w:sz w:val="20"/>
          <w:szCs w:val="20"/>
          <w:lang w:val="es-MX"/>
        </w:rPr>
        <w:t xml:space="preserve">En el punto dispositivo </w:t>
      </w:r>
      <w:r w:rsidR="003B4A91" w:rsidRPr="003B4A91">
        <w:rPr>
          <w:rFonts w:ascii="Verdana" w:hAnsi="Verdana"/>
          <w:sz w:val="20"/>
          <w:szCs w:val="20"/>
          <w:lang w:val="es-MX"/>
        </w:rPr>
        <w:t>décimo</w:t>
      </w:r>
      <w:r w:rsidR="00327B20">
        <w:rPr>
          <w:rFonts w:ascii="Verdana" w:hAnsi="Verdana"/>
          <w:sz w:val="20"/>
          <w:szCs w:val="20"/>
          <w:lang w:val="es-MX"/>
        </w:rPr>
        <w:t xml:space="preserve"> segundo</w:t>
      </w:r>
      <w:r w:rsidRPr="003B4A91">
        <w:rPr>
          <w:rFonts w:ascii="Verdana" w:hAnsi="Verdana"/>
          <w:sz w:val="20"/>
          <w:szCs w:val="20"/>
          <w:lang w:val="es-MX"/>
        </w:rPr>
        <w:t xml:space="preserve"> y en el párrafo </w:t>
      </w:r>
      <w:r w:rsidR="003B4A91" w:rsidRPr="003B4A91">
        <w:rPr>
          <w:rFonts w:ascii="Verdana" w:hAnsi="Verdana"/>
          <w:sz w:val="20"/>
          <w:szCs w:val="20"/>
          <w:lang w:val="es-MX"/>
        </w:rPr>
        <w:t>134</w:t>
      </w:r>
      <w:r w:rsidRPr="003B4A91">
        <w:rPr>
          <w:rFonts w:ascii="Verdana" w:hAnsi="Verdana"/>
          <w:sz w:val="20"/>
          <w:szCs w:val="20"/>
          <w:lang w:val="es-MX"/>
        </w:rPr>
        <w:t xml:space="preserve"> de la Sentencia, la Corte dispuso que el Estado debía, en el plazo de </w:t>
      </w:r>
      <w:r w:rsidR="003B4A91" w:rsidRPr="003B4A91">
        <w:rPr>
          <w:rFonts w:ascii="Verdana" w:hAnsi="Verdana"/>
          <w:sz w:val="20"/>
          <w:szCs w:val="20"/>
          <w:lang w:val="es-MX"/>
        </w:rPr>
        <w:t>un año</w:t>
      </w:r>
      <w:r w:rsidR="00B40584" w:rsidRPr="003B4A91">
        <w:rPr>
          <w:rFonts w:ascii="Verdana" w:hAnsi="Verdana"/>
          <w:sz w:val="20"/>
          <w:szCs w:val="20"/>
          <w:lang w:val="es-MX"/>
        </w:rPr>
        <w:t xml:space="preserve"> contado</w:t>
      </w:r>
      <w:r w:rsidRPr="003B4A91">
        <w:rPr>
          <w:rFonts w:ascii="Verdana" w:hAnsi="Verdana"/>
          <w:sz w:val="20"/>
          <w:szCs w:val="20"/>
          <w:lang w:val="es-MX"/>
        </w:rPr>
        <w:t xml:space="preserve"> </w:t>
      </w:r>
      <w:r w:rsidR="00DA66AD" w:rsidRPr="003B4A91">
        <w:rPr>
          <w:rFonts w:ascii="Verdana" w:hAnsi="Verdana"/>
          <w:sz w:val="20"/>
          <w:szCs w:val="20"/>
          <w:lang w:val="es-MX"/>
        </w:rPr>
        <w:t>a</w:t>
      </w:r>
      <w:r w:rsidR="00EB6306" w:rsidRPr="003B4A91">
        <w:rPr>
          <w:rFonts w:ascii="Verdana" w:hAnsi="Verdana"/>
          <w:sz w:val="20"/>
          <w:szCs w:val="20"/>
          <w:lang w:val="es-MX"/>
        </w:rPr>
        <w:t xml:space="preserve"> partir de la notificación del F</w:t>
      </w:r>
      <w:r w:rsidR="00DA66AD" w:rsidRPr="003B4A91">
        <w:rPr>
          <w:rFonts w:ascii="Verdana" w:hAnsi="Verdana"/>
          <w:sz w:val="20"/>
          <w:szCs w:val="20"/>
          <w:lang w:val="es-MX"/>
        </w:rPr>
        <w:t>allo</w:t>
      </w:r>
      <w:r w:rsidR="003B4A91">
        <w:rPr>
          <w:rFonts w:ascii="Verdana" w:hAnsi="Verdana"/>
          <w:sz w:val="20"/>
          <w:szCs w:val="20"/>
          <w:lang w:val="es-MX"/>
        </w:rPr>
        <w:t xml:space="preserve">, realizar un acto público de reconocimiento de responsabilidad internacional en relación con los hechos del caso. El Tribunal señaló que en dicho acto se debería hacer referencia a las violaciones de </w:t>
      </w:r>
      <w:r w:rsidR="00B45349">
        <w:rPr>
          <w:rFonts w:ascii="Verdana" w:hAnsi="Verdana"/>
          <w:sz w:val="20"/>
          <w:szCs w:val="20"/>
          <w:lang w:val="es-MX"/>
        </w:rPr>
        <w:t>derechos humanos declarada</w:t>
      </w:r>
      <w:r w:rsidR="003B4A91">
        <w:rPr>
          <w:rFonts w:ascii="Verdana" w:hAnsi="Verdana"/>
          <w:sz w:val="20"/>
          <w:szCs w:val="20"/>
          <w:lang w:val="es-MX"/>
        </w:rPr>
        <w:t>s en la Sentencia y debería llevarse a cabo mediante una ceremonia pública en presencia de altos funcionarios del Estado y de las víctimas.</w:t>
      </w:r>
      <w:r w:rsidR="00DC74A9">
        <w:rPr>
          <w:rFonts w:ascii="Verdana" w:hAnsi="Verdana"/>
          <w:sz w:val="20"/>
          <w:szCs w:val="20"/>
          <w:lang w:val="es-MX"/>
        </w:rPr>
        <w:t xml:space="preserve"> La Corte estableció que el Estado debería acordar con las víctimas o sus representantes la modalidad de cumplimiento del acto público de reconocimiento, así como las particularidades que se requieran, tales como el lugar y fecha para su realización. </w:t>
      </w:r>
    </w:p>
    <w:p w14:paraId="14FE46D7" w14:textId="77777777" w:rsidR="003B4A91" w:rsidRDefault="003B4A91" w:rsidP="003B4A91">
      <w:pPr>
        <w:pStyle w:val="Prrafodelista"/>
        <w:spacing w:after="0" w:line="240" w:lineRule="auto"/>
        <w:contextualSpacing w:val="0"/>
        <w:jc w:val="both"/>
        <w:rPr>
          <w:rFonts w:ascii="Verdana" w:hAnsi="Verdana"/>
          <w:sz w:val="20"/>
          <w:szCs w:val="20"/>
          <w:lang w:val="es-MX"/>
        </w:rPr>
      </w:pPr>
    </w:p>
    <w:p w14:paraId="79F05FDF" w14:textId="77777777" w:rsidR="003B4A91" w:rsidRPr="003B4A91" w:rsidRDefault="003B4A91" w:rsidP="003B4A91">
      <w:pPr>
        <w:pStyle w:val="Prrafodelista"/>
        <w:spacing w:after="0" w:line="240" w:lineRule="auto"/>
        <w:contextualSpacing w:val="0"/>
        <w:jc w:val="both"/>
        <w:rPr>
          <w:rFonts w:ascii="Verdana" w:hAnsi="Verdana"/>
          <w:i/>
          <w:sz w:val="20"/>
          <w:szCs w:val="20"/>
          <w:lang w:val="es-MX"/>
        </w:rPr>
      </w:pPr>
    </w:p>
    <w:p w14:paraId="159AEFF1" w14:textId="77777777" w:rsidR="00062DC4" w:rsidRPr="0020343C" w:rsidRDefault="00BF7426" w:rsidP="003D709A">
      <w:pPr>
        <w:pStyle w:val="Prrafodelista"/>
        <w:spacing w:after="0" w:line="240" w:lineRule="auto"/>
        <w:contextualSpacing w:val="0"/>
        <w:jc w:val="both"/>
        <w:rPr>
          <w:rFonts w:ascii="Verdana" w:hAnsi="Verdana"/>
          <w:i/>
          <w:sz w:val="20"/>
          <w:szCs w:val="20"/>
          <w:lang w:val="es-MX"/>
        </w:rPr>
      </w:pPr>
      <w:r w:rsidRPr="0020343C">
        <w:rPr>
          <w:rFonts w:ascii="Verdana" w:hAnsi="Verdana"/>
          <w:i/>
          <w:sz w:val="20"/>
          <w:szCs w:val="20"/>
          <w:lang w:val="es-MX"/>
        </w:rPr>
        <w:t>B.</w:t>
      </w:r>
      <w:r w:rsidR="00062DC4" w:rsidRPr="0020343C">
        <w:rPr>
          <w:rFonts w:ascii="Verdana" w:hAnsi="Verdana"/>
          <w:i/>
          <w:sz w:val="20"/>
          <w:szCs w:val="20"/>
          <w:lang w:val="es-MX"/>
        </w:rPr>
        <w:t xml:space="preserve"> Consideraciones de la Corte</w:t>
      </w:r>
    </w:p>
    <w:p w14:paraId="73F3A2D3" w14:textId="77777777" w:rsidR="00B64288" w:rsidRPr="0020343C" w:rsidRDefault="00B64288" w:rsidP="003D709A">
      <w:pPr>
        <w:pStyle w:val="Prrafodelista"/>
        <w:spacing w:after="0" w:line="240" w:lineRule="auto"/>
        <w:ind w:left="0"/>
        <w:contextualSpacing w:val="0"/>
        <w:jc w:val="both"/>
        <w:rPr>
          <w:rFonts w:ascii="Verdana" w:hAnsi="Verdana"/>
          <w:sz w:val="20"/>
          <w:szCs w:val="20"/>
          <w:lang w:val="es-MX"/>
        </w:rPr>
      </w:pPr>
    </w:p>
    <w:p w14:paraId="64BA7448" w14:textId="77777777" w:rsidR="008675E4" w:rsidRDefault="0020343C" w:rsidP="008675E4">
      <w:pPr>
        <w:pStyle w:val="Prrafodelista"/>
        <w:numPr>
          <w:ilvl w:val="0"/>
          <w:numId w:val="3"/>
        </w:numPr>
        <w:spacing w:after="0" w:line="240" w:lineRule="auto"/>
        <w:ind w:left="0" w:hanging="11"/>
        <w:contextualSpacing w:val="0"/>
        <w:jc w:val="both"/>
        <w:rPr>
          <w:rFonts w:ascii="Verdana" w:hAnsi="Verdana"/>
          <w:sz w:val="20"/>
          <w:szCs w:val="20"/>
          <w:lang w:val="es-MX"/>
        </w:rPr>
      </w:pPr>
      <w:r w:rsidRPr="00EA3815">
        <w:rPr>
          <w:rFonts w:ascii="Verdana" w:hAnsi="Verdana"/>
          <w:sz w:val="20"/>
          <w:szCs w:val="20"/>
          <w:lang w:val="es-MX"/>
        </w:rPr>
        <w:t>Con base en lo informado por el Estado</w:t>
      </w:r>
      <w:r>
        <w:rPr>
          <w:rStyle w:val="Refdenotaalpie"/>
          <w:rFonts w:ascii="Verdana" w:hAnsi="Verdana"/>
          <w:sz w:val="20"/>
          <w:szCs w:val="20"/>
          <w:lang w:val="es-MX"/>
        </w:rPr>
        <w:footnoteReference w:id="9"/>
      </w:r>
      <w:r w:rsidRPr="00EA3815">
        <w:rPr>
          <w:rFonts w:ascii="Verdana" w:hAnsi="Verdana"/>
          <w:sz w:val="20"/>
          <w:szCs w:val="20"/>
          <w:lang w:val="es-MX"/>
        </w:rPr>
        <w:t xml:space="preserve"> y confirmado por los representantes de las víctimas</w:t>
      </w:r>
      <w:r w:rsidR="000549E4">
        <w:rPr>
          <w:rFonts w:ascii="Verdana" w:hAnsi="Verdana"/>
          <w:sz w:val="20"/>
          <w:szCs w:val="20"/>
          <w:lang w:val="es-MX"/>
        </w:rPr>
        <w:t>, quienes solicitaron que se declare el cumplimiento de esta reparación</w:t>
      </w:r>
      <w:r>
        <w:rPr>
          <w:rStyle w:val="Refdenotaalpie"/>
          <w:rFonts w:ascii="Verdana" w:hAnsi="Verdana"/>
          <w:sz w:val="20"/>
          <w:szCs w:val="20"/>
          <w:lang w:val="es-MX"/>
        </w:rPr>
        <w:footnoteReference w:id="10"/>
      </w:r>
      <w:r w:rsidRPr="00EA3815">
        <w:rPr>
          <w:rFonts w:ascii="Verdana" w:hAnsi="Verdana"/>
          <w:sz w:val="20"/>
          <w:szCs w:val="20"/>
          <w:lang w:val="es-MX"/>
        </w:rPr>
        <w:t>,</w:t>
      </w:r>
      <w:r w:rsidR="00356AFC" w:rsidRPr="00EA3815">
        <w:rPr>
          <w:rFonts w:ascii="Verdana" w:hAnsi="Verdana"/>
          <w:sz w:val="20"/>
          <w:szCs w:val="20"/>
          <w:lang w:val="es-MX"/>
        </w:rPr>
        <w:t xml:space="preserve"> </w:t>
      </w:r>
      <w:r w:rsidR="000549E4">
        <w:rPr>
          <w:rFonts w:ascii="Verdana" w:hAnsi="Verdana"/>
          <w:sz w:val="20"/>
          <w:szCs w:val="20"/>
          <w:lang w:val="es-MX"/>
        </w:rPr>
        <w:t xml:space="preserve">la Corte constata que </w:t>
      </w:r>
      <w:r w:rsidR="00356AFC" w:rsidRPr="00EA3815">
        <w:rPr>
          <w:rFonts w:ascii="Verdana" w:hAnsi="Verdana"/>
          <w:sz w:val="20"/>
          <w:szCs w:val="20"/>
          <w:lang w:val="es-MX"/>
        </w:rPr>
        <w:t xml:space="preserve">el 3 de mayo de 2019 se efectuó </w:t>
      </w:r>
      <w:r w:rsidR="007974E3">
        <w:rPr>
          <w:rFonts w:ascii="Verdana" w:hAnsi="Verdana"/>
          <w:sz w:val="20"/>
          <w:szCs w:val="20"/>
          <w:lang w:val="es-MX"/>
        </w:rPr>
        <w:t xml:space="preserve">en </w:t>
      </w:r>
      <w:r w:rsidR="002C506B">
        <w:rPr>
          <w:rFonts w:ascii="Verdana" w:hAnsi="Verdana"/>
          <w:sz w:val="20"/>
          <w:szCs w:val="20"/>
          <w:lang w:val="es-MX"/>
        </w:rPr>
        <w:t xml:space="preserve">el </w:t>
      </w:r>
      <w:r w:rsidR="007974E3">
        <w:rPr>
          <w:rFonts w:ascii="Verdana" w:hAnsi="Verdana"/>
          <w:sz w:val="20"/>
          <w:szCs w:val="20"/>
          <w:lang w:val="es-MX"/>
        </w:rPr>
        <w:t xml:space="preserve">Ministerio de Justicia y Derechos Humanos </w:t>
      </w:r>
      <w:r w:rsidR="00356AFC" w:rsidRPr="00EA3815">
        <w:rPr>
          <w:rFonts w:ascii="Verdana" w:hAnsi="Verdana"/>
          <w:sz w:val="20"/>
          <w:szCs w:val="20"/>
          <w:lang w:val="es-MX"/>
        </w:rPr>
        <w:t xml:space="preserve">el “acto privado de reconocimiento de responsabilidad internacional”, el cual se realizó </w:t>
      </w:r>
      <w:r w:rsidR="00B45349">
        <w:rPr>
          <w:rFonts w:ascii="Verdana" w:hAnsi="Verdana"/>
          <w:sz w:val="20"/>
          <w:szCs w:val="20"/>
          <w:lang w:val="es-MX"/>
        </w:rPr>
        <w:t>bajo esta modalidad</w:t>
      </w:r>
      <w:r w:rsidR="00D80DAD" w:rsidRPr="00EA3815">
        <w:rPr>
          <w:rFonts w:ascii="Verdana" w:hAnsi="Verdana"/>
          <w:sz w:val="20"/>
          <w:szCs w:val="20"/>
          <w:lang w:val="es-MX"/>
        </w:rPr>
        <w:t xml:space="preserve"> </w:t>
      </w:r>
      <w:r w:rsidR="00356AFC" w:rsidRPr="00EA3815">
        <w:rPr>
          <w:rFonts w:ascii="Verdana" w:hAnsi="Verdana"/>
          <w:sz w:val="20"/>
          <w:szCs w:val="20"/>
          <w:lang w:val="es-MX"/>
        </w:rPr>
        <w:t>“respetando la voluntad de los beneficiarios”</w:t>
      </w:r>
      <w:r w:rsidR="00356AFC">
        <w:rPr>
          <w:rStyle w:val="Refdenotaalpie"/>
          <w:rFonts w:ascii="Verdana" w:hAnsi="Verdana"/>
          <w:sz w:val="20"/>
          <w:szCs w:val="20"/>
          <w:lang w:val="es-MX"/>
        </w:rPr>
        <w:footnoteReference w:id="11"/>
      </w:r>
      <w:r w:rsidR="00356AFC" w:rsidRPr="00EA3815">
        <w:rPr>
          <w:rFonts w:ascii="Verdana" w:hAnsi="Verdana"/>
          <w:sz w:val="20"/>
          <w:szCs w:val="20"/>
          <w:lang w:val="es-MX"/>
        </w:rPr>
        <w:t>.</w:t>
      </w:r>
      <w:r w:rsidR="00D80DAD" w:rsidRPr="00EA3815">
        <w:rPr>
          <w:rFonts w:ascii="Verdana" w:hAnsi="Verdana"/>
          <w:sz w:val="20"/>
          <w:szCs w:val="20"/>
          <w:lang w:val="es-MX"/>
        </w:rPr>
        <w:t xml:space="preserve"> El acto contó con la </w:t>
      </w:r>
      <w:r w:rsidR="007B626F">
        <w:rPr>
          <w:rFonts w:ascii="Verdana" w:hAnsi="Verdana"/>
          <w:sz w:val="20"/>
          <w:szCs w:val="20"/>
          <w:lang w:val="es-MX"/>
        </w:rPr>
        <w:t>participación d</w:t>
      </w:r>
      <w:r w:rsidR="00D80DAD" w:rsidRPr="00EA3815">
        <w:rPr>
          <w:rFonts w:ascii="Verdana" w:hAnsi="Verdana"/>
          <w:sz w:val="20"/>
          <w:szCs w:val="20"/>
          <w:lang w:val="es-MX"/>
        </w:rPr>
        <w:t xml:space="preserve">el Ministro de Justicia y Derechos </w:t>
      </w:r>
      <w:r w:rsidR="00F66599" w:rsidRPr="00EA3815">
        <w:rPr>
          <w:rFonts w:ascii="Verdana" w:hAnsi="Verdana"/>
          <w:sz w:val="20"/>
          <w:szCs w:val="20"/>
          <w:lang w:val="es-MX"/>
        </w:rPr>
        <w:t>Humanos</w:t>
      </w:r>
      <w:r w:rsidR="007B626F">
        <w:rPr>
          <w:rFonts w:ascii="Verdana" w:hAnsi="Verdana"/>
          <w:sz w:val="20"/>
          <w:szCs w:val="20"/>
          <w:lang w:val="es-MX"/>
        </w:rPr>
        <w:t xml:space="preserve"> y</w:t>
      </w:r>
      <w:r w:rsidR="00F66599" w:rsidRPr="00EA3815">
        <w:rPr>
          <w:rFonts w:ascii="Verdana" w:hAnsi="Verdana"/>
          <w:sz w:val="20"/>
          <w:szCs w:val="20"/>
          <w:lang w:val="es-MX"/>
        </w:rPr>
        <w:t xml:space="preserve"> </w:t>
      </w:r>
      <w:r w:rsidR="007B626F">
        <w:rPr>
          <w:rFonts w:ascii="Verdana" w:hAnsi="Verdana"/>
          <w:sz w:val="20"/>
          <w:szCs w:val="20"/>
          <w:lang w:val="es-MX"/>
        </w:rPr>
        <w:t>d</w:t>
      </w:r>
      <w:r w:rsidR="00F66599" w:rsidRPr="00EA3815">
        <w:rPr>
          <w:rFonts w:ascii="Verdana" w:hAnsi="Verdana"/>
          <w:sz w:val="20"/>
          <w:szCs w:val="20"/>
          <w:lang w:val="es-MX"/>
        </w:rPr>
        <w:t>el</w:t>
      </w:r>
      <w:r w:rsidR="00D80DAD" w:rsidRPr="00EA3815">
        <w:rPr>
          <w:rFonts w:ascii="Verdana" w:hAnsi="Verdana"/>
          <w:sz w:val="20"/>
          <w:szCs w:val="20"/>
          <w:lang w:val="es-MX"/>
        </w:rPr>
        <w:t xml:space="preserve"> Viceministro de Derechos Humanos y Acceso a la Justicia de</w:t>
      </w:r>
      <w:r w:rsidR="002C506B">
        <w:rPr>
          <w:rFonts w:ascii="Verdana" w:hAnsi="Verdana"/>
          <w:sz w:val="20"/>
          <w:szCs w:val="20"/>
          <w:lang w:val="es-MX"/>
        </w:rPr>
        <w:t xml:space="preserve"> ese</w:t>
      </w:r>
      <w:r w:rsidR="00D80DAD" w:rsidRPr="00EA3815">
        <w:rPr>
          <w:rFonts w:ascii="Verdana" w:hAnsi="Verdana"/>
          <w:sz w:val="20"/>
          <w:szCs w:val="20"/>
          <w:lang w:val="es-MX"/>
        </w:rPr>
        <w:t xml:space="preserve"> Ministerio</w:t>
      </w:r>
      <w:r w:rsidR="007B626F">
        <w:rPr>
          <w:rFonts w:ascii="Verdana" w:hAnsi="Verdana"/>
          <w:sz w:val="20"/>
          <w:szCs w:val="20"/>
          <w:lang w:val="es-MX"/>
        </w:rPr>
        <w:t>, y de otros funcionarios estatales</w:t>
      </w:r>
      <w:r w:rsidR="002C506B">
        <w:rPr>
          <w:rFonts w:ascii="Verdana" w:hAnsi="Verdana"/>
          <w:sz w:val="20"/>
          <w:szCs w:val="20"/>
          <w:lang w:val="es-MX"/>
        </w:rPr>
        <w:t>.</w:t>
      </w:r>
      <w:r w:rsidR="00EA3815" w:rsidRPr="00EA3815">
        <w:rPr>
          <w:rFonts w:ascii="Verdana" w:hAnsi="Verdana"/>
          <w:sz w:val="20"/>
          <w:szCs w:val="20"/>
          <w:lang w:val="es-MX"/>
        </w:rPr>
        <w:t xml:space="preserve"> </w:t>
      </w:r>
      <w:r w:rsidR="002D626C">
        <w:rPr>
          <w:rFonts w:ascii="Verdana" w:hAnsi="Verdana"/>
          <w:sz w:val="20"/>
          <w:szCs w:val="20"/>
          <w:lang w:val="es-MX"/>
        </w:rPr>
        <w:t>El Estado informó que</w:t>
      </w:r>
      <w:r w:rsidR="002C506B">
        <w:rPr>
          <w:rFonts w:ascii="Verdana" w:hAnsi="Verdana"/>
          <w:sz w:val="20"/>
          <w:szCs w:val="20"/>
          <w:lang w:val="es-MX"/>
        </w:rPr>
        <w:t>,</w:t>
      </w:r>
      <w:r w:rsidR="002D626C">
        <w:rPr>
          <w:rFonts w:ascii="Verdana" w:hAnsi="Verdana"/>
          <w:sz w:val="20"/>
          <w:szCs w:val="20"/>
          <w:lang w:val="es-MX"/>
        </w:rPr>
        <w:t xml:space="preserve"> d</w:t>
      </w:r>
      <w:r w:rsidR="00B45349">
        <w:rPr>
          <w:rFonts w:ascii="Verdana" w:hAnsi="Verdana"/>
          <w:sz w:val="20"/>
          <w:szCs w:val="20"/>
          <w:lang w:val="es-MX"/>
        </w:rPr>
        <w:t>urante e</w:t>
      </w:r>
      <w:r w:rsidR="008675E4">
        <w:rPr>
          <w:rFonts w:ascii="Verdana" w:hAnsi="Verdana"/>
          <w:sz w:val="20"/>
          <w:szCs w:val="20"/>
          <w:lang w:val="es-MX"/>
        </w:rPr>
        <w:t xml:space="preserve">l acto, </w:t>
      </w:r>
      <w:r w:rsidR="002D626C">
        <w:rPr>
          <w:rFonts w:ascii="Verdana" w:hAnsi="Verdana"/>
          <w:sz w:val="20"/>
          <w:szCs w:val="20"/>
          <w:lang w:val="es-MX"/>
        </w:rPr>
        <w:t>se realizó la lectura del resumen de la Sentencia, se proyectó</w:t>
      </w:r>
      <w:r w:rsidR="00951B3C">
        <w:rPr>
          <w:rFonts w:ascii="Verdana" w:hAnsi="Verdana"/>
          <w:sz w:val="20"/>
          <w:szCs w:val="20"/>
          <w:lang w:val="es-MX"/>
        </w:rPr>
        <w:t xml:space="preserve"> </w:t>
      </w:r>
      <w:proofErr w:type="gramStart"/>
      <w:r w:rsidR="00951B3C">
        <w:rPr>
          <w:rFonts w:ascii="Verdana" w:hAnsi="Verdana"/>
          <w:sz w:val="20"/>
          <w:szCs w:val="20"/>
          <w:lang w:val="es-MX"/>
        </w:rPr>
        <w:t xml:space="preserve">un video </w:t>
      </w:r>
      <w:r w:rsidR="002D626C">
        <w:rPr>
          <w:rFonts w:ascii="Verdana" w:hAnsi="Verdana"/>
          <w:sz w:val="20"/>
          <w:szCs w:val="20"/>
          <w:lang w:val="es-MX"/>
        </w:rPr>
        <w:t>semblanza</w:t>
      </w:r>
      <w:proofErr w:type="gramEnd"/>
      <w:r w:rsidR="002D626C">
        <w:rPr>
          <w:rFonts w:ascii="Verdana" w:hAnsi="Verdana"/>
          <w:sz w:val="20"/>
          <w:szCs w:val="20"/>
          <w:lang w:val="es-MX"/>
        </w:rPr>
        <w:t xml:space="preserve"> </w:t>
      </w:r>
      <w:r w:rsidR="007B626F">
        <w:rPr>
          <w:rFonts w:ascii="Verdana" w:hAnsi="Verdana"/>
          <w:sz w:val="20"/>
          <w:szCs w:val="20"/>
          <w:lang w:val="es-MX"/>
        </w:rPr>
        <w:t>de</w:t>
      </w:r>
      <w:r w:rsidR="002D626C">
        <w:rPr>
          <w:rFonts w:ascii="Verdana" w:hAnsi="Verdana"/>
          <w:sz w:val="20"/>
          <w:szCs w:val="20"/>
          <w:lang w:val="es-MX"/>
        </w:rPr>
        <w:t xml:space="preserve"> Walter Munárriz Escobar, se entregó un retrato a sus familiares y se realizó un acto litúrgico. Asimismo, </w:t>
      </w:r>
      <w:r w:rsidR="008675E4">
        <w:rPr>
          <w:rFonts w:ascii="Verdana" w:hAnsi="Verdana"/>
          <w:sz w:val="20"/>
          <w:szCs w:val="20"/>
          <w:lang w:val="es-MX"/>
        </w:rPr>
        <w:t>la señora Gladys Escobar</w:t>
      </w:r>
      <w:r w:rsidR="000549E4">
        <w:rPr>
          <w:rFonts w:ascii="Verdana" w:hAnsi="Verdana"/>
          <w:sz w:val="20"/>
          <w:szCs w:val="20"/>
          <w:lang w:val="es-MX"/>
        </w:rPr>
        <w:t>, madre de la víctima desaparecida,</w:t>
      </w:r>
      <w:r w:rsidR="008675E4">
        <w:rPr>
          <w:rFonts w:ascii="Verdana" w:hAnsi="Verdana"/>
          <w:sz w:val="20"/>
          <w:szCs w:val="20"/>
          <w:lang w:val="es-MX"/>
        </w:rPr>
        <w:t xml:space="preserve"> “pudo manifestar a las autoridades estatales sus exigencias de verdad, justicia y reparación, principalmente </w:t>
      </w:r>
      <w:proofErr w:type="gramStart"/>
      <w:r w:rsidR="008675E4">
        <w:rPr>
          <w:rFonts w:ascii="Verdana" w:hAnsi="Verdana"/>
          <w:sz w:val="20"/>
          <w:szCs w:val="20"/>
          <w:lang w:val="es-MX"/>
        </w:rPr>
        <w:t>en relación a</w:t>
      </w:r>
      <w:proofErr w:type="gramEnd"/>
      <w:r w:rsidR="008675E4">
        <w:rPr>
          <w:rFonts w:ascii="Verdana" w:hAnsi="Verdana"/>
          <w:sz w:val="20"/>
          <w:szCs w:val="20"/>
          <w:lang w:val="es-MX"/>
        </w:rPr>
        <w:t xml:space="preserve"> la búsqueda de Walter Munárriz Escobar y de la sanción a los responsables de su desaparición”</w:t>
      </w:r>
      <w:r w:rsidR="002D626C">
        <w:rPr>
          <w:rFonts w:ascii="Verdana" w:hAnsi="Verdana"/>
          <w:sz w:val="20"/>
          <w:szCs w:val="20"/>
          <w:lang w:val="es-MX"/>
        </w:rPr>
        <w:t>, y</w:t>
      </w:r>
      <w:r w:rsidR="007B626F">
        <w:rPr>
          <w:rFonts w:ascii="Verdana" w:hAnsi="Verdana"/>
          <w:sz w:val="20"/>
          <w:szCs w:val="20"/>
          <w:lang w:val="es-MX"/>
        </w:rPr>
        <w:t xml:space="preserve"> </w:t>
      </w:r>
      <w:r w:rsidR="008675E4">
        <w:rPr>
          <w:rFonts w:ascii="Verdana" w:hAnsi="Verdana"/>
          <w:sz w:val="20"/>
          <w:szCs w:val="20"/>
          <w:lang w:val="es-MX"/>
        </w:rPr>
        <w:t xml:space="preserve">“[e]l Ministro de Justicia realizó el reconocimiento de responsabilidad </w:t>
      </w:r>
      <w:r w:rsidR="000F184C">
        <w:rPr>
          <w:rFonts w:ascii="Verdana" w:hAnsi="Verdana"/>
          <w:sz w:val="20"/>
          <w:szCs w:val="20"/>
          <w:lang w:val="es-MX"/>
        </w:rPr>
        <w:t>y</w:t>
      </w:r>
      <w:r w:rsidR="008675E4">
        <w:rPr>
          <w:rFonts w:ascii="Verdana" w:hAnsi="Verdana"/>
          <w:sz w:val="20"/>
          <w:szCs w:val="20"/>
          <w:lang w:val="es-MX"/>
        </w:rPr>
        <w:t xml:space="preserve"> pedido de disculpas”.</w:t>
      </w:r>
    </w:p>
    <w:p w14:paraId="600BE344" w14:textId="77777777" w:rsidR="007B626F" w:rsidRPr="00EA3815" w:rsidRDefault="007B626F" w:rsidP="007B626F">
      <w:pPr>
        <w:pStyle w:val="Prrafodelista"/>
        <w:spacing w:after="0" w:line="240" w:lineRule="auto"/>
        <w:ind w:left="0"/>
        <w:contextualSpacing w:val="0"/>
        <w:jc w:val="both"/>
        <w:rPr>
          <w:rFonts w:ascii="Verdana" w:hAnsi="Verdana"/>
          <w:sz w:val="20"/>
          <w:szCs w:val="20"/>
          <w:lang w:val="es-MX"/>
        </w:rPr>
      </w:pPr>
    </w:p>
    <w:p w14:paraId="431AA43C" w14:textId="77777777" w:rsidR="0020343C" w:rsidRPr="00C52FA1" w:rsidRDefault="000549E4" w:rsidP="00DE6044">
      <w:pPr>
        <w:pStyle w:val="Prrafodelista"/>
        <w:widowControl w:val="0"/>
        <w:numPr>
          <w:ilvl w:val="0"/>
          <w:numId w:val="5"/>
        </w:numPr>
        <w:autoSpaceDE w:val="0"/>
        <w:autoSpaceDN w:val="0"/>
        <w:adjustRightInd w:val="0"/>
        <w:spacing w:after="0" w:line="240" w:lineRule="auto"/>
        <w:ind w:left="0" w:firstLine="0"/>
        <w:contextualSpacing w:val="0"/>
        <w:jc w:val="both"/>
        <w:rPr>
          <w:rFonts w:ascii="Verdana" w:hAnsi="Verdana" w:cs="Times Roman"/>
          <w:sz w:val="20"/>
          <w:szCs w:val="20"/>
          <w:lang w:val="es-ES_tradnl"/>
        </w:rPr>
      </w:pPr>
      <w:r>
        <w:rPr>
          <w:rFonts w:ascii="Verdana" w:hAnsi="Verdana"/>
          <w:sz w:val="20"/>
          <w:szCs w:val="20"/>
          <w:lang w:val="es-MX"/>
        </w:rPr>
        <w:t xml:space="preserve">Aun cuando </w:t>
      </w:r>
      <w:r w:rsidR="008675E4" w:rsidRPr="00C52FA1">
        <w:rPr>
          <w:rFonts w:ascii="Verdana" w:hAnsi="Verdana"/>
          <w:sz w:val="20"/>
          <w:szCs w:val="20"/>
          <w:lang w:val="es-MX"/>
        </w:rPr>
        <w:t>los representantes de las víctimas</w:t>
      </w:r>
      <w:r>
        <w:rPr>
          <w:rFonts w:ascii="Verdana" w:hAnsi="Verdana"/>
          <w:sz w:val="20"/>
          <w:szCs w:val="20"/>
          <w:lang w:val="es-MX"/>
        </w:rPr>
        <w:t xml:space="preserve"> solicitaron que se declare el cumplimiento de la medida por su conformidad con la realización de este acto, la Corte advierte que</w:t>
      </w:r>
      <w:r w:rsidR="008675E4" w:rsidRPr="00C52FA1">
        <w:rPr>
          <w:rFonts w:ascii="Verdana" w:hAnsi="Verdana"/>
          <w:sz w:val="20"/>
          <w:szCs w:val="20"/>
          <w:lang w:val="es-MX"/>
        </w:rPr>
        <w:t xml:space="preserve"> presentaron una única objeción</w:t>
      </w:r>
      <w:r>
        <w:rPr>
          <w:rFonts w:ascii="Verdana" w:hAnsi="Verdana"/>
          <w:sz w:val="20"/>
          <w:szCs w:val="20"/>
          <w:lang w:val="es-MX"/>
        </w:rPr>
        <w:t>,</w:t>
      </w:r>
      <w:r w:rsidR="008675E4" w:rsidRPr="00C52FA1">
        <w:rPr>
          <w:rFonts w:ascii="Verdana" w:hAnsi="Verdana"/>
          <w:sz w:val="20"/>
          <w:szCs w:val="20"/>
          <w:lang w:val="es-MX"/>
        </w:rPr>
        <w:t xml:space="preserve"> en relación con la ausencia de participación de representantes del Poder Judicial y del Ministerio del Interior</w:t>
      </w:r>
      <w:r w:rsidR="00721312">
        <w:rPr>
          <w:rStyle w:val="Refdenotaalpie"/>
          <w:rFonts w:ascii="Verdana" w:hAnsi="Verdana"/>
          <w:sz w:val="20"/>
          <w:szCs w:val="20"/>
          <w:lang w:val="es-MX"/>
        </w:rPr>
        <w:footnoteReference w:id="12"/>
      </w:r>
      <w:r w:rsidR="008675E4" w:rsidRPr="00C52FA1">
        <w:rPr>
          <w:rFonts w:ascii="Verdana" w:hAnsi="Verdana"/>
          <w:sz w:val="20"/>
          <w:szCs w:val="20"/>
          <w:lang w:val="es-MX"/>
        </w:rPr>
        <w:t>, “a pesar de que ello fue uno de los requerimientos por parte de los familiares de la víctima para acceder a este tipo de ceremonia”</w:t>
      </w:r>
      <w:r w:rsidR="00DB107D">
        <w:rPr>
          <w:rFonts w:ascii="Verdana" w:hAnsi="Verdana"/>
          <w:sz w:val="20"/>
          <w:szCs w:val="20"/>
          <w:lang w:val="es-MX"/>
        </w:rPr>
        <w:t xml:space="preserve"> debido a la participación de ambos organismos “en la desaparición forzada de la víctima y la posterior denegación de justicia”</w:t>
      </w:r>
      <w:r w:rsidR="008675E4" w:rsidRPr="00C52FA1">
        <w:rPr>
          <w:rFonts w:ascii="Verdana" w:hAnsi="Verdana"/>
          <w:sz w:val="20"/>
          <w:szCs w:val="20"/>
          <w:lang w:val="es-MX"/>
        </w:rPr>
        <w:t xml:space="preserve">. </w:t>
      </w:r>
      <w:r w:rsidR="00C52FA1" w:rsidRPr="00C52FA1">
        <w:rPr>
          <w:rFonts w:ascii="Verdana" w:hAnsi="Verdana"/>
          <w:sz w:val="20"/>
          <w:szCs w:val="20"/>
          <w:lang w:val="es-MX"/>
        </w:rPr>
        <w:t xml:space="preserve">Sin </w:t>
      </w:r>
      <w:r w:rsidR="00130838">
        <w:rPr>
          <w:rFonts w:ascii="Verdana" w:hAnsi="Verdana"/>
          <w:sz w:val="20"/>
          <w:szCs w:val="20"/>
          <w:lang w:val="es-MX"/>
        </w:rPr>
        <w:t>perjuicio de lo anterior</w:t>
      </w:r>
      <w:r w:rsidR="00C52FA1" w:rsidRPr="00C52FA1">
        <w:rPr>
          <w:rFonts w:ascii="Verdana" w:hAnsi="Verdana"/>
          <w:sz w:val="20"/>
          <w:szCs w:val="20"/>
          <w:lang w:val="es-MX"/>
        </w:rPr>
        <w:t xml:space="preserve">, manifestaron que “la ceremonia en su conjunto tuvo un efecto positivo en los familiares de la víctima” y “agradec[ieron] la iniciativa del Estado peruano de llevar a cabo este tipo de eventos, y de respetar los deseos de la familia respecto </w:t>
      </w:r>
      <w:r w:rsidR="00130838">
        <w:rPr>
          <w:rFonts w:ascii="Verdana" w:hAnsi="Verdana"/>
          <w:sz w:val="20"/>
          <w:szCs w:val="20"/>
          <w:lang w:val="es-MX"/>
        </w:rPr>
        <w:t>[a]</w:t>
      </w:r>
      <w:r w:rsidR="00C52FA1" w:rsidRPr="00C52FA1">
        <w:rPr>
          <w:rFonts w:ascii="Verdana" w:hAnsi="Verdana"/>
          <w:sz w:val="20"/>
          <w:szCs w:val="20"/>
          <w:lang w:val="es-MX"/>
        </w:rPr>
        <w:t xml:space="preserve"> que la ceremonia [fuera] de carácter privado”</w:t>
      </w:r>
      <w:r w:rsidR="002A4FA1">
        <w:rPr>
          <w:rStyle w:val="Refdenotaalpie"/>
          <w:rFonts w:ascii="Verdana" w:hAnsi="Verdana"/>
          <w:sz w:val="20"/>
          <w:szCs w:val="20"/>
          <w:lang w:val="es-MX"/>
        </w:rPr>
        <w:footnoteReference w:id="13"/>
      </w:r>
      <w:r w:rsidR="00C52FA1" w:rsidRPr="00C52FA1">
        <w:rPr>
          <w:rFonts w:ascii="Verdana" w:hAnsi="Verdana"/>
          <w:sz w:val="20"/>
          <w:szCs w:val="20"/>
          <w:lang w:val="es-MX"/>
        </w:rPr>
        <w:t>.</w:t>
      </w:r>
    </w:p>
    <w:p w14:paraId="701B674A" w14:textId="77777777" w:rsidR="007C54A8" w:rsidRPr="003D709A" w:rsidRDefault="007C54A8" w:rsidP="00DE6044">
      <w:pPr>
        <w:pStyle w:val="Prrafodelista"/>
        <w:spacing w:after="0" w:line="240" w:lineRule="auto"/>
        <w:ind w:left="0"/>
        <w:contextualSpacing w:val="0"/>
        <w:jc w:val="both"/>
        <w:rPr>
          <w:rFonts w:ascii="Verdana" w:hAnsi="Verdana"/>
          <w:sz w:val="20"/>
          <w:szCs w:val="20"/>
          <w:lang w:val="es-MX"/>
        </w:rPr>
      </w:pPr>
    </w:p>
    <w:p w14:paraId="66566563" w14:textId="77777777" w:rsidR="002D52D6" w:rsidRPr="003D709A" w:rsidRDefault="00062DC4" w:rsidP="003D709A">
      <w:pPr>
        <w:pStyle w:val="Prrafodelista"/>
        <w:numPr>
          <w:ilvl w:val="0"/>
          <w:numId w:val="5"/>
        </w:numPr>
        <w:spacing w:after="0" w:line="240" w:lineRule="auto"/>
        <w:ind w:left="0" w:firstLine="0"/>
        <w:contextualSpacing w:val="0"/>
        <w:jc w:val="both"/>
        <w:rPr>
          <w:rFonts w:ascii="Verdana" w:hAnsi="Verdana"/>
          <w:sz w:val="20"/>
          <w:szCs w:val="20"/>
          <w:lang w:val="es-ES_tradnl"/>
        </w:rPr>
      </w:pPr>
      <w:r w:rsidRPr="003D709A">
        <w:rPr>
          <w:rFonts w:ascii="Verdana" w:hAnsi="Verdana"/>
          <w:sz w:val="20"/>
          <w:szCs w:val="20"/>
          <w:lang w:val="es-MX"/>
        </w:rPr>
        <w:t xml:space="preserve">En virtud de lo anterior, </w:t>
      </w:r>
      <w:r w:rsidR="00432FCC" w:rsidRPr="003D709A">
        <w:rPr>
          <w:rFonts w:ascii="Verdana" w:hAnsi="Verdana"/>
          <w:sz w:val="20"/>
          <w:szCs w:val="20"/>
          <w:lang w:val="es-MX"/>
        </w:rPr>
        <w:t>el Tribunal</w:t>
      </w:r>
      <w:r w:rsidRPr="003D709A">
        <w:rPr>
          <w:rFonts w:ascii="Verdana" w:hAnsi="Verdana"/>
          <w:sz w:val="20"/>
          <w:szCs w:val="20"/>
          <w:lang w:val="es-MX"/>
        </w:rPr>
        <w:t xml:space="preserve"> considera que el E</w:t>
      </w:r>
      <w:r w:rsidR="00DB6C19">
        <w:rPr>
          <w:rFonts w:ascii="Verdana" w:hAnsi="Verdana"/>
          <w:sz w:val="20"/>
          <w:szCs w:val="20"/>
          <w:lang w:val="es-MX"/>
        </w:rPr>
        <w:t xml:space="preserve">stado ha dado cumplimiento </w:t>
      </w:r>
      <w:r w:rsidR="003D35C4">
        <w:rPr>
          <w:rFonts w:ascii="Verdana" w:hAnsi="Verdana"/>
          <w:sz w:val="20"/>
          <w:szCs w:val="20"/>
          <w:lang w:val="es-MX"/>
        </w:rPr>
        <w:t xml:space="preserve">total </w:t>
      </w:r>
      <w:r w:rsidR="00DB6C19">
        <w:rPr>
          <w:rFonts w:ascii="Verdana" w:hAnsi="Verdana"/>
          <w:sz w:val="20"/>
          <w:szCs w:val="20"/>
          <w:lang w:val="es-MX"/>
        </w:rPr>
        <w:t>a la medida de reparación relativa a realizar un acto de reconocimiento de responsabilidad internacional, ordenada en el punto</w:t>
      </w:r>
      <w:r w:rsidR="000D7CF5">
        <w:rPr>
          <w:rFonts w:ascii="Verdana" w:hAnsi="Verdana"/>
          <w:sz w:val="20"/>
          <w:szCs w:val="20"/>
          <w:lang w:val="es-MX"/>
        </w:rPr>
        <w:t xml:space="preserve"> </w:t>
      </w:r>
      <w:r w:rsidR="00C05CFF">
        <w:rPr>
          <w:rFonts w:ascii="Verdana" w:hAnsi="Verdana"/>
          <w:sz w:val="20"/>
          <w:szCs w:val="20"/>
          <w:lang w:val="es-MX"/>
        </w:rPr>
        <w:t>resolutivo</w:t>
      </w:r>
      <w:r w:rsidR="00DB6C19">
        <w:rPr>
          <w:rFonts w:ascii="Verdana" w:hAnsi="Verdana"/>
          <w:sz w:val="20"/>
          <w:szCs w:val="20"/>
          <w:lang w:val="es-MX"/>
        </w:rPr>
        <w:t xml:space="preserve"> décimo </w:t>
      </w:r>
      <w:r w:rsidR="00327B20">
        <w:rPr>
          <w:rFonts w:ascii="Verdana" w:hAnsi="Verdana"/>
          <w:sz w:val="20"/>
          <w:szCs w:val="20"/>
          <w:lang w:val="es-MX"/>
        </w:rPr>
        <w:t xml:space="preserve">segundo </w:t>
      </w:r>
      <w:r w:rsidR="00DB6C19">
        <w:rPr>
          <w:rFonts w:ascii="Verdana" w:hAnsi="Verdana"/>
          <w:sz w:val="20"/>
          <w:szCs w:val="20"/>
          <w:lang w:val="es-MX"/>
        </w:rPr>
        <w:t>de la Sentencia</w:t>
      </w:r>
      <w:r w:rsidR="002D52D6" w:rsidRPr="003D709A">
        <w:rPr>
          <w:rFonts w:ascii="Verdana" w:hAnsi="Verdana"/>
          <w:sz w:val="20"/>
          <w:szCs w:val="20"/>
          <w:lang w:val="es-ES_tradnl"/>
        </w:rPr>
        <w:t xml:space="preserve">. </w:t>
      </w:r>
    </w:p>
    <w:p w14:paraId="1B7C6933" w14:textId="77777777" w:rsidR="00F616AE" w:rsidRDefault="00F616AE" w:rsidP="003D709A">
      <w:pPr>
        <w:tabs>
          <w:tab w:val="left" w:pos="680"/>
        </w:tabs>
        <w:spacing w:after="0" w:line="240" w:lineRule="auto"/>
        <w:jc w:val="both"/>
        <w:rPr>
          <w:rFonts w:ascii="Verdana" w:hAnsi="Verdana"/>
          <w:b/>
          <w:sz w:val="20"/>
          <w:szCs w:val="20"/>
          <w:lang w:val="es-MX"/>
        </w:rPr>
      </w:pPr>
    </w:p>
    <w:p w14:paraId="0EDC8207" w14:textId="77777777" w:rsidR="00062DC4" w:rsidRPr="003D709A" w:rsidRDefault="00062DC4" w:rsidP="003D709A">
      <w:pPr>
        <w:tabs>
          <w:tab w:val="left" w:pos="680"/>
        </w:tabs>
        <w:spacing w:after="0" w:line="240" w:lineRule="auto"/>
        <w:jc w:val="both"/>
        <w:rPr>
          <w:rFonts w:ascii="Verdana" w:hAnsi="Verdana"/>
          <w:b/>
          <w:sz w:val="20"/>
          <w:szCs w:val="20"/>
          <w:lang w:val="es-MX"/>
        </w:rPr>
      </w:pPr>
      <w:r w:rsidRPr="003D709A">
        <w:rPr>
          <w:rFonts w:ascii="Verdana" w:hAnsi="Verdana"/>
          <w:b/>
          <w:sz w:val="20"/>
          <w:szCs w:val="20"/>
          <w:lang w:val="es-MX"/>
        </w:rPr>
        <w:t>POR TANTO:</w:t>
      </w:r>
    </w:p>
    <w:p w14:paraId="3C74F85F" w14:textId="77777777" w:rsidR="00062DC4" w:rsidRPr="003D709A" w:rsidRDefault="00062DC4" w:rsidP="003D709A">
      <w:pPr>
        <w:pStyle w:val="Textoindependiente"/>
        <w:tabs>
          <w:tab w:val="left" w:pos="360"/>
          <w:tab w:val="left" w:pos="567"/>
        </w:tabs>
        <w:spacing w:after="0" w:line="240" w:lineRule="auto"/>
        <w:rPr>
          <w:rFonts w:ascii="Verdana" w:hAnsi="Verdana"/>
          <w:b/>
          <w:sz w:val="20"/>
          <w:szCs w:val="20"/>
          <w:lang w:val="es-CR"/>
        </w:rPr>
      </w:pPr>
    </w:p>
    <w:p w14:paraId="6E692655" w14:textId="77777777" w:rsidR="00062DC4" w:rsidRPr="003D709A" w:rsidRDefault="00062DC4" w:rsidP="003D709A">
      <w:pPr>
        <w:pStyle w:val="Textoindependiente"/>
        <w:tabs>
          <w:tab w:val="left" w:pos="360"/>
          <w:tab w:val="left" w:pos="567"/>
        </w:tabs>
        <w:spacing w:after="0" w:line="240" w:lineRule="auto"/>
        <w:rPr>
          <w:rFonts w:ascii="Verdana" w:hAnsi="Verdana"/>
          <w:b/>
          <w:sz w:val="20"/>
          <w:szCs w:val="20"/>
          <w:lang w:val="es-CR"/>
        </w:rPr>
      </w:pPr>
      <w:r w:rsidRPr="003D709A">
        <w:rPr>
          <w:rFonts w:ascii="Verdana" w:hAnsi="Verdana"/>
          <w:b/>
          <w:sz w:val="20"/>
          <w:szCs w:val="20"/>
          <w:lang w:val="es-CR"/>
        </w:rPr>
        <w:t>LA CORTE INTERAMERICANA DE DERECHOS HUMANOS,</w:t>
      </w:r>
    </w:p>
    <w:p w14:paraId="52F07234" w14:textId="77777777" w:rsidR="00062DC4" w:rsidRPr="003D709A" w:rsidRDefault="00062DC4" w:rsidP="003D709A">
      <w:pPr>
        <w:tabs>
          <w:tab w:val="left" w:pos="567"/>
        </w:tabs>
        <w:spacing w:after="0" w:line="240" w:lineRule="auto"/>
        <w:jc w:val="both"/>
        <w:rPr>
          <w:rFonts w:ascii="Verdana" w:hAnsi="Verdana"/>
          <w:sz w:val="20"/>
          <w:szCs w:val="20"/>
          <w:lang w:val="es-CR"/>
        </w:rPr>
      </w:pPr>
    </w:p>
    <w:p w14:paraId="6D5A214F" w14:textId="77777777" w:rsidR="00062DC4" w:rsidRPr="003D709A" w:rsidRDefault="00062DC4" w:rsidP="003D709A">
      <w:pPr>
        <w:tabs>
          <w:tab w:val="left" w:pos="567"/>
        </w:tabs>
        <w:spacing w:after="0" w:line="240" w:lineRule="auto"/>
        <w:jc w:val="both"/>
        <w:rPr>
          <w:rFonts w:ascii="Verdana" w:hAnsi="Verdana"/>
          <w:sz w:val="20"/>
          <w:szCs w:val="20"/>
          <w:lang w:val="es-CR"/>
        </w:rPr>
      </w:pPr>
      <w:r w:rsidRPr="003D709A">
        <w:rPr>
          <w:rFonts w:ascii="Verdana" w:hAnsi="Verdana"/>
          <w:sz w:val="20"/>
          <w:szCs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14:paraId="35BCCD89" w14:textId="77777777" w:rsidR="002E7A6A" w:rsidRPr="003D709A" w:rsidRDefault="002E7A6A" w:rsidP="003D709A">
      <w:pPr>
        <w:tabs>
          <w:tab w:val="left" w:pos="567"/>
        </w:tabs>
        <w:spacing w:after="0" w:line="240" w:lineRule="auto"/>
        <w:ind w:right="22"/>
        <w:jc w:val="both"/>
        <w:rPr>
          <w:rFonts w:ascii="Verdana" w:hAnsi="Verdana"/>
          <w:b/>
          <w:sz w:val="20"/>
          <w:szCs w:val="20"/>
          <w:lang w:val="es-CR"/>
        </w:rPr>
      </w:pPr>
    </w:p>
    <w:p w14:paraId="2725C1BC" w14:textId="77777777" w:rsidR="00062DC4" w:rsidRPr="003D709A" w:rsidRDefault="00062DC4" w:rsidP="003D709A">
      <w:pPr>
        <w:tabs>
          <w:tab w:val="left" w:pos="567"/>
        </w:tabs>
        <w:spacing w:after="0" w:line="240" w:lineRule="auto"/>
        <w:ind w:right="22"/>
        <w:jc w:val="both"/>
        <w:rPr>
          <w:rFonts w:ascii="Verdana" w:hAnsi="Verdana"/>
          <w:b/>
          <w:sz w:val="20"/>
          <w:szCs w:val="20"/>
          <w:lang w:val="es-CR"/>
        </w:rPr>
      </w:pPr>
      <w:r w:rsidRPr="003D709A">
        <w:rPr>
          <w:rFonts w:ascii="Verdana" w:hAnsi="Verdana"/>
          <w:b/>
          <w:sz w:val="20"/>
          <w:szCs w:val="20"/>
          <w:lang w:val="es-CR"/>
        </w:rPr>
        <w:t xml:space="preserve">RESUELVE: </w:t>
      </w:r>
    </w:p>
    <w:p w14:paraId="6E860F47" w14:textId="77777777" w:rsidR="00062DC4" w:rsidRPr="003D709A" w:rsidRDefault="00062DC4" w:rsidP="003D709A">
      <w:pPr>
        <w:tabs>
          <w:tab w:val="left" w:pos="567"/>
        </w:tabs>
        <w:spacing w:after="0" w:line="240" w:lineRule="auto"/>
        <w:ind w:right="22"/>
        <w:jc w:val="both"/>
        <w:rPr>
          <w:rFonts w:ascii="Verdana" w:hAnsi="Verdana"/>
          <w:b/>
          <w:sz w:val="20"/>
          <w:szCs w:val="20"/>
          <w:lang w:val="es-CR"/>
        </w:rPr>
      </w:pPr>
    </w:p>
    <w:p w14:paraId="280509A9" w14:textId="77777777" w:rsidR="00062DC4" w:rsidRPr="003D709A" w:rsidRDefault="00062DC4" w:rsidP="003D709A">
      <w:pPr>
        <w:tabs>
          <w:tab w:val="left" w:pos="567"/>
        </w:tabs>
        <w:spacing w:after="0" w:line="240" w:lineRule="auto"/>
        <w:ind w:right="22"/>
        <w:jc w:val="both"/>
        <w:rPr>
          <w:rFonts w:ascii="Verdana" w:hAnsi="Verdana"/>
          <w:sz w:val="20"/>
          <w:szCs w:val="20"/>
          <w:lang w:val="es-CR"/>
        </w:rPr>
      </w:pPr>
      <w:r w:rsidRPr="003D709A">
        <w:rPr>
          <w:rFonts w:ascii="Verdana" w:hAnsi="Verdana"/>
          <w:sz w:val="20"/>
          <w:szCs w:val="20"/>
          <w:lang w:val="es-CR"/>
        </w:rPr>
        <w:t>1.</w:t>
      </w:r>
      <w:r w:rsidRPr="003D709A">
        <w:rPr>
          <w:rFonts w:ascii="Verdana" w:hAnsi="Verdana"/>
          <w:b/>
          <w:sz w:val="20"/>
          <w:szCs w:val="20"/>
          <w:lang w:val="es-CR"/>
        </w:rPr>
        <w:tab/>
      </w:r>
      <w:r w:rsidRPr="003D709A">
        <w:rPr>
          <w:rFonts w:ascii="Verdana" w:hAnsi="Verdana"/>
          <w:sz w:val="20"/>
          <w:szCs w:val="20"/>
          <w:lang w:val="es-CR"/>
        </w:rPr>
        <w:t>Declarar, de conformidad con lo señ</w:t>
      </w:r>
      <w:r w:rsidR="004F77EC">
        <w:rPr>
          <w:rFonts w:ascii="Verdana" w:hAnsi="Verdana"/>
          <w:sz w:val="20"/>
          <w:szCs w:val="20"/>
          <w:lang w:val="es-CR"/>
        </w:rPr>
        <w:t>alado en los Considerandos 5</w:t>
      </w:r>
      <w:r w:rsidR="00A937BA">
        <w:rPr>
          <w:rFonts w:ascii="Verdana" w:hAnsi="Verdana"/>
          <w:sz w:val="20"/>
          <w:szCs w:val="20"/>
          <w:lang w:val="es-CR"/>
        </w:rPr>
        <w:t xml:space="preserve"> a </w:t>
      </w:r>
      <w:r w:rsidR="004F77EC" w:rsidRPr="006421CD">
        <w:rPr>
          <w:rFonts w:ascii="Verdana" w:hAnsi="Verdana"/>
          <w:sz w:val="20"/>
          <w:szCs w:val="20"/>
          <w:lang w:val="es-CR"/>
        </w:rPr>
        <w:t>7</w:t>
      </w:r>
      <w:r w:rsidRPr="003D709A">
        <w:rPr>
          <w:rFonts w:ascii="Verdana" w:hAnsi="Verdana"/>
          <w:sz w:val="20"/>
          <w:szCs w:val="20"/>
          <w:lang w:val="es-CR"/>
        </w:rPr>
        <w:t xml:space="preserve"> de la presente Resolución, que el Estado ha dado cumplimiento </w:t>
      </w:r>
      <w:r w:rsidR="003D35C4">
        <w:rPr>
          <w:rFonts w:ascii="Verdana" w:hAnsi="Verdana"/>
          <w:sz w:val="20"/>
          <w:szCs w:val="20"/>
          <w:lang w:val="es-CR"/>
        </w:rPr>
        <w:t xml:space="preserve">total </w:t>
      </w:r>
      <w:r w:rsidRPr="003D709A">
        <w:rPr>
          <w:rFonts w:ascii="Verdana" w:hAnsi="Verdana"/>
          <w:sz w:val="20"/>
          <w:szCs w:val="20"/>
          <w:lang w:val="es-CR"/>
        </w:rPr>
        <w:t xml:space="preserve">a </w:t>
      </w:r>
      <w:r w:rsidR="00A937BA">
        <w:rPr>
          <w:rFonts w:ascii="Verdana" w:hAnsi="Verdana"/>
          <w:sz w:val="20"/>
          <w:szCs w:val="20"/>
          <w:lang w:val="es-CR"/>
        </w:rPr>
        <w:t>la medida relativa a realizar un acto de reconocimiento de responsabilidad internacional</w:t>
      </w:r>
      <w:r w:rsidRPr="003D709A">
        <w:rPr>
          <w:rFonts w:ascii="Verdana" w:hAnsi="Verdana"/>
          <w:sz w:val="20"/>
          <w:szCs w:val="20"/>
          <w:lang w:val="es-CR"/>
        </w:rPr>
        <w:t xml:space="preserve"> (</w:t>
      </w:r>
      <w:r w:rsidRPr="003D709A">
        <w:rPr>
          <w:rFonts w:ascii="Verdana" w:hAnsi="Verdana"/>
          <w:i/>
          <w:sz w:val="20"/>
          <w:szCs w:val="20"/>
          <w:lang w:val="es-CR"/>
        </w:rPr>
        <w:t xml:space="preserve">punto </w:t>
      </w:r>
      <w:r w:rsidR="00661866">
        <w:rPr>
          <w:rFonts w:ascii="Verdana" w:hAnsi="Verdana"/>
          <w:i/>
          <w:sz w:val="20"/>
          <w:szCs w:val="20"/>
          <w:lang w:val="es-CR"/>
        </w:rPr>
        <w:t xml:space="preserve">resolutivo </w:t>
      </w:r>
      <w:r w:rsidR="00A937BA">
        <w:rPr>
          <w:rFonts w:ascii="Verdana" w:hAnsi="Verdana"/>
          <w:i/>
          <w:sz w:val="20"/>
          <w:szCs w:val="20"/>
          <w:lang w:val="es-CR"/>
        </w:rPr>
        <w:t>décimo</w:t>
      </w:r>
      <w:r w:rsidRPr="003D709A">
        <w:rPr>
          <w:rFonts w:ascii="Verdana" w:hAnsi="Verdana"/>
          <w:i/>
          <w:sz w:val="20"/>
          <w:szCs w:val="20"/>
          <w:lang w:val="es-CR"/>
        </w:rPr>
        <w:t xml:space="preserve"> </w:t>
      </w:r>
      <w:r w:rsidR="00327B20">
        <w:rPr>
          <w:rFonts w:ascii="Verdana" w:hAnsi="Verdana"/>
          <w:i/>
          <w:sz w:val="20"/>
          <w:szCs w:val="20"/>
          <w:lang w:val="es-CR"/>
        </w:rPr>
        <w:t xml:space="preserve">segundo </w:t>
      </w:r>
      <w:r w:rsidRPr="003D709A">
        <w:rPr>
          <w:rFonts w:ascii="Verdana" w:hAnsi="Verdana"/>
          <w:i/>
          <w:sz w:val="20"/>
          <w:szCs w:val="20"/>
          <w:lang w:val="es-CR"/>
        </w:rPr>
        <w:t>de la Sentencia</w:t>
      </w:r>
      <w:r w:rsidRPr="003D709A">
        <w:rPr>
          <w:rFonts w:ascii="Verdana" w:hAnsi="Verdana"/>
          <w:sz w:val="20"/>
          <w:szCs w:val="20"/>
          <w:lang w:val="es-CR"/>
        </w:rPr>
        <w:t>).</w:t>
      </w:r>
    </w:p>
    <w:p w14:paraId="64505D67" w14:textId="77777777" w:rsidR="00062DC4" w:rsidRPr="003D709A" w:rsidRDefault="00062DC4" w:rsidP="003D709A">
      <w:pPr>
        <w:tabs>
          <w:tab w:val="left" w:pos="567"/>
        </w:tabs>
        <w:spacing w:after="0" w:line="240" w:lineRule="auto"/>
        <w:ind w:right="22"/>
        <w:jc w:val="both"/>
        <w:rPr>
          <w:rFonts w:ascii="Verdana" w:hAnsi="Verdana"/>
          <w:sz w:val="20"/>
          <w:szCs w:val="20"/>
          <w:lang w:val="es-CR"/>
        </w:rPr>
      </w:pPr>
    </w:p>
    <w:p w14:paraId="7A1C1D6B" w14:textId="77777777" w:rsidR="00062DC4" w:rsidRPr="003D709A" w:rsidRDefault="00062DC4" w:rsidP="003D709A">
      <w:pPr>
        <w:tabs>
          <w:tab w:val="left" w:pos="567"/>
        </w:tabs>
        <w:spacing w:after="0" w:line="240" w:lineRule="auto"/>
        <w:ind w:right="22"/>
        <w:jc w:val="both"/>
        <w:rPr>
          <w:rFonts w:ascii="Verdana" w:hAnsi="Verdana"/>
          <w:sz w:val="20"/>
          <w:szCs w:val="20"/>
          <w:lang w:val="es-CR"/>
        </w:rPr>
      </w:pPr>
      <w:r w:rsidRPr="003D709A">
        <w:rPr>
          <w:rFonts w:ascii="Verdana" w:hAnsi="Verdana"/>
          <w:sz w:val="20"/>
          <w:szCs w:val="20"/>
          <w:lang w:val="es-CR"/>
        </w:rPr>
        <w:t>2.</w:t>
      </w:r>
      <w:r w:rsidRPr="003D709A">
        <w:rPr>
          <w:rFonts w:ascii="Verdana" w:hAnsi="Verdana"/>
          <w:sz w:val="20"/>
          <w:szCs w:val="20"/>
          <w:lang w:val="es-CR"/>
        </w:rPr>
        <w:tab/>
        <w:t>Mantener abierto el procedimiento de supervisión de cumplimiento</w:t>
      </w:r>
      <w:r w:rsidR="00D2756A" w:rsidRPr="003D709A">
        <w:rPr>
          <w:rFonts w:ascii="Verdana" w:hAnsi="Verdana"/>
          <w:sz w:val="20"/>
          <w:szCs w:val="20"/>
          <w:lang w:val="es-CR"/>
        </w:rPr>
        <w:t xml:space="preserve"> de las siguientes m</w:t>
      </w:r>
      <w:r w:rsidR="009B1881" w:rsidRPr="003D709A">
        <w:rPr>
          <w:rFonts w:ascii="Verdana" w:hAnsi="Verdana"/>
          <w:sz w:val="20"/>
          <w:szCs w:val="20"/>
          <w:lang w:val="es-CR"/>
        </w:rPr>
        <w:t>edidas</w:t>
      </w:r>
      <w:r w:rsidR="001102B9">
        <w:rPr>
          <w:rFonts w:ascii="Verdana" w:hAnsi="Verdana"/>
          <w:sz w:val="20"/>
          <w:szCs w:val="20"/>
          <w:lang w:val="es-CR"/>
        </w:rPr>
        <w:t>, que conforme a lo indicado en el Considerando 3 de la presente Resolución, serán valoradas en una posterior resolución:</w:t>
      </w:r>
      <w:r w:rsidRPr="003D709A">
        <w:rPr>
          <w:rFonts w:ascii="Verdana" w:hAnsi="Verdana"/>
          <w:sz w:val="20"/>
          <w:szCs w:val="20"/>
          <w:lang w:val="es-CR"/>
        </w:rPr>
        <w:t xml:space="preserve"> </w:t>
      </w:r>
    </w:p>
    <w:p w14:paraId="23A18C62" w14:textId="77777777" w:rsidR="00D2756A" w:rsidRPr="003D709A" w:rsidRDefault="00D2756A" w:rsidP="003D709A">
      <w:pPr>
        <w:spacing w:after="0" w:line="240" w:lineRule="auto"/>
        <w:jc w:val="both"/>
        <w:rPr>
          <w:rFonts w:ascii="Verdana" w:hAnsi="Verdana"/>
          <w:sz w:val="20"/>
          <w:szCs w:val="20"/>
          <w:lang w:val="es-CR"/>
        </w:rPr>
      </w:pPr>
    </w:p>
    <w:p w14:paraId="07933E7B" w14:textId="77777777" w:rsidR="00AF0289" w:rsidRPr="003D709A" w:rsidRDefault="001102B9" w:rsidP="003D709A">
      <w:pPr>
        <w:pStyle w:val="Prrafodelista"/>
        <w:numPr>
          <w:ilvl w:val="0"/>
          <w:numId w:val="9"/>
        </w:numPr>
        <w:spacing w:after="0" w:line="240" w:lineRule="auto"/>
        <w:jc w:val="both"/>
        <w:rPr>
          <w:rFonts w:ascii="Verdana" w:hAnsi="Verdana"/>
          <w:sz w:val="20"/>
          <w:szCs w:val="20"/>
          <w:lang w:val="es-ES"/>
        </w:rPr>
      </w:pPr>
      <w:r w:rsidRPr="003D709A">
        <w:rPr>
          <w:rFonts w:ascii="Verdana" w:hAnsi="Verdana"/>
          <w:sz w:val="20"/>
          <w:szCs w:val="20"/>
          <w:lang w:val="es-ES"/>
        </w:rPr>
        <w:t>continuar</w:t>
      </w:r>
      <w:r w:rsidR="00236B8D" w:rsidRPr="003D709A">
        <w:rPr>
          <w:rFonts w:ascii="Verdana" w:hAnsi="Verdana"/>
          <w:sz w:val="20"/>
          <w:szCs w:val="20"/>
          <w:lang w:val="es-ES"/>
        </w:rPr>
        <w:t xml:space="preserve"> y llevar a cabo, en un plazo razonable y con la mayor diligencia, las investigaciones que sean necesarias para identificar, juzgar y, en su caso, sancionar a los responsables de la desaparición forzada de Walter Munárriz Escobar </w:t>
      </w:r>
      <w:r w:rsidR="00AF0289" w:rsidRPr="003D709A">
        <w:rPr>
          <w:rFonts w:ascii="Verdana" w:hAnsi="Verdana"/>
          <w:sz w:val="20"/>
          <w:szCs w:val="20"/>
          <w:lang w:val="es-ES"/>
        </w:rPr>
        <w:t>(</w:t>
      </w:r>
      <w:r w:rsidR="00AF0289" w:rsidRPr="003D709A">
        <w:rPr>
          <w:rFonts w:ascii="Verdana" w:hAnsi="Verdana"/>
          <w:i/>
          <w:sz w:val="20"/>
          <w:szCs w:val="20"/>
          <w:lang w:val="es-ES"/>
        </w:rPr>
        <w:t xml:space="preserve">punto </w:t>
      </w:r>
      <w:r w:rsidR="00661866">
        <w:rPr>
          <w:rFonts w:ascii="Verdana" w:hAnsi="Verdana"/>
          <w:i/>
          <w:sz w:val="20"/>
          <w:szCs w:val="20"/>
          <w:lang w:val="es-ES"/>
        </w:rPr>
        <w:t xml:space="preserve">resolutivo </w:t>
      </w:r>
      <w:r w:rsidR="00236B8D" w:rsidRPr="003D709A">
        <w:rPr>
          <w:rFonts w:ascii="Verdana" w:hAnsi="Verdana"/>
          <w:i/>
          <w:sz w:val="20"/>
          <w:szCs w:val="20"/>
          <w:lang w:val="es-ES"/>
        </w:rPr>
        <w:t>octavo</w:t>
      </w:r>
      <w:r w:rsidR="00AF0289" w:rsidRPr="003D709A">
        <w:rPr>
          <w:rFonts w:ascii="Verdana" w:hAnsi="Verdana"/>
          <w:i/>
          <w:sz w:val="20"/>
          <w:szCs w:val="20"/>
          <w:lang w:val="es-ES"/>
        </w:rPr>
        <w:t xml:space="preserve"> de la Sentencia</w:t>
      </w:r>
      <w:r>
        <w:rPr>
          <w:rFonts w:ascii="Verdana" w:hAnsi="Verdana"/>
          <w:sz w:val="20"/>
          <w:szCs w:val="20"/>
          <w:lang w:val="es-ES"/>
        </w:rPr>
        <w:t>);</w:t>
      </w:r>
    </w:p>
    <w:p w14:paraId="36D0B4F9" w14:textId="77777777" w:rsidR="00AF0289" w:rsidRPr="003D709A" w:rsidRDefault="001102B9" w:rsidP="003D709A">
      <w:pPr>
        <w:pStyle w:val="Prrafodelista"/>
        <w:numPr>
          <w:ilvl w:val="0"/>
          <w:numId w:val="9"/>
        </w:numPr>
        <w:spacing w:after="0" w:line="240" w:lineRule="auto"/>
        <w:jc w:val="both"/>
        <w:rPr>
          <w:rFonts w:ascii="Verdana" w:hAnsi="Verdana"/>
          <w:sz w:val="20"/>
          <w:szCs w:val="20"/>
          <w:lang w:val="es-ES"/>
        </w:rPr>
      </w:pPr>
      <w:r>
        <w:rPr>
          <w:rFonts w:ascii="Verdana" w:hAnsi="Verdana"/>
          <w:sz w:val="20"/>
          <w:szCs w:val="20"/>
          <w:lang w:val="es-ES"/>
        </w:rPr>
        <w:t>r</w:t>
      </w:r>
      <w:r w:rsidR="007D2328" w:rsidRPr="003D709A">
        <w:rPr>
          <w:rFonts w:ascii="Verdana" w:hAnsi="Verdana"/>
          <w:sz w:val="20"/>
          <w:szCs w:val="20"/>
          <w:lang w:val="es-ES"/>
        </w:rPr>
        <w:t>ealizar, a la mayor brevedad, una búsqueda rigurosa, sistemática y con los recursos humanos, técnicos y económicos adecuados, en la cual realice todos los esfuerzos para determinar el paradero de Walter Munárriz Escobar</w:t>
      </w:r>
      <w:r w:rsidR="00AF0289" w:rsidRPr="003D709A">
        <w:rPr>
          <w:rFonts w:ascii="Verdana" w:hAnsi="Verdana"/>
          <w:sz w:val="20"/>
          <w:szCs w:val="20"/>
          <w:lang w:val="es-ES"/>
        </w:rPr>
        <w:t xml:space="preserve"> (</w:t>
      </w:r>
      <w:r w:rsidR="00AF0289" w:rsidRPr="003D709A">
        <w:rPr>
          <w:rFonts w:ascii="Verdana" w:hAnsi="Verdana"/>
          <w:i/>
          <w:sz w:val="20"/>
          <w:szCs w:val="20"/>
          <w:lang w:val="es-ES"/>
        </w:rPr>
        <w:t xml:space="preserve">punto </w:t>
      </w:r>
      <w:r w:rsidR="00661866">
        <w:rPr>
          <w:rFonts w:ascii="Verdana" w:hAnsi="Verdana"/>
          <w:i/>
          <w:sz w:val="20"/>
          <w:szCs w:val="20"/>
          <w:lang w:val="es-ES"/>
        </w:rPr>
        <w:t>resolutivo</w:t>
      </w:r>
      <w:r w:rsidR="00AF0289" w:rsidRPr="003D709A">
        <w:rPr>
          <w:rFonts w:ascii="Verdana" w:hAnsi="Verdana"/>
          <w:i/>
          <w:sz w:val="20"/>
          <w:szCs w:val="20"/>
          <w:lang w:val="es-ES"/>
        </w:rPr>
        <w:t xml:space="preserve"> </w:t>
      </w:r>
      <w:r w:rsidR="007D2328" w:rsidRPr="003D709A">
        <w:rPr>
          <w:rFonts w:ascii="Verdana" w:hAnsi="Verdana"/>
          <w:i/>
          <w:sz w:val="20"/>
          <w:szCs w:val="20"/>
          <w:lang w:val="es-ES"/>
        </w:rPr>
        <w:t>noveno</w:t>
      </w:r>
      <w:r w:rsidR="00AF0289" w:rsidRPr="003D709A">
        <w:rPr>
          <w:rFonts w:ascii="Verdana" w:hAnsi="Verdana"/>
          <w:i/>
          <w:sz w:val="20"/>
          <w:szCs w:val="20"/>
          <w:lang w:val="es-ES"/>
        </w:rPr>
        <w:t xml:space="preserve"> de la Sentencia</w:t>
      </w:r>
      <w:r>
        <w:rPr>
          <w:rFonts w:ascii="Verdana" w:hAnsi="Verdana"/>
          <w:sz w:val="20"/>
          <w:szCs w:val="20"/>
          <w:lang w:val="es-ES"/>
        </w:rPr>
        <w:t>);</w:t>
      </w:r>
    </w:p>
    <w:p w14:paraId="7FBB8873" w14:textId="77777777" w:rsidR="007D2328" w:rsidRPr="003D709A" w:rsidRDefault="001102B9" w:rsidP="003D709A">
      <w:pPr>
        <w:pStyle w:val="Prrafodelista"/>
        <w:numPr>
          <w:ilvl w:val="0"/>
          <w:numId w:val="9"/>
        </w:numPr>
        <w:spacing w:after="0" w:line="240" w:lineRule="auto"/>
        <w:jc w:val="both"/>
        <w:rPr>
          <w:rFonts w:ascii="Verdana" w:hAnsi="Verdana"/>
          <w:sz w:val="20"/>
          <w:szCs w:val="20"/>
          <w:lang w:val="es-ES"/>
        </w:rPr>
      </w:pPr>
      <w:r>
        <w:rPr>
          <w:rFonts w:ascii="Verdana" w:hAnsi="Verdana"/>
          <w:sz w:val="20"/>
          <w:szCs w:val="20"/>
          <w:lang w:val="es-ES"/>
        </w:rPr>
        <w:t>b</w:t>
      </w:r>
      <w:r w:rsidR="007D2328" w:rsidRPr="003D709A">
        <w:rPr>
          <w:rFonts w:ascii="Verdana" w:hAnsi="Verdana"/>
          <w:sz w:val="20"/>
          <w:szCs w:val="20"/>
          <w:lang w:val="es-ES"/>
        </w:rPr>
        <w:t>rindar el tratamiento psicológico o psiquiátrico, a las víctimas que así lo soliciten (</w:t>
      </w:r>
      <w:r w:rsidR="007D2328" w:rsidRPr="003D709A">
        <w:rPr>
          <w:rFonts w:ascii="Verdana" w:hAnsi="Verdana"/>
          <w:i/>
          <w:sz w:val="20"/>
          <w:szCs w:val="20"/>
          <w:lang w:val="es-ES"/>
        </w:rPr>
        <w:t xml:space="preserve">punto </w:t>
      </w:r>
      <w:r w:rsidR="00661866">
        <w:rPr>
          <w:rFonts w:ascii="Verdana" w:hAnsi="Verdana"/>
          <w:i/>
          <w:sz w:val="20"/>
          <w:szCs w:val="20"/>
          <w:lang w:val="es-ES"/>
        </w:rPr>
        <w:t>resolutivo</w:t>
      </w:r>
      <w:r w:rsidR="007D2328" w:rsidRPr="003D709A">
        <w:rPr>
          <w:rFonts w:ascii="Verdana" w:hAnsi="Verdana"/>
          <w:i/>
          <w:sz w:val="20"/>
          <w:szCs w:val="20"/>
          <w:lang w:val="es-ES"/>
        </w:rPr>
        <w:t xml:space="preserve"> décimo de la Sentencia</w:t>
      </w:r>
      <w:r w:rsidR="00105713">
        <w:rPr>
          <w:rFonts w:ascii="Verdana" w:hAnsi="Verdana"/>
          <w:i/>
          <w:sz w:val="20"/>
          <w:szCs w:val="20"/>
          <w:lang w:val="es-ES"/>
        </w:rPr>
        <w:t>)</w:t>
      </w:r>
      <w:r w:rsidR="00A937BA">
        <w:rPr>
          <w:rFonts w:ascii="Verdana" w:hAnsi="Verdana"/>
          <w:sz w:val="20"/>
          <w:szCs w:val="20"/>
          <w:lang w:val="es-ES"/>
        </w:rPr>
        <w:t>, y</w:t>
      </w:r>
    </w:p>
    <w:p w14:paraId="586E955E" w14:textId="77777777" w:rsidR="00AF0289" w:rsidRPr="003D709A" w:rsidRDefault="001102B9" w:rsidP="003D709A">
      <w:pPr>
        <w:pStyle w:val="Prrafodelista"/>
        <w:numPr>
          <w:ilvl w:val="0"/>
          <w:numId w:val="9"/>
        </w:numPr>
        <w:spacing w:after="0" w:line="240" w:lineRule="auto"/>
        <w:jc w:val="both"/>
        <w:rPr>
          <w:rFonts w:ascii="Verdana" w:hAnsi="Verdana"/>
          <w:sz w:val="20"/>
          <w:szCs w:val="20"/>
          <w:lang w:val="es-ES"/>
        </w:rPr>
      </w:pPr>
      <w:r>
        <w:rPr>
          <w:rFonts w:ascii="Verdana" w:hAnsi="Verdana"/>
          <w:sz w:val="20"/>
          <w:szCs w:val="20"/>
          <w:lang w:val="es-ES"/>
        </w:rPr>
        <w:t>p</w:t>
      </w:r>
      <w:r w:rsidR="00AF0289" w:rsidRPr="003D709A">
        <w:rPr>
          <w:rFonts w:ascii="Verdana" w:hAnsi="Verdana"/>
          <w:sz w:val="20"/>
          <w:szCs w:val="20"/>
          <w:lang w:val="es-ES"/>
        </w:rPr>
        <w:t xml:space="preserve">agar las cantidades fijadas en la </w:t>
      </w:r>
      <w:r w:rsidR="009B1881" w:rsidRPr="003D709A">
        <w:rPr>
          <w:rFonts w:ascii="Verdana" w:hAnsi="Verdana"/>
          <w:sz w:val="20"/>
          <w:szCs w:val="20"/>
          <w:lang w:val="es-ES"/>
        </w:rPr>
        <w:t>S</w:t>
      </w:r>
      <w:r w:rsidR="003567BB" w:rsidRPr="003D709A">
        <w:rPr>
          <w:rFonts w:ascii="Verdana" w:hAnsi="Verdana"/>
          <w:sz w:val="20"/>
          <w:szCs w:val="20"/>
          <w:lang w:val="es-ES"/>
        </w:rPr>
        <w:t>entencia</w:t>
      </w:r>
      <w:r w:rsidR="00AF0289" w:rsidRPr="003D709A">
        <w:rPr>
          <w:rFonts w:ascii="Verdana" w:hAnsi="Verdana"/>
          <w:sz w:val="20"/>
          <w:szCs w:val="20"/>
          <w:lang w:val="es-ES"/>
        </w:rPr>
        <w:t xml:space="preserve"> por concepto </w:t>
      </w:r>
      <w:r w:rsidR="009B1881" w:rsidRPr="003D709A">
        <w:rPr>
          <w:rFonts w:ascii="Verdana" w:hAnsi="Verdana"/>
          <w:sz w:val="20"/>
          <w:szCs w:val="20"/>
          <w:lang w:val="es-ES"/>
        </w:rPr>
        <w:t xml:space="preserve">de indemnizaciones por daños materiales e inmateriales y por el reintegro de costas y gastos </w:t>
      </w:r>
      <w:r w:rsidR="00AF0289" w:rsidRPr="003D709A">
        <w:rPr>
          <w:rFonts w:ascii="Verdana" w:hAnsi="Verdana"/>
          <w:sz w:val="20"/>
          <w:szCs w:val="20"/>
          <w:lang w:val="es-ES"/>
        </w:rPr>
        <w:t>(</w:t>
      </w:r>
      <w:r w:rsidR="00AF0289" w:rsidRPr="003D709A">
        <w:rPr>
          <w:rFonts w:ascii="Verdana" w:hAnsi="Verdana"/>
          <w:i/>
          <w:sz w:val="20"/>
          <w:szCs w:val="20"/>
          <w:lang w:val="es-ES"/>
        </w:rPr>
        <w:t xml:space="preserve">punto </w:t>
      </w:r>
      <w:r w:rsidR="00661866">
        <w:rPr>
          <w:rFonts w:ascii="Verdana" w:hAnsi="Verdana"/>
          <w:i/>
          <w:sz w:val="20"/>
          <w:szCs w:val="20"/>
          <w:lang w:val="es-ES"/>
        </w:rPr>
        <w:t>resolutivo</w:t>
      </w:r>
      <w:r w:rsidR="00AF0289" w:rsidRPr="003D709A">
        <w:rPr>
          <w:rFonts w:ascii="Verdana" w:hAnsi="Verdana"/>
          <w:i/>
          <w:sz w:val="20"/>
          <w:szCs w:val="20"/>
          <w:lang w:val="es-ES"/>
        </w:rPr>
        <w:t xml:space="preserve"> décimo </w:t>
      </w:r>
      <w:r w:rsidR="009B1881" w:rsidRPr="003D709A">
        <w:rPr>
          <w:rFonts w:ascii="Verdana" w:hAnsi="Verdana"/>
          <w:i/>
          <w:sz w:val="20"/>
          <w:szCs w:val="20"/>
          <w:lang w:val="es-ES"/>
        </w:rPr>
        <w:t>tercero</w:t>
      </w:r>
      <w:r w:rsidR="00AF0289" w:rsidRPr="003D709A">
        <w:rPr>
          <w:rFonts w:ascii="Verdana" w:hAnsi="Verdana"/>
          <w:i/>
          <w:sz w:val="20"/>
          <w:szCs w:val="20"/>
          <w:lang w:val="es-ES"/>
        </w:rPr>
        <w:t xml:space="preserve"> de la Sentencia</w:t>
      </w:r>
      <w:r w:rsidR="00A937BA">
        <w:rPr>
          <w:rFonts w:ascii="Verdana" w:hAnsi="Verdana"/>
          <w:sz w:val="20"/>
          <w:szCs w:val="20"/>
          <w:lang w:val="es-ES"/>
        </w:rPr>
        <w:t>).</w:t>
      </w:r>
    </w:p>
    <w:p w14:paraId="25651F13" w14:textId="77777777" w:rsidR="00AF0289" w:rsidRPr="003D709A" w:rsidRDefault="00AF0289" w:rsidP="003D709A">
      <w:pPr>
        <w:spacing w:after="0" w:line="240" w:lineRule="auto"/>
        <w:jc w:val="both"/>
        <w:rPr>
          <w:rFonts w:ascii="Verdana" w:hAnsi="Verdana"/>
          <w:sz w:val="20"/>
          <w:szCs w:val="20"/>
          <w:lang w:val="es-ES"/>
        </w:rPr>
      </w:pPr>
    </w:p>
    <w:p w14:paraId="3365F345" w14:textId="77777777" w:rsidR="00276B83" w:rsidRDefault="00A937BA" w:rsidP="00A937BA">
      <w:pPr>
        <w:tabs>
          <w:tab w:val="left" w:pos="567"/>
        </w:tabs>
        <w:spacing w:after="0" w:line="240" w:lineRule="auto"/>
        <w:ind w:right="22"/>
        <w:jc w:val="both"/>
        <w:rPr>
          <w:rFonts w:ascii="Verdana" w:hAnsi="Verdana"/>
          <w:sz w:val="20"/>
          <w:szCs w:val="20"/>
          <w:lang w:val="es-ES"/>
        </w:rPr>
      </w:pPr>
      <w:r>
        <w:rPr>
          <w:rFonts w:ascii="Verdana" w:hAnsi="Verdana"/>
          <w:sz w:val="20"/>
          <w:szCs w:val="20"/>
          <w:lang w:val="es-ES"/>
        </w:rPr>
        <w:t>3.</w:t>
      </w:r>
      <w:r>
        <w:rPr>
          <w:rFonts w:ascii="Verdana" w:hAnsi="Verdana"/>
          <w:sz w:val="20"/>
          <w:szCs w:val="20"/>
          <w:lang w:val="es-ES"/>
        </w:rPr>
        <w:tab/>
      </w:r>
      <w:r w:rsidR="00A1684D">
        <w:rPr>
          <w:rFonts w:ascii="Verdana" w:hAnsi="Verdana"/>
          <w:sz w:val="20"/>
          <w:szCs w:val="20"/>
          <w:lang w:val="es-ES"/>
        </w:rPr>
        <w:t xml:space="preserve">Disponer que el Estado presente a la Corte Interamericana de Derechos Humanos, a más tardar el </w:t>
      </w:r>
      <w:r w:rsidR="00951B3C">
        <w:rPr>
          <w:rFonts w:ascii="Verdana" w:hAnsi="Verdana"/>
          <w:sz w:val="20"/>
          <w:szCs w:val="20"/>
          <w:lang w:val="es-ES"/>
        </w:rPr>
        <w:t>15 de diciembre d</w:t>
      </w:r>
      <w:r w:rsidR="00A1684D">
        <w:rPr>
          <w:rFonts w:ascii="Verdana" w:hAnsi="Verdana"/>
          <w:sz w:val="20"/>
          <w:szCs w:val="20"/>
          <w:lang w:val="es-ES"/>
        </w:rPr>
        <w:t>e 2020</w:t>
      </w:r>
      <w:r w:rsidR="00C05CFF">
        <w:rPr>
          <w:rFonts w:ascii="Verdana" w:hAnsi="Verdana"/>
          <w:sz w:val="20"/>
          <w:szCs w:val="20"/>
          <w:lang w:val="es-ES"/>
        </w:rPr>
        <w:t>,</w:t>
      </w:r>
      <w:r w:rsidR="00A1684D">
        <w:rPr>
          <w:rFonts w:ascii="Verdana" w:hAnsi="Verdana"/>
          <w:sz w:val="20"/>
          <w:szCs w:val="20"/>
          <w:lang w:val="es-ES"/>
        </w:rPr>
        <w:t xml:space="preserve"> un nuevo informe sobre el cumplimiento de las reparaciones señaladas en el punto resolutivo segundo de la presente Resolución.</w:t>
      </w:r>
    </w:p>
    <w:p w14:paraId="69326FF6" w14:textId="77777777" w:rsidR="00A1684D" w:rsidRDefault="00A1684D" w:rsidP="00A937BA">
      <w:pPr>
        <w:tabs>
          <w:tab w:val="left" w:pos="567"/>
        </w:tabs>
        <w:spacing w:after="0" w:line="240" w:lineRule="auto"/>
        <w:ind w:right="22"/>
        <w:jc w:val="both"/>
        <w:rPr>
          <w:rFonts w:ascii="Verdana" w:hAnsi="Verdana"/>
          <w:sz w:val="20"/>
          <w:szCs w:val="20"/>
          <w:lang w:val="es-ES"/>
        </w:rPr>
      </w:pPr>
    </w:p>
    <w:p w14:paraId="4EFE1EA9" w14:textId="77777777" w:rsidR="00A1684D" w:rsidRDefault="00A1684D" w:rsidP="00A1684D">
      <w:pPr>
        <w:tabs>
          <w:tab w:val="left" w:pos="567"/>
        </w:tabs>
        <w:spacing w:after="0" w:line="240" w:lineRule="auto"/>
        <w:ind w:right="22"/>
        <w:jc w:val="both"/>
        <w:rPr>
          <w:rFonts w:ascii="Verdana" w:hAnsi="Verdana"/>
          <w:sz w:val="20"/>
          <w:szCs w:val="20"/>
          <w:lang w:val="es-ES"/>
        </w:rPr>
      </w:pPr>
      <w:r w:rsidRPr="00A1684D">
        <w:rPr>
          <w:rFonts w:ascii="Verdana" w:hAnsi="Verdana"/>
          <w:sz w:val="20"/>
          <w:szCs w:val="20"/>
          <w:lang w:val="es-ES"/>
        </w:rPr>
        <w:t>4.</w:t>
      </w:r>
      <w:r>
        <w:rPr>
          <w:rFonts w:ascii="Verdana" w:hAnsi="Verdana"/>
          <w:sz w:val="20"/>
          <w:szCs w:val="20"/>
          <w:lang w:val="es-ES"/>
        </w:rPr>
        <w:tab/>
        <w:t>Disponer que los representantes de las víctimas y la Comisión Interamericana de Derechos Humanos presenten observaciones el informe del Estado mencionado en el punto resolutivo anterior, en los plazos de cuatro y seis semanas, respectivamente, contados a partir de la recepción del informe.</w:t>
      </w:r>
    </w:p>
    <w:p w14:paraId="05EB21A0" w14:textId="77777777" w:rsidR="00276B83" w:rsidRDefault="00276B83" w:rsidP="00A937BA">
      <w:pPr>
        <w:tabs>
          <w:tab w:val="left" w:pos="567"/>
        </w:tabs>
        <w:spacing w:after="0" w:line="240" w:lineRule="auto"/>
        <w:ind w:right="22"/>
        <w:jc w:val="both"/>
        <w:rPr>
          <w:rFonts w:ascii="Verdana" w:hAnsi="Verdana"/>
          <w:sz w:val="20"/>
          <w:szCs w:val="20"/>
          <w:lang w:val="es-ES"/>
        </w:rPr>
      </w:pPr>
    </w:p>
    <w:p w14:paraId="28759DA4" w14:textId="77777777" w:rsidR="00D74DBA" w:rsidRDefault="00A1684D" w:rsidP="00A1684D">
      <w:pPr>
        <w:tabs>
          <w:tab w:val="left" w:pos="567"/>
        </w:tabs>
        <w:spacing w:after="0" w:line="240" w:lineRule="auto"/>
        <w:ind w:right="22"/>
        <w:jc w:val="both"/>
        <w:rPr>
          <w:rFonts w:ascii="Verdana" w:hAnsi="Verdana"/>
          <w:sz w:val="20"/>
          <w:szCs w:val="20"/>
          <w:lang w:val="es-CR"/>
        </w:rPr>
      </w:pPr>
      <w:r w:rsidRPr="00A1684D">
        <w:rPr>
          <w:rFonts w:ascii="Verdana" w:hAnsi="Verdana"/>
          <w:sz w:val="20"/>
          <w:szCs w:val="20"/>
          <w:lang w:val="es-CR"/>
        </w:rPr>
        <w:t>5.</w:t>
      </w:r>
      <w:r>
        <w:rPr>
          <w:rFonts w:ascii="Verdana" w:hAnsi="Verdana"/>
          <w:sz w:val="20"/>
          <w:szCs w:val="20"/>
          <w:lang w:val="es-CR"/>
        </w:rPr>
        <w:tab/>
      </w:r>
      <w:r w:rsidR="00062DC4" w:rsidRPr="003D709A">
        <w:rPr>
          <w:rFonts w:ascii="Verdana" w:hAnsi="Verdana"/>
          <w:sz w:val="20"/>
          <w:szCs w:val="20"/>
          <w:lang w:val="es-CR"/>
        </w:rPr>
        <w:t>Disponer que la Secretaría de la Corte notifique la presente Resolución al Estado del Perú, a los representantes de las víctimas y a la Comisión Interamericana de Derechos Humanos.</w:t>
      </w:r>
    </w:p>
    <w:p w14:paraId="432D5DFE" w14:textId="290E4968" w:rsidR="006030BF" w:rsidRDefault="006030BF" w:rsidP="00A1684D">
      <w:pPr>
        <w:tabs>
          <w:tab w:val="left" w:pos="567"/>
        </w:tabs>
        <w:spacing w:after="0" w:line="240" w:lineRule="auto"/>
        <w:ind w:right="22"/>
        <w:jc w:val="both"/>
        <w:rPr>
          <w:rFonts w:ascii="Verdana" w:hAnsi="Verdana"/>
          <w:sz w:val="20"/>
          <w:lang w:val="es-ES"/>
        </w:rPr>
      </w:pPr>
    </w:p>
    <w:p w14:paraId="3E7BA2B4" w14:textId="77777777" w:rsidR="006030BF" w:rsidRPr="006030BF" w:rsidRDefault="006030BF" w:rsidP="006030BF">
      <w:pPr>
        <w:tabs>
          <w:tab w:val="left" w:pos="567"/>
        </w:tabs>
        <w:contextualSpacing/>
        <w:jc w:val="both"/>
        <w:rPr>
          <w:rFonts w:ascii="Verdana" w:hAnsi="Verdana"/>
          <w:sz w:val="20"/>
          <w:szCs w:val="20"/>
          <w:lang w:val="es-ES_tradnl"/>
        </w:rPr>
      </w:pPr>
      <w:r w:rsidRPr="006030BF">
        <w:rPr>
          <w:rFonts w:ascii="Verdana" w:hAnsi="Verdana"/>
          <w:sz w:val="20"/>
          <w:szCs w:val="20"/>
          <w:lang w:val="es-ES_tradnl"/>
        </w:rPr>
        <w:t xml:space="preserve">Corte IDH. </w:t>
      </w:r>
      <w:r w:rsidRPr="00FA6D6B">
        <w:rPr>
          <w:rFonts w:ascii="Verdana" w:hAnsi="Verdana"/>
          <w:i/>
          <w:sz w:val="20"/>
          <w:szCs w:val="20"/>
          <w:lang w:val="es-ES_tradnl"/>
        </w:rPr>
        <w:t>Caso Munárriz Escobar y otros Vs. Perú</w:t>
      </w:r>
      <w:r w:rsidRPr="006030BF">
        <w:rPr>
          <w:rFonts w:ascii="Verdana" w:hAnsi="Verdana"/>
          <w:sz w:val="20"/>
          <w:szCs w:val="20"/>
          <w:lang w:val="es-ES_tradnl"/>
        </w:rPr>
        <w:t>. Supervisión de Cumplimiento de Sentencia. Resolución de la Corte Interamericana de Derechos Humanos de 20 de julio de 2020. Resolución adoptada en Sa</w:t>
      </w:r>
      <w:r w:rsidR="0048556C">
        <w:rPr>
          <w:rFonts w:ascii="Verdana" w:hAnsi="Verdana"/>
          <w:sz w:val="20"/>
          <w:szCs w:val="20"/>
          <w:lang w:val="es-ES_tradnl"/>
        </w:rPr>
        <w:t>n José</w:t>
      </w:r>
      <w:r w:rsidRPr="006030BF">
        <w:rPr>
          <w:rFonts w:ascii="Verdana" w:hAnsi="Verdana"/>
          <w:sz w:val="20"/>
          <w:szCs w:val="20"/>
          <w:lang w:val="es-ES_tradnl"/>
        </w:rPr>
        <w:t xml:space="preserve"> de Costa Rica por medio de sesión virtual.</w:t>
      </w:r>
    </w:p>
    <w:p w14:paraId="281DAD88" w14:textId="77777777" w:rsidR="006030BF" w:rsidRDefault="006030BF" w:rsidP="00A1684D">
      <w:pPr>
        <w:tabs>
          <w:tab w:val="left" w:pos="567"/>
        </w:tabs>
        <w:spacing w:after="0" w:line="240" w:lineRule="auto"/>
        <w:ind w:right="22"/>
        <w:jc w:val="both"/>
        <w:rPr>
          <w:rFonts w:ascii="Verdana" w:hAnsi="Verdana"/>
          <w:sz w:val="20"/>
          <w:lang w:val="es-ES"/>
        </w:rPr>
      </w:pPr>
    </w:p>
    <w:p w14:paraId="38A4D658" w14:textId="77777777" w:rsidR="006030BF" w:rsidRDefault="006030BF" w:rsidP="00A1684D">
      <w:pPr>
        <w:tabs>
          <w:tab w:val="left" w:pos="567"/>
        </w:tabs>
        <w:spacing w:after="0" w:line="240" w:lineRule="auto"/>
        <w:ind w:right="22"/>
        <w:jc w:val="both"/>
        <w:rPr>
          <w:rFonts w:ascii="Verdana" w:hAnsi="Verdana"/>
          <w:sz w:val="20"/>
          <w:lang w:val="es-ES"/>
        </w:rPr>
      </w:pPr>
    </w:p>
    <w:p w14:paraId="26BFB441" w14:textId="77777777" w:rsidR="006030BF" w:rsidRDefault="006030BF" w:rsidP="00A1684D">
      <w:pPr>
        <w:tabs>
          <w:tab w:val="left" w:pos="567"/>
        </w:tabs>
        <w:spacing w:after="0" w:line="240" w:lineRule="auto"/>
        <w:ind w:right="22"/>
        <w:jc w:val="both"/>
        <w:rPr>
          <w:rFonts w:ascii="Verdana" w:hAnsi="Verdana"/>
          <w:sz w:val="20"/>
          <w:lang w:val="es-ES"/>
        </w:rPr>
      </w:pPr>
    </w:p>
    <w:p w14:paraId="2372E3A1" w14:textId="77777777" w:rsidR="006030BF" w:rsidRDefault="006030BF" w:rsidP="006030BF">
      <w:pPr>
        <w:spacing w:after="0" w:line="240" w:lineRule="auto"/>
        <w:jc w:val="center"/>
        <w:rPr>
          <w:rFonts w:ascii="Verdana" w:hAnsi="Verdana"/>
          <w:sz w:val="20"/>
          <w:lang w:val="pt-BR"/>
        </w:rPr>
      </w:pPr>
      <w:r>
        <w:rPr>
          <w:rFonts w:ascii="Verdana" w:hAnsi="Verdana"/>
          <w:sz w:val="20"/>
          <w:lang w:val="pt-BR"/>
        </w:rPr>
        <w:t>Elizabeth Odio Benito</w:t>
      </w:r>
    </w:p>
    <w:p w14:paraId="09934BF1" w14:textId="77777777" w:rsidR="006030BF" w:rsidRDefault="006030BF" w:rsidP="006030BF">
      <w:pPr>
        <w:spacing w:after="0" w:line="240" w:lineRule="auto"/>
        <w:jc w:val="center"/>
        <w:rPr>
          <w:rFonts w:ascii="Verdana" w:hAnsi="Verdana"/>
          <w:sz w:val="20"/>
          <w:lang w:val="pt-BR"/>
        </w:rPr>
      </w:pPr>
      <w:r>
        <w:rPr>
          <w:rFonts w:ascii="Verdana" w:hAnsi="Verdana"/>
          <w:sz w:val="20"/>
          <w:lang w:val="pt-BR"/>
        </w:rPr>
        <w:t>Presidenta</w:t>
      </w:r>
    </w:p>
    <w:p w14:paraId="72D515B8" w14:textId="77777777" w:rsidR="006030BF" w:rsidRDefault="006030BF" w:rsidP="006030BF">
      <w:pPr>
        <w:spacing w:after="0" w:line="240" w:lineRule="auto"/>
        <w:jc w:val="center"/>
        <w:rPr>
          <w:rFonts w:ascii="Verdana" w:hAnsi="Verdana"/>
          <w:sz w:val="20"/>
          <w:lang w:val="pt-BR"/>
        </w:rPr>
      </w:pPr>
    </w:p>
    <w:p w14:paraId="73AF2462" w14:textId="77777777" w:rsidR="006030BF" w:rsidRDefault="006030BF" w:rsidP="006030BF">
      <w:pPr>
        <w:spacing w:after="0" w:line="240" w:lineRule="auto"/>
        <w:jc w:val="center"/>
        <w:rPr>
          <w:rFonts w:ascii="Verdana" w:hAnsi="Verdana"/>
          <w:sz w:val="20"/>
          <w:lang w:val="pt-BR"/>
        </w:rPr>
      </w:pPr>
    </w:p>
    <w:p w14:paraId="0D4E92F8" w14:textId="77777777" w:rsidR="006030BF" w:rsidRDefault="006030BF" w:rsidP="006030BF">
      <w:pPr>
        <w:spacing w:after="0" w:line="240" w:lineRule="auto"/>
        <w:rPr>
          <w:rFonts w:ascii="Verdana" w:hAnsi="Verdana"/>
          <w:sz w:val="20"/>
          <w:lang w:val="pt-BR"/>
        </w:rPr>
      </w:pPr>
    </w:p>
    <w:p w14:paraId="1A68D91C" w14:textId="77777777" w:rsidR="006030BF" w:rsidRDefault="006030BF" w:rsidP="006030BF">
      <w:pPr>
        <w:spacing w:after="0" w:line="240" w:lineRule="auto"/>
        <w:rPr>
          <w:rFonts w:ascii="Verdana" w:hAnsi="Verdana"/>
          <w:sz w:val="20"/>
          <w:lang w:val="pt-BR"/>
        </w:rPr>
      </w:pPr>
      <w:r>
        <w:rPr>
          <w:rFonts w:ascii="Verdana" w:hAnsi="Verdana"/>
          <w:sz w:val="20"/>
          <w:lang w:val="pt-BR"/>
        </w:rPr>
        <w:t>L. Patricio Pazmiño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Eduardo Vio Grossi</w:t>
      </w:r>
    </w:p>
    <w:p w14:paraId="5122BCAE" w14:textId="77777777" w:rsidR="006030BF" w:rsidRDefault="006030BF" w:rsidP="006030BF">
      <w:pPr>
        <w:spacing w:after="0" w:line="240" w:lineRule="auto"/>
        <w:rPr>
          <w:rFonts w:ascii="Verdana" w:hAnsi="Verdana"/>
          <w:sz w:val="20"/>
          <w:lang w:val="pt-BR"/>
        </w:rPr>
      </w:pPr>
    </w:p>
    <w:p w14:paraId="3CAD3538" w14:textId="77777777" w:rsidR="006030BF" w:rsidRDefault="006030BF" w:rsidP="006030BF">
      <w:pPr>
        <w:spacing w:after="0" w:line="240" w:lineRule="auto"/>
        <w:rPr>
          <w:rFonts w:ascii="Verdana" w:hAnsi="Verdana"/>
          <w:sz w:val="20"/>
          <w:lang w:val="pt-BR"/>
        </w:rPr>
      </w:pPr>
    </w:p>
    <w:p w14:paraId="5BDF83FA" w14:textId="77777777" w:rsidR="006030BF" w:rsidRDefault="006030BF" w:rsidP="006030BF">
      <w:pPr>
        <w:spacing w:after="0" w:line="240" w:lineRule="auto"/>
        <w:rPr>
          <w:rFonts w:ascii="Verdana" w:hAnsi="Verdana"/>
          <w:sz w:val="20"/>
          <w:lang w:val="pt-BR"/>
        </w:rPr>
      </w:pPr>
    </w:p>
    <w:p w14:paraId="28D6F779" w14:textId="77777777" w:rsidR="006030BF" w:rsidRDefault="006030BF" w:rsidP="006030BF">
      <w:pPr>
        <w:spacing w:after="0" w:line="240" w:lineRule="auto"/>
        <w:rPr>
          <w:rFonts w:ascii="Verdana" w:hAnsi="Verdana"/>
          <w:sz w:val="20"/>
          <w:lang w:val="pt-BR"/>
        </w:rPr>
      </w:pPr>
      <w:r>
        <w:rPr>
          <w:rFonts w:ascii="Verdana" w:hAnsi="Verdana"/>
          <w:sz w:val="20"/>
          <w:lang w:val="pt-BR"/>
        </w:rPr>
        <w:t>Humberto Antonio Sierra Porto</w:t>
      </w:r>
      <w:r>
        <w:rPr>
          <w:rFonts w:ascii="Verdana" w:hAnsi="Verdana"/>
          <w:sz w:val="20"/>
          <w:lang w:val="pt-BR"/>
        </w:rPr>
        <w:tab/>
      </w:r>
      <w:r>
        <w:rPr>
          <w:rFonts w:ascii="Verdana" w:hAnsi="Verdana"/>
          <w:sz w:val="20"/>
          <w:lang w:val="pt-BR"/>
        </w:rPr>
        <w:tab/>
      </w:r>
      <w:r>
        <w:rPr>
          <w:rFonts w:ascii="Verdana" w:hAnsi="Verdana"/>
          <w:sz w:val="20"/>
          <w:lang w:val="pt-BR"/>
        </w:rPr>
        <w:tab/>
        <w:t xml:space="preserve">      Eduardo Ferrer Mac-Gregor Poisot</w:t>
      </w:r>
      <w:r w:rsidRPr="0019261A">
        <w:rPr>
          <w:rFonts w:ascii="Verdana" w:hAnsi="Verdana"/>
          <w:sz w:val="20"/>
          <w:lang w:val="pt-BR"/>
        </w:rPr>
        <w:tab/>
      </w:r>
      <w:r>
        <w:rPr>
          <w:rFonts w:ascii="Verdana" w:hAnsi="Verdana"/>
          <w:sz w:val="20"/>
          <w:lang w:val="pt-BR"/>
        </w:rPr>
        <w:t xml:space="preserve">                                                   </w:t>
      </w:r>
    </w:p>
    <w:p w14:paraId="1B8CE4B0" w14:textId="77777777" w:rsidR="006030BF" w:rsidRDefault="006030BF" w:rsidP="006030BF">
      <w:pPr>
        <w:spacing w:after="0" w:line="240" w:lineRule="auto"/>
        <w:rPr>
          <w:rFonts w:ascii="Verdana" w:hAnsi="Verdana"/>
          <w:sz w:val="20"/>
          <w:lang w:val="pt-BR"/>
        </w:rPr>
      </w:pPr>
    </w:p>
    <w:p w14:paraId="072DF188" w14:textId="77777777" w:rsidR="006030BF" w:rsidRDefault="006030BF" w:rsidP="006030BF">
      <w:pPr>
        <w:spacing w:after="0" w:line="240" w:lineRule="auto"/>
        <w:rPr>
          <w:rFonts w:ascii="Verdana" w:hAnsi="Verdana"/>
          <w:sz w:val="20"/>
          <w:lang w:val="pt-BR"/>
        </w:rPr>
      </w:pPr>
    </w:p>
    <w:p w14:paraId="0897ADB9" w14:textId="77777777" w:rsidR="006030BF" w:rsidRDefault="006030BF" w:rsidP="006030BF">
      <w:pPr>
        <w:spacing w:after="0" w:line="240" w:lineRule="auto"/>
        <w:rPr>
          <w:rFonts w:ascii="Verdana" w:hAnsi="Verdana"/>
          <w:sz w:val="20"/>
          <w:lang w:val="pt-BR"/>
        </w:rPr>
      </w:pPr>
    </w:p>
    <w:p w14:paraId="3DF05857" w14:textId="77777777" w:rsidR="006030BF" w:rsidRPr="0019261A" w:rsidRDefault="006030BF" w:rsidP="006030BF">
      <w:pPr>
        <w:spacing w:after="0" w:line="240" w:lineRule="auto"/>
        <w:rPr>
          <w:rFonts w:ascii="Verdana" w:hAnsi="Verdana"/>
          <w:sz w:val="20"/>
          <w:lang w:val="pt-BR"/>
        </w:rPr>
      </w:pPr>
      <w:r>
        <w:rPr>
          <w:rFonts w:ascii="Verdana" w:hAnsi="Verdana"/>
          <w:sz w:val="20"/>
          <w:lang w:val="pt-BR"/>
        </w:rPr>
        <w:t>Eugenio Raúl Zaffaroni</w:t>
      </w:r>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Manrique</w:t>
      </w:r>
    </w:p>
    <w:p w14:paraId="4879DC0B" w14:textId="77777777" w:rsidR="006030BF" w:rsidRDefault="006030BF" w:rsidP="006030BF">
      <w:pPr>
        <w:spacing w:after="0" w:line="240" w:lineRule="auto"/>
        <w:jc w:val="both"/>
        <w:rPr>
          <w:rFonts w:ascii="Verdana" w:hAnsi="Verdana"/>
          <w:sz w:val="20"/>
          <w:lang w:val="pt-BR"/>
        </w:rPr>
      </w:pPr>
    </w:p>
    <w:p w14:paraId="05FB750E" w14:textId="77777777" w:rsidR="006030BF" w:rsidRDefault="006030BF" w:rsidP="006030BF">
      <w:pPr>
        <w:spacing w:after="0" w:line="240" w:lineRule="auto"/>
        <w:jc w:val="both"/>
        <w:rPr>
          <w:rFonts w:ascii="Verdana" w:hAnsi="Verdana"/>
          <w:sz w:val="20"/>
          <w:lang w:val="pt-BR"/>
        </w:rPr>
      </w:pPr>
    </w:p>
    <w:p w14:paraId="5F620FB8" w14:textId="77777777" w:rsidR="006030BF" w:rsidRPr="0019261A" w:rsidRDefault="006030BF" w:rsidP="006030BF">
      <w:pPr>
        <w:spacing w:after="0" w:line="240" w:lineRule="auto"/>
        <w:jc w:val="both"/>
        <w:rPr>
          <w:rFonts w:ascii="Verdana" w:hAnsi="Verdana"/>
          <w:sz w:val="20"/>
          <w:lang w:val="pt-BR"/>
        </w:rPr>
      </w:pPr>
    </w:p>
    <w:p w14:paraId="5001ECCB" w14:textId="77777777" w:rsidR="006030BF" w:rsidRPr="00FC4051" w:rsidRDefault="006030BF" w:rsidP="006030BF">
      <w:pPr>
        <w:spacing w:after="0" w:line="240" w:lineRule="auto"/>
        <w:jc w:val="center"/>
        <w:rPr>
          <w:rFonts w:ascii="Verdana" w:hAnsi="Verdana"/>
          <w:sz w:val="20"/>
          <w:lang w:val="pt-BR"/>
        </w:rPr>
      </w:pPr>
      <w:r w:rsidRPr="00FC4051">
        <w:rPr>
          <w:rFonts w:ascii="Verdana" w:hAnsi="Verdana"/>
          <w:sz w:val="20"/>
          <w:lang w:val="pt-BR"/>
        </w:rPr>
        <w:t>Pablo Saavedra Alessandri</w:t>
      </w:r>
    </w:p>
    <w:p w14:paraId="74E6179C" w14:textId="77777777" w:rsidR="006030BF" w:rsidRDefault="006030BF" w:rsidP="006030BF">
      <w:pPr>
        <w:spacing w:after="0" w:line="240" w:lineRule="auto"/>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3A24C325" w14:textId="77777777" w:rsidR="006030BF" w:rsidRPr="00FC4051" w:rsidRDefault="006030BF" w:rsidP="006030BF">
      <w:pPr>
        <w:pStyle w:val="Textonotapie"/>
        <w:rPr>
          <w:rFonts w:ascii="Verdana" w:hAnsi="Verdana"/>
          <w:lang w:val="pt-BR"/>
        </w:rPr>
      </w:pPr>
    </w:p>
    <w:p w14:paraId="2F5F2581" w14:textId="77777777" w:rsidR="006030BF" w:rsidRPr="00FC4051" w:rsidRDefault="006030BF" w:rsidP="006030BF">
      <w:pPr>
        <w:pStyle w:val="Textonotapie"/>
        <w:rPr>
          <w:rFonts w:ascii="Verdana" w:hAnsi="Verdana"/>
          <w:lang w:val="pt-BR"/>
        </w:rPr>
      </w:pPr>
    </w:p>
    <w:p w14:paraId="702E8F24" w14:textId="77777777" w:rsidR="006030BF" w:rsidRPr="00FC4051" w:rsidRDefault="006030BF" w:rsidP="006030BF">
      <w:pPr>
        <w:spacing w:after="0" w:line="240" w:lineRule="auto"/>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14:paraId="45364AA5" w14:textId="77777777" w:rsidR="006030BF" w:rsidRPr="00FC4051" w:rsidRDefault="006030BF" w:rsidP="006030BF">
      <w:pPr>
        <w:spacing w:after="0" w:line="240" w:lineRule="auto"/>
        <w:rPr>
          <w:rFonts w:ascii="Verdana" w:hAnsi="Verdana"/>
          <w:sz w:val="20"/>
          <w:lang w:val="pt-BR"/>
        </w:rPr>
      </w:pPr>
    </w:p>
    <w:p w14:paraId="4EDA6B71" w14:textId="77777777" w:rsidR="006030BF" w:rsidRDefault="006030BF" w:rsidP="006030BF">
      <w:pPr>
        <w:spacing w:after="0" w:line="240" w:lineRule="auto"/>
        <w:jc w:val="center"/>
        <w:rPr>
          <w:rFonts w:ascii="Verdana" w:hAnsi="Verdana"/>
          <w:sz w:val="20"/>
          <w:lang w:val="pt-BR"/>
        </w:rPr>
      </w:pPr>
    </w:p>
    <w:p w14:paraId="2C589D2D" w14:textId="77777777" w:rsidR="006030BF" w:rsidRDefault="006030BF" w:rsidP="006030BF">
      <w:pPr>
        <w:spacing w:after="0" w:line="240" w:lineRule="auto"/>
        <w:jc w:val="center"/>
        <w:rPr>
          <w:rFonts w:ascii="Verdana" w:hAnsi="Verdana"/>
          <w:sz w:val="20"/>
          <w:lang w:val="pt-BR"/>
        </w:rPr>
      </w:pPr>
    </w:p>
    <w:p w14:paraId="5E9299FE" w14:textId="77777777" w:rsidR="006030BF" w:rsidRPr="00FC4051" w:rsidRDefault="006030BF" w:rsidP="006030BF">
      <w:pPr>
        <w:spacing w:after="0" w:line="240" w:lineRule="auto"/>
        <w:jc w:val="right"/>
        <w:rPr>
          <w:rFonts w:ascii="Verdana" w:hAnsi="Verdana"/>
          <w:sz w:val="20"/>
          <w:lang w:val="pt-BR"/>
        </w:rPr>
      </w:pPr>
    </w:p>
    <w:p w14:paraId="392A8C86" w14:textId="77777777" w:rsidR="006030BF" w:rsidRDefault="006030BF" w:rsidP="006030BF">
      <w:pPr>
        <w:spacing w:after="0" w:line="240" w:lineRule="auto"/>
        <w:jc w:val="center"/>
        <w:rPr>
          <w:rFonts w:ascii="Verdana" w:hAnsi="Verdana"/>
          <w:sz w:val="20"/>
          <w:lang w:val="pt-BR"/>
        </w:rPr>
      </w:pPr>
      <w:r>
        <w:rPr>
          <w:rFonts w:ascii="Verdana" w:hAnsi="Verdana"/>
          <w:sz w:val="20"/>
          <w:lang w:val="pt-BR"/>
        </w:rPr>
        <w:t xml:space="preserve">                                                                                              Elizabeth Odio Benito</w:t>
      </w:r>
    </w:p>
    <w:p w14:paraId="305DD60F" w14:textId="77777777" w:rsidR="006030BF" w:rsidRDefault="006030BF" w:rsidP="006030BF">
      <w:pPr>
        <w:spacing w:after="0" w:line="240" w:lineRule="auto"/>
        <w:ind w:left="6480" w:firstLine="720"/>
        <w:rPr>
          <w:rFonts w:ascii="Verdana" w:hAnsi="Verdana"/>
          <w:sz w:val="20"/>
          <w:lang w:val="pt-BR"/>
        </w:rPr>
      </w:pPr>
      <w:r>
        <w:rPr>
          <w:rFonts w:ascii="Verdana" w:hAnsi="Verdana"/>
          <w:sz w:val="20"/>
          <w:lang w:val="pt-BR"/>
        </w:rPr>
        <w:t>Presidenta</w:t>
      </w:r>
    </w:p>
    <w:p w14:paraId="1AE9CE13" w14:textId="77777777" w:rsidR="006030BF" w:rsidRDefault="006030BF" w:rsidP="006030BF">
      <w:pPr>
        <w:spacing w:after="0" w:line="240" w:lineRule="auto"/>
        <w:jc w:val="both"/>
        <w:rPr>
          <w:rFonts w:ascii="Verdana" w:hAnsi="Verdana"/>
          <w:sz w:val="20"/>
          <w:lang w:val="pt-BR"/>
        </w:rPr>
      </w:pPr>
    </w:p>
    <w:p w14:paraId="16937377" w14:textId="77777777" w:rsidR="006030BF" w:rsidRDefault="006030BF" w:rsidP="006030BF">
      <w:pPr>
        <w:spacing w:after="0" w:line="240" w:lineRule="auto"/>
        <w:jc w:val="both"/>
        <w:rPr>
          <w:rFonts w:ascii="Verdana" w:hAnsi="Verdana"/>
          <w:sz w:val="20"/>
          <w:lang w:val="pt-BR"/>
        </w:rPr>
      </w:pPr>
    </w:p>
    <w:p w14:paraId="31C1576D" w14:textId="77777777" w:rsidR="006030BF" w:rsidRPr="00FC4051" w:rsidRDefault="006030BF" w:rsidP="006030BF">
      <w:pPr>
        <w:spacing w:after="0" w:line="240" w:lineRule="auto"/>
        <w:jc w:val="both"/>
        <w:rPr>
          <w:rFonts w:ascii="Verdana" w:hAnsi="Verdana"/>
          <w:sz w:val="20"/>
          <w:lang w:val="pt-BR"/>
        </w:rPr>
      </w:pPr>
    </w:p>
    <w:p w14:paraId="6143B71A" w14:textId="77777777" w:rsidR="006030BF" w:rsidRPr="00FC4051" w:rsidRDefault="006030BF" w:rsidP="006030BF">
      <w:pPr>
        <w:spacing w:after="0" w:line="240" w:lineRule="auto"/>
        <w:jc w:val="both"/>
        <w:rPr>
          <w:rFonts w:ascii="Verdana" w:hAnsi="Verdana"/>
          <w:sz w:val="20"/>
          <w:lang w:val="pt-BR"/>
        </w:rPr>
      </w:pPr>
      <w:r w:rsidRPr="00FC4051">
        <w:rPr>
          <w:rFonts w:ascii="Verdana" w:hAnsi="Verdana"/>
          <w:sz w:val="20"/>
          <w:lang w:val="pt-BR"/>
        </w:rPr>
        <w:t>Pablo Saavedra Alessandri</w:t>
      </w:r>
    </w:p>
    <w:p w14:paraId="7DD45DB9" w14:textId="77777777" w:rsidR="006030BF" w:rsidRPr="005C0DF4" w:rsidRDefault="006030BF" w:rsidP="005C0DF4">
      <w:pPr>
        <w:spacing w:after="0" w:line="240" w:lineRule="auto"/>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sectPr w:rsidR="006030BF" w:rsidRPr="005C0DF4" w:rsidSect="007B219A">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03AB4" w14:textId="77777777" w:rsidR="004B7A41" w:rsidRDefault="004B7A41" w:rsidP="00002BC3">
      <w:pPr>
        <w:spacing w:after="0" w:line="240" w:lineRule="auto"/>
      </w:pPr>
      <w:r>
        <w:separator/>
      </w:r>
    </w:p>
  </w:endnote>
  <w:endnote w:type="continuationSeparator" w:id="0">
    <w:p w14:paraId="09095C95" w14:textId="77777777" w:rsidR="004B7A41" w:rsidRDefault="004B7A41" w:rsidP="00002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Courier New"/>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63124" w14:textId="77777777" w:rsidR="00951B3C" w:rsidRDefault="00951B3C">
    <w:pPr>
      <w:pStyle w:val="Piedepgina"/>
      <w:jc w:val="center"/>
    </w:pPr>
    <w:r>
      <w:fldChar w:fldCharType="begin"/>
    </w:r>
    <w:r>
      <w:instrText>PAGE   \* MERGEFORMAT</w:instrText>
    </w:r>
    <w:r>
      <w:fldChar w:fldCharType="separate"/>
    </w:r>
    <w:r w:rsidR="002F6E68" w:rsidRPr="002F6E68">
      <w:rPr>
        <w:noProof/>
        <w:lang w:val="es-ES"/>
      </w:rPr>
      <w:t>6</w:t>
    </w:r>
    <w:r>
      <w:fldChar w:fldCharType="end"/>
    </w:r>
  </w:p>
  <w:p w14:paraId="7BF80A0A" w14:textId="77777777" w:rsidR="00951B3C" w:rsidRDefault="00951B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D817" w14:textId="77777777" w:rsidR="00126F3F" w:rsidRDefault="00126F3F" w:rsidP="00AD02AA">
    <w:pPr>
      <w:pStyle w:val="Piedepgina"/>
      <w:tabs>
        <w:tab w:val="clear" w:pos="4419"/>
        <w:tab w:val="clear" w:pos="8838"/>
        <w:tab w:val="left" w:pos="79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0DB84" w14:textId="77777777" w:rsidR="004B7A41" w:rsidRDefault="004B7A41" w:rsidP="00002BC3">
      <w:pPr>
        <w:spacing w:after="0" w:line="240" w:lineRule="auto"/>
      </w:pPr>
      <w:r>
        <w:separator/>
      </w:r>
    </w:p>
  </w:footnote>
  <w:footnote w:type="continuationSeparator" w:id="0">
    <w:p w14:paraId="5BC13865" w14:textId="77777777" w:rsidR="004B7A41" w:rsidRDefault="004B7A41" w:rsidP="00002BC3">
      <w:pPr>
        <w:spacing w:after="0" w:line="240" w:lineRule="auto"/>
      </w:pPr>
      <w:r>
        <w:continuationSeparator/>
      </w:r>
    </w:p>
  </w:footnote>
  <w:footnote w:id="1">
    <w:p w14:paraId="6266E063" w14:textId="77777777" w:rsidR="00EC36B9" w:rsidRPr="00EC36B9" w:rsidRDefault="00EC36B9" w:rsidP="00DE6044">
      <w:pPr>
        <w:pStyle w:val="Textonotapie"/>
        <w:tabs>
          <w:tab w:val="left" w:pos="426"/>
        </w:tabs>
        <w:ind w:right="4"/>
        <w:jc w:val="both"/>
        <w:rPr>
          <w:rFonts w:ascii="Verdana" w:hAnsi="Verdana"/>
          <w:color w:val="000000"/>
          <w:sz w:val="16"/>
          <w:szCs w:val="16"/>
          <w:shd w:val="clear" w:color="auto" w:fill="FFFFFF"/>
          <w:lang w:val="es-CR"/>
        </w:rPr>
      </w:pPr>
      <w:r w:rsidRPr="00EC36B9">
        <w:rPr>
          <w:rFonts w:ascii="Verdana" w:hAnsi="Verdana"/>
          <w:iCs/>
          <w:sz w:val="16"/>
          <w:szCs w:val="16"/>
          <w:lang w:val="es-CR"/>
        </w:rPr>
        <w:t>*</w:t>
      </w:r>
      <w:r w:rsidRPr="00EC36B9">
        <w:rPr>
          <w:rFonts w:ascii="Verdana" w:hAnsi="Verdana"/>
          <w:iCs/>
          <w:sz w:val="16"/>
          <w:szCs w:val="16"/>
          <w:lang w:val="es-CR"/>
        </w:rPr>
        <w:tab/>
      </w:r>
      <w:r w:rsidRPr="00EC36B9">
        <w:rPr>
          <w:rFonts w:ascii="Verdana" w:hAnsi="Verdana"/>
          <w:color w:val="000000"/>
          <w:sz w:val="16"/>
          <w:szCs w:val="16"/>
          <w:shd w:val="clear" w:color="auto" w:fill="FFFFFF"/>
          <w:lang w:val="es-CR"/>
        </w:rPr>
        <w:t>Debido a las circunstancias excepcionales ocasionadas por la pandemia COVID-19, esta Resolución fue deliberada y aprobada durante el 135 Período Ordinario de Sesiones, el cual se llevó a cabo de forma no presencial utilizando medios tecnológicos de conformidad con lo establecid</w:t>
      </w:r>
      <w:r>
        <w:rPr>
          <w:rFonts w:ascii="Verdana" w:hAnsi="Verdana"/>
          <w:color w:val="000000"/>
          <w:sz w:val="16"/>
          <w:szCs w:val="16"/>
          <w:shd w:val="clear" w:color="auto" w:fill="FFFFFF"/>
          <w:lang w:val="es-CR"/>
        </w:rPr>
        <w:t>o en el Reglamento de la Corte.</w:t>
      </w:r>
    </w:p>
    <w:p w14:paraId="1FBB2B74" w14:textId="77777777" w:rsidR="00BF7426" w:rsidRPr="00EC36B9" w:rsidRDefault="00BF7426" w:rsidP="00DE6044">
      <w:pPr>
        <w:pStyle w:val="Textonotapie"/>
        <w:tabs>
          <w:tab w:val="left" w:pos="426"/>
        </w:tabs>
        <w:ind w:right="4"/>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ab/>
      </w:r>
      <w:r w:rsidRPr="00721312">
        <w:rPr>
          <w:rFonts w:ascii="Verdana" w:hAnsi="Verdana"/>
          <w:i/>
          <w:sz w:val="16"/>
          <w:szCs w:val="16"/>
          <w:lang w:val="es-CR"/>
        </w:rPr>
        <w:t xml:space="preserve">Cfr. </w:t>
      </w:r>
      <w:r w:rsidRPr="00721312">
        <w:rPr>
          <w:rStyle w:val="Textoennegrita"/>
          <w:rFonts w:ascii="Verdana" w:hAnsi="Verdana"/>
          <w:b w:val="0"/>
          <w:i/>
          <w:color w:val="000000"/>
          <w:sz w:val="16"/>
          <w:szCs w:val="16"/>
          <w:shd w:val="clear" w:color="auto" w:fill="FFFFFF"/>
          <w:lang w:val="es-CR"/>
        </w:rPr>
        <w:t xml:space="preserve">Caso Munárriz Escobar y otros Vs. Perú. Excepción Preliminar, Fondo, Reparaciones y Costas. </w:t>
      </w:r>
      <w:r w:rsidRPr="00721312">
        <w:rPr>
          <w:rStyle w:val="Textoennegrita"/>
          <w:rFonts w:ascii="Verdana" w:hAnsi="Verdana"/>
          <w:b w:val="0"/>
          <w:color w:val="000000"/>
          <w:sz w:val="16"/>
          <w:szCs w:val="16"/>
          <w:shd w:val="clear" w:color="auto" w:fill="FFFFFF"/>
          <w:lang w:val="es-CR"/>
        </w:rPr>
        <w:t>Sentencia de 20 de agosto de 2018. Serie C No. 355. El texto íntegro de la Sentencia se encuentra disponible en:</w:t>
      </w:r>
      <w:r w:rsidRPr="00721312">
        <w:rPr>
          <w:rFonts w:ascii="Verdana" w:hAnsi="Verdana"/>
          <w:sz w:val="16"/>
          <w:szCs w:val="16"/>
          <w:lang w:val="es-CR"/>
        </w:rPr>
        <w:t xml:space="preserve"> </w:t>
      </w:r>
      <w:hyperlink r:id="rId1" w:history="1">
        <w:r w:rsidRPr="00721312">
          <w:rPr>
            <w:rStyle w:val="Hipervnculo"/>
            <w:rFonts w:ascii="Verdana" w:hAnsi="Verdana"/>
            <w:sz w:val="16"/>
            <w:szCs w:val="16"/>
            <w:lang w:val="es-CR"/>
          </w:rPr>
          <w:t>http://www.corteidh.or.cr/docs/casos/articulos/seriec_355_esp.pdf</w:t>
        </w:r>
      </w:hyperlink>
      <w:r w:rsidRPr="00721312">
        <w:rPr>
          <w:rStyle w:val="Textoennegrita"/>
          <w:rFonts w:ascii="Verdana" w:hAnsi="Verdana"/>
          <w:b w:val="0"/>
          <w:color w:val="000000"/>
          <w:sz w:val="16"/>
          <w:szCs w:val="16"/>
          <w:shd w:val="clear" w:color="auto" w:fill="FFFFFF"/>
          <w:lang w:val="es-CR"/>
        </w:rPr>
        <w:t xml:space="preserve">. La Sentencia fue </w:t>
      </w:r>
      <w:r w:rsidR="00EB6306" w:rsidRPr="00721312">
        <w:rPr>
          <w:rStyle w:val="Textoennegrita"/>
          <w:rFonts w:ascii="Verdana" w:hAnsi="Verdana"/>
          <w:b w:val="0"/>
          <w:color w:val="000000"/>
          <w:sz w:val="16"/>
          <w:szCs w:val="16"/>
          <w:shd w:val="clear" w:color="auto" w:fill="FFFFFF"/>
          <w:lang w:val="es-CR"/>
        </w:rPr>
        <w:t>notificada</w:t>
      </w:r>
      <w:r w:rsidRPr="00721312">
        <w:rPr>
          <w:rStyle w:val="Textoennegrita"/>
          <w:rFonts w:ascii="Verdana" w:hAnsi="Verdana"/>
          <w:b w:val="0"/>
          <w:color w:val="000000"/>
          <w:sz w:val="16"/>
          <w:szCs w:val="16"/>
          <w:shd w:val="clear" w:color="auto" w:fill="FFFFFF"/>
          <w:lang w:val="es-CR"/>
        </w:rPr>
        <w:t xml:space="preserve"> al Estado el 1 de octubre de 2018.</w:t>
      </w:r>
    </w:p>
  </w:footnote>
  <w:footnote w:id="2">
    <w:p w14:paraId="6A7ED3C9" w14:textId="77777777" w:rsidR="00BF7426" w:rsidRPr="00721312" w:rsidRDefault="00BF7426" w:rsidP="00DE6044">
      <w:pPr>
        <w:pStyle w:val="Textonotapie"/>
        <w:tabs>
          <w:tab w:val="left" w:pos="426"/>
        </w:tabs>
        <w:ind w:right="4"/>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t xml:space="preserve">Dichos familiares son: su madre Gladys Escobar Candiotti y sus hermanos Eric, Gladys, Amparo, Junior y Alain Munárriz Escobar. </w:t>
      </w:r>
      <w:r w:rsidRPr="00721312">
        <w:rPr>
          <w:rFonts w:ascii="Verdana" w:hAnsi="Verdana"/>
          <w:i/>
          <w:sz w:val="16"/>
          <w:szCs w:val="16"/>
          <w:lang w:val="es-CR"/>
        </w:rPr>
        <w:t xml:space="preserve">Cfr. </w:t>
      </w:r>
      <w:r w:rsidRPr="00721312">
        <w:rPr>
          <w:rStyle w:val="Textoennegrita"/>
          <w:rFonts w:ascii="Verdana" w:hAnsi="Verdana"/>
          <w:b w:val="0"/>
          <w:i/>
          <w:color w:val="000000"/>
          <w:sz w:val="16"/>
          <w:szCs w:val="16"/>
          <w:shd w:val="clear" w:color="auto" w:fill="FFFFFF"/>
          <w:lang w:val="es-CR"/>
        </w:rPr>
        <w:t xml:space="preserve">Caso Munárriz Escobar y otros Vs. Perú, supra </w:t>
      </w:r>
      <w:r w:rsidRPr="00721312">
        <w:rPr>
          <w:rStyle w:val="Textoennegrita"/>
          <w:rFonts w:ascii="Verdana" w:hAnsi="Verdana"/>
          <w:b w:val="0"/>
          <w:color w:val="000000"/>
          <w:sz w:val="16"/>
          <w:szCs w:val="16"/>
          <w:shd w:val="clear" w:color="auto" w:fill="FFFFFF"/>
          <w:lang w:val="es-CR"/>
        </w:rPr>
        <w:t>nota 1,</w:t>
      </w:r>
      <w:r w:rsidRPr="00721312">
        <w:rPr>
          <w:rFonts w:ascii="Verdana" w:hAnsi="Verdana"/>
          <w:sz w:val="16"/>
          <w:szCs w:val="16"/>
          <w:lang w:val="es-CR"/>
        </w:rPr>
        <w:t xml:space="preserve"> párr. 118.</w:t>
      </w:r>
    </w:p>
  </w:footnote>
  <w:footnote w:id="3">
    <w:p w14:paraId="1E8FAD46" w14:textId="77777777" w:rsidR="00465669" w:rsidRPr="00721312" w:rsidRDefault="00465669" w:rsidP="00DE6044">
      <w:pPr>
        <w:pStyle w:val="Textonotapie"/>
        <w:tabs>
          <w:tab w:val="left" w:pos="426"/>
        </w:tabs>
        <w:ind w:right="4"/>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r>
      <w:r w:rsidRPr="00721312">
        <w:rPr>
          <w:rStyle w:val="Textoennegrita"/>
          <w:rFonts w:ascii="Verdana" w:hAnsi="Verdana"/>
          <w:b w:val="0"/>
          <w:color w:val="000000"/>
          <w:sz w:val="16"/>
          <w:szCs w:val="16"/>
          <w:shd w:val="clear" w:color="auto" w:fill="FFFFFF"/>
          <w:lang w:val="es-CR"/>
        </w:rPr>
        <w:t xml:space="preserve">Disponible en: </w:t>
      </w:r>
      <w:hyperlink r:id="rId2" w:history="1">
        <w:r w:rsidRPr="00721312">
          <w:rPr>
            <w:rStyle w:val="Hipervnculo"/>
            <w:rFonts w:ascii="Verdana" w:hAnsi="Verdana"/>
            <w:sz w:val="16"/>
            <w:szCs w:val="16"/>
            <w:lang w:val="es-CR"/>
          </w:rPr>
          <w:t>http://www.corteidh.or.cr/docs/supervisiones/munarriz_14_05_19.pdf</w:t>
        </w:r>
      </w:hyperlink>
      <w:r w:rsidR="007B219A" w:rsidRPr="00DE6044">
        <w:rPr>
          <w:rFonts w:ascii="Verdana" w:hAnsi="Verdana"/>
          <w:sz w:val="16"/>
          <w:szCs w:val="16"/>
          <w:lang w:val="es-CR"/>
        </w:rPr>
        <w:t>.</w:t>
      </w:r>
    </w:p>
  </w:footnote>
  <w:footnote w:id="4">
    <w:p w14:paraId="08F71573" w14:textId="77777777" w:rsidR="005A6FB4" w:rsidRPr="00721312" w:rsidRDefault="005A6FB4" w:rsidP="00DE6044">
      <w:pPr>
        <w:pStyle w:val="Textonotapie"/>
        <w:tabs>
          <w:tab w:val="left" w:pos="426"/>
        </w:tabs>
        <w:ind w:right="4"/>
        <w:jc w:val="both"/>
        <w:rPr>
          <w:rFonts w:ascii="Verdana" w:hAnsi="Verdana"/>
          <w:sz w:val="16"/>
          <w:szCs w:val="16"/>
          <w:lang w:val="es-CR"/>
        </w:rPr>
      </w:pPr>
      <w:r w:rsidRPr="00721312">
        <w:rPr>
          <w:rStyle w:val="Refdenotaalpie"/>
          <w:rFonts w:ascii="Verdana" w:hAnsi="Verdana"/>
          <w:sz w:val="16"/>
          <w:szCs w:val="16"/>
        </w:rPr>
        <w:footnoteRef/>
      </w:r>
      <w:r w:rsidR="00DE5E2B">
        <w:rPr>
          <w:rStyle w:val="Textoennegrita"/>
          <w:rFonts w:ascii="Verdana" w:hAnsi="Verdana"/>
          <w:b w:val="0"/>
          <w:color w:val="000000"/>
          <w:sz w:val="16"/>
          <w:szCs w:val="16"/>
          <w:shd w:val="clear" w:color="auto" w:fill="FFFFFF"/>
          <w:lang w:val="es-CR"/>
        </w:rPr>
        <w:t xml:space="preserve"> </w:t>
      </w:r>
      <w:r w:rsidR="00DE5E2B">
        <w:rPr>
          <w:rStyle w:val="Textoennegrita"/>
          <w:rFonts w:ascii="Verdana" w:hAnsi="Verdana"/>
          <w:b w:val="0"/>
          <w:color w:val="000000"/>
          <w:sz w:val="16"/>
          <w:szCs w:val="16"/>
          <w:shd w:val="clear" w:color="auto" w:fill="FFFFFF"/>
          <w:lang w:val="es-CR"/>
        </w:rPr>
        <w:tab/>
      </w:r>
      <w:r w:rsidRPr="00721312">
        <w:rPr>
          <w:rStyle w:val="Textoennegrita"/>
          <w:rFonts w:ascii="Verdana" w:hAnsi="Verdana"/>
          <w:b w:val="0"/>
          <w:color w:val="000000"/>
          <w:sz w:val="16"/>
          <w:szCs w:val="16"/>
          <w:shd w:val="clear" w:color="auto" w:fill="FFFFFF"/>
          <w:lang w:val="es-CR"/>
        </w:rPr>
        <w:t xml:space="preserve">Disponible en: </w:t>
      </w:r>
      <w:hyperlink r:id="rId3" w:history="1">
        <w:r w:rsidRPr="00721312">
          <w:rPr>
            <w:rStyle w:val="Hipervnculo"/>
            <w:rFonts w:ascii="Verdana" w:hAnsi="Verdana"/>
            <w:sz w:val="16"/>
            <w:szCs w:val="16"/>
            <w:lang w:val="es-CR"/>
          </w:rPr>
          <w:t>http://www.corteidh.or.cr/docs/asuntos/munarriz_fv_19.pdf</w:t>
        </w:r>
      </w:hyperlink>
    </w:p>
  </w:footnote>
  <w:footnote w:id="5">
    <w:p w14:paraId="09FE870A" w14:textId="77777777" w:rsidR="00BF7426" w:rsidRPr="00721312" w:rsidRDefault="00BF7426" w:rsidP="00721312">
      <w:pPr>
        <w:pStyle w:val="Textonotapie"/>
        <w:tabs>
          <w:tab w:val="left" w:pos="426"/>
        </w:tabs>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t>Las víctimas del presente caso son representadas por la Comisión de Derechos Humanos (COMISEDH).</w:t>
      </w:r>
    </w:p>
  </w:footnote>
  <w:footnote w:id="6">
    <w:p w14:paraId="048F4F32" w14:textId="77777777" w:rsidR="00BF7426" w:rsidRPr="00721312" w:rsidRDefault="00BF7426" w:rsidP="00721312">
      <w:pPr>
        <w:pStyle w:val="Textonotapie"/>
        <w:tabs>
          <w:tab w:val="left" w:pos="426"/>
        </w:tabs>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ab/>
        <w:t xml:space="preserve">Facultad que además </w:t>
      </w:r>
      <w:r w:rsidRPr="00721312">
        <w:rPr>
          <w:rFonts w:ascii="Verdana" w:hAnsi="Verdana"/>
          <w:sz w:val="16"/>
          <w:szCs w:val="16"/>
          <w:lang w:val="es-ES"/>
        </w:rPr>
        <w:t xml:space="preserve">se desprende de lo dispuesto en los artículos 33, 62.1, 62.3 y 65 de la Convención Americana y </w:t>
      </w:r>
      <w:r w:rsidRPr="00721312">
        <w:rPr>
          <w:rFonts w:ascii="Verdana" w:hAnsi="Verdana"/>
          <w:sz w:val="16"/>
          <w:szCs w:val="16"/>
          <w:lang w:val="es-CR"/>
        </w:rPr>
        <w:t>30 de su Estatuto y se encuentra regulada en el artículo 69 de su Reglamento.</w:t>
      </w:r>
    </w:p>
  </w:footnote>
  <w:footnote w:id="7">
    <w:p w14:paraId="08DDEC5C" w14:textId="77777777" w:rsidR="00BF7426" w:rsidRPr="0040203C" w:rsidRDefault="00BF7426" w:rsidP="00721312">
      <w:pPr>
        <w:pStyle w:val="Textonotapie"/>
        <w:tabs>
          <w:tab w:val="left" w:pos="426"/>
        </w:tabs>
        <w:ind w:right="4"/>
        <w:jc w:val="both"/>
        <w:rPr>
          <w:rFonts w:ascii="Verdana" w:hAnsi="Verdana"/>
          <w:color w:val="000000"/>
          <w:sz w:val="16"/>
          <w:szCs w:val="16"/>
          <w:lang w:val="es-AR"/>
        </w:rPr>
      </w:pPr>
      <w:r w:rsidRPr="00721312">
        <w:rPr>
          <w:rStyle w:val="Refdenotaalpie"/>
          <w:rFonts w:ascii="Verdana" w:hAnsi="Verdana"/>
          <w:sz w:val="16"/>
          <w:szCs w:val="16"/>
        </w:rPr>
        <w:footnoteRef/>
      </w:r>
      <w:r w:rsidRPr="00721312">
        <w:rPr>
          <w:rFonts w:ascii="Verdana" w:hAnsi="Verdana"/>
          <w:i/>
          <w:color w:val="000000"/>
          <w:sz w:val="16"/>
          <w:szCs w:val="16"/>
          <w:lang w:val="es-AR"/>
        </w:rPr>
        <w:tab/>
        <w:t xml:space="preserve">Cfr. Caso Cinco Pensionistas Vs. Perú. Supervisión de cumplimiento de Sentencia. </w:t>
      </w:r>
      <w:r w:rsidRPr="00721312">
        <w:rPr>
          <w:rFonts w:ascii="Verdana" w:hAnsi="Verdana"/>
          <w:color w:val="000000"/>
          <w:sz w:val="16"/>
          <w:szCs w:val="16"/>
          <w:lang w:val="es-AR"/>
        </w:rPr>
        <w:t xml:space="preserve">Resolución de la Corte </w:t>
      </w:r>
      <w:r w:rsidR="00955E1E" w:rsidRPr="00721312">
        <w:rPr>
          <w:rFonts w:ascii="Verdana" w:hAnsi="Verdana"/>
          <w:color w:val="000000"/>
          <w:sz w:val="16"/>
          <w:szCs w:val="16"/>
          <w:lang w:val="es-AR"/>
        </w:rPr>
        <w:t xml:space="preserve">Interamericana de Derechos Humanos </w:t>
      </w:r>
      <w:r w:rsidRPr="00721312">
        <w:rPr>
          <w:rFonts w:ascii="Verdana" w:hAnsi="Verdana"/>
          <w:color w:val="000000"/>
          <w:sz w:val="16"/>
          <w:szCs w:val="16"/>
          <w:lang w:val="es-AR"/>
        </w:rPr>
        <w:t xml:space="preserve">de 17 de noviembre de 2004, Considerando 5, y </w:t>
      </w:r>
      <w:r w:rsidR="006B4464" w:rsidRPr="00721312">
        <w:rPr>
          <w:rStyle w:val="Textoennegrita"/>
          <w:rFonts w:ascii="Verdana" w:hAnsi="Verdana"/>
          <w:b w:val="0"/>
          <w:color w:val="000000"/>
          <w:sz w:val="16"/>
          <w:szCs w:val="16"/>
          <w:shd w:val="clear" w:color="auto" w:fill="FFFFFF"/>
          <w:lang w:val="es-CR"/>
        </w:rPr>
        <w:t>C</w:t>
      </w:r>
      <w:r w:rsidR="006B4464" w:rsidRPr="00721312">
        <w:rPr>
          <w:rStyle w:val="Textoennegrita"/>
          <w:rFonts w:ascii="Verdana" w:hAnsi="Verdana"/>
          <w:b w:val="0"/>
          <w:i/>
          <w:color w:val="000000"/>
          <w:sz w:val="16"/>
          <w:szCs w:val="16"/>
          <w:shd w:val="clear" w:color="auto" w:fill="FFFFFF"/>
          <w:lang w:val="es-CR"/>
        </w:rPr>
        <w:t xml:space="preserve">aso </w:t>
      </w:r>
      <w:r w:rsidR="00F66599">
        <w:rPr>
          <w:rStyle w:val="Textoennegrita"/>
          <w:rFonts w:ascii="Verdana" w:hAnsi="Verdana"/>
          <w:b w:val="0"/>
          <w:i/>
          <w:color w:val="000000"/>
          <w:sz w:val="16"/>
          <w:szCs w:val="16"/>
          <w:shd w:val="clear" w:color="auto" w:fill="FFFFFF"/>
          <w:lang w:val="es-CR"/>
        </w:rPr>
        <w:t>Cabrera García y Montiel Flores</w:t>
      </w:r>
      <w:r w:rsidR="006B4464" w:rsidRPr="00721312">
        <w:rPr>
          <w:rStyle w:val="Textoennegrita"/>
          <w:rFonts w:ascii="Verdana" w:hAnsi="Verdana"/>
          <w:b w:val="0"/>
          <w:i/>
          <w:color w:val="000000"/>
          <w:sz w:val="16"/>
          <w:szCs w:val="16"/>
          <w:shd w:val="clear" w:color="auto" w:fill="FFFFFF"/>
          <w:lang w:val="es-CR"/>
        </w:rPr>
        <w:t xml:space="preserve"> Vs. </w:t>
      </w:r>
      <w:r w:rsidR="00F66599">
        <w:rPr>
          <w:rStyle w:val="Textoennegrita"/>
          <w:rFonts w:ascii="Verdana" w:hAnsi="Verdana"/>
          <w:b w:val="0"/>
          <w:i/>
          <w:color w:val="000000"/>
          <w:sz w:val="16"/>
          <w:szCs w:val="16"/>
          <w:shd w:val="clear" w:color="auto" w:fill="FFFFFF"/>
          <w:lang w:val="es-CR"/>
        </w:rPr>
        <w:t>México</w:t>
      </w:r>
      <w:r w:rsidR="006B4464" w:rsidRPr="00721312">
        <w:rPr>
          <w:rStyle w:val="Textoennegrita"/>
          <w:rFonts w:ascii="Verdana" w:hAnsi="Verdana"/>
          <w:b w:val="0"/>
          <w:i/>
          <w:color w:val="000000"/>
          <w:sz w:val="16"/>
          <w:szCs w:val="16"/>
          <w:shd w:val="clear" w:color="auto" w:fill="FFFFFF"/>
          <w:lang w:val="es-CR"/>
        </w:rPr>
        <w:t>. Supervisión de Cumplimiento de Sentencia</w:t>
      </w:r>
      <w:r w:rsidR="006B4464" w:rsidRPr="00721312">
        <w:rPr>
          <w:rStyle w:val="Textoennegrita"/>
          <w:rFonts w:ascii="Verdana" w:hAnsi="Verdana"/>
          <w:b w:val="0"/>
          <w:color w:val="000000"/>
          <w:sz w:val="16"/>
          <w:szCs w:val="16"/>
          <w:shd w:val="clear" w:color="auto" w:fill="FFFFFF"/>
          <w:lang w:val="es-CR"/>
        </w:rPr>
        <w:t xml:space="preserve">. Resolución de la Corte Interamericana de Derechos Humanos de </w:t>
      </w:r>
      <w:r w:rsidR="00F66599">
        <w:rPr>
          <w:rStyle w:val="Textoennegrita"/>
          <w:rFonts w:ascii="Verdana" w:hAnsi="Verdana"/>
          <w:b w:val="0"/>
          <w:color w:val="000000"/>
          <w:sz w:val="16"/>
          <w:szCs w:val="16"/>
          <w:shd w:val="clear" w:color="auto" w:fill="FFFFFF"/>
          <w:lang w:val="es-CR"/>
        </w:rPr>
        <w:t>24 de junio de 2020</w:t>
      </w:r>
      <w:r w:rsidR="006B4464" w:rsidRPr="00721312">
        <w:rPr>
          <w:rFonts w:ascii="Verdana" w:hAnsi="Verdana"/>
          <w:color w:val="000000"/>
          <w:sz w:val="16"/>
          <w:szCs w:val="16"/>
          <w:lang w:val="es-AR"/>
        </w:rPr>
        <w:t xml:space="preserve">, Considerando </w:t>
      </w:r>
      <w:r w:rsidR="0040203C">
        <w:rPr>
          <w:rFonts w:ascii="Verdana" w:hAnsi="Verdana"/>
          <w:color w:val="000000"/>
          <w:sz w:val="16"/>
          <w:szCs w:val="16"/>
          <w:lang w:val="es-AR"/>
        </w:rPr>
        <w:t>2</w:t>
      </w:r>
      <w:r w:rsidRPr="00721312">
        <w:rPr>
          <w:rStyle w:val="Textoennegrita"/>
          <w:rFonts w:ascii="Verdana" w:hAnsi="Verdana"/>
          <w:b w:val="0"/>
          <w:color w:val="000000"/>
          <w:sz w:val="16"/>
          <w:szCs w:val="16"/>
          <w:shd w:val="clear" w:color="auto" w:fill="FFFFFF"/>
          <w:lang w:val="es-CR"/>
        </w:rPr>
        <w:t>.</w:t>
      </w:r>
    </w:p>
  </w:footnote>
  <w:footnote w:id="8">
    <w:p w14:paraId="44C14BEE" w14:textId="77777777" w:rsidR="00BF7426" w:rsidRPr="00721312" w:rsidRDefault="00BF7426" w:rsidP="00721312">
      <w:pPr>
        <w:pStyle w:val="Textonotapie"/>
        <w:tabs>
          <w:tab w:val="left" w:pos="426"/>
        </w:tabs>
        <w:ind w:right="4"/>
        <w:jc w:val="both"/>
        <w:rPr>
          <w:rFonts w:ascii="Verdana" w:hAnsi="Verdana"/>
          <w:b/>
          <w:color w:val="000000"/>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ab/>
      </w:r>
      <w:r w:rsidRPr="00721312">
        <w:rPr>
          <w:rFonts w:ascii="Verdana" w:hAnsi="Verdana"/>
          <w:i/>
          <w:sz w:val="16"/>
          <w:szCs w:val="16"/>
          <w:lang w:val="es-CR"/>
        </w:rPr>
        <w:t>Cfr. Caso Ivcher Bronstein Vs. Perú. Competencia</w:t>
      </w:r>
      <w:r w:rsidRPr="00721312">
        <w:rPr>
          <w:rFonts w:ascii="Verdana" w:hAnsi="Verdana"/>
          <w:sz w:val="16"/>
          <w:szCs w:val="16"/>
          <w:lang w:val="es-CR"/>
        </w:rPr>
        <w:t>. Sentencia de la Corte Interamericana de Derechos Humanos de 24 de septiembre de 1999. Serie C No. 54, párr. 37, y</w:t>
      </w:r>
      <w:r w:rsidRPr="00721312">
        <w:rPr>
          <w:rFonts w:ascii="Verdana" w:hAnsi="Verdana"/>
          <w:i/>
          <w:color w:val="000000"/>
          <w:sz w:val="16"/>
          <w:szCs w:val="16"/>
          <w:lang w:val="es-AR"/>
        </w:rPr>
        <w:t xml:space="preserve"> </w:t>
      </w:r>
      <w:r w:rsidR="006B4464" w:rsidRPr="00721312">
        <w:rPr>
          <w:rStyle w:val="Textoennegrita"/>
          <w:rFonts w:ascii="Verdana" w:hAnsi="Verdana"/>
          <w:b w:val="0"/>
          <w:color w:val="000000"/>
          <w:sz w:val="16"/>
          <w:szCs w:val="16"/>
          <w:shd w:val="clear" w:color="auto" w:fill="FFFFFF"/>
          <w:lang w:val="es-CR"/>
        </w:rPr>
        <w:t>C</w:t>
      </w:r>
      <w:r w:rsidR="006B4464" w:rsidRPr="00721312">
        <w:rPr>
          <w:rStyle w:val="Textoennegrita"/>
          <w:rFonts w:ascii="Verdana" w:hAnsi="Verdana"/>
          <w:b w:val="0"/>
          <w:i/>
          <w:color w:val="000000"/>
          <w:sz w:val="16"/>
          <w:szCs w:val="16"/>
          <w:shd w:val="clear" w:color="auto" w:fill="FFFFFF"/>
          <w:lang w:val="es-CR"/>
        </w:rPr>
        <w:t xml:space="preserve">aso </w:t>
      </w:r>
      <w:r w:rsidR="00F66599">
        <w:rPr>
          <w:rStyle w:val="Textoennegrita"/>
          <w:rFonts w:ascii="Verdana" w:hAnsi="Verdana"/>
          <w:b w:val="0"/>
          <w:i/>
          <w:color w:val="000000"/>
          <w:sz w:val="16"/>
          <w:szCs w:val="16"/>
          <w:shd w:val="clear" w:color="auto" w:fill="FFFFFF"/>
          <w:lang w:val="es-CR"/>
        </w:rPr>
        <w:t>Cabrera García y Montiel Flores</w:t>
      </w:r>
      <w:r w:rsidR="006B4464" w:rsidRPr="00721312">
        <w:rPr>
          <w:rStyle w:val="Textoennegrita"/>
          <w:rFonts w:ascii="Verdana" w:hAnsi="Verdana"/>
          <w:b w:val="0"/>
          <w:i/>
          <w:color w:val="000000"/>
          <w:sz w:val="16"/>
          <w:szCs w:val="16"/>
          <w:shd w:val="clear" w:color="auto" w:fill="FFFFFF"/>
          <w:lang w:val="es-CR"/>
        </w:rPr>
        <w:t xml:space="preserve"> Vs. </w:t>
      </w:r>
      <w:r w:rsidR="00F66599">
        <w:rPr>
          <w:rStyle w:val="Textoennegrita"/>
          <w:rFonts w:ascii="Verdana" w:hAnsi="Verdana"/>
          <w:b w:val="0"/>
          <w:i/>
          <w:color w:val="000000"/>
          <w:sz w:val="16"/>
          <w:szCs w:val="16"/>
          <w:shd w:val="clear" w:color="auto" w:fill="FFFFFF"/>
          <w:lang w:val="es-CR"/>
        </w:rPr>
        <w:t>México</w:t>
      </w:r>
      <w:r w:rsidRPr="00721312">
        <w:rPr>
          <w:rFonts w:ascii="Verdana" w:hAnsi="Verdana"/>
          <w:i/>
          <w:color w:val="000000"/>
          <w:sz w:val="16"/>
          <w:szCs w:val="16"/>
          <w:lang w:val="es-AR"/>
        </w:rPr>
        <w:t xml:space="preserve">, supra </w:t>
      </w:r>
      <w:r w:rsidR="006B4464" w:rsidRPr="00721312">
        <w:rPr>
          <w:rFonts w:ascii="Verdana" w:hAnsi="Verdana"/>
          <w:color w:val="000000"/>
          <w:sz w:val="16"/>
          <w:szCs w:val="16"/>
          <w:lang w:val="es-AR"/>
        </w:rPr>
        <w:t xml:space="preserve">nota </w:t>
      </w:r>
      <w:r w:rsidR="00955E1E" w:rsidRPr="00721312">
        <w:rPr>
          <w:rFonts w:ascii="Verdana" w:hAnsi="Verdana"/>
          <w:color w:val="000000"/>
          <w:sz w:val="16"/>
          <w:szCs w:val="16"/>
          <w:lang w:val="es-AR"/>
        </w:rPr>
        <w:t>7</w:t>
      </w:r>
      <w:r w:rsidRPr="00721312">
        <w:rPr>
          <w:rFonts w:ascii="Verdana" w:hAnsi="Verdana"/>
          <w:color w:val="000000"/>
          <w:sz w:val="16"/>
          <w:szCs w:val="16"/>
          <w:lang w:val="es-AR"/>
        </w:rPr>
        <w:t>, Considerando 2</w:t>
      </w:r>
      <w:r w:rsidRPr="00721312">
        <w:rPr>
          <w:rStyle w:val="Textoennegrita"/>
          <w:rFonts w:ascii="Verdana" w:hAnsi="Verdana"/>
          <w:b w:val="0"/>
          <w:color w:val="000000"/>
          <w:sz w:val="16"/>
          <w:szCs w:val="16"/>
          <w:shd w:val="clear" w:color="auto" w:fill="FFFFFF"/>
          <w:lang w:val="es-CR"/>
        </w:rPr>
        <w:t xml:space="preserve">. </w:t>
      </w:r>
    </w:p>
  </w:footnote>
  <w:footnote w:id="9">
    <w:p w14:paraId="468AC061" w14:textId="77777777" w:rsidR="0020343C" w:rsidRPr="00721312" w:rsidRDefault="0020343C" w:rsidP="00721312">
      <w:pPr>
        <w:pStyle w:val="Textonotapie"/>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r>
      <w:r w:rsidRPr="00721312">
        <w:rPr>
          <w:rFonts w:ascii="Verdana" w:hAnsi="Verdana"/>
          <w:i/>
          <w:sz w:val="16"/>
          <w:szCs w:val="16"/>
          <w:lang w:val="es-CR"/>
        </w:rPr>
        <w:t>Cfr.</w:t>
      </w:r>
      <w:r w:rsidRPr="00721312">
        <w:rPr>
          <w:rFonts w:ascii="Verdana" w:hAnsi="Verdana"/>
          <w:sz w:val="16"/>
          <w:szCs w:val="16"/>
          <w:lang w:val="es-CR"/>
        </w:rPr>
        <w:t xml:space="preserve"> Informes estatales de 30 de mayo y 3 de octubre de 2019.</w:t>
      </w:r>
    </w:p>
  </w:footnote>
  <w:footnote w:id="10">
    <w:p w14:paraId="540317B0" w14:textId="77777777" w:rsidR="0020343C" w:rsidRPr="00721312" w:rsidRDefault="0020343C" w:rsidP="00721312">
      <w:pPr>
        <w:pStyle w:val="Textonotapie"/>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t>Los representantes de las víctimas “</w:t>
      </w:r>
      <w:r w:rsidR="00440553" w:rsidRPr="00721312">
        <w:rPr>
          <w:rFonts w:ascii="Verdana" w:hAnsi="Verdana"/>
          <w:sz w:val="16"/>
          <w:szCs w:val="16"/>
          <w:lang w:val="es-CR"/>
        </w:rPr>
        <w:t>confirma[ron] que efectivamente la ceremonia de reconocimiento de responsabilidad internacional fue realizada el día 03 de mayo de 2019</w:t>
      </w:r>
      <w:r w:rsidR="00B95FAE" w:rsidRPr="00721312">
        <w:rPr>
          <w:rFonts w:ascii="Verdana" w:hAnsi="Verdana"/>
          <w:sz w:val="16"/>
          <w:szCs w:val="16"/>
          <w:lang w:val="es-CR"/>
        </w:rPr>
        <w:t>”</w:t>
      </w:r>
      <w:r w:rsidR="00440553" w:rsidRPr="00721312">
        <w:rPr>
          <w:rFonts w:ascii="Verdana" w:hAnsi="Verdana"/>
          <w:sz w:val="16"/>
          <w:szCs w:val="16"/>
          <w:lang w:val="es-CR"/>
        </w:rPr>
        <w:t>.</w:t>
      </w:r>
      <w:r w:rsidR="00B95FAE" w:rsidRPr="00721312">
        <w:rPr>
          <w:rFonts w:ascii="Verdana" w:hAnsi="Verdana"/>
          <w:sz w:val="16"/>
          <w:szCs w:val="16"/>
          <w:lang w:val="es-CR"/>
        </w:rPr>
        <w:t xml:space="preserve"> </w:t>
      </w:r>
      <w:r w:rsidR="00B95FAE" w:rsidRPr="00721312">
        <w:rPr>
          <w:rFonts w:ascii="Verdana" w:hAnsi="Verdana"/>
          <w:i/>
          <w:iCs/>
          <w:sz w:val="16"/>
          <w:szCs w:val="16"/>
          <w:lang w:val="es-CR"/>
        </w:rPr>
        <w:t>Cfr</w:t>
      </w:r>
      <w:r w:rsidR="00B95FAE" w:rsidRPr="00721312">
        <w:rPr>
          <w:rFonts w:ascii="Verdana" w:hAnsi="Verdana"/>
          <w:sz w:val="16"/>
          <w:szCs w:val="16"/>
          <w:lang w:val="es-CR"/>
        </w:rPr>
        <w:t>. Escritos de observaciones de los representantes de 17 de agosto y 16 de diciembre de 2019.</w:t>
      </w:r>
    </w:p>
  </w:footnote>
  <w:footnote w:id="11">
    <w:p w14:paraId="15B09B99" w14:textId="77777777" w:rsidR="00356AFC" w:rsidRPr="00721312" w:rsidRDefault="00356AFC" w:rsidP="00721312">
      <w:pPr>
        <w:pStyle w:val="Textonotapie"/>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t>El Estado indicó que en el marco de las reuniones celebradas “con la finalidad de acordar la modalidad de</w:t>
      </w:r>
      <w:r w:rsidR="000F184C">
        <w:rPr>
          <w:rFonts w:ascii="Verdana" w:hAnsi="Verdana"/>
          <w:sz w:val="16"/>
          <w:szCs w:val="16"/>
          <w:lang w:val="es-CR"/>
        </w:rPr>
        <w:t>l</w:t>
      </w:r>
      <w:r w:rsidRPr="00721312">
        <w:rPr>
          <w:rFonts w:ascii="Verdana" w:hAnsi="Verdana"/>
          <w:sz w:val="16"/>
          <w:szCs w:val="16"/>
          <w:lang w:val="es-CR"/>
        </w:rPr>
        <w:t xml:space="preserve"> cumplimiento” de esta medida, los beneficiarios de la Sentencia manifestaron su voluntad de que este acto se realizara de manera privada. </w:t>
      </w:r>
      <w:r w:rsidR="005B4B03" w:rsidRPr="00721312">
        <w:rPr>
          <w:rFonts w:ascii="Verdana" w:hAnsi="Verdana"/>
          <w:sz w:val="16"/>
          <w:szCs w:val="16"/>
          <w:lang w:val="es-CR"/>
        </w:rPr>
        <w:t>En el mismo sentido, los representantes señalaron que en las referidas reuniones se acordó, entre otras cosas, que “[l]a ceremonia se realizaría de manera privada, respetando los deseos de los familiares de la víctima”</w:t>
      </w:r>
      <w:r w:rsidR="002A4FA1">
        <w:rPr>
          <w:rFonts w:ascii="Verdana" w:hAnsi="Verdana"/>
          <w:sz w:val="16"/>
          <w:szCs w:val="16"/>
          <w:lang w:val="es-CR"/>
        </w:rPr>
        <w:t xml:space="preserve"> “debido a [su] persistente temor […] de sufrir represalias”</w:t>
      </w:r>
      <w:r w:rsidR="005B4B03" w:rsidRPr="00721312">
        <w:rPr>
          <w:rFonts w:ascii="Verdana" w:hAnsi="Verdana"/>
          <w:sz w:val="16"/>
          <w:szCs w:val="16"/>
          <w:lang w:val="es-CR"/>
        </w:rPr>
        <w:t xml:space="preserve">. </w:t>
      </w:r>
      <w:r w:rsidR="005B4B03" w:rsidRPr="00721312">
        <w:rPr>
          <w:rFonts w:ascii="Verdana" w:hAnsi="Verdana"/>
          <w:i/>
          <w:sz w:val="16"/>
          <w:szCs w:val="16"/>
          <w:lang w:val="es-CR"/>
        </w:rPr>
        <w:t>Cfr.</w:t>
      </w:r>
      <w:r w:rsidR="005B4B03" w:rsidRPr="00721312">
        <w:rPr>
          <w:rFonts w:ascii="Verdana" w:hAnsi="Verdana"/>
          <w:sz w:val="16"/>
          <w:szCs w:val="16"/>
          <w:lang w:val="es-CR"/>
        </w:rPr>
        <w:t xml:space="preserve"> </w:t>
      </w:r>
      <w:r w:rsidR="003D35C4" w:rsidRPr="00721312">
        <w:rPr>
          <w:rFonts w:ascii="Verdana" w:hAnsi="Verdana"/>
          <w:sz w:val="16"/>
          <w:szCs w:val="16"/>
          <w:lang w:val="es-CR"/>
        </w:rPr>
        <w:t xml:space="preserve">Informe estatal de 30 de mayo de 2019 </w:t>
      </w:r>
      <w:r w:rsidR="003D35C4" w:rsidRPr="00721312">
        <w:rPr>
          <w:rFonts w:ascii="Verdana" w:hAnsi="Verdana"/>
          <w:bCs/>
          <w:sz w:val="16"/>
          <w:szCs w:val="16"/>
          <w:lang w:val="es-CR"/>
        </w:rPr>
        <w:t>y</w:t>
      </w:r>
      <w:r w:rsidR="003D35C4" w:rsidRPr="00721312">
        <w:rPr>
          <w:rFonts w:ascii="Verdana" w:hAnsi="Verdana"/>
          <w:b/>
          <w:sz w:val="16"/>
          <w:szCs w:val="16"/>
          <w:lang w:val="es-CR"/>
        </w:rPr>
        <w:t xml:space="preserve"> </w:t>
      </w:r>
      <w:r w:rsidR="003D35C4" w:rsidRPr="00721312">
        <w:rPr>
          <w:rFonts w:ascii="Verdana" w:hAnsi="Verdana"/>
          <w:sz w:val="16"/>
          <w:szCs w:val="16"/>
          <w:lang w:val="es-CR"/>
        </w:rPr>
        <w:t>e</w:t>
      </w:r>
      <w:r w:rsidR="005B4B03" w:rsidRPr="00721312">
        <w:rPr>
          <w:rFonts w:ascii="Verdana" w:hAnsi="Verdana"/>
          <w:sz w:val="16"/>
          <w:szCs w:val="16"/>
          <w:lang w:val="es-CR"/>
        </w:rPr>
        <w:t>scrito de observaciones de los representantes de 17 de agosto de 2019.</w:t>
      </w:r>
    </w:p>
  </w:footnote>
  <w:footnote w:id="12">
    <w:p w14:paraId="334DFC32" w14:textId="77777777" w:rsidR="00721312" w:rsidRPr="00721312" w:rsidRDefault="00721312" w:rsidP="00721312">
      <w:pPr>
        <w:pStyle w:val="Textonotapie"/>
        <w:jc w:val="both"/>
        <w:rPr>
          <w:rFonts w:ascii="Verdana" w:hAnsi="Verdana"/>
          <w:sz w:val="16"/>
          <w:szCs w:val="16"/>
          <w:lang w:val="es-CR"/>
        </w:rPr>
      </w:pPr>
      <w:r w:rsidRPr="00721312">
        <w:rPr>
          <w:rStyle w:val="Refdenotaalpie"/>
          <w:rFonts w:ascii="Verdana" w:hAnsi="Verdana"/>
          <w:sz w:val="16"/>
          <w:szCs w:val="16"/>
        </w:rPr>
        <w:footnoteRef/>
      </w:r>
      <w:r w:rsidRPr="00721312">
        <w:rPr>
          <w:rFonts w:ascii="Verdana" w:hAnsi="Verdana"/>
          <w:sz w:val="16"/>
          <w:szCs w:val="16"/>
          <w:lang w:val="es-CR"/>
        </w:rPr>
        <w:t xml:space="preserve"> </w:t>
      </w:r>
      <w:r w:rsidRPr="00721312">
        <w:rPr>
          <w:rFonts w:ascii="Verdana" w:hAnsi="Verdana"/>
          <w:sz w:val="16"/>
          <w:szCs w:val="16"/>
          <w:lang w:val="es-CR"/>
        </w:rPr>
        <w:tab/>
        <w:t xml:space="preserve">De acuerdo con el informe </w:t>
      </w:r>
      <w:r>
        <w:rPr>
          <w:rFonts w:ascii="Verdana" w:hAnsi="Verdana"/>
          <w:sz w:val="16"/>
          <w:szCs w:val="16"/>
          <w:lang w:val="es-CR"/>
        </w:rPr>
        <w:t xml:space="preserve">estatal </w:t>
      </w:r>
      <w:r w:rsidR="00BD403E">
        <w:rPr>
          <w:rFonts w:ascii="Verdana" w:hAnsi="Verdana"/>
          <w:sz w:val="16"/>
          <w:szCs w:val="16"/>
          <w:lang w:val="es-CR"/>
        </w:rPr>
        <w:t xml:space="preserve">de </w:t>
      </w:r>
      <w:r w:rsidRPr="00721312">
        <w:rPr>
          <w:rFonts w:ascii="Verdana" w:hAnsi="Verdana"/>
          <w:sz w:val="16"/>
          <w:szCs w:val="16"/>
          <w:lang w:val="es-CR"/>
        </w:rPr>
        <w:t xml:space="preserve">mayo de 2019, en la ceremonia </w:t>
      </w:r>
      <w:r w:rsidR="002A4FA1">
        <w:rPr>
          <w:rFonts w:ascii="Verdana" w:hAnsi="Verdana"/>
          <w:sz w:val="16"/>
          <w:szCs w:val="16"/>
          <w:lang w:val="es-CR"/>
        </w:rPr>
        <w:t xml:space="preserve">privada </w:t>
      </w:r>
      <w:r w:rsidRPr="00721312">
        <w:rPr>
          <w:rFonts w:ascii="Verdana" w:hAnsi="Verdana"/>
          <w:sz w:val="16"/>
          <w:szCs w:val="16"/>
          <w:lang w:val="es-CR"/>
        </w:rPr>
        <w:t>sí particip</w:t>
      </w:r>
      <w:r w:rsidR="00951B3C">
        <w:rPr>
          <w:rFonts w:ascii="Verdana" w:hAnsi="Verdana"/>
          <w:sz w:val="16"/>
          <w:szCs w:val="16"/>
          <w:lang w:val="es-CR"/>
        </w:rPr>
        <w:t>aron</w:t>
      </w:r>
      <w:r w:rsidRPr="00721312">
        <w:rPr>
          <w:rFonts w:ascii="Verdana" w:hAnsi="Verdana"/>
          <w:sz w:val="16"/>
          <w:szCs w:val="16"/>
          <w:lang w:val="es-CR"/>
        </w:rPr>
        <w:t xml:space="preserve"> </w:t>
      </w:r>
      <w:r w:rsidR="00951B3C">
        <w:rPr>
          <w:rFonts w:ascii="Verdana" w:hAnsi="Verdana"/>
          <w:sz w:val="16"/>
          <w:szCs w:val="16"/>
          <w:lang w:val="es-CR"/>
        </w:rPr>
        <w:t>“[</w:t>
      </w:r>
      <w:r w:rsidRPr="00721312">
        <w:rPr>
          <w:rFonts w:ascii="Verdana" w:hAnsi="Verdana"/>
          <w:sz w:val="16"/>
          <w:szCs w:val="16"/>
          <w:lang w:val="es-CR"/>
        </w:rPr>
        <w:t>un</w:t>
      </w:r>
      <w:r w:rsidR="00951B3C">
        <w:rPr>
          <w:rFonts w:ascii="Verdana" w:hAnsi="Verdana"/>
          <w:sz w:val="16"/>
          <w:szCs w:val="16"/>
          <w:lang w:val="es-CR"/>
        </w:rPr>
        <w:t>]</w:t>
      </w:r>
      <w:r w:rsidRPr="00721312">
        <w:rPr>
          <w:rFonts w:ascii="Verdana" w:hAnsi="Verdana"/>
          <w:sz w:val="16"/>
          <w:szCs w:val="16"/>
          <w:lang w:val="es-CR"/>
        </w:rPr>
        <w:t xml:space="preserve"> representante del Poder Judicial</w:t>
      </w:r>
      <w:r w:rsidR="00951B3C">
        <w:rPr>
          <w:rFonts w:ascii="Verdana" w:hAnsi="Verdana"/>
          <w:sz w:val="16"/>
          <w:szCs w:val="16"/>
          <w:lang w:val="es-CR"/>
        </w:rPr>
        <w:t>”</w:t>
      </w:r>
      <w:r w:rsidRPr="00721312">
        <w:rPr>
          <w:rFonts w:ascii="Verdana" w:hAnsi="Verdana"/>
          <w:sz w:val="16"/>
          <w:szCs w:val="16"/>
          <w:lang w:val="es-CR"/>
        </w:rPr>
        <w:t xml:space="preserve"> y </w:t>
      </w:r>
      <w:r w:rsidR="00951B3C">
        <w:rPr>
          <w:rFonts w:ascii="Verdana" w:hAnsi="Verdana"/>
          <w:sz w:val="16"/>
          <w:szCs w:val="16"/>
          <w:lang w:val="es-CR"/>
        </w:rPr>
        <w:t>“[</w:t>
      </w:r>
      <w:r w:rsidRPr="00721312">
        <w:rPr>
          <w:rFonts w:ascii="Verdana" w:hAnsi="Verdana"/>
          <w:sz w:val="16"/>
          <w:szCs w:val="16"/>
          <w:lang w:val="es-CR"/>
        </w:rPr>
        <w:t>un</w:t>
      </w:r>
      <w:r w:rsidR="00951B3C">
        <w:rPr>
          <w:rFonts w:ascii="Verdana" w:hAnsi="Verdana"/>
          <w:sz w:val="16"/>
          <w:szCs w:val="16"/>
          <w:lang w:val="es-CR"/>
        </w:rPr>
        <w:t>]</w:t>
      </w:r>
      <w:r w:rsidRPr="00721312">
        <w:rPr>
          <w:rFonts w:ascii="Verdana" w:hAnsi="Verdana"/>
          <w:sz w:val="16"/>
          <w:szCs w:val="16"/>
          <w:lang w:val="es-CR"/>
        </w:rPr>
        <w:t xml:space="preserve"> representante del Ministerio del Interior</w:t>
      </w:r>
      <w:r w:rsidR="00951B3C">
        <w:rPr>
          <w:rFonts w:ascii="Verdana" w:hAnsi="Verdana"/>
          <w:sz w:val="16"/>
          <w:szCs w:val="16"/>
          <w:lang w:val="es-CR"/>
        </w:rPr>
        <w:t>”</w:t>
      </w:r>
      <w:r w:rsidRPr="00721312">
        <w:rPr>
          <w:rFonts w:ascii="Verdana" w:hAnsi="Verdana"/>
          <w:sz w:val="16"/>
          <w:szCs w:val="16"/>
          <w:lang w:val="es-CR"/>
        </w:rPr>
        <w:t>. Sin embargo, en las observaciones de agosto de 2019 los representantes negaron esa participación. En el posterior informe de diciembre de 2019 el Estado no se refirió a es</w:t>
      </w:r>
      <w:r w:rsidR="00783D5D">
        <w:rPr>
          <w:rFonts w:ascii="Verdana" w:hAnsi="Verdana"/>
          <w:sz w:val="16"/>
          <w:szCs w:val="16"/>
          <w:lang w:val="es-CR"/>
        </w:rPr>
        <w:t>te punto; es decir, no contradijo</w:t>
      </w:r>
      <w:r w:rsidRPr="00721312">
        <w:rPr>
          <w:rFonts w:ascii="Verdana" w:hAnsi="Verdana"/>
          <w:sz w:val="16"/>
          <w:szCs w:val="16"/>
          <w:lang w:val="es-CR"/>
        </w:rPr>
        <w:t xml:space="preserve"> lo afirmado por los representantes respecto a la ausencia de su participación</w:t>
      </w:r>
      <w:r>
        <w:rPr>
          <w:rFonts w:ascii="Verdana" w:hAnsi="Verdana"/>
          <w:sz w:val="16"/>
          <w:szCs w:val="16"/>
          <w:lang w:val="es-CR"/>
        </w:rPr>
        <w:t>.</w:t>
      </w:r>
      <w:r w:rsidR="00606A8C">
        <w:rPr>
          <w:rFonts w:ascii="Verdana" w:hAnsi="Verdana"/>
          <w:sz w:val="16"/>
          <w:szCs w:val="16"/>
          <w:lang w:val="es-CR"/>
        </w:rPr>
        <w:t xml:space="preserve"> </w:t>
      </w:r>
    </w:p>
  </w:footnote>
  <w:footnote w:id="13">
    <w:p w14:paraId="51D0EC2B" w14:textId="77777777" w:rsidR="002A4FA1" w:rsidRPr="002A4FA1" w:rsidRDefault="002A4FA1" w:rsidP="002A4FA1">
      <w:pPr>
        <w:pStyle w:val="Textonotapie"/>
        <w:jc w:val="both"/>
        <w:rPr>
          <w:rFonts w:ascii="Verdana" w:hAnsi="Verdana"/>
          <w:sz w:val="16"/>
          <w:lang w:val="es-MX"/>
        </w:rPr>
      </w:pPr>
      <w:r>
        <w:rPr>
          <w:rStyle w:val="Refdenotaalpie"/>
        </w:rPr>
        <w:footnoteRef/>
      </w:r>
      <w:r w:rsidRPr="00DE6044">
        <w:rPr>
          <w:lang w:val="es-CR"/>
        </w:rPr>
        <w:t xml:space="preserve"> </w:t>
      </w:r>
      <w:r w:rsidRPr="00DE6044">
        <w:rPr>
          <w:lang w:val="es-CR"/>
        </w:rPr>
        <w:tab/>
      </w:r>
      <w:r w:rsidRPr="002A4FA1">
        <w:rPr>
          <w:rFonts w:ascii="Verdana" w:hAnsi="Verdana"/>
          <w:sz w:val="16"/>
          <w:lang w:val="es-MX"/>
        </w:rPr>
        <w:t>Asimismo, los representantes explicaron que debido a que el Ministerio de Justicia y Derechos Humanos “no cubre gastos de movilidad y viáticos para garantizar la asistencia de los familiares” desde su lugar de residencia, Lircay, hacia donde se celebró el acto, se realizaron gestiones con “</w:t>
      </w:r>
      <w:r w:rsidRPr="002A4FA1">
        <w:rPr>
          <w:rFonts w:ascii="Verdana" w:hAnsi="Verdana" w:cs="Calibri"/>
          <w:sz w:val="16"/>
          <w:lang w:val="es-MX"/>
        </w:rPr>
        <w:t>[e]</w:t>
      </w:r>
      <w:r w:rsidRPr="002A4FA1">
        <w:rPr>
          <w:rFonts w:ascii="Verdana" w:hAnsi="Verdana"/>
          <w:sz w:val="16"/>
          <w:lang w:val="es-MX"/>
        </w:rPr>
        <w:t xml:space="preserve">l Comité Internacional de la Cruz Roja (CICR) </w:t>
      </w:r>
      <w:r w:rsidRPr="002A4FA1">
        <w:rPr>
          <w:rFonts w:ascii="Verdana" w:hAnsi="Verdana" w:cs="Calibri"/>
          <w:sz w:val="16"/>
          <w:lang w:val="es-MX"/>
        </w:rPr>
        <w:t>[</w:t>
      </w:r>
      <w:r w:rsidRPr="002A4FA1">
        <w:rPr>
          <w:rFonts w:ascii="Verdana" w:hAnsi="Verdana"/>
          <w:sz w:val="16"/>
          <w:lang w:val="es-MX"/>
        </w:rPr>
        <w:t>que</w:t>
      </w:r>
      <w:r w:rsidRPr="002A4FA1">
        <w:rPr>
          <w:rFonts w:ascii="Verdana" w:hAnsi="Verdana" w:cs="Calibri"/>
          <w:sz w:val="16"/>
          <w:lang w:val="es-MX"/>
        </w:rPr>
        <w:t>]</w:t>
      </w:r>
      <w:r w:rsidRPr="002A4FA1">
        <w:rPr>
          <w:rFonts w:ascii="Verdana" w:hAnsi="Verdana"/>
          <w:sz w:val="16"/>
          <w:lang w:val="es-MX"/>
        </w:rPr>
        <w:t xml:space="preserve"> cubrió los gastos de movilidad hacia la ciudad de Lima y de hospedaje de los familiares de la víctima, COMISEDH cubrió los gastos de movilidad en Lima y de alimentación”.</w:t>
      </w:r>
      <w:r>
        <w:rPr>
          <w:rFonts w:ascii="Verdana" w:hAnsi="Verdana"/>
          <w:sz w:val="16"/>
          <w:lang w:val="es-MX"/>
        </w:rPr>
        <w:t xml:space="preserve"> </w:t>
      </w:r>
      <w:r w:rsidRPr="002A4FA1">
        <w:rPr>
          <w:rFonts w:ascii="Verdana" w:hAnsi="Verdana"/>
          <w:i/>
          <w:sz w:val="16"/>
          <w:lang w:val="es-MX"/>
        </w:rPr>
        <w:t>Cfr.</w:t>
      </w:r>
      <w:r>
        <w:rPr>
          <w:rFonts w:ascii="Verdana" w:hAnsi="Verdana"/>
          <w:sz w:val="16"/>
          <w:lang w:val="es-MX"/>
        </w:rPr>
        <w:t xml:space="preserve"> Escrito de observaciones de los representantes de 17 de agosto de 2019. </w:t>
      </w:r>
    </w:p>
    <w:p w14:paraId="57011DF0" w14:textId="77777777" w:rsidR="002A4FA1" w:rsidRPr="002A4FA1" w:rsidRDefault="002A4FA1" w:rsidP="002A4FA1">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2200" w14:textId="77777777" w:rsidR="00BF7426" w:rsidRDefault="00BF7426" w:rsidP="009426EB">
    <w:pPr>
      <w:pStyle w:val="Encabezado"/>
      <w:jc w:val="right"/>
    </w:pPr>
  </w:p>
  <w:p w14:paraId="32C337A9" w14:textId="77777777" w:rsidR="00BF7426" w:rsidRDefault="00BF7426">
    <w:pPr>
      <w:pStyle w:val="Encabezado"/>
      <w:jc w:val="center"/>
    </w:pPr>
  </w:p>
  <w:p w14:paraId="063B2A2F" w14:textId="77777777" w:rsidR="00BF7426" w:rsidRPr="0001112B" w:rsidRDefault="00BF7426">
    <w:pPr>
      <w:pStyle w:val="Encabezado"/>
      <w:rPr>
        <w:sz w:val="17"/>
        <w:szCs w:val="17"/>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71033" w14:textId="77777777" w:rsidR="00BF7426" w:rsidRPr="00CE6D4C" w:rsidRDefault="00BF7426" w:rsidP="009426EB">
    <w:pPr>
      <w:pStyle w:val="Encabezado"/>
      <w:jc w:val="right"/>
      <w:rPr>
        <w:sz w:val="16"/>
        <w:szCs w:val="16"/>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078C3"/>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F1F02"/>
    <w:multiLevelType w:val="hybridMultilevel"/>
    <w:tmpl w:val="37E6D754"/>
    <w:lvl w:ilvl="0" w:tplc="6E66D3E2">
      <w:start w:val="3"/>
      <w:numFmt w:val="decimal"/>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03A4E51"/>
    <w:multiLevelType w:val="hybridMultilevel"/>
    <w:tmpl w:val="8390C5C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2896FD2"/>
    <w:multiLevelType w:val="hybridMultilevel"/>
    <w:tmpl w:val="58B477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32D5C26"/>
    <w:multiLevelType w:val="hybridMultilevel"/>
    <w:tmpl w:val="9B3605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3B023B6"/>
    <w:multiLevelType w:val="hybridMultilevel"/>
    <w:tmpl w:val="7652C500"/>
    <w:lvl w:ilvl="0" w:tplc="4D68EACA">
      <w:start w:val="6"/>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D506258"/>
    <w:multiLevelType w:val="hybridMultilevel"/>
    <w:tmpl w:val="501CCED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0"/>
  </w:num>
  <w:num w:numId="5">
    <w:abstractNumId w:val="7"/>
  </w:num>
  <w:num w:numId="6">
    <w:abstractNumId w:val="4"/>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gavDDnzwSxQJiw1F3GOOn6kzeOHVf25gOs+QSIUPkg8Y2GUA6Qf3Cu8r4yXlN0KNNy4LMFQAvk41SqFTCXP9SA==" w:salt="MudS3SOIerErTznAMiN1kw=="/>
  <w:zoom w:percent="100"/>
  <w:proofState w:spelling="clean" w:grammar="clean"/>
  <w:doNotTrackMoves/>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2BC3"/>
    <w:rsid w:val="00002BC3"/>
    <w:rsid w:val="00005D1E"/>
    <w:rsid w:val="0001112B"/>
    <w:rsid w:val="00027D55"/>
    <w:rsid w:val="00042C8A"/>
    <w:rsid w:val="00052597"/>
    <w:rsid w:val="000549E4"/>
    <w:rsid w:val="00055A7D"/>
    <w:rsid w:val="000565CE"/>
    <w:rsid w:val="00062DC4"/>
    <w:rsid w:val="00077844"/>
    <w:rsid w:val="00081169"/>
    <w:rsid w:val="00081E5B"/>
    <w:rsid w:val="000A2601"/>
    <w:rsid w:val="000D0E31"/>
    <w:rsid w:val="000D7CF5"/>
    <w:rsid w:val="000F1208"/>
    <w:rsid w:val="000F184C"/>
    <w:rsid w:val="0010540E"/>
    <w:rsid w:val="00105713"/>
    <w:rsid w:val="001102B9"/>
    <w:rsid w:val="00126F3F"/>
    <w:rsid w:val="00130838"/>
    <w:rsid w:val="00132081"/>
    <w:rsid w:val="00136FA6"/>
    <w:rsid w:val="00147A39"/>
    <w:rsid w:val="001741C7"/>
    <w:rsid w:val="00174DBD"/>
    <w:rsid w:val="0017638B"/>
    <w:rsid w:val="0018749C"/>
    <w:rsid w:val="001A4820"/>
    <w:rsid w:val="001A5B1F"/>
    <w:rsid w:val="001B5670"/>
    <w:rsid w:val="001B605D"/>
    <w:rsid w:val="001B76DD"/>
    <w:rsid w:val="001C43F8"/>
    <w:rsid w:val="001F3452"/>
    <w:rsid w:val="00201442"/>
    <w:rsid w:val="0020343C"/>
    <w:rsid w:val="00203787"/>
    <w:rsid w:val="00204734"/>
    <w:rsid w:val="00207F84"/>
    <w:rsid w:val="002218C6"/>
    <w:rsid w:val="00223F67"/>
    <w:rsid w:val="00234DEA"/>
    <w:rsid w:val="00236B8D"/>
    <w:rsid w:val="0025189C"/>
    <w:rsid w:val="00276B83"/>
    <w:rsid w:val="00293BFD"/>
    <w:rsid w:val="002965EA"/>
    <w:rsid w:val="002A33B8"/>
    <w:rsid w:val="002A4FA1"/>
    <w:rsid w:val="002A59CD"/>
    <w:rsid w:val="002C34E6"/>
    <w:rsid w:val="002C506B"/>
    <w:rsid w:val="002D52D6"/>
    <w:rsid w:val="002D626C"/>
    <w:rsid w:val="002E4F8A"/>
    <w:rsid w:val="002E5B31"/>
    <w:rsid w:val="002E7A6A"/>
    <w:rsid w:val="002F6E68"/>
    <w:rsid w:val="00313C8C"/>
    <w:rsid w:val="00327B20"/>
    <w:rsid w:val="00346E35"/>
    <w:rsid w:val="003567BB"/>
    <w:rsid w:val="00356AFC"/>
    <w:rsid w:val="003571A7"/>
    <w:rsid w:val="00374253"/>
    <w:rsid w:val="003806F9"/>
    <w:rsid w:val="003A30E9"/>
    <w:rsid w:val="003B06B6"/>
    <w:rsid w:val="003B4A91"/>
    <w:rsid w:val="003B7256"/>
    <w:rsid w:val="003D35C4"/>
    <w:rsid w:val="003D709A"/>
    <w:rsid w:val="003E3780"/>
    <w:rsid w:val="0040077D"/>
    <w:rsid w:val="0040203C"/>
    <w:rsid w:val="00406447"/>
    <w:rsid w:val="00422C99"/>
    <w:rsid w:val="00426DBB"/>
    <w:rsid w:val="00427FA7"/>
    <w:rsid w:val="00432FCC"/>
    <w:rsid w:val="00436C77"/>
    <w:rsid w:val="00440553"/>
    <w:rsid w:val="004624F8"/>
    <w:rsid w:val="00465669"/>
    <w:rsid w:val="0047385F"/>
    <w:rsid w:val="0048556C"/>
    <w:rsid w:val="004934B7"/>
    <w:rsid w:val="00497BFA"/>
    <w:rsid w:val="004B7A41"/>
    <w:rsid w:val="004C08F0"/>
    <w:rsid w:val="004D1745"/>
    <w:rsid w:val="004D2F4B"/>
    <w:rsid w:val="004E5D93"/>
    <w:rsid w:val="004F050E"/>
    <w:rsid w:val="004F0C5D"/>
    <w:rsid w:val="004F3C33"/>
    <w:rsid w:val="004F77EC"/>
    <w:rsid w:val="00506F47"/>
    <w:rsid w:val="005172F7"/>
    <w:rsid w:val="005567AD"/>
    <w:rsid w:val="00562475"/>
    <w:rsid w:val="00573944"/>
    <w:rsid w:val="00583131"/>
    <w:rsid w:val="00592501"/>
    <w:rsid w:val="005A0494"/>
    <w:rsid w:val="005A6FB4"/>
    <w:rsid w:val="005B288B"/>
    <w:rsid w:val="005B4B03"/>
    <w:rsid w:val="005C0DF4"/>
    <w:rsid w:val="005D5BF4"/>
    <w:rsid w:val="005F1452"/>
    <w:rsid w:val="006030BF"/>
    <w:rsid w:val="00606A8C"/>
    <w:rsid w:val="00611202"/>
    <w:rsid w:val="00611413"/>
    <w:rsid w:val="00611F91"/>
    <w:rsid w:val="0061225F"/>
    <w:rsid w:val="006134B6"/>
    <w:rsid w:val="00616B3B"/>
    <w:rsid w:val="006421CD"/>
    <w:rsid w:val="006571F3"/>
    <w:rsid w:val="00661866"/>
    <w:rsid w:val="00665D14"/>
    <w:rsid w:val="006679A9"/>
    <w:rsid w:val="0067209B"/>
    <w:rsid w:val="00675C82"/>
    <w:rsid w:val="00687915"/>
    <w:rsid w:val="006901E2"/>
    <w:rsid w:val="006A1223"/>
    <w:rsid w:val="006B4464"/>
    <w:rsid w:val="006B67A1"/>
    <w:rsid w:val="006C7F42"/>
    <w:rsid w:val="006D3BEF"/>
    <w:rsid w:val="006D3CC8"/>
    <w:rsid w:val="006F1093"/>
    <w:rsid w:val="006F55D5"/>
    <w:rsid w:val="007024EF"/>
    <w:rsid w:val="0071085E"/>
    <w:rsid w:val="00711694"/>
    <w:rsid w:val="00721312"/>
    <w:rsid w:val="00726AFD"/>
    <w:rsid w:val="00730077"/>
    <w:rsid w:val="00734095"/>
    <w:rsid w:val="00740A14"/>
    <w:rsid w:val="007731E5"/>
    <w:rsid w:val="00775720"/>
    <w:rsid w:val="00777080"/>
    <w:rsid w:val="00783D5D"/>
    <w:rsid w:val="00784C9A"/>
    <w:rsid w:val="007869A4"/>
    <w:rsid w:val="007974E3"/>
    <w:rsid w:val="007A37B7"/>
    <w:rsid w:val="007B0B8F"/>
    <w:rsid w:val="007B219A"/>
    <w:rsid w:val="007B626F"/>
    <w:rsid w:val="007B74E4"/>
    <w:rsid w:val="007C0FC5"/>
    <w:rsid w:val="007C37C1"/>
    <w:rsid w:val="007C54A8"/>
    <w:rsid w:val="007D0BA0"/>
    <w:rsid w:val="007D2328"/>
    <w:rsid w:val="007D5583"/>
    <w:rsid w:val="007E26EB"/>
    <w:rsid w:val="007E3330"/>
    <w:rsid w:val="007E421B"/>
    <w:rsid w:val="007E6F55"/>
    <w:rsid w:val="007E748E"/>
    <w:rsid w:val="007F327D"/>
    <w:rsid w:val="007F4F34"/>
    <w:rsid w:val="008155CD"/>
    <w:rsid w:val="0083136C"/>
    <w:rsid w:val="008579E9"/>
    <w:rsid w:val="008614CC"/>
    <w:rsid w:val="008675E4"/>
    <w:rsid w:val="008A4917"/>
    <w:rsid w:val="008C27D2"/>
    <w:rsid w:val="008D47DC"/>
    <w:rsid w:val="008E43A9"/>
    <w:rsid w:val="00906A1F"/>
    <w:rsid w:val="0090732D"/>
    <w:rsid w:val="0092531F"/>
    <w:rsid w:val="00937165"/>
    <w:rsid w:val="009426EB"/>
    <w:rsid w:val="009446A0"/>
    <w:rsid w:val="00951B3C"/>
    <w:rsid w:val="00955E1E"/>
    <w:rsid w:val="00972785"/>
    <w:rsid w:val="009731A4"/>
    <w:rsid w:val="00987E0A"/>
    <w:rsid w:val="009940A6"/>
    <w:rsid w:val="009A03F4"/>
    <w:rsid w:val="009B1881"/>
    <w:rsid w:val="009B6F23"/>
    <w:rsid w:val="009C0E7D"/>
    <w:rsid w:val="009C6574"/>
    <w:rsid w:val="009E21B0"/>
    <w:rsid w:val="009F0E4F"/>
    <w:rsid w:val="009F1B9C"/>
    <w:rsid w:val="009F3E93"/>
    <w:rsid w:val="009F57AC"/>
    <w:rsid w:val="00A00AE2"/>
    <w:rsid w:val="00A07A48"/>
    <w:rsid w:val="00A16638"/>
    <w:rsid w:val="00A1684D"/>
    <w:rsid w:val="00A2607C"/>
    <w:rsid w:val="00A341BF"/>
    <w:rsid w:val="00A37FAD"/>
    <w:rsid w:val="00A523F2"/>
    <w:rsid w:val="00A553C6"/>
    <w:rsid w:val="00A55A4E"/>
    <w:rsid w:val="00A70F75"/>
    <w:rsid w:val="00A8724C"/>
    <w:rsid w:val="00A90E23"/>
    <w:rsid w:val="00A937BA"/>
    <w:rsid w:val="00AA4181"/>
    <w:rsid w:val="00AB198A"/>
    <w:rsid w:val="00AB6A2E"/>
    <w:rsid w:val="00AC1F91"/>
    <w:rsid w:val="00AC6649"/>
    <w:rsid w:val="00AD02AA"/>
    <w:rsid w:val="00AD2CD4"/>
    <w:rsid w:val="00AD617A"/>
    <w:rsid w:val="00AD7169"/>
    <w:rsid w:val="00AF0289"/>
    <w:rsid w:val="00B10DBE"/>
    <w:rsid w:val="00B158FD"/>
    <w:rsid w:val="00B40584"/>
    <w:rsid w:val="00B45349"/>
    <w:rsid w:val="00B64288"/>
    <w:rsid w:val="00B65901"/>
    <w:rsid w:val="00B678AF"/>
    <w:rsid w:val="00B73489"/>
    <w:rsid w:val="00B92059"/>
    <w:rsid w:val="00B95FAE"/>
    <w:rsid w:val="00B969BA"/>
    <w:rsid w:val="00BB59FD"/>
    <w:rsid w:val="00BD0C2F"/>
    <w:rsid w:val="00BD187D"/>
    <w:rsid w:val="00BD1D8B"/>
    <w:rsid w:val="00BD403E"/>
    <w:rsid w:val="00BF5047"/>
    <w:rsid w:val="00BF5A2A"/>
    <w:rsid w:val="00BF7426"/>
    <w:rsid w:val="00BF7BD3"/>
    <w:rsid w:val="00C05CFF"/>
    <w:rsid w:val="00C150D1"/>
    <w:rsid w:val="00C45FCC"/>
    <w:rsid w:val="00C52FA1"/>
    <w:rsid w:val="00C535B4"/>
    <w:rsid w:val="00C53B41"/>
    <w:rsid w:val="00C5416C"/>
    <w:rsid w:val="00C547A1"/>
    <w:rsid w:val="00C54BE6"/>
    <w:rsid w:val="00C60B45"/>
    <w:rsid w:val="00C66DC3"/>
    <w:rsid w:val="00C727AB"/>
    <w:rsid w:val="00C77BE0"/>
    <w:rsid w:val="00CA32B9"/>
    <w:rsid w:val="00CA4DDB"/>
    <w:rsid w:val="00CC07AE"/>
    <w:rsid w:val="00CC7142"/>
    <w:rsid w:val="00CE6D4C"/>
    <w:rsid w:val="00CF00AB"/>
    <w:rsid w:val="00D11A14"/>
    <w:rsid w:val="00D20C28"/>
    <w:rsid w:val="00D2756A"/>
    <w:rsid w:val="00D30AE0"/>
    <w:rsid w:val="00D335FF"/>
    <w:rsid w:val="00D41D57"/>
    <w:rsid w:val="00D45ADC"/>
    <w:rsid w:val="00D471DB"/>
    <w:rsid w:val="00D50E60"/>
    <w:rsid w:val="00D51BA7"/>
    <w:rsid w:val="00D67D05"/>
    <w:rsid w:val="00D67E9D"/>
    <w:rsid w:val="00D74920"/>
    <w:rsid w:val="00D74DBA"/>
    <w:rsid w:val="00D75A1E"/>
    <w:rsid w:val="00D80DAD"/>
    <w:rsid w:val="00DA2807"/>
    <w:rsid w:val="00DA2DDA"/>
    <w:rsid w:val="00DA66AD"/>
    <w:rsid w:val="00DA740E"/>
    <w:rsid w:val="00DB107D"/>
    <w:rsid w:val="00DB6C19"/>
    <w:rsid w:val="00DC74A9"/>
    <w:rsid w:val="00DD3410"/>
    <w:rsid w:val="00DE5E2B"/>
    <w:rsid w:val="00DE6044"/>
    <w:rsid w:val="00DE7B1D"/>
    <w:rsid w:val="00E0029B"/>
    <w:rsid w:val="00E058F4"/>
    <w:rsid w:val="00E12481"/>
    <w:rsid w:val="00E12CD2"/>
    <w:rsid w:val="00E252BE"/>
    <w:rsid w:val="00E27A9C"/>
    <w:rsid w:val="00E446EB"/>
    <w:rsid w:val="00E4727E"/>
    <w:rsid w:val="00E50571"/>
    <w:rsid w:val="00E560C7"/>
    <w:rsid w:val="00E716EC"/>
    <w:rsid w:val="00E75393"/>
    <w:rsid w:val="00E75884"/>
    <w:rsid w:val="00EA3815"/>
    <w:rsid w:val="00EB3E88"/>
    <w:rsid w:val="00EB6306"/>
    <w:rsid w:val="00EC36B9"/>
    <w:rsid w:val="00ED2F12"/>
    <w:rsid w:val="00EF0C7E"/>
    <w:rsid w:val="00EF359E"/>
    <w:rsid w:val="00F243BB"/>
    <w:rsid w:val="00F27D8E"/>
    <w:rsid w:val="00F33F24"/>
    <w:rsid w:val="00F46DD3"/>
    <w:rsid w:val="00F53631"/>
    <w:rsid w:val="00F543EA"/>
    <w:rsid w:val="00F61578"/>
    <w:rsid w:val="00F616AE"/>
    <w:rsid w:val="00F650AB"/>
    <w:rsid w:val="00F66599"/>
    <w:rsid w:val="00F81B2F"/>
    <w:rsid w:val="00FA32AB"/>
    <w:rsid w:val="00FA6D6B"/>
    <w:rsid w:val="00FB3A04"/>
    <w:rsid w:val="00FF4EAB"/>
    <w:rsid w:val="00FF71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B68DBC"/>
  <w15:docId w15:val="{F2CEDC12-C901-4D42-B8D3-CAE2585E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C3"/>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002BC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002BC3"/>
    <w:rPr>
      <w:rFonts w:ascii="Calibri" w:eastAsia="Calibri" w:hAnsi="Calibri" w:cs="Times New Roman"/>
      <w:sz w:val="20"/>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002BC3"/>
    <w:rPr>
      <w:vertAlign w:val="superscript"/>
    </w:rPr>
  </w:style>
  <w:style w:type="character" w:styleId="Hipervnculo">
    <w:name w:val="Hyperlink"/>
    <w:uiPriority w:val="99"/>
    <w:unhideWhenUsed/>
    <w:rsid w:val="00002BC3"/>
    <w:rPr>
      <w:color w:val="0000FF"/>
      <w:u w:val="single"/>
    </w:rPr>
  </w:style>
  <w:style w:type="paragraph" w:styleId="Prrafodelista">
    <w:name w:val="List Paragraph"/>
    <w:aliases w:val="Footnote,Párrafo de lista1,Colorful List - Accent 11"/>
    <w:basedOn w:val="Normal"/>
    <w:link w:val="PrrafodelistaCar"/>
    <w:uiPriority w:val="34"/>
    <w:qFormat/>
    <w:rsid w:val="00002BC3"/>
    <w:pPr>
      <w:ind w:left="720"/>
      <w:contextualSpacing/>
    </w:pPr>
  </w:style>
  <w:style w:type="character" w:customStyle="1" w:styleId="PrrafodelistaCar">
    <w:name w:val="Párrafo de lista Car"/>
    <w:aliases w:val="Footnote Car,Párrafo de lista1 Car,Colorful List - Accent 11 Car"/>
    <w:link w:val="Prrafodelista"/>
    <w:uiPriority w:val="34"/>
    <w:locked/>
    <w:rsid w:val="00002BC3"/>
    <w:rPr>
      <w:rFonts w:ascii="Calibri" w:eastAsia="Calibri" w:hAnsi="Calibri" w:cs="Times New Roman"/>
      <w:lang w:val="en-US"/>
    </w:rPr>
  </w:style>
  <w:style w:type="character" w:styleId="Textoennegrita">
    <w:name w:val="Strong"/>
    <w:uiPriority w:val="22"/>
    <w:qFormat/>
    <w:rsid w:val="00002BC3"/>
    <w:rPr>
      <w:b/>
      <w:bCs/>
    </w:rPr>
  </w:style>
  <w:style w:type="paragraph" w:styleId="TDC1">
    <w:name w:val="toc 1"/>
    <w:basedOn w:val="Normal"/>
    <w:next w:val="Normal"/>
    <w:autoRedefine/>
    <w:uiPriority w:val="39"/>
    <w:unhideWhenUsed/>
    <w:qFormat/>
    <w:rsid w:val="00002BC3"/>
    <w:pPr>
      <w:tabs>
        <w:tab w:val="left" w:pos="709"/>
        <w:tab w:val="left" w:pos="8505"/>
      </w:tabs>
      <w:spacing w:after="100"/>
      <w:ind w:left="284" w:right="996"/>
      <w:jc w:val="both"/>
    </w:pPr>
  </w:style>
  <w:style w:type="paragraph" w:styleId="Textoindependiente">
    <w:name w:val="Body Text"/>
    <w:basedOn w:val="Normal"/>
    <w:link w:val="TextoindependienteCar"/>
    <w:uiPriority w:val="99"/>
    <w:unhideWhenUsed/>
    <w:rsid w:val="00002BC3"/>
    <w:pPr>
      <w:spacing w:after="120"/>
    </w:pPr>
  </w:style>
  <w:style w:type="character" w:customStyle="1" w:styleId="TextoindependienteCar">
    <w:name w:val="Texto independiente Car"/>
    <w:link w:val="Textoindependiente"/>
    <w:uiPriority w:val="99"/>
    <w:rsid w:val="00002BC3"/>
    <w:rPr>
      <w:rFonts w:ascii="Calibri" w:eastAsia="Calibri" w:hAnsi="Calibri" w:cs="Times New Roman"/>
      <w:lang w:val="en-US"/>
    </w:rPr>
  </w:style>
  <w:style w:type="paragraph" w:styleId="Encabezado">
    <w:name w:val="header"/>
    <w:basedOn w:val="Normal"/>
    <w:link w:val="EncabezadoCar"/>
    <w:uiPriority w:val="99"/>
    <w:unhideWhenUsed/>
    <w:rsid w:val="0001112B"/>
    <w:pPr>
      <w:tabs>
        <w:tab w:val="center" w:pos="4419"/>
        <w:tab w:val="right" w:pos="8838"/>
      </w:tabs>
      <w:spacing w:after="0" w:line="240" w:lineRule="auto"/>
    </w:pPr>
  </w:style>
  <w:style w:type="character" w:customStyle="1" w:styleId="EncabezadoCar">
    <w:name w:val="Encabezado Car"/>
    <w:link w:val="Encabezado"/>
    <w:uiPriority w:val="99"/>
    <w:rsid w:val="0001112B"/>
    <w:rPr>
      <w:rFonts w:ascii="Calibri" w:eastAsia="Calibri" w:hAnsi="Calibri" w:cs="Times New Roman"/>
      <w:lang w:val="en-US"/>
    </w:rPr>
  </w:style>
  <w:style w:type="paragraph" w:styleId="Piedepgina">
    <w:name w:val="footer"/>
    <w:basedOn w:val="Normal"/>
    <w:link w:val="PiedepginaCar"/>
    <w:uiPriority w:val="99"/>
    <w:unhideWhenUsed/>
    <w:rsid w:val="0001112B"/>
    <w:pPr>
      <w:tabs>
        <w:tab w:val="center" w:pos="4419"/>
        <w:tab w:val="right" w:pos="8838"/>
      </w:tabs>
      <w:spacing w:after="0" w:line="240" w:lineRule="auto"/>
    </w:pPr>
  </w:style>
  <w:style w:type="character" w:customStyle="1" w:styleId="PiedepginaCar">
    <w:name w:val="Pie de página Car"/>
    <w:link w:val="Piedepgina"/>
    <w:uiPriority w:val="99"/>
    <w:rsid w:val="0001112B"/>
    <w:rPr>
      <w:rFonts w:ascii="Calibri" w:eastAsia="Calibri" w:hAnsi="Calibri" w:cs="Times New Roman"/>
      <w:lang w:val="en-US"/>
    </w:rPr>
  </w:style>
  <w:style w:type="character" w:styleId="Nmerodelnea">
    <w:name w:val="line number"/>
    <w:basedOn w:val="Fuentedeprrafopredeter"/>
    <w:uiPriority w:val="99"/>
    <w:semiHidden/>
    <w:unhideWhenUsed/>
    <w:rsid w:val="004F0C5D"/>
  </w:style>
  <w:style w:type="character" w:styleId="Hipervnculovisitado">
    <w:name w:val="FollowedHyperlink"/>
    <w:uiPriority w:val="99"/>
    <w:semiHidden/>
    <w:unhideWhenUsed/>
    <w:rsid w:val="007B74E4"/>
    <w:rPr>
      <w:color w:val="800080"/>
      <w:u w:val="single"/>
    </w:rPr>
  </w:style>
  <w:style w:type="paragraph" w:styleId="Textodeglobo">
    <w:name w:val="Balloon Text"/>
    <w:basedOn w:val="Normal"/>
    <w:link w:val="TextodegloboCar"/>
    <w:uiPriority w:val="99"/>
    <w:semiHidden/>
    <w:unhideWhenUsed/>
    <w:rsid w:val="00C547A1"/>
    <w:pPr>
      <w:spacing w:after="0" w:line="240" w:lineRule="auto"/>
    </w:pPr>
    <w:rPr>
      <w:rFonts w:ascii="Lucida Grande" w:hAnsi="Lucida Grande"/>
      <w:sz w:val="18"/>
      <w:szCs w:val="18"/>
    </w:rPr>
  </w:style>
  <w:style w:type="character" w:customStyle="1" w:styleId="TextodegloboCar">
    <w:name w:val="Texto de globo Car"/>
    <w:link w:val="Textodeglobo"/>
    <w:uiPriority w:val="99"/>
    <w:semiHidden/>
    <w:rsid w:val="00C547A1"/>
    <w:rPr>
      <w:rFonts w:ascii="Lucida Grande" w:eastAsia="Calibri" w:hAnsi="Lucida Grande" w:cs="Times New Roman"/>
      <w:sz w:val="18"/>
      <w:szCs w:val="18"/>
      <w:lang w:val="en-US"/>
    </w:rPr>
  </w:style>
  <w:style w:type="character" w:styleId="Refdecomentario">
    <w:name w:val="annotation reference"/>
    <w:uiPriority w:val="99"/>
    <w:semiHidden/>
    <w:unhideWhenUsed/>
    <w:rsid w:val="00BF7426"/>
    <w:rPr>
      <w:sz w:val="18"/>
      <w:szCs w:val="18"/>
    </w:rPr>
  </w:style>
  <w:style w:type="paragraph" w:styleId="Textocomentario">
    <w:name w:val="annotation text"/>
    <w:basedOn w:val="Normal"/>
    <w:link w:val="TextocomentarioCar"/>
    <w:uiPriority w:val="99"/>
    <w:semiHidden/>
    <w:unhideWhenUsed/>
    <w:rsid w:val="00BF7426"/>
    <w:pPr>
      <w:spacing w:line="240" w:lineRule="auto"/>
    </w:pPr>
    <w:rPr>
      <w:sz w:val="24"/>
      <w:szCs w:val="24"/>
    </w:rPr>
  </w:style>
  <w:style w:type="character" w:customStyle="1" w:styleId="TextocomentarioCar">
    <w:name w:val="Texto comentario Car"/>
    <w:link w:val="Textocomentario"/>
    <w:uiPriority w:val="99"/>
    <w:semiHidden/>
    <w:rsid w:val="00BF7426"/>
    <w:rPr>
      <w:rFonts w:ascii="Calibri" w:eastAsia="Calibri" w:hAnsi="Calibri" w:cs="Times New Roman"/>
      <w:sz w:val="24"/>
      <w:szCs w:val="24"/>
      <w:lang w:val="en-US"/>
    </w:rPr>
  </w:style>
  <w:style w:type="paragraph" w:styleId="Asuntodelcomentario">
    <w:name w:val="annotation subject"/>
    <w:basedOn w:val="Textocomentario"/>
    <w:next w:val="Textocomentario"/>
    <w:link w:val="AsuntodelcomentarioCar"/>
    <w:uiPriority w:val="99"/>
    <w:semiHidden/>
    <w:unhideWhenUsed/>
    <w:rsid w:val="00BF7426"/>
    <w:rPr>
      <w:b/>
      <w:bCs/>
      <w:sz w:val="20"/>
      <w:szCs w:val="20"/>
    </w:rPr>
  </w:style>
  <w:style w:type="character" w:customStyle="1" w:styleId="AsuntodelcomentarioCar">
    <w:name w:val="Asunto del comentario Car"/>
    <w:link w:val="Asuntodelcomentario"/>
    <w:uiPriority w:val="99"/>
    <w:semiHidden/>
    <w:rsid w:val="00BF7426"/>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888725">
      <w:bodyDiv w:val="1"/>
      <w:marLeft w:val="0"/>
      <w:marRight w:val="0"/>
      <w:marTop w:val="0"/>
      <w:marBottom w:val="0"/>
      <w:divBdr>
        <w:top w:val="none" w:sz="0" w:space="0" w:color="auto"/>
        <w:left w:val="none" w:sz="0" w:space="0" w:color="auto"/>
        <w:bottom w:val="none" w:sz="0" w:space="0" w:color="auto"/>
        <w:right w:val="none" w:sz="0" w:space="0" w:color="auto"/>
      </w:divBdr>
    </w:div>
    <w:div w:id="668170420">
      <w:bodyDiv w:val="1"/>
      <w:marLeft w:val="0"/>
      <w:marRight w:val="0"/>
      <w:marTop w:val="0"/>
      <w:marBottom w:val="0"/>
      <w:divBdr>
        <w:top w:val="none" w:sz="0" w:space="0" w:color="auto"/>
        <w:left w:val="none" w:sz="0" w:space="0" w:color="auto"/>
        <w:bottom w:val="none" w:sz="0" w:space="0" w:color="auto"/>
        <w:right w:val="none" w:sz="0" w:space="0" w:color="auto"/>
      </w:divBdr>
    </w:div>
    <w:div w:id="1452627535">
      <w:bodyDiv w:val="1"/>
      <w:marLeft w:val="0"/>
      <w:marRight w:val="0"/>
      <w:marTop w:val="0"/>
      <w:marBottom w:val="0"/>
      <w:divBdr>
        <w:top w:val="none" w:sz="0" w:space="0" w:color="auto"/>
        <w:left w:val="none" w:sz="0" w:space="0" w:color="auto"/>
        <w:bottom w:val="none" w:sz="0" w:space="0" w:color="auto"/>
        <w:right w:val="none" w:sz="0" w:space="0" w:color="auto"/>
      </w:divBdr>
    </w:div>
    <w:div w:id="1833182716">
      <w:bodyDiv w:val="1"/>
      <w:marLeft w:val="0"/>
      <w:marRight w:val="0"/>
      <w:marTop w:val="0"/>
      <w:marBottom w:val="0"/>
      <w:divBdr>
        <w:top w:val="none" w:sz="0" w:space="0" w:color="auto"/>
        <w:left w:val="none" w:sz="0" w:space="0" w:color="auto"/>
        <w:bottom w:val="none" w:sz="0" w:space="0" w:color="auto"/>
        <w:right w:val="none" w:sz="0" w:space="0" w:color="auto"/>
      </w:divBdr>
    </w:div>
    <w:div w:id="1933974480">
      <w:bodyDiv w:val="1"/>
      <w:marLeft w:val="0"/>
      <w:marRight w:val="0"/>
      <w:marTop w:val="0"/>
      <w:marBottom w:val="0"/>
      <w:divBdr>
        <w:top w:val="none" w:sz="0" w:space="0" w:color="auto"/>
        <w:left w:val="none" w:sz="0" w:space="0" w:color="auto"/>
        <w:bottom w:val="none" w:sz="0" w:space="0" w:color="auto"/>
        <w:right w:val="none" w:sz="0" w:space="0" w:color="auto"/>
      </w:divBdr>
    </w:div>
    <w:div w:id="205469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munarriz_fv_19.pdf" TargetMode="External"/><Relationship Id="rId2" Type="http://schemas.openxmlformats.org/officeDocument/2006/relationships/hyperlink" Target="http://www.corteidh.or.cr/docs/supervisiones/munarriz_14_05_19.pdf" TargetMode="External"/><Relationship Id="rId1" Type="http://schemas.openxmlformats.org/officeDocument/2006/relationships/hyperlink" Target="http://www.corteidh.or.cr/docs/casos/articulos/seriec_35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C6137-8A4C-4FC1-BE10-D0F9E6E2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1667</Words>
  <Characters>9172</Characters>
  <Application>Microsoft Office Word</Application>
  <DocSecurity>6</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10818</CharactersWithSpaces>
  <SharedDoc>false</SharedDoc>
  <HLinks>
    <vt:vector size="18" baseType="variant">
      <vt:variant>
        <vt:i4>7209056</vt:i4>
      </vt:variant>
      <vt:variant>
        <vt:i4>6</vt:i4>
      </vt:variant>
      <vt:variant>
        <vt:i4>0</vt:i4>
      </vt:variant>
      <vt:variant>
        <vt:i4>5</vt:i4>
      </vt:variant>
      <vt:variant>
        <vt:lpwstr>http://www.corteidh.or.cr/docs/asuntos/munarriz_fv_19.pdf</vt:lpwstr>
      </vt:variant>
      <vt:variant>
        <vt:lpwstr/>
      </vt:variant>
      <vt:variant>
        <vt:i4>6815837</vt:i4>
      </vt:variant>
      <vt:variant>
        <vt:i4>3</vt:i4>
      </vt:variant>
      <vt:variant>
        <vt:i4>0</vt:i4>
      </vt:variant>
      <vt:variant>
        <vt:i4>5</vt:i4>
      </vt:variant>
      <vt:variant>
        <vt:lpwstr>http://www.corteidh.or.cr/docs/supervisiones/munarriz_14_05_19.pdf</vt:lpwstr>
      </vt:variant>
      <vt:variant>
        <vt:lpwstr/>
      </vt:variant>
      <vt:variant>
        <vt:i4>5570642</vt:i4>
      </vt:variant>
      <vt:variant>
        <vt:i4>0</vt:i4>
      </vt:variant>
      <vt:variant>
        <vt:i4>0</vt:i4>
      </vt:variant>
      <vt:variant>
        <vt:i4>5</vt:i4>
      </vt:variant>
      <vt:variant>
        <vt:lpwstr>http://www.corteidh.or.cr/docs/casos/articulos/seriec_355_esp.pdf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2019-07-17T19:46:00Z</cp:lastPrinted>
  <dcterms:created xsi:type="dcterms:W3CDTF">2020-11-06T14:24:00Z</dcterms:created>
  <dcterms:modified xsi:type="dcterms:W3CDTF">2020-11-06T14:24:00Z</dcterms:modified>
</cp:coreProperties>
</file>