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F121B" w14:textId="77777777" w:rsidR="00315F92" w:rsidRDefault="00315F92" w:rsidP="005562D7">
      <w:pPr>
        <w:spacing w:after="0"/>
        <w:ind w:right="-316"/>
        <w:jc w:val="center"/>
        <w:rPr>
          <w:rFonts w:cs="Verdana Bold"/>
          <w:b/>
          <w:bCs/>
          <w:caps/>
          <w:szCs w:val="20"/>
        </w:rPr>
      </w:pPr>
      <w:bookmarkStart w:id="0" w:name="_Hlk43892255"/>
    </w:p>
    <w:p w14:paraId="528F2DFD" w14:textId="77777777" w:rsidR="00315F92" w:rsidRDefault="00315F92" w:rsidP="005562D7">
      <w:pPr>
        <w:spacing w:after="0"/>
        <w:ind w:right="-316"/>
        <w:jc w:val="center"/>
        <w:rPr>
          <w:rFonts w:cs="Verdana Bold"/>
          <w:b/>
          <w:bCs/>
          <w:caps/>
          <w:szCs w:val="20"/>
        </w:rPr>
      </w:pPr>
    </w:p>
    <w:p w14:paraId="4C464DB4" w14:textId="77777777" w:rsidR="00315F92" w:rsidRDefault="00315F92" w:rsidP="005562D7">
      <w:pPr>
        <w:spacing w:after="0"/>
        <w:ind w:right="-316"/>
        <w:jc w:val="center"/>
        <w:rPr>
          <w:rFonts w:cs="Verdana Bold"/>
          <w:b/>
          <w:bCs/>
          <w:caps/>
          <w:szCs w:val="20"/>
        </w:rPr>
      </w:pPr>
    </w:p>
    <w:p w14:paraId="401FDF90" w14:textId="77777777" w:rsidR="00315F92" w:rsidRDefault="00315F92" w:rsidP="005562D7">
      <w:pPr>
        <w:spacing w:after="0"/>
        <w:ind w:right="-316"/>
        <w:jc w:val="center"/>
        <w:rPr>
          <w:rFonts w:cs="Verdana Bold"/>
          <w:b/>
          <w:bCs/>
          <w:caps/>
          <w:szCs w:val="20"/>
        </w:rPr>
      </w:pPr>
    </w:p>
    <w:p w14:paraId="21D063BE" w14:textId="77777777" w:rsidR="00315F92" w:rsidRDefault="00315F92" w:rsidP="005562D7">
      <w:pPr>
        <w:spacing w:after="0"/>
        <w:ind w:right="-316"/>
        <w:jc w:val="center"/>
        <w:rPr>
          <w:rFonts w:cs="Verdana Bold"/>
          <w:b/>
          <w:bCs/>
          <w:caps/>
          <w:szCs w:val="20"/>
        </w:rPr>
      </w:pPr>
    </w:p>
    <w:p w14:paraId="0C0BD097" w14:textId="2EE176B6" w:rsidR="00DF2489" w:rsidRPr="005562D7" w:rsidRDefault="00DF2489" w:rsidP="005562D7">
      <w:pPr>
        <w:spacing w:after="0"/>
        <w:ind w:right="-316"/>
        <w:jc w:val="center"/>
        <w:rPr>
          <w:rFonts w:cs="Verdana Bold"/>
          <w:b/>
          <w:bCs/>
          <w:caps/>
          <w:szCs w:val="20"/>
        </w:rPr>
      </w:pPr>
      <w:r w:rsidRPr="005562D7">
        <w:rPr>
          <w:rFonts w:cs="Verdana Bold"/>
          <w:b/>
          <w:bCs/>
          <w:caps/>
          <w:szCs w:val="20"/>
        </w:rPr>
        <w:t>Resolución de</w:t>
      </w:r>
      <w:r w:rsidR="003A0ACC" w:rsidRPr="005562D7">
        <w:rPr>
          <w:rFonts w:cs="Verdana Bold"/>
          <w:b/>
          <w:bCs/>
          <w:caps/>
          <w:szCs w:val="20"/>
        </w:rPr>
        <w:t xml:space="preserve"> </w:t>
      </w:r>
      <w:r w:rsidRPr="005562D7">
        <w:rPr>
          <w:rFonts w:cs="Verdana Bold"/>
          <w:b/>
          <w:bCs/>
          <w:caps/>
          <w:szCs w:val="20"/>
        </w:rPr>
        <w:t>l</w:t>
      </w:r>
      <w:r w:rsidR="003A0ACC" w:rsidRPr="005562D7">
        <w:rPr>
          <w:rFonts w:cs="Verdana Bold"/>
          <w:b/>
          <w:bCs/>
          <w:caps/>
          <w:szCs w:val="20"/>
        </w:rPr>
        <w:t>a</w:t>
      </w:r>
      <w:r w:rsidRPr="005562D7">
        <w:rPr>
          <w:rFonts w:cs="Verdana Bold"/>
          <w:b/>
          <w:bCs/>
          <w:caps/>
          <w:szCs w:val="20"/>
        </w:rPr>
        <w:t xml:space="preserve"> President</w:t>
      </w:r>
      <w:r w:rsidR="003A0ACC" w:rsidRPr="005562D7">
        <w:rPr>
          <w:rFonts w:cs="Verdana Bold"/>
          <w:b/>
          <w:bCs/>
          <w:caps/>
          <w:szCs w:val="20"/>
        </w:rPr>
        <w:t>a</w:t>
      </w:r>
      <w:r w:rsidRPr="005562D7">
        <w:rPr>
          <w:rFonts w:cs="Verdana Bold"/>
          <w:b/>
          <w:bCs/>
          <w:caps/>
          <w:szCs w:val="20"/>
        </w:rPr>
        <w:t xml:space="preserve"> de la</w:t>
      </w:r>
    </w:p>
    <w:p w14:paraId="3C4DF142" w14:textId="77777777" w:rsidR="00DF2489" w:rsidRPr="005562D7" w:rsidRDefault="00DF2489" w:rsidP="005562D7">
      <w:pPr>
        <w:spacing w:after="0"/>
        <w:ind w:right="-316"/>
        <w:jc w:val="center"/>
        <w:rPr>
          <w:rFonts w:cs="Verdana Bold"/>
          <w:b/>
          <w:bCs/>
          <w:caps/>
          <w:szCs w:val="20"/>
        </w:rPr>
      </w:pPr>
      <w:r w:rsidRPr="005562D7">
        <w:rPr>
          <w:rFonts w:cs="Verdana Bold"/>
          <w:b/>
          <w:bCs/>
          <w:caps/>
          <w:szCs w:val="20"/>
        </w:rPr>
        <w:t>Corte Interamericana de Derechos Humanos</w:t>
      </w:r>
    </w:p>
    <w:p w14:paraId="152D3C3F" w14:textId="77777777" w:rsidR="00DF2489" w:rsidRPr="005562D7" w:rsidRDefault="00DF2489" w:rsidP="005562D7">
      <w:pPr>
        <w:spacing w:after="0"/>
        <w:ind w:right="-316"/>
        <w:rPr>
          <w:rFonts w:cs="Verdana Bold"/>
          <w:bCs/>
          <w:caps/>
          <w:szCs w:val="20"/>
        </w:rPr>
      </w:pPr>
    </w:p>
    <w:p w14:paraId="036CEECB" w14:textId="55B4450E" w:rsidR="00DF2489" w:rsidRPr="005562D7" w:rsidRDefault="00DF2489" w:rsidP="005562D7">
      <w:pPr>
        <w:spacing w:after="0"/>
        <w:ind w:right="-316"/>
        <w:jc w:val="center"/>
        <w:rPr>
          <w:rFonts w:cs="Verdana Bold"/>
          <w:b/>
          <w:bCs/>
          <w:caps/>
          <w:szCs w:val="20"/>
        </w:rPr>
      </w:pPr>
      <w:r w:rsidRPr="00766065">
        <w:rPr>
          <w:rFonts w:cs="Verdana Bold"/>
          <w:b/>
          <w:bCs/>
          <w:caps/>
          <w:szCs w:val="20"/>
        </w:rPr>
        <w:t xml:space="preserve">DE </w:t>
      </w:r>
      <w:r w:rsidR="00C85C29">
        <w:rPr>
          <w:rFonts w:cs="Verdana Bold"/>
          <w:b/>
          <w:bCs/>
          <w:caps/>
          <w:szCs w:val="20"/>
        </w:rPr>
        <w:t>13</w:t>
      </w:r>
      <w:r w:rsidR="003A0ACC" w:rsidRPr="00766065">
        <w:rPr>
          <w:rFonts w:cs="Verdana Bold"/>
          <w:b/>
          <w:bCs/>
          <w:caps/>
          <w:szCs w:val="20"/>
        </w:rPr>
        <w:t xml:space="preserve"> de </w:t>
      </w:r>
      <w:r w:rsidR="00C85C29">
        <w:rPr>
          <w:rFonts w:cs="Verdana Bold"/>
          <w:b/>
          <w:bCs/>
          <w:caps/>
          <w:szCs w:val="20"/>
        </w:rPr>
        <w:t>octubre</w:t>
      </w:r>
      <w:r w:rsidRPr="00766065">
        <w:rPr>
          <w:rFonts w:cs="Verdana Bold"/>
          <w:b/>
          <w:bCs/>
          <w:caps/>
          <w:szCs w:val="20"/>
        </w:rPr>
        <w:t xml:space="preserve"> de 20</w:t>
      </w:r>
      <w:r w:rsidR="00A7143E" w:rsidRPr="00766065">
        <w:rPr>
          <w:rFonts w:cs="Verdana Bold"/>
          <w:b/>
          <w:bCs/>
          <w:caps/>
          <w:szCs w:val="20"/>
        </w:rPr>
        <w:t>20</w:t>
      </w:r>
    </w:p>
    <w:p w14:paraId="0511942D" w14:textId="77777777" w:rsidR="00DF2489" w:rsidRPr="005562D7" w:rsidRDefault="00DF2489" w:rsidP="005562D7">
      <w:pPr>
        <w:spacing w:after="0"/>
        <w:ind w:right="-316"/>
        <w:rPr>
          <w:rFonts w:cs="Verdana Bold"/>
          <w:bCs/>
          <w:caps/>
          <w:szCs w:val="20"/>
        </w:rPr>
      </w:pPr>
    </w:p>
    <w:p w14:paraId="367B0129" w14:textId="41334588" w:rsidR="00E82E67" w:rsidRPr="005562D7" w:rsidRDefault="00DF2489" w:rsidP="005562D7">
      <w:pPr>
        <w:spacing w:after="0"/>
        <w:ind w:right="-316"/>
        <w:jc w:val="center"/>
        <w:rPr>
          <w:rFonts w:cs="Verdana Bold"/>
          <w:b/>
          <w:bCs/>
          <w:caps/>
          <w:szCs w:val="20"/>
        </w:rPr>
      </w:pPr>
      <w:r w:rsidRPr="005562D7">
        <w:rPr>
          <w:rFonts w:cs="Verdana Bold"/>
          <w:b/>
          <w:bCs/>
          <w:szCs w:val="20"/>
          <w:lang w:val="es-CR"/>
        </w:rPr>
        <w:t xml:space="preserve">CASO </w:t>
      </w:r>
      <w:r w:rsidR="001245BE">
        <w:rPr>
          <w:rFonts w:cs="Arial"/>
          <w:b/>
          <w:szCs w:val="20"/>
          <w:lang w:val="es-CR"/>
        </w:rPr>
        <w:t>GUERRERO, MOLINA Y OTROS</w:t>
      </w:r>
      <w:r w:rsidRPr="005562D7">
        <w:rPr>
          <w:rFonts w:cs="Arial"/>
          <w:b/>
          <w:szCs w:val="20"/>
          <w:lang w:val="es-CR"/>
        </w:rPr>
        <w:t xml:space="preserve"> </w:t>
      </w:r>
      <w:r w:rsidRPr="005562D7">
        <w:rPr>
          <w:rFonts w:cs="Verdana Bold"/>
          <w:b/>
          <w:bCs/>
          <w:caps/>
          <w:szCs w:val="20"/>
          <w:lang w:val="es-CR"/>
        </w:rPr>
        <w:t xml:space="preserve">VS. </w:t>
      </w:r>
      <w:r w:rsidR="001245BE">
        <w:rPr>
          <w:rFonts w:cs="Verdana Bold"/>
          <w:b/>
          <w:bCs/>
          <w:caps/>
          <w:szCs w:val="20"/>
          <w:lang w:val="es-CR"/>
        </w:rPr>
        <w:t>VENEZUELA</w:t>
      </w:r>
    </w:p>
    <w:p w14:paraId="27E84AE0" w14:textId="77777777" w:rsidR="00DF2489" w:rsidRPr="005562D7" w:rsidRDefault="00DF2489" w:rsidP="005562D7">
      <w:pPr>
        <w:spacing w:after="0"/>
        <w:rPr>
          <w:rFonts w:cs="Verdana"/>
          <w:bCs/>
          <w:caps/>
          <w:szCs w:val="20"/>
        </w:rPr>
      </w:pPr>
    </w:p>
    <w:p w14:paraId="158D4A12" w14:textId="77777777" w:rsidR="00DF2489" w:rsidRPr="005562D7" w:rsidRDefault="00DF2489" w:rsidP="005562D7">
      <w:pPr>
        <w:spacing w:after="0"/>
        <w:rPr>
          <w:rFonts w:cs="Verdana"/>
          <w:bCs/>
          <w:caps/>
          <w:szCs w:val="20"/>
        </w:rPr>
      </w:pPr>
    </w:p>
    <w:p w14:paraId="685F4E15" w14:textId="77777777" w:rsidR="00DF2489" w:rsidRPr="005562D7" w:rsidRDefault="00DF2489" w:rsidP="005562D7">
      <w:pPr>
        <w:spacing w:after="0"/>
        <w:rPr>
          <w:rFonts w:cs="Verdana"/>
          <w:b/>
          <w:bCs/>
          <w:caps/>
          <w:szCs w:val="20"/>
        </w:rPr>
      </w:pPr>
      <w:r w:rsidRPr="005562D7">
        <w:rPr>
          <w:rFonts w:cs="Verdana"/>
          <w:b/>
          <w:bCs/>
          <w:caps/>
          <w:szCs w:val="20"/>
        </w:rPr>
        <w:t>Visto:</w:t>
      </w:r>
    </w:p>
    <w:p w14:paraId="2B4368A7" w14:textId="77777777" w:rsidR="00DF2489" w:rsidRPr="005562D7" w:rsidRDefault="00DF2489" w:rsidP="005562D7">
      <w:pPr>
        <w:spacing w:after="0"/>
        <w:rPr>
          <w:rFonts w:cs="Verdana"/>
          <w:bCs/>
          <w:caps/>
          <w:szCs w:val="20"/>
        </w:rPr>
      </w:pPr>
    </w:p>
    <w:p w14:paraId="51B6D61B" w14:textId="181F3364" w:rsidR="0019600A" w:rsidRPr="005562D7" w:rsidRDefault="00DF2489"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bookmarkStart w:id="1" w:name="_Ref393297742"/>
      <w:bookmarkStart w:id="2" w:name="_Ref352676460"/>
      <w:bookmarkStart w:id="3" w:name="_Ref393297780"/>
      <w:bookmarkStart w:id="4" w:name="_Ref393920719"/>
      <w:r w:rsidRPr="005562D7">
        <w:rPr>
          <w:rFonts w:ascii="Verdana" w:hAnsi="Verdana"/>
          <w:sz w:val="20"/>
          <w:szCs w:val="20"/>
          <w:lang w:val="es-CR"/>
        </w:rPr>
        <w:t>El escrito de sometimiento del caso y el Informe de Fondo</w:t>
      </w:r>
      <w:r w:rsidR="00DA792E" w:rsidRPr="005562D7">
        <w:rPr>
          <w:rFonts w:ascii="Verdana" w:hAnsi="Verdana"/>
          <w:sz w:val="20"/>
          <w:szCs w:val="20"/>
          <w:lang w:val="es-CR"/>
        </w:rPr>
        <w:t xml:space="preserve"> </w:t>
      </w:r>
      <w:r w:rsidR="00011AE1">
        <w:rPr>
          <w:rFonts w:ascii="Verdana" w:hAnsi="Verdana"/>
          <w:sz w:val="20"/>
          <w:szCs w:val="20"/>
          <w:lang w:val="es-CR"/>
        </w:rPr>
        <w:t xml:space="preserve">No. </w:t>
      </w:r>
      <w:r w:rsidR="00DA792E" w:rsidRPr="005562D7">
        <w:rPr>
          <w:rFonts w:ascii="Verdana" w:hAnsi="Verdana"/>
          <w:sz w:val="20"/>
          <w:szCs w:val="20"/>
          <w:lang w:val="es-CR"/>
        </w:rPr>
        <w:t>16</w:t>
      </w:r>
      <w:r w:rsidR="00E8252C">
        <w:rPr>
          <w:rFonts w:ascii="Verdana" w:hAnsi="Verdana"/>
          <w:sz w:val="20"/>
          <w:szCs w:val="20"/>
          <w:lang w:val="es-CR"/>
        </w:rPr>
        <w:t>0</w:t>
      </w:r>
      <w:r w:rsidR="00DA792E" w:rsidRPr="005562D7">
        <w:rPr>
          <w:rFonts w:ascii="Verdana" w:hAnsi="Verdana"/>
          <w:sz w:val="20"/>
          <w:szCs w:val="20"/>
          <w:lang w:val="es-CR"/>
        </w:rPr>
        <w:t>/18</w:t>
      </w:r>
      <w:r w:rsidRPr="005562D7">
        <w:rPr>
          <w:rFonts w:ascii="Verdana" w:hAnsi="Verdana"/>
          <w:sz w:val="20"/>
          <w:szCs w:val="20"/>
          <w:lang w:val="es-CR"/>
        </w:rPr>
        <w:t xml:space="preserve"> de la Comisión Interamericana de Derechos Humanos (en adelante</w:t>
      </w:r>
      <w:r w:rsidR="00E8252C">
        <w:rPr>
          <w:rFonts w:ascii="Verdana" w:hAnsi="Verdana"/>
          <w:sz w:val="20"/>
          <w:szCs w:val="20"/>
          <w:lang w:val="es-CR"/>
        </w:rPr>
        <w:t xml:space="preserve"> también</w:t>
      </w:r>
      <w:r w:rsidRPr="005562D7">
        <w:rPr>
          <w:rFonts w:ascii="Verdana" w:hAnsi="Verdana"/>
          <w:sz w:val="20"/>
          <w:szCs w:val="20"/>
          <w:lang w:val="es-CR"/>
        </w:rPr>
        <w:t xml:space="preserve"> “la Comisión Interamericana” o “la Comisión”)</w:t>
      </w:r>
      <w:bookmarkEnd w:id="1"/>
      <w:r w:rsidRPr="005562D7">
        <w:rPr>
          <w:rFonts w:ascii="Verdana" w:hAnsi="Verdana"/>
          <w:sz w:val="20"/>
          <w:szCs w:val="20"/>
          <w:lang w:val="es-CR"/>
        </w:rPr>
        <w:t xml:space="preserve">; </w:t>
      </w:r>
      <w:bookmarkStart w:id="5" w:name="_Ref351983508"/>
      <w:bookmarkStart w:id="6" w:name="_Ref393297751"/>
      <w:bookmarkEnd w:id="2"/>
      <w:r w:rsidRPr="005562D7">
        <w:rPr>
          <w:rFonts w:ascii="Verdana" w:hAnsi="Verdana"/>
          <w:sz w:val="20"/>
          <w:szCs w:val="20"/>
          <w:lang w:val="es-CR"/>
        </w:rPr>
        <w:t xml:space="preserve">el escrito de solicitudes, argumentos y pruebas (en adelante “escrito de solicitudes y argumentos”) </w:t>
      </w:r>
      <w:r w:rsidR="00E8252C">
        <w:rPr>
          <w:rFonts w:ascii="Verdana" w:hAnsi="Verdana"/>
          <w:sz w:val="20"/>
          <w:szCs w:val="20"/>
          <w:lang w:val="es-CR"/>
        </w:rPr>
        <w:t xml:space="preserve">presentado por los representantes </w:t>
      </w:r>
      <w:r w:rsidRPr="005562D7">
        <w:rPr>
          <w:rFonts w:ascii="Verdana" w:hAnsi="Verdana"/>
          <w:sz w:val="20"/>
          <w:szCs w:val="20"/>
          <w:lang w:val="es-CL" w:eastAsia="en-US"/>
        </w:rPr>
        <w:t xml:space="preserve">de </w:t>
      </w:r>
      <w:r w:rsidR="001A53E8" w:rsidRPr="005562D7">
        <w:rPr>
          <w:rFonts w:ascii="Verdana" w:hAnsi="Verdana"/>
          <w:sz w:val="20"/>
          <w:szCs w:val="20"/>
          <w:lang w:val="es-CL" w:eastAsia="en-US"/>
        </w:rPr>
        <w:t>la</w:t>
      </w:r>
      <w:r w:rsidR="00E8252C">
        <w:rPr>
          <w:rFonts w:ascii="Verdana" w:hAnsi="Verdana"/>
          <w:sz w:val="20"/>
          <w:szCs w:val="20"/>
          <w:lang w:val="es-CL" w:eastAsia="en-US"/>
        </w:rPr>
        <w:t>s</w:t>
      </w:r>
      <w:r w:rsidR="001A53E8" w:rsidRPr="005562D7">
        <w:rPr>
          <w:rFonts w:ascii="Verdana" w:hAnsi="Verdana"/>
          <w:sz w:val="20"/>
          <w:szCs w:val="20"/>
          <w:lang w:val="es-CL" w:eastAsia="en-US"/>
        </w:rPr>
        <w:t xml:space="preserve"> presunta</w:t>
      </w:r>
      <w:r w:rsidR="00E8252C">
        <w:rPr>
          <w:rFonts w:ascii="Verdana" w:hAnsi="Verdana"/>
          <w:sz w:val="20"/>
          <w:szCs w:val="20"/>
          <w:lang w:val="es-CL" w:eastAsia="en-US"/>
        </w:rPr>
        <w:t>s</w:t>
      </w:r>
      <w:r w:rsidR="001A53E8" w:rsidRPr="005562D7">
        <w:rPr>
          <w:rFonts w:ascii="Verdana" w:hAnsi="Verdana"/>
          <w:sz w:val="20"/>
          <w:szCs w:val="20"/>
          <w:lang w:val="es-CL" w:eastAsia="en-US"/>
        </w:rPr>
        <w:t xml:space="preserve"> víctima</w:t>
      </w:r>
      <w:r w:rsidR="00E8252C">
        <w:rPr>
          <w:rFonts w:ascii="Verdana" w:hAnsi="Verdana"/>
          <w:sz w:val="20"/>
          <w:szCs w:val="20"/>
          <w:lang w:val="es-CL" w:eastAsia="en-US"/>
        </w:rPr>
        <w:t>s (en adelante también “los representantes”)</w:t>
      </w:r>
      <w:r w:rsidR="00E8252C">
        <w:rPr>
          <w:rStyle w:val="Refdenotaalpie"/>
          <w:rFonts w:ascii="Verdana" w:hAnsi="Verdana"/>
          <w:sz w:val="20"/>
          <w:szCs w:val="20"/>
          <w:lang w:val="es-CL" w:eastAsia="en-US"/>
        </w:rPr>
        <w:footnoteReference w:id="1"/>
      </w:r>
      <w:r w:rsidR="00415FB8" w:rsidRPr="005562D7">
        <w:rPr>
          <w:rFonts w:ascii="Verdana" w:hAnsi="Verdana"/>
          <w:sz w:val="20"/>
          <w:szCs w:val="20"/>
          <w:lang w:val="es-CR"/>
        </w:rPr>
        <w:t>, y</w:t>
      </w:r>
      <w:r w:rsidRPr="005562D7">
        <w:rPr>
          <w:rFonts w:ascii="Verdana" w:hAnsi="Verdana"/>
          <w:sz w:val="20"/>
          <w:szCs w:val="20"/>
          <w:lang w:val="es-CR"/>
        </w:rPr>
        <w:t xml:space="preserve"> </w:t>
      </w:r>
      <w:bookmarkStart w:id="7" w:name="_Ref352676532"/>
      <w:bookmarkEnd w:id="5"/>
      <w:bookmarkEnd w:id="6"/>
      <w:r w:rsidR="003A0ACC" w:rsidRPr="005562D7">
        <w:rPr>
          <w:rFonts w:ascii="Verdana" w:hAnsi="Verdana"/>
          <w:sz w:val="20"/>
          <w:szCs w:val="20"/>
          <w:lang w:val="es-CR"/>
        </w:rPr>
        <w:t>el escrito de</w:t>
      </w:r>
      <w:r w:rsidR="008B3F0F" w:rsidRPr="005562D7">
        <w:rPr>
          <w:rFonts w:ascii="Verdana" w:hAnsi="Verdana"/>
          <w:sz w:val="20"/>
          <w:szCs w:val="20"/>
          <w:lang w:val="es-CR"/>
        </w:rPr>
        <w:t xml:space="preserve"> </w:t>
      </w:r>
      <w:r w:rsidRPr="005562D7">
        <w:rPr>
          <w:rFonts w:ascii="Verdana" w:hAnsi="Verdana"/>
          <w:sz w:val="20"/>
          <w:szCs w:val="20"/>
          <w:lang w:val="es-CR"/>
        </w:rPr>
        <w:t>contestación al sometimiento del ca</w:t>
      </w:r>
      <w:r w:rsidR="000A45F8" w:rsidRPr="005562D7">
        <w:rPr>
          <w:rFonts w:ascii="Verdana" w:hAnsi="Verdana"/>
          <w:sz w:val="20"/>
          <w:szCs w:val="20"/>
          <w:lang w:val="es-CR"/>
        </w:rPr>
        <w:t>so</w:t>
      </w:r>
      <w:r w:rsidR="00CD49B9" w:rsidRPr="005562D7">
        <w:rPr>
          <w:rFonts w:ascii="Verdana" w:hAnsi="Verdana"/>
          <w:sz w:val="20"/>
          <w:szCs w:val="20"/>
          <w:lang w:val="es-CR"/>
        </w:rPr>
        <w:t xml:space="preserve"> e Informe de Fondo</w:t>
      </w:r>
      <w:r w:rsidR="00CA07D6">
        <w:rPr>
          <w:rFonts w:ascii="Verdana" w:hAnsi="Verdana"/>
          <w:sz w:val="20"/>
          <w:szCs w:val="20"/>
          <w:lang w:val="es-CR"/>
        </w:rPr>
        <w:t xml:space="preserve"> y al escrito de solicitudes y</w:t>
      </w:r>
      <w:r w:rsidRPr="005562D7">
        <w:rPr>
          <w:rFonts w:ascii="Verdana" w:hAnsi="Verdana"/>
          <w:sz w:val="20"/>
          <w:szCs w:val="20"/>
          <w:lang w:val="es-CR"/>
        </w:rPr>
        <w:t xml:space="preserve"> </w:t>
      </w:r>
      <w:r w:rsidR="00CA07D6">
        <w:rPr>
          <w:rFonts w:ascii="Verdana" w:hAnsi="Verdana"/>
          <w:sz w:val="20"/>
          <w:szCs w:val="20"/>
          <w:lang w:val="es-CR"/>
        </w:rPr>
        <w:t>argumentos</w:t>
      </w:r>
      <w:r w:rsidRPr="005562D7">
        <w:rPr>
          <w:rFonts w:ascii="Verdana" w:hAnsi="Verdana"/>
          <w:sz w:val="20"/>
          <w:szCs w:val="20"/>
          <w:lang w:val="es-CR"/>
        </w:rPr>
        <w:t xml:space="preserve"> (en adelant</w:t>
      </w:r>
      <w:r w:rsidR="00694653" w:rsidRPr="005562D7">
        <w:rPr>
          <w:rFonts w:ascii="Verdana" w:hAnsi="Verdana"/>
          <w:sz w:val="20"/>
          <w:szCs w:val="20"/>
          <w:lang w:val="es-CR"/>
        </w:rPr>
        <w:t>e “escrito de contestación”</w:t>
      </w:r>
      <w:r w:rsidR="00BF7BD4">
        <w:rPr>
          <w:rFonts w:ascii="Verdana" w:hAnsi="Verdana"/>
          <w:sz w:val="20"/>
          <w:szCs w:val="20"/>
          <w:lang w:val="es-CR"/>
        </w:rPr>
        <w:t xml:space="preserve"> o “contestación”</w:t>
      </w:r>
      <w:r w:rsidR="00694653" w:rsidRPr="005562D7">
        <w:rPr>
          <w:rFonts w:ascii="Verdana" w:hAnsi="Verdana"/>
          <w:sz w:val="20"/>
          <w:szCs w:val="20"/>
          <w:lang w:val="es-CR"/>
        </w:rPr>
        <w:t>) de</w:t>
      </w:r>
      <w:r w:rsidR="00340402" w:rsidRPr="005562D7">
        <w:rPr>
          <w:rFonts w:ascii="Verdana" w:hAnsi="Verdana"/>
          <w:sz w:val="20"/>
          <w:szCs w:val="20"/>
          <w:lang w:val="es-CR"/>
        </w:rPr>
        <w:t xml:space="preserve"> </w:t>
      </w:r>
      <w:r w:rsidR="00694653" w:rsidRPr="005562D7">
        <w:rPr>
          <w:rFonts w:ascii="Verdana" w:hAnsi="Verdana"/>
          <w:sz w:val="20"/>
          <w:szCs w:val="20"/>
          <w:lang w:val="es-CR"/>
        </w:rPr>
        <w:t>l</w:t>
      </w:r>
      <w:r w:rsidR="00340402" w:rsidRPr="005562D7">
        <w:rPr>
          <w:rFonts w:ascii="Verdana" w:hAnsi="Verdana"/>
          <w:sz w:val="20"/>
          <w:szCs w:val="20"/>
          <w:lang w:val="es-CR"/>
        </w:rPr>
        <w:t xml:space="preserve">a República </w:t>
      </w:r>
      <w:r w:rsidR="00CA07D6">
        <w:rPr>
          <w:rFonts w:ascii="Verdana" w:hAnsi="Verdana"/>
          <w:sz w:val="20"/>
          <w:szCs w:val="20"/>
          <w:lang w:val="es-CR"/>
        </w:rPr>
        <w:t>Bolivariana de Venezuela</w:t>
      </w:r>
      <w:r w:rsidR="00694653" w:rsidRPr="005562D7">
        <w:rPr>
          <w:rFonts w:ascii="Verdana" w:hAnsi="Verdana"/>
          <w:sz w:val="20"/>
          <w:szCs w:val="20"/>
          <w:lang w:val="es-CR"/>
        </w:rPr>
        <w:t xml:space="preserve"> </w:t>
      </w:r>
      <w:r w:rsidRPr="005562D7">
        <w:rPr>
          <w:rFonts w:ascii="Verdana" w:hAnsi="Verdana"/>
          <w:sz w:val="20"/>
          <w:szCs w:val="20"/>
          <w:lang w:val="es-CR"/>
        </w:rPr>
        <w:t>(en adelante</w:t>
      </w:r>
      <w:r w:rsidR="00CA07D6">
        <w:rPr>
          <w:rFonts w:ascii="Verdana" w:hAnsi="Verdana"/>
          <w:sz w:val="20"/>
          <w:szCs w:val="20"/>
          <w:lang w:val="es-CR"/>
        </w:rPr>
        <w:t xml:space="preserve"> también</w:t>
      </w:r>
      <w:r w:rsidRPr="005562D7">
        <w:rPr>
          <w:rFonts w:ascii="Verdana" w:hAnsi="Verdana"/>
          <w:sz w:val="20"/>
          <w:szCs w:val="20"/>
          <w:lang w:val="es-CR"/>
        </w:rPr>
        <w:t xml:space="preserve"> </w:t>
      </w:r>
      <w:r w:rsidR="00415FB8" w:rsidRPr="005562D7">
        <w:rPr>
          <w:rFonts w:ascii="Verdana" w:hAnsi="Verdana"/>
          <w:sz w:val="20"/>
          <w:szCs w:val="20"/>
          <w:lang w:val="es-CR"/>
        </w:rPr>
        <w:t xml:space="preserve">“el Estado”, o </w:t>
      </w:r>
      <w:r w:rsidRPr="005562D7">
        <w:rPr>
          <w:rFonts w:ascii="Verdana" w:hAnsi="Verdana"/>
          <w:sz w:val="20"/>
          <w:szCs w:val="20"/>
          <w:lang w:val="es-CR"/>
        </w:rPr>
        <w:t>“</w:t>
      </w:r>
      <w:r w:rsidR="00CA07D6">
        <w:rPr>
          <w:rFonts w:ascii="Verdana" w:hAnsi="Verdana"/>
          <w:sz w:val="20"/>
          <w:szCs w:val="20"/>
          <w:lang w:val="es-CR"/>
        </w:rPr>
        <w:t>Venezuela</w:t>
      </w:r>
      <w:r w:rsidRPr="005562D7">
        <w:rPr>
          <w:rFonts w:ascii="Verdana" w:hAnsi="Verdana"/>
          <w:sz w:val="20"/>
          <w:szCs w:val="20"/>
          <w:lang w:val="es-CR"/>
        </w:rPr>
        <w:t>”)</w:t>
      </w:r>
      <w:bookmarkEnd w:id="3"/>
      <w:bookmarkEnd w:id="7"/>
      <w:r w:rsidR="00DA792E" w:rsidRPr="005562D7">
        <w:rPr>
          <w:rFonts w:ascii="Verdana" w:hAnsi="Verdana"/>
          <w:sz w:val="20"/>
          <w:szCs w:val="20"/>
          <w:lang w:val="es-CR"/>
        </w:rPr>
        <w:t xml:space="preserve">, </w:t>
      </w:r>
      <w:r w:rsidR="00DA6FFD">
        <w:rPr>
          <w:rFonts w:ascii="Verdana" w:hAnsi="Verdana"/>
          <w:sz w:val="20"/>
          <w:szCs w:val="20"/>
          <w:lang w:val="es-CR"/>
        </w:rPr>
        <w:t>así como</w:t>
      </w:r>
      <w:r w:rsidR="00DA792E" w:rsidRPr="005562D7">
        <w:rPr>
          <w:rFonts w:ascii="Verdana" w:hAnsi="Verdana"/>
          <w:sz w:val="20"/>
          <w:szCs w:val="20"/>
          <w:lang w:val="es-CR"/>
        </w:rPr>
        <w:t xml:space="preserve"> la documentación anexa a dichos escritos.</w:t>
      </w:r>
    </w:p>
    <w:p w14:paraId="23DDD5DD" w14:textId="77777777" w:rsidR="003B78E1" w:rsidRPr="003A7311" w:rsidRDefault="003B78E1" w:rsidP="005562D7">
      <w:pPr>
        <w:pStyle w:val="Prrafodelista"/>
        <w:rPr>
          <w:rFonts w:ascii="Verdana" w:hAnsi="Verdana"/>
          <w:color w:val="auto"/>
          <w:sz w:val="20"/>
          <w:szCs w:val="20"/>
          <w:lang w:val="es-419"/>
        </w:rPr>
      </w:pPr>
    </w:p>
    <w:p w14:paraId="5AA54658" w14:textId="6C7829E6" w:rsidR="009D672B" w:rsidRPr="009D672B" w:rsidRDefault="009D672B" w:rsidP="009D672B">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419"/>
        </w:rPr>
      </w:pPr>
      <w:r>
        <w:rPr>
          <w:rFonts w:ascii="Verdana" w:hAnsi="Verdana"/>
          <w:color w:val="auto"/>
          <w:sz w:val="20"/>
          <w:szCs w:val="20"/>
          <w:lang w:val="es-419"/>
        </w:rPr>
        <w:t xml:space="preserve">Los escritos de los representantes de </w:t>
      </w:r>
      <w:r w:rsidRPr="00295899">
        <w:rPr>
          <w:rFonts w:ascii="Verdana" w:hAnsi="Verdana"/>
          <w:color w:val="auto"/>
          <w:sz w:val="20"/>
          <w:szCs w:val="20"/>
          <w:lang w:val="es-419"/>
        </w:rPr>
        <w:t xml:space="preserve">19 de julio de 2019 y </w:t>
      </w:r>
      <w:r w:rsidR="00295899" w:rsidRPr="00295899">
        <w:rPr>
          <w:rFonts w:ascii="Verdana" w:hAnsi="Verdana"/>
          <w:color w:val="auto"/>
          <w:sz w:val="20"/>
          <w:szCs w:val="20"/>
          <w:lang w:val="es-419"/>
        </w:rPr>
        <w:t xml:space="preserve">6 de enero de </w:t>
      </w:r>
      <w:r w:rsidR="00121E83">
        <w:rPr>
          <w:rFonts w:ascii="Verdana" w:hAnsi="Verdana"/>
          <w:color w:val="auto"/>
          <w:sz w:val="20"/>
          <w:szCs w:val="20"/>
          <w:lang w:val="es-419"/>
        </w:rPr>
        <w:t>2020</w:t>
      </w:r>
      <w:r w:rsidR="00783317">
        <w:rPr>
          <w:rFonts w:ascii="Verdana" w:hAnsi="Verdana"/>
          <w:color w:val="auto"/>
          <w:sz w:val="20"/>
          <w:szCs w:val="20"/>
          <w:lang w:val="es-419"/>
        </w:rPr>
        <w:t>, por los que solicitaron que se requiera al Estado la remisión de copia de un expediente interno,</w:t>
      </w:r>
      <w:r w:rsidR="00121E83">
        <w:rPr>
          <w:rFonts w:ascii="Verdana" w:hAnsi="Verdana"/>
          <w:color w:val="auto"/>
          <w:sz w:val="20"/>
          <w:szCs w:val="20"/>
          <w:lang w:val="es-419"/>
        </w:rPr>
        <w:t xml:space="preserve"> </w:t>
      </w:r>
      <w:r>
        <w:rPr>
          <w:rFonts w:ascii="Verdana" w:hAnsi="Verdana"/>
          <w:color w:val="auto"/>
          <w:sz w:val="20"/>
          <w:szCs w:val="20"/>
          <w:lang w:val="es-419"/>
        </w:rPr>
        <w:t>y las comunicaciones</w:t>
      </w:r>
      <w:r w:rsidR="00783317">
        <w:rPr>
          <w:rFonts w:ascii="Verdana" w:hAnsi="Verdana"/>
          <w:color w:val="auto"/>
          <w:sz w:val="20"/>
          <w:szCs w:val="20"/>
          <w:lang w:val="es-419"/>
        </w:rPr>
        <w:t>, relativas a esa solicitud,</w:t>
      </w:r>
      <w:r>
        <w:rPr>
          <w:rFonts w:ascii="Verdana" w:hAnsi="Verdana"/>
          <w:color w:val="auto"/>
          <w:sz w:val="20"/>
          <w:szCs w:val="20"/>
          <w:lang w:val="es-419"/>
        </w:rPr>
        <w:t xml:space="preserve"> de la Secretaría de la Corte</w:t>
      </w:r>
      <w:r w:rsidR="00A665D1">
        <w:rPr>
          <w:rFonts w:ascii="Verdana" w:hAnsi="Verdana"/>
          <w:color w:val="auto"/>
          <w:sz w:val="20"/>
          <w:szCs w:val="20"/>
          <w:lang w:val="es-419"/>
        </w:rPr>
        <w:t xml:space="preserve"> Interamericana de Derechos Humanos</w:t>
      </w:r>
      <w:r>
        <w:rPr>
          <w:rFonts w:ascii="Verdana" w:hAnsi="Verdana"/>
          <w:color w:val="auto"/>
          <w:sz w:val="20"/>
          <w:szCs w:val="20"/>
          <w:lang w:val="es-419"/>
        </w:rPr>
        <w:t xml:space="preserve"> </w:t>
      </w:r>
      <w:r w:rsidR="00A665D1">
        <w:rPr>
          <w:rFonts w:ascii="Verdana" w:hAnsi="Verdana"/>
          <w:color w:val="auto"/>
          <w:sz w:val="20"/>
          <w:szCs w:val="20"/>
          <w:lang w:val="es-419"/>
        </w:rPr>
        <w:t xml:space="preserve">(en adelante también “Secretaría” o “Secretaría de la Corte”) </w:t>
      </w:r>
      <w:r>
        <w:rPr>
          <w:rFonts w:ascii="Verdana" w:hAnsi="Verdana"/>
          <w:color w:val="auto"/>
          <w:sz w:val="20"/>
          <w:szCs w:val="20"/>
          <w:lang w:val="es-419"/>
        </w:rPr>
        <w:t>de 22 de julio de 2019</w:t>
      </w:r>
      <w:r w:rsidR="00295899">
        <w:rPr>
          <w:rFonts w:ascii="Verdana" w:hAnsi="Verdana"/>
          <w:color w:val="auto"/>
          <w:sz w:val="20"/>
          <w:szCs w:val="20"/>
          <w:lang w:val="es-419"/>
        </w:rPr>
        <w:t xml:space="preserve"> y 9 de enero de 2020</w:t>
      </w:r>
      <w:r w:rsidR="009B74BB">
        <w:rPr>
          <w:rFonts w:ascii="Verdana" w:hAnsi="Verdana"/>
          <w:color w:val="auto"/>
          <w:sz w:val="20"/>
          <w:szCs w:val="20"/>
          <w:lang w:val="es-419"/>
        </w:rPr>
        <w:t xml:space="preserve"> (</w:t>
      </w:r>
      <w:r w:rsidR="009B74BB">
        <w:rPr>
          <w:rFonts w:ascii="Verdana" w:hAnsi="Verdana"/>
          <w:i/>
          <w:color w:val="auto"/>
          <w:sz w:val="20"/>
          <w:szCs w:val="20"/>
          <w:lang w:val="es-419"/>
        </w:rPr>
        <w:t xml:space="preserve">infra </w:t>
      </w:r>
      <w:r w:rsidR="009B74BB">
        <w:rPr>
          <w:rFonts w:ascii="Verdana" w:hAnsi="Verdana"/>
          <w:color w:val="auto"/>
          <w:sz w:val="20"/>
          <w:szCs w:val="20"/>
          <w:lang w:val="es-419"/>
        </w:rPr>
        <w:t xml:space="preserve">Considerandos </w:t>
      </w:r>
      <w:r w:rsidR="00276B66">
        <w:rPr>
          <w:rFonts w:ascii="Verdana" w:hAnsi="Verdana"/>
          <w:color w:val="auto"/>
          <w:sz w:val="20"/>
          <w:szCs w:val="20"/>
          <w:lang w:val="es-419"/>
        </w:rPr>
        <w:t>48 y 49</w:t>
      </w:r>
      <w:r w:rsidR="009B74BB">
        <w:rPr>
          <w:rFonts w:ascii="Verdana" w:hAnsi="Verdana"/>
          <w:color w:val="auto"/>
          <w:sz w:val="20"/>
          <w:szCs w:val="20"/>
          <w:lang w:val="es-419"/>
        </w:rPr>
        <w:t>)</w:t>
      </w:r>
      <w:r>
        <w:rPr>
          <w:rFonts w:ascii="Verdana" w:hAnsi="Verdana"/>
          <w:sz w:val="20"/>
          <w:lang w:val="es-ES"/>
        </w:rPr>
        <w:t xml:space="preserve">. </w:t>
      </w:r>
    </w:p>
    <w:p w14:paraId="5E66CFA3" w14:textId="77777777" w:rsidR="009D672B" w:rsidRPr="009D672B" w:rsidRDefault="009D672B" w:rsidP="009D672B">
      <w:pPr>
        <w:pStyle w:val="Prrafodelista"/>
        <w:rPr>
          <w:rFonts w:ascii="Verdana" w:hAnsi="Verdana"/>
          <w:sz w:val="20"/>
          <w:szCs w:val="20"/>
          <w:lang w:val="es-419"/>
        </w:rPr>
      </w:pPr>
    </w:p>
    <w:p w14:paraId="7A03C7AA" w14:textId="08F72CF8" w:rsidR="00CD42AC" w:rsidRPr="0009425C" w:rsidRDefault="00CD42AC" w:rsidP="0009425C">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419"/>
        </w:rPr>
      </w:pPr>
      <w:r>
        <w:rPr>
          <w:rFonts w:ascii="Verdana" w:hAnsi="Verdana"/>
          <w:sz w:val="20"/>
          <w:szCs w:val="20"/>
          <w:lang w:val="es-419"/>
        </w:rPr>
        <w:t xml:space="preserve">La Resolución de 20 de enero de 2020 de esta </w:t>
      </w:r>
      <w:proofErr w:type="gramStart"/>
      <w:r>
        <w:rPr>
          <w:rFonts w:ascii="Verdana" w:hAnsi="Verdana"/>
          <w:sz w:val="20"/>
          <w:szCs w:val="20"/>
          <w:lang w:val="es-419"/>
        </w:rPr>
        <w:t>Preside</w:t>
      </w:r>
      <w:r w:rsidR="00A665D1">
        <w:rPr>
          <w:rFonts w:ascii="Verdana" w:hAnsi="Verdana"/>
          <w:sz w:val="20"/>
          <w:szCs w:val="20"/>
          <w:lang w:val="es-419"/>
        </w:rPr>
        <w:t>nta</w:t>
      </w:r>
      <w:proofErr w:type="gramEnd"/>
      <w:r w:rsidR="00A665D1">
        <w:rPr>
          <w:rFonts w:ascii="Verdana" w:hAnsi="Verdana"/>
          <w:sz w:val="20"/>
          <w:szCs w:val="20"/>
          <w:lang w:val="es-419"/>
        </w:rPr>
        <w:t xml:space="preserve"> de la Corte Interamericana de Derechos Humanos (en adelante también “Presidenta” o “</w:t>
      </w:r>
      <w:r w:rsidR="007A474F">
        <w:rPr>
          <w:rFonts w:ascii="Verdana" w:hAnsi="Verdana"/>
          <w:sz w:val="20"/>
          <w:szCs w:val="20"/>
          <w:lang w:val="es-419"/>
        </w:rPr>
        <w:t>Presidencia”)</w:t>
      </w:r>
      <w:r>
        <w:rPr>
          <w:rFonts w:ascii="Verdana" w:hAnsi="Verdana"/>
          <w:sz w:val="20"/>
          <w:szCs w:val="20"/>
          <w:lang w:val="es-419"/>
        </w:rPr>
        <w:t>, por la cual resolvió “[d]</w:t>
      </w:r>
      <w:proofErr w:type="spellStart"/>
      <w:r>
        <w:rPr>
          <w:rFonts w:ascii="Verdana" w:hAnsi="Verdana"/>
          <w:sz w:val="20"/>
          <w:szCs w:val="20"/>
          <w:lang w:val="es-419"/>
        </w:rPr>
        <w:t>eclarar</w:t>
      </w:r>
      <w:proofErr w:type="spellEnd"/>
      <w:r>
        <w:rPr>
          <w:rFonts w:ascii="Verdana" w:hAnsi="Verdana"/>
          <w:sz w:val="20"/>
          <w:szCs w:val="20"/>
          <w:lang w:val="es-419"/>
        </w:rPr>
        <w:t xml:space="preserve"> procedente” la solicitud de las presuntas víctimas de acogerse al </w:t>
      </w:r>
      <w:r w:rsidR="0009425C">
        <w:rPr>
          <w:rFonts w:ascii="Verdana" w:hAnsi="Verdana"/>
          <w:sz w:val="20"/>
          <w:szCs w:val="20"/>
          <w:lang w:val="es-419"/>
        </w:rPr>
        <w:t xml:space="preserve">Fondo de </w:t>
      </w:r>
      <w:r w:rsidR="0009425C" w:rsidRPr="003A7311">
        <w:rPr>
          <w:rFonts w:ascii="Verdana" w:hAnsi="Verdana"/>
          <w:sz w:val="20"/>
          <w:szCs w:val="20"/>
          <w:lang w:val="es-419"/>
        </w:rPr>
        <w:t>Asistencia Legal de Víctimas de la Corte Interamericana de Derechos Humanos (en adelante también “Fondo” o “Fondo de Asistencia Legal de Víctimas</w:t>
      </w:r>
      <w:r w:rsidR="00A665D1">
        <w:rPr>
          <w:rFonts w:ascii="Verdana" w:hAnsi="Verdana"/>
          <w:sz w:val="20"/>
          <w:szCs w:val="20"/>
          <w:lang w:val="es-419"/>
        </w:rPr>
        <w:t>)</w:t>
      </w:r>
      <w:r w:rsidR="00A665D1">
        <w:rPr>
          <w:rStyle w:val="Refdenotaalpie"/>
          <w:rFonts w:ascii="Verdana" w:hAnsi="Verdana"/>
          <w:sz w:val="20"/>
          <w:szCs w:val="20"/>
          <w:lang w:val="es-419"/>
        </w:rPr>
        <w:footnoteReference w:id="2"/>
      </w:r>
      <w:r w:rsidRPr="0009425C">
        <w:rPr>
          <w:rFonts w:ascii="Verdana" w:hAnsi="Verdana"/>
          <w:sz w:val="20"/>
          <w:szCs w:val="20"/>
          <w:lang w:val="es-419"/>
        </w:rPr>
        <w:t xml:space="preserve">.    </w:t>
      </w:r>
    </w:p>
    <w:p w14:paraId="5104D20C" w14:textId="018239D8" w:rsidR="00AD3BD7" w:rsidRPr="003A7311" w:rsidRDefault="00BF7BD4" w:rsidP="00BF7BD4">
      <w:pPr>
        <w:pStyle w:val="Prrafodelista"/>
        <w:tabs>
          <w:tab w:val="left" w:pos="3852"/>
        </w:tabs>
        <w:rPr>
          <w:rFonts w:ascii="Verdana" w:hAnsi="Verdana"/>
          <w:color w:val="auto"/>
          <w:sz w:val="20"/>
          <w:szCs w:val="20"/>
          <w:lang w:val="es-419"/>
        </w:rPr>
      </w:pPr>
      <w:r>
        <w:rPr>
          <w:rFonts w:ascii="Verdana" w:hAnsi="Verdana"/>
          <w:color w:val="auto"/>
          <w:sz w:val="20"/>
          <w:szCs w:val="20"/>
          <w:lang w:val="es-419"/>
        </w:rPr>
        <w:tab/>
      </w:r>
    </w:p>
    <w:p w14:paraId="6FC5468E" w14:textId="77777777" w:rsidR="009C35E5" w:rsidRPr="009C35E5" w:rsidRDefault="00AD3BD7" w:rsidP="005562D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ES_tradnl"/>
        </w:rPr>
      </w:pPr>
      <w:r w:rsidRPr="0027448C">
        <w:rPr>
          <w:rFonts w:ascii="Verdana" w:hAnsi="Verdana"/>
          <w:sz w:val="20"/>
          <w:szCs w:val="20"/>
          <w:lang w:val="es-ES_tradnl"/>
        </w:rPr>
        <w:t>Los escritos de 22</w:t>
      </w:r>
      <w:r w:rsidR="0064711C">
        <w:rPr>
          <w:rFonts w:ascii="Verdana" w:hAnsi="Verdana"/>
          <w:sz w:val="20"/>
          <w:szCs w:val="20"/>
          <w:lang w:val="es-ES_tradnl"/>
        </w:rPr>
        <w:t xml:space="preserve"> de junio de 2020</w:t>
      </w:r>
      <w:r w:rsidR="00BC4363">
        <w:rPr>
          <w:rStyle w:val="Refdenotaalpie"/>
          <w:rFonts w:ascii="Verdana" w:hAnsi="Verdana"/>
          <w:sz w:val="20"/>
          <w:szCs w:val="20"/>
          <w:lang w:val="es-ES_tradnl"/>
        </w:rPr>
        <w:footnoteReference w:id="3"/>
      </w:r>
      <w:r w:rsidR="0064711C">
        <w:rPr>
          <w:rFonts w:ascii="Verdana" w:hAnsi="Verdana"/>
          <w:sz w:val="20"/>
          <w:szCs w:val="20"/>
          <w:lang w:val="es-ES_tradnl"/>
        </w:rPr>
        <w:t>,</w:t>
      </w:r>
      <w:r w:rsidR="000D2889">
        <w:rPr>
          <w:rFonts w:ascii="Verdana" w:hAnsi="Verdana"/>
          <w:sz w:val="20"/>
          <w:szCs w:val="20"/>
          <w:lang w:val="es-ES_tradnl"/>
        </w:rPr>
        <w:t xml:space="preserve"> por medio de los cuales la Comisión, el Estado y los representantes presentaron sus listas definitivas de declarantes</w:t>
      </w:r>
      <w:r w:rsidR="00E80C57">
        <w:rPr>
          <w:rFonts w:ascii="Verdana" w:hAnsi="Verdana"/>
          <w:sz w:val="20"/>
          <w:szCs w:val="20"/>
          <w:lang w:val="es-ES_tradnl"/>
        </w:rPr>
        <w:t>.</w:t>
      </w:r>
      <w:r w:rsidR="0064711C">
        <w:rPr>
          <w:rFonts w:ascii="Verdana" w:hAnsi="Verdana"/>
          <w:sz w:val="20"/>
          <w:szCs w:val="20"/>
          <w:lang w:val="es-ES_tradnl"/>
        </w:rPr>
        <w:t xml:space="preserve"> </w:t>
      </w:r>
      <w:r w:rsidR="00E64203">
        <w:rPr>
          <w:rFonts w:ascii="Verdana" w:hAnsi="Verdana"/>
          <w:sz w:val="20"/>
          <w:szCs w:val="20"/>
          <w:lang w:val="es-ES_tradnl"/>
        </w:rPr>
        <w:t xml:space="preserve">La Comisión y los </w:t>
      </w:r>
    </w:p>
    <w:p w14:paraId="2E72CFDB" w14:textId="77777777" w:rsidR="009C35E5" w:rsidRPr="009C35E5" w:rsidRDefault="009C35E5" w:rsidP="009C35E5">
      <w:pPr>
        <w:pStyle w:val="Prrafodelista"/>
        <w:rPr>
          <w:rFonts w:ascii="Verdana" w:hAnsi="Verdana"/>
          <w:sz w:val="20"/>
          <w:szCs w:val="20"/>
          <w:lang w:val="es-ES_tradnl"/>
        </w:rPr>
      </w:pPr>
    </w:p>
    <w:p w14:paraId="1109BA1A" w14:textId="7E30BA95" w:rsidR="0064711C" w:rsidRPr="00013146" w:rsidRDefault="00E64203" w:rsidP="009C35E5">
      <w:pPr>
        <w:pStyle w:val="Prrafodelista"/>
        <w:widowControl w:val="0"/>
        <w:tabs>
          <w:tab w:val="left" w:pos="567"/>
          <w:tab w:val="left" w:pos="720"/>
        </w:tabs>
        <w:autoSpaceDE w:val="0"/>
        <w:autoSpaceDN w:val="0"/>
        <w:adjustRightInd w:val="0"/>
        <w:ind w:left="0" w:right="22"/>
        <w:jc w:val="both"/>
        <w:rPr>
          <w:rFonts w:ascii="Verdana" w:hAnsi="Verdana"/>
          <w:color w:val="auto"/>
          <w:sz w:val="20"/>
          <w:szCs w:val="20"/>
          <w:lang w:val="es-ES_tradnl"/>
        </w:rPr>
      </w:pPr>
      <w:r>
        <w:rPr>
          <w:rFonts w:ascii="Verdana" w:hAnsi="Verdana"/>
          <w:sz w:val="20"/>
          <w:szCs w:val="20"/>
          <w:lang w:val="es-ES_tradnl"/>
        </w:rPr>
        <w:lastRenderedPageBreak/>
        <w:t>representantes, además, conforme había sido solicitado, efectuaron consideraciones sobre el reconocimiento de responsabilidad formulado por Venezuela en el escrito de contestación.</w:t>
      </w:r>
    </w:p>
    <w:p w14:paraId="70817734" w14:textId="77777777" w:rsidR="00013146" w:rsidRPr="00013146" w:rsidRDefault="00013146" w:rsidP="00013146">
      <w:pPr>
        <w:pStyle w:val="Prrafodelista"/>
        <w:rPr>
          <w:rFonts w:ascii="Verdana" w:hAnsi="Verdana"/>
          <w:color w:val="auto"/>
          <w:sz w:val="20"/>
          <w:szCs w:val="20"/>
          <w:lang w:val="es-ES_tradnl"/>
        </w:rPr>
      </w:pPr>
    </w:p>
    <w:p w14:paraId="1273E908" w14:textId="7E6CBF02" w:rsidR="00D06F0D" w:rsidRPr="00121E83" w:rsidRDefault="00910296" w:rsidP="00121E83">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ES_tradnl"/>
        </w:rPr>
      </w:pPr>
      <w:r>
        <w:rPr>
          <w:rFonts w:ascii="Verdana" w:hAnsi="Verdana"/>
          <w:color w:val="auto"/>
          <w:sz w:val="20"/>
          <w:szCs w:val="20"/>
          <w:lang w:val="es-ES_tradnl"/>
        </w:rPr>
        <w:t xml:space="preserve">Los </w:t>
      </w:r>
      <w:r w:rsidR="00013146">
        <w:rPr>
          <w:rFonts w:ascii="Verdana" w:hAnsi="Verdana"/>
          <w:color w:val="auto"/>
          <w:sz w:val="20"/>
          <w:szCs w:val="20"/>
          <w:lang w:val="es-ES_tradnl"/>
        </w:rPr>
        <w:t>escrito</w:t>
      </w:r>
      <w:r>
        <w:rPr>
          <w:rFonts w:ascii="Verdana" w:hAnsi="Verdana"/>
          <w:color w:val="auto"/>
          <w:sz w:val="20"/>
          <w:szCs w:val="20"/>
          <w:lang w:val="es-ES_tradnl"/>
        </w:rPr>
        <w:t>s</w:t>
      </w:r>
      <w:r w:rsidR="00013146">
        <w:rPr>
          <w:rFonts w:ascii="Verdana" w:hAnsi="Verdana"/>
          <w:color w:val="auto"/>
          <w:sz w:val="20"/>
          <w:szCs w:val="20"/>
          <w:lang w:val="es-ES_tradnl"/>
        </w:rPr>
        <w:t xml:space="preserve"> de 2</w:t>
      </w:r>
      <w:r>
        <w:rPr>
          <w:rFonts w:ascii="Verdana" w:hAnsi="Verdana"/>
          <w:color w:val="auto"/>
          <w:sz w:val="20"/>
          <w:szCs w:val="20"/>
          <w:lang w:val="es-ES_tradnl"/>
        </w:rPr>
        <w:t xml:space="preserve"> y 6</w:t>
      </w:r>
      <w:r w:rsidR="00013146">
        <w:rPr>
          <w:rFonts w:ascii="Verdana" w:hAnsi="Verdana"/>
          <w:color w:val="auto"/>
          <w:sz w:val="20"/>
          <w:szCs w:val="20"/>
          <w:lang w:val="es-ES_tradnl"/>
        </w:rPr>
        <w:t xml:space="preserve"> de julio de 2020, </w:t>
      </w:r>
      <w:r w:rsidR="00A91FFB">
        <w:rPr>
          <w:rFonts w:ascii="Verdana" w:hAnsi="Verdana"/>
          <w:color w:val="auto"/>
          <w:sz w:val="20"/>
          <w:szCs w:val="20"/>
          <w:lang w:val="es-ES_tradnl"/>
        </w:rPr>
        <w:t xml:space="preserve">mediante los cuales la Comisión y los representantes </w:t>
      </w:r>
      <w:r w:rsidR="00D06F0D">
        <w:rPr>
          <w:rFonts w:ascii="Verdana" w:hAnsi="Verdana"/>
          <w:color w:val="auto"/>
          <w:sz w:val="20"/>
          <w:szCs w:val="20"/>
          <w:lang w:val="es-ES_tradnl"/>
        </w:rPr>
        <w:t xml:space="preserve">presentaron </w:t>
      </w:r>
      <w:r>
        <w:rPr>
          <w:rFonts w:ascii="Verdana" w:hAnsi="Verdana"/>
          <w:color w:val="auto"/>
          <w:sz w:val="20"/>
          <w:szCs w:val="20"/>
          <w:lang w:val="es-ES_tradnl"/>
        </w:rPr>
        <w:t xml:space="preserve">respectivamente </w:t>
      </w:r>
      <w:r w:rsidR="00D06F0D">
        <w:rPr>
          <w:rFonts w:ascii="Verdana" w:hAnsi="Verdana"/>
          <w:color w:val="auto"/>
          <w:sz w:val="20"/>
          <w:szCs w:val="20"/>
          <w:lang w:val="es-ES_tradnl"/>
        </w:rPr>
        <w:t>sus observaciones a las listas definitivas de declarantes.</w:t>
      </w:r>
      <w:r w:rsidR="00013146">
        <w:rPr>
          <w:rFonts w:ascii="Verdana" w:hAnsi="Verdana"/>
          <w:color w:val="auto"/>
          <w:sz w:val="20"/>
          <w:szCs w:val="20"/>
          <w:lang w:val="es-ES_tradnl"/>
        </w:rPr>
        <w:t xml:space="preserve"> </w:t>
      </w:r>
    </w:p>
    <w:p w14:paraId="5A66AAAD" w14:textId="77777777" w:rsidR="004A1EB5" w:rsidRPr="00121E83" w:rsidRDefault="004A1EB5" w:rsidP="00121E83">
      <w:pPr>
        <w:pStyle w:val="Prrafodelista"/>
        <w:widowControl w:val="0"/>
        <w:tabs>
          <w:tab w:val="left" w:pos="567"/>
          <w:tab w:val="left" w:pos="720"/>
        </w:tabs>
        <w:autoSpaceDE w:val="0"/>
        <w:autoSpaceDN w:val="0"/>
        <w:adjustRightInd w:val="0"/>
        <w:ind w:left="0" w:right="22"/>
        <w:jc w:val="both"/>
        <w:rPr>
          <w:lang w:val="es-CR"/>
        </w:rPr>
      </w:pPr>
    </w:p>
    <w:p w14:paraId="37BB99C3" w14:textId="1B817A8C" w:rsidR="004A1EB5" w:rsidRPr="00BF1266" w:rsidRDefault="004A1EB5" w:rsidP="004A1EB5">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ES_tradnl"/>
        </w:rPr>
      </w:pPr>
      <w:r>
        <w:rPr>
          <w:rFonts w:ascii="Verdana" w:hAnsi="Verdana"/>
          <w:color w:val="auto"/>
          <w:sz w:val="20"/>
          <w:szCs w:val="20"/>
          <w:lang w:val="es-ES_tradnl"/>
        </w:rPr>
        <w:t>El escrito de 13 de julio de 2020</w:t>
      </w:r>
      <w:r>
        <w:rPr>
          <w:rStyle w:val="Refdenotaalpie"/>
          <w:rFonts w:ascii="Verdana" w:hAnsi="Verdana"/>
          <w:color w:val="auto"/>
          <w:sz w:val="20"/>
          <w:szCs w:val="20"/>
          <w:lang w:val="es-ES_tradnl"/>
        </w:rPr>
        <w:footnoteReference w:id="4"/>
      </w:r>
      <w:r>
        <w:rPr>
          <w:rFonts w:ascii="Verdana" w:hAnsi="Verdana"/>
          <w:color w:val="auto"/>
          <w:sz w:val="20"/>
          <w:szCs w:val="20"/>
          <w:lang w:val="es-ES_tradnl"/>
        </w:rPr>
        <w:t>, remitido por Venezuela, por medio del cual el Estado presentó sus observaciones a las listas definitivas de declarantes de la Comisión y los representantes. Venezuela objetó la declaración pericial</w:t>
      </w:r>
      <w:r w:rsidR="00A665D1">
        <w:rPr>
          <w:rFonts w:ascii="Verdana" w:hAnsi="Verdana"/>
          <w:color w:val="auto"/>
          <w:sz w:val="20"/>
          <w:szCs w:val="20"/>
          <w:lang w:val="es-ES_tradnl"/>
        </w:rPr>
        <w:t>,</w:t>
      </w:r>
      <w:r>
        <w:rPr>
          <w:rFonts w:ascii="Verdana" w:hAnsi="Verdana"/>
          <w:color w:val="auto"/>
          <w:sz w:val="20"/>
          <w:szCs w:val="20"/>
          <w:lang w:val="es-ES_tradnl"/>
        </w:rPr>
        <w:t xml:space="preserve"> propuesta por la Comisión, del señor Daniel </w:t>
      </w:r>
      <w:r w:rsidR="00011AE1">
        <w:rPr>
          <w:rFonts w:ascii="Verdana" w:hAnsi="Verdana"/>
          <w:color w:val="auto"/>
          <w:sz w:val="20"/>
          <w:szCs w:val="20"/>
          <w:lang w:val="es-ES_tradnl"/>
        </w:rPr>
        <w:t>Martínez</w:t>
      </w:r>
      <w:r>
        <w:rPr>
          <w:rFonts w:ascii="Verdana" w:hAnsi="Verdana"/>
          <w:color w:val="auto"/>
          <w:sz w:val="20"/>
          <w:szCs w:val="20"/>
          <w:lang w:val="es-ES_tradnl"/>
        </w:rPr>
        <w:t xml:space="preserve">, así como la solicitud del traslado del peritaje rendido por el señor Hugo </w:t>
      </w:r>
      <w:proofErr w:type="spellStart"/>
      <w:r>
        <w:rPr>
          <w:rFonts w:ascii="Verdana" w:hAnsi="Verdana"/>
          <w:color w:val="auto"/>
          <w:sz w:val="20"/>
          <w:szCs w:val="20"/>
          <w:lang w:val="es-ES_tradnl"/>
        </w:rPr>
        <w:t>Fruhling</w:t>
      </w:r>
      <w:proofErr w:type="spellEnd"/>
      <w:r>
        <w:rPr>
          <w:rFonts w:ascii="Verdana" w:hAnsi="Verdana"/>
          <w:color w:val="auto"/>
          <w:sz w:val="20"/>
          <w:szCs w:val="20"/>
          <w:lang w:val="es-ES_tradnl"/>
        </w:rPr>
        <w:t xml:space="preserve"> en otro caso. Además, consideró “impertinentes e innecesarias” ocho declaraciones</w:t>
      </w:r>
      <w:r w:rsidR="00040D30">
        <w:rPr>
          <w:rFonts w:ascii="Verdana" w:hAnsi="Verdana"/>
          <w:color w:val="auto"/>
          <w:sz w:val="20"/>
          <w:szCs w:val="20"/>
          <w:lang w:val="es-ES_tradnl"/>
        </w:rPr>
        <w:t xml:space="preserve"> de presuntas víctimas y las declaraciones periciales</w:t>
      </w:r>
      <w:r>
        <w:rPr>
          <w:rFonts w:ascii="Verdana" w:hAnsi="Verdana"/>
          <w:color w:val="auto"/>
          <w:sz w:val="20"/>
          <w:szCs w:val="20"/>
          <w:lang w:val="es-ES_tradnl"/>
        </w:rPr>
        <w:t xml:space="preserve"> </w:t>
      </w:r>
      <w:r w:rsidR="00040D30">
        <w:rPr>
          <w:rFonts w:ascii="Verdana" w:hAnsi="Verdana"/>
          <w:color w:val="auto"/>
          <w:sz w:val="20"/>
          <w:szCs w:val="20"/>
          <w:lang w:val="es-ES_tradnl"/>
        </w:rPr>
        <w:t>de</w:t>
      </w:r>
      <w:r w:rsidR="00BF1266" w:rsidRPr="00BF1266">
        <w:rPr>
          <w:rFonts w:ascii="Verdana" w:hAnsi="Verdana"/>
          <w:color w:val="auto"/>
          <w:sz w:val="20"/>
          <w:szCs w:val="20"/>
          <w:lang w:val="es-ES_tradnl"/>
        </w:rPr>
        <w:t xml:space="preserve"> </w:t>
      </w:r>
      <w:r w:rsidR="00BF1266">
        <w:rPr>
          <w:rFonts w:ascii="Verdana" w:hAnsi="Verdana"/>
          <w:color w:val="auto"/>
          <w:sz w:val="20"/>
          <w:szCs w:val="20"/>
          <w:lang w:val="es-ES_tradnl"/>
        </w:rPr>
        <w:t xml:space="preserve">Ignacio Cano, José Luis Prieto Carrero, </w:t>
      </w:r>
      <w:r w:rsidR="00040D30" w:rsidRPr="00F95DCB">
        <w:rPr>
          <w:rFonts w:ascii="Verdana" w:hAnsi="Verdana"/>
          <w:color w:val="auto"/>
          <w:sz w:val="20"/>
          <w:szCs w:val="20"/>
          <w:lang w:val="es-ES_tradnl"/>
        </w:rPr>
        <w:t xml:space="preserve">Roberto Briceño León, Philip </w:t>
      </w:r>
      <w:proofErr w:type="spellStart"/>
      <w:r w:rsidR="00040D30" w:rsidRPr="00F95DCB">
        <w:rPr>
          <w:rFonts w:ascii="Verdana" w:hAnsi="Verdana"/>
          <w:color w:val="auto"/>
          <w:sz w:val="20"/>
          <w:szCs w:val="20"/>
          <w:lang w:val="es-ES_tradnl"/>
        </w:rPr>
        <w:t>Alston</w:t>
      </w:r>
      <w:proofErr w:type="spellEnd"/>
      <w:r w:rsidR="00040D30" w:rsidRPr="00F95DCB">
        <w:rPr>
          <w:rFonts w:ascii="Verdana" w:hAnsi="Verdana"/>
          <w:color w:val="auto"/>
          <w:sz w:val="20"/>
          <w:szCs w:val="20"/>
          <w:lang w:val="es-ES_tradnl"/>
        </w:rPr>
        <w:t xml:space="preserve"> y Magaly Mercedes Vásquez González,</w:t>
      </w:r>
      <w:r w:rsidR="00040D30">
        <w:rPr>
          <w:rFonts w:ascii="Verdana" w:hAnsi="Verdana"/>
          <w:color w:val="auto"/>
          <w:sz w:val="20"/>
          <w:szCs w:val="20"/>
          <w:lang w:val="es-ES_tradnl"/>
        </w:rPr>
        <w:t xml:space="preserve"> </w:t>
      </w:r>
      <w:r>
        <w:rPr>
          <w:rFonts w:ascii="Verdana" w:hAnsi="Verdana"/>
          <w:color w:val="auto"/>
          <w:sz w:val="20"/>
          <w:szCs w:val="20"/>
          <w:lang w:val="es-ES_tradnl"/>
        </w:rPr>
        <w:t xml:space="preserve">propuestas por </w:t>
      </w:r>
      <w:r w:rsidR="00040D30">
        <w:rPr>
          <w:rFonts w:ascii="Verdana" w:hAnsi="Verdana"/>
          <w:color w:val="auto"/>
          <w:sz w:val="20"/>
          <w:szCs w:val="20"/>
          <w:lang w:val="es-ES_tradnl"/>
        </w:rPr>
        <w:t>los</w:t>
      </w:r>
      <w:r>
        <w:rPr>
          <w:rFonts w:ascii="Verdana" w:hAnsi="Verdana"/>
          <w:color w:val="auto"/>
          <w:sz w:val="20"/>
          <w:szCs w:val="20"/>
          <w:lang w:val="es-ES_tradnl"/>
        </w:rPr>
        <w:t xml:space="preserve"> representantes</w:t>
      </w:r>
      <w:r w:rsidR="00BF1266">
        <w:rPr>
          <w:rFonts w:ascii="Verdana" w:hAnsi="Verdana"/>
          <w:color w:val="auto"/>
          <w:sz w:val="20"/>
          <w:szCs w:val="20"/>
          <w:lang w:val="es-ES_tradnl"/>
        </w:rPr>
        <w:t>.</w:t>
      </w:r>
      <w:r>
        <w:rPr>
          <w:rFonts w:ascii="Verdana" w:hAnsi="Verdana"/>
          <w:color w:val="auto"/>
          <w:sz w:val="20"/>
          <w:szCs w:val="20"/>
          <w:lang w:val="es-ES_tradnl"/>
        </w:rPr>
        <w:t xml:space="preserve"> </w:t>
      </w:r>
      <w:r w:rsidR="00BF1266" w:rsidRPr="00BF1266">
        <w:rPr>
          <w:rFonts w:ascii="Verdana" w:hAnsi="Verdana"/>
          <w:sz w:val="20"/>
          <w:szCs w:val="20"/>
          <w:lang w:val="es-CR"/>
        </w:rPr>
        <w:t>Asimismo, el Estado recusó a las últimas tres personas nombradas.</w:t>
      </w:r>
      <w:r w:rsidR="001F35C7">
        <w:rPr>
          <w:rFonts w:ascii="Verdana" w:hAnsi="Verdana"/>
          <w:sz w:val="20"/>
          <w:szCs w:val="20"/>
          <w:lang w:val="es-CR"/>
        </w:rPr>
        <w:t xml:space="preserve"> Además, se refirió a la eventual etapa oral del proceso.</w:t>
      </w:r>
    </w:p>
    <w:p w14:paraId="208F53EA" w14:textId="77777777" w:rsidR="00747424" w:rsidRPr="00333177" w:rsidRDefault="00747424" w:rsidP="005562D7">
      <w:pPr>
        <w:pStyle w:val="Prrafodelista"/>
        <w:widowControl w:val="0"/>
        <w:tabs>
          <w:tab w:val="left" w:pos="567"/>
          <w:tab w:val="left" w:pos="720"/>
        </w:tabs>
        <w:autoSpaceDE w:val="0"/>
        <w:autoSpaceDN w:val="0"/>
        <w:adjustRightInd w:val="0"/>
        <w:ind w:left="0" w:right="22"/>
        <w:jc w:val="both"/>
        <w:rPr>
          <w:rFonts w:ascii="Verdana" w:hAnsi="Verdana"/>
          <w:color w:val="auto"/>
          <w:sz w:val="20"/>
          <w:szCs w:val="20"/>
          <w:lang w:val="es-CR"/>
        </w:rPr>
      </w:pPr>
    </w:p>
    <w:p w14:paraId="0179A3B1" w14:textId="02340C16" w:rsidR="001F35C7" w:rsidRPr="001F35C7" w:rsidRDefault="00850B1D" w:rsidP="001F35C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FF0000"/>
          <w:sz w:val="20"/>
          <w:szCs w:val="20"/>
          <w:lang w:val="es-CR"/>
        </w:rPr>
      </w:pPr>
      <w:r>
        <w:rPr>
          <w:rFonts w:ascii="Verdana" w:hAnsi="Verdana"/>
          <w:color w:val="auto"/>
          <w:sz w:val="20"/>
          <w:szCs w:val="20"/>
          <w:lang w:val="es-CR"/>
        </w:rPr>
        <w:t>El</w:t>
      </w:r>
      <w:r w:rsidR="00BF1266">
        <w:rPr>
          <w:rFonts w:ascii="Verdana" w:hAnsi="Verdana"/>
          <w:color w:val="auto"/>
          <w:sz w:val="20"/>
          <w:szCs w:val="20"/>
          <w:lang w:val="es-CR"/>
        </w:rPr>
        <w:t xml:space="preserve"> escrito de 19</w:t>
      </w:r>
      <w:r>
        <w:rPr>
          <w:rFonts w:ascii="Verdana" w:hAnsi="Verdana"/>
          <w:color w:val="auto"/>
          <w:sz w:val="20"/>
          <w:szCs w:val="20"/>
          <w:lang w:val="es-CR"/>
        </w:rPr>
        <w:t xml:space="preserve"> de julio de 2020</w:t>
      </w:r>
      <w:r w:rsidR="00BF1266">
        <w:rPr>
          <w:rFonts w:ascii="Verdana" w:hAnsi="Verdana"/>
          <w:color w:val="auto"/>
          <w:sz w:val="20"/>
          <w:szCs w:val="20"/>
          <w:lang w:val="es-CR"/>
        </w:rPr>
        <w:t xml:space="preserve"> </w:t>
      </w:r>
      <w:r>
        <w:rPr>
          <w:rFonts w:ascii="Verdana" w:hAnsi="Verdana"/>
          <w:color w:val="auto"/>
          <w:sz w:val="20"/>
          <w:szCs w:val="20"/>
          <w:lang w:val="es-CR"/>
        </w:rPr>
        <w:t xml:space="preserve">y los escritos del </w:t>
      </w:r>
      <w:r w:rsidR="00791588">
        <w:rPr>
          <w:rFonts w:ascii="Verdana" w:hAnsi="Verdana"/>
          <w:color w:val="auto"/>
          <w:sz w:val="20"/>
          <w:szCs w:val="20"/>
          <w:lang w:val="es-CR"/>
        </w:rPr>
        <w:t xml:space="preserve">día </w:t>
      </w:r>
      <w:r w:rsidR="00BF1266">
        <w:rPr>
          <w:rFonts w:ascii="Verdana" w:hAnsi="Verdana"/>
          <w:color w:val="auto"/>
          <w:sz w:val="20"/>
          <w:szCs w:val="20"/>
          <w:lang w:val="es-CR"/>
        </w:rPr>
        <w:t>2</w:t>
      </w:r>
      <w:r>
        <w:rPr>
          <w:rFonts w:ascii="Verdana" w:hAnsi="Verdana"/>
          <w:color w:val="auto"/>
          <w:sz w:val="20"/>
          <w:szCs w:val="20"/>
          <w:lang w:val="es-CR"/>
        </w:rPr>
        <w:t>2 del mismo mes,</w:t>
      </w:r>
      <w:r w:rsidR="00BF1266">
        <w:rPr>
          <w:rFonts w:ascii="Verdana" w:hAnsi="Verdana"/>
          <w:color w:val="auto"/>
          <w:sz w:val="20"/>
          <w:szCs w:val="20"/>
          <w:lang w:val="es-CR"/>
        </w:rPr>
        <w:t xml:space="preserve"> </w:t>
      </w:r>
      <w:r>
        <w:rPr>
          <w:rFonts w:ascii="Verdana" w:hAnsi="Verdana"/>
          <w:color w:val="auto"/>
          <w:sz w:val="20"/>
          <w:szCs w:val="20"/>
          <w:lang w:val="es-CR"/>
        </w:rPr>
        <w:t>por medio de los cuales, los señores Phil</w:t>
      </w:r>
      <w:r w:rsidR="007038F0">
        <w:rPr>
          <w:rFonts w:ascii="Verdana" w:hAnsi="Verdana"/>
          <w:color w:val="auto"/>
          <w:sz w:val="20"/>
          <w:szCs w:val="20"/>
          <w:lang w:val="es-CR"/>
        </w:rPr>
        <w:t>i</w:t>
      </w:r>
      <w:r>
        <w:rPr>
          <w:rFonts w:ascii="Verdana" w:hAnsi="Verdana"/>
          <w:color w:val="auto"/>
          <w:sz w:val="20"/>
          <w:szCs w:val="20"/>
          <w:lang w:val="es-CR"/>
        </w:rPr>
        <w:t xml:space="preserve">p </w:t>
      </w:r>
      <w:proofErr w:type="spellStart"/>
      <w:r>
        <w:rPr>
          <w:rFonts w:ascii="Verdana" w:hAnsi="Verdana"/>
          <w:color w:val="auto"/>
          <w:sz w:val="20"/>
          <w:szCs w:val="20"/>
          <w:lang w:val="es-CR"/>
        </w:rPr>
        <w:t>Alston</w:t>
      </w:r>
      <w:proofErr w:type="spellEnd"/>
      <w:r>
        <w:rPr>
          <w:rFonts w:ascii="Verdana" w:hAnsi="Verdana"/>
          <w:color w:val="auto"/>
          <w:sz w:val="20"/>
          <w:szCs w:val="20"/>
          <w:lang w:val="es-CR"/>
        </w:rPr>
        <w:t xml:space="preserve"> y Roberto Briceño León y la señora Magaly Mercedes Vásquez González</w:t>
      </w:r>
      <w:r w:rsidR="00791588">
        <w:rPr>
          <w:rFonts w:ascii="Verdana" w:hAnsi="Verdana"/>
          <w:color w:val="auto"/>
          <w:sz w:val="20"/>
          <w:szCs w:val="20"/>
          <w:lang w:val="es-CR"/>
        </w:rPr>
        <w:t xml:space="preserve">, </w:t>
      </w:r>
      <w:r w:rsidR="00791588" w:rsidRPr="00FB59A6">
        <w:rPr>
          <w:rFonts w:ascii="Verdana" w:hAnsi="Verdana"/>
          <w:color w:val="auto"/>
          <w:sz w:val="20"/>
          <w:szCs w:val="20"/>
          <w:lang w:val="es-CR"/>
        </w:rPr>
        <w:t>respectivamente,</w:t>
      </w:r>
      <w:r>
        <w:rPr>
          <w:rFonts w:ascii="Verdana" w:hAnsi="Verdana"/>
          <w:color w:val="auto"/>
          <w:sz w:val="20"/>
          <w:szCs w:val="20"/>
          <w:lang w:val="es-CR"/>
        </w:rPr>
        <w:t xml:space="preserve"> presentaron observaciones</w:t>
      </w:r>
      <w:r w:rsidR="00791588">
        <w:rPr>
          <w:rFonts w:ascii="Verdana" w:hAnsi="Verdana"/>
          <w:color w:val="auto"/>
          <w:sz w:val="20"/>
          <w:szCs w:val="20"/>
          <w:lang w:val="es-CR"/>
        </w:rPr>
        <w:t xml:space="preserve"> a las recusaciones propuestas en su contra</w:t>
      </w:r>
      <w:r w:rsidR="000C7AC9" w:rsidRPr="0037549F">
        <w:rPr>
          <w:rFonts w:ascii="Verdana" w:hAnsi="Verdana"/>
          <w:color w:val="auto"/>
          <w:sz w:val="20"/>
          <w:szCs w:val="20"/>
          <w:lang w:val="es-CR"/>
        </w:rPr>
        <w:t>.</w:t>
      </w:r>
    </w:p>
    <w:p w14:paraId="26F5FE67" w14:textId="77777777" w:rsidR="001F35C7" w:rsidRPr="001F35C7" w:rsidRDefault="001F35C7" w:rsidP="001F35C7">
      <w:pPr>
        <w:pStyle w:val="Prrafodelista"/>
        <w:widowControl w:val="0"/>
        <w:tabs>
          <w:tab w:val="left" w:pos="567"/>
          <w:tab w:val="left" w:pos="720"/>
        </w:tabs>
        <w:autoSpaceDE w:val="0"/>
        <w:autoSpaceDN w:val="0"/>
        <w:adjustRightInd w:val="0"/>
        <w:ind w:left="0" w:right="22"/>
        <w:jc w:val="both"/>
        <w:rPr>
          <w:rFonts w:ascii="Verdana" w:hAnsi="Verdana"/>
          <w:color w:val="FF0000"/>
          <w:sz w:val="20"/>
          <w:szCs w:val="20"/>
          <w:lang w:val="es-CR"/>
        </w:rPr>
      </w:pPr>
    </w:p>
    <w:p w14:paraId="76471E14" w14:textId="364A2383" w:rsidR="001F35C7" w:rsidRPr="001F35C7" w:rsidRDefault="001F35C7" w:rsidP="001F35C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sidRPr="001F35C7">
        <w:rPr>
          <w:rFonts w:ascii="Verdana" w:hAnsi="Verdana"/>
          <w:color w:val="auto"/>
          <w:sz w:val="20"/>
          <w:szCs w:val="20"/>
          <w:lang w:val="es-CR"/>
        </w:rPr>
        <w:t>El escrito de los representantes de 30 de julio</w:t>
      </w:r>
      <w:r w:rsidR="003A2FF9">
        <w:rPr>
          <w:rFonts w:ascii="Verdana" w:hAnsi="Verdana"/>
          <w:color w:val="auto"/>
          <w:sz w:val="20"/>
          <w:szCs w:val="20"/>
          <w:lang w:val="es-CR"/>
        </w:rPr>
        <w:t xml:space="preserve"> de 2020</w:t>
      </w:r>
      <w:r w:rsidRPr="001F35C7">
        <w:rPr>
          <w:rFonts w:ascii="Verdana" w:hAnsi="Verdana"/>
          <w:color w:val="auto"/>
          <w:sz w:val="20"/>
          <w:szCs w:val="20"/>
          <w:lang w:val="es-CR"/>
        </w:rPr>
        <w:t xml:space="preserve">, por medio de los cuales </w:t>
      </w:r>
      <w:r w:rsidR="0096659C" w:rsidRPr="001F35C7">
        <w:rPr>
          <w:rFonts w:ascii="Verdana" w:hAnsi="Verdana"/>
          <w:color w:val="auto"/>
          <w:sz w:val="20"/>
          <w:szCs w:val="20"/>
          <w:lang w:val="es-CR"/>
        </w:rPr>
        <w:t>p</w:t>
      </w:r>
      <w:r w:rsidR="0096659C">
        <w:rPr>
          <w:rFonts w:ascii="Verdana" w:hAnsi="Verdana"/>
          <w:color w:val="auto"/>
          <w:sz w:val="20"/>
          <w:szCs w:val="20"/>
          <w:lang w:val="es-CR"/>
        </w:rPr>
        <w:t>r</w:t>
      </w:r>
      <w:r w:rsidR="0096659C" w:rsidRPr="001F35C7">
        <w:rPr>
          <w:rFonts w:ascii="Verdana" w:hAnsi="Verdana"/>
          <w:color w:val="auto"/>
          <w:sz w:val="20"/>
          <w:szCs w:val="20"/>
          <w:lang w:val="es-CR"/>
        </w:rPr>
        <w:t>esentaron</w:t>
      </w:r>
      <w:r w:rsidRPr="001F35C7">
        <w:rPr>
          <w:rFonts w:ascii="Verdana" w:hAnsi="Verdana"/>
          <w:color w:val="auto"/>
          <w:sz w:val="20"/>
          <w:szCs w:val="20"/>
          <w:lang w:val="es-CR"/>
        </w:rPr>
        <w:t xml:space="preserve"> “argumentos adicionales” sobre la eventual etapa oral del proceso.</w:t>
      </w:r>
    </w:p>
    <w:p w14:paraId="5AB001BC" w14:textId="77777777" w:rsidR="001F35C7" w:rsidRPr="001F35C7" w:rsidRDefault="001F35C7" w:rsidP="001F35C7">
      <w:pPr>
        <w:pStyle w:val="Prrafodelista"/>
        <w:rPr>
          <w:rFonts w:ascii="Verdana" w:hAnsi="Verdana"/>
          <w:color w:val="auto"/>
          <w:sz w:val="20"/>
          <w:szCs w:val="20"/>
          <w:lang w:val="es-CR"/>
        </w:rPr>
      </w:pPr>
    </w:p>
    <w:p w14:paraId="462D80B9" w14:textId="4614B3DC" w:rsidR="001F35C7" w:rsidRDefault="001F35C7" w:rsidP="001F35C7">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 xml:space="preserve">Los escritos de los </w:t>
      </w:r>
      <w:r w:rsidR="0096659C">
        <w:rPr>
          <w:rFonts w:ascii="Verdana" w:hAnsi="Verdana"/>
          <w:color w:val="auto"/>
          <w:sz w:val="20"/>
          <w:szCs w:val="20"/>
          <w:lang w:val="es-CR"/>
        </w:rPr>
        <w:t>representantes</w:t>
      </w:r>
      <w:r>
        <w:rPr>
          <w:rFonts w:ascii="Verdana" w:hAnsi="Verdana"/>
          <w:color w:val="auto"/>
          <w:sz w:val="20"/>
          <w:szCs w:val="20"/>
          <w:lang w:val="es-CR"/>
        </w:rPr>
        <w:t xml:space="preserve"> y de la Comisión de 24 de agosto de 2020, por medio de los cuales, en respuesta a una solicitud de la Secretaría</w:t>
      </w:r>
      <w:r w:rsidR="007A474F">
        <w:rPr>
          <w:rFonts w:ascii="Verdana" w:hAnsi="Verdana"/>
          <w:color w:val="auto"/>
          <w:sz w:val="20"/>
          <w:szCs w:val="20"/>
          <w:lang w:val="es-CR"/>
        </w:rPr>
        <w:t xml:space="preserve"> de la Corte</w:t>
      </w:r>
      <w:r>
        <w:rPr>
          <w:rFonts w:ascii="Verdana" w:hAnsi="Verdana"/>
          <w:color w:val="auto"/>
          <w:sz w:val="20"/>
          <w:szCs w:val="20"/>
          <w:lang w:val="es-CR"/>
        </w:rPr>
        <w:t>, se refirieron a las facilidades técnicas con que cuentan para</w:t>
      </w:r>
      <w:r w:rsidR="0096659C">
        <w:rPr>
          <w:rFonts w:ascii="Verdana" w:hAnsi="Verdana"/>
          <w:color w:val="auto"/>
          <w:sz w:val="20"/>
          <w:szCs w:val="20"/>
          <w:lang w:val="es-CR"/>
        </w:rPr>
        <w:t xml:space="preserve"> </w:t>
      </w:r>
      <w:r>
        <w:rPr>
          <w:rFonts w:ascii="Verdana" w:hAnsi="Verdana"/>
          <w:color w:val="auto"/>
          <w:sz w:val="20"/>
          <w:szCs w:val="20"/>
          <w:lang w:val="es-CR"/>
        </w:rPr>
        <w:t>participar en una videoconferencia.</w:t>
      </w:r>
      <w:r w:rsidR="00755359">
        <w:rPr>
          <w:rFonts w:ascii="Verdana" w:hAnsi="Verdana"/>
          <w:color w:val="auto"/>
          <w:sz w:val="20"/>
          <w:szCs w:val="20"/>
          <w:lang w:val="es-CR"/>
        </w:rPr>
        <w:t xml:space="preserve"> También aludieron a posibles actos orales en el proceso.</w:t>
      </w:r>
      <w:r>
        <w:rPr>
          <w:rFonts w:ascii="Verdana" w:hAnsi="Verdana"/>
          <w:color w:val="auto"/>
          <w:sz w:val="20"/>
          <w:szCs w:val="20"/>
          <w:lang w:val="es-CR"/>
        </w:rPr>
        <w:t xml:space="preserve"> Aunque también se requirió que el Estado informe respecto</w:t>
      </w:r>
      <w:r w:rsidR="00755359">
        <w:rPr>
          <w:rFonts w:ascii="Verdana" w:hAnsi="Verdana"/>
          <w:color w:val="auto"/>
          <w:sz w:val="20"/>
          <w:szCs w:val="20"/>
          <w:lang w:val="es-CR"/>
        </w:rPr>
        <w:t xml:space="preserve"> a facilidades técnicas para una videoconferencia</w:t>
      </w:r>
      <w:r>
        <w:rPr>
          <w:rFonts w:ascii="Verdana" w:hAnsi="Verdana"/>
          <w:color w:val="auto"/>
          <w:sz w:val="20"/>
          <w:szCs w:val="20"/>
          <w:lang w:val="es-CR"/>
        </w:rPr>
        <w:t xml:space="preserve">, éste no dio respuesta a dicha solicitud. </w:t>
      </w:r>
    </w:p>
    <w:p w14:paraId="051C363F" w14:textId="77777777" w:rsidR="001F35C7" w:rsidRPr="001F35C7" w:rsidRDefault="001F35C7" w:rsidP="001F35C7">
      <w:pPr>
        <w:pStyle w:val="Prrafodelista"/>
        <w:rPr>
          <w:rFonts w:ascii="Verdana" w:hAnsi="Verdana"/>
          <w:color w:val="auto"/>
          <w:sz w:val="20"/>
          <w:szCs w:val="20"/>
          <w:lang w:val="es-CR"/>
        </w:rPr>
      </w:pPr>
    </w:p>
    <w:p w14:paraId="66E9544D" w14:textId="5AB97755" w:rsidR="00F47542" w:rsidRPr="00C6132B" w:rsidRDefault="00F47542" w:rsidP="00F47542">
      <w:pPr>
        <w:pStyle w:val="Prrafodelista"/>
        <w:widowControl w:val="0"/>
        <w:numPr>
          <w:ilvl w:val="0"/>
          <w:numId w:val="3"/>
        </w:numPr>
        <w:tabs>
          <w:tab w:val="left" w:pos="567"/>
          <w:tab w:val="left" w:pos="720"/>
        </w:tabs>
        <w:autoSpaceDE w:val="0"/>
        <w:autoSpaceDN w:val="0"/>
        <w:adjustRightInd w:val="0"/>
        <w:ind w:left="0" w:right="22" w:firstLine="0"/>
        <w:jc w:val="both"/>
        <w:rPr>
          <w:rFonts w:ascii="Verdana" w:hAnsi="Verdana"/>
          <w:color w:val="auto"/>
          <w:sz w:val="20"/>
          <w:szCs w:val="20"/>
          <w:lang w:val="es-CR"/>
        </w:rPr>
      </w:pPr>
      <w:r w:rsidRPr="00C6132B">
        <w:rPr>
          <w:rFonts w:ascii="Verdana" w:hAnsi="Verdana"/>
          <w:color w:val="auto"/>
          <w:sz w:val="20"/>
          <w:szCs w:val="20"/>
          <w:lang w:val="es-CR"/>
        </w:rPr>
        <w:t xml:space="preserve">Las comunicaciones de la Secretaría de 1 y 11 de septiembre de 2020, por medio de las cuales se </w:t>
      </w:r>
      <w:r w:rsidR="00E377B2">
        <w:rPr>
          <w:rFonts w:ascii="Verdana" w:hAnsi="Verdana"/>
          <w:color w:val="auto"/>
          <w:sz w:val="20"/>
          <w:szCs w:val="20"/>
          <w:lang w:val="es-CR"/>
        </w:rPr>
        <w:t>requirió</w:t>
      </w:r>
      <w:r w:rsidRPr="00C6132B">
        <w:rPr>
          <w:rFonts w:ascii="Verdana" w:hAnsi="Verdana"/>
          <w:color w:val="auto"/>
          <w:sz w:val="20"/>
          <w:szCs w:val="20"/>
          <w:lang w:val="es-CR"/>
        </w:rPr>
        <w:t xml:space="preserve"> al Estado que precisara la prueba documental que obra en el expediente del caso </w:t>
      </w:r>
      <w:r w:rsidRPr="00C6132B">
        <w:rPr>
          <w:rFonts w:ascii="Verdana" w:eastAsia="Times New Roman" w:hAnsi="Verdana" w:cs="Verdana"/>
          <w:i/>
          <w:sz w:val="20"/>
          <w:szCs w:val="20"/>
          <w:lang w:val="es-CL" w:eastAsia="en-US"/>
        </w:rPr>
        <w:t xml:space="preserve">Hermanos Landaeta Mejías y otros Vs. Venezuela </w:t>
      </w:r>
      <w:r w:rsidRPr="00C6132B">
        <w:rPr>
          <w:rFonts w:ascii="Verdana" w:hAnsi="Verdana"/>
          <w:color w:val="auto"/>
          <w:sz w:val="20"/>
          <w:szCs w:val="20"/>
          <w:lang w:val="es-CR"/>
        </w:rPr>
        <w:t xml:space="preserve">que </w:t>
      </w:r>
      <w:r w:rsidR="00011AE1">
        <w:rPr>
          <w:rFonts w:ascii="Verdana" w:hAnsi="Verdana"/>
          <w:color w:val="auto"/>
          <w:sz w:val="20"/>
          <w:szCs w:val="20"/>
          <w:lang w:val="es-CR"/>
        </w:rPr>
        <w:t xml:space="preserve">Venezuela </w:t>
      </w:r>
      <w:r w:rsidRPr="00C6132B">
        <w:rPr>
          <w:rFonts w:ascii="Verdana" w:hAnsi="Verdana"/>
          <w:color w:val="auto"/>
          <w:sz w:val="20"/>
          <w:szCs w:val="20"/>
          <w:lang w:val="es-CR"/>
        </w:rPr>
        <w:t>solicitó, en su escrito de contestación, que sea trasladad</w:t>
      </w:r>
      <w:r>
        <w:rPr>
          <w:rFonts w:ascii="Verdana" w:hAnsi="Verdana"/>
          <w:color w:val="auto"/>
          <w:sz w:val="20"/>
          <w:szCs w:val="20"/>
          <w:lang w:val="es-CR"/>
        </w:rPr>
        <w:t>a</w:t>
      </w:r>
      <w:r w:rsidR="00011AE1">
        <w:rPr>
          <w:rFonts w:ascii="Verdana" w:hAnsi="Verdana"/>
          <w:color w:val="auto"/>
          <w:sz w:val="20"/>
          <w:szCs w:val="20"/>
          <w:lang w:val="es-CR"/>
        </w:rPr>
        <w:t xml:space="preserve"> al presente caso (</w:t>
      </w:r>
      <w:r w:rsidR="00011AE1">
        <w:rPr>
          <w:rFonts w:ascii="Verdana" w:hAnsi="Verdana"/>
          <w:i/>
          <w:color w:val="auto"/>
          <w:sz w:val="20"/>
          <w:szCs w:val="20"/>
          <w:lang w:val="es-CR"/>
        </w:rPr>
        <w:t xml:space="preserve">infra </w:t>
      </w:r>
      <w:r w:rsidR="00011AE1">
        <w:rPr>
          <w:rFonts w:ascii="Verdana" w:hAnsi="Verdana"/>
          <w:color w:val="auto"/>
          <w:sz w:val="20"/>
          <w:szCs w:val="20"/>
          <w:lang w:val="es-CR"/>
        </w:rPr>
        <w:t xml:space="preserve">Considerando </w:t>
      </w:r>
      <w:r w:rsidR="00D32492">
        <w:rPr>
          <w:rFonts w:ascii="Verdana" w:hAnsi="Verdana"/>
          <w:color w:val="auto"/>
          <w:sz w:val="20"/>
          <w:szCs w:val="20"/>
          <w:lang w:val="es-CR"/>
        </w:rPr>
        <w:t>43</w:t>
      </w:r>
      <w:r w:rsidR="00011AE1">
        <w:rPr>
          <w:rFonts w:ascii="Verdana" w:hAnsi="Verdana"/>
          <w:color w:val="auto"/>
          <w:sz w:val="20"/>
          <w:szCs w:val="20"/>
          <w:lang w:val="es-CR"/>
        </w:rPr>
        <w:t>). El Estado</w:t>
      </w:r>
      <w:r w:rsidRPr="00C6132B">
        <w:rPr>
          <w:rFonts w:ascii="Verdana" w:hAnsi="Verdana"/>
          <w:color w:val="auto"/>
          <w:sz w:val="20"/>
          <w:szCs w:val="20"/>
          <w:lang w:val="es-CR"/>
        </w:rPr>
        <w:t xml:space="preserve"> no dio respuesta a esa solicitud.</w:t>
      </w:r>
    </w:p>
    <w:bookmarkEnd w:id="4"/>
    <w:p w14:paraId="5587BC21" w14:textId="77777777" w:rsidR="00DF2489" w:rsidRPr="005562D7" w:rsidRDefault="00DF2489" w:rsidP="005562D7">
      <w:pPr>
        <w:pStyle w:val="Prrafodelista"/>
        <w:widowControl w:val="0"/>
        <w:tabs>
          <w:tab w:val="left" w:pos="567"/>
          <w:tab w:val="left" w:pos="720"/>
        </w:tabs>
        <w:autoSpaceDE w:val="0"/>
        <w:autoSpaceDN w:val="0"/>
        <w:adjustRightInd w:val="0"/>
        <w:ind w:left="0" w:right="22"/>
        <w:rPr>
          <w:rFonts w:ascii="Verdana" w:hAnsi="Verdana"/>
          <w:sz w:val="20"/>
          <w:szCs w:val="20"/>
          <w:lang w:val="es-CR"/>
        </w:rPr>
      </w:pPr>
    </w:p>
    <w:p w14:paraId="53491D25" w14:textId="77777777" w:rsidR="00DF2489" w:rsidRPr="005562D7" w:rsidRDefault="00DF2489" w:rsidP="005562D7">
      <w:pPr>
        <w:tabs>
          <w:tab w:val="left" w:pos="720"/>
        </w:tabs>
        <w:autoSpaceDE w:val="0"/>
        <w:autoSpaceDN w:val="0"/>
        <w:adjustRightInd w:val="0"/>
        <w:spacing w:after="0"/>
        <w:jc w:val="left"/>
        <w:rPr>
          <w:rFonts w:eastAsia="Times New Roman" w:cs="Verdana"/>
          <w:b/>
          <w:bCs/>
          <w:szCs w:val="20"/>
          <w:lang w:val="es-CL" w:eastAsia="en-US"/>
        </w:rPr>
      </w:pPr>
      <w:r w:rsidRPr="005562D7">
        <w:rPr>
          <w:rFonts w:eastAsia="Times New Roman" w:cs="Verdana"/>
          <w:b/>
          <w:bCs/>
          <w:szCs w:val="20"/>
          <w:lang w:val="es-CL" w:eastAsia="en-US"/>
        </w:rPr>
        <w:t>CONSIDERANDO QUE:</w:t>
      </w:r>
    </w:p>
    <w:p w14:paraId="36F00882" w14:textId="77777777" w:rsidR="00DF2489" w:rsidRPr="005562D7" w:rsidRDefault="00DF2489" w:rsidP="005562D7">
      <w:pPr>
        <w:pStyle w:val="Prrafodelista"/>
        <w:autoSpaceDE w:val="0"/>
        <w:autoSpaceDN w:val="0"/>
        <w:adjustRightInd w:val="0"/>
        <w:ind w:left="180"/>
        <w:rPr>
          <w:rFonts w:ascii="Verdana" w:hAnsi="Verdana"/>
          <w:sz w:val="20"/>
          <w:szCs w:val="20"/>
          <w:lang w:val="es-ES"/>
        </w:rPr>
      </w:pPr>
    </w:p>
    <w:p w14:paraId="6B4C6E3C" w14:textId="5F2E8AD5" w:rsidR="009161D4" w:rsidRPr="005562D7" w:rsidRDefault="0037549F" w:rsidP="0037549F">
      <w:pPr>
        <w:tabs>
          <w:tab w:val="left" w:pos="567"/>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t xml:space="preserve">1. </w:t>
      </w:r>
      <w:r>
        <w:rPr>
          <w:rFonts w:eastAsia="Times New Roman" w:cs="Verdana"/>
          <w:szCs w:val="20"/>
          <w:lang w:val="es-CL" w:eastAsia="en-US"/>
        </w:rPr>
        <w:tab/>
      </w:r>
      <w:r w:rsidR="00DF2489" w:rsidRPr="005562D7">
        <w:rPr>
          <w:rFonts w:eastAsia="Times New Roman" w:cs="Verdana"/>
          <w:szCs w:val="20"/>
          <w:lang w:val="es-CL" w:eastAsia="en-US"/>
        </w:rPr>
        <w:t xml:space="preserve">El ofrecimiento y la admisión de la prueba, así como la citación de presuntas víctimas, testigos y peritos, se encuentran regulados en los artículos 35.1.f, 40.2.c, 41.1.c, 46, </w:t>
      </w:r>
      <w:r w:rsidR="00576248" w:rsidRPr="005562D7">
        <w:rPr>
          <w:rFonts w:eastAsia="Times New Roman" w:cs="Verdana"/>
          <w:szCs w:val="20"/>
          <w:lang w:val="es-CL" w:eastAsia="en-US"/>
        </w:rPr>
        <w:t xml:space="preserve">47, </w:t>
      </w:r>
      <w:r w:rsidR="00DF2489" w:rsidRPr="005562D7">
        <w:rPr>
          <w:rFonts w:eastAsia="Times New Roman" w:cs="Verdana"/>
          <w:szCs w:val="20"/>
          <w:lang w:val="es-CL" w:eastAsia="en-US"/>
        </w:rPr>
        <w:t>48, 50</w:t>
      </w:r>
      <w:r w:rsidR="00576248" w:rsidRPr="005562D7">
        <w:rPr>
          <w:rFonts w:eastAsia="Times New Roman" w:cs="Verdana"/>
          <w:szCs w:val="20"/>
          <w:lang w:val="es-CL" w:eastAsia="en-US"/>
        </w:rPr>
        <w:t>, 52.3,</w:t>
      </w:r>
      <w:r w:rsidR="00DF2489" w:rsidRPr="005562D7">
        <w:rPr>
          <w:rFonts w:eastAsia="Times New Roman" w:cs="Verdana"/>
          <w:szCs w:val="20"/>
          <w:lang w:val="es-CL" w:eastAsia="en-US"/>
        </w:rPr>
        <w:t xml:space="preserve"> 57</w:t>
      </w:r>
      <w:r w:rsidR="00576248" w:rsidRPr="005562D7">
        <w:rPr>
          <w:rFonts w:eastAsia="Times New Roman" w:cs="Verdana"/>
          <w:szCs w:val="20"/>
          <w:lang w:val="es-CL" w:eastAsia="en-US"/>
        </w:rPr>
        <w:t xml:space="preserve"> y 58</w:t>
      </w:r>
      <w:r w:rsidR="00DF2489" w:rsidRPr="005562D7">
        <w:rPr>
          <w:rFonts w:eastAsia="Times New Roman" w:cs="Verdana"/>
          <w:szCs w:val="20"/>
          <w:lang w:val="es-CL" w:eastAsia="en-US"/>
        </w:rPr>
        <w:t xml:space="preserve"> del Reglamento </w:t>
      </w:r>
      <w:r w:rsidR="001E2E03" w:rsidRPr="005562D7">
        <w:rPr>
          <w:rFonts w:eastAsia="Times New Roman" w:cs="Verdana"/>
          <w:szCs w:val="20"/>
          <w:lang w:val="es-CL" w:eastAsia="en-US"/>
        </w:rPr>
        <w:t>de la Corte Interamericana de Derechos Humanos</w:t>
      </w:r>
      <w:r w:rsidR="00C711E8" w:rsidRPr="005562D7">
        <w:rPr>
          <w:rFonts w:eastAsia="Times New Roman" w:cs="Verdana"/>
          <w:szCs w:val="20"/>
          <w:lang w:val="es-CL" w:eastAsia="en-US"/>
        </w:rPr>
        <w:t xml:space="preserve"> (en adelante </w:t>
      </w:r>
      <w:r w:rsidR="00E377B2">
        <w:rPr>
          <w:rFonts w:eastAsia="Times New Roman" w:cs="Verdana"/>
          <w:szCs w:val="20"/>
          <w:lang w:val="es-CL" w:eastAsia="en-US"/>
        </w:rPr>
        <w:t xml:space="preserve">también </w:t>
      </w:r>
      <w:r w:rsidR="00C711E8" w:rsidRPr="005562D7">
        <w:rPr>
          <w:rFonts w:eastAsia="Times New Roman" w:cs="Verdana"/>
          <w:szCs w:val="20"/>
          <w:lang w:val="es-CL" w:eastAsia="en-US"/>
        </w:rPr>
        <w:t>“el Reglamento de la Corte”</w:t>
      </w:r>
      <w:r w:rsidR="005F7B20">
        <w:rPr>
          <w:rFonts w:eastAsia="Times New Roman" w:cs="Verdana"/>
          <w:szCs w:val="20"/>
          <w:lang w:val="es-CL" w:eastAsia="en-US"/>
        </w:rPr>
        <w:t>, “el Reglamento del Tribunal”</w:t>
      </w:r>
      <w:r w:rsidR="00C711E8" w:rsidRPr="005562D7">
        <w:rPr>
          <w:rFonts w:eastAsia="Times New Roman" w:cs="Verdana"/>
          <w:szCs w:val="20"/>
          <w:lang w:val="es-CL" w:eastAsia="en-US"/>
        </w:rPr>
        <w:t xml:space="preserve"> o “el Reglamento”)</w:t>
      </w:r>
      <w:r w:rsidR="00DF2489" w:rsidRPr="005562D7">
        <w:rPr>
          <w:rFonts w:eastAsia="Times New Roman" w:cs="Verdana"/>
          <w:szCs w:val="20"/>
          <w:lang w:val="es-CL" w:eastAsia="en-US"/>
        </w:rPr>
        <w:t>.</w:t>
      </w:r>
    </w:p>
    <w:p w14:paraId="0CB217CC" w14:textId="77777777" w:rsidR="009A3E17" w:rsidRPr="005562D7" w:rsidRDefault="009A3E17" w:rsidP="005562D7">
      <w:pPr>
        <w:autoSpaceDE w:val="0"/>
        <w:autoSpaceDN w:val="0"/>
        <w:adjustRightInd w:val="0"/>
        <w:spacing w:after="0"/>
        <w:rPr>
          <w:rFonts w:eastAsia="Times New Roman" w:cs="Verdana"/>
          <w:szCs w:val="20"/>
          <w:lang w:val="es-CL" w:eastAsia="en-US"/>
        </w:rPr>
      </w:pPr>
    </w:p>
    <w:p w14:paraId="7EFE256A" w14:textId="6F58B95E" w:rsidR="00845158" w:rsidRPr="0037549F" w:rsidRDefault="009A3E17" w:rsidP="00851131">
      <w:pPr>
        <w:pStyle w:val="Prrafodelista"/>
        <w:numPr>
          <w:ilvl w:val="0"/>
          <w:numId w:val="42"/>
        </w:numPr>
        <w:tabs>
          <w:tab w:val="left" w:pos="567"/>
        </w:tabs>
        <w:autoSpaceDE w:val="0"/>
        <w:autoSpaceDN w:val="0"/>
        <w:adjustRightInd w:val="0"/>
        <w:ind w:left="0" w:hanging="11"/>
        <w:jc w:val="both"/>
        <w:rPr>
          <w:rFonts w:ascii="Verdana" w:eastAsia="Times New Roman" w:hAnsi="Verdana" w:cs="Verdana"/>
          <w:sz w:val="20"/>
          <w:szCs w:val="16"/>
          <w:lang w:val="es-CL" w:eastAsia="en-US"/>
        </w:rPr>
      </w:pPr>
      <w:r w:rsidRPr="0037549F">
        <w:rPr>
          <w:rFonts w:ascii="Verdana" w:eastAsia="Times New Roman" w:hAnsi="Verdana" w:cs="Verdana"/>
          <w:sz w:val="20"/>
          <w:szCs w:val="16"/>
          <w:lang w:val="es-CL" w:eastAsia="en-US"/>
        </w:rPr>
        <w:t>La Comisión</w:t>
      </w:r>
      <w:r w:rsidR="00803E11" w:rsidRPr="0037549F">
        <w:rPr>
          <w:rFonts w:ascii="Verdana" w:eastAsia="Times New Roman" w:hAnsi="Verdana" w:cs="Verdana"/>
          <w:sz w:val="20"/>
          <w:szCs w:val="16"/>
          <w:lang w:val="es-CL" w:eastAsia="en-US"/>
        </w:rPr>
        <w:t>, en su escrito de sometimiento,</w:t>
      </w:r>
      <w:r w:rsidR="007E15DA">
        <w:rPr>
          <w:rFonts w:ascii="Verdana" w:eastAsia="Times New Roman" w:hAnsi="Verdana" w:cs="Verdana"/>
          <w:sz w:val="20"/>
          <w:szCs w:val="16"/>
          <w:lang w:val="es-CL" w:eastAsia="en-US"/>
        </w:rPr>
        <w:t xml:space="preserve"> y por medio de documentación anexa al mismo,</w:t>
      </w:r>
      <w:r w:rsidRPr="0037549F">
        <w:rPr>
          <w:rFonts w:ascii="Verdana" w:eastAsia="Times New Roman" w:hAnsi="Verdana" w:cs="Verdana"/>
          <w:sz w:val="20"/>
          <w:szCs w:val="16"/>
          <w:lang w:val="es-CL" w:eastAsia="en-US"/>
        </w:rPr>
        <w:t xml:space="preserve"> </w:t>
      </w:r>
      <w:r w:rsidR="007E15DA">
        <w:rPr>
          <w:rFonts w:ascii="Verdana" w:eastAsia="Times New Roman" w:hAnsi="Verdana" w:cs="Verdana"/>
          <w:sz w:val="20"/>
          <w:szCs w:val="16"/>
          <w:lang w:val="es-CL" w:eastAsia="en-US"/>
        </w:rPr>
        <w:t>ofreció una declaración pericial</w:t>
      </w:r>
      <w:r w:rsidR="00380355">
        <w:rPr>
          <w:rFonts w:ascii="Verdana" w:eastAsia="Times New Roman" w:hAnsi="Verdana" w:cs="Verdana"/>
          <w:sz w:val="20"/>
          <w:szCs w:val="16"/>
          <w:lang w:val="es-CL" w:eastAsia="en-US"/>
        </w:rPr>
        <w:t>, del señor David Martínez,</w:t>
      </w:r>
      <w:r w:rsidR="007E15DA">
        <w:rPr>
          <w:rFonts w:ascii="Verdana" w:eastAsia="Times New Roman" w:hAnsi="Verdana" w:cs="Verdana"/>
          <w:sz w:val="20"/>
          <w:szCs w:val="16"/>
          <w:lang w:val="es-CL" w:eastAsia="en-US"/>
        </w:rPr>
        <w:t xml:space="preserve"> y </w:t>
      </w:r>
      <w:r w:rsidRPr="0037549F">
        <w:rPr>
          <w:rFonts w:ascii="Verdana" w:eastAsia="Times New Roman" w:hAnsi="Verdana" w:cs="Verdana"/>
          <w:sz w:val="20"/>
          <w:szCs w:val="16"/>
          <w:lang w:val="es-CL" w:eastAsia="en-US"/>
        </w:rPr>
        <w:t xml:space="preserve">solicitó el traslado </w:t>
      </w:r>
      <w:r w:rsidR="00803E11" w:rsidRPr="0037549F">
        <w:rPr>
          <w:rFonts w:ascii="Verdana" w:eastAsia="Times New Roman" w:hAnsi="Verdana" w:cs="Verdana"/>
          <w:sz w:val="20"/>
          <w:szCs w:val="16"/>
          <w:lang w:val="es-CL" w:eastAsia="en-US"/>
        </w:rPr>
        <w:t xml:space="preserve">al presente caso </w:t>
      </w:r>
      <w:r w:rsidRPr="0037549F">
        <w:rPr>
          <w:rFonts w:ascii="Verdana" w:eastAsia="Times New Roman" w:hAnsi="Verdana" w:cs="Verdana"/>
          <w:sz w:val="20"/>
          <w:szCs w:val="16"/>
          <w:lang w:val="es-CL" w:eastAsia="en-US"/>
        </w:rPr>
        <w:t xml:space="preserve">del peritaje </w:t>
      </w:r>
      <w:r w:rsidR="007E15DA">
        <w:rPr>
          <w:rFonts w:ascii="Verdana" w:eastAsia="Times New Roman" w:hAnsi="Verdana" w:cs="Verdana"/>
          <w:sz w:val="20"/>
          <w:szCs w:val="16"/>
          <w:lang w:val="es-CL" w:eastAsia="en-US"/>
        </w:rPr>
        <w:t xml:space="preserve">rendido por Hugo </w:t>
      </w:r>
      <w:proofErr w:type="spellStart"/>
      <w:r w:rsidR="007E15DA">
        <w:rPr>
          <w:rFonts w:ascii="Verdana" w:eastAsia="Times New Roman" w:hAnsi="Verdana" w:cs="Verdana"/>
          <w:sz w:val="20"/>
          <w:szCs w:val="16"/>
          <w:lang w:val="es-CL" w:eastAsia="en-US"/>
        </w:rPr>
        <w:t>Fru</w:t>
      </w:r>
      <w:r w:rsidR="005F7B20">
        <w:rPr>
          <w:rFonts w:ascii="Verdana" w:eastAsia="Times New Roman" w:hAnsi="Verdana" w:cs="Verdana"/>
          <w:sz w:val="20"/>
          <w:szCs w:val="16"/>
          <w:lang w:val="es-CL" w:eastAsia="en-US"/>
        </w:rPr>
        <w:t>h</w:t>
      </w:r>
      <w:r w:rsidR="007E15DA">
        <w:rPr>
          <w:rFonts w:ascii="Verdana" w:eastAsia="Times New Roman" w:hAnsi="Verdana" w:cs="Verdana"/>
          <w:sz w:val="20"/>
          <w:szCs w:val="16"/>
          <w:lang w:val="es-CL" w:eastAsia="en-US"/>
        </w:rPr>
        <w:t>ling</w:t>
      </w:r>
      <w:proofErr w:type="spellEnd"/>
      <w:r w:rsidR="007E15DA">
        <w:rPr>
          <w:rFonts w:ascii="Verdana" w:eastAsia="Times New Roman" w:hAnsi="Verdana" w:cs="Verdana"/>
          <w:sz w:val="20"/>
          <w:szCs w:val="16"/>
          <w:lang w:val="es-CL" w:eastAsia="en-US"/>
        </w:rPr>
        <w:t xml:space="preserve"> en el caso</w:t>
      </w:r>
      <w:r w:rsidR="007E15DA">
        <w:rPr>
          <w:rFonts w:ascii="Verdana" w:eastAsia="Times New Roman" w:hAnsi="Verdana" w:cs="Verdana"/>
          <w:i/>
          <w:sz w:val="20"/>
          <w:szCs w:val="16"/>
          <w:lang w:val="es-CL" w:eastAsia="en-US"/>
        </w:rPr>
        <w:t xml:space="preserve"> Hermanos Landaeta Mejías y otros Vs. Venezuela</w:t>
      </w:r>
      <w:r w:rsidR="00576248" w:rsidRPr="0037549F">
        <w:rPr>
          <w:rFonts w:ascii="Verdana" w:eastAsia="Times New Roman" w:hAnsi="Verdana" w:cs="Verdana"/>
          <w:sz w:val="20"/>
          <w:szCs w:val="16"/>
          <w:lang w:val="es-CL" w:eastAsia="en-US"/>
        </w:rPr>
        <w:t xml:space="preserve">. </w:t>
      </w:r>
      <w:r w:rsidR="00803E11" w:rsidRPr="0037549F">
        <w:rPr>
          <w:rFonts w:ascii="Verdana" w:eastAsia="Times New Roman" w:hAnsi="Verdana" w:cs="Verdana"/>
          <w:sz w:val="20"/>
          <w:szCs w:val="16"/>
          <w:lang w:val="es-CL" w:eastAsia="en-US"/>
        </w:rPr>
        <w:t>Por su parte, l</w:t>
      </w:r>
      <w:r w:rsidR="007E15DA">
        <w:rPr>
          <w:rFonts w:ascii="Verdana" w:eastAsia="Times New Roman" w:hAnsi="Verdana" w:cs="Verdana"/>
          <w:sz w:val="20"/>
          <w:szCs w:val="16"/>
          <w:lang w:val="es-CL" w:eastAsia="en-US"/>
        </w:rPr>
        <w:t xml:space="preserve">os representantes, </w:t>
      </w:r>
      <w:r w:rsidR="00803E11" w:rsidRPr="0037549F">
        <w:rPr>
          <w:rFonts w:ascii="Verdana" w:eastAsia="Times New Roman" w:hAnsi="Verdana" w:cs="Verdana"/>
          <w:sz w:val="20"/>
          <w:szCs w:val="16"/>
          <w:lang w:val="es-CL" w:eastAsia="en-US"/>
        </w:rPr>
        <w:t xml:space="preserve">en su </w:t>
      </w:r>
      <w:r w:rsidR="006F65C4" w:rsidRPr="0037549F">
        <w:rPr>
          <w:rFonts w:ascii="Verdana" w:eastAsia="Times New Roman" w:hAnsi="Verdana" w:cs="Verdana"/>
          <w:sz w:val="20"/>
          <w:szCs w:val="16"/>
          <w:lang w:val="es-CL" w:eastAsia="en-US"/>
        </w:rPr>
        <w:t>escrito de solicitudes y</w:t>
      </w:r>
      <w:r w:rsidR="00E8551B" w:rsidRPr="0037549F">
        <w:rPr>
          <w:rFonts w:ascii="Verdana" w:eastAsia="Times New Roman" w:hAnsi="Verdana" w:cs="Verdana"/>
          <w:sz w:val="20"/>
          <w:szCs w:val="16"/>
          <w:lang w:val="es-CL" w:eastAsia="en-US"/>
        </w:rPr>
        <w:t xml:space="preserve"> </w:t>
      </w:r>
      <w:r w:rsidR="00DF2489" w:rsidRPr="0037549F">
        <w:rPr>
          <w:rFonts w:ascii="Verdana" w:eastAsia="Times New Roman" w:hAnsi="Verdana" w:cs="Verdana"/>
          <w:sz w:val="20"/>
          <w:szCs w:val="16"/>
          <w:lang w:val="es-CL" w:eastAsia="en-US"/>
        </w:rPr>
        <w:t>argumentos</w:t>
      </w:r>
      <w:r w:rsidRPr="0037549F">
        <w:rPr>
          <w:rFonts w:ascii="Verdana" w:eastAsia="Times New Roman" w:hAnsi="Verdana" w:cs="Verdana"/>
          <w:sz w:val="20"/>
          <w:szCs w:val="16"/>
          <w:lang w:val="es-CL" w:eastAsia="en-US"/>
        </w:rPr>
        <w:t>,</w:t>
      </w:r>
      <w:r w:rsidR="00DF2489" w:rsidRPr="0037549F">
        <w:rPr>
          <w:rFonts w:ascii="Verdana" w:eastAsia="Times New Roman" w:hAnsi="Verdana" w:cs="Verdana"/>
          <w:sz w:val="20"/>
          <w:szCs w:val="16"/>
          <w:lang w:val="es-CL" w:eastAsia="en-US"/>
        </w:rPr>
        <w:t xml:space="preserve"> </w:t>
      </w:r>
      <w:r w:rsidR="00803E11" w:rsidRPr="0037549F">
        <w:rPr>
          <w:rFonts w:ascii="Verdana" w:eastAsia="Times New Roman" w:hAnsi="Verdana" w:cs="Verdana"/>
          <w:sz w:val="20"/>
          <w:szCs w:val="16"/>
          <w:lang w:val="es-CL" w:eastAsia="en-US"/>
        </w:rPr>
        <w:t>ofreci</w:t>
      </w:r>
      <w:r w:rsidR="007E15DA">
        <w:rPr>
          <w:rFonts w:ascii="Verdana" w:eastAsia="Times New Roman" w:hAnsi="Verdana" w:cs="Verdana"/>
          <w:sz w:val="20"/>
          <w:szCs w:val="16"/>
          <w:lang w:val="es-CL" w:eastAsia="en-US"/>
        </w:rPr>
        <w:t>eron</w:t>
      </w:r>
      <w:r w:rsidR="00803E11" w:rsidRPr="0037549F">
        <w:rPr>
          <w:rFonts w:ascii="Verdana" w:eastAsia="Times New Roman" w:hAnsi="Verdana" w:cs="Verdana"/>
          <w:sz w:val="20"/>
          <w:szCs w:val="16"/>
          <w:lang w:val="es-CL" w:eastAsia="en-US"/>
        </w:rPr>
        <w:t xml:space="preserve"> </w:t>
      </w:r>
      <w:r w:rsidR="00D81B84">
        <w:rPr>
          <w:rFonts w:ascii="Verdana" w:eastAsia="Times New Roman" w:hAnsi="Verdana" w:cs="Verdana"/>
          <w:sz w:val="20"/>
          <w:szCs w:val="16"/>
          <w:lang w:val="es-CL" w:eastAsia="en-US"/>
        </w:rPr>
        <w:t>las declaraciones de siete “[f]</w:t>
      </w:r>
      <w:proofErr w:type="spellStart"/>
      <w:r w:rsidR="00D81B84">
        <w:rPr>
          <w:rFonts w:ascii="Verdana" w:eastAsia="Times New Roman" w:hAnsi="Verdana" w:cs="Verdana"/>
          <w:sz w:val="20"/>
          <w:szCs w:val="16"/>
          <w:lang w:val="es-CL" w:eastAsia="en-US"/>
        </w:rPr>
        <w:t>amiliares</w:t>
      </w:r>
      <w:proofErr w:type="spellEnd"/>
      <w:r w:rsidR="00D81B84">
        <w:rPr>
          <w:rFonts w:ascii="Verdana" w:eastAsia="Times New Roman" w:hAnsi="Verdana" w:cs="Verdana"/>
          <w:sz w:val="20"/>
          <w:szCs w:val="16"/>
          <w:lang w:val="es-CL" w:eastAsia="en-US"/>
        </w:rPr>
        <w:t xml:space="preserve"> de Jimmy Guerrero”</w:t>
      </w:r>
      <w:r w:rsidR="00851131">
        <w:rPr>
          <w:rFonts w:ascii="Verdana" w:eastAsia="Times New Roman" w:hAnsi="Verdana" w:cs="Verdana"/>
          <w:sz w:val="20"/>
          <w:szCs w:val="16"/>
          <w:lang w:val="es-CL" w:eastAsia="en-US"/>
        </w:rPr>
        <w:t xml:space="preserve"> y</w:t>
      </w:r>
      <w:r w:rsidR="00D81B84">
        <w:rPr>
          <w:rFonts w:ascii="Verdana" w:eastAsia="Times New Roman" w:hAnsi="Verdana" w:cs="Verdana"/>
          <w:sz w:val="20"/>
          <w:szCs w:val="16"/>
          <w:lang w:val="es-CL" w:eastAsia="en-US"/>
        </w:rPr>
        <w:t xml:space="preserve"> de la “viuda de Ramón Molina”</w:t>
      </w:r>
      <w:r w:rsidR="00851131">
        <w:rPr>
          <w:rFonts w:ascii="Verdana" w:eastAsia="Times New Roman" w:hAnsi="Verdana" w:cs="Verdana"/>
          <w:sz w:val="20"/>
          <w:szCs w:val="16"/>
          <w:lang w:val="es-CL" w:eastAsia="en-US"/>
        </w:rPr>
        <w:t>, así como siete declaraciones periciales</w:t>
      </w:r>
      <w:r w:rsidR="00D81B84">
        <w:rPr>
          <w:rStyle w:val="Refdenotaalpie"/>
          <w:rFonts w:ascii="Verdana" w:eastAsia="Times New Roman" w:hAnsi="Verdana" w:cs="Verdana"/>
          <w:sz w:val="20"/>
          <w:szCs w:val="16"/>
          <w:lang w:val="es-CL" w:eastAsia="en-US"/>
        </w:rPr>
        <w:footnoteReference w:id="5"/>
      </w:r>
      <w:r w:rsidR="00803E11" w:rsidRPr="0037549F">
        <w:rPr>
          <w:rFonts w:ascii="Verdana" w:eastAsia="Times New Roman" w:hAnsi="Verdana" w:cs="Verdana"/>
          <w:sz w:val="20"/>
          <w:szCs w:val="16"/>
          <w:lang w:val="es-CL" w:eastAsia="en-US"/>
        </w:rPr>
        <w:t>.</w:t>
      </w:r>
      <w:r w:rsidR="00766065">
        <w:rPr>
          <w:rFonts w:ascii="Verdana" w:eastAsia="Times New Roman" w:hAnsi="Verdana" w:cs="Verdana"/>
          <w:sz w:val="20"/>
          <w:szCs w:val="16"/>
          <w:lang w:val="es-CL" w:eastAsia="en-US"/>
        </w:rPr>
        <w:t xml:space="preserve"> </w:t>
      </w:r>
      <w:r w:rsidR="00851131">
        <w:rPr>
          <w:rFonts w:ascii="Verdana" w:eastAsia="Times New Roman" w:hAnsi="Verdana" w:cs="Verdana"/>
          <w:sz w:val="20"/>
          <w:szCs w:val="16"/>
          <w:lang w:val="es-CL" w:eastAsia="en-US"/>
        </w:rPr>
        <w:t xml:space="preserve">Además, solicitaron el traslado al presente caso de las declaraciones periciales rendidas por Christof </w:t>
      </w:r>
      <w:proofErr w:type="spellStart"/>
      <w:r w:rsidR="00851131">
        <w:rPr>
          <w:rFonts w:ascii="Verdana" w:eastAsia="Times New Roman" w:hAnsi="Verdana" w:cs="Verdana"/>
          <w:sz w:val="20"/>
          <w:szCs w:val="16"/>
          <w:lang w:val="es-CL" w:eastAsia="en-US"/>
        </w:rPr>
        <w:t>Heyns</w:t>
      </w:r>
      <w:proofErr w:type="spellEnd"/>
      <w:r w:rsidR="00851131">
        <w:rPr>
          <w:rFonts w:ascii="Verdana" w:eastAsia="Times New Roman" w:hAnsi="Verdana" w:cs="Verdana"/>
          <w:sz w:val="20"/>
          <w:szCs w:val="16"/>
          <w:lang w:val="es-CL" w:eastAsia="en-US"/>
        </w:rPr>
        <w:t xml:space="preserve">, en el caso </w:t>
      </w:r>
      <w:r w:rsidR="00851131" w:rsidRPr="00851131">
        <w:rPr>
          <w:rFonts w:ascii="Verdana" w:eastAsia="Times New Roman" w:hAnsi="Verdana" w:cs="Verdana"/>
          <w:i/>
          <w:sz w:val="20"/>
          <w:szCs w:val="16"/>
          <w:lang w:val="es-CL" w:eastAsia="en-US"/>
        </w:rPr>
        <w:t xml:space="preserve">Favela Nova </w:t>
      </w:r>
      <w:r w:rsidR="00011AE1" w:rsidRPr="00851131">
        <w:rPr>
          <w:rFonts w:ascii="Verdana" w:eastAsia="Times New Roman" w:hAnsi="Verdana" w:cs="Verdana"/>
          <w:i/>
          <w:sz w:val="20"/>
          <w:szCs w:val="16"/>
          <w:lang w:val="es-CL" w:eastAsia="en-US"/>
        </w:rPr>
        <w:t>Brasilia</w:t>
      </w:r>
      <w:r w:rsidR="00851131" w:rsidRPr="00851131">
        <w:rPr>
          <w:rFonts w:ascii="Verdana" w:eastAsia="Times New Roman" w:hAnsi="Verdana" w:cs="Verdana"/>
          <w:i/>
          <w:sz w:val="20"/>
          <w:szCs w:val="16"/>
          <w:lang w:val="es-CL" w:eastAsia="en-US"/>
        </w:rPr>
        <w:t xml:space="preserve"> Vs. Brasil</w:t>
      </w:r>
      <w:r w:rsidR="00F332FB">
        <w:rPr>
          <w:rFonts w:ascii="Verdana" w:eastAsia="Times New Roman" w:hAnsi="Verdana" w:cs="Verdana"/>
          <w:i/>
          <w:sz w:val="20"/>
          <w:szCs w:val="16"/>
          <w:lang w:val="es-CL" w:eastAsia="en-US"/>
        </w:rPr>
        <w:t>,</w:t>
      </w:r>
      <w:r w:rsidR="00851131">
        <w:rPr>
          <w:rFonts w:ascii="Verdana" w:eastAsia="Times New Roman" w:hAnsi="Verdana" w:cs="Verdana"/>
          <w:sz w:val="20"/>
          <w:szCs w:val="16"/>
          <w:lang w:val="es-CL" w:eastAsia="en-US"/>
        </w:rPr>
        <w:t xml:space="preserve"> Magaly Mercedes Vásquez González, en el caso </w:t>
      </w:r>
      <w:r w:rsidR="00851131">
        <w:rPr>
          <w:rFonts w:ascii="Verdana" w:eastAsia="Times New Roman" w:hAnsi="Verdana" w:cs="Verdana"/>
          <w:i/>
          <w:sz w:val="20"/>
          <w:szCs w:val="16"/>
          <w:lang w:val="es-CL" w:eastAsia="en-US"/>
        </w:rPr>
        <w:t>Familia Barrios Vs. Venezuela</w:t>
      </w:r>
      <w:r w:rsidR="00851131" w:rsidRPr="00851131">
        <w:rPr>
          <w:rFonts w:ascii="Verdana" w:eastAsia="Times New Roman" w:hAnsi="Verdana" w:cs="Verdana"/>
          <w:sz w:val="20"/>
          <w:szCs w:val="16"/>
          <w:lang w:val="es-CL" w:eastAsia="en-US"/>
        </w:rPr>
        <w:t xml:space="preserve">, y </w:t>
      </w:r>
      <w:r w:rsidR="00851131">
        <w:rPr>
          <w:rFonts w:ascii="Verdana" w:eastAsia="Times New Roman" w:hAnsi="Verdana" w:cs="Verdana"/>
          <w:sz w:val="20"/>
          <w:szCs w:val="16"/>
          <w:lang w:val="es-CL" w:eastAsia="en-US"/>
        </w:rPr>
        <w:t xml:space="preserve">José Pablo </w:t>
      </w:r>
      <w:proofErr w:type="spellStart"/>
      <w:r w:rsidR="00851131">
        <w:rPr>
          <w:rFonts w:ascii="Verdana" w:eastAsia="Times New Roman" w:hAnsi="Verdana" w:cs="Verdana"/>
          <w:sz w:val="20"/>
          <w:szCs w:val="16"/>
          <w:lang w:val="es-CL" w:eastAsia="en-US"/>
        </w:rPr>
        <w:t>Baraybar</w:t>
      </w:r>
      <w:proofErr w:type="spellEnd"/>
      <w:r w:rsidR="00851131">
        <w:rPr>
          <w:rFonts w:ascii="Verdana" w:eastAsia="Times New Roman" w:hAnsi="Verdana" w:cs="Verdana"/>
          <w:sz w:val="20"/>
          <w:szCs w:val="16"/>
          <w:lang w:val="es-CL" w:eastAsia="en-US"/>
        </w:rPr>
        <w:t xml:space="preserve">, en el caso </w:t>
      </w:r>
      <w:r w:rsidR="00851131">
        <w:rPr>
          <w:rFonts w:ascii="Verdana" w:eastAsia="Times New Roman" w:hAnsi="Verdana" w:cs="Verdana"/>
          <w:i/>
          <w:sz w:val="20"/>
          <w:szCs w:val="16"/>
          <w:lang w:val="es-CL" w:eastAsia="en-US"/>
        </w:rPr>
        <w:t>Hermanos Landaeta Mejías y otros Vs. Venezuela</w:t>
      </w:r>
      <w:r w:rsidR="00F332FB">
        <w:rPr>
          <w:rFonts w:ascii="Verdana" w:eastAsia="Times New Roman" w:hAnsi="Verdana" w:cs="Verdana"/>
          <w:i/>
          <w:sz w:val="20"/>
          <w:szCs w:val="16"/>
          <w:lang w:val="es-CL" w:eastAsia="en-US"/>
        </w:rPr>
        <w:t>.</w:t>
      </w:r>
      <w:r w:rsidR="00851131">
        <w:rPr>
          <w:rFonts w:ascii="Verdana" w:eastAsia="Times New Roman" w:hAnsi="Verdana" w:cs="Verdana"/>
          <w:sz w:val="20"/>
          <w:szCs w:val="16"/>
          <w:lang w:val="es-CL" w:eastAsia="en-US"/>
        </w:rPr>
        <w:t xml:space="preserve"> </w:t>
      </w:r>
      <w:r w:rsidR="00803E11" w:rsidRPr="0037549F">
        <w:rPr>
          <w:rFonts w:ascii="Verdana" w:hAnsi="Verdana"/>
          <w:sz w:val="20"/>
          <w:szCs w:val="16"/>
          <w:lang w:val="es-CO"/>
        </w:rPr>
        <w:t>El Estado</w:t>
      </w:r>
      <w:r w:rsidR="00803E11" w:rsidRPr="0037549F">
        <w:rPr>
          <w:rFonts w:ascii="Verdana" w:hAnsi="Verdana"/>
          <w:iCs/>
          <w:sz w:val="20"/>
          <w:szCs w:val="16"/>
          <w:lang w:val="es-CO"/>
        </w:rPr>
        <w:t>,</w:t>
      </w:r>
      <w:r w:rsidR="00DF2489" w:rsidRPr="0037549F">
        <w:rPr>
          <w:rFonts w:ascii="Verdana" w:eastAsia="Times New Roman" w:hAnsi="Verdana" w:cs="Verdana"/>
          <w:sz w:val="20"/>
          <w:szCs w:val="16"/>
          <w:lang w:val="es-CL" w:eastAsia="en-US"/>
        </w:rPr>
        <w:t xml:space="preserve"> en su escrito de contestación</w:t>
      </w:r>
      <w:r w:rsidR="0064711C">
        <w:rPr>
          <w:rFonts w:ascii="Verdana" w:eastAsia="Times New Roman" w:hAnsi="Verdana" w:cs="Verdana"/>
          <w:sz w:val="20"/>
          <w:szCs w:val="16"/>
          <w:lang w:val="es-CL" w:eastAsia="en-US"/>
        </w:rPr>
        <w:t xml:space="preserve"> y en documentación anexa al mismo</w:t>
      </w:r>
      <w:r w:rsidR="00DF2489" w:rsidRPr="0037549F">
        <w:rPr>
          <w:rFonts w:ascii="Verdana" w:eastAsia="Times New Roman" w:hAnsi="Verdana" w:cs="Verdana"/>
          <w:sz w:val="20"/>
          <w:szCs w:val="16"/>
          <w:lang w:val="es-CL" w:eastAsia="en-US"/>
        </w:rPr>
        <w:t xml:space="preserve">, </w:t>
      </w:r>
      <w:r w:rsidR="00803E11" w:rsidRPr="0037549F">
        <w:rPr>
          <w:rFonts w:ascii="Verdana" w:eastAsia="Times New Roman" w:hAnsi="Verdana" w:cs="Verdana"/>
          <w:sz w:val="20"/>
          <w:szCs w:val="16"/>
          <w:lang w:val="es-CL" w:eastAsia="en-US"/>
        </w:rPr>
        <w:t>ofreció</w:t>
      </w:r>
      <w:r w:rsidR="00380355">
        <w:rPr>
          <w:rFonts w:ascii="Verdana" w:eastAsia="Times New Roman" w:hAnsi="Verdana" w:cs="Verdana"/>
          <w:sz w:val="20"/>
          <w:szCs w:val="16"/>
          <w:lang w:val="es-CL" w:eastAsia="en-US"/>
        </w:rPr>
        <w:t xml:space="preserve"> </w:t>
      </w:r>
      <w:r w:rsidR="00CA07D6">
        <w:rPr>
          <w:rFonts w:ascii="Verdana" w:eastAsia="Times New Roman" w:hAnsi="Verdana" w:cs="Verdana"/>
          <w:sz w:val="20"/>
          <w:szCs w:val="16"/>
          <w:lang w:val="es-CL" w:eastAsia="en-US"/>
        </w:rPr>
        <w:t>dos</w:t>
      </w:r>
      <w:r w:rsidR="0064711C">
        <w:rPr>
          <w:rFonts w:ascii="Verdana" w:eastAsia="Times New Roman" w:hAnsi="Verdana" w:cs="Verdana"/>
          <w:sz w:val="20"/>
          <w:szCs w:val="16"/>
          <w:lang w:val="es-CL" w:eastAsia="en-US"/>
        </w:rPr>
        <w:t xml:space="preserve"> declaraciones</w:t>
      </w:r>
      <w:r w:rsidR="00CA07D6">
        <w:rPr>
          <w:rFonts w:ascii="Verdana" w:eastAsia="Times New Roman" w:hAnsi="Verdana" w:cs="Verdana"/>
          <w:sz w:val="20"/>
          <w:szCs w:val="16"/>
          <w:lang w:val="es-CL" w:eastAsia="en-US"/>
        </w:rPr>
        <w:t xml:space="preserve"> testimoniales y una declaración pericial</w:t>
      </w:r>
      <w:r w:rsidR="0064711C">
        <w:rPr>
          <w:rStyle w:val="Refdenotaalpie"/>
          <w:rFonts w:ascii="Verdana" w:eastAsia="Times New Roman" w:hAnsi="Verdana" w:cs="Verdana"/>
          <w:sz w:val="20"/>
          <w:szCs w:val="16"/>
          <w:lang w:val="es-CL" w:eastAsia="en-US"/>
        </w:rPr>
        <w:footnoteReference w:id="6"/>
      </w:r>
      <w:r w:rsidR="00DF2489" w:rsidRPr="0037549F">
        <w:rPr>
          <w:rFonts w:ascii="Verdana" w:eastAsia="Times New Roman" w:hAnsi="Verdana" w:cs="Verdana"/>
          <w:sz w:val="20"/>
          <w:szCs w:val="16"/>
          <w:lang w:val="es-CL" w:eastAsia="en-US"/>
        </w:rPr>
        <w:t>.</w:t>
      </w:r>
      <w:r w:rsidR="00CA07D6">
        <w:rPr>
          <w:rFonts w:ascii="Verdana" w:eastAsia="Times New Roman" w:hAnsi="Verdana" w:cs="Verdana"/>
          <w:sz w:val="20"/>
          <w:szCs w:val="16"/>
          <w:lang w:val="es-CL" w:eastAsia="en-US"/>
        </w:rPr>
        <w:t xml:space="preserve"> Asimismo, solicitó “trasladar al presente caso las [pruebas] documentales consignadas en el caso </w:t>
      </w:r>
      <w:r w:rsidR="00CA07D6">
        <w:rPr>
          <w:rFonts w:ascii="Verdana" w:eastAsia="Times New Roman" w:hAnsi="Verdana" w:cs="Verdana"/>
          <w:i/>
          <w:sz w:val="20"/>
          <w:szCs w:val="16"/>
          <w:lang w:val="es-CL" w:eastAsia="en-US"/>
        </w:rPr>
        <w:t xml:space="preserve">Hermanos Landaeta Mejías y otros Vs. Venezuela </w:t>
      </w:r>
      <w:r w:rsidR="00CA07D6">
        <w:rPr>
          <w:rFonts w:ascii="Verdana" w:eastAsia="Times New Roman" w:hAnsi="Verdana" w:cs="Verdana"/>
          <w:sz w:val="20"/>
          <w:szCs w:val="16"/>
          <w:lang w:val="es-CL" w:eastAsia="en-US"/>
        </w:rPr>
        <w:t>en relación con las medidas legislativas, administrativas y de otra índole para asegurar la investigación con la debida diligencia y de conformidad con los estándares internacionales relevantes la necesidad y proporcionalidad del uso letal de la fuerza por parte de funcionarios policiales”</w:t>
      </w:r>
      <w:r w:rsidR="00D06F0D">
        <w:rPr>
          <w:rFonts w:ascii="Verdana" w:eastAsia="Times New Roman" w:hAnsi="Verdana" w:cs="Verdana"/>
          <w:sz w:val="20"/>
          <w:szCs w:val="16"/>
          <w:lang w:val="es-CL" w:eastAsia="en-US"/>
        </w:rPr>
        <w:t>.</w:t>
      </w:r>
    </w:p>
    <w:p w14:paraId="3FFB42A1" w14:textId="77777777" w:rsidR="00DF2489" w:rsidRPr="005562D7" w:rsidRDefault="00DF2489" w:rsidP="005562D7">
      <w:pPr>
        <w:autoSpaceDE w:val="0"/>
        <w:autoSpaceDN w:val="0"/>
        <w:adjustRightInd w:val="0"/>
        <w:spacing w:after="0"/>
        <w:rPr>
          <w:rFonts w:eastAsia="Times New Roman" w:cs="Verdana"/>
          <w:szCs w:val="20"/>
          <w:lang w:val="es-CL" w:eastAsia="en-US"/>
        </w:rPr>
      </w:pPr>
    </w:p>
    <w:p w14:paraId="186C199B" w14:textId="77777777" w:rsidR="00E80C57" w:rsidRPr="00E80C57" w:rsidRDefault="00DF2489" w:rsidP="0037549F">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5562D7">
        <w:rPr>
          <w:rFonts w:ascii="Verdana" w:hAnsi="Verdana"/>
          <w:color w:val="auto"/>
          <w:sz w:val="20"/>
          <w:szCs w:val="20"/>
          <w:lang w:val="es-CR"/>
        </w:rPr>
        <w:t>La Comisión,</w:t>
      </w:r>
      <w:r w:rsidR="00E80C57">
        <w:rPr>
          <w:rFonts w:ascii="Verdana" w:hAnsi="Verdana"/>
          <w:color w:val="auto"/>
          <w:sz w:val="20"/>
          <w:szCs w:val="20"/>
          <w:lang w:val="es-CR"/>
        </w:rPr>
        <w:t xml:space="preserve"> los representantes y el Estado,</w:t>
      </w:r>
      <w:r w:rsidRPr="005562D7">
        <w:rPr>
          <w:rFonts w:ascii="Verdana" w:hAnsi="Verdana"/>
          <w:color w:val="auto"/>
          <w:sz w:val="20"/>
          <w:szCs w:val="20"/>
          <w:lang w:val="es-CR"/>
        </w:rPr>
        <w:t xml:space="preserve"> </w:t>
      </w:r>
      <w:r w:rsidR="00803E11" w:rsidRPr="005562D7">
        <w:rPr>
          <w:rFonts w:ascii="Verdana" w:hAnsi="Verdana"/>
          <w:color w:val="auto"/>
          <w:sz w:val="20"/>
          <w:szCs w:val="20"/>
          <w:lang w:val="es-CR"/>
        </w:rPr>
        <w:t>al presentar</w:t>
      </w:r>
      <w:r w:rsidRPr="005562D7">
        <w:rPr>
          <w:rFonts w:ascii="Verdana" w:hAnsi="Verdana"/>
          <w:color w:val="auto"/>
          <w:sz w:val="20"/>
          <w:szCs w:val="20"/>
          <w:lang w:val="es-CR"/>
        </w:rPr>
        <w:t xml:space="preserve"> su</w:t>
      </w:r>
      <w:r w:rsidR="00E80C57">
        <w:rPr>
          <w:rFonts w:ascii="Verdana" w:hAnsi="Verdana"/>
          <w:color w:val="auto"/>
          <w:sz w:val="20"/>
          <w:szCs w:val="20"/>
          <w:lang w:val="es-CR"/>
        </w:rPr>
        <w:t>s</w:t>
      </w:r>
      <w:r w:rsidRPr="005562D7">
        <w:rPr>
          <w:rFonts w:ascii="Verdana" w:hAnsi="Verdana"/>
          <w:color w:val="auto"/>
          <w:sz w:val="20"/>
          <w:szCs w:val="20"/>
          <w:lang w:val="es-CR"/>
        </w:rPr>
        <w:t xml:space="preserve"> lista</w:t>
      </w:r>
      <w:r w:rsidR="00E80C57">
        <w:rPr>
          <w:rFonts w:ascii="Verdana" w:hAnsi="Verdana"/>
          <w:color w:val="auto"/>
          <w:sz w:val="20"/>
          <w:szCs w:val="20"/>
          <w:lang w:val="es-CR"/>
        </w:rPr>
        <w:t>s</w:t>
      </w:r>
      <w:r w:rsidRPr="005562D7">
        <w:rPr>
          <w:rFonts w:ascii="Verdana" w:hAnsi="Verdana"/>
          <w:color w:val="auto"/>
          <w:sz w:val="20"/>
          <w:szCs w:val="20"/>
          <w:lang w:val="es-CR"/>
        </w:rPr>
        <w:t xml:space="preserve"> definitiva</w:t>
      </w:r>
      <w:r w:rsidR="00E80C57">
        <w:rPr>
          <w:rFonts w:ascii="Verdana" w:hAnsi="Verdana"/>
          <w:color w:val="auto"/>
          <w:sz w:val="20"/>
          <w:szCs w:val="20"/>
          <w:lang w:val="es-CR"/>
        </w:rPr>
        <w:t>s</w:t>
      </w:r>
      <w:r w:rsidR="00803E11" w:rsidRPr="005562D7">
        <w:rPr>
          <w:rFonts w:ascii="Verdana" w:hAnsi="Verdana"/>
          <w:color w:val="auto"/>
          <w:sz w:val="20"/>
          <w:szCs w:val="20"/>
          <w:lang w:val="es-CR"/>
        </w:rPr>
        <w:t xml:space="preserve"> de declarantes</w:t>
      </w:r>
      <w:r w:rsidR="00E80C57">
        <w:rPr>
          <w:rFonts w:ascii="Verdana" w:hAnsi="Verdana"/>
          <w:color w:val="auto"/>
          <w:sz w:val="20"/>
          <w:szCs w:val="20"/>
          <w:lang w:val="es-CR"/>
        </w:rPr>
        <w:t>, reiteraron</w:t>
      </w:r>
      <w:r w:rsidR="009A3E17" w:rsidRPr="005562D7">
        <w:rPr>
          <w:rFonts w:ascii="Verdana" w:hAnsi="Verdana"/>
          <w:color w:val="auto"/>
          <w:sz w:val="20"/>
          <w:szCs w:val="20"/>
          <w:lang w:val="es-CR"/>
        </w:rPr>
        <w:t xml:space="preserve"> </w:t>
      </w:r>
      <w:r w:rsidR="00E80C57">
        <w:rPr>
          <w:rFonts w:ascii="Verdana" w:hAnsi="Verdana"/>
          <w:color w:val="auto"/>
          <w:sz w:val="20"/>
          <w:szCs w:val="20"/>
          <w:lang w:val="es-CR"/>
        </w:rPr>
        <w:t>los ofrecimientos de declaraciones efectuados en sus escritos de sometimiento, de solicitudes y argumentos y de contestación, respectivamente</w:t>
      </w:r>
      <w:r w:rsidR="00E80C57">
        <w:rPr>
          <w:rFonts w:ascii="Verdana" w:eastAsia="Times New Roman" w:hAnsi="Verdana" w:cs="Verdana"/>
          <w:sz w:val="20"/>
          <w:szCs w:val="20"/>
          <w:lang w:val="es-CL" w:eastAsia="en-US"/>
        </w:rPr>
        <w:t>.</w:t>
      </w:r>
    </w:p>
    <w:p w14:paraId="251CF5EC" w14:textId="77777777" w:rsidR="0003512F" w:rsidRPr="000F6BDF" w:rsidRDefault="0003512F" w:rsidP="005562D7">
      <w:pPr>
        <w:pStyle w:val="Prrafodelista"/>
        <w:widowControl w:val="0"/>
        <w:autoSpaceDE w:val="0"/>
        <w:autoSpaceDN w:val="0"/>
        <w:adjustRightInd w:val="0"/>
        <w:ind w:left="0" w:right="22"/>
        <w:jc w:val="both"/>
        <w:rPr>
          <w:rFonts w:ascii="Verdana" w:hAnsi="Verdana"/>
          <w:color w:val="auto"/>
          <w:sz w:val="20"/>
          <w:szCs w:val="20"/>
          <w:lang w:val="es-CR"/>
        </w:rPr>
      </w:pPr>
    </w:p>
    <w:p w14:paraId="20DD1AD8" w14:textId="2FAAE567" w:rsidR="00523814" w:rsidRPr="00D32492" w:rsidRDefault="00AE6C2B" w:rsidP="00702BCA">
      <w:pPr>
        <w:pStyle w:val="Prrafodelista"/>
        <w:widowControl w:val="0"/>
        <w:numPr>
          <w:ilvl w:val="0"/>
          <w:numId w:val="42"/>
        </w:numPr>
        <w:tabs>
          <w:tab w:val="left" w:pos="567"/>
        </w:tabs>
        <w:autoSpaceDE w:val="0"/>
        <w:autoSpaceDN w:val="0"/>
        <w:adjustRightInd w:val="0"/>
        <w:ind w:left="0" w:right="22" w:firstLine="0"/>
        <w:jc w:val="both"/>
        <w:rPr>
          <w:rFonts w:ascii="Verdana" w:hAnsi="Verdana"/>
          <w:sz w:val="20"/>
          <w:szCs w:val="20"/>
          <w:lang w:val="es-MX"/>
        </w:rPr>
      </w:pPr>
      <w:r w:rsidRPr="000F6BDF">
        <w:rPr>
          <w:rFonts w:ascii="Verdana" w:hAnsi="Verdana"/>
          <w:sz w:val="20"/>
          <w:szCs w:val="20"/>
          <w:lang w:val="es-MX"/>
        </w:rPr>
        <w:t>En cuanto a las declaraciones que no han sido objetadas</w:t>
      </w:r>
      <w:r w:rsidRPr="00AE6C2B">
        <w:rPr>
          <w:rFonts w:ascii="Verdana" w:hAnsi="Verdana"/>
          <w:sz w:val="20"/>
          <w:szCs w:val="20"/>
          <w:lang w:val="es-MX"/>
        </w:rPr>
        <w:t>, esta Presidencia considera conveniente recabar dicha prueba, a efecto</w:t>
      </w:r>
      <w:r w:rsidR="00011AE1">
        <w:rPr>
          <w:rFonts w:ascii="Verdana" w:hAnsi="Verdana"/>
          <w:sz w:val="20"/>
          <w:szCs w:val="20"/>
          <w:lang w:val="es-MX"/>
        </w:rPr>
        <w:t>s</w:t>
      </w:r>
      <w:r w:rsidRPr="00AE6C2B">
        <w:rPr>
          <w:rFonts w:ascii="Verdana" w:hAnsi="Verdana"/>
          <w:sz w:val="20"/>
          <w:szCs w:val="20"/>
          <w:lang w:val="es-MX"/>
        </w:rPr>
        <w:t xml:space="preserve"> de que </w:t>
      </w:r>
      <w:r w:rsidR="00A326E3">
        <w:rPr>
          <w:rFonts w:ascii="Verdana" w:hAnsi="Verdana"/>
          <w:sz w:val="20"/>
          <w:szCs w:val="20"/>
          <w:lang w:val="es-MX"/>
        </w:rPr>
        <w:t>la Corte Interamericana de Derechos Humanos</w:t>
      </w:r>
      <w:r w:rsidRPr="00AE6C2B">
        <w:rPr>
          <w:rFonts w:ascii="Verdana" w:hAnsi="Verdana"/>
          <w:sz w:val="20"/>
          <w:szCs w:val="20"/>
          <w:lang w:val="es-MX"/>
        </w:rPr>
        <w:t xml:space="preserve"> aprecie su valor en la debida oportunidad procesal, dentro del contexto del acervo probatorio existente y según las reglas de la sana crítica.</w:t>
      </w:r>
      <w:r w:rsidR="00702BCA">
        <w:rPr>
          <w:rFonts w:ascii="Verdana" w:hAnsi="Verdana"/>
          <w:sz w:val="20"/>
          <w:szCs w:val="20"/>
          <w:lang w:val="es-MX"/>
        </w:rPr>
        <w:t xml:space="preserve"> </w:t>
      </w:r>
      <w:r w:rsidR="00E37DF4">
        <w:rPr>
          <w:rFonts w:ascii="Verdana" w:hAnsi="Verdana"/>
          <w:sz w:val="20"/>
          <w:szCs w:val="20"/>
          <w:lang w:val="es-MX"/>
        </w:rPr>
        <w:t>Lo anterior, con excepción de la declaración del señor Emerson Aguilar, propuesta por el Estado, respecto de la cual se formulan consideraciones particulares más adelante (</w:t>
      </w:r>
      <w:r w:rsidR="00E37DF4">
        <w:rPr>
          <w:rFonts w:ascii="Verdana" w:hAnsi="Verdana"/>
          <w:i/>
          <w:sz w:val="20"/>
          <w:szCs w:val="20"/>
          <w:lang w:val="es-MX"/>
        </w:rPr>
        <w:t xml:space="preserve">infra </w:t>
      </w:r>
      <w:r w:rsidR="00E37DF4" w:rsidRPr="004B720A">
        <w:rPr>
          <w:rFonts w:ascii="Verdana" w:hAnsi="Verdana"/>
          <w:sz w:val="20"/>
          <w:szCs w:val="20"/>
          <w:lang w:val="es-MX"/>
        </w:rPr>
        <w:t xml:space="preserve">Considerandos </w:t>
      </w:r>
      <w:r w:rsidR="00D32492">
        <w:rPr>
          <w:rFonts w:ascii="Verdana" w:hAnsi="Verdana"/>
          <w:sz w:val="20"/>
          <w:szCs w:val="20"/>
          <w:lang w:val="es-MX"/>
        </w:rPr>
        <w:t>21 y 22</w:t>
      </w:r>
      <w:r w:rsidR="00E37DF4" w:rsidRPr="004B720A">
        <w:rPr>
          <w:rFonts w:ascii="Verdana" w:hAnsi="Verdana"/>
          <w:sz w:val="20"/>
          <w:szCs w:val="20"/>
          <w:lang w:val="es-MX"/>
        </w:rPr>
        <w:t>)</w:t>
      </w:r>
      <w:r w:rsidR="00D817A6">
        <w:rPr>
          <w:rFonts w:ascii="Verdana" w:hAnsi="Verdana"/>
          <w:i/>
          <w:sz w:val="20"/>
          <w:szCs w:val="20"/>
          <w:lang w:val="es-MX"/>
        </w:rPr>
        <w:t>.</w:t>
      </w:r>
      <w:r w:rsidR="00E37DF4">
        <w:rPr>
          <w:rFonts w:ascii="Verdana" w:hAnsi="Verdana"/>
          <w:sz w:val="20"/>
          <w:szCs w:val="20"/>
          <w:lang w:val="es-MX"/>
        </w:rPr>
        <w:t xml:space="preserve"> </w:t>
      </w:r>
      <w:r w:rsidR="00702BCA">
        <w:rPr>
          <w:rFonts w:ascii="Verdana" w:hAnsi="Verdana"/>
          <w:sz w:val="20"/>
          <w:szCs w:val="20"/>
          <w:lang w:val="es-MX"/>
        </w:rPr>
        <w:t>Por consiguiente, la Presidencia admite las declaraciones periciales de Rossana Ramírez</w:t>
      </w:r>
      <w:r w:rsidR="00D817A6">
        <w:rPr>
          <w:rFonts w:ascii="Verdana" w:hAnsi="Verdana"/>
          <w:sz w:val="20"/>
          <w:szCs w:val="20"/>
          <w:lang w:val="es-MX"/>
        </w:rPr>
        <w:t xml:space="preserve"> y</w:t>
      </w:r>
      <w:r w:rsidR="00702BCA">
        <w:rPr>
          <w:rFonts w:ascii="Verdana" w:hAnsi="Verdana"/>
          <w:sz w:val="20"/>
          <w:szCs w:val="20"/>
          <w:lang w:val="es-MX"/>
        </w:rPr>
        <w:t xml:space="preserve"> </w:t>
      </w:r>
      <w:r w:rsidR="00702BCA" w:rsidRPr="00702BCA">
        <w:rPr>
          <w:rFonts w:ascii="Verdana" w:hAnsi="Verdana"/>
          <w:sz w:val="20"/>
          <w:szCs w:val="20"/>
          <w:lang w:val="es-MX"/>
        </w:rPr>
        <w:t xml:space="preserve">Carmen </w:t>
      </w:r>
      <w:proofErr w:type="spellStart"/>
      <w:r w:rsidR="00702BCA" w:rsidRPr="00702BCA">
        <w:rPr>
          <w:rFonts w:ascii="Verdana" w:hAnsi="Verdana"/>
          <w:sz w:val="20"/>
          <w:szCs w:val="20"/>
          <w:lang w:val="es-MX"/>
        </w:rPr>
        <w:t>Wurst</w:t>
      </w:r>
      <w:proofErr w:type="spellEnd"/>
      <w:r w:rsidR="00702BCA">
        <w:rPr>
          <w:rFonts w:ascii="Verdana" w:hAnsi="Verdana"/>
          <w:sz w:val="20"/>
          <w:szCs w:val="20"/>
          <w:lang w:val="es-MX"/>
        </w:rPr>
        <w:t>, propuestas por los representantes, así como los testimonios, propuestos por el Estado, de Karin García Carrasco y Pablo Fernández B</w:t>
      </w:r>
      <w:r w:rsidR="00AB530F">
        <w:rPr>
          <w:rFonts w:ascii="Verdana" w:hAnsi="Verdana"/>
          <w:sz w:val="20"/>
          <w:szCs w:val="20"/>
          <w:lang w:val="es-MX"/>
        </w:rPr>
        <w:t>lanc</w:t>
      </w:r>
      <w:r w:rsidR="00702BCA">
        <w:rPr>
          <w:rFonts w:ascii="Verdana" w:hAnsi="Verdana"/>
          <w:sz w:val="20"/>
          <w:szCs w:val="20"/>
          <w:lang w:val="es-MX"/>
        </w:rPr>
        <w:t xml:space="preserve">o. </w:t>
      </w:r>
      <w:r w:rsidR="00A57B15" w:rsidRPr="00702BCA">
        <w:rPr>
          <w:rFonts w:ascii="Verdana" w:hAnsi="Verdana"/>
          <w:sz w:val="20"/>
          <w:szCs w:val="20"/>
          <w:lang w:val="es-AR"/>
        </w:rPr>
        <w:t>E</w:t>
      </w:r>
      <w:r w:rsidR="00CD5849" w:rsidRPr="00702BCA">
        <w:rPr>
          <w:rFonts w:ascii="Verdana" w:hAnsi="Verdana" w:cs="Verdana"/>
          <w:sz w:val="20"/>
          <w:szCs w:val="20"/>
          <w:lang w:val="es-CR" w:bidi="en-US"/>
        </w:rPr>
        <w:t xml:space="preserve">l </w:t>
      </w:r>
      <w:r w:rsidR="00CD5849" w:rsidRPr="00702BCA">
        <w:rPr>
          <w:rFonts w:ascii="Verdana" w:hAnsi="Verdana" w:cs="Arial"/>
          <w:sz w:val="20"/>
          <w:szCs w:val="20"/>
          <w:lang w:val="es-CR"/>
        </w:rPr>
        <w:t>objeto y modalidad</w:t>
      </w:r>
      <w:r w:rsidR="00A57B15" w:rsidRPr="00702BCA">
        <w:rPr>
          <w:rFonts w:ascii="Verdana" w:hAnsi="Verdana" w:cs="Arial"/>
          <w:sz w:val="20"/>
          <w:szCs w:val="20"/>
          <w:lang w:val="es-CR"/>
        </w:rPr>
        <w:t xml:space="preserve"> de </w:t>
      </w:r>
      <w:r w:rsidR="00702BCA">
        <w:rPr>
          <w:rFonts w:ascii="Verdana" w:hAnsi="Verdana" w:cs="Arial"/>
          <w:sz w:val="20"/>
          <w:szCs w:val="20"/>
          <w:lang w:val="es-CR"/>
        </w:rPr>
        <w:t>dichas</w:t>
      </w:r>
      <w:r w:rsidR="00CD5849" w:rsidRPr="00702BCA">
        <w:rPr>
          <w:rFonts w:ascii="Verdana" w:hAnsi="Verdana" w:cs="Arial"/>
          <w:sz w:val="20"/>
          <w:szCs w:val="20"/>
          <w:lang w:val="es-CR"/>
        </w:rPr>
        <w:t xml:space="preserve"> declaraci</w:t>
      </w:r>
      <w:r w:rsidR="00702BCA">
        <w:rPr>
          <w:rFonts w:ascii="Verdana" w:hAnsi="Verdana" w:cs="Arial"/>
          <w:sz w:val="20"/>
          <w:szCs w:val="20"/>
          <w:lang w:val="es-CR"/>
        </w:rPr>
        <w:t>o</w:t>
      </w:r>
      <w:r w:rsidR="00CD5849" w:rsidRPr="00702BCA">
        <w:rPr>
          <w:rFonts w:ascii="Verdana" w:hAnsi="Verdana" w:cs="Arial"/>
          <w:sz w:val="20"/>
          <w:szCs w:val="20"/>
          <w:lang w:val="es-CR"/>
        </w:rPr>
        <w:t>n</w:t>
      </w:r>
      <w:r w:rsidR="00702BCA">
        <w:rPr>
          <w:rFonts w:ascii="Verdana" w:hAnsi="Verdana" w:cs="Arial"/>
          <w:sz w:val="20"/>
          <w:szCs w:val="20"/>
          <w:lang w:val="es-CR"/>
        </w:rPr>
        <w:t>es</w:t>
      </w:r>
      <w:r w:rsidR="00CD5849" w:rsidRPr="00702BCA">
        <w:rPr>
          <w:rFonts w:ascii="Verdana" w:hAnsi="Verdana" w:cs="Arial"/>
          <w:sz w:val="20"/>
          <w:szCs w:val="20"/>
          <w:lang w:val="es-CR"/>
        </w:rPr>
        <w:t xml:space="preserve"> se determinan en la parte resolutiva de la presente Resolución (</w:t>
      </w:r>
      <w:r w:rsidR="00CD5849" w:rsidRPr="00702BCA">
        <w:rPr>
          <w:rFonts w:ascii="Verdana" w:hAnsi="Verdana" w:cs="Arial"/>
          <w:i/>
          <w:sz w:val="20"/>
          <w:szCs w:val="20"/>
          <w:lang w:val="es-CR"/>
        </w:rPr>
        <w:t xml:space="preserve">infra </w:t>
      </w:r>
      <w:r w:rsidR="00CD5849" w:rsidRPr="00D32492">
        <w:rPr>
          <w:rFonts w:ascii="Verdana" w:hAnsi="Verdana" w:cs="Arial"/>
          <w:sz w:val="20"/>
          <w:szCs w:val="20"/>
          <w:lang w:val="es-CR"/>
        </w:rPr>
        <w:t xml:space="preserve">punto resolutivo </w:t>
      </w:r>
      <w:r w:rsidR="00F95DCB" w:rsidRPr="00D32492">
        <w:rPr>
          <w:rFonts w:ascii="Verdana" w:hAnsi="Verdana" w:cs="Arial"/>
          <w:sz w:val="20"/>
          <w:szCs w:val="20"/>
          <w:lang w:val="es-CR"/>
        </w:rPr>
        <w:t>2</w:t>
      </w:r>
      <w:r w:rsidR="00CD5849" w:rsidRPr="00D32492">
        <w:rPr>
          <w:rFonts w:ascii="Verdana" w:hAnsi="Verdana" w:cs="Arial"/>
          <w:sz w:val="20"/>
          <w:szCs w:val="20"/>
          <w:lang w:val="es-CR"/>
        </w:rPr>
        <w:t>).</w:t>
      </w:r>
    </w:p>
    <w:p w14:paraId="0429B6BE" w14:textId="77777777" w:rsidR="00FA3614" w:rsidRPr="000F6BDF" w:rsidRDefault="00FA3614" w:rsidP="005562D7">
      <w:pPr>
        <w:pStyle w:val="Prrafodelista"/>
        <w:rPr>
          <w:rFonts w:ascii="Verdana" w:hAnsi="Verdana" w:cs="Arial"/>
          <w:color w:val="FF0000"/>
          <w:sz w:val="20"/>
          <w:szCs w:val="20"/>
          <w:lang w:val="es-CR"/>
        </w:rPr>
      </w:pPr>
    </w:p>
    <w:p w14:paraId="37436DEE" w14:textId="08CACF44" w:rsidR="00702BCA" w:rsidRPr="00472442" w:rsidRDefault="009161D4"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bCs/>
          <w:iCs/>
          <w:color w:val="auto"/>
          <w:sz w:val="20"/>
          <w:szCs w:val="20"/>
          <w:lang w:val="es-CR"/>
        </w:rPr>
      </w:pPr>
      <w:r w:rsidRPr="000F6BDF">
        <w:rPr>
          <w:rFonts w:ascii="Verdana" w:eastAsia="Times New Roman" w:hAnsi="Verdana" w:cs="Verdana"/>
          <w:sz w:val="20"/>
          <w:szCs w:val="20"/>
          <w:lang w:val="es-CR" w:eastAsia="en-US"/>
        </w:rPr>
        <w:t>A</w:t>
      </w:r>
      <w:r w:rsidR="005B0DDB" w:rsidRPr="000F6BDF">
        <w:rPr>
          <w:rFonts w:ascii="Verdana" w:hAnsi="Verdana"/>
          <w:sz w:val="20"/>
          <w:szCs w:val="20"/>
          <w:lang w:val="es-CR"/>
        </w:rPr>
        <w:t xml:space="preserve"> continuación, </w:t>
      </w:r>
      <w:r w:rsidR="00DF2489" w:rsidRPr="000F6BDF">
        <w:rPr>
          <w:rFonts w:ascii="Verdana" w:hAnsi="Verdana"/>
          <w:sz w:val="20"/>
          <w:szCs w:val="20"/>
          <w:lang w:val="es-CR"/>
        </w:rPr>
        <w:t>l</w:t>
      </w:r>
      <w:r w:rsidR="005B0DDB" w:rsidRPr="000F6BDF">
        <w:rPr>
          <w:rFonts w:ascii="Verdana" w:hAnsi="Verdana"/>
          <w:sz w:val="20"/>
          <w:szCs w:val="20"/>
          <w:lang w:val="es-CR"/>
        </w:rPr>
        <w:t>a</w:t>
      </w:r>
      <w:r w:rsidR="00DF2489" w:rsidRPr="000F6BDF">
        <w:rPr>
          <w:rFonts w:ascii="Verdana" w:hAnsi="Verdana"/>
          <w:sz w:val="20"/>
          <w:szCs w:val="20"/>
          <w:lang w:val="es-CR"/>
        </w:rPr>
        <w:t xml:space="preserve"> President</w:t>
      </w:r>
      <w:r w:rsidR="005B0DDB" w:rsidRPr="000F6BDF">
        <w:rPr>
          <w:rFonts w:ascii="Verdana" w:hAnsi="Verdana"/>
          <w:sz w:val="20"/>
          <w:szCs w:val="20"/>
          <w:lang w:val="es-CR"/>
        </w:rPr>
        <w:t>a</w:t>
      </w:r>
      <w:r w:rsidR="00DF2489" w:rsidRPr="000F6BDF">
        <w:rPr>
          <w:rFonts w:ascii="Verdana" w:hAnsi="Verdana"/>
          <w:sz w:val="20"/>
          <w:szCs w:val="20"/>
          <w:lang w:val="es-CR"/>
        </w:rPr>
        <w:t xml:space="preserve"> examinará en forma particular</w:t>
      </w:r>
      <w:r w:rsidR="00FE469C" w:rsidRPr="000F6BDF">
        <w:rPr>
          <w:rFonts w:ascii="Verdana" w:hAnsi="Verdana"/>
          <w:sz w:val="20"/>
          <w:szCs w:val="20"/>
          <w:lang w:val="es-CR"/>
        </w:rPr>
        <w:t xml:space="preserve"> lo siguiente</w:t>
      </w:r>
      <w:r w:rsidR="00DF2489" w:rsidRPr="000F6BDF">
        <w:rPr>
          <w:rFonts w:ascii="Verdana" w:hAnsi="Verdana"/>
          <w:sz w:val="20"/>
          <w:szCs w:val="20"/>
          <w:lang w:val="es-CR"/>
        </w:rPr>
        <w:t xml:space="preserve">: a) </w:t>
      </w:r>
      <w:r w:rsidR="0003512F" w:rsidRPr="000F6BDF">
        <w:rPr>
          <w:rFonts w:ascii="Verdana" w:hAnsi="Verdana"/>
          <w:sz w:val="20"/>
          <w:szCs w:val="20"/>
          <w:lang w:val="es-CR"/>
        </w:rPr>
        <w:t>la necesidad de realizar una audiencia pública en el presente caso; b) la procedencia</w:t>
      </w:r>
      <w:r w:rsidR="00AB530F">
        <w:rPr>
          <w:rFonts w:ascii="Verdana" w:hAnsi="Verdana"/>
          <w:sz w:val="20"/>
          <w:szCs w:val="20"/>
          <w:lang w:val="es-CR"/>
        </w:rPr>
        <w:t xml:space="preserve"> y modalidad de las declaraciones de presuntas víctimas; </w:t>
      </w:r>
      <w:r w:rsidR="009B74BB">
        <w:rPr>
          <w:rFonts w:ascii="Verdana" w:hAnsi="Verdana"/>
          <w:sz w:val="20"/>
          <w:szCs w:val="20"/>
          <w:lang w:val="es-CR"/>
        </w:rPr>
        <w:t>c</w:t>
      </w:r>
      <w:r w:rsidR="00AB530F">
        <w:rPr>
          <w:rFonts w:ascii="Verdana" w:hAnsi="Verdana"/>
          <w:sz w:val="20"/>
          <w:szCs w:val="20"/>
          <w:lang w:val="es-CR"/>
        </w:rPr>
        <w:t xml:space="preserve">) </w:t>
      </w:r>
      <w:r w:rsidR="00D817A6">
        <w:rPr>
          <w:rFonts w:ascii="Verdana" w:hAnsi="Verdana"/>
          <w:sz w:val="20"/>
          <w:szCs w:val="20"/>
          <w:lang w:val="es-CR"/>
        </w:rPr>
        <w:t xml:space="preserve">la procedencia de una declaración pericial propuesta por el Estado; d) </w:t>
      </w:r>
      <w:r w:rsidR="00AB530F">
        <w:rPr>
          <w:rFonts w:ascii="Verdana" w:hAnsi="Verdana"/>
          <w:sz w:val="20"/>
          <w:szCs w:val="20"/>
          <w:lang w:val="es-CR"/>
        </w:rPr>
        <w:t>objeciones del Estado a cinco declaraciones periciales propuestas por los representante</w:t>
      </w:r>
      <w:r w:rsidR="00F95DCB">
        <w:rPr>
          <w:rFonts w:ascii="Verdana" w:hAnsi="Verdana"/>
          <w:sz w:val="20"/>
          <w:szCs w:val="20"/>
          <w:lang w:val="es-CR"/>
        </w:rPr>
        <w:t>s</w:t>
      </w:r>
      <w:r w:rsidR="00AB530F">
        <w:rPr>
          <w:rFonts w:ascii="Verdana" w:hAnsi="Verdana"/>
          <w:sz w:val="20"/>
          <w:szCs w:val="20"/>
          <w:lang w:val="es-CR"/>
        </w:rPr>
        <w:t xml:space="preserve">; </w:t>
      </w:r>
      <w:r w:rsidR="00D817A6">
        <w:rPr>
          <w:rFonts w:ascii="Verdana" w:hAnsi="Verdana"/>
          <w:sz w:val="20"/>
          <w:szCs w:val="20"/>
          <w:lang w:val="es-CR"/>
        </w:rPr>
        <w:t>e</w:t>
      </w:r>
      <w:r w:rsidR="00AB530F">
        <w:rPr>
          <w:rFonts w:ascii="Verdana" w:hAnsi="Verdana"/>
          <w:sz w:val="20"/>
          <w:szCs w:val="20"/>
          <w:lang w:val="es-CR"/>
        </w:rPr>
        <w:t xml:space="preserve">) </w:t>
      </w:r>
      <w:r w:rsidR="009B74BB">
        <w:rPr>
          <w:rFonts w:ascii="Verdana" w:hAnsi="Verdana"/>
          <w:sz w:val="20"/>
          <w:szCs w:val="20"/>
          <w:lang w:val="es-CR"/>
        </w:rPr>
        <w:t xml:space="preserve">procedencia de la declaración pericial propuesta por la Comisión Interamericana y </w:t>
      </w:r>
      <w:r w:rsidR="00E377B2">
        <w:rPr>
          <w:rFonts w:ascii="Verdana" w:hAnsi="Verdana"/>
          <w:sz w:val="20"/>
          <w:szCs w:val="20"/>
          <w:lang w:val="es-CR"/>
        </w:rPr>
        <w:t xml:space="preserve">de </w:t>
      </w:r>
      <w:r w:rsidR="009B74BB">
        <w:rPr>
          <w:rFonts w:ascii="Verdana" w:hAnsi="Verdana"/>
          <w:sz w:val="20"/>
          <w:szCs w:val="20"/>
          <w:lang w:val="es-CR"/>
        </w:rPr>
        <w:t xml:space="preserve">su </w:t>
      </w:r>
      <w:r w:rsidR="0003512F" w:rsidRPr="000F6BDF">
        <w:rPr>
          <w:rFonts w:ascii="Verdana" w:hAnsi="Verdana"/>
          <w:sz w:val="20"/>
          <w:szCs w:val="20"/>
          <w:lang w:val="es-CR"/>
        </w:rPr>
        <w:t xml:space="preserve">solicitud </w:t>
      </w:r>
      <w:r w:rsidR="00AB530F">
        <w:rPr>
          <w:rFonts w:ascii="Verdana" w:hAnsi="Verdana"/>
          <w:sz w:val="20"/>
          <w:szCs w:val="20"/>
          <w:lang w:val="es-CR"/>
        </w:rPr>
        <w:t>para formula</w:t>
      </w:r>
      <w:r w:rsidR="00D06F0D">
        <w:rPr>
          <w:rFonts w:ascii="Verdana" w:hAnsi="Verdana"/>
          <w:sz w:val="20"/>
          <w:szCs w:val="20"/>
          <w:lang w:val="es-CR"/>
        </w:rPr>
        <w:t>r</w:t>
      </w:r>
      <w:r w:rsidR="00AB530F">
        <w:rPr>
          <w:rFonts w:ascii="Verdana" w:hAnsi="Verdana"/>
          <w:sz w:val="20"/>
          <w:szCs w:val="20"/>
          <w:lang w:val="es-CR"/>
        </w:rPr>
        <w:t xml:space="preserve"> preguntas a </w:t>
      </w:r>
      <w:r w:rsidR="00D32492">
        <w:rPr>
          <w:rFonts w:ascii="Verdana" w:hAnsi="Verdana"/>
          <w:sz w:val="20"/>
          <w:szCs w:val="20"/>
          <w:lang w:val="es-CR"/>
        </w:rPr>
        <w:t>declarantes</w:t>
      </w:r>
      <w:r w:rsidR="00AB530F">
        <w:rPr>
          <w:rFonts w:ascii="Verdana" w:hAnsi="Verdana"/>
          <w:sz w:val="20"/>
          <w:szCs w:val="20"/>
          <w:lang w:val="es-CR"/>
        </w:rPr>
        <w:t xml:space="preserve">; </w:t>
      </w:r>
      <w:r w:rsidR="00D817A6">
        <w:rPr>
          <w:rFonts w:ascii="Verdana" w:hAnsi="Verdana"/>
          <w:sz w:val="20"/>
          <w:szCs w:val="20"/>
          <w:lang w:val="es-CR"/>
        </w:rPr>
        <w:t>f</w:t>
      </w:r>
      <w:r w:rsidR="00AB530F">
        <w:rPr>
          <w:rFonts w:ascii="Verdana" w:hAnsi="Verdana"/>
          <w:sz w:val="20"/>
          <w:szCs w:val="20"/>
          <w:lang w:val="es-CR"/>
        </w:rPr>
        <w:t xml:space="preserve">) </w:t>
      </w:r>
      <w:r w:rsidR="0003512F" w:rsidRPr="000F6BDF">
        <w:rPr>
          <w:rFonts w:ascii="Verdana" w:hAnsi="Verdana"/>
          <w:sz w:val="20"/>
          <w:szCs w:val="20"/>
          <w:lang w:val="es-CR"/>
        </w:rPr>
        <w:t>l</w:t>
      </w:r>
      <w:r w:rsidR="00AB530F">
        <w:rPr>
          <w:rFonts w:ascii="Verdana" w:hAnsi="Verdana"/>
          <w:sz w:val="20"/>
          <w:szCs w:val="20"/>
          <w:lang w:val="es-CR"/>
        </w:rPr>
        <w:t>as solicitudes de</w:t>
      </w:r>
      <w:r w:rsidR="0003512F" w:rsidRPr="000F6BDF">
        <w:rPr>
          <w:rFonts w:ascii="Verdana" w:hAnsi="Verdana"/>
          <w:sz w:val="20"/>
          <w:szCs w:val="20"/>
          <w:lang w:val="es-CR"/>
        </w:rPr>
        <w:t xml:space="preserve"> traslado de</w:t>
      </w:r>
      <w:r w:rsidR="00AB530F">
        <w:rPr>
          <w:rFonts w:ascii="Verdana" w:hAnsi="Verdana"/>
          <w:sz w:val="20"/>
          <w:szCs w:val="20"/>
          <w:lang w:val="es-CR"/>
        </w:rPr>
        <w:t xml:space="preserve"> prueba efectuadas por la Comisión, los representantes</w:t>
      </w:r>
      <w:r w:rsidR="00D32492">
        <w:rPr>
          <w:rFonts w:ascii="Verdana" w:hAnsi="Verdana"/>
          <w:sz w:val="20"/>
          <w:szCs w:val="20"/>
          <w:lang w:val="es-CR"/>
        </w:rPr>
        <w:t xml:space="preserve"> y el Estado</w:t>
      </w:r>
      <w:r w:rsidR="00F00B82">
        <w:rPr>
          <w:rFonts w:ascii="Verdana" w:hAnsi="Verdana"/>
          <w:sz w:val="20"/>
          <w:szCs w:val="20"/>
          <w:lang w:val="es-CR"/>
        </w:rPr>
        <w:t>;</w:t>
      </w:r>
      <w:r w:rsidR="00AB530F">
        <w:rPr>
          <w:rFonts w:ascii="Verdana" w:hAnsi="Verdana"/>
          <w:sz w:val="20"/>
          <w:szCs w:val="20"/>
          <w:lang w:val="es-CR"/>
        </w:rPr>
        <w:t xml:space="preserve"> </w:t>
      </w:r>
      <w:r w:rsidR="00D817A6">
        <w:rPr>
          <w:rFonts w:ascii="Verdana" w:hAnsi="Verdana"/>
          <w:sz w:val="20"/>
          <w:szCs w:val="20"/>
          <w:lang w:val="es-CR"/>
        </w:rPr>
        <w:t>g</w:t>
      </w:r>
      <w:r w:rsidR="00C3165B" w:rsidRPr="000F6BDF">
        <w:rPr>
          <w:rFonts w:ascii="Verdana" w:hAnsi="Verdana"/>
          <w:sz w:val="20"/>
          <w:szCs w:val="20"/>
          <w:lang w:val="es-CR"/>
        </w:rPr>
        <w:t xml:space="preserve">) </w:t>
      </w:r>
      <w:r w:rsidR="00295899">
        <w:rPr>
          <w:rFonts w:ascii="Verdana" w:hAnsi="Verdana"/>
          <w:sz w:val="20"/>
          <w:szCs w:val="20"/>
          <w:lang w:val="es-CR"/>
        </w:rPr>
        <w:t xml:space="preserve">la solicitud de los representantes para que se requiera al Estado la remisión de un expediente interno; </w:t>
      </w:r>
      <w:r w:rsidR="00D817A6">
        <w:rPr>
          <w:rFonts w:ascii="Verdana" w:hAnsi="Verdana"/>
          <w:sz w:val="20"/>
          <w:szCs w:val="20"/>
          <w:lang w:val="es-CR"/>
        </w:rPr>
        <w:t>h</w:t>
      </w:r>
      <w:r w:rsidR="000805CA">
        <w:rPr>
          <w:rFonts w:ascii="Verdana" w:hAnsi="Verdana"/>
          <w:color w:val="auto"/>
          <w:sz w:val="20"/>
          <w:szCs w:val="20"/>
          <w:lang w:val="es-CR"/>
        </w:rPr>
        <w:t xml:space="preserve">) la solicitud de “flexibilidad” en los plazos procesales, </w:t>
      </w:r>
      <w:r w:rsidR="00D817A6">
        <w:rPr>
          <w:rFonts w:ascii="Verdana" w:hAnsi="Verdana"/>
          <w:color w:val="auto"/>
          <w:sz w:val="20"/>
          <w:szCs w:val="20"/>
          <w:lang w:val="es-CR"/>
        </w:rPr>
        <w:t>e</w:t>
      </w:r>
      <w:r w:rsidR="000805CA">
        <w:rPr>
          <w:rFonts w:ascii="Verdana" w:hAnsi="Verdana"/>
          <w:color w:val="auto"/>
          <w:sz w:val="20"/>
          <w:szCs w:val="20"/>
          <w:lang w:val="es-CR"/>
        </w:rPr>
        <w:t xml:space="preserve"> </w:t>
      </w:r>
      <w:r w:rsidR="00D817A6">
        <w:rPr>
          <w:rFonts w:ascii="Verdana" w:hAnsi="Verdana"/>
          <w:color w:val="auto"/>
          <w:sz w:val="20"/>
          <w:szCs w:val="20"/>
          <w:lang w:val="es-CR"/>
        </w:rPr>
        <w:t>i</w:t>
      </w:r>
      <w:r w:rsidR="00295899">
        <w:rPr>
          <w:rFonts w:ascii="Verdana" w:hAnsi="Verdana"/>
          <w:sz w:val="20"/>
          <w:szCs w:val="20"/>
          <w:lang w:val="es-CR"/>
        </w:rPr>
        <w:t xml:space="preserve">) </w:t>
      </w:r>
      <w:r w:rsidR="00202FF8" w:rsidRPr="000F6BDF">
        <w:rPr>
          <w:rFonts w:ascii="Verdana" w:hAnsi="Verdana"/>
          <w:sz w:val="20"/>
          <w:szCs w:val="20"/>
          <w:lang w:val="es-CR"/>
        </w:rPr>
        <w:t xml:space="preserve">los términos para </w:t>
      </w:r>
      <w:r w:rsidR="00202FF8" w:rsidRPr="000F6BDF">
        <w:rPr>
          <w:rFonts w:ascii="Verdana" w:hAnsi="Verdana"/>
          <w:color w:val="auto"/>
          <w:sz w:val="20"/>
          <w:szCs w:val="20"/>
          <w:lang w:val="es-CR"/>
        </w:rPr>
        <w:t>el uso</w:t>
      </w:r>
      <w:r w:rsidR="00662205" w:rsidRPr="000F6BDF">
        <w:rPr>
          <w:rFonts w:ascii="Verdana" w:hAnsi="Verdana"/>
          <w:color w:val="auto"/>
          <w:sz w:val="20"/>
          <w:szCs w:val="20"/>
          <w:lang w:val="es-CR"/>
        </w:rPr>
        <w:t xml:space="preserve"> del Fondo de Asistencia Legal de Víctimas</w:t>
      </w:r>
      <w:r w:rsidR="000805CA">
        <w:rPr>
          <w:rFonts w:ascii="Verdana" w:hAnsi="Verdana"/>
          <w:color w:val="auto"/>
          <w:sz w:val="20"/>
          <w:szCs w:val="20"/>
          <w:lang w:val="es-CR"/>
        </w:rPr>
        <w:t xml:space="preserve">. </w:t>
      </w:r>
    </w:p>
    <w:p w14:paraId="689AA703" w14:textId="77777777" w:rsidR="000F06CF" w:rsidRPr="0027448C" w:rsidRDefault="000F06CF" w:rsidP="005562D7">
      <w:pPr>
        <w:spacing w:after="0"/>
        <w:contextualSpacing/>
        <w:rPr>
          <w:b/>
          <w:i/>
          <w:szCs w:val="20"/>
          <w:highlight w:val="magenta"/>
          <w:lang w:val="es-CR"/>
        </w:rPr>
      </w:pPr>
    </w:p>
    <w:p w14:paraId="1083D2A2" w14:textId="0F028978" w:rsidR="00C3165B" w:rsidRPr="00620FD2" w:rsidRDefault="00C3165B" w:rsidP="005562D7">
      <w:pPr>
        <w:spacing w:after="0"/>
        <w:ind w:left="567"/>
        <w:contextualSpacing/>
        <w:rPr>
          <w:b/>
          <w:i/>
          <w:iCs/>
          <w:szCs w:val="20"/>
          <w:lang w:val="es-CR"/>
        </w:rPr>
      </w:pPr>
      <w:r w:rsidRPr="00620FD2">
        <w:rPr>
          <w:b/>
          <w:i/>
          <w:iCs/>
          <w:szCs w:val="20"/>
          <w:lang w:val="es-CR"/>
        </w:rPr>
        <w:t>A</w:t>
      </w:r>
      <w:r w:rsidR="00620FD2" w:rsidRPr="00620FD2">
        <w:rPr>
          <w:b/>
          <w:i/>
          <w:iCs/>
          <w:szCs w:val="20"/>
          <w:lang w:val="es-CR"/>
        </w:rPr>
        <w:t>.</w:t>
      </w:r>
      <w:r w:rsidRPr="00620FD2">
        <w:rPr>
          <w:b/>
          <w:i/>
          <w:iCs/>
          <w:szCs w:val="20"/>
          <w:lang w:val="es-CR"/>
        </w:rPr>
        <w:t xml:space="preserve"> Sobre la necesidad de realizar una audiencia pública en el presente caso</w:t>
      </w:r>
    </w:p>
    <w:p w14:paraId="019BE99E" w14:textId="77777777" w:rsidR="00C3165B" w:rsidRPr="00DE5483" w:rsidRDefault="00C3165B" w:rsidP="005562D7">
      <w:pPr>
        <w:pStyle w:val="Prrafodelista"/>
        <w:widowControl w:val="0"/>
        <w:autoSpaceDE w:val="0"/>
        <w:autoSpaceDN w:val="0"/>
        <w:adjustRightInd w:val="0"/>
        <w:ind w:left="0" w:right="22"/>
        <w:jc w:val="both"/>
        <w:rPr>
          <w:rFonts w:ascii="Verdana" w:hAnsi="Verdana"/>
          <w:bCs/>
          <w:iCs/>
          <w:color w:val="auto"/>
          <w:sz w:val="20"/>
          <w:szCs w:val="20"/>
          <w:lang w:val="es-CR"/>
        </w:rPr>
      </w:pPr>
    </w:p>
    <w:p w14:paraId="4EDFFA8A" w14:textId="069F0F1D" w:rsidR="000A5C3B" w:rsidRPr="000A5C3B" w:rsidRDefault="00A81C2D" w:rsidP="000A5C3B">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sz w:val="20"/>
          <w:szCs w:val="20"/>
          <w:lang w:val="es-CR"/>
        </w:rPr>
        <w:t xml:space="preserve">Esta Presidencia nota que el </w:t>
      </w:r>
      <w:r w:rsidRPr="00EF6B2D">
        <w:rPr>
          <w:rFonts w:ascii="Verdana" w:hAnsi="Verdana"/>
          <w:b/>
          <w:i/>
          <w:sz w:val="20"/>
          <w:szCs w:val="20"/>
          <w:lang w:val="es-CR"/>
        </w:rPr>
        <w:t>Estado</w:t>
      </w:r>
      <w:r>
        <w:rPr>
          <w:rFonts w:ascii="Verdana" w:hAnsi="Verdana"/>
          <w:sz w:val="20"/>
          <w:szCs w:val="20"/>
          <w:lang w:val="es-CR"/>
        </w:rPr>
        <w:t xml:space="preserve"> reconoció su responsabilidad por la vulneración de diversos derechos, </w:t>
      </w:r>
      <w:r w:rsidRPr="00A81C2D">
        <w:rPr>
          <w:rFonts w:ascii="Verdana" w:hAnsi="Verdana"/>
          <w:color w:val="auto"/>
          <w:sz w:val="20"/>
          <w:szCs w:val="20"/>
          <w:lang w:val="es-CR"/>
        </w:rPr>
        <w:t>“en los términos y condiciones establecidos en el Informe de Fondo No. 160/18”.</w:t>
      </w:r>
      <w:r>
        <w:rPr>
          <w:rFonts w:ascii="Verdana" w:hAnsi="Verdana"/>
          <w:color w:val="auto"/>
          <w:sz w:val="20"/>
          <w:szCs w:val="20"/>
          <w:lang w:val="es-CR"/>
        </w:rPr>
        <w:t xml:space="preserve"> </w:t>
      </w:r>
      <w:r w:rsidR="000A5C3B">
        <w:rPr>
          <w:rFonts w:ascii="Verdana" w:hAnsi="Verdana"/>
          <w:color w:val="auto"/>
          <w:sz w:val="20"/>
          <w:szCs w:val="20"/>
          <w:lang w:val="es-CR"/>
        </w:rPr>
        <w:t xml:space="preserve">Venezuela </w:t>
      </w:r>
      <w:r w:rsidR="000A5C3B" w:rsidRPr="000A5C3B">
        <w:rPr>
          <w:rFonts w:ascii="Verdana" w:hAnsi="Verdana"/>
          <w:bCs/>
          <w:sz w:val="20"/>
          <w:lang w:val="es-CR"/>
        </w:rPr>
        <w:t>consideró que “el presente [caso] puede ser resuelto por la Corte Interamericana</w:t>
      </w:r>
      <w:r w:rsidR="005F7B20">
        <w:rPr>
          <w:rFonts w:ascii="Verdana" w:hAnsi="Verdana"/>
          <w:bCs/>
          <w:sz w:val="20"/>
          <w:lang w:val="es-CR"/>
        </w:rPr>
        <w:t xml:space="preserve"> [de Derechos Humanos]</w:t>
      </w:r>
      <w:r w:rsidR="000A5C3B" w:rsidRPr="000A5C3B">
        <w:rPr>
          <w:rFonts w:ascii="Verdana" w:hAnsi="Verdana"/>
          <w:bCs/>
          <w:sz w:val="20"/>
          <w:lang w:val="es-CR"/>
        </w:rPr>
        <w:t xml:space="preserve"> sin necesidad de convocar a una audiencia pública”. Efectuó esta afirmación teniendo en cuenta el reconocimiento de responsabilidad que realizó, el principio de economía procesal</w:t>
      </w:r>
      <w:r w:rsidR="00D65530">
        <w:rPr>
          <w:rFonts w:ascii="Verdana" w:hAnsi="Verdana"/>
          <w:bCs/>
          <w:sz w:val="20"/>
          <w:lang w:val="es-CR"/>
        </w:rPr>
        <w:t xml:space="preserve"> y </w:t>
      </w:r>
      <w:r w:rsidR="000A5C3B" w:rsidRPr="000A5C3B">
        <w:rPr>
          <w:rFonts w:ascii="Verdana" w:hAnsi="Verdana"/>
          <w:bCs/>
          <w:sz w:val="20"/>
          <w:lang w:val="es-CR"/>
        </w:rPr>
        <w:t>el impacto generado por la pandemia del COVID-19.</w:t>
      </w:r>
    </w:p>
    <w:p w14:paraId="4E06E40C" w14:textId="77777777" w:rsidR="00EF6B2D" w:rsidRPr="00EF6B2D" w:rsidRDefault="00EF6B2D" w:rsidP="00EF6B2D">
      <w:pPr>
        <w:pStyle w:val="Prrafodelista"/>
        <w:rPr>
          <w:rFonts w:ascii="Verdana" w:hAnsi="Verdana"/>
          <w:color w:val="auto"/>
          <w:sz w:val="20"/>
          <w:szCs w:val="20"/>
          <w:lang w:val="es-CR"/>
        </w:rPr>
      </w:pPr>
    </w:p>
    <w:p w14:paraId="6CF3E59B" w14:textId="08C1B509" w:rsidR="00F00B82" w:rsidRPr="00F00B82" w:rsidRDefault="00EF6B2D" w:rsidP="009B74BB">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L</w:t>
      </w:r>
      <w:r w:rsidR="00A81C2D">
        <w:rPr>
          <w:rFonts w:ascii="Verdana" w:hAnsi="Verdana"/>
          <w:color w:val="auto"/>
          <w:sz w:val="20"/>
          <w:szCs w:val="20"/>
          <w:lang w:val="es-CR"/>
        </w:rPr>
        <w:t xml:space="preserve">os </w:t>
      </w:r>
      <w:r w:rsidR="00A81C2D" w:rsidRPr="00EF6B2D">
        <w:rPr>
          <w:rFonts w:ascii="Verdana" w:hAnsi="Verdana"/>
          <w:b/>
          <w:i/>
          <w:color w:val="auto"/>
          <w:sz w:val="20"/>
          <w:szCs w:val="20"/>
          <w:lang w:val="es-CR"/>
        </w:rPr>
        <w:t>representantes</w:t>
      </w:r>
      <w:r w:rsidR="00A81C2D">
        <w:rPr>
          <w:rFonts w:ascii="Verdana" w:hAnsi="Verdana"/>
          <w:color w:val="auto"/>
          <w:sz w:val="20"/>
          <w:szCs w:val="20"/>
          <w:lang w:val="es-CR"/>
        </w:rPr>
        <w:t xml:space="preserve"> señalaron que el Estado no “aclar[</w:t>
      </w:r>
      <w:proofErr w:type="spellStart"/>
      <w:r w:rsidR="00A81C2D">
        <w:rPr>
          <w:rFonts w:ascii="Verdana" w:hAnsi="Verdana"/>
          <w:color w:val="auto"/>
          <w:sz w:val="20"/>
          <w:szCs w:val="20"/>
          <w:lang w:val="es-CR"/>
        </w:rPr>
        <w:t>ó</w:t>
      </w:r>
      <w:proofErr w:type="spellEnd"/>
      <w:r w:rsidR="00A81C2D">
        <w:rPr>
          <w:rFonts w:ascii="Verdana" w:hAnsi="Verdana"/>
          <w:color w:val="auto"/>
          <w:sz w:val="20"/>
          <w:szCs w:val="20"/>
          <w:lang w:val="es-CR"/>
        </w:rPr>
        <w:t xml:space="preserve">]” de manera “específica” cuáles de los hechos aducidos en el caso quedan comprendidos en </w:t>
      </w:r>
      <w:r>
        <w:rPr>
          <w:rFonts w:ascii="Verdana" w:hAnsi="Verdana"/>
          <w:color w:val="auto"/>
          <w:sz w:val="20"/>
          <w:szCs w:val="20"/>
          <w:lang w:val="es-CR"/>
        </w:rPr>
        <w:t>el</w:t>
      </w:r>
      <w:r w:rsidR="00A81C2D">
        <w:rPr>
          <w:rFonts w:ascii="Verdana" w:hAnsi="Verdana"/>
          <w:color w:val="auto"/>
          <w:sz w:val="20"/>
          <w:szCs w:val="20"/>
          <w:lang w:val="es-CR"/>
        </w:rPr>
        <w:t xml:space="preserve"> reconocimiento de responsabilidad. También expresaron que el reconocimiento de responsabilidad “no es claro” </w:t>
      </w:r>
      <w:r w:rsidR="001B1670">
        <w:rPr>
          <w:rFonts w:ascii="Verdana" w:hAnsi="Verdana"/>
          <w:color w:val="auto"/>
          <w:sz w:val="20"/>
          <w:szCs w:val="20"/>
          <w:lang w:val="es-CR"/>
        </w:rPr>
        <w:t xml:space="preserve">con </w:t>
      </w:r>
      <w:r w:rsidR="00A81C2D">
        <w:rPr>
          <w:rFonts w:ascii="Verdana" w:hAnsi="Verdana"/>
          <w:color w:val="auto"/>
          <w:sz w:val="20"/>
          <w:szCs w:val="20"/>
          <w:lang w:val="es-CR"/>
        </w:rPr>
        <w:t>relación al “alcance” de la</w:t>
      </w:r>
      <w:r w:rsidR="00D06F0D">
        <w:rPr>
          <w:rFonts w:ascii="Verdana" w:hAnsi="Verdana"/>
          <w:color w:val="auto"/>
          <w:sz w:val="20"/>
          <w:szCs w:val="20"/>
          <w:lang w:val="es-CR"/>
        </w:rPr>
        <w:t>s</w:t>
      </w:r>
      <w:r w:rsidR="00A81C2D">
        <w:rPr>
          <w:rFonts w:ascii="Verdana" w:hAnsi="Verdana"/>
          <w:color w:val="auto"/>
          <w:sz w:val="20"/>
          <w:szCs w:val="20"/>
          <w:lang w:val="es-CR"/>
        </w:rPr>
        <w:t xml:space="preserve"> violaciones que reconoce, y que no abarc</w:t>
      </w:r>
      <w:r w:rsidR="005F7B20">
        <w:rPr>
          <w:rFonts w:ascii="Verdana" w:hAnsi="Verdana"/>
          <w:color w:val="auto"/>
          <w:sz w:val="20"/>
          <w:szCs w:val="20"/>
          <w:lang w:val="es-CR"/>
        </w:rPr>
        <w:t>a todas las violaciones alegadas</w:t>
      </w:r>
      <w:r w:rsidR="00A81C2D">
        <w:rPr>
          <w:rFonts w:ascii="Verdana" w:hAnsi="Verdana"/>
          <w:color w:val="auto"/>
          <w:sz w:val="20"/>
          <w:szCs w:val="20"/>
          <w:lang w:val="es-CR"/>
        </w:rPr>
        <w:t xml:space="preserve">. </w:t>
      </w:r>
      <w:r w:rsidR="000A5C3B" w:rsidRPr="00F00B82">
        <w:rPr>
          <w:rFonts w:ascii="Verdana" w:hAnsi="Verdana"/>
          <w:color w:val="auto"/>
          <w:sz w:val="20"/>
          <w:szCs w:val="20"/>
          <w:lang w:val="es-CR"/>
        </w:rPr>
        <w:t>Por otra parte, el 22 de junio de 2020</w:t>
      </w:r>
      <w:r w:rsidR="007102F1">
        <w:rPr>
          <w:rFonts w:ascii="Verdana" w:hAnsi="Verdana"/>
          <w:color w:val="auto"/>
          <w:sz w:val="20"/>
          <w:szCs w:val="20"/>
          <w:lang w:val="es-CR"/>
        </w:rPr>
        <w:t xml:space="preserve"> los representantes </w:t>
      </w:r>
      <w:r w:rsidR="000A5C3B" w:rsidRPr="00F00B82">
        <w:rPr>
          <w:rFonts w:ascii="Verdana" w:hAnsi="Verdana"/>
          <w:color w:val="auto"/>
          <w:sz w:val="20"/>
          <w:szCs w:val="20"/>
          <w:lang w:val="es-CR"/>
        </w:rPr>
        <w:t>solicitaron que se realice una audiencia pública</w:t>
      </w:r>
      <w:r w:rsidR="005E1314" w:rsidRPr="00F00B82">
        <w:rPr>
          <w:rFonts w:ascii="Verdana" w:hAnsi="Verdana"/>
          <w:color w:val="auto"/>
          <w:sz w:val="20"/>
          <w:szCs w:val="20"/>
          <w:lang w:val="es-CR"/>
        </w:rPr>
        <w:t>, y que la misma sea</w:t>
      </w:r>
      <w:r w:rsidR="000A5C3B" w:rsidRPr="00F00B82">
        <w:rPr>
          <w:rFonts w:ascii="Verdana" w:hAnsi="Verdana"/>
          <w:color w:val="auto"/>
          <w:sz w:val="20"/>
          <w:szCs w:val="20"/>
          <w:lang w:val="es-CR"/>
        </w:rPr>
        <w:t xml:space="preserve"> presencial. </w:t>
      </w:r>
      <w:r w:rsidR="008F778F">
        <w:rPr>
          <w:rFonts w:ascii="Verdana" w:hAnsi="Verdana"/>
          <w:sz w:val="20"/>
          <w:lang w:val="es-CR"/>
        </w:rPr>
        <w:t>E</w:t>
      </w:r>
      <w:r w:rsidR="00F00B82" w:rsidRPr="00F00B82">
        <w:rPr>
          <w:rFonts w:ascii="Verdana" w:hAnsi="Verdana"/>
          <w:sz w:val="20"/>
          <w:lang w:val="es-CR"/>
        </w:rPr>
        <w:t>xpresaron la imposibilidad de realizar una audiencia por videoconferencia (</w:t>
      </w:r>
      <w:r w:rsidR="00F00B82" w:rsidRPr="00F00B82">
        <w:rPr>
          <w:rFonts w:ascii="Verdana" w:hAnsi="Verdana"/>
          <w:i/>
          <w:sz w:val="20"/>
          <w:lang w:val="es-CR"/>
        </w:rPr>
        <w:t xml:space="preserve">infra </w:t>
      </w:r>
      <w:r w:rsidR="00F00B82" w:rsidRPr="00F00B82">
        <w:rPr>
          <w:rFonts w:ascii="Verdana" w:hAnsi="Verdana"/>
          <w:sz w:val="20"/>
          <w:lang w:val="es-CR"/>
        </w:rPr>
        <w:t xml:space="preserve">Considerando </w:t>
      </w:r>
      <w:r w:rsidR="00B127FA">
        <w:rPr>
          <w:rFonts w:ascii="Verdana" w:hAnsi="Verdana"/>
          <w:sz w:val="20"/>
          <w:lang w:val="es-CR"/>
        </w:rPr>
        <w:t>15</w:t>
      </w:r>
      <w:r w:rsidR="00F00B82" w:rsidRPr="00F00B82">
        <w:rPr>
          <w:rFonts w:ascii="Verdana" w:hAnsi="Verdana"/>
          <w:sz w:val="20"/>
          <w:lang w:val="es-CR"/>
        </w:rPr>
        <w:t>).</w:t>
      </w:r>
      <w:r w:rsidR="005664C5" w:rsidRPr="00F00B82">
        <w:rPr>
          <w:rFonts w:ascii="Verdana" w:hAnsi="Verdana"/>
          <w:sz w:val="20"/>
          <w:lang w:val="es-CR"/>
        </w:rPr>
        <w:t xml:space="preserve"> </w:t>
      </w:r>
      <w:r w:rsidR="005E1314" w:rsidRPr="00F00B82">
        <w:rPr>
          <w:rFonts w:ascii="Verdana" w:hAnsi="Verdana"/>
          <w:sz w:val="20"/>
          <w:lang w:val="es-CR"/>
        </w:rPr>
        <w:t>Entendieron que</w:t>
      </w:r>
      <w:r w:rsidR="001B1670">
        <w:rPr>
          <w:rFonts w:ascii="Verdana" w:hAnsi="Verdana"/>
          <w:sz w:val="20"/>
          <w:lang w:val="es-CR"/>
        </w:rPr>
        <w:t>,</w:t>
      </w:r>
      <w:r w:rsidR="005E1314" w:rsidRPr="00F00B82">
        <w:rPr>
          <w:rFonts w:ascii="Verdana" w:hAnsi="Verdana"/>
          <w:sz w:val="20"/>
          <w:lang w:val="es-CR"/>
        </w:rPr>
        <w:t xml:space="preserve"> dada la situación existente por la pandemia del COVID 19, “la audiencia pública podría verse pospuesta, incluso para el año 2021”. </w:t>
      </w:r>
      <w:r w:rsidR="007102F1">
        <w:rPr>
          <w:rFonts w:ascii="Verdana" w:hAnsi="Verdana"/>
          <w:sz w:val="20"/>
          <w:lang w:val="es-CR"/>
        </w:rPr>
        <w:t>No obstante, p</w:t>
      </w:r>
      <w:r w:rsidR="00F00B82" w:rsidRPr="00F00B82">
        <w:rPr>
          <w:rFonts w:ascii="Verdana" w:hAnsi="Verdana"/>
          <w:sz w:val="20"/>
          <w:lang w:val="es-CR"/>
        </w:rPr>
        <w:t xml:space="preserve">ese a lo dicho, el 30 de julio </w:t>
      </w:r>
      <w:r w:rsidR="005F7B20">
        <w:rPr>
          <w:rFonts w:ascii="Verdana" w:hAnsi="Verdana"/>
          <w:sz w:val="20"/>
          <w:lang w:val="es-CR"/>
        </w:rPr>
        <w:t>de 2020</w:t>
      </w:r>
      <w:r w:rsidR="00F00B82" w:rsidRPr="00F00B82">
        <w:rPr>
          <w:rFonts w:ascii="Verdana" w:hAnsi="Verdana"/>
          <w:sz w:val="20"/>
          <w:lang w:val="es-CR"/>
        </w:rPr>
        <w:t xml:space="preserve"> manifestaron que </w:t>
      </w:r>
      <w:r w:rsidR="00F00B82" w:rsidRPr="007102F1">
        <w:rPr>
          <w:rFonts w:ascii="Verdana" w:hAnsi="Verdana"/>
          <w:sz w:val="20"/>
          <w:lang w:val="es-CR"/>
        </w:rPr>
        <w:t>la audiencia “podría [ser] celebrada de forma virtual”</w:t>
      </w:r>
      <w:r w:rsidR="007102F1" w:rsidRPr="007102F1">
        <w:rPr>
          <w:rFonts w:ascii="Verdana" w:hAnsi="Verdana"/>
          <w:sz w:val="20"/>
          <w:lang w:val="es-CR"/>
        </w:rPr>
        <w:t>.</w:t>
      </w:r>
      <w:r w:rsidR="00F00B82" w:rsidRPr="00F00B82">
        <w:rPr>
          <w:rFonts w:ascii="Verdana" w:hAnsi="Verdana"/>
          <w:b/>
          <w:sz w:val="20"/>
          <w:lang w:val="es-CR"/>
        </w:rPr>
        <w:t xml:space="preserve"> </w:t>
      </w:r>
    </w:p>
    <w:p w14:paraId="7DEF9934" w14:textId="77777777" w:rsidR="00EF6B2D" w:rsidRPr="00EF6B2D" w:rsidRDefault="00EF6B2D" w:rsidP="00EF6B2D">
      <w:pPr>
        <w:pStyle w:val="Prrafodelista"/>
        <w:rPr>
          <w:rFonts w:ascii="Verdana" w:hAnsi="Verdana"/>
          <w:sz w:val="20"/>
          <w:lang w:val="es-CR"/>
        </w:rPr>
      </w:pPr>
    </w:p>
    <w:p w14:paraId="00C9029E" w14:textId="15356CD7" w:rsidR="00B71D5C" w:rsidRPr="00B71D5C" w:rsidRDefault="00EF6B2D" w:rsidP="00EF6B2D">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sz w:val="20"/>
          <w:lang w:val="es-CR"/>
        </w:rPr>
        <w:t xml:space="preserve">La </w:t>
      </w:r>
      <w:r w:rsidRPr="00EF6B2D">
        <w:rPr>
          <w:rFonts w:ascii="Verdana" w:hAnsi="Verdana"/>
          <w:b/>
          <w:i/>
          <w:sz w:val="20"/>
          <w:lang w:val="es-CR"/>
        </w:rPr>
        <w:t>Comisión</w:t>
      </w:r>
      <w:r>
        <w:rPr>
          <w:rFonts w:ascii="Verdana" w:hAnsi="Verdana"/>
          <w:sz w:val="20"/>
          <w:lang w:val="es-CR"/>
        </w:rPr>
        <w:t xml:space="preserve"> </w:t>
      </w:r>
      <w:r w:rsidRPr="00EF6B2D">
        <w:rPr>
          <w:rFonts w:ascii="Verdana" w:hAnsi="Verdana"/>
          <w:sz w:val="20"/>
          <w:lang w:val="es-CR"/>
        </w:rPr>
        <w:t xml:space="preserve">manifestó que “valora positivamente” </w:t>
      </w:r>
      <w:r>
        <w:rPr>
          <w:rFonts w:ascii="Verdana" w:hAnsi="Verdana"/>
          <w:sz w:val="20"/>
          <w:lang w:val="es-CR"/>
        </w:rPr>
        <w:t xml:space="preserve">el reconocimiento estatal de responsabilidad, </w:t>
      </w:r>
      <w:proofErr w:type="spellStart"/>
      <w:r w:rsidRPr="00D948E4">
        <w:rPr>
          <w:rFonts w:ascii="Verdana" w:hAnsi="Verdana"/>
          <w:color w:val="auto"/>
          <w:sz w:val="20"/>
          <w:lang w:val="es-CR"/>
        </w:rPr>
        <w:t>m</w:t>
      </w:r>
      <w:r w:rsidR="00D948E4">
        <w:rPr>
          <w:rFonts w:ascii="Verdana" w:hAnsi="Verdana"/>
          <w:color w:val="auto"/>
          <w:sz w:val="20"/>
          <w:lang w:val="es-CR"/>
        </w:rPr>
        <w:t>a</w:t>
      </w:r>
      <w:r w:rsidRPr="00D948E4">
        <w:rPr>
          <w:rFonts w:ascii="Verdana" w:hAnsi="Verdana"/>
          <w:color w:val="auto"/>
          <w:sz w:val="20"/>
          <w:lang w:val="es-CR"/>
        </w:rPr>
        <w:t>s</w:t>
      </w:r>
      <w:proofErr w:type="spellEnd"/>
      <w:r w:rsidRPr="00D948E4">
        <w:rPr>
          <w:rFonts w:ascii="Verdana" w:hAnsi="Verdana"/>
          <w:color w:val="auto"/>
          <w:sz w:val="20"/>
          <w:lang w:val="es-CR"/>
        </w:rPr>
        <w:t xml:space="preserve"> </w:t>
      </w:r>
      <w:r>
        <w:rPr>
          <w:rFonts w:ascii="Verdana" w:hAnsi="Verdana"/>
          <w:sz w:val="20"/>
          <w:lang w:val="es-CR"/>
        </w:rPr>
        <w:t>a</w:t>
      </w:r>
      <w:r w:rsidRPr="00EF6B2D">
        <w:rPr>
          <w:rFonts w:ascii="Verdana" w:hAnsi="Verdana"/>
          <w:sz w:val="20"/>
          <w:lang w:val="es-CR"/>
        </w:rPr>
        <w:t>dvirtió que el Estado “no identificó de manera precisa los hechos” de los que derivaría su responsabilidad.</w:t>
      </w:r>
      <w:r w:rsidR="00755359">
        <w:rPr>
          <w:rFonts w:ascii="Verdana" w:hAnsi="Verdana"/>
          <w:sz w:val="20"/>
          <w:lang w:val="es-CR"/>
        </w:rPr>
        <w:t xml:space="preserve"> En cuanto a la eventual etapa oral del proceso, d</w:t>
      </w:r>
      <w:r w:rsidR="00755359" w:rsidRPr="00755359">
        <w:rPr>
          <w:rFonts w:ascii="Verdana" w:hAnsi="Verdana"/>
          <w:sz w:val="20"/>
          <w:lang w:val="es-CR"/>
        </w:rPr>
        <w:t xml:space="preserve">estacó la </w:t>
      </w:r>
      <w:r w:rsidR="009B74BB">
        <w:rPr>
          <w:rFonts w:ascii="Verdana" w:hAnsi="Verdana"/>
          <w:sz w:val="20"/>
          <w:lang w:val="es-CR"/>
        </w:rPr>
        <w:t>“</w:t>
      </w:r>
      <w:r w:rsidR="00755359" w:rsidRPr="00755359">
        <w:rPr>
          <w:rFonts w:ascii="Verdana" w:hAnsi="Verdana"/>
          <w:sz w:val="20"/>
          <w:lang w:val="es-CR"/>
        </w:rPr>
        <w:t xml:space="preserve">importancia de que la Corte </w:t>
      </w:r>
      <w:r w:rsidR="005F7B20">
        <w:rPr>
          <w:rFonts w:ascii="Verdana" w:hAnsi="Verdana"/>
          <w:sz w:val="20"/>
          <w:lang w:val="es-CR"/>
        </w:rPr>
        <w:t xml:space="preserve">[Interamericana de Derechos Humanos] </w:t>
      </w:r>
      <w:r w:rsidR="00755359" w:rsidRPr="00755359">
        <w:rPr>
          <w:rFonts w:ascii="Verdana" w:hAnsi="Verdana"/>
          <w:sz w:val="20"/>
          <w:lang w:val="es-CR"/>
        </w:rPr>
        <w:t>tome en cuenta” los aspectos referidos por los representantes.</w:t>
      </w:r>
      <w:r w:rsidR="00D65530">
        <w:rPr>
          <w:rFonts w:ascii="Verdana" w:hAnsi="Verdana"/>
          <w:sz w:val="20"/>
          <w:lang w:val="es-CR"/>
        </w:rPr>
        <w:t xml:space="preserve"> </w:t>
      </w:r>
    </w:p>
    <w:p w14:paraId="61F17E07" w14:textId="77777777" w:rsidR="00B71D5C" w:rsidRPr="00B71D5C" w:rsidRDefault="00B71D5C" w:rsidP="00B71D5C">
      <w:pPr>
        <w:pStyle w:val="Prrafodelista"/>
        <w:rPr>
          <w:rFonts w:ascii="Verdana" w:hAnsi="Verdana"/>
          <w:sz w:val="20"/>
          <w:lang w:val="es-CR"/>
        </w:rPr>
      </w:pPr>
    </w:p>
    <w:p w14:paraId="5B76351E" w14:textId="4AB3ECA5" w:rsidR="00EF6B2D" w:rsidRPr="00B71D5C" w:rsidRDefault="00B71D5C" w:rsidP="00B71D5C">
      <w:pPr>
        <w:pStyle w:val="Prrafodelista"/>
        <w:widowControl w:val="0"/>
        <w:numPr>
          <w:ilvl w:val="0"/>
          <w:numId w:val="42"/>
        </w:numPr>
        <w:tabs>
          <w:tab w:val="left" w:pos="567"/>
        </w:tabs>
        <w:autoSpaceDE w:val="0"/>
        <w:autoSpaceDN w:val="0"/>
        <w:adjustRightInd w:val="0"/>
        <w:ind w:left="0" w:right="22" w:firstLine="0"/>
        <w:jc w:val="both"/>
        <w:rPr>
          <w:rFonts w:ascii="Verdana" w:hAnsi="Verdana"/>
          <w:bCs/>
          <w:iCs/>
          <w:color w:val="auto"/>
          <w:sz w:val="20"/>
          <w:szCs w:val="20"/>
          <w:lang w:val="es-CR"/>
        </w:rPr>
      </w:pPr>
      <w:r w:rsidRPr="0027448C">
        <w:rPr>
          <w:rFonts w:ascii="Verdana" w:hAnsi="Verdana"/>
          <w:sz w:val="20"/>
          <w:szCs w:val="20"/>
          <w:lang w:val="es-CR"/>
        </w:rPr>
        <w:t xml:space="preserve">La </w:t>
      </w:r>
      <w:proofErr w:type="gramStart"/>
      <w:r w:rsidRPr="00B71D5C">
        <w:rPr>
          <w:rFonts w:ascii="Verdana" w:hAnsi="Verdana"/>
          <w:b/>
          <w:i/>
          <w:sz w:val="20"/>
          <w:szCs w:val="20"/>
          <w:lang w:val="es-CR"/>
        </w:rPr>
        <w:t>Presidenta</w:t>
      </w:r>
      <w:proofErr w:type="gramEnd"/>
      <w:r w:rsidRPr="0027448C">
        <w:rPr>
          <w:rFonts w:ascii="Verdana" w:hAnsi="Verdana"/>
          <w:sz w:val="20"/>
          <w:szCs w:val="20"/>
          <w:lang w:val="es-CR"/>
        </w:rPr>
        <w:t xml:space="preserve"> recuerda que el artículo 15 del Reglamento del Tribunal señala que “la Corte </w:t>
      </w:r>
      <w:r w:rsidR="005F7B20">
        <w:rPr>
          <w:rFonts w:ascii="Verdana" w:hAnsi="Verdana"/>
          <w:sz w:val="20"/>
          <w:szCs w:val="20"/>
          <w:lang w:val="es-CR"/>
        </w:rPr>
        <w:t xml:space="preserve">[Interamericana de Derechos Humanos] </w:t>
      </w:r>
      <w:r w:rsidRPr="0027448C">
        <w:rPr>
          <w:rFonts w:ascii="Verdana" w:hAnsi="Verdana"/>
          <w:sz w:val="20"/>
          <w:szCs w:val="20"/>
          <w:lang w:val="es-CR"/>
        </w:rPr>
        <w:t>celebrará audiencias cuando lo estime pertinente”. Por su parte, los artículos 45 y 50.1 del Reglamento facultan a la Corte</w:t>
      </w:r>
      <w:r w:rsidR="005F7B20">
        <w:rPr>
          <w:rFonts w:ascii="Verdana" w:hAnsi="Verdana"/>
          <w:sz w:val="20"/>
          <w:szCs w:val="20"/>
          <w:lang w:val="es-CR"/>
        </w:rPr>
        <w:t xml:space="preserve"> Interamericana de</w:t>
      </w:r>
      <w:r w:rsidR="008A6EAD">
        <w:rPr>
          <w:rFonts w:ascii="Verdana" w:hAnsi="Verdana"/>
          <w:sz w:val="20"/>
          <w:szCs w:val="20"/>
          <w:lang w:val="es-CR"/>
        </w:rPr>
        <w:t xml:space="preserve"> Derechos Humanos (en adelante</w:t>
      </w:r>
      <w:r w:rsidR="00A326E3">
        <w:rPr>
          <w:rFonts w:ascii="Verdana" w:hAnsi="Verdana"/>
          <w:sz w:val="20"/>
          <w:szCs w:val="20"/>
          <w:lang w:val="es-CR"/>
        </w:rPr>
        <w:t xml:space="preserve"> también</w:t>
      </w:r>
      <w:r w:rsidR="008A6EAD">
        <w:rPr>
          <w:rFonts w:ascii="Verdana" w:hAnsi="Verdana"/>
          <w:sz w:val="20"/>
          <w:szCs w:val="20"/>
          <w:lang w:val="es-CR"/>
        </w:rPr>
        <w:t xml:space="preserve"> </w:t>
      </w:r>
      <w:r w:rsidR="00340742">
        <w:rPr>
          <w:rFonts w:ascii="Verdana" w:hAnsi="Verdana"/>
          <w:sz w:val="20"/>
          <w:szCs w:val="20"/>
          <w:lang w:val="es-CR"/>
        </w:rPr>
        <w:t xml:space="preserve">“Corte Interamericana”, </w:t>
      </w:r>
      <w:r w:rsidR="005F7B20">
        <w:rPr>
          <w:rFonts w:ascii="Verdana" w:hAnsi="Verdana"/>
          <w:sz w:val="20"/>
          <w:szCs w:val="20"/>
          <w:lang w:val="es-CR"/>
        </w:rPr>
        <w:t>“Corte” o “Tribunal”)</w:t>
      </w:r>
      <w:r w:rsidRPr="0027448C">
        <w:rPr>
          <w:rFonts w:ascii="Verdana" w:hAnsi="Verdana"/>
          <w:sz w:val="20"/>
          <w:szCs w:val="20"/>
          <w:lang w:val="es-CR"/>
        </w:rPr>
        <w:t xml:space="preserve"> o su Presidencia a convocar a audiencias cuando lo estimen necesario. Lo anterior expresa una facultad de la Corte</w:t>
      </w:r>
      <w:r w:rsidR="00340742">
        <w:rPr>
          <w:rFonts w:ascii="Verdana" w:hAnsi="Verdana"/>
          <w:sz w:val="20"/>
          <w:szCs w:val="20"/>
          <w:lang w:val="es-CR"/>
        </w:rPr>
        <w:t xml:space="preserve"> Interamericana</w:t>
      </w:r>
      <w:r w:rsidRPr="0027448C">
        <w:rPr>
          <w:rFonts w:ascii="Verdana" w:hAnsi="Verdana"/>
          <w:sz w:val="20"/>
          <w:szCs w:val="20"/>
          <w:lang w:val="es-CR"/>
        </w:rPr>
        <w:t xml:space="preserve"> o su Presidencia, que ejercerán motivadamente y de manera consecuente con las características del caso, los requerimientos procesales que deriven de ellas y la debida preservación de los derechos de las partes</w:t>
      </w:r>
      <w:r w:rsidRPr="0027448C">
        <w:rPr>
          <w:rStyle w:val="Refdenotaalpie"/>
          <w:rFonts w:ascii="Verdana" w:hAnsi="Verdana"/>
          <w:sz w:val="20"/>
          <w:szCs w:val="20"/>
          <w:lang w:val="es-CR"/>
        </w:rPr>
        <w:footnoteReference w:id="7"/>
      </w:r>
      <w:r w:rsidRPr="00B5619F">
        <w:rPr>
          <w:rFonts w:ascii="Verdana" w:hAnsi="Verdana"/>
          <w:sz w:val="20"/>
          <w:szCs w:val="20"/>
          <w:lang w:val="es-CR"/>
        </w:rPr>
        <w:t>.</w:t>
      </w:r>
      <w:r w:rsidR="00D65530" w:rsidRPr="00B71D5C">
        <w:rPr>
          <w:rFonts w:ascii="Verdana" w:hAnsi="Verdana"/>
          <w:sz w:val="20"/>
          <w:lang w:val="es-CR"/>
        </w:rPr>
        <w:t xml:space="preserve"> </w:t>
      </w:r>
    </w:p>
    <w:p w14:paraId="4C9170D5" w14:textId="77777777" w:rsidR="00A81C2D" w:rsidRPr="00A81C2D" w:rsidRDefault="00A81C2D" w:rsidP="00A81C2D">
      <w:pPr>
        <w:pStyle w:val="Prrafodelista"/>
        <w:rPr>
          <w:rFonts w:ascii="Verdana" w:hAnsi="Verdana"/>
          <w:sz w:val="20"/>
          <w:szCs w:val="20"/>
          <w:lang w:val="es-CR"/>
        </w:rPr>
      </w:pPr>
    </w:p>
    <w:p w14:paraId="34F0373F" w14:textId="7709612B" w:rsidR="00C029ED" w:rsidRPr="00C72A1C" w:rsidRDefault="00B71D5C"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sz w:val="20"/>
          <w:szCs w:val="20"/>
          <w:lang w:val="es-CR"/>
        </w:rPr>
        <w:t>A</w:t>
      </w:r>
      <w:r w:rsidR="00B5619F" w:rsidRPr="00C72A1C">
        <w:rPr>
          <w:rFonts w:ascii="Verdana" w:hAnsi="Verdana"/>
          <w:sz w:val="20"/>
          <w:szCs w:val="20"/>
          <w:lang w:val="es-CR"/>
        </w:rPr>
        <w:t xml:space="preserve"> partir del estudio del Informe de Fondo,</w:t>
      </w:r>
      <w:r w:rsidR="00B5619F" w:rsidRPr="00C72A1C" w:rsidDel="004532BD">
        <w:rPr>
          <w:rFonts w:ascii="Verdana" w:hAnsi="Verdana"/>
          <w:sz w:val="20"/>
          <w:szCs w:val="20"/>
          <w:lang w:val="es-CR"/>
        </w:rPr>
        <w:t xml:space="preserve"> </w:t>
      </w:r>
      <w:r w:rsidR="00B5619F" w:rsidRPr="00C72A1C">
        <w:rPr>
          <w:rFonts w:ascii="Verdana" w:hAnsi="Verdana"/>
          <w:sz w:val="20"/>
          <w:szCs w:val="20"/>
          <w:lang w:val="es-CR"/>
        </w:rPr>
        <w:t xml:space="preserve">el escrito de solicitudes y argumentos, la contestación del Estado y los demás documentos aportados al presente trámite, la </w:t>
      </w:r>
      <w:proofErr w:type="gramStart"/>
      <w:r w:rsidR="00B5619F" w:rsidRPr="00C72A1C">
        <w:rPr>
          <w:rFonts w:ascii="Verdana" w:hAnsi="Verdana"/>
          <w:sz w:val="20"/>
          <w:szCs w:val="20"/>
          <w:lang w:val="es-CR"/>
        </w:rPr>
        <w:t>Presidenta</w:t>
      </w:r>
      <w:proofErr w:type="gramEnd"/>
      <w:r w:rsidR="00B5619F" w:rsidRPr="00C72A1C">
        <w:rPr>
          <w:rFonts w:ascii="Verdana" w:hAnsi="Verdana"/>
          <w:sz w:val="20"/>
          <w:szCs w:val="20"/>
          <w:lang w:val="es-CR"/>
        </w:rPr>
        <w:t xml:space="preserve"> advierte que, </w:t>
      </w:r>
      <w:r w:rsidR="00B5619F" w:rsidRPr="00C72A1C">
        <w:rPr>
          <w:rFonts w:ascii="Verdana" w:hAnsi="Verdana"/>
          <w:i/>
          <w:sz w:val="20"/>
          <w:szCs w:val="20"/>
          <w:lang w:val="es-CR"/>
        </w:rPr>
        <w:t>prima facie</w:t>
      </w:r>
      <w:r w:rsidR="00B5619F" w:rsidRPr="00C72A1C">
        <w:rPr>
          <w:rFonts w:ascii="Verdana" w:hAnsi="Verdana"/>
          <w:sz w:val="20"/>
          <w:szCs w:val="20"/>
          <w:lang w:val="es-CR"/>
        </w:rPr>
        <w:t xml:space="preserve">, sin perjuicio de las determinaciones que oportunamente realice la Corte, </w:t>
      </w:r>
      <w:r w:rsidR="0096659C">
        <w:rPr>
          <w:rFonts w:ascii="Verdana" w:hAnsi="Verdana"/>
          <w:sz w:val="20"/>
          <w:szCs w:val="20"/>
          <w:lang w:val="es-CR"/>
        </w:rPr>
        <w:t>el reconocimiento estatal de responsabilidad, aun no siendo total, fue expresado en términos amplios. L</w:t>
      </w:r>
      <w:r w:rsidR="00B5619F" w:rsidRPr="00C72A1C">
        <w:rPr>
          <w:rFonts w:ascii="Verdana" w:hAnsi="Verdana"/>
          <w:sz w:val="20"/>
          <w:szCs w:val="20"/>
          <w:lang w:val="es-CR"/>
        </w:rPr>
        <w:t xml:space="preserve">a controversia </w:t>
      </w:r>
      <w:r w:rsidR="0096659C">
        <w:rPr>
          <w:rFonts w:ascii="Verdana" w:hAnsi="Verdana"/>
          <w:sz w:val="20"/>
          <w:szCs w:val="20"/>
          <w:lang w:val="es-CR"/>
        </w:rPr>
        <w:t xml:space="preserve">subsistente </w:t>
      </w:r>
      <w:r w:rsidR="00B5619F" w:rsidRPr="00C72A1C">
        <w:rPr>
          <w:rFonts w:ascii="Verdana" w:hAnsi="Verdana"/>
          <w:sz w:val="20"/>
          <w:szCs w:val="20"/>
          <w:lang w:val="es-CR"/>
        </w:rPr>
        <w:t>en el presente asunto no reside</w:t>
      </w:r>
      <w:r w:rsidR="0096659C">
        <w:rPr>
          <w:rFonts w:ascii="Verdana" w:hAnsi="Verdana"/>
          <w:sz w:val="20"/>
          <w:szCs w:val="20"/>
          <w:lang w:val="es-CR"/>
        </w:rPr>
        <w:t>, de modo central,</w:t>
      </w:r>
      <w:r w:rsidR="00B5619F" w:rsidRPr="00C72A1C">
        <w:rPr>
          <w:rFonts w:ascii="Verdana" w:hAnsi="Verdana"/>
          <w:sz w:val="20"/>
          <w:szCs w:val="20"/>
          <w:lang w:val="es-CR"/>
        </w:rPr>
        <w:t xml:space="preserve"> en cuestiones fácticas, sino en </w:t>
      </w:r>
      <w:r w:rsidR="0096659C">
        <w:rPr>
          <w:rFonts w:ascii="Verdana" w:hAnsi="Verdana"/>
          <w:sz w:val="20"/>
          <w:szCs w:val="20"/>
          <w:lang w:val="es-CR"/>
        </w:rPr>
        <w:t xml:space="preserve">distintas </w:t>
      </w:r>
      <w:r w:rsidR="00B5619F" w:rsidRPr="00C72A1C">
        <w:rPr>
          <w:rFonts w:ascii="Verdana" w:hAnsi="Verdana"/>
          <w:sz w:val="20"/>
          <w:szCs w:val="20"/>
          <w:lang w:val="es-CR"/>
        </w:rPr>
        <w:t>calificaci</w:t>
      </w:r>
      <w:r w:rsidR="0096659C">
        <w:rPr>
          <w:rFonts w:ascii="Verdana" w:hAnsi="Verdana"/>
          <w:sz w:val="20"/>
          <w:szCs w:val="20"/>
          <w:lang w:val="es-CR"/>
        </w:rPr>
        <w:t>o</w:t>
      </w:r>
      <w:r w:rsidR="00B5619F" w:rsidRPr="00C72A1C">
        <w:rPr>
          <w:rFonts w:ascii="Verdana" w:hAnsi="Verdana"/>
          <w:sz w:val="20"/>
          <w:szCs w:val="20"/>
          <w:lang w:val="es-CR"/>
        </w:rPr>
        <w:t>n</w:t>
      </w:r>
      <w:r w:rsidR="0096659C">
        <w:rPr>
          <w:rFonts w:ascii="Verdana" w:hAnsi="Verdana"/>
          <w:sz w:val="20"/>
          <w:szCs w:val="20"/>
          <w:lang w:val="es-CR"/>
        </w:rPr>
        <w:t>es</w:t>
      </w:r>
      <w:r w:rsidR="00B5619F" w:rsidRPr="00C72A1C">
        <w:rPr>
          <w:rFonts w:ascii="Verdana" w:hAnsi="Verdana"/>
          <w:sz w:val="20"/>
          <w:szCs w:val="20"/>
          <w:lang w:val="es-CR"/>
        </w:rPr>
        <w:t xml:space="preserve"> jurídica</w:t>
      </w:r>
      <w:r w:rsidR="0096659C">
        <w:rPr>
          <w:rFonts w:ascii="Verdana" w:hAnsi="Verdana"/>
          <w:sz w:val="20"/>
          <w:szCs w:val="20"/>
          <w:lang w:val="es-CR"/>
        </w:rPr>
        <w:t>s</w:t>
      </w:r>
      <w:r w:rsidR="00B5619F" w:rsidRPr="00C72A1C">
        <w:rPr>
          <w:rFonts w:ascii="Verdana" w:hAnsi="Verdana"/>
          <w:sz w:val="20"/>
          <w:szCs w:val="20"/>
          <w:lang w:val="es-CR"/>
        </w:rPr>
        <w:t xml:space="preserve"> de tales cuestiones y, a la postre, en el análisis </w:t>
      </w:r>
      <w:r w:rsidR="0096659C">
        <w:rPr>
          <w:rFonts w:ascii="Verdana" w:hAnsi="Verdana"/>
          <w:sz w:val="20"/>
          <w:szCs w:val="20"/>
          <w:lang w:val="es-CR"/>
        </w:rPr>
        <w:t xml:space="preserve">de </w:t>
      </w:r>
      <w:r w:rsidR="00B5619F" w:rsidRPr="00C72A1C">
        <w:rPr>
          <w:rFonts w:ascii="Verdana" w:hAnsi="Verdana"/>
          <w:sz w:val="20"/>
          <w:szCs w:val="20"/>
          <w:lang w:val="es-CR"/>
        </w:rPr>
        <w:t>las violaciones alegadas</w:t>
      </w:r>
      <w:r w:rsidR="0096659C">
        <w:rPr>
          <w:rFonts w:ascii="Verdana" w:hAnsi="Verdana"/>
          <w:sz w:val="20"/>
          <w:szCs w:val="20"/>
          <w:lang w:val="es-CR"/>
        </w:rPr>
        <w:t xml:space="preserve"> y las medidas de reparación correspondientes</w:t>
      </w:r>
      <w:r w:rsidR="00B5619F" w:rsidRPr="00C72A1C">
        <w:rPr>
          <w:rFonts w:ascii="Verdana" w:hAnsi="Verdana"/>
          <w:sz w:val="20"/>
          <w:szCs w:val="20"/>
          <w:lang w:val="es-CR"/>
        </w:rPr>
        <w:t>.</w:t>
      </w:r>
      <w:r w:rsidR="0096659C">
        <w:rPr>
          <w:rFonts w:ascii="Verdana" w:hAnsi="Verdana"/>
          <w:sz w:val="20"/>
          <w:szCs w:val="20"/>
          <w:lang w:val="es-CR"/>
        </w:rPr>
        <w:t xml:space="preserve"> Los aspectos fácticos y jurídicos aludidos pueden ser examinados con base en actos escritos del proceso, sin </w:t>
      </w:r>
      <w:r w:rsidR="004329E6">
        <w:rPr>
          <w:rFonts w:ascii="Verdana" w:hAnsi="Verdana"/>
          <w:sz w:val="20"/>
          <w:szCs w:val="20"/>
          <w:lang w:val="es-CR"/>
        </w:rPr>
        <w:t>perjuicio</w:t>
      </w:r>
      <w:r w:rsidR="0096659C">
        <w:rPr>
          <w:rFonts w:ascii="Verdana" w:hAnsi="Verdana"/>
          <w:sz w:val="20"/>
          <w:szCs w:val="20"/>
          <w:lang w:val="es-CR"/>
        </w:rPr>
        <w:t xml:space="preserve"> de lo indicado más adelante sobre las declaraciones de </w:t>
      </w:r>
      <w:r w:rsidR="00B127FA">
        <w:rPr>
          <w:rFonts w:ascii="Verdana" w:hAnsi="Verdana"/>
          <w:sz w:val="20"/>
          <w:szCs w:val="20"/>
          <w:lang w:val="es-CR"/>
        </w:rPr>
        <w:t>dos</w:t>
      </w:r>
      <w:r w:rsidR="0096659C">
        <w:rPr>
          <w:rFonts w:ascii="Verdana" w:hAnsi="Verdana"/>
          <w:sz w:val="20"/>
          <w:szCs w:val="20"/>
          <w:lang w:val="es-CR"/>
        </w:rPr>
        <w:t xml:space="preserve"> presuntas víctimas (</w:t>
      </w:r>
      <w:r w:rsidR="004329E6">
        <w:rPr>
          <w:rFonts w:ascii="Verdana" w:hAnsi="Verdana"/>
          <w:i/>
          <w:sz w:val="20"/>
          <w:szCs w:val="20"/>
          <w:lang w:val="es-CR"/>
        </w:rPr>
        <w:t xml:space="preserve">infra </w:t>
      </w:r>
      <w:r w:rsidR="004329E6">
        <w:rPr>
          <w:rFonts w:ascii="Verdana" w:hAnsi="Verdana"/>
          <w:sz w:val="20"/>
          <w:szCs w:val="20"/>
          <w:lang w:val="es-CR"/>
        </w:rPr>
        <w:t xml:space="preserve">Considerando </w:t>
      </w:r>
      <w:r w:rsidR="00B127FA">
        <w:rPr>
          <w:rFonts w:ascii="Verdana" w:hAnsi="Verdana"/>
          <w:sz w:val="20"/>
          <w:szCs w:val="20"/>
          <w:lang w:val="es-CR"/>
        </w:rPr>
        <w:t>20</w:t>
      </w:r>
      <w:r w:rsidR="004329E6">
        <w:rPr>
          <w:rFonts w:ascii="Verdana" w:hAnsi="Verdana"/>
          <w:sz w:val="20"/>
          <w:szCs w:val="20"/>
          <w:lang w:val="es-CR"/>
        </w:rPr>
        <w:t>)</w:t>
      </w:r>
      <w:r w:rsidR="0096659C">
        <w:rPr>
          <w:rFonts w:ascii="Verdana" w:hAnsi="Verdana"/>
          <w:sz w:val="20"/>
          <w:szCs w:val="20"/>
          <w:lang w:val="es-CR"/>
        </w:rPr>
        <w:t xml:space="preserve">.  </w:t>
      </w:r>
    </w:p>
    <w:p w14:paraId="29A21B2E" w14:textId="77777777" w:rsidR="00C72A1C" w:rsidRPr="00C72A1C" w:rsidRDefault="00C72A1C" w:rsidP="00C72A1C">
      <w:pPr>
        <w:pStyle w:val="Prrafodelista"/>
        <w:rPr>
          <w:rFonts w:ascii="Verdana" w:hAnsi="Verdana"/>
          <w:color w:val="auto"/>
          <w:sz w:val="20"/>
          <w:szCs w:val="20"/>
          <w:lang w:val="es-CR"/>
        </w:rPr>
      </w:pPr>
    </w:p>
    <w:p w14:paraId="1581A4F5" w14:textId="48653064" w:rsidR="00C72A1C" w:rsidRDefault="00C72A1C"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419"/>
        </w:rPr>
      </w:pPr>
      <w:r w:rsidRPr="00C72A1C">
        <w:rPr>
          <w:rFonts w:ascii="Verdana" w:hAnsi="Verdana"/>
          <w:color w:val="auto"/>
          <w:sz w:val="20"/>
          <w:szCs w:val="20"/>
          <w:lang w:val="es-419"/>
        </w:rPr>
        <w:t xml:space="preserve">Por otra parte, la </w:t>
      </w:r>
      <w:proofErr w:type="gramStart"/>
      <w:r w:rsidRPr="00C72A1C">
        <w:rPr>
          <w:rFonts w:ascii="Verdana" w:hAnsi="Verdana"/>
          <w:color w:val="auto"/>
          <w:sz w:val="20"/>
          <w:szCs w:val="20"/>
          <w:lang w:val="es-419"/>
        </w:rPr>
        <w:t>Presidenta</w:t>
      </w:r>
      <w:proofErr w:type="gramEnd"/>
      <w:r w:rsidRPr="00C72A1C">
        <w:rPr>
          <w:rFonts w:ascii="Verdana" w:hAnsi="Verdana"/>
          <w:color w:val="auto"/>
          <w:sz w:val="20"/>
          <w:szCs w:val="20"/>
          <w:lang w:val="es-419"/>
        </w:rPr>
        <w:t xml:space="preserve"> advierte que la situación originada a causa de la pandemia por la propagación del COVID-19, cuyos efectos son de público conocimiento y persisten en la actualidad, conlleva obstáculos notorios para llevar a cabo una audiencia pública. </w:t>
      </w:r>
      <w:r w:rsidR="00B71D5C">
        <w:rPr>
          <w:rFonts w:ascii="Verdana" w:hAnsi="Verdana"/>
          <w:color w:val="auto"/>
          <w:sz w:val="20"/>
          <w:szCs w:val="20"/>
          <w:lang w:val="es-419"/>
        </w:rPr>
        <w:t>R</w:t>
      </w:r>
      <w:r w:rsidRPr="00C72A1C">
        <w:rPr>
          <w:rFonts w:ascii="Verdana" w:hAnsi="Verdana"/>
          <w:color w:val="auto"/>
          <w:sz w:val="20"/>
          <w:szCs w:val="20"/>
          <w:lang w:val="es-419"/>
        </w:rPr>
        <w:t>esulta incierto el momento en que dichos obstáculos, que constituyen razones de fuerza mayor, podrán ser subsanados.</w:t>
      </w:r>
    </w:p>
    <w:p w14:paraId="74C7086C" w14:textId="77777777" w:rsidR="00B5619F" w:rsidRPr="00C72A1C" w:rsidRDefault="00B5619F" w:rsidP="00C72A1C">
      <w:pPr>
        <w:pStyle w:val="Prrafodelista"/>
        <w:widowControl w:val="0"/>
        <w:tabs>
          <w:tab w:val="left" w:pos="567"/>
        </w:tabs>
        <w:autoSpaceDE w:val="0"/>
        <w:autoSpaceDN w:val="0"/>
        <w:adjustRightInd w:val="0"/>
        <w:ind w:left="0" w:right="22"/>
        <w:jc w:val="both"/>
        <w:rPr>
          <w:rFonts w:ascii="Verdana" w:hAnsi="Verdana"/>
          <w:color w:val="auto"/>
          <w:sz w:val="20"/>
          <w:szCs w:val="20"/>
          <w:highlight w:val="yellow"/>
          <w:lang w:val="es-CR"/>
        </w:rPr>
      </w:pPr>
    </w:p>
    <w:p w14:paraId="3BF6FE72" w14:textId="28C13F71" w:rsidR="00C3165B" w:rsidRPr="00B5619F" w:rsidRDefault="00C3165B" w:rsidP="00C72A1C">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sz w:val="20"/>
          <w:szCs w:val="20"/>
          <w:lang w:val="es-ES_tradnl"/>
        </w:rPr>
      </w:pPr>
      <w:r w:rsidRPr="00C72A1C">
        <w:rPr>
          <w:rFonts w:ascii="Verdana" w:hAnsi="Verdana"/>
          <w:color w:val="auto"/>
          <w:sz w:val="20"/>
          <w:szCs w:val="20"/>
          <w:lang w:val="es-ES_tradnl"/>
        </w:rPr>
        <w:t>En virtud de</w:t>
      </w:r>
      <w:r w:rsidR="00C72A1C">
        <w:rPr>
          <w:rFonts w:ascii="Verdana" w:hAnsi="Verdana"/>
          <w:color w:val="auto"/>
          <w:sz w:val="20"/>
          <w:szCs w:val="20"/>
          <w:lang w:val="es-ES_tradnl"/>
        </w:rPr>
        <w:t xml:space="preserve"> todo</w:t>
      </w:r>
      <w:r w:rsidRPr="00C72A1C">
        <w:rPr>
          <w:rFonts w:ascii="Verdana" w:hAnsi="Verdana"/>
          <w:color w:val="auto"/>
          <w:sz w:val="20"/>
          <w:szCs w:val="20"/>
          <w:lang w:val="es-ES_tradnl"/>
        </w:rPr>
        <w:t xml:space="preserve"> lo anterior, </w:t>
      </w:r>
      <w:r w:rsidR="00F32DEF">
        <w:rPr>
          <w:rFonts w:ascii="Verdana" w:hAnsi="Verdana"/>
          <w:color w:val="auto"/>
          <w:sz w:val="20"/>
          <w:szCs w:val="20"/>
          <w:lang w:val="es-ES_tradnl"/>
        </w:rPr>
        <w:t>esta</w:t>
      </w:r>
      <w:r w:rsidRPr="00C72A1C">
        <w:rPr>
          <w:rFonts w:ascii="Verdana" w:hAnsi="Verdana"/>
          <w:color w:val="auto"/>
          <w:sz w:val="20"/>
          <w:szCs w:val="20"/>
          <w:lang w:val="es-ES_tradnl"/>
        </w:rPr>
        <w:t xml:space="preserve"> Presiden</w:t>
      </w:r>
      <w:r w:rsidR="00F32DEF">
        <w:rPr>
          <w:rFonts w:ascii="Verdana" w:hAnsi="Verdana"/>
          <w:color w:val="auto"/>
          <w:sz w:val="20"/>
          <w:szCs w:val="20"/>
          <w:lang w:val="es-ES_tradnl"/>
        </w:rPr>
        <w:t>cia</w:t>
      </w:r>
      <w:r w:rsidRPr="00C72A1C">
        <w:rPr>
          <w:rFonts w:ascii="Verdana" w:hAnsi="Verdana"/>
          <w:color w:val="auto"/>
          <w:sz w:val="20"/>
          <w:szCs w:val="20"/>
          <w:lang w:val="es-ES_tradnl"/>
        </w:rPr>
        <w:t xml:space="preserve">, en consulta con el Pleno de la Corte, </w:t>
      </w:r>
      <w:r w:rsidR="00F32DEF">
        <w:rPr>
          <w:rFonts w:ascii="Verdana" w:hAnsi="Verdana"/>
          <w:color w:val="auto"/>
          <w:sz w:val="20"/>
          <w:szCs w:val="20"/>
          <w:lang w:val="es-ES_tradnl"/>
        </w:rPr>
        <w:t xml:space="preserve">decide </w:t>
      </w:r>
      <w:r w:rsidRPr="00C72A1C">
        <w:rPr>
          <w:rFonts w:ascii="Verdana" w:hAnsi="Verdana"/>
          <w:color w:val="auto"/>
          <w:sz w:val="20"/>
          <w:szCs w:val="20"/>
          <w:lang w:val="es-ES_tradnl"/>
        </w:rPr>
        <w:t>que no es necesario convocar a una au</w:t>
      </w:r>
      <w:r w:rsidRPr="00B5619F">
        <w:rPr>
          <w:rFonts w:ascii="Verdana" w:hAnsi="Verdana"/>
          <w:sz w:val="20"/>
          <w:szCs w:val="20"/>
          <w:lang w:val="es-ES_tradnl"/>
        </w:rPr>
        <w:t xml:space="preserve">diencia pública en este caso, </w:t>
      </w:r>
      <w:r w:rsidRPr="00D948E4">
        <w:rPr>
          <w:rFonts w:ascii="Verdana" w:hAnsi="Verdana"/>
          <w:color w:val="auto"/>
          <w:sz w:val="20"/>
          <w:szCs w:val="20"/>
          <w:lang w:val="es-ES_tradnl"/>
        </w:rPr>
        <w:t xml:space="preserve">por razones </w:t>
      </w:r>
      <w:r w:rsidR="00CF6899" w:rsidRPr="00D948E4">
        <w:rPr>
          <w:rFonts w:ascii="Verdana" w:hAnsi="Verdana"/>
          <w:color w:val="auto"/>
          <w:sz w:val="20"/>
          <w:szCs w:val="20"/>
          <w:lang w:val="es-ES_tradnl"/>
        </w:rPr>
        <w:t xml:space="preserve">principalmente </w:t>
      </w:r>
      <w:r w:rsidRPr="00D948E4">
        <w:rPr>
          <w:rFonts w:ascii="Verdana" w:hAnsi="Verdana"/>
          <w:color w:val="auto"/>
          <w:sz w:val="20"/>
          <w:szCs w:val="20"/>
          <w:lang w:val="es-ES_tradnl"/>
        </w:rPr>
        <w:t>de economía procesal</w:t>
      </w:r>
      <w:r w:rsidR="00A326E3">
        <w:rPr>
          <w:rFonts w:ascii="Verdana" w:hAnsi="Verdana"/>
          <w:color w:val="auto"/>
          <w:sz w:val="20"/>
          <w:szCs w:val="20"/>
          <w:lang w:val="es-ES_tradnl"/>
        </w:rPr>
        <w:t>,</w:t>
      </w:r>
      <w:r w:rsidR="00CF6899" w:rsidRPr="00D948E4">
        <w:rPr>
          <w:rFonts w:ascii="Verdana" w:hAnsi="Verdana"/>
          <w:color w:val="auto"/>
          <w:sz w:val="20"/>
          <w:szCs w:val="20"/>
          <w:lang w:val="es-ES_tradnl"/>
        </w:rPr>
        <w:t xml:space="preserve"> pero también </w:t>
      </w:r>
      <w:r w:rsidR="00EB2A30" w:rsidRPr="00D948E4">
        <w:rPr>
          <w:rFonts w:ascii="Verdana" w:hAnsi="Verdana"/>
          <w:color w:val="auto"/>
          <w:sz w:val="20"/>
          <w:szCs w:val="20"/>
          <w:lang w:val="es-ES_tradnl"/>
        </w:rPr>
        <w:t>derivadas de la pandemia por el COVID 19</w:t>
      </w:r>
      <w:r w:rsidRPr="00B5619F">
        <w:rPr>
          <w:rFonts w:ascii="Verdana" w:hAnsi="Verdana"/>
          <w:sz w:val="20"/>
          <w:szCs w:val="20"/>
          <w:lang w:val="es-ES_tradnl"/>
        </w:rPr>
        <w:t xml:space="preserve">. </w:t>
      </w:r>
      <w:r w:rsidR="00C029ED" w:rsidRPr="00B5619F">
        <w:rPr>
          <w:rFonts w:ascii="Verdana" w:hAnsi="Verdana"/>
          <w:sz w:val="20"/>
          <w:szCs w:val="20"/>
          <w:lang w:val="es-ES_tradnl"/>
        </w:rPr>
        <w:t xml:space="preserve">Por consiguiente, </w:t>
      </w:r>
      <w:r w:rsidR="00F32DEF">
        <w:rPr>
          <w:rFonts w:ascii="Verdana" w:hAnsi="Verdana"/>
          <w:sz w:val="20"/>
          <w:szCs w:val="20"/>
          <w:lang w:val="es-ES_tradnl"/>
        </w:rPr>
        <w:t>a excepción de lo que más adelante se indica respecto de dos presuntas víctimas (</w:t>
      </w:r>
      <w:r w:rsidR="00F32DEF">
        <w:rPr>
          <w:rFonts w:ascii="Verdana" w:hAnsi="Verdana"/>
          <w:i/>
          <w:sz w:val="20"/>
          <w:szCs w:val="20"/>
          <w:lang w:val="es-ES_tradnl"/>
        </w:rPr>
        <w:t xml:space="preserve">infra </w:t>
      </w:r>
      <w:r w:rsidR="00F32DEF">
        <w:rPr>
          <w:rFonts w:ascii="Verdana" w:hAnsi="Verdana"/>
          <w:sz w:val="20"/>
          <w:szCs w:val="20"/>
          <w:lang w:val="es-ES_tradnl"/>
        </w:rPr>
        <w:t xml:space="preserve">Considerando </w:t>
      </w:r>
      <w:r w:rsidR="008437FA">
        <w:rPr>
          <w:rFonts w:ascii="Verdana" w:hAnsi="Verdana"/>
          <w:sz w:val="20"/>
          <w:szCs w:val="20"/>
          <w:lang w:val="es-ES_tradnl"/>
        </w:rPr>
        <w:t>20</w:t>
      </w:r>
      <w:r w:rsidR="00F32DEF">
        <w:rPr>
          <w:rFonts w:ascii="Verdana" w:hAnsi="Verdana"/>
          <w:sz w:val="20"/>
          <w:szCs w:val="20"/>
          <w:lang w:val="es-ES_tradnl"/>
        </w:rPr>
        <w:t xml:space="preserve">), </w:t>
      </w:r>
      <w:r w:rsidR="00C029ED" w:rsidRPr="00B5619F">
        <w:rPr>
          <w:rFonts w:ascii="Verdana" w:hAnsi="Verdana"/>
          <w:sz w:val="20"/>
          <w:szCs w:val="20"/>
          <w:lang w:val="es-ES_tradnl"/>
        </w:rPr>
        <w:t>l</w:t>
      </w:r>
      <w:r w:rsidRPr="00B5619F">
        <w:rPr>
          <w:rFonts w:ascii="Verdana" w:hAnsi="Verdana"/>
          <w:sz w:val="20"/>
          <w:szCs w:val="20"/>
          <w:lang w:val="es-ES_tradnl"/>
        </w:rPr>
        <w:t xml:space="preserve">as declaraciones </w:t>
      </w:r>
      <w:r w:rsidR="00C029ED" w:rsidRPr="00B5619F">
        <w:rPr>
          <w:rFonts w:ascii="Verdana" w:hAnsi="Verdana"/>
          <w:sz w:val="20"/>
          <w:szCs w:val="20"/>
          <w:lang w:val="es-ES_tradnl"/>
        </w:rPr>
        <w:t>que se de</w:t>
      </w:r>
      <w:r w:rsidR="000A63E6">
        <w:rPr>
          <w:rFonts w:ascii="Verdana" w:hAnsi="Verdana"/>
          <w:sz w:val="20"/>
          <w:szCs w:val="20"/>
          <w:lang w:val="es-ES_tradnl"/>
        </w:rPr>
        <w:t>terminan</w:t>
      </w:r>
      <w:r w:rsidR="00C029ED" w:rsidRPr="00B5619F">
        <w:rPr>
          <w:rFonts w:ascii="Verdana" w:hAnsi="Verdana"/>
          <w:sz w:val="20"/>
          <w:szCs w:val="20"/>
          <w:lang w:val="es-ES_tradnl"/>
        </w:rPr>
        <w:t xml:space="preserve"> admisibles </w:t>
      </w:r>
      <w:r w:rsidR="00F32DEF">
        <w:rPr>
          <w:rFonts w:ascii="Verdana" w:hAnsi="Verdana"/>
          <w:sz w:val="20"/>
          <w:szCs w:val="20"/>
          <w:lang w:val="es-ES_tradnl"/>
        </w:rPr>
        <w:t xml:space="preserve">en la presente Resolución </w:t>
      </w:r>
      <w:r w:rsidR="00C029ED" w:rsidRPr="00B5619F">
        <w:rPr>
          <w:rFonts w:ascii="Verdana" w:hAnsi="Verdana"/>
          <w:sz w:val="20"/>
          <w:szCs w:val="20"/>
          <w:lang w:val="es-ES_tradnl"/>
        </w:rPr>
        <w:t>serán</w:t>
      </w:r>
      <w:r w:rsidRPr="00B5619F">
        <w:rPr>
          <w:rFonts w:ascii="Verdana" w:hAnsi="Verdana"/>
          <w:sz w:val="20"/>
          <w:szCs w:val="20"/>
          <w:lang w:val="es-ES_tradnl"/>
        </w:rPr>
        <w:t xml:space="preserve"> </w:t>
      </w:r>
      <w:r w:rsidR="001771C2" w:rsidRPr="00B5619F">
        <w:rPr>
          <w:rFonts w:ascii="Verdana" w:hAnsi="Verdana"/>
          <w:sz w:val="20"/>
          <w:szCs w:val="20"/>
          <w:lang w:val="es-ES_tradnl"/>
        </w:rPr>
        <w:t>rendidas ante fedatario público (</w:t>
      </w:r>
      <w:r w:rsidR="001771C2" w:rsidRPr="00B5619F">
        <w:rPr>
          <w:rFonts w:ascii="Verdana" w:hAnsi="Verdana"/>
          <w:i/>
          <w:sz w:val="20"/>
          <w:szCs w:val="20"/>
          <w:lang w:val="es-ES_tradnl"/>
        </w:rPr>
        <w:t>affidávit</w:t>
      </w:r>
      <w:r w:rsidR="001771C2" w:rsidRPr="00B5619F">
        <w:rPr>
          <w:rFonts w:ascii="Verdana" w:hAnsi="Verdana"/>
          <w:sz w:val="20"/>
          <w:szCs w:val="20"/>
          <w:lang w:val="es-ES_tradnl"/>
        </w:rPr>
        <w:t>)</w:t>
      </w:r>
      <w:r w:rsidRPr="00B5619F">
        <w:rPr>
          <w:rFonts w:ascii="Verdana" w:hAnsi="Verdana"/>
          <w:sz w:val="20"/>
          <w:szCs w:val="20"/>
          <w:lang w:val="es-ES_tradnl"/>
        </w:rPr>
        <w:t xml:space="preserve">, de conformidad </w:t>
      </w:r>
      <w:r w:rsidR="00C029ED" w:rsidRPr="00B5619F">
        <w:rPr>
          <w:rFonts w:ascii="Verdana" w:hAnsi="Verdana"/>
          <w:sz w:val="20"/>
          <w:szCs w:val="20"/>
          <w:lang w:val="es-ES_tradnl"/>
        </w:rPr>
        <w:t>con</w:t>
      </w:r>
      <w:r w:rsidRPr="00B5619F">
        <w:rPr>
          <w:rFonts w:ascii="Verdana" w:hAnsi="Verdana"/>
          <w:sz w:val="20"/>
          <w:szCs w:val="20"/>
          <w:lang w:val="es-ES_tradnl"/>
        </w:rPr>
        <w:t xml:space="preserve"> lo que se indica en la parte resolutiva</w:t>
      </w:r>
      <w:r w:rsidR="00F32DEF">
        <w:rPr>
          <w:rFonts w:ascii="Verdana" w:hAnsi="Verdana"/>
          <w:sz w:val="20"/>
          <w:szCs w:val="20"/>
          <w:lang w:val="es-ES_tradnl"/>
        </w:rPr>
        <w:t xml:space="preserve"> (</w:t>
      </w:r>
      <w:r w:rsidR="00F32DEF">
        <w:rPr>
          <w:rFonts w:ascii="Verdana" w:hAnsi="Verdana"/>
          <w:i/>
          <w:sz w:val="20"/>
          <w:szCs w:val="20"/>
          <w:lang w:val="es-ES_tradnl"/>
        </w:rPr>
        <w:t xml:space="preserve">infra </w:t>
      </w:r>
      <w:r w:rsidR="00F32DEF">
        <w:rPr>
          <w:rFonts w:ascii="Verdana" w:hAnsi="Verdana"/>
          <w:sz w:val="20"/>
          <w:szCs w:val="20"/>
          <w:lang w:val="es-ES_tradnl"/>
        </w:rPr>
        <w:t xml:space="preserve">punto resolutivo </w:t>
      </w:r>
      <w:r w:rsidR="008437FA">
        <w:rPr>
          <w:rFonts w:ascii="Verdana" w:hAnsi="Verdana"/>
          <w:sz w:val="20"/>
          <w:szCs w:val="20"/>
          <w:lang w:val="es-ES_tradnl"/>
        </w:rPr>
        <w:t>2</w:t>
      </w:r>
      <w:r w:rsidR="00F32DEF">
        <w:rPr>
          <w:rFonts w:ascii="Verdana" w:hAnsi="Verdana"/>
          <w:sz w:val="20"/>
          <w:szCs w:val="20"/>
          <w:lang w:val="es-ES_tradnl"/>
        </w:rPr>
        <w:t>)</w:t>
      </w:r>
      <w:r w:rsidRPr="00B5619F">
        <w:rPr>
          <w:rFonts w:ascii="Verdana" w:hAnsi="Verdana"/>
          <w:sz w:val="20"/>
          <w:szCs w:val="20"/>
          <w:lang w:val="es-ES_tradnl"/>
        </w:rPr>
        <w:t>.</w:t>
      </w:r>
    </w:p>
    <w:p w14:paraId="12A7967A" w14:textId="77777777" w:rsidR="00DF7CAC" w:rsidRPr="00F32DEF" w:rsidRDefault="00DF7CAC" w:rsidP="005562D7">
      <w:pPr>
        <w:pStyle w:val="Prrafodelista"/>
        <w:widowControl w:val="0"/>
        <w:autoSpaceDE w:val="0"/>
        <w:autoSpaceDN w:val="0"/>
        <w:adjustRightInd w:val="0"/>
        <w:ind w:left="0" w:right="22"/>
        <w:jc w:val="both"/>
        <w:rPr>
          <w:rFonts w:ascii="Verdana" w:hAnsi="Verdana"/>
          <w:bCs/>
          <w:iCs/>
          <w:color w:val="auto"/>
          <w:sz w:val="20"/>
          <w:szCs w:val="20"/>
          <w:lang w:val="es-ES_tradnl"/>
        </w:rPr>
      </w:pPr>
    </w:p>
    <w:p w14:paraId="54ADCE16" w14:textId="7E17ED77" w:rsidR="00B71D5C" w:rsidRDefault="00925847" w:rsidP="005562D7">
      <w:pPr>
        <w:spacing w:after="0"/>
        <w:ind w:left="567"/>
        <w:contextualSpacing/>
        <w:rPr>
          <w:b/>
          <w:i/>
          <w:szCs w:val="20"/>
        </w:rPr>
      </w:pPr>
      <w:r w:rsidRPr="00620FD2">
        <w:rPr>
          <w:b/>
          <w:i/>
          <w:szCs w:val="20"/>
        </w:rPr>
        <w:t>B</w:t>
      </w:r>
      <w:r w:rsidR="00620FD2" w:rsidRPr="00620FD2">
        <w:rPr>
          <w:b/>
          <w:i/>
          <w:szCs w:val="20"/>
        </w:rPr>
        <w:t>.</w:t>
      </w:r>
      <w:r w:rsidR="00B71D5C">
        <w:rPr>
          <w:b/>
          <w:i/>
          <w:szCs w:val="20"/>
        </w:rPr>
        <w:t xml:space="preserve"> Sobre la procedencia y modalidad de las declaraciones de presuntas víctimas</w:t>
      </w:r>
      <w:r w:rsidRPr="00620FD2">
        <w:rPr>
          <w:b/>
          <w:i/>
          <w:szCs w:val="20"/>
        </w:rPr>
        <w:t xml:space="preserve"> </w:t>
      </w:r>
    </w:p>
    <w:p w14:paraId="03892E7E" w14:textId="77777777" w:rsidR="00B71D5C" w:rsidRDefault="00B71D5C" w:rsidP="00B71D5C">
      <w:pPr>
        <w:spacing w:after="0"/>
        <w:contextualSpacing/>
        <w:rPr>
          <w:b/>
          <w:i/>
          <w:szCs w:val="20"/>
        </w:rPr>
      </w:pPr>
    </w:p>
    <w:p w14:paraId="0BCCF7EC" w14:textId="585EC96E" w:rsidR="004B6A28" w:rsidRPr="004B6A28" w:rsidRDefault="001163D4" w:rsidP="00FC370A">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L</w:t>
      </w:r>
      <w:r w:rsidRPr="00F00B82">
        <w:rPr>
          <w:rFonts w:ascii="Verdana" w:hAnsi="Verdana"/>
          <w:color w:val="auto"/>
          <w:sz w:val="20"/>
          <w:szCs w:val="20"/>
          <w:lang w:val="es-CR"/>
        </w:rPr>
        <w:t xml:space="preserve">os </w:t>
      </w:r>
      <w:r w:rsidRPr="008634FF">
        <w:rPr>
          <w:rFonts w:ascii="Verdana" w:hAnsi="Verdana"/>
          <w:b/>
          <w:i/>
          <w:color w:val="auto"/>
          <w:sz w:val="20"/>
          <w:szCs w:val="20"/>
          <w:lang w:val="es-CR"/>
        </w:rPr>
        <w:t>representantes</w:t>
      </w:r>
      <w:r w:rsidRPr="00F00B82">
        <w:rPr>
          <w:rFonts w:ascii="Verdana" w:hAnsi="Verdana"/>
          <w:color w:val="auto"/>
          <w:sz w:val="20"/>
          <w:szCs w:val="20"/>
          <w:lang w:val="es-CR"/>
        </w:rPr>
        <w:t xml:space="preserve">, </w:t>
      </w:r>
      <w:r w:rsidR="00FC370A">
        <w:rPr>
          <w:rFonts w:ascii="Verdana" w:hAnsi="Verdana"/>
          <w:color w:val="auto"/>
          <w:sz w:val="20"/>
          <w:szCs w:val="20"/>
          <w:lang w:val="es-CR"/>
        </w:rPr>
        <w:t xml:space="preserve">en su escrito de solicitudes y argumentos, ofrecieron la declaración de las siguientes </w:t>
      </w:r>
      <w:r w:rsidR="001B1670">
        <w:rPr>
          <w:rFonts w:ascii="Verdana" w:hAnsi="Verdana"/>
          <w:color w:val="auto"/>
          <w:sz w:val="20"/>
          <w:szCs w:val="20"/>
          <w:lang w:val="es-CR"/>
        </w:rPr>
        <w:t xml:space="preserve">siete </w:t>
      </w:r>
      <w:r w:rsidR="00FC370A">
        <w:rPr>
          <w:rFonts w:ascii="Verdana" w:hAnsi="Verdana"/>
          <w:color w:val="auto"/>
          <w:sz w:val="20"/>
          <w:szCs w:val="20"/>
          <w:lang w:val="es-CR"/>
        </w:rPr>
        <w:t>presuntas víctimas</w:t>
      </w:r>
      <w:r w:rsidR="001B1670">
        <w:rPr>
          <w:rFonts w:ascii="Verdana" w:hAnsi="Verdana"/>
          <w:color w:val="auto"/>
          <w:sz w:val="20"/>
          <w:szCs w:val="20"/>
          <w:lang w:val="es-CR"/>
        </w:rPr>
        <w:t>, todos ellos familiares de Jimmy Guerrero</w:t>
      </w:r>
      <w:r w:rsidR="00FC370A">
        <w:rPr>
          <w:rFonts w:ascii="Verdana" w:hAnsi="Verdana"/>
          <w:color w:val="auto"/>
          <w:sz w:val="20"/>
          <w:szCs w:val="20"/>
          <w:lang w:val="es-CR"/>
        </w:rPr>
        <w:t>:</w:t>
      </w:r>
      <w:r w:rsidR="00FC370A" w:rsidRPr="00FC370A">
        <w:rPr>
          <w:rFonts w:ascii="Verdana" w:hAnsi="Verdana"/>
          <w:color w:val="auto"/>
          <w:sz w:val="20"/>
          <w:szCs w:val="20"/>
          <w:lang w:val="es-CR"/>
        </w:rPr>
        <w:t xml:space="preserve"> </w:t>
      </w:r>
      <w:r w:rsidR="00FC370A" w:rsidRPr="00FC370A">
        <w:rPr>
          <w:rFonts w:ascii="Verdana" w:hAnsi="Verdana"/>
          <w:sz w:val="20"/>
          <w:szCs w:val="20"/>
          <w:lang w:val="es-CR"/>
        </w:rPr>
        <w:t xml:space="preserve">Jean Carlos Guerrero; Nieves Guerrero; Emilia Coromoto Meléndez; Yarelis Guerrero; Franklin Guerrero; </w:t>
      </w:r>
      <w:proofErr w:type="spellStart"/>
      <w:r w:rsidR="00FC370A" w:rsidRPr="00FC370A">
        <w:rPr>
          <w:rFonts w:ascii="Verdana" w:hAnsi="Verdana"/>
          <w:sz w:val="20"/>
          <w:szCs w:val="20"/>
          <w:lang w:val="es-CR"/>
        </w:rPr>
        <w:t>Jiannibeth</w:t>
      </w:r>
      <w:proofErr w:type="spellEnd"/>
      <w:r w:rsidR="00FC370A" w:rsidRPr="00FC370A">
        <w:rPr>
          <w:rFonts w:ascii="Verdana" w:hAnsi="Verdana"/>
          <w:sz w:val="20"/>
          <w:szCs w:val="20"/>
          <w:lang w:val="es-CR"/>
        </w:rPr>
        <w:t xml:space="preserve"> </w:t>
      </w:r>
      <w:proofErr w:type="spellStart"/>
      <w:r w:rsidR="00FC370A" w:rsidRPr="00FC370A">
        <w:rPr>
          <w:rFonts w:ascii="Verdana" w:hAnsi="Verdana"/>
          <w:sz w:val="20"/>
          <w:szCs w:val="20"/>
          <w:lang w:val="es-CR"/>
        </w:rPr>
        <w:t>Stephanny</w:t>
      </w:r>
      <w:proofErr w:type="spellEnd"/>
      <w:r w:rsidR="00FC370A" w:rsidRPr="00FC370A">
        <w:rPr>
          <w:rFonts w:ascii="Verdana" w:hAnsi="Verdana"/>
          <w:sz w:val="20"/>
          <w:szCs w:val="20"/>
          <w:lang w:val="es-CR"/>
        </w:rPr>
        <w:t xml:space="preserve"> Guerrero Colina</w:t>
      </w:r>
      <w:r w:rsidR="007770C9">
        <w:rPr>
          <w:rFonts w:ascii="Verdana" w:hAnsi="Verdana"/>
          <w:sz w:val="20"/>
          <w:szCs w:val="20"/>
          <w:lang w:val="es-CR"/>
        </w:rPr>
        <w:t>, y</w:t>
      </w:r>
      <w:r w:rsidR="00FC370A" w:rsidRPr="00FC370A">
        <w:rPr>
          <w:rFonts w:ascii="Verdana" w:hAnsi="Verdana"/>
          <w:sz w:val="20"/>
          <w:szCs w:val="20"/>
          <w:lang w:val="es-CR"/>
        </w:rPr>
        <w:t xml:space="preserve"> </w:t>
      </w:r>
      <w:proofErr w:type="spellStart"/>
      <w:r w:rsidR="00FC370A" w:rsidRPr="00FC370A">
        <w:rPr>
          <w:rFonts w:ascii="Verdana" w:hAnsi="Verdana"/>
          <w:sz w:val="20"/>
          <w:szCs w:val="20"/>
          <w:lang w:val="es-CR"/>
        </w:rPr>
        <w:t>Fraily</w:t>
      </w:r>
      <w:proofErr w:type="spellEnd"/>
      <w:r w:rsidR="00FC370A" w:rsidRPr="00FC370A">
        <w:rPr>
          <w:rFonts w:ascii="Verdana" w:hAnsi="Verdana"/>
          <w:sz w:val="20"/>
          <w:szCs w:val="20"/>
          <w:lang w:val="es-CR"/>
        </w:rPr>
        <w:t xml:space="preserve"> Guerrero</w:t>
      </w:r>
      <w:r w:rsidR="007770C9">
        <w:rPr>
          <w:rFonts w:ascii="Verdana" w:hAnsi="Verdana"/>
          <w:sz w:val="20"/>
          <w:szCs w:val="20"/>
          <w:lang w:val="es-CR"/>
        </w:rPr>
        <w:t>.</w:t>
      </w:r>
      <w:r w:rsidR="00FC370A" w:rsidRPr="00FC370A">
        <w:rPr>
          <w:rFonts w:ascii="Verdana" w:hAnsi="Verdana"/>
          <w:sz w:val="20"/>
          <w:szCs w:val="20"/>
          <w:lang w:val="es-CR"/>
        </w:rPr>
        <w:t xml:space="preserve"> </w:t>
      </w:r>
      <w:r w:rsidR="00FC370A">
        <w:rPr>
          <w:rFonts w:ascii="Verdana" w:hAnsi="Verdana"/>
          <w:sz w:val="20"/>
          <w:szCs w:val="20"/>
          <w:lang w:val="es-CR"/>
        </w:rPr>
        <w:t>Propusieron que las</w:t>
      </w:r>
      <w:r w:rsidR="007770C9">
        <w:rPr>
          <w:rFonts w:ascii="Verdana" w:hAnsi="Verdana"/>
          <w:sz w:val="20"/>
          <w:szCs w:val="20"/>
          <w:lang w:val="es-CR"/>
        </w:rPr>
        <w:t xml:space="preserve"> personas referidas</w:t>
      </w:r>
      <w:r w:rsidR="00FC370A">
        <w:rPr>
          <w:rFonts w:ascii="Verdana" w:hAnsi="Verdana"/>
          <w:sz w:val="20"/>
          <w:szCs w:val="20"/>
          <w:lang w:val="es-CR"/>
        </w:rPr>
        <w:t xml:space="preserve"> declaren sobre:</w:t>
      </w:r>
    </w:p>
    <w:p w14:paraId="7D2C075B" w14:textId="77777777" w:rsidR="004B6A28" w:rsidRDefault="004B6A28" w:rsidP="004B6A28">
      <w:pPr>
        <w:pStyle w:val="Prrafodelista"/>
        <w:widowControl w:val="0"/>
        <w:tabs>
          <w:tab w:val="left" w:pos="567"/>
        </w:tabs>
        <w:autoSpaceDE w:val="0"/>
        <w:autoSpaceDN w:val="0"/>
        <w:adjustRightInd w:val="0"/>
        <w:ind w:left="0" w:right="22"/>
        <w:jc w:val="both"/>
        <w:rPr>
          <w:rFonts w:ascii="Verdana" w:hAnsi="Verdana"/>
          <w:sz w:val="20"/>
          <w:szCs w:val="20"/>
          <w:lang w:val="es-CR"/>
        </w:rPr>
      </w:pPr>
    </w:p>
    <w:p w14:paraId="64982740" w14:textId="0DA96C60" w:rsidR="004B6A28" w:rsidRPr="004B6A28" w:rsidRDefault="004B6A28" w:rsidP="004B6A28">
      <w:pPr>
        <w:pStyle w:val="Prrafodelista"/>
        <w:widowControl w:val="0"/>
        <w:numPr>
          <w:ilvl w:val="0"/>
          <w:numId w:val="44"/>
        </w:numPr>
        <w:tabs>
          <w:tab w:val="left" w:pos="567"/>
        </w:tabs>
        <w:autoSpaceDE w:val="0"/>
        <w:autoSpaceDN w:val="0"/>
        <w:adjustRightInd w:val="0"/>
        <w:ind w:left="284" w:right="332" w:firstLine="0"/>
        <w:jc w:val="both"/>
        <w:rPr>
          <w:rFonts w:ascii="Verdana" w:hAnsi="Verdana"/>
          <w:color w:val="auto"/>
          <w:sz w:val="16"/>
          <w:szCs w:val="16"/>
          <w:lang w:val="es-CR"/>
        </w:rPr>
      </w:pPr>
      <w:r w:rsidRPr="004B6A28">
        <w:rPr>
          <w:rFonts w:ascii="Verdana" w:hAnsi="Verdana"/>
          <w:sz w:val="16"/>
          <w:szCs w:val="16"/>
          <w:lang w:val="es-CR"/>
        </w:rPr>
        <w:t xml:space="preserve">las amenazas, hostigamiento y detenciones a […] Jimmy Guerrero; </w:t>
      </w:r>
      <w:proofErr w:type="spellStart"/>
      <w:r w:rsidRPr="004B6A28">
        <w:rPr>
          <w:rFonts w:ascii="Verdana" w:hAnsi="Verdana"/>
          <w:sz w:val="16"/>
          <w:szCs w:val="16"/>
          <w:lang w:val="es-CR"/>
        </w:rPr>
        <w:t>ii</w:t>
      </w:r>
      <w:proofErr w:type="spellEnd"/>
      <w:r w:rsidRPr="004B6A28">
        <w:rPr>
          <w:rFonts w:ascii="Verdana" w:hAnsi="Verdana"/>
          <w:sz w:val="16"/>
          <w:szCs w:val="16"/>
          <w:lang w:val="es-CR"/>
        </w:rPr>
        <w:t xml:space="preserve">) los hechos </w:t>
      </w:r>
      <w:r w:rsidR="00A326E3">
        <w:rPr>
          <w:rFonts w:ascii="Verdana" w:hAnsi="Verdana"/>
          <w:sz w:val="16"/>
          <w:szCs w:val="16"/>
          <w:lang w:val="es-CR"/>
        </w:rPr>
        <w:t>[en]</w:t>
      </w:r>
      <w:r w:rsidRPr="004B6A28">
        <w:rPr>
          <w:rFonts w:ascii="Verdana" w:hAnsi="Verdana"/>
          <w:sz w:val="16"/>
          <w:szCs w:val="16"/>
          <w:lang w:val="es-CR"/>
        </w:rPr>
        <w:t xml:space="preserve"> los que se dio muerte a Jimmy Guerrero y Ramón Molina; </w:t>
      </w:r>
      <w:proofErr w:type="spellStart"/>
      <w:r w:rsidRPr="004B6A28">
        <w:rPr>
          <w:rFonts w:ascii="Verdana" w:hAnsi="Verdana"/>
          <w:sz w:val="16"/>
          <w:szCs w:val="16"/>
          <w:lang w:val="es-CR"/>
        </w:rPr>
        <w:t>iii</w:t>
      </w:r>
      <w:proofErr w:type="spellEnd"/>
      <w:r w:rsidRPr="004B6A28">
        <w:rPr>
          <w:rFonts w:ascii="Verdana" w:hAnsi="Verdana"/>
          <w:sz w:val="16"/>
          <w:szCs w:val="16"/>
          <w:lang w:val="es-CR"/>
        </w:rPr>
        <w:t xml:space="preserve">) las gestiones realizadas por [la persona que sería llamada a declarar] y sus familiares para la búsqueda de justicia y la impunidad en la que hasta la fecha se mantienen los hechos; </w:t>
      </w:r>
      <w:proofErr w:type="spellStart"/>
      <w:r w:rsidRPr="004B6A28">
        <w:rPr>
          <w:rFonts w:ascii="Verdana" w:hAnsi="Verdana"/>
          <w:sz w:val="16"/>
          <w:szCs w:val="16"/>
          <w:lang w:val="es-CR"/>
        </w:rPr>
        <w:t>iv</w:t>
      </w:r>
      <w:proofErr w:type="spellEnd"/>
      <w:r w:rsidRPr="004B6A28">
        <w:rPr>
          <w:rFonts w:ascii="Verdana" w:hAnsi="Verdana"/>
          <w:sz w:val="16"/>
          <w:szCs w:val="16"/>
          <w:lang w:val="es-CR"/>
        </w:rPr>
        <w:t>) las amenazas por parte de policías que […] obligaron [a la persona que sería llamada a declarar] a abandonar Venezuela; v) las secuelas emocionales y físicas que [la persona que sería llamada a declarar] ha sufrido como consecuencia de los hechos y la impunidad en la que permanecen y las afectaciones a su proyecto de vida y el de su familia, y vi) posibles medidas de reparación</w:t>
      </w:r>
      <w:r>
        <w:rPr>
          <w:rFonts w:ascii="Verdana" w:hAnsi="Verdana"/>
          <w:sz w:val="16"/>
          <w:szCs w:val="16"/>
          <w:lang w:val="es-CR"/>
        </w:rPr>
        <w:t>.</w:t>
      </w:r>
    </w:p>
    <w:p w14:paraId="28C9E663" w14:textId="77777777" w:rsidR="004B6A28" w:rsidRDefault="004B6A28" w:rsidP="004B6A28">
      <w:pPr>
        <w:pStyle w:val="Prrafodelista"/>
        <w:widowControl w:val="0"/>
        <w:tabs>
          <w:tab w:val="left" w:pos="567"/>
        </w:tabs>
        <w:autoSpaceDE w:val="0"/>
        <w:autoSpaceDN w:val="0"/>
        <w:adjustRightInd w:val="0"/>
        <w:ind w:left="0" w:right="22"/>
        <w:jc w:val="both"/>
        <w:rPr>
          <w:rFonts w:ascii="Verdana" w:hAnsi="Verdana"/>
          <w:color w:val="auto"/>
          <w:sz w:val="20"/>
          <w:szCs w:val="20"/>
          <w:lang w:val="es-CR"/>
        </w:rPr>
      </w:pPr>
    </w:p>
    <w:p w14:paraId="3F32F4E8" w14:textId="100345D5" w:rsidR="004B6A28" w:rsidRPr="004B6A28" w:rsidRDefault="004B6A28" w:rsidP="00FC370A">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sz w:val="20"/>
          <w:szCs w:val="20"/>
          <w:lang w:val="es-CR"/>
        </w:rPr>
        <w:t>Los representantes también propusieron</w:t>
      </w:r>
      <w:r w:rsidR="007770C9">
        <w:rPr>
          <w:rFonts w:ascii="Verdana" w:hAnsi="Verdana"/>
          <w:sz w:val="20"/>
          <w:szCs w:val="20"/>
          <w:lang w:val="es-CR"/>
        </w:rPr>
        <w:t>, en la misma oportunidad,</w:t>
      </w:r>
      <w:r>
        <w:rPr>
          <w:rFonts w:ascii="Verdana" w:hAnsi="Verdana"/>
          <w:sz w:val="20"/>
          <w:szCs w:val="20"/>
          <w:lang w:val="es-CR"/>
        </w:rPr>
        <w:t xml:space="preserve"> la declaración de la presunta víctima </w:t>
      </w:r>
      <w:proofErr w:type="spellStart"/>
      <w:r w:rsidRPr="004B6A28">
        <w:rPr>
          <w:rFonts w:ascii="Verdana" w:hAnsi="Verdana"/>
          <w:sz w:val="20"/>
          <w:szCs w:val="20"/>
          <w:lang w:val="es-CR"/>
        </w:rPr>
        <w:t>Soleida</w:t>
      </w:r>
      <w:proofErr w:type="spellEnd"/>
      <w:r w:rsidRPr="004B6A28">
        <w:rPr>
          <w:rFonts w:ascii="Verdana" w:hAnsi="Verdana"/>
          <w:sz w:val="20"/>
          <w:szCs w:val="20"/>
          <w:lang w:val="es-CR"/>
        </w:rPr>
        <w:t xml:space="preserve"> Morillo</w:t>
      </w:r>
      <w:r>
        <w:rPr>
          <w:rFonts w:ascii="Verdana" w:hAnsi="Verdana"/>
          <w:sz w:val="20"/>
          <w:szCs w:val="20"/>
          <w:lang w:val="es-CR"/>
        </w:rPr>
        <w:t xml:space="preserve">, para que declare sobre: </w:t>
      </w:r>
    </w:p>
    <w:p w14:paraId="543CC4D9" w14:textId="77777777" w:rsidR="004B6A28" w:rsidRDefault="004B6A28" w:rsidP="004B6A28">
      <w:pPr>
        <w:pStyle w:val="Prrafodelista"/>
        <w:widowControl w:val="0"/>
        <w:tabs>
          <w:tab w:val="left" w:pos="567"/>
        </w:tabs>
        <w:autoSpaceDE w:val="0"/>
        <w:autoSpaceDN w:val="0"/>
        <w:adjustRightInd w:val="0"/>
        <w:ind w:left="0" w:right="22"/>
        <w:jc w:val="both"/>
        <w:rPr>
          <w:rFonts w:ascii="Verdana" w:hAnsi="Verdana"/>
          <w:sz w:val="20"/>
          <w:szCs w:val="20"/>
          <w:lang w:val="es-CR"/>
        </w:rPr>
      </w:pPr>
    </w:p>
    <w:p w14:paraId="3A58A70D" w14:textId="3E988BFA" w:rsidR="004B6A28" w:rsidRPr="004B6A28" w:rsidRDefault="004B6A28" w:rsidP="004B6A28">
      <w:pPr>
        <w:pStyle w:val="Prrafodelista"/>
        <w:widowControl w:val="0"/>
        <w:numPr>
          <w:ilvl w:val="0"/>
          <w:numId w:val="46"/>
        </w:numPr>
        <w:tabs>
          <w:tab w:val="left" w:pos="567"/>
        </w:tabs>
        <w:autoSpaceDE w:val="0"/>
        <w:autoSpaceDN w:val="0"/>
        <w:adjustRightInd w:val="0"/>
        <w:ind w:left="284" w:right="22" w:firstLine="0"/>
        <w:jc w:val="both"/>
        <w:rPr>
          <w:rFonts w:ascii="Verdana" w:hAnsi="Verdana"/>
          <w:sz w:val="16"/>
          <w:szCs w:val="16"/>
          <w:lang w:val="es-CR"/>
        </w:rPr>
      </w:pPr>
      <w:r w:rsidRPr="004B6A28">
        <w:rPr>
          <w:rFonts w:ascii="Verdana" w:hAnsi="Verdana"/>
          <w:sz w:val="16"/>
          <w:szCs w:val="16"/>
          <w:lang w:val="es-CR"/>
        </w:rPr>
        <w:t xml:space="preserve">El impacto que tuvo en su vida y la de sus hijos la ejecución extrajudicial de su esposo; </w:t>
      </w:r>
      <w:proofErr w:type="spellStart"/>
      <w:r w:rsidRPr="004B6A28">
        <w:rPr>
          <w:rFonts w:ascii="Verdana" w:hAnsi="Verdana"/>
          <w:sz w:val="16"/>
          <w:szCs w:val="16"/>
          <w:lang w:val="es-CR"/>
        </w:rPr>
        <w:t>ii</w:t>
      </w:r>
      <w:proofErr w:type="spellEnd"/>
      <w:r w:rsidRPr="004B6A28">
        <w:rPr>
          <w:rFonts w:ascii="Verdana" w:hAnsi="Verdana"/>
          <w:sz w:val="16"/>
          <w:szCs w:val="16"/>
          <w:lang w:val="es-CR"/>
        </w:rPr>
        <w:t xml:space="preserve">) la obstaculización deliberada de las autoridades policiales y judiciales en su búsqueda por la verdad acerca de la ejecución extrajudicial de su padre (sic); </w:t>
      </w:r>
      <w:proofErr w:type="spellStart"/>
      <w:r w:rsidRPr="004B6A28">
        <w:rPr>
          <w:rFonts w:ascii="Verdana" w:hAnsi="Verdana"/>
          <w:sz w:val="16"/>
          <w:szCs w:val="16"/>
          <w:lang w:val="es-CR"/>
        </w:rPr>
        <w:t>iii</w:t>
      </w:r>
      <w:proofErr w:type="spellEnd"/>
      <w:r w:rsidRPr="004B6A28">
        <w:rPr>
          <w:rFonts w:ascii="Verdana" w:hAnsi="Verdana"/>
          <w:sz w:val="16"/>
          <w:szCs w:val="16"/>
          <w:lang w:val="es-CR"/>
        </w:rPr>
        <w:t xml:space="preserve">) las secuelas emocionales y físicas que hay sufrido como consecuencia de los hechos, de la búsqueda de justicia llevada adelante por su familia; </w:t>
      </w:r>
      <w:proofErr w:type="spellStart"/>
      <w:r w:rsidRPr="004B6A28">
        <w:rPr>
          <w:rFonts w:ascii="Verdana" w:hAnsi="Verdana"/>
          <w:sz w:val="16"/>
          <w:szCs w:val="16"/>
          <w:lang w:val="es-CR"/>
        </w:rPr>
        <w:t>iv</w:t>
      </w:r>
      <w:proofErr w:type="spellEnd"/>
      <w:r w:rsidRPr="004B6A28">
        <w:rPr>
          <w:rFonts w:ascii="Verdana" w:hAnsi="Verdana"/>
          <w:sz w:val="16"/>
          <w:szCs w:val="16"/>
          <w:lang w:val="es-CR"/>
        </w:rPr>
        <w:t xml:space="preserve">) las afectaciones a su proyecto de vida y el de su familia, y v) posibles medidas de reparación.  </w:t>
      </w:r>
    </w:p>
    <w:p w14:paraId="2157B030" w14:textId="7814FAC9" w:rsidR="004B6A28" w:rsidRDefault="004B6A28" w:rsidP="004B6A28">
      <w:pPr>
        <w:pStyle w:val="Prrafodelista"/>
        <w:widowControl w:val="0"/>
        <w:tabs>
          <w:tab w:val="left" w:pos="2145"/>
        </w:tabs>
        <w:autoSpaceDE w:val="0"/>
        <w:autoSpaceDN w:val="0"/>
        <w:adjustRightInd w:val="0"/>
        <w:ind w:left="0" w:right="22"/>
        <w:jc w:val="both"/>
        <w:rPr>
          <w:rFonts w:ascii="Verdana" w:hAnsi="Verdana"/>
          <w:color w:val="auto"/>
          <w:sz w:val="20"/>
          <w:szCs w:val="20"/>
          <w:lang w:val="es-CR"/>
        </w:rPr>
      </w:pPr>
      <w:r>
        <w:rPr>
          <w:rFonts w:ascii="Verdana" w:hAnsi="Verdana"/>
          <w:color w:val="auto"/>
          <w:sz w:val="20"/>
          <w:szCs w:val="20"/>
          <w:lang w:val="es-CR"/>
        </w:rPr>
        <w:tab/>
      </w:r>
    </w:p>
    <w:p w14:paraId="4E224568" w14:textId="68223120" w:rsidR="001163D4" w:rsidRPr="004B6A28" w:rsidRDefault="007770C9" w:rsidP="00FC370A">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Por otra parte, si bien ya se ha resuelto no convocar a una audiencia pública en este caso (</w:t>
      </w:r>
      <w:r>
        <w:rPr>
          <w:rFonts w:ascii="Verdana" w:hAnsi="Verdana"/>
          <w:i/>
          <w:color w:val="auto"/>
          <w:sz w:val="20"/>
          <w:szCs w:val="20"/>
          <w:lang w:val="es-CR"/>
        </w:rPr>
        <w:t xml:space="preserve">supra </w:t>
      </w:r>
      <w:r>
        <w:rPr>
          <w:rFonts w:ascii="Verdana" w:hAnsi="Verdana"/>
          <w:color w:val="auto"/>
          <w:sz w:val="20"/>
          <w:szCs w:val="20"/>
          <w:lang w:val="es-CR"/>
        </w:rPr>
        <w:t xml:space="preserve">Considerando </w:t>
      </w:r>
      <w:r w:rsidR="008437FA">
        <w:rPr>
          <w:rFonts w:ascii="Verdana" w:hAnsi="Verdana"/>
          <w:color w:val="auto"/>
          <w:sz w:val="20"/>
          <w:szCs w:val="20"/>
          <w:lang w:val="es-CR"/>
        </w:rPr>
        <w:t>12</w:t>
      </w:r>
      <w:r>
        <w:rPr>
          <w:rFonts w:ascii="Verdana" w:hAnsi="Verdana"/>
          <w:color w:val="auto"/>
          <w:sz w:val="20"/>
          <w:szCs w:val="20"/>
          <w:lang w:val="es-CR"/>
        </w:rPr>
        <w:t>), es relevante tener en cuenta que e</w:t>
      </w:r>
      <w:r w:rsidR="001163D4" w:rsidRPr="004B6A28">
        <w:rPr>
          <w:rFonts w:ascii="Verdana" w:hAnsi="Verdana"/>
          <w:color w:val="auto"/>
          <w:sz w:val="20"/>
          <w:szCs w:val="20"/>
          <w:lang w:val="es-CR"/>
        </w:rPr>
        <w:t xml:space="preserve">l 22 de junio de 2020, al </w:t>
      </w:r>
      <w:r>
        <w:rPr>
          <w:rFonts w:ascii="Verdana" w:hAnsi="Verdana"/>
          <w:color w:val="auto"/>
          <w:sz w:val="20"/>
          <w:szCs w:val="20"/>
          <w:lang w:val="es-CR"/>
        </w:rPr>
        <w:t xml:space="preserve">presentar su lista definitiva de declarantes y </w:t>
      </w:r>
      <w:r w:rsidR="001163D4" w:rsidRPr="004B6A28">
        <w:rPr>
          <w:rFonts w:ascii="Verdana" w:hAnsi="Verdana"/>
          <w:color w:val="auto"/>
          <w:sz w:val="20"/>
          <w:szCs w:val="20"/>
          <w:lang w:val="es-CR"/>
        </w:rPr>
        <w:t xml:space="preserve">solicitar que se realice una audiencia pública, </w:t>
      </w:r>
      <w:r w:rsidR="004B6A28">
        <w:rPr>
          <w:rFonts w:ascii="Verdana" w:hAnsi="Verdana"/>
          <w:color w:val="auto"/>
          <w:sz w:val="20"/>
          <w:szCs w:val="20"/>
          <w:lang w:val="es-CR"/>
        </w:rPr>
        <w:t xml:space="preserve">los representantes </w:t>
      </w:r>
      <w:r w:rsidR="001163D4" w:rsidRPr="004B6A28">
        <w:rPr>
          <w:rFonts w:ascii="Verdana" w:hAnsi="Verdana"/>
          <w:color w:val="auto"/>
          <w:sz w:val="20"/>
          <w:szCs w:val="20"/>
          <w:lang w:val="es-CR"/>
        </w:rPr>
        <w:t xml:space="preserve">adujeron que </w:t>
      </w:r>
      <w:r>
        <w:rPr>
          <w:rFonts w:ascii="Verdana" w:hAnsi="Verdana"/>
          <w:color w:val="auto"/>
          <w:sz w:val="20"/>
          <w:szCs w:val="20"/>
          <w:lang w:val="es-CR"/>
        </w:rPr>
        <w:t xml:space="preserve">ésta </w:t>
      </w:r>
      <w:r w:rsidR="001163D4" w:rsidRPr="004B6A28">
        <w:rPr>
          <w:rFonts w:ascii="Verdana" w:hAnsi="Verdana"/>
          <w:sz w:val="20"/>
          <w:lang w:val="es-CR"/>
        </w:rPr>
        <w:t>sería “un espacio en sí mismo reparador” para las presuntas víctimas, y que es la voluntad de éstas poder “ser escuchad[a]s por primera vez por un Tribunal independiente y autónomo”.</w:t>
      </w:r>
      <w:r>
        <w:rPr>
          <w:rFonts w:ascii="Verdana" w:hAnsi="Verdana"/>
          <w:sz w:val="20"/>
          <w:lang w:val="es-CR"/>
        </w:rPr>
        <w:t xml:space="preserve"> </w:t>
      </w:r>
      <w:r w:rsidR="00D06F0D">
        <w:rPr>
          <w:rFonts w:ascii="Verdana" w:hAnsi="Verdana"/>
          <w:sz w:val="20"/>
          <w:lang w:val="es-CR"/>
        </w:rPr>
        <w:t>En tal sentido r</w:t>
      </w:r>
      <w:r>
        <w:rPr>
          <w:rFonts w:ascii="Verdana" w:hAnsi="Verdana"/>
          <w:sz w:val="20"/>
          <w:lang w:val="es-CR"/>
        </w:rPr>
        <w:t xml:space="preserve">equirieron que Jean Carlos Guerrero y </w:t>
      </w:r>
      <w:proofErr w:type="spellStart"/>
      <w:r>
        <w:rPr>
          <w:rFonts w:ascii="Verdana" w:hAnsi="Verdana"/>
          <w:sz w:val="20"/>
          <w:lang w:val="es-CR"/>
        </w:rPr>
        <w:t>Soleida</w:t>
      </w:r>
      <w:proofErr w:type="spellEnd"/>
      <w:r>
        <w:rPr>
          <w:rFonts w:ascii="Verdana" w:hAnsi="Verdana"/>
          <w:sz w:val="20"/>
          <w:lang w:val="es-CR"/>
        </w:rPr>
        <w:t xml:space="preserve"> Morillo presten declaración oral.</w:t>
      </w:r>
      <w:r w:rsidR="001163D4" w:rsidRPr="004B6A28">
        <w:rPr>
          <w:rFonts w:ascii="Verdana" w:hAnsi="Verdana"/>
          <w:sz w:val="20"/>
          <w:lang w:val="es-CR"/>
        </w:rPr>
        <w:t xml:space="preserve"> Si bien en esa oportunidad expresaron la imposibilidad de participar en una videoconferencia, luego, el 30 de julio de 2020, manifestaron su anuencia a ello</w:t>
      </w:r>
      <w:r w:rsidR="001163D4" w:rsidRPr="004B6A28">
        <w:rPr>
          <w:rFonts w:ascii="Verdana" w:hAnsi="Verdana"/>
          <w:b/>
          <w:sz w:val="20"/>
          <w:lang w:val="es-CR"/>
        </w:rPr>
        <w:t xml:space="preserve"> </w:t>
      </w:r>
      <w:r w:rsidR="001163D4" w:rsidRPr="004B6A28">
        <w:rPr>
          <w:rFonts w:ascii="Verdana" w:hAnsi="Verdana"/>
          <w:sz w:val="20"/>
          <w:lang w:val="es-CR"/>
        </w:rPr>
        <w:t>y formularon, de forma “alternativa”, en caso de que la Corte o su Presidencia determinen no convocar a una audiencia, una solicitud para que al menos dos presuntas víctimas</w:t>
      </w:r>
      <w:r>
        <w:rPr>
          <w:rFonts w:ascii="Verdana" w:hAnsi="Verdana"/>
          <w:sz w:val="20"/>
          <w:lang w:val="es-CR"/>
        </w:rPr>
        <w:t>, una por “cada grupo familiar de las [presuntas] víctimas fatales”,</w:t>
      </w:r>
      <w:r w:rsidR="001163D4" w:rsidRPr="004B6A28">
        <w:rPr>
          <w:rFonts w:ascii="Verdana" w:hAnsi="Verdana"/>
          <w:sz w:val="20"/>
          <w:lang w:val="es-CR"/>
        </w:rPr>
        <w:t xml:space="preserve"> puedan declarar oralmente.</w:t>
      </w:r>
    </w:p>
    <w:p w14:paraId="72C6C28B" w14:textId="77777777" w:rsidR="001163D4" w:rsidRDefault="001163D4" w:rsidP="001163D4">
      <w:pPr>
        <w:pStyle w:val="Prrafodelista"/>
        <w:widowControl w:val="0"/>
        <w:tabs>
          <w:tab w:val="left" w:pos="567"/>
        </w:tabs>
        <w:autoSpaceDE w:val="0"/>
        <w:autoSpaceDN w:val="0"/>
        <w:adjustRightInd w:val="0"/>
        <w:ind w:left="0" w:right="22"/>
        <w:jc w:val="both"/>
        <w:rPr>
          <w:rFonts w:ascii="Verdana" w:hAnsi="Verdana"/>
          <w:color w:val="auto"/>
          <w:sz w:val="20"/>
          <w:szCs w:val="20"/>
          <w:lang w:val="es-CR"/>
        </w:rPr>
      </w:pPr>
    </w:p>
    <w:p w14:paraId="7A4BB6EC" w14:textId="4ED0CC9E" w:rsidR="002A36CB" w:rsidRDefault="002A36CB" w:rsidP="008F778F">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 xml:space="preserve">El </w:t>
      </w:r>
      <w:r w:rsidRPr="00FC370A">
        <w:rPr>
          <w:rFonts w:ascii="Verdana" w:hAnsi="Verdana"/>
          <w:b/>
          <w:i/>
          <w:color w:val="auto"/>
          <w:sz w:val="20"/>
          <w:szCs w:val="20"/>
          <w:lang w:val="es-CR"/>
        </w:rPr>
        <w:t>E</w:t>
      </w:r>
      <w:r w:rsidR="008057FA" w:rsidRPr="00FC370A">
        <w:rPr>
          <w:rFonts w:ascii="Verdana" w:hAnsi="Verdana"/>
          <w:b/>
          <w:i/>
          <w:color w:val="auto"/>
          <w:sz w:val="20"/>
          <w:szCs w:val="20"/>
          <w:lang w:val="es-CR"/>
        </w:rPr>
        <w:t>stado</w:t>
      </w:r>
      <w:r w:rsidR="008057FA">
        <w:rPr>
          <w:rFonts w:ascii="Verdana" w:hAnsi="Verdana"/>
          <w:color w:val="auto"/>
          <w:sz w:val="20"/>
          <w:szCs w:val="20"/>
          <w:lang w:val="es-CR"/>
        </w:rPr>
        <w:t xml:space="preserve"> presentó “formal objeción” a que </w:t>
      </w:r>
      <w:r w:rsidR="00A147E2">
        <w:rPr>
          <w:rFonts w:ascii="Verdana" w:hAnsi="Verdana"/>
          <w:color w:val="auto"/>
          <w:sz w:val="20"/>
          <w:szCs w:val="20"/>
          <w:lang w:val="es-CR"/>
        </w:rPr>
        <w:t xml:space="preserve">se </w:t>
      </w:r>
      <w:r w:rsidR="008057FA">
        <w:rPr>
          <w:rFonts w:ascii="Verdana" w:hAnsi="Verdana"/>
          <w:color w:val="auto"/>
          <w:sz w:val="20"/>
          <w:szCs w:val="20"/>
          <w:lang w:val="es-CR"/>
        </w:rPr>
        <w:t xml:space="preserve">presten </w:t>
      </w:r>
      <w:r w:rsidR="00240E30">
        <w:rPr>
          <w:rFonts w:ascii="Verdana" w:hAnsi="Verdana"/>
          <w:color w:val="auto"/>
          <w:sz w:val="20"/>
          <w:szCs w:val="20"/>
          <w:lang w:val="es-CR"/>
        </w:rPr>
        <w:t xml:space="preserve">dichas </w:t>
      </w:r>
      <w:r w:rsidR="008057FA">
        <w:rPr>
          <w:rFonts w:ascii="Verdana" w:hAnsi="Verdana"/>
          <w:color w:val="auto"/>
          <w:sz w:val="20"/>
          <w:szCs w:val="20"/>
          <w:lang w:val="es-CR"/>
        </w:rPr>
        <w:t>declaraci</w:t>
      </w:r>
      <w:r w:rsidR="00240E30">
        <w:rPr>
          <w:rFonts w:ascii="Verdana" w:hAnsi="Verdana"/>
          <w:color w:val="auto"/>
          <w:sz w:val="20"/>
          <w:szCs w:val="20"/>
          <w:lang w:val="es-CR"/>
        </w:rPr>
        <w:t>o</w:t>
      </w:r>
      <w:r w:rsidR="008057FA">
        <w:rPr>
          <w:rFonts w:ascii="Verdana" w:hAnsi="Verdana"/>
          <w:color w:val="auto"/>
          <w:sz w:val="20"/>
          <w:szCs w:val="20"/>
          <w:lang w:val="es-CR"/>
        </w:rPr>
        <w:t>n</w:t>
      </w:r>
      <w:r w:rsidR="00240E30">
        <w:rPr>
          <w:rFonts w:ascii="Verdana" w:hAnsi="Verdana"/>
          <w:color w:val="auto"/>
          <w:sz w:val="20"/>
          <w:szCs w:val="20"/>
          <w:lang w:val="es-CR"/>
        </w:rPr>
        <w:t>es</w:t>
      </w:r>
      <w:r w:rsidR="00A326E3">
        <w:rPr>
          <w:rFonts w:ascii="Verdana" w:hAnsi="Verdana"/>
          <w:color w:val="auto"/>
          <w:sz w:val="20"/>
          <w:szCs w:val="20"/>
          <w:lang w:val="es-CR"/>
        </w:rPr>
        <w:t>,</w:t>
      </w:r>
      <w:r w:rsidR="008057FA">
        <w:rPr>
          <w:rFonts w:ascii="Verdana" w:hAnsi="Verdana"/>
          <w:color w:val="auto"/>
          <w:sz w:val="20"/>
          <w:szCs w:val="20"/>
          <w:lang w:val="es-CR"/>
        </w:rPr>
        <w:t xml:space="preserve"> </w:t>
      </w:r>
      <w:r w:rsidR="00240E30">
        <w:rPr>
          <w:rFonts w:ascii="Verdana" w:hAnsi="Verdana"/>
          <w:color w:val="auto"/>
          <w:sz w:val="20"/>
          <w:szCs w:val="20"/>
          <w:lang w:val="es-CR"/>
        </w:rPr>
        <w:t>en tanto</w:t>
      </w:r>
      <w:r w:rsidR="00A326E3">
        <w:rPr>
          <w:rFonts w:ascii="Verdana" w:hAnsi="Verdana"/>
          <w:color w:val="auto"/>
          <w:sz w:val="20"/>
          <w:szCs w:val="20"/>
          <w:lang w:val="es-CR"/>
        </w:rPr>
        <w:t>, conforme entendió,</w:t>
      </w:r>
      <w:r w:rsidR="008057FA">
        <w:rPr>
          <w:rFonts w:ascii="Verdana" w:hAnsi="Verdana"/>
          <w:color w:val="auto"/>
          <w:sz w:val="20"/>
          <w:szCs w:val="20"/>
          <w:lang w:val="es-CR"/>
        </w:rPr>
        <w:t xml:space="preserve"> “resultan impertinentes e innecesarias, visto el reconocimiento de responsabilidad realizado por el Estado</w:t>
      </w:r>
      <w:r w:rsidR="00D06F0D">
        <w:rPr>
          <w:rFonts w:ascii="Verdana" w:hAnsi="Verdana"/>
          <w:color w:val="auto"/>
          <w:sz w:val="20"/>
          <w:szCs w:val="20"/>
          <w:lang w:val="es-CR"/>
        </w:rPr>
        <w:t>”</w:t>
      </w:r>
      <w:r w:rsidR="00FC370A">
        <w:rPr>
          <w:rFonts w:ascii="Verdana" w:hAnsi="Verdana"/>
          <w:color w:val="auto"/>
          <w:sz w:val="20"/>
          <w:szCs w:val="20"/>
          <w:lang w:val="es-CR"/>
        </w:rPr>
        <w:t>. Venezuela señaló que, además, l</w:t>
      </w:r>
      <w:r w:rsidR="00340742">
        <w:rPr>
          <w:rFonts w:ascii="Verdana" w:hAnsi="Verdana"/>
          <w:color w:val="auto"/>
          <w:sz w:val="20"/>
          <w:szCs w:val="20"/>
          <w:lang w:val="es-CR"/>
        </w:rPr>
        <w:t>os</w:t>
      </w:r>
      <w:r w:rsidR="00FC370A">
        <w:rPr>
          <w:rFonts w:ascii="Verdana" w:hAnsi="Verdana"/>
          <w:color w:val="auto"/>
          <w:sz w:val="20"/>
          <w:szCs w:val="20"/>
          <w:lang w:val="es-CR"/>
        </w:rPr>
        <w:t xml:space="preserve"> objeto</w:t>
      </w:r>
      <w:r w:rsidR="00340742">
        <w:rPr>
          <w:rFonts w:ascii="Verdana" w:hAnsi="Verdana"/>
          <w:color w:val="auto"/>
          <w:sz w:val="20"/>
          <w:szCs w:val="20"/>
          <w:lang w:val="es-CR"/>
        </w:rPr>
        <w:t>s</w:t>
      </w:r>
      <w:r w:rsidR="00FC370A">
        <w:rPr>
          <w:rFonts w:ascii="Verdana" w:hAnsi="Verdana"/>
          <w:color w:val="auto"/>
          <w:sz w:val="20"/>
          <w:szCs w:val="20"/>
          <w:lang w:val="es-CR"/>
        </w:rPr>
        <w:t xml:space="preserve"> propuesto</w:t>
      </w:r>
      <w:r w:rsidR="00340742">
        <w:rPr>
          <w:rFonts w:ascii="Verdana" w:hAnsi="Verdana"/>
          <w:color w:val="auto"/>
          <w:sz w:val="20"/>
          <w:szCs w:val="20"/>
          <w:lang w:val="es-CR"/>
        </w:rPr>
        <w:t>s</w:t>
      </w:r>
      <w:r w:rsidR="00FC370A">
        <w:rPr>
          <w:rFonts w:ascii="Verdana" w:hAnsi="Verdana"/>
          <w:color w:val="auto"/>
          <w:sz w:val="20"/>
          <w:szCs w:val="20"/>
          <w:lang w:val="es-CR"/>
        </w:rPr>
        <w:t xml:space="preserve"> s</w:t>
      </w:r>
      <w:r w:rsidR="00340742">
        <w:rPr>
          <w:rFonts w:ascii="Verdana" w:hAnsi="Verdana"/>
          <w:color w:val="auto"/>
          <w:sz w:val="20"/>
          <w:szCs w:val="20"/>
          <w:lang w:val="es-CR"/>
        </w:rPr>
        <w:t>on</w:t>
      </w:r>
      <w:r w:rsidR="00FC370A">
        <w:rPr>
          <w:rFonts w:ascii="Verdana" w:hAnsi="Verdana"/>
          <w:color w:val="auto"/>
          <w:sz w:val="20"/>
          <w:szCs w:val="20"/>
          <w:lang w:val="es-CR"/>
        </w:rPr>
        <w:t xml:space="preserve"> similar</w:t>
      </w:r>
      <w:r w:rsidR="00340742">
        <w:rPr>
          <w:rFonts w:ascii="Verdana" w:hAnsi="Verdana"/>
          <w:color w:val="auto"/>
          <w:sz w:val="20"/>
          <w:szCs w:val="20"/>
          <w:lang w:val="es-CR"/>
        </w:rPr>
        <w:t>es</w:t>
      </w:r>
      <w:r w:rsidR="00FC370A">
        <w:rPr>
          <w:rFonts w:ascii="Verdana" w:hAnsi="Verdana"/>
          <w:color w:val="auto"/>
          <w:sz w:val="20"/>
          <w:szCs w:val="20"/>
          <w:lang w:val="es-CR"/>
        </w:rPr>
        <w:t xml:space="preserve"> entre sí, por lo que las mismas serían redundantes y contrarias a la economía procesa</w:t>
      </w:r>
      <w:r w:rsidR="00340742">
        <w:rPr>
          <w:rFonts w:ascii="Verdana" w:hAnsi="Verdana"/>
          <w:color w:val="auto"/>
          <w:sz w:val="20"/>
          <w:szCs w:val="20"/>
          <w:lang w:val="es-CR"/>
        </w:rPr>
        <w:t>l</w:t>
      </w:r>
      <w:r w:rsidR="00FC370A">
        <w:rPr>
          <w:rFonts w:ascii="Verdana" w:hAnsi="Verdana"/>
          <w:color w:val="auto"/>
          <w:sz w:val="20"/>
          <w:szCs w:val="20"/>
          <w:lang w:val="es-CR"/>
        </w:rPr>
        <w:t xml:space="preserve">. </w:t>
      </w:r>
      <w:r w:rsidR="007770C9">
        <w:rPr>
          <w:rFonts w:ascii="Verdana" w:hAnsi="Verdana"/>
          <w:color w:val="auto"/>
          <w:sz w:val="20"/>
          <w:szCs w:val="20"/>
          <w:lang w:val="es-CR"/>
        </w:rPr>
        <w:t>Debe dejarse sentado que, pese a haberle sido requerido, Venezuela no informó sobre facilidades técnicas para participar en una videoconferencia</w:t>
      </w:r>
      <w:r w:rsidR="00CF2BA6">
        <w:rPr>
          <w:rFonts w:ascii="Verdana" w:hAnsi="Verdana"/>
          <w:color w:val="auto"/>
          <w:sz w:val="20"/>
          <w:szCs w:val="20"/>
          <w:lang w:val="es-CR"/>
        </w:rPr>
        <w:t xml:space="preserve"> (</w:t>
      </w:r>
      <w:r w:rsidR="00CF2BA6">
        <w:rPr>
          <w:rFonts w:ascii="Verdana" w:hAnsi="Verdana"/>
          <w:i/>
          <w:color w:val="auto"/>
          <w:sz w:val="20"/>
          <w:szCs w:val="20"/>
          <w:lang w:val="es-CR"/>
        </w:rPr>
        <w:t xml:space="preserve">supra </w:t>
      </w:r>
      <w:r w:rsidR="00CF2BA6">
        <w:rPr>
          <w:rFonts w:ascii="Verdana" w:hAnsi="Verdana"/>
          <w:color w:val="auto"/>
          <w:sz w:val="20"/>
          <w:szCs w:val="20"/>
          <w:lang w:val="es-CR"/>
        </w:rPr>
        <w:t xml:space="preserve">Visto </w:t>
      </w:r>
      <w:r w:rsidR="008437FA">
        <w:rPr>
          <w:rFonts w:ascii="Verdana" w:hAnsi="Verdana"/>
          <w:color w:val="auto"/>
          <w:sz w:val="20"/>
          <w:szCs w:val="20"/>
          <w:lang w:val="es-CR"/>
        </w:rPr>
        <w:t>9</w:t>
      </w:r>
      <w:r w:rsidR="00CF2BA6">
        <w:rPr>
          <w:rFonts w:ascii="Verdana" w:hAnsi="Verdana"/>
          <w:color w:val="auto"/>
          <w:sz w:val="20"/>
          <w:szCs w:val="20"/>
          <w:lang w:val="es-CR"/>
        </w:rPr>
        <w:t>)</w:t>
      </w:r>
      <w:r w:rsidR="007770C9">
        <w:rPr>
          <w:rFonts w:ascii="Verdana" w:hAnsi="Verdana"/>
          <w:color w:val="auto"/>
          <w:sz w:val="20"/>
          <w:szCs w:val="20"/>
          <w:lang w:val="es-CR"/>
        </w:rPr>
        <w:t xml:space="preserve">. </w:t>
      </w:r>
      <w:r w:rsidR="008057FA">
        <w:rPr>
          <w:rFonts w:ascii="Verdana" w:hAnsi="Verdana"/>
          <w:color w:val="auto"/>
          <w:sz w:val="20"/>
          <w:szCs w:val="20"/>
          <w:lang w:val="es-CR"/>
        </w:rPr>
        <w:t xml:space="preserve">  </w:t>
      </w:r>
    </w:p>
    <w:p w14:paraId="6DAB09DB" w14:textId="3655D03B" w:rsidR="00B71D5C" w:rsidRDefault="00B71D5C" w:rsidP="008F778F">
      <w:pPr>
        <w:pStyle w:val="Prrafodelista"/>
        <w:widowControl w:val="0"/>
        <w:tabs>
          <w:tab w:val="left" w:pos="567"/>
        </w:tabs>
        <w:autoSpaceDE w:val="0"/>
        <w:autoSpaceDN w:val="0"/>
        <w:adjustRightInd w:val="0"/>
        <w:ind w:left="0" w:right="22"/>
        <w:jc w:val="both"/>
        <w:rPr>
          <w:rFonts w:ascii="Verdana" w:hAnsi="Verdana"/>
          <w:sz w:val="20"/>
          <w:highlight w:val="yellow"/>
          <w:lang w:val="es-CR"/>
        </w:rPr>
      </w:pPr>
    </w:p>
    <w:p w14:paraId="1BA0F8F7" w14:textId="7415F894" w:rsidR="008B0E20" w:rsidRDefault="00B352D2" w:rsidP="008B0E20">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sz w:val="20"/>
          <w:lang w:val="es-CR"/>
        </w:rPr>
        <w:t xml:space="preserve">La </w:t>
      </w:r>
      <w:r w:rsidRPr="00EF6B2D">
        <w:rPr>
          <w:rFonts w:ascii="Verdana" w:hAnsi="Verdana"/>
          <w:b/>
          <w:i/>
          <w:sz w:val="20"/>
          <w:lang w:val="es-CR"/>
        </w:rPr>
        <w:t>Comisión</w:t>
      </w:r>
      <w:r>
        <w:rPr>
          <w:rFonts w:ascii="Verdana" w:hAnsi="Verdana"/>
          <w:sz w:val="20"/>
          <w:lang w:val="es-CR"/>
        </w:rPr>
        <w:t xml:space="preserve"> </w:t>
      </w:r>
      <w:r w:rsidR="00FC370A">
        <w:rPr>
          <w:rFonts w:ascii="Verdana" w:hAnsi="Verdana"/>
          <w:sz w:val="20"/>
          <w:lang w:val="es-CR"/>
        </w:rPr>
        <w:t>no presentó observaciones respecto a</w:t>
      </w:r>
      <w:r w:rsidR="0030025F">
        <w:rPr>
          <w:rFonts w:ascii="Verdana" w:hAnsi="Verdana"/>
          <w:sz w:val="20"/>
          <w:lang w:val="es-CR"/>
        </w:rPr>
        <w:t xml:space="preserve"> este</w:t>
      </w:r>
      <w:r w:rsidR="00FC370A">
        <w:rPr>
          <w:rFonts w:ascii="Verdana" w:hAnsi="Verdana"/>
          <w:sz w:val="20"/>
          <w:lang w:val="es-CR"/>
        </w:rPr>
        <w:t xml:space="preserve"> ofrecimiento de los representantes. Por otra parte, </w:t>
      </w:r>
      <w:r w:rsidRPr="00EF6B2D">
        <w:rPr>
          <w:rFonts w:ascii="Verdana" w:hAnsi="Verdana"/>
          <w:sz w:val="20"/>
          <w:lang w:val="es-CR"/>
        </w:rPr>
        <w:t>manifestó que</w:t>
      </w:r>
      <w:r>
        <w:rPr>
          <w:rFonts w:ascii="Verdana" w:hAnsi="Verdana"/>
          <w:sz w:val="20"/>
          <w:lang w:val="es-CR"/>
        </w:rPr>
        <w:t xml:space="preserve">, de ser el caso, cuenta con las facilidades técnicas necesarias para participar en actuaciones orales mediante videoconferencia. </w:t>
      </w:r>
    </w:p>
    <w:p w14:paraId="6F52C435" w14:textId="77777777" w:rsidR="008B0E20" w:rsidRPr="008B0E20" w:rsidRDefault="008B0E20" w:rsidP="008B0E20">
      <w:pPr>
        <w:pStyle w:val="Prrafodelista"/>
        <w:rPr>
          <w:rFonts w:ascii="Verdana" w:hAnsi="Verdana"/>
          <w:color w:val="auto"/>
          <w:sz w:val="20"/>
          <w:szCs w:val="20"/>
          <w:lang w:val="es-CR"/>
        </w:rPr>
      </w:pPr>
    </w:p>
    <w:p w14:paraId="19358C58" w14:textId="40794641" w:rsidR="00B352D2" w:rsidRPr="008B0E20" w:rsidRDefault="00CF2BA6" w:rsidP="008B0E20">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8B0E20">
        <w:rPr>
          <w:rFonts w:ascii="Verdana" w:hAnsi="Verdana"/>
          <w:color w:val="auto"/>
          <w:sz w:val="20"/>
          <w:szCs w:val="20"/>
          <w:lang w:val="es-CR"/>
        </w:rPr>
        <w:t xml:space="preserve">Esta </w:t>
      </w:r>
      <w:proofErr w:type="gramStart"/>
      <w:r w:rsidRPr="008B0E20">
        <w:rPr>
          <w:rFonts w:ascii="Verdana" w:hAnsi="Verdana"/>
          <w:b/>
          <w:i/>
          <w:color w:val="auto"/>
          <w:sz w:val="20"/>
          <w:szCs w:val="20"/>
          <w:lang w:val="es-CR"/>
        </w:rPr>
        <w:t>Presidenta</w:t>
      </w:r>
      <w:proofErr w:type="gramEnd"/>
      <w:r w:rsidRPr="008B0E20">
        <w:rPr>
          <w:rFonts w:ascii="Verdana" w:hAnsi="Verdana"/>
          <w:color w:val="auto"/>
          <w:sz w:val="20"/>
          <w:szCs w:val="20"/>
          <w:lang w:val="es-CR"/>
        </w:rPr>
        <w:t xml:space="preserve"> recuerda que</w:t>
      </w:r>
      <w:r w:rsidR="00340742">
        <w:rPr>
          <w:rFonts w:ascii="Verdana" w:hAnsi="Verdana"/>
          <w:color w:val="auto"/>
          <w:sz w:val="20"/>
          <w:szCs w:val="20"/>
          <w:lang w:val="es-CR"/>
        </w:rPr>
        <w:t>,</w:t>
      </w:r>
      <w:r w:rsidRPr="008B0E20">
        <w:rPr>
          <w:rFonts w:ascii="Verdana" w:hAnsi="Verdana"/>
          <w:color w:val="auto"/>
          <w:sz w:val="20"/>
          <w:szCs w:val="20"/>
          <w:lang w:val="es-CR"/>
        </w:rPr>
        <w:t xml:space="preserve"> en oportunidades anteriores</w:t>
      </w:r>
      <w:r w:rsidR="00340742">
        <w:rPr>
          <w:rFonts w:ascii="Verdana" w:hAnsi="Verdana"/>
          <w:color w:val="auto"/>
          <w:sz w:val="20"/>
          <w:szCs w:val="20"/>
          <w:lang w:val="es-CR"/>
        </w:rPr>
        <w:t>,</w:t>
      </w:r>
      <w:r w:rsidRPr="008B0E20">
        <w:rPr>
          <w:rFonts w:ascii="Verdana" w:hAnsi="Verdana"/>
          <w:color w:val="auto"/>
          <w:sz w:val="20"/>
          <w:szCs w:val="20"/>
          <w:lang w:val="es-CR"/>
        </w:rPr>
        <w:t xml:space="preserve"> </w:t>
      </w:r>
      <w:r w:rsidR="00340742">
        <w:rPr>
          <w:rFonts w:ascii="Verdana" w:hAnsi="Verdana"/>
          <w:color w:val="auto"/>
          <w:sz w:val="20"/>
          <w:szCs w:val="20"/>
          <w:lang w:val="es-CR"/>
        </w:rPr>
        <w:t>el Tribunal</w:t>
      </w:r>
      <w:r w:rsidRPr="008B0E20">
        <w:rPr>
          <w:rFonts w:ascii="Verdana" w:hAnsi="Verdana"/>
          <w:color w:val="auto"/>
          <w:sz w:val="20"/>
          <w:szCs w:val="20"/>
          <w:lang w:val="es-CR"/>
        </w:rPr>
        <w:t xml:space="preserve"> ha destacado la importancia que tienen las declaraciones de presuntas víctimas</w:t>
      </w:r>
      <w:r w:rsidR="00C251C1" w:rsidRPr="008B0E20">
        <w:rPr>
          <w:rFonts w:ascii="Verdana" w:hAnsi="Verdana"/>
          <w:color w:val="auto"/>
          <w:sz w:val="20"/>
          <w:szCs w:val="20"/>
          <w:lang w:val="es-CR"/>
        </w:rPr>
        <w:t xml:space="preserve"> en procesos judiciales</w:t>
      </w:r>
      <w:r w:rsidR="00601D68" w:rsidRPr="008B0E20">
        <w:rPr>
          <w:rFonts w:ascii="Verdana" w:hAnsi="Verdana"/>
          <w:color w:val="auto"/>
          <w:sz w:val="20"/>
          <w:szCs w:val="20"/>
          <w:lang w:val="es-CR"/>
        </w:rPr>
        <w:t xml:space="preserve">, </w:t>
      </w:r>
      <w:r w:rsidR="00C251C1" w:rsidRPr="008B0E20">
        <w:rPr>
          <w:rFonts w:ascii="Verdana" w:hAnsi="Verdana"/>
          <w:color w:val="auto"/>
          <w:sz w:val="20"/>
          <w:szCs w:val="20"/>
          <w:lang w:val="es-CR"/>
        </w:rPr>
        <w:t xml:space="preserve">en particular, </w:t>
      </w:r>
      <w:r w:rsidRPr="008B0E20">
        <w:rPr>
          <w:rFonts w:ascii="Verdana" w:hAnsi="Verdana"/>
          <w:color w:val="auto"/>
          <w:sz w:val="20"/>
          <w:szCs w:val="20"/>
          <w:lang w:val="es-CR"/>
        </w:rPr>
        <w:t xml:space="preserve">en </w:t>
      </w:r>
      <w:r w:rsidR="00601D68" w:rsidRPr="008B0E20">
        <w:rPr>
          <w:rFonts w:ascii="Verdana" w:hAnsi="Verdana"/>
          <w:color w:val="auto"/>
          <w:sz w:val="20"/>
          <w:szCs w:val="20"/>
          <w:lang w:val="es-CR"/>
        </w:rPr>
        <w:t>aquellos</w:t>
      </w:r>
      <w:r w:rsidRPr="008B0E20">
        <w:rPr>
          <w:rFonts w:ascii="Verdana" w:hAnsi="Verdana"/>
          <w:color w:val="auto"/>
          <w:sz w:val="20"/>
          <w:szCs w:val="20"/>
          <w:lang w:val="es-CR"/>
        </w:rPr>
        <w:t xml:space="preserve"> que se siguen ante </w:t>
      </w:r>
      <w:r w:rsidR="00340742">
        <w:rPr>
          <w:rFonts w:ascii="Verdana" w:hAnsi="Verdana"/>
          <w:color w:val="auto"/>
          <w:sz w:val="20"/>
          <w:szCs w:val="20"/>
          <w:lang w:val="es-CR"/>
        </w:rPr>
        <w:t>la Corte Interamericana</w:t>
      </w:r>
      <w:r w:rsidRPr="008B0E20">
        <w:rPr>
          <w:rStyle w:val="Refdenotaalpie"/>
          <w:rFonts w:ascii="Verdana" w:hAnsi="Verdana"/>
          <w:color w:val="auto"/>
          <w:sz w:val="20"/>
          <w:szCs w:val="20"/>
          <w:lang w:val="es-CR"/>
        </w:rPr>
        <w:footnoteReference w:id="8"/>
      </w:r>
      <w:r w:rsidRPr="008B0E20">
        <w:rPr>
          <w:rFonts w:ascii="Verdana" w:hAnsi="Verdana"/>
          <w:color w:val="auto"/>
          <w:sz w:val="20"/>
          <w:szCs w:val="20"/>
          <w:lang w:val="es-CR"/>
        </w:rPr>
        <w:t xml:space="preserve">. </w:t>
      </w:r>
      <w:r w:rsidR="00C251C1" w:rsidRPr="008B0E20">
        <w:rPr>
          <w:rFonts w:ascii="Verdana" w:hAnsi="Verdana"/>
          <w:color w:val="auto"/>
          <w:sz w:val="20"/>
          <w:szCs w:val="20"/>
          <w:lang w:val="es-CR"/>
        </w:rPr>
        <w:t xml:space="preserve">Además, </w:t>
      </w:r>
      <w:r w:rsidR="008B0E20" w:rsidRPr="008B0E20">
        <w:rPr>
          <w:rFonts w:ascii="Verdana" w:hAnsi="Verdana"/>
          <w:sz w:val="20"/>
          <w:szCs w:val="20"/>
          <w:lang w:val="es-CR"/>
        </w:rPr>
        <w:t xml:space="preserve">la Corte ha considerado </w:t>
      </w:r>
      <w:r w:rsidR="00601D68" w:rsidRPr="008B0E20">
        <w:rPr>
          <w:rFonts w:ascii="Verdana" w:hAnsi="Verdana"/>
          <w:sz w:val="20"/>
          <w:szCs w:val="20"/>
          <w:lang w:val="es-CR"/>
        </w:rPr>
        <w:t xml:space="preserve">que las declaraciones de las presuntas víctimas son </w:t>
      </w:r>
      <w:r w:rsidR="008B0E20" w:rsidRPr="008B0E20">
        <w:rPr>
          <w:rFonts w:ascii="Verdana" w:hAnsi="Verdana"/>
          <w:sz w:val="20"/>
          <w:szCs w:val="20"/>
          <w:lang w:val="es-CR"/>
        </w:rPr>
        <w:t>“</w:t>
      </w:r>
      <w:r w:rsidR="00601D68" w:rsidRPr="008B0E20">
        <w:rPr>
          <w:rFonts w:ascii="Verdana" w:hAnsi="Verdana"/>
          <w:sz w:val="20"/>
          <w:szCs w:val="20"/>
          <w:lang w:val="es-CR"/>
        </w:rPr>
        <w:t xml:space="preserve">útiles en la medida en que pueden proporcionar </w:t>
      </w:r>
      <w:proofErr w:type="gramStart"/>
      <w:r w:rsidR="00601D68" w:rsidRPr="008B0E20">
        <w:rPr>
          <w:rFonts w:ascii="Verdana" w:hAnsi="Verdana"/>
          <w:sz w:val="20"/>
          <w:szCs w:val="20"/>
          <w:lang w:val="es-CR"/>
        </w:rPr>
        <w:t>mayor información</w:t>
      </w:r>
      <w:proofErr w:type="gramEnd"/>
      <w:r w:rsidR="00601D68" w:rsidRPr="008B0E20">
        <w:rPr>
          <w:rFonts w:ascii="Verdana" w:hAnsi="Verdana"/>
          <w:sz w:val="20"/>
          <w:szCs w:val="20"/>
          <w:lang w:val="es-CR"/>
        </w:rPr>
        <w:t xml:space="preserve"> sobre las alegadas violaciones y sus consecuencias”</w:t>
      </w:r>
      <w:r w:rsidR="008B0E20" w:rsidRPr="008B0E20">
        <w:rPr>
          <w:rStyle w:val="Refdenotaalpie"/>
          <w:rFonts w:ascii="Verdana" w:hAnsi="Verdana"/>
          <w:sz w:val="20"/>
          <w:szCs w:val="20"/>
          <w:lang w:val="es-CR"/>
        </w:rPr>
        <w:footnoteReference w:id="9"/>
      </w:r>
      <w:r w:rsidR="00601D68" w:rsidRPr="008B0E20">
        <w:rPr>
          <w:rFonts w:ascii="Verdana" w:hAnsi="Verdana"/>
          <w:sz w:val="20"/>
          <w:szCs w:val="20"/>
          <w:lang w:val="es-CR"/>
        </w:rPr>
        <w:t>. En ese sentido, aunque pueda haber una reiteración en el objeto propuesto por los representantes para la</w:t>
      </w:r>
      <w:r w:rsidR="00340742">
        <w:rPr>
          <w:rFonts w:ascii="Verdana" w:hAnsi="Verdana"/>
          <w:sz w:val="20"/>
          <w:szCs w:val="20"/>
          <w:lang w:val="es-CR"/>
        </w:rPr>
        <w:t>s declaracio</w:t>
      </w:r>
      <w:r w:rsidR="00601D68" w:rsidRPr="008B0E20">
        <w:rPr>
          <w:rFonts w:ascii="Verdana" w:hAnsi="Verdana"/>
          <w:sz w:val="20"/>
          <w:szCs w:val="20"/>
          <w:lang w:val="es-CR"/>
        </w:rPr>
        <w:t>n</w:t>
      </w:r>
      <w:r w:rsidR="00340742">
        <w:rPr>
          <w:rFonts w:ascii="Verdana" w:hAnsi="Verdana"/>
          <w:sz w:val="20"/>
          <w:szCs w:val="20"/>
          <w:lang w:val="es-CR"/>
        </w:rPr>
        <w:t>es</w:t>
      </w:r>
      <w:r w:rsidR="00601D68" w:rsidRPr="008B0E20">
        <w:rPr>
          <w:rFonts w:ascii="Verdana" w:hAnsi="Verdana"/>
          <w:sz w:val="20"/>
          <w:szCs w:val="20"/>
          <w:lang w:val="es-CR"/>
        </w:rPr>
        <w:t xml:space="preserve"> de distintas presuntas víctimas, el mismo incluye no sólo referencias a los hechos que habrían sucedido a Jimmy Guerrero y Ramón Molina, sino también a aducidas gestiones y otras circunstancias que resultan propias de las personas declarantes, incluso el impacto que habrían sufrido por los hechos y las medidas de reparación que considerarían adecuadas. </w:t>
      </w:r>
      <w:r w:rsidR="008B0E20" w:rsidRPr="008B0E20">
        <w:rPr>
          <w:rFonts w:ascii="Verdana" w:hAnsi="Verdana"/>
          <w:sz w:val="20"/>
          <w:szCs w:val="20"/>
          <w:lang w:val="es-CR"/>
        </w:rPr>
        <w:t xml:space="preserve">Por eso, la similitud de objeto no derivaría, en forma necesaria, en una similitud en el contenido de cada de cada declaración. </w:t>
      </w:r>
      <w:r w:rsidR="008B0E20">
        <w:rPr>
          <w:rFonts w:ascii="Verdana" w:hAnsi="Verdana"/>
          <w:sz w:val="20"/>
          <w:szCs w:val="20"/>
          <w:lang w:val="es-CR"/>
        </w:rPr>
        <w:t>Por lo tanto, esta Presidencia, en consulta con el Pleno de la Corte, desestima la objeción estatal y admite la declaración de las ocho presuntas víctimas antes nombradas</w:t>
      </w:r>
      <w:r w:rsidR="00032567">
        <w:rPr>
          <w:rFonts w:ascii="Verdana" w:hAnsi="Verdana"/>
          <w:sz w:val="20"/>
          <w:szCs w:val="20"/>
          <w:lang w:val="es-CR"/>
        </w:rPr>
        <w:t>, cuya modalidad será precisada en la parte resolutiva</w:t>
      </w:r>
      <w:r w:rsidR="008B0E20">
        <w:rPr>
          <w:rFonts w:ascii="Verdana" w:hAnsi="Verdana"/>
          <w:sz w:val="20"/>
          <w:szCs w:val="20"/>
          <w:lang w:val="es-CR"/>
        </w:rPr>
        <w:t xml:space="preserve">. </w:t>
      </w:r>
    </w:p>
    <w:p w14:paraId="45A7D064" w14:textId="77777777" w:rsidR="008B0E20" w:rsidRPr="008B0E20" w:rsidRDefault="008B0E20" w:rsidP="008B0E20">
      <w:pPr>
        <w:pStyle w:val="Prrafodelista"/>
        <w:widowControl w:val="0"/>
        <w:tabs>
          <w:tab w:val="left" w:pos="567"/>
        </w:tabs>
        <w:autoSpaceDE w:val="0"/>
        <w:autoSpaceDN w:val="0"/>
        <w:adjustRightInd w:val="0"/>
        <w:ind w:left="0" w:right="22"/>
        <w:jc w:val="both"/>
        <w:rPr>
          <w:rFonts w:ascii="Verdana" w:hAnsi="Verdana"/>
          <w:color w:val="auto"/>
          <w:sz w:val="20"/>
          <w:szCs w:val="20"/>
          <w:lang w:val="es-CR"/>
        </w:rPr>
      </w:pPr>
    </w:p>
    <w:p w14:paraId="35AE8530" w14:textId="7C414CED" w:rsidR="009A5AA4" w:rsidRDefault="008B0E20" w:rsidP="008B0E20">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Pr>
          <w:rFonts w:ascii="Verdana" w:hAnsi="Verdana"/>
          <w:color w:val="auto"/>
          <w:sz w:val="20"/>
          <w:szCs w:val="20"/>
          <w:lang w:val="es-CR"/>
        </w:rPr>
        <w:t xml:space="preserve">Además de lo expuesto, la Presidencia advierte los señalamientos de los representantes sobre la importancia de que </w:t>
      </w:r>
      <w:r w:rsidR="00032567">
        <w:rPr>
          <w:rFonts w:ascii="Verdana" w:hAnsi="Verdana"/>
          <w:color w:val="auto"/>
          <w:sz w:val="20"/>
          <w:szCs w:val="20"/>
          <w:lang w:val="es-CR"/>
        </w:rPr>
        <w:t xml:space="preserve">dos </w:t>
      </w:r>
      <w:r>
        <w:rPr>
          <w:rFonts w:ascii="Verdana" w:hAnsi="Verdana"/>
          <w:color w:val="auto"/>
          <w:sz w:val="20"/>
          <w:szCs w:val="20"/>
          <w:lang w:val="es-CR"/>
        </w:rPr>
        <w:t>presuntas víctimas</w:t>
      </w:r>
      <w:r w:rsidR="00032567">
        <w:rPr>
          <w:rFonts w:ascii="Verdana" w:hAnsi="Verdana"/>
          <w:color w:val="auto"/>
          <w:sz w:val="20"/>
          <w:szCs w:val="20"/>
          <w:lang w:val="es-CR"/>
        </w:rPr>
        <w:t>, una por cada grupo familiar involucrado en el caso,</w:t>
      </w:r>
      <w:r>
        <w:rPr>
          <w:rFonts w:ascii="Verdana" w:hAnsi="Verdana"/>
          <w:color w:val="auto"/>
          <w:sz w:val="20"/>
          <w:szCs w:val="20"/>
          <w:lang w:val="es-CR"/>
        </w:rPr>
        <w:t xml:space="preserve"> puedan ser escuchadas directamente por la Corte en forma oral. </w:t>
      </w:r>
    </w:p>
    <w:p w14:paraId="30000DBF" w14:textId="77777777" w:rsidR="00A57D99" w:rsidRPr="00A57D99" w:rsidRDefault="00A57D99" w:rsidP="00121E83">
      <w:pPr>
        <w:pStyle w:val="Prrafodelista"/>
        <w:widowControl w:val="0"/>
        <w:tabs>
          <w:tab w:val="left" w:pos="567"/>
        </w:tabs>
        <w:autoSpaceDE w:val="0"/>
        <w:autoSpaceDN w:val="0"/>
        <w:adjustRightInd w:val="0"/>
        <w:ind w:left="0" w:right="22"/>
        <w:jc w:val="both"/>
        <w:rPr>
          <w:rFonts w:ascii="Verdana" w:hAnsi="Verdana"/>
          <w:color w:val="auto"/>
          <w:sz w:val="20"/>
          <w:szCs w:val="20"/>
          <w:lang w:val="es-CR"/>
        </w:rPr>
      </w:pPr>
    </w:p>
    <w:p w14:paraId="40C93991" w14:textId="0C5DFCD5" w:rsidR="00B71D5C" w:rsidRPr="00032567" w:rsidRDefault="00032567" w:rsidP="00032567">
      <w:pPr>
        <w:pStyle w:val="Prrafodelista"/>
        <w:widowControl w:val="0"/>
        <w:numPr>
          <w:ilvl w:val="0"/>
          <w:numId w:val="42"/>
        </w:numPr>
        <w:tabs>
          <w:tab w:val="left" w:pos="567"/>
        </w:tabs>
        <w:autoSpaceDE w:val="0"/>
        <w:autoSpaceDN w:val="0"/>
        <w:adjustRightInd w:val="0"/>
        <w:ind w:left="0" w:right="22" w:firstLine="0"/>
        <w:jc w:val="both"/>
        <w:rPr>
          <w:rFonts w:ascii="Verdana" w:hAnsi="Verdana"/>
          <w:color w:val="auto"/>
          <w:sz w:val="20"/>
          <w:szCs w:val="20"/>
          <w:lang w:val="es-CR"/>
        </w:rPr>
      </w:pPr>
      <w:r w:rsidRPr="00032567">
        <w:rPr>
          <w:rFonts w:ascii="Verdana" w:hAnsi="Verdana"/>
          <w:color w:val="auto"/>
          <w:sz w:val="20"/>
          <w:szCs w:val="20"/>
          <w:lang w:val="es-CR"/>
        </w:rPr>
        <w:t xml:space="preserve">Teniendo en cuenta que </w:t>
      </w:r>
      <w:r>
        <w:rPr>
          <w:rFonts w:ascii="Verdana" w:hAnsi="Verdana"/>
          <w:color w:val="auto"/>
          <w:sz w:val="20"/>
          <w:szCs w:val="20"/>
          <w:lang w:val="es-CR"/>
        </w:rPr>
        <w:t>el</w:t>
      </w:r>
      <w:r w:rsidRPr="00032567">
        <w:rPr>
          <w:rFonts w:ascii="Verdana" w:hAnsi="Verdana"/>
          <w:color w:val="auto"/>
          <w:sz w:val="20"/>
          <w:szCs w:val="20"/>
          <w:lang w:val="es-CR"/>
        </w:rPr>
        <w:t xml:space="preserve"> Reglamento</w:t>
      </w:r>
      <w:r>
        <w:rPr>
          <w:rFonts w:ascii="Verdana" w:hAnsi="Verdana"/>
          <w:color w:val="auto"/>
          <w:sz w:val="20"/>
          <w:szCs w:val="20"/>
          <w:lang w:val="es-CR"/>
        </w:rPr>
        <w:t xml:space="preserve"> de la Corte</w:t>
      </w:r>
      <w:r w:rsidRPr="00032567">
        <w:rPr>
          <w:rFonts w:ascii="Verdana" w:hAnsi="Verdana"/>
          <w:color w:val="auto"/>
          <w:sz w:val="20"/>
          <w:szCs w:val="20"/>
          <w:lang w:val="es-CR"/>
        </w:rPr>
        <w:t xml:space="preserve"> permite la recepción de declaraciones por videoconferencias</w:t>
      </w:r>
      <w:r w:rsidRPr="004925DE">
        <w:rPr>
          <w:rStyle w:val="Refdenotaalpie"/>
          <w:rFonts w:eastAsia="Verdana"/>
          <w:sz w:val="16"/>
          <w:szCs w:val="16"/>
          <w:lang w:val="es-PE"/>
        </w:rPr>
        <w:footnoteReference w:id="10"/>
      </w:r>
      <w:r w:rsidR="004925DE" w:rsidRPr="00032567">
        <w:rPr>
          <w:rFonts w:ascii="Verdana" w:hAnsi="Verdana"/>
          <w:color w:val="auto"/>
          <w:sz w:val="20"/>
          <w:szCs w:val="20"/>
          <w:lang w:val="es-CR"/>
        </w:rPr>
        <w:t xml:space="preserve">, la Presidencia, en consulta con el Pleno de la Corte, </w:t>
      </w:r>
      <w:r>
        <w:rPr>
          <w:rFonts w:ascii="Verdana" w:hAnsi="Verdana"/>
          <w:color w:val="auto"/>
          <w:sz w:val="20"/>
          <w:szCs w:val="20"/>
          <w:lang w:val="es-CR"/>
        </w:rPr>
        <w:t>considera útil y conveniente</w:t>
      </w:r>
      <w:r w:rsidRPr="00032567">
        <w:rPr>
          <w:rFonts w:ascii="Verdana" w:hAnsi="Verdana"/>
          <w:color w:val="auto"/>
          <w:sz w:val="20"/>
          <w:szCs w:val="20"/>
          <w:lang w:val="es-CR"/>
        </w:rPr>
        <w:t xml:space="preserve"> </w:t>
      </w:r>
      <w:r w:rsidR="004925DE" w:rsidRPr="00032567">
        <w:rPr>
          <w:rFonts w:ascii="Verdana" w:hAnsi="Verdana"/>
          <w:color w:val="auto"/>
          <w:sz w:val="20"/>
          <w:szCs w:val="20"/>
          <w:lang w:val="es-CR"/>
        </w:rPr>
        <w:t xml:space="preserve">que </w:t>
      </w:r>
      <w:r w:rsidR="004925DE" w:rsidRPr="00032567">
        <w:rPr>
          <w:rFonts w:ascii="Verdana" w:hAnsi="Verdana"/>
          <w:sz w:val="20"/>
          <w:lang w:val="es-CR"/>
        </w:rPr>
        <w:t xml:space="preserve">Jean Carlos Guerrero y </w:t>
      </w:r>
      <w:proofErr w:type="spellStart"/>
      <w:r w:rsidR="004925DE" w:rsidRPr="00032567">
        <w:rPr>
          <w:rFonts w:ascii="Verdana" w:hAnsi="Verdana"/>
          <w:sz w:val="20"/>
          <w:lang w:val="es-CR"/>
        </w:rPr>
        <w:t>Soleida</w:t>
      </w:r>
      <w:proofErr w:type="spellEnd"/>
      <w:r w:rsidR="004925DE" w:rsidRPr="00032567">
        <w:rPr>
          <w:rFonts w:ascii="Verdana" w:hAnsi="Verdana"/>
          <w:sz w:val="20"/>
          <w:lang w:val="es-CR"/>
        </w:rPr>
        <w:t xml:space="preserve"> Morillo rindan </w:t>
      </w:r>
      <w:r>
        <w:rPr>
          <w:rFonts w:ascii="Verdana" w:hAnsi="Verdana"/>
          <w:sz w:val="20"/>
          <w:lang w:val="es-CR"/>
        </w:rPr>
        <w:t xml:space="preserve">su </w:t>
      </w:r>
      <w:r w:rsidR="004925DE" w:rsidRPr="00032567">
        <w:rPr>
          <w:rFonts w:ascii="Verdana" w:hAnsi="Verdana"/>
          <w:sz w:val="20"/>
          <w:lang w:val="es-CR"/>
        </w:rPr>
        <w:t>declaración</w:t>
      </w:r>
      <w:r>
        <w:rPr>
          <w:rFonts w:ascii="Verdana" w:hAnsi="Verdana"/>
          <w:sz w:val="20"/>
          <w:lang w:val="es-CR"/>
        </w:rPr>
        <w:t xml:space="preserve"> de forma</w:t>
      </w:r>
      <w:r w:rsidR="00340742" w:rsidRPr="00032567">
        <w:rPr>
          <w:rFonts w:ascii="Verdana" w:hAnsi="Verdana"/>
          <w:sz w:val="20"/>
          <w:lang w:val="es-CR"/>
        </w:rPr>
        <w:t xml:space="preserve"> oral, ante el Pleno del Tribunal, </w:t>
      </w:r>
      <w:r w:rsidR="004925DE" w:rsidRPr="00032567">
        <w:rPr>
          <w:rFonts w:ascii="Verdana" w:hAnsi="Verdana"/>
          <w:sz w:val="20"/>
          <w:lang w:val="es-CR"/>
        </w:rPr>
        <w:t>por medio de videoconferencia. El objeto de sus declaraciones y la fecha de la diligencia respectiva</w:t>
      </w:r>
      <w:r w:rsidR="00472442" w:rsidRPr="00032567">
        <w:rPr>
          <w:rFonts w:ascii="Verdana" w:hAnsi="Verdana"/>
          <w:sz w:val="20"/>
          <w:lang w:val="es-CR"/>
        </w:rPr>
        <w:t xml:space="preserve"> son precisados más adelante, en el punto resolutivo </w:t>
      </w:r>
      <w:r w:rsidR="008437FA">
        <w:rPr>
          <w:rFonts w:ascii="Verdana" w:hAnsi="Verdana"/>
          <w:sz w:val="20"/>
          <w:lang w:val="es-CR"/>
        </w:rPr>
        <w:t>1</w:t>
      </w:r>
      <w:r w:rsidR="004925DE" w:rsidRPr="00032567">
        <w:rPr>
          <w:rFonts w:ascii="Verdana" w:hAnsi="Verdana"/>
          <w:sz w:val="20"/>
          <w:lang w:val="es-CR"/>
        </w:rPr>
        <w:t xml:space="preserve"> </w:t>
      </w:r>
      <w:r w:rsidR="00472442" w:rsidRPr="00032567">
        <w:rPr>
          <w:rFonts w:ascii="Verdana" w:hAnsi="Verdana"/>
          <w:sz w:val="20"/>
          <w:lang w:val="es-CR"/>
        </w:rPr>
        <w:t xml:space="preserve">de la presente Resolución. </w:t>
      </w:r>
    </w:p>
    <w:p w14:paraId="02B24672" w14:textId="77777777" w:rsidR="00B71D5C" w:rsidRDefault="00B71D5C" w:rsidP="00B71D5C">
      <w:pPr>
        <w:spacing w:after="0"/>
        <w:contextualSpacing/>
        <w:rPr>
          <w:b/>
          <w:i/>
          <w:szCs w:val="20"/>
        </w:rPr>
      </w:pPr>
    </w:p>
    <w:p w14:paraId="0E54DFF6" w14:textId="3C0669D3" w:rsidR="00472442" w:rsidRDefault="00B71D5C" w:rsidP="005562D7">
      <w:pPr>
        <w:spacing w:after="0"/>
        <w:ind w:left="567"/>
        <w:contextualSpacing/>
        <w:rPr>
          <w:b/>
          <w:i/>
          <w:szCs w:val="20"/>
        </w:rPr>
      </w:pPr>
      <w:r>
        <w:rPr>
          <w:b/>
          <w:i/>
          <w:szCs w:val="20"/>
        </w:rPr>
        <w:t>C</w:t>
      </w:r>
      <w:r w:rsidR="00472442">
        <w:rPr>
          <w:b/>
          <w:i/>
          <w:szCs w:val="20"/>
        </w:rPr>
        <w:t xml:space="preserve">. Procedencia de </w:t>
      </w:r>
      <w:r w:rsidR="006570C0">
        <w:rPr>
          <w:b/>
          <w:i/>
          <w:szCs w:val="20"/>
        </w:rPr>
        <w:t>una</w:t>
      </w:r>
      <w:r w:rsidR="00472442">
        <w:rPr>
          <w:b/>
          <w:i/>
          <w:szCs w:val="20"/>
        </w:rPr>
        <w:t xml:space="preserve"> declaración pericial propuesta por </w:t>
      </w:r>
      <w:r w:rsidR="006570C0">
        <w:rPr>
          <w:b/>
          <w:i/>
          <w:szCs w:val="20"/>
        </w:rPr>
        <w:t>el Estado</w:t>
      </w:r>
    </w:p>
    <w:p w14:paraId="706B9CFF" w14:textId="09D14E6A" w:rsidR="00DF7CAC" w:rsidRDefault="00DF7CAC" w:rsidP="005562D7">
      <w:pPr>
        <w:pStyle w:val="Prrafodelista"/>
        <w:rPr>
          <w:rFonts w:ascii="Verdana" w:hAnsi="Verdana"/>
          <w:bCs/>
          <w:iCs/>
          <w:color w:val="auto"/>
          <w:sz w:val="20"/>
          <w:szCs w:val="20"/>
          <w:lang w:val="es-CR"/>
        </w:rPr>
      </w:pPr>
    </w:p>
    <w:p w14:paraId="19AF7222" w14:textId="5D169F10" w:rsidR="006570C0" w:rsidRPr="00315F92" w:rsidRDefault="006570C0" w:rsidP="004B720A">
      <w:pPr>
        <w:pStyle w:val="Prrafodelista"/>
        <w:widowControl w:val="0"/>
        <w:numPr>
          <w:ilvl w:val="0"/>
          <w:numId w:val="42"/>
        </w:numPr>
        <w:tabs>
          <w:tab w:val="left" w:pos="567"/>
        </w:tabs>
        <w:autoSpaceDE w:val="0"/>
        <w:autoSpaceDN w:val="0"/>
        <w:adjustRightInd w:val="0"/>
        <w:ind w:left="0" w:right="22" w:firstLine="0"/>
        <w:jc w:val="both"/>
        <w:rPr>
          <w:rFonts w:ascii="Verdana" w:hAnsi="Verdana"/>
          <w:sz w:val="20"/>
          <w:szCs w:val="20"/>
          <w:lang w:val="es-ES"/>
        </w:rPr>
      </w:pPr>
      <w:r w:rsidRPr="00A147E2">
        <w:rPr>
          <w:rFonts w:ascii="Verdana" w:hAnsi="Verdana"/>
          <w:color w:val="auto"/>
          <w:sz w:val="20"/>
          <w:szCs w:val="20"/>
          <w:lang w:val="es-CR"/>
        </w:rPr>
        <w:t xml:space="preserve">El </w:t>
      </w:r>
      <w:r w:rsidRPr="00A147E2">
        <w:rPr>
          <w:rFonts w:ascii="Verdana" w:hAnsi="Verdana"/>
          <w:b/>
          <w:i/>
          <w:sz w:val="20"/>
          <w:szCs w:val="20"/>
          <w:lang w:val="es-CR"/>
        </w:rPr>
        <w:t>Estado</w:t>
      </w:r>
      <w:r w:rsidRPr="00A147E2">
        <w:rPr>
          <w:rFonts w:ascii="Verdana" w:hAnsi="Verdana"/>
          <w:color w:val="auto"/>
          <w:sz w:val="20"/>
          <w:szCs w:val="20"/>
          <w:lang w:val="es-CR"/>
        </w:rPr>
        <w:t xml:space="preserve"> ofreció la declaración pericial del señor</w:t>
      </w:r>
      <w:r w:rsidRPr="00A147E2">
        <w:rPr>
          <w:rFonts w:ascii="Verdana" w:hAnsi="Verdana"/>
          <w:sz w:val="20"/>
          <w:szCs w:val="20"/>
          <w:lang w:val="es-CR"/>
        </w:rPr>
        <w:t xml:space="preserve"> Emerson Vicente Aguilar Carreño, abogado, para que declare sobre la supuesta improcedencia de la aplicación de las disposiciones de la Convención Interamericana para Prevenir y Sancionar la Tortura en el presente caso. </w:t>
      </w:r>
      <w:bookmarkStart w:id="8" w:name="_Ref326590102"/>
      <w:bookmarkEnd w:id="8"/>
    </w:p>
    <w:p w14:paraId="4E9A9293" w14:textId="77777777" w:rsidR="006D5B3D" w:rsidRPr="006D5B3D" w:rsidRDefault="006D5B3D" w:rsidP="006D5B3D">
      <w:pPr>
        <w:pStyle w:val="Prrafodelista"/>
        <w:rPr>
          <w:rFonts w:ascii="Verdana" w:hAnsi="Verdana" w:cs="Arial"/>
          <w:color w:val="auto"/>
          <w:sz w:val="20"/>
          <w:szCs w:val="20"/>
          <w:lang w:val="es-CR" w:eastAsia="es-CR"/>
        </w:rPr>
      </w:pPr>
    </w:p>
    <w:p w14:paraId="6A2B6216" w14:textId="77777777" w:rsidR="00276B66" w:rsidRDefault="006D5B3D" w:rsidP="004B720A">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L</w:t>
      </w:r>
      <w:r w:rsidR="006570C0">
        <w:rPr>
          <w:rFonts w:ascii="Verdana" w:hAnsi="Verdana" w:cs="Arial"/>
          <w:color w:val="auto"/>
          <w:sz w:val="20"/>
          <w:szCs w:val="20"/>
          <w:lang w:val="es-CR" w:eastAsia="es-CR"/>
        </w:rPr>
        <w:t xml:space="preserve">a </w:t>
      </w:r>
      <w:proofErr w:type="gramStart"/>
      <w:r w:rsidR="006570C0" w:rsidRPr="004B720A">
        <w:rPr>
          <w:rFonts w:ascii="Verdana" w:hAnsi="Verdana" w:cs="Arial"/>
          <w:b/>
          <w:i/>
          <w:color w:val="auto"/>
          <w:sz w:val="20"/>
          <w:szCs w:val="20"/>
          <w:lang w:val="es-CR" w:eastAsia="es-CR"/>
        </w:rPr>
        <w:t>Presidenta</w:t>
      </w:r>
      <w:proofErr w:type="gramEnd"/>
      <w:r w:rsidR="006570C0">
        <w:rPr>
          <w:rFonts w:ascii="Verdana" w:hAnsi="Verdana" w:cs="Arial"/>
          <w:i/>
          <w:color w:val="auto"/>
          <w:sz w:val="20"/>
          <w:szCs w:val="20"/>
          <w:lang w:val="es-CR" w:eastAsia="es-CR"/>
        </w:rPr>
        <w:t xml:space="preserve"> </w:t>
      </w:r>
      <w:r w:rsidR="004A4260">
        <w:rPr>
          <w:rFonts w:ascii="Verdana" w:hAnsi="Verdana" w:cs="Arial"/>
          <w:color w:val="auto"/>
          <w:sz w:val="20"/>
          <w:szCs w:val="20"/>
          <w:lang w:val="es-CR" w:eastAsia="es-CR"/>
        </w:rPr>
        <w:t xml:space="preserve">nota que, dado el objeto propuesto, la </w:t>
      </w:r>
      <w:r w:rsidR="00A147E2">
        <w:rPr>
          <w:rFonts w:ascii="Verdana" w:hAnsi="Verdana" w:cs="Arial"/>
          <w:color w:val="auto"/>
          <w:sz w:val="20"/>
          <w:szCs w:val="20"/>
          <w:lang w:val="es-CR" w:eastAsia="es-CR"/>
        </w:rPr>
        <w:t>declaración pericial ofrecida</w:t>
      </w:r>
      <w:r w:rsidR="004A4260">
        <w:rPr>
          <w:rFonts w:ascii="Verdana" w:hAnsi="Verdana" w:cs="Arial"/>
          <w:color w:val="auto"/>
          <w:sz w:val="20"/>
          <w:szCs w:val="20"/>
          <w:lang w:val="es-CR" w:eastAsia="es-CR"/>
        </w:rPr>
        <w:t xml:space="preserve"> tendría como finalidad establecer si es pertinente en el caso evaluar la conducta estatal con base en un tratado. </w:t>
      </w:r>
      <w:r w:rsidR="00A147E2">
        <w:rPr>
          <w:rFonts w:ascii="Verdana" w:hAnsi="Verdana" w:cs="Arial"/>
          <w:color w:val="auto"/>
          <w:sz w:val="20"/>
          <w:szCs w:val="20"/>
          <w:lang w:val="es-CR" w:eastAsia="es-CR"/>
        </w:rPr>
        <w:t>Determinar l</w:t>
      </w:r>
      <w:r w:rsidR="004A4260">
        <w:rPr>
          <w:rFonts w:ascii="Verdana" w:hAnsi="Verdana" w:cs="Arial"/>
          <w:color w:val="auto"/>
          <w:sz w:val="20"/>
          <w:szCs w:val="20"/>
          <w:lang w:val="es-CR" w:eastAsia="es-CR"/>
        </w:rPr>
        <w:t xml:space="preserve">o anterior es propio de la función de la Corte, en el marco de su competencia. La declaración pericial propuesta no resulta, entonces, necesaria ni procedente. Por lo tanto, no se admite la declaración pericial del señor </w:t>
      </w:r>
      <w:r w:rsidR="004A4260">
        <w:rPr>
          <w:rFonts w:ascii="Verdana" w:hAnsi="Verdana"/>
          <w:sz w:val="20"/>
          <w:lang w:val="es-CR"/>
        </w:rPr>
        <w:t>Emerson Vicente Aguilar Carreño.</w:t>
      </w:r>
    </w:p>
    <w:p w14:paraId="6D976F6D" w14:textId="5AD42580" w:rsidR="00276B66" w:rsidRDefault="00276B66" w:rsidP="00276B66">
      <w:pPr>
        <w:pStyle w:val="Prrafodelista"/>
        <w:rPr>
          <w:rFonts w:ascii="Verdana" w:hAnsi="Verdana" w:cs="Arial"/>
          <w:color w:val="auto"/>
          <w:sz w:val="20"/>
          <w:szCs w:val="20"/>
          <w:lang w:val="es-CR" w:eastAsia="es-CR"/>
        </w:rPr>
      </w:pPr>
    </w:p>
    <w:p w14:paraId="0D5E4748" w14:textId="77777777" w:rsidR="00276B66" w:rsidRDefault="00276B66" w:rsidP="00276B66">
      <w:pPr>
        <w:spacing w:after="0"/>
        <w:ind w:left="567"/>
        <w:contextualSpacing/>
        <w:rPr>
          <w:b/>
          <w:i/>
          <w:szCs w:val="20"/>
        </w:rPr>
      </w:pPr>
      <w:r>
        <w:rPr>
          <w:b/>
          <w:i/>
          <w:szCs w:val="20"/>
        </w:rPr>
        <w:t>D. Objeciones del Estado a cinco declaraciones periciales</w:t>
      </w:r>
    </w:p>
    <w:p w14:paraId="09576004" w14:textId="77777777" w:rsidR="00276B66" w:rsidRPr="00276B66" w:rsidRDefault="00276B66" w:rsidP="00276B66">
      <w:pPr>
        <w:pStyle w:val="Prrafodelista"/>
        <w:rPr>
          <w:rFonts w:ascii="Verdana" w:hAnsi="Verdana" w:cs="Arial"/>
          <w:color w:val="auto"/>
          <w:sz w:val="20"/>
          <w:szCs w:val="20"/>
          <w:lang w:val="es-CR" w:eastAsia="es-CR"/>
        </w:rPr>
      </w:pPr>
    </w:p>
    <w:p w14:paraId="5B0A3491" w14:textId="6F63FE9B" w:rsidR="00F319F2" w:rsidRPr="00276B66" w:rsidRDefault="006570C0" w:rsidP="004B720A">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sidRPr="00276B66">
        <w:rPr>
          <w:rFonts w:ascii="Verdana" w:hAnsi="Verdana" w:cs="Arial"/>
          <w:color w:val="auto"/>
          <w:sz w:val="20"/>
          <w:szCs w:val="20"/>
          <w:lang w:val="es-CR" w:eastAsia="es-CR"/>
        </w:rPr>
        <w:t>Lo</w:t>
      </w:r>
      <w:r w:rsidR="006D5B3D" w:rsidRPr="00276B66">
        <w:rPr>
          <w:rFonts w:ascii="Verdana" w:hAnsi="Verdana" w:cs="Arial"/>
          <w:color w:val="auto"/>
          <w:sz w:val="20"/>
          <w:szCs w:val="20"/>
          <w:lang w:val="es-CR" w:eastAsia="es-CR"/>
        </w:rPr>
        <w:t xml:space="preserve">s </w:t>
      </w:r>
      <w:r w:rsidR="006D5B3D" w:rsidRPr="00276B66">
        <w:rPr>
          <w:rFonts w:ascii="Verdana" w:hAnsi="Verdana" w:cs="Arial"/>
          <w:b/>
          <w:i/>
          <w:color w:val="auto"/>
          <w:sz w:val="20"/>
          <w:szCs w:val="20"/>
          <w:lang w:val="es-CR" w:eastAsia="es-CR"/>
        </w:rPr>
        <w:t>representantes</w:t>
      </w:r>
      <w:r w:rsidR="006D5B3D" w:rsidRPr="00276B66">
        <w:rPr>
          <w:rFonts w:ascii="Verdana" w:hAnsi="Verdana" w:cs="Arial"/>
          <w:color w:val="auto"/>
          <w:sz w:val="20"/>
          <w:szCs w:val="20"/>
          <w:lang w:val="es-CR" w:eastAsia="es-CR"/>
        </w:rPr>
        <w:t xml:space="preserve"> propusieron las declaraciones periciales de </w:t>
      </w:r>
      <w:r w:rsidR="00EB7FEF" w:rsidRPr="00276B66">
        <w:rPr>
          <w:rFonts w:ascii="Verdana" w:hAnsi="Verdana" w:cs="Arial"/>
          <w:color w:val="auto"/>
          <w:sz w:val="20"/>
          <w:szCs w:val="20"/>
          <w:lang w:val="es-CR" w:eastAsia="es-CR"/>
        </w:rPr>
        <w:t>Ignacio Cano</w:t>
      </w:r>
      <w:r w:rsidR="00FD0B9D">
        <w:rPr>
          <w:rStyle w:val="Refdenotaalpie"/>
          <w:rFonts w:ascii="Verdana" w:hAnsi="Verdana" w:cs="Arial"/>
          <w:color w:val="auto"/>
          <w:sz w:val="20"/>
          <w:szCs w:val="20"/>
          <w:lang w:val="es-CR" w:eastAsia="es-CR"/>
        </w:rPr>
        <w:footnoteReference w:id="11"/>
      </w:r>
      <w:r w:rsidR="00EB7FEF" w:rsidRPr="00276B66">
        <w:rPr>
          <w:rFonts w:ascii="Verdana" w:hAnsi="Verdana" w:cs="Arial"/>
          <w:color w:val="auto"/>
          <w:sz w:val="20"/>
          <w:szCs w:val="20"/>
          <w:lang w:val="es-CR" w:eastAsia="es-CR"/>
        </w:rPr>
        <w:t>, José Luis Prieto Carrero</w:t>
      </w:r>
      <w:r w:rsidR="00FD0B9D">
        <w:rPr>
          <w:rStyle w:val="Refdenotaalpie"/>
          <w:rFonts w:ascii="Verdana" w:hAnsi="Verdana" w:cs="Arial"/>
          <w:color w:val="auto"/>
          <w:sz w:val="20"/>
          <w:szCs w:val="20"/>
          <w:lang w:val="es-CR" w:eastAsia="es-CR"/>
        </w:rPr>
        <w:footnoteReference w:id="12"/>
      </w:r>
      <w:r w:rsidR="00EB7FEF" w:rsidRPr="00276B66">
        <w:rPr>
          <w:rFonts w:ascii="Verdana" w:hAnsi="Verdana" w:cs="Arial"/>
          <w:color w:val="auto"/>
          <w:sz w:val="20"/>
          <w:szCs w:val="20"/>
          <w:lang w:val="es-CR" w:eastAsia="es-CR"/>
        </w:rPr>
        <w:t xml:space="preserve">, Philip </w:t>
      </w:r>
      <w:proofErr w:type="spellStart"/>
      <w:r w:rsidR="00EB7FEF" w:rsidRPr="00276B66">
        <w:rPr>
          <w:rFonts w:ascii="Verdana" w:hAnsi="Verdana" w:cs="Arial"/>
          <w:color w:val="auto"/>
          <w:sz w:val="20"/>
          <w:szCs w:val="20"/>
          <w:lang w:val="es-CR" w:eastAsia="es-CR"/>
        </w:rPr>
        <w:t>Alston</w:t>
      </w:r>
      <w:proofErr w:type="spellEnd"/>
      <w:r w:rsidR="00FD0B9D">
        <w:rPr>
          <w:rStyle w:val="Refdenotaalpie"/>
          <w:rFonts w:ascii="Verdana" w:hAnsi="Verdana" w:cs="Arial"/>
          <w:color w:val="auto"/>
          <w:sz w:val="20"/>
          <w:szCs w:val="20"/>
          <w:lang w:val="es-CR" w:eastAsia="es-CR"/>
        </w:rPr>
        <w:footnoteReference w:id="13"/>
      </w:r>
      <w:r w:rsidR="00EB7FEF" w:rsidRPr="00276B66">
        <w:rPr>
          <w:rFonts w:ascii="Verdana" w:hAnsi="Verdana" w:cs="Arial"/>
          <w:color w:val="auto"/>
          <w:sz w:val="20"/>
          <w:szCs w:val="20"/>
          <w:lang w:val="es-CR" w:eastAsia="es-CR"/>
        </w:rPr>
        <w:t>, Roberto Briceño León</w:t>
      </w:r>
      <w:r w:rsidR="00FD0B9D">
        <w:rPr>
          <w:rStyle w:val="Refdenotaalpie"/>
          <w:rFonts w:ascii="Verdana" w:hAnsi="Verdana" w:cs="Arial"/>
          <w:color w:val="auto"/>
          <w:sz w:val="20"/>
          <w:szCs w:val="20"/>
          <w:lang w:val="es-CR" w:eastAsia="es-CR"/>
        </w:rPr>
        <w:footnoteReference w:id="14"/>
      </w:r>
      <w:r w:rsidR="00EB7FEF" w:rsidRPr="00276B66">
        <w:rPr>
          <w:rFonts w:ascii="Verdana" w:hAnsi="Verdana" w:cs="Arial"/>
          <w:color w:val="auto"/>
          <w:sz w:val="20"/>
          <w:szCs w:val="20"/>
          <w:lang w:val="es-CR" w:eastAsia="es-CR"/>
        </w:rPr>
        <w:t xml:space="preserve"> y Magaly Mercedes Vásquez González</w:t>
      </w:r>
      <w:r w:rsidR="00AB00F1">
        <w:rPr>
          <w:rStyle w:val="Refdenotaalpie"/>
          <w:rFonts w:ascii="Verdana" w:hAnsi="Verdana" w:cs="Arial"/>
          <w:color w:val="auto"/>
          <w:sz w:val="20"/>
          <w:szCs w:val="20"/>
          <w:lang w:val="es-CR" w:eastAsia="es-CR"/>
        </w:rPr>
        <w:footnoteReference w:id="15"/>
      </w:r>
      <w:r w:rsidR="00EB7FEF" w:rsidRPr="00276B66">
        <w:rPr>
          <w:rFonts w:ascii="Verdana" w:hAnsi="Verdana" w:cs="Arial"/>
          <w:color w:val="auto"/>
          <w:sz w:val="20"/>
          <w:szCs w:val="20"/>
          <w:lang w:val="es-CR" w:eastAsia="es-CR"/>
        </w:rPr>
        <w:t xml:space="preserve">. </w:t>
      </w:r>
      <w:r w:rsidR="00CE2781" w:rsidRPr="00276B66">
        <w:rPr>
          <w:rFonts w:ascii="Verdana" w:hAnsi="Verdana" w:cs="Arial"/>
          <w:color w:val="auto"/>
          <w:sz w:val="20"/>
          <w:szCs w:val="20"/>
          <w:lang w:val="es-CR" w:eastAsia="es-CR"/>
        </w:rPr>
        <w:t xml:space="preserve">La </w:t>
      </w:r>
      <w:r w:rsidR="00CE2781" w:rsidRPr="00276B66">
        <w:rPr>
          <w:rFonts w:ascii="Verdana" w:hAnsi="Verdana" w:cs="Arial"/>
          <w:b/>
          <w:i/>
          <w:color w:val="auto"/>
          <w:sz w:val="20"/>
          <w:szCs w:val="20"/>
          <w:lang w:val="es-CR" w:eastAsia="es-CR"/>
        </w:rPr>
        <w:t>Comisión</w:t>
      </w:r>
      <w:r w:rsidR="00CE2781" w:rsidRPr="00276B66">
        <w:rPr>
          <w:rFonts w:ascii="Verdana" w:hAnsi="Verdana" w:cs="Arial"/>
          <w:color w:val="auto"/>
          <w:sz w:val="20"/>
          <w:szCs w:val="20"/>
          <w:lang w:val="es-CR" w:eastAsia="es-CR"/>
        </w:rPr>
        <w:t xml:space="preserve"> no presentó observaciones al respecto.</w:t>
      </w:r>
      <w:r w:rsidR="004A4260" w:rsidRPr="00276B66">
        <w:rPr>
          <w:rFonts w:ascii="Verdana" w:hAnsi="Verdana" w:cs="Arial"/>
          <w:color w:val="auto"/>
          <w:sz w:val="20"/>
          <w:szCs w:val="20"/>
          <w:lang w:val="es-CR" w:eastAsia="es-CR"/>
        </w:rPr>
        <w:t xml:space="preserve"> </w:t>
      </w:r>
      <w:r w:rsidR="00EB7FEF" w:rsidRPr="00276B66">
        <w:rPr>
          <w:rFonts w:ascii="Verdana" w:hAnsi="Verdana" w:cs="Arial"/>
          <w:color w:val="auto"/>
          <w:sz w:val="20"/>
          <w:szCs w:val="20"/>
          <w:lang w:val="es-CR" w:eastAsia="es-CR"/>
        </w:rPr>
        <w:t xml:space="preserve">El </w:t>
      </w:r>
      <w:r w:rsidR="00EB7FEF" w:rsidRPr="00276B66">
        <w:rPr>
          <w:rFonts w:ascii="Verdana" w:hAnsi="Verdana" w:cs="Arial"/>
          <w:b/>
          <w:i/>
          <w:color w:val="auto"/>
          <w:sz w:val="20"/>
          <w:szCs w:val="20"/>
          <w:lang w:val="es-CR" w:eastAsia="es-CR"/>
        </w:rPr>
        <w:t>Estado</w:t>
      </w:r>
      <w:r w:rsidR="00EB7FEF" w:rsidRPr="00276B66">
        <w:rPr>
          <w:rFonts w:ascii="Verdana" w:hAnsi="Verdana" w:cs="Arial"/>
          <w:color w:val="auto"/>
          <w:sz w:val="20"/>
          <w:szCs w:val="20"/>
          <w:lang w:val="es-CR" w:eastAsia="es-CR"/>
        </w:rPr>
        <w:t xml:space="preserve"> </w:t>
      </w:r>
      <w:r w:rsidR="00A147E2" w:rsidRPr="00276B66">
        <w:rPr>
          <w:rFonts w:ascii="Verdana" w:hAnsi="Verdana" w:cs="Arial"/>
          <w:color w:val="auto"/>
          <w:sz w:val="20"/>
          <w:szCs w:val="20"/>
          <w:lang w:val="es-CR" w:eastAsia="es-CR"/>
        </w:rPr>
        <w:t>propuso</w:t>
      </w:r>
      <w:r w:rsidR="00F319F2" w:rsidRPr="00276B66">
        <w:rPr>
          <w:rFonts w:ascii="Verdana" w:hAnsi="Verdana" w:cs="Arial"/>
          <w:color w:val="auto"/>
          <w:sz w:val="20"/>
          <w:szCs w:val="20"/>
          <w:lang w:val="es-CR" w:eastAsia="es-CR"/>
        </w:rPr>
        <w:t xml:space="preserve"> recusaciones en contra de Philip </w:t>
      </w:r>
      <w:proofErr w:type="spellStart"/>
      <w:r w:rsidR="00F319F2" w:rsidRPr="00276B66">
        <w:rPr>
          <w:rFonts w:ascii="Verdana" w:hAnsi="Verdana" w:cs="Arial"/>
          <w:color w:val="auto"/>
          <w:sz w:val="20"/>
          <w:szCs w:val="20"/>
          <w:lang w:val="es-CR" w:eastAsia="es-CR"/>
        </w:rPr>
        <w:t>Alston</w:t>
      </w:r>
      <w:proofErr w:type="spellEnd"/>
      <w:r w:rsidR="00F319F2" w:rsidRPr="00276B66">
        <w:rPr>
          <w:rFonts w:ascii="Verdana" w:hAnsi="Verdana" w:cs="Arial"/>
          <w:color w:val="auto"/>
          <w:sz w:val="20"/>
          <w:szCs w:val="20"/>
          <w:lang w:val="es-CR" w:eastAsia="es-CR"/>
        </w:rPr>
        <w:t xml:space="preserve">, Roberto Briceño León y Magaly Mercedes Vásquez González, por entender que carecen de imparcialidad. Además, </w:t>
      </w:r>
      <w:r w:rsidR="00A147E2" w:rsidRPr="00276B66">
        <w:rPr>
          <w:rFonts w:ascii="Verdana" w:hAnsi="Verdana" w:cs="Arial"/>
          <w:color w:val="auto"/>
          <w:sz w:val="20"/>
          <w:szCs w:val="20"/>
          <w:lang w:val="es-CR" w:eastAsia="es-CR"/>
        </w:rPr>
        <w:t xml:space="preserve">objetó </w:t>
      </w:r>
      <w:r w:rsidR="00F319F2" w:rsidRPr="00276B66">
        <w:rPr>
          <w:rFonts w:ascii="Verdana" w:hAnsi="Verdana" w:cs="Arial"/>
          <w:color w:val="auto"/>
          <w:sz w:val="20"/>
          <w:szCs w:val="20"/>
          <w:lang w:val="es-CR" w:eastAsia="es-CR"/>
        </w:rPr>
        <w:t xml:space="preserve">las cinco declaraciones aludidas, aduciendo que </w:t>
      </w:r>
      <w:r w:rsidR="00CE2781" w:rsidRPr="00276B66">
        <w:rPr>
          <w:rFonts w:ascii="Verdana" w:hAnsi="Verdana" w:cs="Arial"/>
          <w:color w:val="auto"/>
          <w:sz w:val="20"/>
          <w:szCs w:val="20"/>
          <w:lang w:val="es-CR" w:eastAsia="es-CR"/>
        </w:rPr>
        <w:t>result</w:t>
      </w:r>
      <w:r w:rsidR="00F319F2" w:rsidRPr="00276B66">
        <w:rPr>
          <w:rFonts w:ascii="Verdana" w:hAnsi="Verdana" w:cs="Arial"/>
          <w:color w:val="auto"/>
          <w:sz w:val="20"/>
          <w:szCs w:val="20"/>
          <w:lang w:val="es-CR" w:eastAsia="es-CR"/>
        </w:rPr>
        <w:t>an</w:t>
      </w:r>
      <w:r w:rsidR="00CE2781" w:rsidRPr="00276B66">
        <w:rPr>
          <w:rFonts w:ascii="Verdana" w:hAnsi="Verdana" w:cs="Arial"/>
          <w:color w:val="auto"/>
          <w:sz w:val="20"/>
          <w:szCs w:val="20"/>
          <w:lang w:val="es-CR" w:eastAsia="es-CR"/>
        </w:rPr>
        <w:t xml:space="preserve"> “impertinentes e </w:t>
      </w:r>
      <w:proofErr w:type="spellStart"/>
      <w:r w:rsidR="00CE2781" w:rsidRPr="00276B66">
        <w:rPr>
          <w:rFonts w:ascii="Verdana" w:hAnsi="Verdana" w:cs="Arial"/>
          <w:color w:val="auto"/>
          <w:sz w:val="20"/>
          <w:szCs w:val="20"/>
          <w:lang w:val="es-CR" w:eastAsia="es-CR"/>
        </w:rPr>
        <w:t>innecesari</w:t>
      </w:r>
      <w:proofErr w:type="spellEnd"/>
      <w:r w:rsidR="00CE2781" w:rsidRPr="00276B66">
        <w:rPr>
          <w:rFonts w:ascii="Verdana" w:hAnsi="Verdana" w:cs="Arial"/>
          <w:color w:val="auto"/>
          <w:sz w:val="20"/>
          <w:szCs w:val="20"/>
          <w:lang w:val="es-CR" w:eastAsia="es-CR"/>
        </w:rPr>
        <w:t>[as]” en atención al reconocimiento de responsabilidad</w:t>
      </w:r>
      <w:r w:rsidR="00F319F2" w:rsidRPr="00276B66">
        <w:rPr>
          <w:rFonts w:ascii="Verdana" w:hAnsi="Verdana" w:cs="Arial"/>
          <w:color w:val="auto"/>
          <w:sz w:val="20"/>
          <w:szCs w:val="20"/>
          <w:lang w:val="es-CR" w:eastAsia="es-CR"/>
        </w:rPr>
        <w:t>.</w:t>
      </w:r>
    </w:p>
    <w:p w14:paraId="3FE0475A" w14:textId="77777777" w:rsidR="00EB7FEF" w:rsidRPr="00EB7FEF" w:rsidRDefault="00EB7FEF" w:rsidP="004B720A">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48FDA206" w14:textId="77FA46C5" w:rsidR="00215C48" w:rsidRDefault="00CE2781"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En particular</w:t>
      </w:r>
      <w:r w:rsidR="00215C48">
        <w:rPr>
          <w:rFonts w:ascii="Verdana" w:hAnsi="Verdana" w:cs="Arial"/>
          <w:color w:val="auto"/>
          <w:sz w:val="20"/>
          <w:szCs w:val="20"/>
          <w:lang w:val="es-CR" w:eastAsia="es-CR"/>
        </w:rPr>
        <w:t>, el Estado recusó al señor Roberto Briceño León</w:t>
      </w:r>
      <w:r w:rsidR="004A4260">
        <w:rPr>
          <w:rFonts w:ascii="Verdana" w:hAnsi="Verdana" w:cs="Arial"/>
          <w:color w:val="auto"/>
          <w:sz w:val="20"/>
          <w:szCs w:val="20"/>
          <w:lang w:val="es-CR" w:eastAsia="es-CR"/>
        </w:rPr>
        <w:t xml:space="preserve"> </w:t>
      </w:r>
      <w:r w:rsidR="00215C48">
        <w:rPr>
          <w:rFonts w:ascii="Verdana" w:hAnsi="Verdana" w:cs="Arial"/>
          <w:color w:val="auto"/>
          <w:sz w:val="20"/>
          <w:szCs w:val="20"/>
          <w:lang w:val="es-CR" w:eastAsia="es-CR"/>
        </w:rPr>
        <w:t>pues</w:t>
      </w:r>
      <w:r w:rsidR="00A147E2">
        <w:rPr>
          <w:rFonts w:ascii="Verdana" w:hAnsi="Verdana" w:cs="Arial"/>
          <w:color w:val="auto"/>
          <w:sz w:val="20"/>
          <w:szCs w:val="20"/>
          <w:lang w:val="es-CR" w:eastAsia="es-CR"/>
        </w:rPr>
        <w:t xml:space="preserve">, </w:t>
      </w:r>
      <w:r w:rsidR="00A147E2" w:rsidRPr="008813A9">
        <w:rPr>
          <w:rFonts w:ascii="Verdana" w:hAnsi="Verdana" w:cs="Arial"/>
          <w:color w:val="auto"/>
          <w:sz w:val="20"/>
          <w:szCs w:val="20"/>
          <w:lang w:val="es-CR" w:eastAsia="es-CR"/>
        </w:rPr>
        <w:t xml:space="preserve">conforme </w:t>
      </w:r>
      <w:r w:rsidR="008813A9">
        <w:rPr>
          <w:rFonts w:ascii="Verdana" w:hAnsi="Verdana" w:cs="Arial"/>
          <w:color w:val="auto"/>
          <w:sz w:val="20"/>
          <w:szCs w:val="20"/>
          <w:lang w:val="es-CR" w:eastAsia="es-CR"/>
        </w:rPr>
        <w:t>manifestó</w:t>
      </w:r>
      <w:r w:rsidR="00A147E2" w:rsidRPr="008813A9">
        <w:rPr>
          <w:rFonts w:ascii="Verdana" w:hAnsi="Verdana" w:cs="Arial"/>
          <w:color w:val="auto"/>
          <w:sz w:val="20"/>
          <w:szCs w:val="20"/>
          <w:lang w:val="es-CR" w:eastAsia="es-CR"/>
        </w:rPr>
        <w:t xml:space="preserve"> Venezuela,</w:t>
      </w:r>
      <w:r w:rsidR="00215C48" w:rsidRPr="00CF6899">
        <w:rPr>
          <w:rFonts w:ascii="Verdana" w:hAnsi="Verdana" w:cs="Arial"/>
          <w:color w:val="FF0000"/>
          <w:sz w:val="20"/>
          <w:szCs w:val="20"/>
          <w:lang w:val="es-CR" w:eastAsia="es-CR"/>
        </w:rPr>
        <w:t xml:space="preserve"> </w:t>
      </w:r>
      <w:r w:rsidR="00215C48">
        <w:rPr>
          <w:rFonts w:ascii="Verdana" w:hAnsi="Verdana" w:cs="Arial"/>
          <w:color w:val="auto"/>
          <w:sz w:val="20"/>
          <w:szCs w:val="20"/>
          <w:lang w:val="es-CR" w:eastAsia="es-CR"/>
        </w:rPr>
        <w:t>“</w:t>
      </w:r>
      <w:r w:rsidR="00757DF2">
        <w:rPr>
          <w:rFonts w:ascii="Verdana" w:hAnsi="Verdana" w:cs="Arial"/>
          <w:color w:val="auto"/>
          <w:sz w:val="20"/>
          <w:szCs w:val="20"/>
          <w:lang w:val="es-CR" w:eastAsia="es-CR"/>
        </w:rPr>
        <w:t xml:space="preserve">él </w:t>
      </w:r>
      <w:r w:rsidR="00215C48">
        <w:rPr>
          <w:rFonts w:ascii="Verdana" w:hAnsi="Verdana" w:cs="Arial"/>
          <w:color w:val="auto"/>
          <w:sz w:val="20"/>
          <w:szCs w:val="20"/>
          <w:lang w:val="es-CR" w:eastAsia="es-CR"/>
        </w:rPr>
        <w:t>ha expresado públicamente, en diversas ocasiones, su oposición al gobierno e instituciones de la República Bolivariana de Venezuela, por lo cu</w:t>
      </w:r>
      <w:r w:rsidR="00AD3F54">
        <w:rPr>
          <w:rFonts w:ascii="Verdana" w:hAnsi="Verdana" w:cs="Arial"/>
          <w:color w:val="auto"/>
          <w:sz w:val="20"/>
          <w:szCs w:val="20"/>
          <w:lang w:val="es-CR" w:eastAsia="es-CR"/>
        </w:rPr>
        <w:t>a</w:t>
      </w:r>
      <w:r w:rsidR="00215C48">
        <w:rPr>
          <w:rFonts w:ascii="Verdana" w:hAnsi="Verdana" w:cs="Arial"/>
          <w:color w:val="auto"/>
          <w:sz w:val="20"/>
          <w:szCs w:val="20"/>
          <w:lang w:val="es-CR" w:eastAsia="es-CR"/>
        </w:rPr>
        <w:t xml:space="preserve">l tiene un interés directo en los resultados del presente </w:t>
      </w:r>
      <w:proofErr w:type="gramStart"/>
      <w:r w:rsidR="00215C48">
        <w:rPr>
          <w:rFonts w:ascii="Verdana" w:hAnsi="Verdana" w:cs="Arial"/>
          <w:color w:val="auto"/>
          <w:sz w:val="20"/>
          <w:szCs w:val="20"/>
          <w:lang w:val="es-CR" w:eastAsia="es-CR"/>
        </w:rPr>
        <w:t>caso[</w:t>
      </w:r>
      <w:proofErr w:type="gramEnd"/>
      <w:r w:rsidR="00215C48">
        <w:rPr>
          <w:rFonts w:ascii="Verdana" w:hAnsi="Verdana" w:cs="Arial"/>
          <w:color w:val="auto"/>
          <w:sz w:val="20"/>
          <w:szCs w:val="20"/>
          <w:lang w:val="es-CR" w:eastAsia="es-CR"/>
        </w:rPr>
        <w:t xml:space="preserve">, que] se relaciona con el deseo de afectar políticamente a las instituciones del país”. </w:t>
      </w:r>
      <w:r w:rsidR="00A147E2">
        <w:rPr>
          <w:rFonts w:ascii="Verdana" w:hAnsi="Verdana" w:cs="Arial"/>
          <w:color w:val="auto"/>
          <w:sz w:val="20"/>
          <w:szCs w:val="20"/>
          <w:lang w:val="es-CR" w:eastAsia="es-CR"/>
        </w:rPr>
        <w:t>El Estado</w:t>
      </w:r>
      <w:r w:rsidR="00215C48">
        <w:rPr>
          <w:rFonts w:ascii="Verdana" w:hAnsi="Verdana" w:cs="Arial"/>
          <w:color w:val="auto"/>
          <w:sz w:val="20"/>
          <w:szCs w:val="20"/>
          <w:lang w:val="es-CR" w:eastAsia="es-CR"/>
        </w:rPr>
        <w:t xml:space="preserve"> agregó, en sustento de lo expresado, </w:t>
      </w:r>
      <w:r w:rsidR="00686065">
        <w:rPr>
          <w:rFonts w:ascii="Verdana" w:hAnsi="Verdana" w:cs="Arial"/>
          <w:color w:val="auto"/>
          <w:sz w:val="20"/>
          <w:szCs w:val="20"/>
          <w:lang w:val="es-CR" w:eastAsia="es-CR"/>
        </w:rPr>
        <w:t xml:space="preserve">que el señor Briceño León “ha respaldado abiertamente la figura de una institucionalidad paralela en Venezuela, presentándose como asesor en el área de seguridad y derechos humanos de un supuesto e inexistente ‘[P]residente </w:t>
      </w:r>
      <w:proofErr w:type="spellStart"/>
      <w:proofErr w:type="gramStart"/>
      <w:r w:rsidR="00686065">
        <w:rPr>
          <w:rFonts w:ascii="Verdana" w:hAnsi="Verdana" w:cs="Arial"/>
          <w:color w:val="auto"/>
          <w:sz w:val="20"/>
          <w:szCs w:val="20"/>
          <w:lang w:val="es-CR" w:eastAsia="es-CR"/>
        </w:rPr>
        <w:t>interino</w:t>
      </w:r>
      <w:r w:rsidR="00976E9D">
        <w:rPr>
          <w:rFonts w:ascii="Verdana" w:hAnsi="Verdana" w:cs="Arial"/>
          <w:color w:val="auto"/>
          <w:sz w:val="20"/>
          <w:szCs w:val="20"/>
          <w:lang w:val="es-CR" w:eastAsia="es-CR"/>
        </w:rPr>
        <w:t>’</w:t>
      </w:r>
      <w:r w:rsidR="00686065">
        <w:rPr>
          <w:rFonts w:ascii="Verdana" w:hAnsi="Verdana" w:cs="Arial"/>
          <w:color w:val="auto"/>
          <w:sz w:val="20"/>
          <w:szCs w:val="20"/>
          <w:lang w:val="es-CR" w:eastAsia="es-CR"/>
        </w:rPr>
        <w:t>de</w:t>
      </w:r>
      <w:proofErr w:type="spellEnd"/>
      <w:r w:rsidR="00686065">
        <w:rPr>
          <w:rFonts w:ascii="Verdana" w:hAnsi="Verdana" w:cs="Arial"/>
          <w:color w:val="auto"/>
          <w:sz w:val="20"/>
          <w:szCs w:val="20"/>
          <w:lang w:val="es-CR" w:eastAsia="es-CR"/>
        </w:rPr>
        <w:t>[</w:t>
      </w:r>
      <w:proofErr w:type="gramEnd"/>
      <w:r w:rsidR="00686065">
        <w:rPr>
          <w:rFonts w:ascii="Verdana" w:hAnsi="Verdana" w:cs="Arial"/>
          <w:color w:val="auto"/>
          <w:sz w:val="20"/>
          <w:szCs w:val="20"/>
          <w:lang w:val="es-CR" w:eastAsia="es-CR"/>
        </w:rPr>
        <w:t xml:space="preserve">l país]”. </w:t>
      </w:r>
    </w:p>
    <w:p w14:paraId="22F42A8F" w14:textId="77777777" w:rsidR="00976E9D" w:rsidRPr="00976E9D" w:rsidRDefault="00976E9D" w:rsidP="00976E9D">
      <w:pPr>
        <w:pStyle w:val="Prrafodelista"/>
        <w:rPr>
          <w:rFonts w:ascii="Verdana" w:hAnsi="Verdana" w:cs="Arial"/>
          <w:color w:val="auto"/>
          <w:sz w:val="20"/>
          <w:szCs w:val="20"/>
          <w:lang w:val="es-CR" w:eastAsia="es-CR"/>
        </w:rPr>
      </w:pPr>
    </w:p>
    <w:p w14:paraId="2B52CFA1" w14:textId="4330B070" w:rsidR="00976E9D" w:rsidRDefault="00976E9D"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El Estado también recusó al señor Philip </w:t>
      </w:r>
      <w:proofErr w:type="spellStart"/>
      <w:r>
        <w:rPr>
          <w:rFonts w:ascii="Verdana" w:hAnsi="Verdana" w:cs="Arial"/>
          <w:color w:val="auto"/>
          <w:sz w:val="20"/>
          <w:szCs w:val="20"/>
          <w:lang w:val="es-CR" w:eastAsia="es-CR"/>
        </w:rPr>
        <w:t>Alston</w:t>
      </w:r>
      <w:proofErr w:type="spellEnd"/>
      <w:r>
        <w:rPr>
          <w:rFonts w:ascii="Verdana" w:hAnsi="Verdana" w:cs="Arial"/>
          <w:color w:val="auto"/>
          <w:sz w:val="20"/>
          <w:szCs w:val="20"/>
          <w:lang w:val="es-CR" w:eastAsia="es-CR"/>
        </w:rPr>
        <w:t xml:space="preserve">, ya que “en su condición de Relator Especial ha expresado opiniones contrarias a la República Bolivariana de Venezuela en temas relacionados con el fondo del presente asunto”. </w:t>
      </w:r>
    </w:p>
    <w:p w14:paraId="6AE56CB5" w14:textId="77777777" w:rsidR="007C2F29" w:rsidRPr="007C2F29" w:rsidRDefault="007C2F29" w:rsidP="007C2F29">
      <w:pPr>
        <w:pStyle w:val="Prrafodelista"/>
        <w:rPr>
          <w:rFonts w:ascii="Verdana" w:hAnsi="Verdana" w:cs="Arial"/>
          <w:color w:val="auto"/>
          <w:sz w:val="20"/>
          <w:szCs w:val="20"/>
          <w:lang w:val="es-CR" w:eastAsia="es-CR"/>
        </w:rPr>
      </w:pPr>
    </w:p>
    <w:p w14:paraId="7378586E" w14:textId="3671A914" w:rsidR="007C2F29" w:rsidRDefault="007C2F29"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Asimismo, Venezuela recusó a Magaly Mercedes Vásquez González, por tener “vínculos estrechos” con los “representantes de las presuntas víctimas y demás organizaciones no gubernamentales del país, al punto de ser recurrentemente ofrecida para presentarse como </w:t>
      </w:r>
      <w:proofErr w:type="spellStart"/>
      <w:r>
        <w:rPr>
          <w:rFonts w:ascii="Verdana" w:hAnsi="Verdana" w:cs="Arial"/>
          <w:color w:val="auto"/>
          <w:sz w:val="20"/>
          <w:szCs w:val="20"/>
          <w:lang w:val="es-CR" w:eastAsia="es-CR"/>
        </w:rPr>
        <w:t>perit</w:t>
      </w:r>
      <w:proofErr w:type="spellEnd"/>
      <w:r>
        <w:rPr>
          <w:rFonts w:ascii="Verdana" w:hAnsi="Verdana" w:cs="Arial"/>
          <w:color w:val="auto"/>
          <w:sz w:val="20"/>
          <w:szCs w:val="20"/>
          <w:lang w:val="es-CR" w:eastAsia="es-CR"/>
        </w:rPr>
        <w:t xml:space="preserve">[a] ante la Corte”. El Estado señaló que la señora Vásquez González “hace ‘profesión de testificar en juicio’ ante la Corte Interamericana en los procesos relacionados con […] Venezuela”. </w:t>
      </w:r>
    </w:p>
    <w:p w14:paraId="237411E0" w14:textId="77777777" w:rsidR="007C2F29" w:rsidRPr="007C2F29" w:rsidRDefault="007C2F29" w:rsidP="007C2F29">
      <w:pPr>
        <w:pStyle w:val="Prrafodelista"/>
        <w:rPr>
          <w:rFonts w:ascii="Verdana" w:hAnsi="Verdana" w:cs="Arial"/>
          <w:color w:val="auto"/>
          <w:sz w:val="20"/>
          <w:szCs w:val="20"/>
          <w:lang w:val="es-CR" w:eastAsia="es-CR"/>
        </w:rPr>
      </w:pPr>
    </w:p>
    <w:p w14:paraId="2B317577" w14:textId="59981513" w:rsidR="007C2F29" w:rsidRDefault="007C2F29"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En respuesta a la recusación estatal, el señor </w:t>
      </w:r>
      <w:r w:rsidRPr="00344501">
        <w:rPr>
          <w:rFonts w:ascii="Verdana" w:hAnsi="Verdana" w:cs="Arial"/>
          <w:b/>
          <w:i/>
          <w:color w:val="auto"/>
          <w:sz w:val="20"/>
          <w:szCs w:val="20"/>
          <w:lang w:val="es-CR" w:eastAsia="es-CR"/>
        </w:rPr>
        <w:t>Roberto Briceño León</w:t>
      </w:r>
      <w:r>
        <w:rPr>
          <w:rFonts w:ascii="Verdana" w:hAnsi="Verdana" w:cs="Arial"/>
          <w:color w:val="auto"/>
          <w:sz w:val="20"/>
          <w:szCs w:val="20"/>
          <w:lang w:val="es-CR" w:eastAsia="es-CR"/>
        </w:rPr>
        <w:t xml:space="preserve"> adujo que la misma no obedece a causales previstas en el Reglamento. Agregó que no tiene conocimiento alguno de los hecho</w:t>
      </w:r>
      <w:r w:rsidR="00AD3F54">
        <w:rPr>
          <w:rFonts w:ascii="Verdana" w:hAnsi="Verdana" w:cs="Arial"/>
          <w:color w:val="auto"/>
          <w:sz w:val="20"/>
          <w:szCs w:val="20"/>
          <w:lang w:val="es-CR" w:eastAsia="es-CR"/>
        </w:rPr>
        <w:t>s</w:t>
      </w:r>
      <w:r>
        <w:rPr>
          <w:rFonts w:ascii="Verdana" w:hAnsi="Verdana" w:cs="Arial"/>
          <w:color w:val="auto"/>
          <w:sz w:val="20"/>
          <w:szCs w:val="20"/>
          <w:lang w:val="es-CR" w:eastAsia="es-CR"/>
        </w:rPr>
        <w:t xml:space="preserve"> propios del caso y que las observaciones que como experto ha formulado respecto a la política de seguridad del Estado no lo descalifican, sino que “más bien contribuyen a mejorar la gestión de gobierno”. </w:t>
      </w:r>
    </w:p>
    <w:p w14:paraId="4D9E2875" w14:textId="77777777" w:rsidR="007C2F29" w:rsidRPr="007C2F29" w:rsidRDefault="007C2F29" w:rsidP="007C2F29">
      <w:pPr>
        <w:pStyle w:val="Prrafodelista"/>
        <w:rPr>
          <w:rFonts w:ascii="Verdana" w:hAnsi="Verdana" w:cs="Arial"/>
          <w:color w:val="auto"/>
          <w:sz w:val="20"/>
          <w:szCs w:val="20"/>
          <w:lang w:val="es-CR" w:eastAsia="es-CR"/>
        </w:rPr>
      </w:pPr>
    </w:p>
    <w:p w14:paraId="57435845" w14:textId="73EB4E87" w:rsidR="007C2F29" w:rsidRDefault="00237C50"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El señor </w:t>
      </w:r>
      <w:r w:rsidR="00344501">
        <w:rPr>
          <w:rFonts w:ascii="Verdana" w:hAnsi="Verdana" w:cs="Arial"/>
          <w:b/>
          <w:i/>
          <w:color w:val="auto"/>
          <w:sz w:val="20"/>
          <w:szCs w:val="20"/>
          <w:lang w:val="es-CR" w:eastAsia="es-CR"/>
        </w:rPr>
        <w:t xml:space="preserve">Philip </w:t>
      </w:r>
      <w:proofErr w:type="spellStart"/>
      <w:r w:rsidR="00344501">
        <w:rPr>
          <w:rFonts w:ascii="Verdana" w:hAnsi="Verdana" w:cs="Arial"/>
          <w:b/>
          <w:i/>
          <w:color w:val="auto"/>
          <w:sz w:val="20"/>
          <w:szCs w:val="20"/>
          <w:lang w:val="es-CR" w:eastAsia="es-CR"/>
        </w:rPr>
        <w:t>A</w:t>
      </w:r>
      <w:r w:rsidRPr="00344501">
        <w:rPr>
          <w:rFonts w:ascii="Verdana" w:hAnsi="Verdana" w:cs="Arial"/>
          <w:b/>
          <w:i/>
          <w:color w:val="auto"/>
          <w:sz w:val="20"/>
          <w:szCs w:val="20"/>
          <w:lang w:val="es-CR" w:eastAsia="es-CR"/>
        </w:rPr>
        <w:t>lston</w:t>
      </w:r>
      <w:proofErr w:type="spellEnd"/>
      <w:r>
        <w:rPr>
          <w:rFonts w:ascii="Verdana" w:hAnsi="Verdana" w:cs="Arial"/>
          <w:color w:val="auto"/>
          <w:sz w:val="20"/>
          <w:szCs w:val="20"/>
          <w:lang w:val="es-CR" w:eastAsia="es-CR"/>
        </w:rPr>
        <w:t xml:space="preserve">, por su parte, adujo que la recusación estatal no se corresponde con las causales previstas en el artículo 48.1 del Reglamento. Aclaró también que no tuvo antes intervención en el presente caso y que los pronunciamientos a los que aludió Venezuela corresponden, “en cooperación con varios otros funcionarios”, a su carácter de Relator Especial de Extrema Pobreza y Derechos Humanos. </w:t>
      </w:r>
    </w:p>
    <w:p w14:paraId="256C83C9" w14:textId="77777777" w:rsidR="00237C50" w:rsidRPr="00237C50" w:rsidRDefault="00237C50" w:rsidP="00237C50">
      <w:pPr>
        <w:pStyle w:val="Prrafodelista"/>
        <w:rPr>
          <w:rFonts w:ascii="Verdana" w:hAnsi="Verdana" w:cs="Arial"/>
          <w:color w:val="auto"/>
          <w:sz w:val="20"/>
          <w:szCs w:val="20"/>
          <w:lang w:val="es-CR" w:eastAsia="es-CR"/>
        </w:rPr>
      </w:pPr>
    </w:p>
    <w:p w14:paraId="6F017182" w14:textId="16425596" w:rsidR="00237C50" w:rsidRDefault="00237C50" w:rsidP="00472442">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A su turno, la señora </w:t>
      </w:r>
      <w:r w:rsidRPr="00344501">
        <w:rPr>
          <w:rFonts w:ascii="Verdana" w:hAnsi="Verdana" w:cs="Arial"/>
          <w:b/>
          <w:i/>
          <w:color w:val="auto"/>
          <w:sz w:val="20"/>
          <w:szCs w:val="20"/>
          <w:lang w:val="es-CR" w:eastAsia="es-CR"/>
        </w:rPr>
        <w:t>Magaly Mercedes Vásquez González</w:t>
      </w:r>
      <w:r>
        <w:rPr>
          <w:rFonts w:ascii="Verdana" w:hAnsi="Verdana" w:cs="Arial"/>
          <w:color w:val="auto"/>
          <w:sz w:val="20"/>
          <w:szCs w:val="20"/>
          <w:lang w:val="es-CR" w:eastAsia="es-CR"/>
        </w:rPr>
        <w:t xml:space="preserve"> expresó que </w:t>
      </w:r>
      <w:r w:rsidR="008B13E5">
        <w:rPr>
          <w:rFonts w:ascii="Verdana" w:hAnsi="Verdana" w:cs="Arial"/>
          <w:color w:val="auto"/>
          <w:sz w:val="20"/>
          <w:szCs w:val="20"/>
          <w:lang w:val="es-CR" w:eastAsia="es-CR"/>
        </w:rPr>
        <w:t>la recusación formulada por el Estado no tiene asidero reglamentario. Además, sostuvo que la frecuente propuesta que hacen organizaciones no guber</w:t>
      </w:r>
      <w:r w:rsidR="001766B5">
        <w:rPr>
          <w:rFonts w:ascii="Verdana" w:hAnsi="Verdana" w:cs="Arial"/>
          <w:color w:val="auto"/>
          <w:sz w:val="20"/>
          <w:szCs w:val="20"/>
          <w:lang w:val="es-CR" w:eastAsia="es-CR"/>
        </w:rPr>
        <w:t>na</w:t>
      </w:r>
      <w:r w:rsidR="008B13E5">
        <w:rPr>
          <w:rFonts w:ascii="Verdana" w:hAnsi="Verdana" w:cs="Arial"/>
          <w:color w:val="auto"/>
          <w:sz w:val="20"/>
          <w:szCs w:val="20"/>
          <w:lang w:val="es-CR" w:eastAsia="es-CR"/>
        </w:rPr>
        <w:t>m</w:t>
      </w:r>
      <w:r w:rsidR="001766B5">
        <w:rPr>
          <w:rFonts w:ascii="Verdana" w:hAnsi="Verdana" w:cs="Arial"/>
          <w:color w:val="auto"/>
          <w:sz w:val="20"/>
          <w:szCs w:val="20"/>
          <w:lang w:val="es-CR" w:eastAsia="es-CR"/>
        </w:rPr>
        <w:t>e</w:t>
      </w:r>
      <w:r w:rsidR="008B13E5">
        <w:rPr>
          <w:rFonts w:ascii="Verdana" w:hAnsi="Verdana" w:cs="Arial"/>
          <w:color w:val="auto"/>
          <w:sz w:val="20"/>
          <w:szCs w:val="20"/>
          <w:lang w:val="es-CR" w:eastAsia="es-CR"/>
        </w:rPr>
        <w:t>ntales para su intervención como perita obedece al reconoc</w:t>
      </w:r>
      <w:r w:rsidR="001766B5">
        <w:rPr>
          <w:rFonts w:ascii="Verdana" w:hAnsi="Verdana" w:cs="Arial"/>
          <w:color w:val="auto"/>
          <w:sz w:val="20"/>
          <w:szCs w:val="20"/>
          <w:lang w:val="es-CR" w:eastAsia="es-CR"/>
        </w:rPr>
        <w:t>imiento que las mismas</w:t>
      </w:r>
      <w:r w:rsidR="008B13E5">
        <w:rPr>
          <w:rFonts w:ascii="Verdana" w:hAnsi="Verdana" w:cs="Arial"/>
          <w:color w:val="auto"/>
          <w:sz w:val="20"/>
          <w:szCs w:val="20"/>
          <w:lang w:val="es-CR" w:eastAsia="es-CR"/>
        </w:rPr>
        <w:t xml:space="preserve"> hacen de su experticia académica</w:t>
      </w:r>
      <w:r w:rsidR="001766B5">
        <w:rPr>
          <w:rFonts w:ascii="Verdana" w:hAnsi="Verdana" w:cs="Arial"/>
          <w:color w:val="auto"/>
          <w:sz w:val="20"/>
          <w:szCs w:val="20"/>
          <w:lang w:val="es-CR" w:eastAsia="es-CR"/>
        </w:rPr>
        <w:t>. Adujo que lo anterior no puede calificarse como “hacer profesión” de su intervención como perita y también que ello</w:t>
      </w:r>
      <w:r w:rsidR="008B13E5">
        <w:rPr>
          <w:rFonts w:ascii="Verdana" w:hAnsi="Verdana" w:cs="Arial"/>
          <w:color w:val="auto"/>
          <w:sz w:val="20"/>
          <w:szCs w:val="20"/>
          <w:lang w:val="es-CR" w:eastAsia="es-CR"/>
        </w:rPr>
        <w:t xml:space="preserve">, en lugar de inhabilitarla, la califica para intervenir en instancias tales como un proceso ante la Corte. </w:t>
      </w:r>
    </w:p>
    <w:p w14:paraId="113D2693" w14:textId="77777777" w:rsidR="001766B5" w:rsidRPr="001766B5" w:rsidRDefault="001766B5" w:rsidP="001766B5">
      <w:pPr>
        <w:pStyle w:val="Prrafodelista"/>
        <w:rPr>
          <w:rFonts w:ascii="Verdana" w:hAnsi="Verdana" w:cs="Arial"/>
          <w:color w:val="auto"/>
          <w:sz w:val="20"/>
          <w:szCs w:val="20"/>
          <w:lang w:val="es-CR" w:eastAsia="es-CR"/>
        </w:rPr>
      </w:pPr>
    </w:p>
    <w:p w14:paraId="59DF45FA" w14:textId="0D7725CB" w:rsidR="00F47542" w:rsidRDefault="00AB00F1" w:rsidP="00AB00F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En cuanto a las recusaciones formuladas por el Estado, esta </w:t>
      </w:r>
      <w:r w:rsidRPr="004B720A">
        <w:rPr>
          <w:rFonts w:ascii="Verdana" w:hAnsi="Verdana" w:cs="Arial"/>
          <w:b/>
          <w:i/>
          <w:color w:val="auto"/>
          <w:sz w:val="20"/>
          <w:szCs w:val="20"/>
          <w:lang w:val="es-CR" w:eastAsia="es-CR"/>
        </w:rPr>
        <w:t>Presidencia</w:t>
      </w:r>
      <w:r>
        <w:rPr>
          <w:rFonts w:ascii="Verdana" w:hAnsi="Verdana" w:cs="Arial"/>
          <w:color w:val="auto"/>
          <w:sz w:val="20"/>
          <w:szCs w:val="20"/>
          <w:lang w:val="es-CR" w:eastAsia="es-CR"/>
        </w:rPr>
        <w:t xml:space="preserve"> recuerda que l</w:t>
      </w:r>
      <w:r w:rsidRPr="0058489C">
        <w:rPr>
          <w:rFonts w:ascii="Verdana" w:hAnsi="Verdana" w:cs="Arial"/>
          <w:color w:val="auto"/>
          <w:sz w:val="20"/>
          <w:szCs w:val="20"/>
          <w:lang w:val="es-CR" w:eastAsia="es-CR"/>
        </w:rPr>
        <w:t>a afectación de la imparcialidad está, como causa</w:t>
      </w:r>
      <w:r>
        <w:rPr>
          <w:rFonts w:ascii="Verdana" w:hAnsi="Verdana" w:cs="Arial"/>
          <w:color w:val="auto"/>
          <w:sz w:val="20"/>
          <w:szCs w:val="20"/>
          <w:lang w:val="es-CR" w:eastAsia="es-CR"/>
        </w:rPr>
        <w:t>l</w:t>
      </w:r>
      <w:r w:rsidRPr="0058489C">
        <w:rPr>
          <w:rFonts w:ascii="Verdana" w:hAnsi="Verdana" w:cs="Arial"/>
          <w:color w:val="auto"/>
          <w:sz w:val="20"/>
          <w:szCs w:val="20"/>
          <w:lang w:val="es-CR" w:eastAsia="es-CR"/>
        </w:rPr>
        <w:t xml:space="preserve"> de recusación, prevista en el apartado c) del primer inciso del artículo reglamentario 48. </w:t>
      </w:r>
      <w:r w:rsidR="00E76831">
        <w:rPr>
          <w:rFonts w:ascii="Verdana" w:hAnsi="Verdana" w:cs="Arial"/>
          <w:color w:val="auto"/>
          <w:sz w:val="20"/>
          <w:szCs w:val="20"/>
          <w:lang w:val="es-CR" w:eastAsia="es-CR"/>
        </w:rPr>
        <w:t>Ahora bien</w:t>
      </w:r>
      <w:r w:rsidRPr="0058489C">
        <w:rPr>
          <w:rFonts w:ascii="Verdana" w:hAnsi="Verdana" w:cs="Arial"/>
          <w:color w:val="auto"/>
          <w:sz w:val="20"/>
          <w:szCs w:val="20"/>
          <w:lang w:val="es-CR" w:eastAsia="es-CR"/>
        </w:rPr>
        <w:t>, no bastan meros posicionamientos políticos u opiniones sobre las instituciones estatales para denotar parcialidad</w:t>
      </w:r>
      <w:r w:rsidR="000A61D6">
        <w:rPr>
          <w:rFonts w:ascii="Verdana" w:hAnsi="Verdana" w:cs="Arial"/>
          <w:color w:val="auto"/>
          <w:sz w:val="20"/>
          <w:szCs w:val="20"/>
          <w:lang w:val="es-CR" w:eastAsia="es-CR"/>
        </w:rPr>
        <w:t xml:space="preserve"> o un interés directo en el caso</w:t>
      </w:r>
      <w:r w:rsidRPr="0058489C">
        <w:rPr>
          <w:rFonts w:ascii="Verdana" w:hAnsi="Verdana" w:cs="Arial"/>
          <w:color w:val="auto"/>
          <w:sz w:val="20"/>
          <w:szCs w:val="20"/>
          <w:lang w:val="es-CR" w:eastAsia="es-CR"/>
        </w:rPr>
        <w:t xml:space="preserve">, máxime cuando tales expresiones sean el resultado de la propia actividad de la persona llamada a prestar declaración pericial, como resulta claro en el caso del señor </w:t>
      </w:r>
      <w:proofErr w:type="spellStart"/>
      <w:r w:rsidRPr="0058489C">
        <w:rPr>
          <w:rFonts w:ascii="Verdana" w:hAnsi="Verdana" w:cs="Arial"/>
          <w:color w:val="auto"/>
          <w:sz w:val="20"/>
          <w:szCs w:val="20"/>
          <w:lang w:val="es-CR" w:eastAsia="es-CR"/>
        </w:rPr>
        <w:t>Alston</w:t>
      </w:r>
      <w:proofErr w:type="spellEnd"/>
      <w:r w:rsidRPr="0058489C">
        <w:rPr>
          <w:rFonts w:ascii="Verdana" w:hAnsi="Verdana" w:cs="Arial"/>
          <w:color w:val="auto"/>
          <w:sz w:val="20"/>
          <w:szCs w:val="20"/>
          <w:lang w:val="es-CR" w:eastAsia="es-CR"/>
        </w:rPr>
        <w:t>, a quien Venezuela cuestiona por sus pronunciamientos como Relator Especial de la Organización de las Naciones Unidas</w:t>
      </w:r>
      <w:r w:rsidR="000A61D6">
        <w:rPr>
          <w:rStyle w:val="Refdenotaalpie"/>
          <w:rFonts w:ascii="Verdana" w:hAnsi="Verdana" w:cs="Arial"/>
          <w:color w:val="auto"/>
          <w:sz w:val="20"/>
          <w:szCs w:val="20"/>
          <w:lang w:val="es-CR" w:eastAsia="es-CR"/>
        </w:rPr>
        <w:footnoteReference w:id="16"/>
      </w:r>
      <w:r w:rsidRPr="0058489C">
        <w:rPr>
          <w:rFonts w:ascii="Verdana" w:hAnsi="Verdana" w:cs="Arial"/>
          <w:color w:val="auto"/>
          <w:sz w:val="20"/>
          <w:szCs w:val="20"/>
          <w:lang w:val="es-CR" w:eastAsia="es-CR"/>
        </w:rPr>
        <w:t xml:space="preserve">. </w:t>
      </w:r>
      <w:r w:rsidR="000A61D6">
        <w:rPr>
          <w:rFonts w:ascii="Verdana" w:hAnsi="Verdana" w:cs="Arial"/>
          <w:color w:val="auto"/>
          <w:sz w:val="20"/>
          <w:szCs w:val="20"/>
          <w:lang w:val="es-CR" w:eastAsia="es-CR"/>
        </w:rPr>
        <w:t>El E</w:t>
      </w:r>
      <w:r w:rsidR="00F47542">
        <w:rPr>
          <w:rFonts w:ascii="Verdana" w:hAnsi="Verdana" w:cs="Arial"/>
          <w:color w:val="auto"/>
          <w:sz w:val="20"/>
          <w:szCs w:val="20"/>
          <w:lang w:val="es-CR" w:eastAsia="es-CR"/>
        </w:rPr>
        <w:t xml:space="preserve">stado, por otro lado, aunque expresó que el señor </w:t>
      </w:r>
      <w:proofErr w:type="spellStart"/>
      <w:r w:rsidR="00F47542">
        <w:rPr>
          <w:rFonts w:ascii="Verdana" w:hAnsi="Verdana" w:cs="Arial"/>
          <w:color w:val="auto"/>
          <w:sz w:val="20"/>
          <w:szCs w:val="20"/>
          <w:lang w:val="es-CR" w:eastAsia="es-CR"/>
        </w:rPr>
        <w:t>Alston</w:t>
      </w:r>
      <w:proofErr w:type="spellEnd"/>
      <w:r w:rsidR="00F47542">
        <w:rPr>
          <w:rFonts w:ascii="Verdana" w:hAnsi="Verdana" w:cs="Arial"/>
          <w:color w:val="auto"/>
          <w:sz w:val="20"/>
          <w:szCs w:val="20"/>
          <w:lang w:val="es-CR" w:eastAsia="es-CR"/>
        </w:rPr>
        <w:t xml:space="preserve"> hizo manifestaciones sobre “temas relacionados con el fondo del presente asunto”, no indicó un pronunciamiento previo de él respecto al caso concreto que se encuentra examinando la Corte.</w:t>
      </w:r>
      <w:r w:rsidR="00F47542" w:rsidRPr="0058489C">
        <w:rPr>
          <w:rFonts w:ascii="Verdana" w:hAnsi="Verdana" w:cs="Arial"/>
          <w:color w:val="auto"/>
          <w:sz w:val="20"/>
          <w:szCs w:val="20"/>
          <w:lang w:val="es-CR" w:eastAsia="es-CR"/>
        </w:rPr>
        <w:t xml:space="preserve"> </w:t>
      </w:r>
    </w:p>
    <w:p w14:paraId="0C2ADE67" w14:textId="77777777" w:rsidR="00F47542" w:rsidRPr="004B720A" w:rsidRDefault="00F47542" w:rsidP="004B720A">
      <w:pPr>
        <w:pStyle w:val="Prrafodelista"/>
        <w:rPr>
          <w:rFonts w:ascii="Verdana" w:hAnsi="Verdana" w:cs="Arial"/>
          <w:color w:val="auto"/>
          <w:sz w:val="20"/>
          <w:szCs w:val="20"/>
          <w:lang w:val="es-CR" w:eastAsia="es-CR"/>
        </w:rPr>
      </w:pPr>
    </w:p>
    <w:p w14:paraId="1E39636B" w14:textId="1368E0F4" w:rsidR="00AB00F1" w:rsidRDefault="00F47542" w:rsidP="00AB00F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El artículo 48 indicado</w:t>
      </w:r>
      <w:r w:rsidR="00AB00F1" w:rsidRPr="0058489C">
        <w:rPr>
          <w:rFonts w:ascii="Verdana" w:hAnsi="Verdana" w:cs="Arial"/>
          <w:color w:val="auto"/>
          <w:sz w:val="20"/>
          <w:szCs w:val="20"/>
          <w:lang w:val="es-CR" w:eastAsia="es-CR"/>
        </w:rPr>
        <w:t xml:space="preserve">, </w:t>
      </w:r>
      <w:r w:rsidR="00AB00F1">
        <w:rPr>
          <w:rFonts w:ascii="Verdana" w:hAnsi="Verdana" w:cs="Arial"/>
          <w:color w:val="auto"/>
          <w:sz w:val="20"/>
          <w:szCs w:val="20"/>
          <w:lang w:val="es-CR" w:eastAsia="es-CR"/>
        </w:rPr>
        <w:t>además, refiere</w:t>
      </w:r>
      <w:r w:rsidR="00AB00F1" w:rsidRPr="0058489C">
        <w:rPr>
          <w:rFonts w:ascii="Verdana" w:hAnsi="Verdana" w:cs="Arial"/>
          <w:color w:val="auto"/>
          <w:sz w:val="20"/>
          <w:szCs w:val="20"/>
          <w:lang w:val="es-CR" w:eastAsia="es-CR"/>
        </w:rPr>
        <w:t xml:space="preserve"> la </w:t>
      </w:r>
      <w:r w:rsidR="00AB00F1">
        <w:rPr>
          <w:rFonts w:ascii="Verdana" w:hAnsi="Verdana" w:cs="Arial"/>
          <w:color w:val="auto"/>
          <w:sz w:val="20"/>
          <w:szCs w:val="20"/>
          <w:lang w:val="es-CR" w:eastAsia="es-CR"/>
        </w:rPr>
        <w:t>afectación a la imparcialidad en relación con</w:t>
      </w:r>
      <w:r w:rsidR="00AB00F1" w:rsidRPr="0058489C">
        <w:rPr>
          <w:rFonts w:ascii="Verdana" w:hAnsi="Verdana" w:cs="Arial"/>
          <w:color w:val="auto"/>
          <w:sz w:val="20"/>
          <w:szCs w:val="20"/>
          <w:lang w:val="es-CR" w:eastAsia="es-CR"/>
        </w:rPr>
        <w:t xml:space="preserve"> circunstancias </w:t>
      </w:r>
      <w:r w:rsidR="00AB00F1">
        <w:rPr>
          <w:rFonts w:ascii="Verdana" w:hAnsi="Verdana" w:cs="Arial"/>
          <w:color w:val="auto"/>
          <w:sz w:val="20"/>
          <w:szCs w:val="20"/>
          <w:lang w:val="es-CR" w:eastAsia="es-CR"/>
        </w:rPr>
        <w:t>que</w:t>
      </w:r>
      <w:r w:rsidR="00AB00F1" w:rsidRPr="0058489C">
        <w:rPr>
          <w:rFonts w:ascii="Verdana" w:hAnsi="Verdana" w:cs="Arial"/>
          <w:color w:val="auto"/>
          <w:sz w:val="20"/>
          <w:szCs w:val="20"/>
          <w:lang w:val="es-CR" w:eastAsia="es-CR"/>
        </w:rPr>
        <w:t xml:space="preserve"> señala, a saber: </w:t>
      </w:r>
      <w:r w:rsidR="00AB00F1">
        <w:rPr>
          <w:rFonts w:ascii="Verdana" w:hAnsi="Verdana" w:cs="Arial"/>
          <w:color w:val="auto"/>
          <w:sz w:val="20"/>
          <w:szCs w:val="20"/>
          <w:lang w:val="es-CR" w:eastAsia="es-CR"/>
        </w:rPr>
        <w:t>“</w:t>
      </w:r>
      <w:r w:rsidR="00AB00F1" w:rsidRPr="0058489C">
        <w:rPr>
          <w:rFonts w:ascii="Verdana" w:hAnsi="Verdana" w:cs="Arial"/>
          <w:color w:val="auto"/>
          <w:sz w:val="20"/>
          <w:szCs w:val="20"/>
          <w:lang w:val="es-CR" w:eastAsia="es-CR"/>
        </w:rPr>
        <w:t>tener o haber tenido vínculos estrechos o relación de subordinación funcional con la parte que lo propone</w:t>
      </w:r>
      <w:r w:rsidR="00AB00F1">
        <w:rPr>
          <w:rFonts w:ascii="Verdana" w:hAnsi="Verdana" w:cs="Arial"/>
          <w:color w:val="auto"/>
          <w:sz w:val="20"/>
          <w:szCs w:val="20"/>
          <w:lang w:val="es-CR" w:eastAsia="es-CR"/>
        </w:rPr>
        <w:t>”</w:t>
      </w:r>
      <w:r w:rsidR="00724382">
        <w:rPr>
          <w:rStyle w:val="Refdenotaalpie"/>
          <w:rFonts w:ascii="Verdana" w:hAnsi="Verdana" w:cs="Arial"/>
          <w:color w:val="auto"/>
          <w:sz w:val="20"/>
          <w:szCs w:val="20"/>
          <w:lang w:val="es-CR" w:eastAsia="es-CR"/>
        </w:rPr>
        <w:footnoteReference w:id="17"/>
      </w:r>
      <w:r w:rsidR="00AB00F1">
        <w:rPr>
          <w:rFonts w:ascii="Verdana" w:hAnsi="Verdana" w:cs="Arial"/>
          <w:color w:val="auto"/>
          <w:sz w:val="20"/>
          <w:szCs w:val="20"/>
          <w:lang w:val="es-CR" w:eastAsia="es-CR"/>
        </w:rPr>
        <w:t xml:space="preserve">. No se ha aducido que estas circunstancias se presenten respecto a los señores Briceño León y </w:t>
      </w:r>
      <w:proofErr w:type="spellStart"/>
      <w:r w:rsidR="00AB00F1">
        <w:rPr>
          <w:rFonts w:ascii="Verdana" w:hAnsi="Verdana" w:cs="Arial"/>
          <w:color w:val="auto"/>
          <w:sz w:val="20"/>
          <w:szCs w:val="20"/>
          <w:lang w:val="es-CR" w:eastAsia="es-CR"/>
        </w:rPr>
        <w:t>Alston</w:t>
      </w:r>
      <w:proofErr w:type="spellEnd"/>
      <w:r w:rsidR="00AB00F1">
        <w:rPr>
          <w:rFonts w:ascii="Verdana" w:hAnsi="Verdana" w:cs="Arial"/>
          <w:color w:val="auto"/>
          <w:sz w:val="20"/>
          <w:szCs w:val="20"/>
          <w:lang w:val="es-CR" w:eastAsia="es-CR"/>
        </w:rPr>
        <w:t xml:space="preserve">. En definitiva, la </w:t>
      </w:r>
      <w:proofErr w:type="gramStart"/>
      <w:r w:rsidR="00AB00F1">
        <w:rPr>
          <w:rFonts w:ascii="Verdana" w:hAnsi="Verdana" w:cs="Arial"/>
          <w:color w:val="auto"/>
          <w:sz w:val="20"/>
          <w:szCs w:val="20"/>
          <w:lang w:val="es-CR" w:eastAsia="es-CR"/>
        </w:rPr>
        <w:t>Presidenta</w:t>
      </w:r>
      <w:proofErr w:type="gramEnd"/>
      <w:r w:rsidR="00AB00F1">
        <w:rPr>
          <w:rFonts w:ascii="Verdana" w:hAnsi="Verdana" w:cs="Arial"/>
          <w:color w:val="auto"/>
          <w:sz w:val="20"/>
          <w:szCs w:val="20"/>
          <w:lang w:val="es-CR" w:eastAsia="es-CR"/>
        </w:rPr>
        <w:t xml:space="preserve"> no advierte que el Estado haya sustentado</w:t>
      </w:r>
      <w:r w:rsidR="0088158A">
        <w:rPr>
          <w:rFonts w:ascii="Verdana" w:hAnsi="Verdana" w:cs="Arial"/>
          <w:color w:val="auto"/>
          <w:sz w:val="20"/>
          <w:szCs w:val="20"/>
          <w:lang w:val="es-CR" w:eastAsia="es-CR"/>
        </w:rPr>
        <w:t>,</w:t>
      </w:r>
      <w:r w:rsidR="00AB00F1">
        <w:rPr>
          <w:rFonts w:ascii="Verdana" w:hAnsi="Verdana" w:cs="Arial"/>
          <w:color w:val="auto"/>
          <w:sz w:val="20"/>
          <w:szCs w:val="20"/>
          <w:lang w:val="es-CR" w:eastAsia="es-CR"/>
        </w:rPr>
        <w:t xml:space="preserve"> en forma suficiente y de conformidad al Reglamento</w:t>
      </w:r>
      <w:r w:rsidR="0088158A">
        <w:rPr>
          <w:rFonts w:ascii="Verdana" w:hAnsi="Verdana" w:cs="Arial"/>
          <w:color w:val="auto"/>
          <w:sz w:val="20"/>
          <w:szCs w:val="20"/>
          <w:lang w:val="es-CR" w:eastAsia="es-CR"/>
        </w:rPr>
        <w:t>,</w:t>
      </w:r>
      <w:r w:rsidR="00AB00F1">
        <w:rPr>
          <w:rFonts w:ascii="Verdana" w:hAnsi="Verdana" w:cs="Arial"/>
          <w:color w:val="auto"/>
          <w:sz w:val="20"/>
          <w:szCs w:val="20"/>
          <w:lang w:val="es-CR" w:eastAsia="es-CR"/>
        </w:rPr>
        <w:t xml:space="preserve"> la parcialidad que adujo. </w:t>
      </w:r>
      <w:r w:rsidR="00F319F2">
        <w:rPr>
          <w:rFonts w:ascii="Verdana" w:hAnsi="Verdana" w:cs="Arial"/>
          <w:color w:val="auto"/>
          <w:sz w:val="20"/>
          <w:szCs w:val="20"/>
          <w:lang w:val="es-CR" w:eastAsia="es-CR"/>
        </w:rPr>
        <w:t xml:space="preserve">Las recusaciones de los señores Briceño León y </w:t>
      </w:r>
      <w:proofErr w:type="spellStart"/>
      <w:r w:rsidR="00F319F2">
        <w:rPr>
          <w:rFonts w:ascii="Verdana" w:hAnsi="Verdana" w:cs="Arial"/>
          <w:color w:val="auto"/>
          <w:sz w:val="20"/>
          <w:szCs w:val="20"/>
          <w:lang w:val="es-CR" w:eastAsia="es-CR"/>
        </w:rPr>
        <w:t>Alston</w:t>
      </w:r>
      <w:proofErr w:type="spellEnd"/>
      <w:r w:rsidR="00F319F2">
        <w:rPr>
          <w:rFonts w:ascii="Verdana" w:hAnsi="Verdana" w:cs="Arial"/>
          <w:color w:val="auto"/>
          <w:sz w:val="20"/>
          <w:szCs w:val="20"/>
          <w:lang w:val="es-CR" w:eastAsia="es-CR"/>
        </w:rPr>
        <w:t xml:space="preserve"> son, por lo tanto, desestimadas. </w:t>
      </w:r>
    </w:p>
    <w:p w14:paraId="3925F9B5" w14:textId="7550B68A" w:rsidR="00AB00F1" w:rsidRDefault="00AB00F1" w:rsidP="004B720A">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5F8894B7" w14:textId="3FA45E62" w:rsidR="00AB00F1" w:rsidRDefault="00AB00F1" w:rsidP="00EB13F7">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Respecto a la señora Vásquez González, Venezuela sí adujo que ella tiene “vínculos estrechos” con los representantes. De la argumentación estatal, no obstante, se desprende que, al señalar la aducida vinculación, el Estado </w:t>
      </w:r>
      <w:r w:rsidR="00E76831">
        <w:rPr>
          <w:rFonts w:ascii="Verdana" w:hAnsi="Verdana" w:cs="Arial"/>
          <w:color w:val="auto"/>
          <w:sz w:val="20"/>
          <w:szCs w:val="20"/>
          <w:lang w:val="es-CR" w:eastAsia="es-CR"/>
        </w:rPr>
        <w:t>hizo</w:t>
      </w:r>
      <w:r w:rsidR="00F319F2">
        <w:rPr>
          <w:rFonts w:ascii="Verdana" w:hAnsi="Verdana" w:cs="Arial"/>
          <w:color w:val="auto"/>
          <w:sz w:val="20"/>
          <w:szCs w:val="20"/>
          <w:lang w:val="es-CR" w:eastAsia="es-CR"/>
        </w:rPr>
        <w:t xml:space="preserve"> una referencia general a relaciones que tendría la señora Vásquez González con un conjunto amplio de organizaciones no gubernamentales, lo que se evidenciaría por ser ella propuesta con frecuencia, por dichas organizaciones, para prestar declaración pericial ante la Corte. Esta </w:t>
      </w:r>
      <w:proofErr w:type="gramStart"/>
      <w:r w:rsidR="00F319F2">
        <w:rPr>
          <w:rFonts w:ascii="Verdana" w:hAnsi="Verdana" w:cs="Arial"/>
          <w:color w:val="auto"/>
          <w:sz w:val="20"/>
          <w:szCs w:val="20"/>
          <w:lang w:val="es-CR" w:eastAsia="es-CR"/>
        </w:rPr>
        <w:t>Presidenta</w:t>
      </w:r>
      <w:proofErr w:type="gramEnd"/>
      <w:r w:rsidR="00F319F2">
        <w:rPr>
          <w:rFonts w:ascii="Verdana" w:hAnsi="Verdana" w:cs="Arial"/>
          <w:color w:val="auto"/>
          <w:sz w:val="20"/>
          <w:szCs w:val="20"/>
          <w:lang w:val="es-CR" w:eastAsia="es-CR"/>
        </w:rPr>
        <w:t xml:space="preserve"> considera que el señalamiento estatal no es suficiente para acreditar una vinculación estrecha de la señora Vásquez González con los representantes de las presuntas víctimas de este caso que pudiera denotar una falta de imparcialidad. Por otra parte, del propio señalamiento estatal sobre la frecuencia con que la señora Vásquez González es propuesta como perita y de las explicaciones de ella al respecto, surge que tales consideraciones son indicativas de su experticia e idoneidad como perita. Por lo tanto, la recusación presentada por Venezuela respecto a Magaly Mercedes Vásquez González es desestimada. </w:t>
      </w:r>
    </w:p>
    <w:p w14:paraId="1AA48486" w14:textId="77777777" w:rsidR="00340A24" w:rsidRPr="00340A24" w:rsidRDefault="00340A24" w:rsidP="00340A24">
      <w:pPr>
        <w:pStyle w:val="Prrafodelista"/>
        <w:rPr>
          <w:rFonts w:ascii="Verdana" w:hAnsi="Verdana" w:cs="Arial"/>
          <w:color w:val="auto"/>
          <w:sz w:val="20"/>
          <w:szCs w:val="20"/>
          <w:lang w:val="es-CR" w:eastAsia="es-CR"/>
        </w:rPr>
      </w:pPr>
    </w:p>
    <w:p w14:paraId="5B6592A9" w14:textId="2FD67A60" w:rsidR="00CC02D6" w:rsidRDefault="00F319F2" w:rsidP="00EB13F7">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Ahora bien, sin perjuicio de lo ya </w:t>
      </w:r>
      <w:r w:rsidR="005F2761">
        <w:rPr>
          <w:rFonts w:ascii="Verdana" w:hAnsi="Verdana" w:cs="Arial"/>
          <w:color w:val="auto"/>
          <w:sz w:val="20"/>
          <w:szCs w:val="20"/>
          <w:lang w:val="es-CR" w:eastAsia="es-CR"/>
        </w:rPr>
        <w:t>decidido, corresponde tratar la objeción estatal a las declaraciones propuestas por los representantes, basada en que las mismas resultarían impertinentes e innecesarias. (</w:t>
      </w:r>
      <w:r w:rsidR="005F2761">
        <w:rPr>
          <w:rFonts w:ascii="Verdana" w:hAnsi="Verdana" w:cs="Arial"/>
          <w:i/>
          <w:color w:val="auto"/>
          <w:sz w:val="20"/>
          <w:szCs w:val="20"/>
          <w:lang w:val="es-CR" w:eastAsia="es-CR"/>
        </w:rPr>
        <w:t xml:space="preserve">supra </w:t>
      </w:r>
      <w:r w:rsidR="005F2761">
        <w:rPr>
          <w:rFonts w:ascii="Verdana" w:hAnsi="Verdana" w:cs="Arial"/>
          <w:color w:val="auto"/>
          <w:sz w:val="20"/>
          <w:szCs w:val="20"/>
          <w:lang w:val="es-CR" w:eastAsia="es-CR"/>
        </w:rPr>
        <w:t>Considerando</w:t>
      </w:r>
      <w:r w:rsidR="008645EC">
        <w:rPr>
          <w:rFonts w:ascii="Verdana" w:hAnsi="Verdana" w:cs="Arial"/>
          <w:color w:val="auto"/>
          <w:sz w:val="20"/>
          <w:szCs w:val="20"/>
          <w:lang w:val="es-CR" w:eastAsia="es-CR"/>
        </w:rPr>
        <w:t xml:space="preserve"> 23</w:t>
      </w:r>
      <w:r w:rsidR="005F2761">
        <w:rPr>
          <w:rFonts w:ascii="Verdana" w:hAnsi="Verdana" w:cs="Arial"/>
          <w:color w:val="auto"/>
          <w:sz w:val="20"/>
          <w:szCs w:val="20"/>
          <w:lang w:val="es-CR" w:eastAsia="es-CR"/>
        </w:rPr>
        <w:t xml:space="preserve">). </w:t>
      </w:r>
      <w:r w:rsidR="00340A24">
        <w:rPr>
          <w:rFonts w:ascii="Verdana" w:hAnsi="Verdana" w:cs="Arial"/>
          <w:color w:val="auto"/>
          <w:sz w:val="20"/>
          <w:szCs w:val="20"/>
          <w:lang w:val="es-CR" w:eastAsia="es-CR"/>
        </w:rPr>
        <w:t xml:space="preserve">De lo </w:t>
      </w:r>
      <w:r w:rsidR="005F2761">
        <w:rPr>
          <w:rFonts w:ascii="Verdana" w:hAnsi="Verdana" w:cs="Arial"/>
          <w:color w:val="auto"/>
          <w:sz w:val="20"/>
          <w:szCs w:val="20"/>
          <w:lang w:val="es-CR" w:eastAsia="es-CR"/>
        </w:rPr>
        <w:t xml:space="preserve">expuesto </w:t>
      </w:r>
      <w:r w:rsidR="005F2761" w:rsidRPr="004B720A">
        <w:rPr>
          <w:rFonts w:ascii="Verdana" w:hAnsi="Verdana" w:cs="Arial"/>
          <w:i/>
          <w:color w:val="auto"/>
          <w:sz w:val="20"/>
          <w:szCs w:val="20"/>
          <w:lang w:val="es-CR" w:eastAsia="es-CR"/>
        </w:rPr>
        <w:t>(</w:t>
      </w:r>
      <w:r w:rsidR="005F2761" w:rsidRPr="0088158A">
        <w:rPr>
          <w:rFonts w:ascii="Verdana" w:hAnsi="Verdana" w:cs="Arial"/>
          <w:i/>
          <w:color w:val="auto"/>
          <w:sz w:val="20"/>
          <w:szCs w:val="20"/>
          <w:lang w:val="es-CR" w:eastAsia="es-CR"/>
        </w:rPr>
        <w:t>supra</w:t>
      </w:r>
      <w:r w:rsidR="005F2761">
        <w:rPr>
          <w:rFonts w:ascii="Verdana" w:hAnsi="Verdana" w:cs="Arial"/>
          <w:i/>
          <w:color w:val="auto"/>
          <w:sz w:val="20"/>
          <w:szCs w:val="20"/>
          <w:lang w:val="es-CR" w:eastAsia="es-CR"/>
        </w:rPr>
        <w:t xml:space="preserve"> </w:t>
      </w:r>
      <w:r w:rsidR="005F2761">
        <w:rPr>
          <w:rFonts w:ascii="Verdana" w:hAnsi="Verdana" w:cs="Arial"/>
          <w:color w:val="auto"/>
          <w:sz w:val="20"/>
          <w:szCs w:val="20"/>
          <w:lang w:val="es-CR" w:eastAsia="es-CR"/>
        </w:rPr>
        <w:t xml:space="preserve">notas a pie de página </w:t>
      </w:r>
      <w:r w:rsidR="008645EC">
        <w:rPr>
          <w:rFonts w:ascii="Verdana" w:hAnsi="Verdana" w:cs="Arial"/>
          <w:color w:val="auto"/>
          <w:sz w:val="20"/>
          <w:szCs w:val="20"/>
          <w:lang w:val="es-CR" w:eastAsia="es-CR"/>
        </w:rPr>
        <w:t>11 a 15</w:t>
      </w:r>
      <w:r w:rsidR="005F2761">
        <w:rPr>
          <w:rFonts w:ascii="Verdana" w:hAnsi="Verdana" w:cs="Arial"/>
          <w:color w:val="auto"/>
          <w:sz w:val="20"/>
          <w:szCs w:val="20"/>
          <w:lang w:val="es-CR" w:eastAsia="es-CR"/>
        </w:rPr>
        <w:t>)</w:t>
      </w:r>
      <w:r w:rsidR="00340A24">
        <w:rPr>
          <w:rFonts w:ascii="Verdana" w:hAnsi="Verdana" w:cs="Arial"/>
          <w:color w:val="auto"/>
          <w:sz w:val="20"/>
          <w:szCs w:val="20"/>
          <w:lang w:val="es-CR" w:eastAsia="es-CR"/>
        </w:rPr>
        <w:t xml:space="preserve"> surge que los objetos propuestos para las declaraciones de Ignacio Cano y Philip </w:t>
      </w:r>
      <w:proofErr w:type="spellStart"/>
      <w:r w:rsidR="00340A24">
        <w:rPr>
          <w:rFonts w:ascii="Verdana" w:hAnsi="Verdana" w:cs="Arial"/>
          <w:color w:val="auto"/>
          <w:sz w:val="20"/>
          <w:szCs w:val="20"/>
          <w:lang w:val="es-CR" w:eastAsia="es-CR"/>
        </w:rPr>
        <w:t>Alston</w:t>
      </w:r>
      <w:proofErr w:type="spellEnd"/>
      <w:r w:rsidR="00340A24">
        <w:rPr>
          <w:rFonts w:ascii="Verdana" w:hAnsi="Verdana" w:cs="Arial"/>
          <w:color w:val="auto"/>
          <w:sz w:val="20"/>
          <w:szCs w:val="20"/>
          <w:lang w:val="es-CR" w:eastAsia="es-CR"/>
        </w:rPr>
        <w:t xml:space="preserve"> se refieren a aspectos particulares</w:t>
      </w:r>
      <w:r w:rsidR="00541054">
        <w:rPr>
          <w:rFonts w:ascii="Verdana" w:hAnsi="Verdana" w:cs="Arial"/>
          <w:color w:val="auto"/>
          <w:sz w:val="20"/>
          <w:szCs w:val="20"/>
          <w:lang w:val="es-CR" w:eastAsia="es-CR"/>
        </w:rPr>
        <w:t xml:space="preserve"> o específicos</w:t>
      </w:r>
      <w:r w:rsidR="00340A24">
        <w:rPr>
          <w:rFonts w:ascii="Verdana" w:hAnsi="Verdana" w:cs="Arial"/>
          <w:color w:val="auto"/>
          <w:sz w:val="20"/>
          <w:szCs w:val="20"/>
          <w:lang w:val="es-CR" w:eastAsia="es-CR"/>
        </w:rPr>
        <w:t>, como son el diseño de políticas públicas y la actuación de fuerzas públicas en contextos de pobreza y vulnerabilidad, que podrían contribuir a enriquecer el examen de la Corte sobre el caso</w:t>
      </w:r>
      <w:r w:rsidR="00541054">
        <w:rPr>
          <w:rFonts w:ascii="Verdana" w:hAnsi="Verdana" w:cs="Arial"/>
          <w:color w:val="auto"/>
          <w:sz w:val="20"/>
          <w:szCs w:val="20"/>
          <w:lang w:val="es-CR" w:eastAsia="es-CR"/>
        </w:rPr>
        <w:t>, ampliando las apreciaciones que podrían surgir de los argumentos de la Comisión y los representantes y el reconocimiento estatal de responsabilidad</w:t>
      </w:r>
      <w:r w:rsidR="00340A24">
        <w:rPr>
          <w:rFonts w:ascii="Verdana" w:hAnsi="Verdana" w:cs="Arial"/>
          <w:color w:val="auto"/>
          <w:sz w:val="20"/>
          <w:szCs w:val="20"/>
          <w:lang w:val="es-CR" w:eastAsia="es-CR"/>
        </w:rPr>
        <w:t xml:space="preserve">. Los objetos </w:t>
      </w:r>
      <w:r w:rsidR="00CC02D6">
        <w:rPr>
          <w:rFonts w:ascii="Verdana" w:hAnsi="Verdana" w:cs="Arial"/>
          <w:color w:val="auto"/>
          <w:sz w:val="20"/>
          <w:szCs w:val="20"/>
          <w:lang w:val="es-CR" w:eastAsia="es-CR"/>
        </w:rPr>
        <w:t>propuestos para las declaraciones de José Luis Prieto Carrero y Briceño L</w:t>
      </w:r>
      <w:r w:rsidR="008E4202">
        <w:rPr>
          <w:rFonts w:ascii="Verdana" w:hAnsi="Verdana" w:cs="Arial"/>
          <w:color w:val="auto"/>
          <w:sz w:val="20"/>
          <w:szCs w:val="20"/>
          <w:lang w:val="es-CR" w:eastAsia="es-CR"/>
        </w:rPr>
        <w:t>eó</w:t>
      </w:r>
      <w:r w:rsidR="00CC02D6">
        <w:rPr>
          <w:rFonts w:ascii="Verdana" w:hAnsi="Verdana" w:cs="Arial"/>
          <w:color w:val="auto"/>
          <w:sz w:val="20"/>
          <w:szCs w:val="20"/>
          <w:lang w:val="es-CR" w:eastAsia="es-CR"/>
        </w:rPr>
        <w:t xml:space="preserve">n, por su parte, si bien aluden a aspectos que </w:t>
      </w:r>
      <w:r w:rsidR="00CC02D6" w:rsidRPr="00CC02D6">
        <w:rPr>
          <w:rFonts w:ascii="Verdana" w:hAnsi="Verdana" w:cs="Arial"/>
          <w:i/>
          <w:color w:val="auto"/>
          <w:sz w:val="20"/>
          <w:szCs w:val="20"/>
          <w:lang w:val="es-CR" w:eastAsia="es-CR"/>
        </w:rPr>
        <w:t>a priori</w:t>
      </w:r>
      <w:r w:rsidR="00CC02D6" w:rsidRPr="00CC02D6">
        <w:rPr>
          <w:rFonts w:ascii="Verdana" w:hAnsi="Verdana" w:cs="Arial"/>
          <w:color w:val="auto"/>
          <w:sz w:val="20"/>
          <w:szCs w:val="20"/>
          <w:lang w:val="es-CR" w:eastAsia="es-CR"/>
        </w:rPr>
        <w:t>,</w:t>
      </w:r>
      <w:r w:rsidR="00CC02D6">
        <w:rPr>
          <w:rFonts w:ascii="Verdana" w:hAnsi="Verdana" w:cs="Arial"/>
          <w:color w:val="auto"/>
          <w:sz w:val="20"/>
          <w:szCs w:val="20"/>
          <w:lang w:val="es-CR" w:eastAsia="es-CR"/>
        </w:rPr>
        <w:t xml:space="preserve"> sin perjuicio de las determinaciones que oportunamente realice el Tribunal, parecerían que pueden entenderse vinculados al reconocimiento estatal de responsabilidad, se </w:t>
      </w:r>
      <w:r w:rsidR="005F2761">
        <w:rPr>
          <w:rFonts w:ascii="Verdana" w:hAnsi="Verdana" w:cs="Arial"/>
          <w:color w:val="auto"/>
          <w:sz w:val="20"/>
          <w:szCs w:val="20"/>
          <w:lang w:val="es-CR" w:eastAsia="es-CR"/>
        </w:rPr>
        <w:t xml:space="preserve">relacionan </w:t>
      </w:r>
      <w:r w:rsidR="00E76831">
        <w:rPr>
          <w:rFonts w:ascii="Verdana" w:hAnsi="Verdana" w:cs="Arial"/>
          <w:color w:val="auto"/>
          <w:sz w:val="20"/>
          <w:szCs w:val="20"/>
          <w:lang w:val="es-CR" w:eastAsia="es-CR"/>
        </w:rPr>
        <w:t>no só</w:t>
      </w:r>
      <w:r w:rsidR="00CC02D6">
        <w:rPr>
          <w:rFonts w:ascii="Verdana" w:hAnsi="Verdana" w:cs="Arial"/>
          <w:color w:val="auto"/>
          <w:sz w:val="20"/>
          <w:szCs w:val="20"/>
          <w:lang w:val="es-CR" w:eastAsia="es-CR"/>
        </w:rPr>
        <w:t xml:space="preserve">lo a circunstancias fácticas ya ocurridas, sino también a medidas que podría adoptar el Estado. En ese sentido, podrían contribuir, eventualmente, a ilustrar al Tribunal en materias relevantes para posibles medidas de reparación. Por ello, la </w:t>
      </w:r>
      <w:proofErr w:type="gramStart"/>
      <w:r w:rsidR="00CC02D6">
        <w:rPr>
          <w:rFonts w:ascii="Verdana" w:hAnsi="Verdana" w:cs="Arial"/>
          <w:color w:val="auto"/>
          <w:sz w:val="20"/>
          <w:szCs w:val="20"/>
          <w:lang w:val="es-CR" w:eastAsia="es-CR"/>
        </w:rPr>
        <w:t>Presidenta</w:t>
      </w:r>
      <w:proofErr w:type="gramEnd"/>
      <w:r w:rsidR="00CC02D6">
        <w:rPr>
          <w:rFonts w:ascii="Verdana" w:hAnsi="Verdana" w:cs="Arial"/>
          <w:color w:val="auto"/>
          <w:sz w:val="20"/>
          <w:szCs w:val="20"/>
          <w:lang w:val="es-CR" w:eastAsia="es-CR"/>
        </w:rPr>
        <w:t xml:space="preserve"> rechaza las objeciones estatales respecto a las cuatro declaraciones referidas</w:t>
      </w:r>
      <w:r w:rsidR="005F2761">
        <w:rPr>
          <w:rFonts w:ascii="Verdana" w:hAnsi="Verdana" w:cs="Arial"/>
          <w:color w:val="auto"/>
          <w:sz w:val="20"/>
          <w:szCs w:val="20"/>
          <w:lang w:val="es-CR" w:eastAsia="es-CR"/>
        </w:rPr>
        <w:t xml:space="preserve">. </w:t>
      </w:r>
      <w:r w:rsidR="00541054">
        <w:rPr>
          <w:rFonts w:ascii="Verdana" w:hAnsi="Verdana" w:cs="Arial"/>
          <w:color w:val="auto"/>
          <w:sz w:val="20"/>
          <w:szCs w:val="20"/>
          <w:lang w:val="es-CR" w:eastAsia="es-CR"/>
        </w:rPr>
        <w:t xml:space="preserve">Las declaraciones periciales de </w:t>
      </w:r>
      <w:r w:rsidR="005F2761">
        <w:rPr>
          <w:rFonts w:ascii="Verdana" w:hAnsi="Verdana" w:cs="Arial"/>
          <w:color w:val="auto"/>
          <w:sz w:val="20"/>
          <w:szCs w:val="20"/>
          <w:lang w:val="es-CR" w:eastAsia="es-CR"/>
        </w:rPr>
        <w:t xml:space="preserve">los señores </w:t>
      </w:r>
      <w:r w:rsidR="00541054">
        <w:rPr>
          <w:rFonts w:ascii="Verdana" w:hAnsi="Verdana" w:cs="Arial"/>
          <w:color w:val="auto"/>
          <w:sz w:val="20"/>
          <w:szCs w:val="20"/>
          <w:lang w:val="es-CR" w:eastAsia="es-CR"/>
        </w:rPr>
        <w:t>Cano</w:t>
      </w:r>
      <w:r w:rsidR="005F2761">
        <w:rPr>
          <w:rFonts w:ascii="Verdana" w:hAnsi="Verdana" w:cs="Arial"/>
          <w:color w:val="auto"/>
          <w:sz w:val="20"/>
          <w:szCs w:val="20"/>
          <w:lang w:val="es-CR" w:eastAsia="es-CR"/>
        </w:rPr>
        <w:t xml:space="preserve">, </w:t>
      </w:r>
      <w:proofErr w:type="spellStart"/>
      <w:r w:rsidR="005F2761">
        <w:rPr>
          <w:rFonts w:ascii="Verdana" w:hAnsi="Verdana" w:cs="Arial"/>
          <w:color w:val="auto"/>
          <w:sz w:val="20"/>
          <w:szCs w:val="20"/>
          <w:lang w:val="es-CR" w:eastAsia="es-CR"/>
        </w:rPr>
        <w:t>Alston</w:t>
      </w:r>
      <w:proofErr w:type="spellEnd"/>
      <w:r w:rsidR="005F2761">
        <w:rPr>
          <w:rFonts w:ascii="Verdana" w:hAnsi="Verdana" w:cs="Arial"/>
          <w:color w:val="auto"/>
          <w:sz w:val="20"/>
          <w:szCs w:val="20"/>
          <w:lang w:val="es-CR" w:eastAsia="es-CR"/>
        </w:rPr>
        <w:t xml:space="preserve">, </w:t>
      </w:r>
      <w:r w:rsidR="00541054">
        <w:rPr>
          <w:rFonts w:ascii="Verdana" w:hAnsi="Verdana" w:cs="Arial"/>
          <w:color w:val="auto"/>
          <w:sz w:val="20"/>
          <w:szCs w:val="20"/>
          <w:lang w:val="es-CR" w:eastAsia="es-CR"/>
        </w:rPr>
        <w:t>Prieto Carrero</w:t>
      </w:r>
      <w:r w:rsidR="005F2761">
        <w:rPr>
          <w:rFonts w:ascii="Verdana" w:hAnsi="Verdana" w:cs="Arial"/>
          <w:color w:val="auto"/>
          <w:sz w:val="20"/>
          <w:szCs w:val="20"/>
          <w:lang w:val="es-CR" w:eastAsia="es-CR"/>
        </w:rPr>
        <w:t xml:space="preserve"> y Briceño León</w:t>
      </w:r>
      <w:r w:rsidR="00541054">
        <w:rPr>
          <w:rFonts w:ascii="Verdana" w:hAnsi="Verdana" w:cs="Arial"/>
          <w:color w:val="auto"/>
          <w:sz w:val="20"/>
          <w:szCs w:val="20"/>
          <w:lang w:val="es-CR" w:eastAsia="es-CR"/>
        </w:rPr>
        <w:t xml:space="preserve"> quedan, por lo tanto, admitidas. Su</w:t>
      </w:r>
      <w:r w:rsidR="0088158A">
        <w:rPr>
          <w:rFonts w:ascii="Verdana" w:hAnsi="Verdana" w:cs="Arial"/>
          <w:color w:val="auto"/>
          <w:sz w:val="20"/>
          <w:szCs w:val="20"/>
          <w:lang w:val="es-CR" w:eastAsia="es-CR"/>
        </w:rPr>
        <w:t xml:space="preserve"> objeto y modalidad son definido</w:t>
      </w:r>
      <w:r w:rsidR="00541054">
        <w:rPr>
          <w:rFonts w:ascii="Verdana" w:hAnsi="Verdana" w:cs="Arial"/>
          <w:color w:val="auto"/>
          <w:sz w:val="20"/>
          <w:szCs w:val="20"/>
          <w:lang w:val="es-CR" w:eastAsia="es-CR"/>
        </w:rPr>
        <w:t>s en la parte resolutiva de la presente Resolución</w:t>
      </w:r>
      <w:r w:rsidR="00B81921">
        <w:rPr>
          <w:rFonts w:ascii="Verdana" w:hAnsi="Verdana" w:cs="Arial"/>
          <w:color w:val="auto"/>
          <w:sz w:val="20"/>
          <w:szCs w:val="20"/>
          <w:lang w:val="es-CR" w:eastAsia="es-CR"/>
        </w:rPr>
        <w:t xml:space="preserve"> (</w:t>
      </w:r>
      <w:r w:rsidR="00B81921">
        <w:rPr>
          <w:rFonts w:ascii="Verdana" w:hAnsi="Verdana" w:cs="Arial"/>
          <w:i/>
          <w:color w:val="auto"/>
          <w:sz w:val="20"/>
          <w:szCs w:val="20"/>
          <w:lang w:val="es-CR" w:eastAsia="es-CR"/>
        </w:rPr>
        <w:t xml:space="preserve">infra </w:t>
      </w:r>
      <w:r w:rsidR="00B81921">
        <w:rPr>
          <w:rFonts w:ascii="Verdana" w:hAnsi="Verdana" w:cs="Arial"/>
          <w:color w:val="auto"/>
          <w:sz w:val="20"/>
          <w:szCs w:val="20"/>
          <w:lang w:val="es-CR" w:eastAsia="es-CR"/>
        </w:rPr>
        <w:t xml:space="preserve">punto resolutivo </w:t>
      </w:r>
      <w:r w:rsidR="008645EC">
        <w:rPr>
          <w:rFonts w:ascii="Verdana" w:hAnsi="Verdana" w:cs="Arial"/>
          <w:color w:val="auto"/>
          <w:sz w:val="20"/>
          <w:szCs w:val="20"/>
          <w:lang w:val="es-CR" w:eastAsia="es-CR"/>
        </w:rPr>
        <w:t>2</w:t>
      </w:r>
      <w:r w:rsidR="00B81921">
        <w:rPr>
          <w:rFonts w:ascii="Verdana" w:hAnsi="Verdana" w:cs="Arial"/>
          <w:color w:val="auto"/>
          <w:sz w:val="20"/>
          <w:szCs w:val="20"/>
          <w:lang w:val="es-CR" w:eastAsia="es-CR"/>
        </w:rPr>
        <w:t>)</w:t>
      </w:r>
      <w:r w:rsidR="00541054">
        <w:rPr>
          <w:rFonts w:ascii="Verdana" w:hAnsi="Verdana" w:cs="Arial"/>
          <w:color w:val="auto"/>
          <w:sz w:val="20"/>
          <w:szCs w:val="20"/>
          <w:lang w:val="es-CR" w:eastAsia="es-CR"/>
        </w:rPr>
        <w:t xml:space="preserve">. </w:t>
      </w:r>
    </w:p>
    <w:p w14:paraId="77E23BC8" w14:textId="77777777" w:rsidR="00AB00F1" w:rsidRDefault="00AB00F1" w:rsidP="00541054">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15CFB2B0" w14:textId="77EE7670" w:rsidR="00EB7FEF" w:rsidRDefault="00CC02D6" w:rsidP="00EB13F7">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 </w:t>
      </w:r>
      <w:proofErr w:type="gramStart"/>
      <w:r w:rsidR="00541054">
        <w:rPr>
          <w:rFonts w:ascii="Verdana" w:hAnsi="Verdana" w:cs="Arial"/>
          <w:color w:val="auto"/>
          <w:sz w:val="20"/>
          <w:szCs w:val="20"/>
          <w:lang w:val="es-CR" w:eastAsia="es-CR"/>
        </w:rPr>
        <w:t>En relación a</w:t>
      </w:r>
      <w:proofErr w:type="gramEnd"/>
      <w:r w:rsidR="00541054">
        <w:rPr>
          <w:rFonts w:ascii="Verdana" w:hAnsi="Verdana" w:cs="Arial"/>
          <w:color w:val="auto"/>
          <w:sz w:val="20"/>
          <w:szCs w:val="20"/>
          <w:lang w:val="es-CR" w:eastAsia="es-CR"/>
        </w:rPr>
        <w:t xml:space="preserve"> la señora Vásquez González, el objeto de su declaración estaría circunscripto al examen de hechos del caso y actuaciones ya realizadas. El Estado, en su contestación, </w:t>
      </w:r>
      <w:r w:rsidR="000D146B">
        <w:rPr>
          <w:rFonts w:ascii="Verdana" w:hAnsi="Verdana" w:cs="Arial"/>
          <w:color w:val="auto"/>
          <w:sz w:val="20"/>
          <w:szCs w:val="20"/>
          <w:lang w:val="es-CR" w:eastAsia="es-CR"/>
        </w:rPr>
        <w:t xml:space="preserve">formuló un reconocimiento de responsabilidad en términos amplios que abarca la falta de investigación de los hechos, sin que esta apreciación empezca las </w:t>
      </w:r>
      <w:r w:rsidR="00B81921">
        <w:rPr>
          <w:rFonts w:ascii="Verdana" w:hAnsi="Verdana" w:cs="Arial"/>
          <w:color w:val="auto"/>
          <w:sz w:val="20"/>
          <w:szCs w:val="20"/>
          <w:lang w:val="es-CR" w:eastAsia="es-CR"/>
        </w:rPr>
        <w:t>evaluaciones</w:t>
      </w:r>
      <w:r w:rsidR="000D146B">
        <w:rPr>
          <w:rFonts w:ascii="Verdana" w:hAnsi="Verdana" w:cs="Arial"/>
          <w:color w:val="auto"/>
          <w:sz w:val="20"/>
          <w:szCs w:val="20"/>
          <w:lang w:val="es-CR" w:eastAsia="es-CR"/>
        </w:rPr>
        <w:t xml:space="preserve"> que en su oportunidad realice la Corte. No se advierte</w:t>
      </w:r>
      <w:r w:rsidR="00B81921">
        <w:rPr>
          <w:rFonts w:ascii="Verdana" w:hAnsi="Verdana" w:cs="Arial"/>
          <w:color w:val="auto"/>
          <w:sz w:val="20"/>
          <w:szCs w:val="20"/>
          <w:lang w:val="es-CR" w:eastAsia="es-CR"/>
        </w:rPr>
        <w:t>, entonces,</w:t>
      </w:r>
      <w:r w:rsidR="000D146B">
        <w:rPr>
          <w:rFonts w:ascii="Verdana" w:hAnsi="Verdana" w:cs="Arial"/>
          <w:color w:val="auto"/>
          <w:sz w:val="20"/>
          <w:szCs w:val="20"/>
          <w:lang w:val="es-CR" w:eastAsia="es-CR"/>
        </w:rPr>
        <w:t xml:space="preserve"> que la materia sobre la cual la señora Vásquez González </w:t>
      </w:r>
      <w:r w:rsidR="00B81921">
        <w:rPr>
          <w:rFonts w:ascii="Verdana" w:hAnsi="Verdana" w:cs="Arial"/>
          <w:color w:val="auto"/>
          <w:sz w:val="20"/>
          <w:szCs w:val="20"/>
          <w:lang w:val="es-CR" w:eastAsia="es-CR"/>
        </w:rPr>
        <w:t xml:space="preserve">declararía </w:t>
      </w:r>
      <w:r w:rsidR="000D146B">
        <w:rPr>
          <w:rFonts w:ascii="Verdana" w:hAnsi="Verdana" w:cs="Arial"/>
          <w:color w:val="auto"/>
          <w:sz w:val="20"/>
          <w:szCs w:val="20"/>
          <w:lang w:val="es-CR" w:eastAsia="es-CR"/>
        </w:rPr>
        <w:t xml:space="preserve">pueda ofrecer elementos de juicio </w:t>
      </w:r>
      <w:r w:rsidR="00B81921">
        <w:rPr>
          <w:rFonts w:ascii="Verdana" w:hAnsi="Verdana" w:cs="Arial"/>
          <w:color w:val="auto"/>
          <w:sz w:val="20"/>
          <w:szCs w:val="20"/>
          <w:lang w:val="es-CR" w:eastAsia="es-CR"/>
        </w:rPr>
        <w:t>relativos a</w:t>
      </w:r>
      <w:r w:rsidR="000D146B">
        <w:rPr>
          <w:rFonts w:ascii="Verdana" w:hAnsi="Verdana" w:cs="Arial"/>
          <w:color w:val="auto"/>
          <w:sz w:val="20"/>
          <w:szCs w:val="20"/>
          <w:lang w:val="es-CR" w:eastAsia="es-CR"/>
        </w:rPr>
        <w:t xml:space="preserve"> aspectos adicionales a los que estarían comprendidos en el reconocimiento de responsabilidad. </w:t>
      </w:r>
      <w:r w:rsidR="008E4202">
        <w:rPr>
          <w:rFonts w:ascii="Verdana" w:hAnsi="Verdana" w:cs="Arial"/>
          <w:color w:val="auto"/>
          <w:sz w:val="20"/>
          <w:szCs w:val="20"/>
          <w:lang w:val="es-CR" w:eastAsia="es-CR"/>
        </w:rPr>
        <w:t>Por lo tanto, esta Presidencia entiende que la declaración pericial de la señora Vásquez González no resulta necesaria y, en consecuencia, no la admite.</w:t>
      </w:r>
    </w:p>
    <w:p w14:paraId="24BCA39E" w14:textId="5CBC2672" w:rsidR="00472442" w:rsidRDefault="00472442"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391BD2FC" w14:textId="30521AF1" w:rsidR="00F57884" w:rsidRDefault="00F57884"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58E05096" w14:textId="76213553" w:rsidR="00F57884" w:rsidRDefault="00F57884"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7307A836" w14:textId="1D0416D5" w:rsidR="00F57884" w:rsidRDefault="00F57884"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40ECB1AF" w14:textId="000FACC9" w:rsidR="00F57884" w:rsidRDefault="00F57884"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74645CCE" w14:textId="77777777" w:rsidR="00F57884" w:rsidRDefault="00F57884"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3987317F" w14:textId="00E3A987" w:rsidR="000C0263" w:rsidRPr="000C0263" w:rsidRDefault="000C0263" w:rsidP="000C0263">
      <w:pPr>
        <w:pStyle w:val="Prrafodelista"/>
        <w:widowControl w:val="0"/>
        <w:tabs>
          <w:tab w:val="left" w:pos="567"/>
        </w:tabs>
        <w:autoSpaceDE w:val="0"/>
        <w:autoSpaceDN w:val="0"/>
        <w:adjustRightInd w:val="0"/>
        <w:ind w:left="567" w:right="22"/>
        <w:jc w:val="both"/>
        <w:rPr>
          <w:rFonts w:ascii="Verdana" w:hAnsi="Verdana" w:cs="Arial"/>
          <w:b/>
          <w:i/>
          <w:color w:val="auto"/>
          <w:sz w:val="20"/>
          <w:szCs w:val="20"/>
          <w:lang w:val="es-CR" w:eastAsia="es-CR"/>
        </w:rPr>
      </w:pPr>
      <w:r w:rsidRPr="000C0263">
        <w:rPr>
          <w:rFonts w:ascii="Verdana" w:hAnsi="Verdana"/>
          <w:b/>
          <w:i/>
          <w:sz w:val="20"/>
          <w:szCs w:val="20"/>
          <w:lang w:val="es-CR"/>
        </w:rPr>
        <w:t xml:space="preserve">E. </w:t>
      </w:r>
      <w:r w:rsidR="002145BF" w:rsidRPr="002145BF">
        <w:rPr>
          <w:rFonts w:ascii="Verdana" w:hAnsi="Verdana"/>
          <w:b/>
          <w:i/>
          <w:sz w:val="20"/>
          <w:szCs w:val="20"/>
          <w:lang w:val="es-CR"/>
        </w:rPr>
        <w:t xml:space="preserve">Procedencia de la declaración pericial propuesta por la Comisión Interamericana </w:t>
      </w:r>
      <w:r w:rsidR="002145BF">
        <w:rPr>
          <w:rFonts w:ascii="Verdana" w:hAnsi="Verdana"/>
          <w:b/>
          <w:i/>
          <w:sz w:val="20"/>
          <w:szCs w:val="20"/>
          <w:lang w:val="es-CR"/>
        </w:rPr>
        <w:t>y su s</w:t>
      </w:r>
      <w:r w:rsidRPr="000C0263">
        <w:rPr>
          <w:rFonts w:ascii="Verdana" w:hAnsi="Verdana"/>
          <w:b/>
          <w:i/>
          <w:sz w:val="20"/>
          <w:szCs w:val="20"/>
          <w:lang w:val="es-CR"/>
        </w:rPr>
        <w:t>olicitud para formula</w:t>
      </w:r>
      <w:r w:rsidR="0088327E">
        <w:rPr>
          <w:rFonts w:ascii="Verdana" w:hAnsi="Verdana"/>
          <w:b/>
          <w:i/>
          <w:sz w:val="20"/>
          <w:szCs w:val="20"/>
          <w:lang w:val="es-CR"/>
        </w:rPr>
        <w:t>r</w:t>
      </w:r>
      <w:r w:rsidRPr="000C0263">
        <w:rPr>
          <w:rFonts w:ascii="Verdana" w:hAnsi="Verdana"/>
          <w:b/>
          <w:i/>
          <w:sz w:val="20"/>
          <w:szCs w:val="20"/>
          <w:lang w:val="es-CR"/>
        </w:rPr>
        <w:t xml:space="preserve"> preguntas a tres peritos</w:t>
      </w:r>
    </w:p>
    <w:p w14:paraId="39B367AD" w14:textId="77777777" w:rsidR="000C0263" w:rsidRPr="00472442" w:rsidRDefault="000C0263" w:rsidP="00472442">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2B977AB1" w14:textId="132207E1" w:rsidR="002145BF" w:rsidRPr="002145BF" w:rsidRDefault="002145BF" w:rsidP="00FB59A6">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La </w:t>
      </w:r>
      <w:r w:rsidRPr="0067050C">
        <w:rPr>
          <w:rFonts w:ascii="Verdana" w:hAnsi="Verdana" w:cs="Arial"/>
          <w:b/>
          <w:i/>
          <w:color w:val="auto"/>
          <w:sz w:val="20"/>
          <w:szCs w:val="20"/>
          <w:lang w:val="es-CR" w:eastAsia="es-CR"/>
        </w:rPr>
        <w:t>Comisión</w:t>
      </w:r>
      <w:r>
        <w:rPr>
          <w:rFonts w:ascii="Verdana" w:hAnsi="Verdana" w:cs="Arial"/>
          <w:i/>
          <w:color w:val="auto"/>
          <w:sz w:val="20"/>
          <w:szCs w:val="20"/>
          <w:lang w:val="es-CR" w:eastAsia="es-CR"/>
        </w:rPr>
        <w:t xml:space="preserve"> </w:t>
      </w:r>
      <w:r>
        <w:rPr>
          <w:rFonts w:ascii="Verdana" w:hAnsi="Verdana" w:cs="Arial"/>
          <w:color w:val="auto"/>
          <w:sz w:val="20"/>
          <w:szCs w:val="20"/>
          <w:lang w:val="es-CR" w:eastAsia="es-CR"/>
        </w:rPr>
        <w:t>ofreció la declaración pericial del señor David Martínez, “investigador social”</w:t>
      </w:r>
      <w:r>
        <w:rPr>
          <w:rStyle w:val="Refdenotaalpie"/>
          <w:rFonts w:ascii="Verdana" w:hAnsi="Verdana" w:cs="Arial"/>
          <w:color w:val="auto"/>
          <w:sz w:val="20"/>
          <w:szCs w:val="20"/>
          <w:lang w:val="es-CR" w:eastAsia="es-CR"/>
        </w:rPr>
        <w:footnoteReference w:id="18"/>
      </w:r>
      <w:r>
        <w:rPr>
          <w:rFonts w:ascii="Verdana" w:hAnsi="Verdana" w:cs="Arial"/>
          <w:color w:val="auto"/>
          <w:sz w:val="20"/>
          <w:szCs w:val="20"/>
          <w:lang w:val="es-CR" w:eastAsia="es-CR"/>
        </w:rPr>
        <w:t xml:space="preserve">, para referirse </w:t>
      </w:r>
      <w:r w:rsidRPr="00B664D0">
        <w:rPr>
          <w:rFonts w:ascii="Verdana" w:hAnsi="Verdana" w:cs="Arial"/>
          <w:color w:val="auto"/>
          <w:sz w:val="20"/>
          <w:szCs w:val="20"/>
          <w:lang w:val="es-CR" w:eastAsia="es-CR"/>
        </w:rPr>
        <w:t xml:space="preserve">a </w:t>
      </w:r>
      <w:r>
        <w:rPr>
          <w:rFonts w:ascii="Verdana" w:hAnsi="Verdana" w:cs="Arial"/>
          <w:color w:val="auto"/>
          <w:sz w:val="20"/>
          <w:szCs w:val="20"/>
          <w:lang w:val="es-CR" w:eastAsia="es-CR"/>
        </w:rPr>
        <w:t>“</w:t>
      </w:r>
      <w:r w:rsidRPr="00B664D0">
        <w:rPr>
          <w:rFonts w:ascii="Verdana" w:hAnsi="Verdana" w:cs="Arial"/>
          <w:color w:val="auto"/>
          <w:sz w:val="20"/>
          <w:szCs w:val="20"/>
          <w:lang w:val="es-CR" w:eastAsia="es-CR"/>
        </w:rPr>
        <w:t xml:space="preserve">las obligaciones del Estado frente a la identificación de una situación estructural de impunidad que afecta de manera desproporcionada este tipo de casos”. </w:t>
      </w:r>
      <w:r>
        <w:rPr>
          <w:rFonts w:ascii="Verdana" w:hAnsi="Verdana" w:cs="Arial"/>
          <w:color w:val="auto"/>
          <w:sz w:val="20"/>
          <w:szCs w:val="20"/>
          <w:lang w:val="es-CR" w:eastAsia="es-CR"/>
        </w:rPr>
        <w:t xml:space="preserve">Además, </w:t>
      </w:r>
      <w:r w:rsidRPr="00FB59A6">
        <w:rPr>
          <w:rFonts w:ascii="Verdana" w:hAnsi="Verdana" w:cs="Arial"/>
          <w:color w:val="auto"/>
          <w:sz w:val="20"/>
          <w:szCs w:val="20"/>
          <w:lang w:val="es-CR" w:eastAsia="es-CR"/>
        </w:rPr>
        <w:t xml:space="preserve">requirió “la oportunidad verbal o escrita de formular preguntas, en la medida de lo relevante y razonable” a </w:t>
      </w:r>
      <w:r w:rsidRPr="002145BF">
        <w:rPr>
          <w:rFonts w:ascii="Verdana" w:hAnsi="Verdana"/>
          <w:color w:val="auto"/>
          <w:sz w:val="20"/>
          <w:szCs w:val="20"/>
          <w:lang w:val="es-ES_tradnl"/>
        </w:rPr>
        <w:t xml:space="preserve">Karin García Carrasco y Emerson Aguilar, cuyas declaraciones, pericial y testimonial, respectivamente, fueron propuestas por el Estado, así como a Luis Prieto Carrero, perito propuesto por los representantes. La Comisión sustentó su solicitud en que, conforme adujo, las tres declaraciones “se relacionan tanto con el orden público interamericano como con la materia sobre la cual versa el peritaje ofrecido por la Comisión”. </w:t>
      </w:r>
    </w:p>
    <w:p w14:paraId="4E294E79" w14:textId="77777777" w:rsidR="002145BF" w:rsidRDefault="002145BF" w:rsidP="002145BF">
      <w:pPr>
        <w:pStyle w:val="Prrafodelista"/>
        <w:widowControl w:val="0"/>
        <w:tabs>
          <w:tab w:val="left" w:pos="567"/>
        </w:tabs>
        <w:autoSpaceDE w:val="0"/>
        <w:autoSpaceDN w:val="0"/>
        <w:adjustRightInd w:val="0"/>
        <w:ind w:left="0" w:right="22" w:firstLine="708"/>
        <w:jc w:val="both"/>
        <w:rPr>
          <w:rFonts w:ascii="Verdana" w:hAnsi="Verdana" w:cs="Arial"/>
          <w:color w:val="auto"/>
          <w:sz w:val="20"/>
          <w:szCs w:val="20"/>
          <w:lang w:val="es-CR" w:eastAsia="es-CR"/>
        </w:rPr>
      </w:pPr>
    </w:p>
    <w:p w14:paraId="21B45E89" w14:textId="104BDD1C" w:rsidR="002145BF" w:rsidRDefault="002145BF" w:rsidP="002145BF">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La Comisión explicó que, a su criterio, las razones por las cuales el caso plantea “cuestiones de orden público interamericano”, que justificarían su ofrecimiento de una declaración pericial, son que el caso: i) “pone de manifiesto, una vez más, el contexto de las ejecuciones extrajudiciales en Venezuela por parte de las policías regionales, con especial incidencia en el Estado Falcón”, y </w:t>
      </w:r>
      <w:proofErr w:type="spellStart"/>
      <w:r>
        <w:rPr>
          <w:rFonts w:ascii="Verdana" w:hAnsi="Verdana" w:cs="Arial"/>
          <w:color w:val="auto"/>
          <w:sz w:val="20"/>
          <w:szCs w:val="20"/>
          <w:lang w:val="es-CR" w:eastAsia="es-CR"/>
        </w:rPr>
        <w:t>ii</w:t>
      </w:r>
      <w:proofErr w:type="spellEnd"/>
      <w:r>
        <w:rPr>
          <w:rFonts w:ascii="Verdana" w:hAnsi="Verdana" w:cs="Arial"/>
          <w:color w:val="auto"/>
          <w:sz w:val="20"/>
          <w:szCs w:val="20"/>
          <w:lang w:val="es-CR" w:eastAsia="es-CR"/>
        </w:rPr>
        <w:t xml:space="preserve">) “plantea la posibilidad de que la Corte profundice su jurisprudencia respecto de la atribución de responsabilidad internacional cuando el Estado no cumple con llevar a cabo una investigación diligente para ofrecer una explicación sobre la muerte de una o varias personas en situaciones que, en apariencia, la acción letal fue cometida por terceros”. </w:t>
      </w:r>
    </w:p>
    <w:p w14:paraId="1F9B7ACC" w14:textId="77777777" w:rsidR="002145BF" w:rsidRDefault="002145BF" w:rsidP="002145BF">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2AC2B376" w14:textId="2A5974E8" w:rsidR="002145BF" w:rsidRDefault="002145BF" w:rsidP="002145BF">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El </w:t>
      </w:r>
      <w:r w:rsidRPr="00B0006B">
        <w:rPr>
          <w:rFonts w:ascii="Verdana" w:hAnsi="Verdana" w:cs="Arial"/>
          <w:b/>
          <w:i/>
          <w:color w:val="auto"/>
          <w:sz w:val="20"/>
          <w:szCs w:val="20"/>
          <w:lang w:val="es-CR" w:eastAsia="es-CR"/>
        </w:rPr>
        <w:t>Estado</w:t>
      </w:r>
      <w:r>
        <w:rPr>
          <w:rFonts w:ascii="Verdana" w:hAnsi="Verdana" w:cs="Arial"/>
          <w:b/>
          <w:i/>
          <w:color w:val="auto"/>
          <w:sz w:val="20"/>
          <w:szCs w:val="20"/>
          <w:lang w:val="es-CR" w:eastAsia="es-CR"/>
        </w:rPr>
        <w:t xml:space="preserve"> </w:t>
      </w:r>
      <w:r>
        <w:rPr>
          <w:rFonts w:ascii="Verdana" w:hAnsi="Verdana" w:cs="Arial"/>
          <w:color w:val="auto"/>
          <w:sz w:val="20"/>
          <w:szCs w:val="20"/>
          <w:lang w:val="es-CR" w:eastAsia="es-CR"/>
        </w:rPr>
        <w:t xml:space="preserve">objetó la declaración del señor Daniel Martínez, </w:t>
      </w:r>
      <w:r w:rsidR="0088158A">
        <w:rPr>
          <w:rFonts w:ascii="Verdana" w:hAnsi="Verdana" w:cs="Arial"/>
          <w:color w:val="auto"/>
          <w:sz w:val="20"/>
          <w:szCs w:val="20"/>
          <w:lang w:val="es-CR" w:eastAsia="es-CR"/>
        </w:rPr>
        <w:t>dado que</w:t>
      </w:r>
      <w:r>
        <w:rPr>
          <w:rFonts w:ascii="Verdana" w:hAnsi="Verdana" w:cs="Arial"/>
          <w:color w:val="auto"/>
          <w:sz w:val="20"/>
          <w:szCs w:val="20"/>
          <w:lang w:val="es-CR" w:eastAsia="es-CR"/>
        </w:rPr>
        <w:t xml:space="preserve"> entendió que la Comisión no justificó, en los términos exigidos por el Reglamento, su relevancia respecto al orden público interamericano, pues se limitó a afirmar que permitirá a la Corte “‘continuar profundizando su jurisprudencia’, admitiendo así que se trata de asuntos que ya han sido abordados y desarrollados por el Tribunal”.</w:t>
      </w:r>
      <w:r w:rsidRPr="00F143E2">
        <w:rPr>
          <w:rFonts w:ascii="Verdana" w:hAnsi="Verdana" w:cs="Arial"/>
          <w:color w:val="auto"/>
          <w:sz w:val="20"/>
          <w:szCs w:val="20"/>
          <w:lang w:val="es-CR" w:eastAsia="es-CR"/>
        </w:rPr>
        <w:t xml:space="preserve"> </w:t>
      </w:r>
      <w:r>
        <w:rPr>
          <w:rFonts w:ascii="Verdana" w:hAnsi="Verdana" w:cs="Arial"/>
          <w:color w:val="auto"/>
          <w:sz w:val="20"/>
          <w:szCs w:val="20"/>
          <w:lang w:val="es-CR" w:eastAsia="es-CR"/>
        </w:rPr>
        <w:t xml:space="preserve">Los </w:t>
      </w:r>
      <w:r w:rsidRPr="00B0006B">
        <w:rPr>
          <w:rFonts w:ascii="Verdana" w:hAnsi="Verdana" w:cs="Arial"/>
          <w:b/>
          <w:i/>
          <w:color w:val="auto"/>
          <w:sz w:val="20"/>
          <w:szCs w:val="20"/>
          <w:lang w:val="es-CR" w:eastAsia="es-CR"/>
        </w:rPr>
        <w:t>representantes</w:t>
      </w:r>
      <w:r>
        <w:rPr>
          <w:rFonts w:ascii="Verdana" w:hAnsi="Verdana" w:cs="Arial"/>
          <w:color w:val="auto"/>
          <w:sz w:val="20"/>
          <w:szCs w:val="20"/>
          <w:lang w:val="es-CR" w:eastAsia="es-CR"/>
        </w:rPr>
        <w:t xml:space="preserve"> no presentaron observaciones al respecto.</w:t>
      </w:r>
    </w:p>
    <w:p w14:paraId="0A6B770F" w14:textId="77777777" w:rsidR="002145BF" w:rsidRPr="00172463" w:rsidRDefault="002145BF" w:rsidP="002145BF">
      <w:pPr>
        <w:pStyle w:val="Prrafodelista"/>
        <w:rPr>
          <w:rFonts w:ascii="Verdana" w:hAnsi="Verdana" w:cs="Arial"/>
          <w:color w:val="auto"/>
          <w:sz w:val="20"/>
          <w:szCs w:val="20"/>
          <w:lang w:val="es-CR" w:eastAsia="es-CR"/>
        </w:rPr>
      </w:pPr>
    </w:p>
    <w:p w14:paraId="57C32EF9" w14:textId="77777777" w:rsidR="002145BF" w:rsidRDefault="002145BF" w:rsidP="002145BF">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sidRPr="00172463">
        <w:rPr>
          <w:rFonts w:ascii="Verdana" w:hAnsi="Verdana" w:cs="Arial"/>
          <w:color w:val="auto"/>
          <w:sz w:val="20"/>
          <w:szCs w:val="20"/>
          <w:lang w:val="es-CR" w:eastAsia="es-CR"/>
        </w:rPr>
        <w:t xml:space="preserve">La </w:t>
      </w:r>
      <w:proofErr w:type="gramStart"/>
      <w:r w:rsidRPr="00172463">
        <w:rPr>
          <w:rFonts w:ascii="Verdana" w:hAnsi="Verdana" w:cs="Arial"/>
          <w:b/>
          <w:i/>
          <w:color w:val="auto"/>
          <w:sz w:val="20"/>
          <w:szCs w:val="20"/>
          <w:lang w:val="es-CR" w:eastAsia="es-CR"/>
        </w:rPr>
        <w:t>Presidenta</w:t>
      </w:r>
      <w:proofErr w:type="gramEnd"/>
      <w:r w:rsidRPr="00172463">
        <w:rPr>
          <w:rFonts w:ascii="Verdana" w:hAnsi="Verdana" w:cs="Arial"/>
          <w:color w:val="auto"/>
          <w:sz w:val="20"/>
          <w:szCs w:val="20"/>
          <w:lang w:val="es-CR" w:eastAsia="es-CR"/>
        </w:rPr>
        <w:t xml:space="preserve"> recuerda que el ofrecimiento de declaraciones periciales por parte de la Comisión se fundamenta en el artículo 35.1.f del Reglamento, que supedita el eventual ofrecimiento de peritos a que se afecte de manera relevante el orden público interamericano de los derechos humanos, lo cual corresponde sustentar a la Comisión. Al respecto, resulta pertinente evaluar si </w:t>
      </w:r>
      <w:r>
        <w:rPr>
          <w:rFonts w:ascii="Verdana" w:hAnsi="Verdana" w:cs="Arial"/>
          <w:color w:val="auto"/>
          <w:sz w:val="20"/>
          <w:szCs w:val="20"/>
          <w:lang w:val="es-CR" w:eastAsia="es-CR"/>
        </w:rPr>
        <w:t>“</w:t>
      </w:r>
      <w:r w:rsidRPr="00172463">
        <w:rPr>
          <w:rFonts w:ascii="Verdana" w:hAnsi="Verdana" w:cs="Arial"/>
          <w:color w:val="auto"/>
          <w:sz w:val="20"/>
          <w:szCs w:val="20"/>
          <w:lang w:val="es-CR" w:eastAsia="es-CR"/>
        </w:rPr>
        <w:t>el objeto del peritaje ofrecido trasciende los intereses específicos de las partes en el proceso y puede, eventualmente, tener impacto sobre situaciones que se presentan en otros Estados</w:t>
      </w:r>
      <w:r>
        <w:rPr>
          <w:rFonts w:ascii="Verdana" w:hAnsi="Verdana" w:cs="Arial"/>
          <w:color w:val="auto"/>
          <w:sz w:val="20"/>
          <w:szCs w:val="20"/>
          <w:lang w:val="es-CR" w:eastAsia="es-CR"/>
        </w:rPr>
        <w:t xml:space="preserve"> </w:t>
      </w:r>
      <w:r w:rsidRPr="00172463">
        <w:rPr>
          <w:rFonts w:ascii="Verdana" w:hAnsi="Verdana" w:cs="Arial"/>
          <w:color w:val="auto"/>
          <w:sz w:val="20"/>
          <w:szCs w:val="20"/>
          <w:lang w:val="es-CR" w:eastAsia="es-CR"/>
        </w:rPr>
        <w:t>Parte en la Convención</w:t>
      </w:r>
      <w:r>
        <w:rPr>
          <w:rFonts w:ascii="Verdana" w:hAnsi="Verdana" w:cs="Arial"/>
          <w:color w:val="auto"/>
          <w:sz w:val="20"/>
          <w:szCs w:val="20"/>
          <w:lang w:val="es-CR" w:eastAsia="es-CR"/>
        </w:rPr>
        <w:t>”</w:t>
      </w:r>
      <w:r>
        <w:rPr>
          <w:rStyle w:val="Refdenotaalpie"/>
          <w:rFonts w:ascii="Verdana" w:hAnsi="Verdana" w:cs="Arial"/>
          <w:color w:val="auto"/>
          <w:sz w:val="20"/>
          <w:szCs w:val="20"/>
          <w:lang w:val="es-CR" w:eastAsia="es-CR"/>
        </w:rPr>
        <w:footnoteReference w:id="19"/>
      </w:r>
      <w:r>
        <w:rPr>
          <w:rFonts w:ascii="Verdana" w:hAnsi="Verdana" w:cs="Arial"/>
          <w:color w:val="auto"/>
          <w:sz w:val="20"/>
          <w:szCs w:val="20"/>
          <w:lang w:val="es-CR" w:eastAsia="es-CR"/>
        </w:rPr>
        <w:t>.</w:t>
      </w:r>
    </w:p>
    <w:p w14:paraId="75EDECF5" w14:textId="77777777" w:rsidR="002145BF" w:rsidRPr="00172463" w:rsidRDefault="002145BF" w:rsidP="002145BF">
      <w:pPr>
        <w:spacing w:after="0"/>
        <w:rPr>
          <w:lang w:val="es-CR" w:eastAsia="es-CR"/>
        </w:rPr>
      </w:pPr>
    </w:p>
    <w:p w14:paraId="43A85F6D" w14:textId="74D93861" w:rsidR="002145BF" w:rsidRDefault="002145BF" w:rsidP="002145BF">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La Presidencia nota que la Corte cuenta con profusa jurisprudencia sobre la obligación de investigar violaciones a derechos humanos</w:t>
      </w:r>
      <w:r>
        <w:rPr>
          <w:rStyle w:val="Refdenotaalpie"/>
          <w:rFonts w:ascii="Verdana" w:hAnsi="Verdana" w:cs="Arial"/>
          <w:color w:val="auto"/>
          <w:sz w:val="20"/>
          <w:szCs w:val="20"/>
          <w:lang w:val="es-CR" w:eastAsia="es-CR"/>
        </w:rPr>
        <w:footnoteReference w:id="20"/>
      </w:r>
      <w:r>
        <w:rPr>
          <w:rFonts w:ascii="Verdana" w:hAnsi="Verdana" w:cs="Arial"/>
          <w:color w:val="auto"/>
          <w:sz w:val="20"/>
          <w:szCs w:val="20"/>
          <w:lang w:val="es-CR" w:eastAsia="es-CR"/>
        </w:rPr>
        <w:t>. La misma abarca aspectos generales sobre el deber de investigar actos violatorios de derechos humanos</w:t>
      </w:r>
      <w:r>
        <w:rPr>
          <w:rStyle w:val="Refdenotaalpie"/>
          <w:rFonts w:ascii="Verdana" w:hAnsi="Verdana" w:cs="Arial"/>
          <w:color w:val="auto"/>
          <w:sz w:val="20"/>
          <w:szCs w:val="20"/>
          <w:lang w:val="es-CR" w:eastAsia="es-CR"/>
        </w:rPr>
        <w:footnoteReference w:id="21"/>
      </w:r>
      <w:r>
        <w:rPr>
          <w:rFonts w:ascii="Verdana" w:hAnsi="Verdana" w:cs="Arial"/>
          <w:color w:val="auto"/>
          <w:sz w:val="20"/>
          <w:szCs w:val="20"/>
          <w:lang w:val="es-CR" w:eastAsia="es-CR"/>
        </w:rPr>
        <w:t>, como también múltiples aspectos específicos, que contienen aquellos relacionados con el seguimiento de líneas lógicas de investigación</w:t>
      </w:r>
      <w:r>
        <w:rPr>
          <w:rStyle w:val="Refdenotaalpie"/>
          <w:rFonts w:ascii="Verdana" w:hAnsi="Verdana" w:cs="Arial"/>
          <w:color w:val="auto"/>
          <w:sz w:val="20"/>
          <w:szCs w:val="20"/>
          <w:lang w:val="es-CR" w:eastAsia="es-CR"/>
        </w:rPr>
        <w:footnoteReference w:id="22"/>
      </w:r>
      <w:r>
        <w:rPr>
          <w:rFonts w:ascii="Verdana" w:hAnsi="Verdana" w:cs="Arial"/>
          <w:color w:val="auto"/>
          <w:sz w:val="20"/>
          <w:szCs w:val="20"/>
          <w:lang w:val="es-CR" w:eastAsia="es-CR"/>
        </w:rPr>
        <w:t>, incluso cuando hubiera motivos para presumir el involucramiento de agentes estatales en una muerte violenta</w:t>
      </w:r>
      <w:r>
        <w:rPr>
          <w:rStyle w:val="Refdenotaalpie"/>
          <w:rFonts w:ascii="Verdana" w:hAnsi="Verdana" w:cs="Arial"/>
          <w:color w:val="auto"/>
          <w:sz w:val="20"/>
          <w:szCs w:val="20"/>
          <w:lang w:val="es-CR" w:eastAsia="es-CR"/>
        </w:rPr>
        <w:footnoteReference w:id="23"/>
      </w:r>
      <w:r>
        <w:rPr>
          <w:rFonts w:ascii="Verdana" w:hAnsi="Verdana" w:cs="Arial"/>
          <w:color w:val="auto"/>
          <w:sz w:val="20"/>
          <w:szCs w:val="20"/>
          <w:lang w:val="es-CR" w:eastAsia="es-CR"/>
        </w:rPr>
        <w:t xml:space="preserve">, lo que ha examinado también considerando contextos de ejecuciones extrajudiciales, como </w:t>
      </w:r>
      <w:r w:rsidR="001C287E">
        <w:rPr>
          <w:rFonts w:ascii="Verdana" w:hAnsi="Verdana" w:cs="Arial"/>
          <w:color w:val="auto"/>
          <w:sz w:val="20"/>
          <w:szCs w:val="20"/>
          <w:lang w:val="es-CR" w:eastAsia="es-CR"/>
        </w:rPr>
        <w:t xml:space="preserve">surge </w:t>
      </w:r>
      <w:r>
        <w:rPr>
          <w:rFonts w:ascii="Verdana" w:hAnsi="Verdana" w:cs="Arial"/>
          <w:color w:val="auto"/>
          <w:sz w:val="20"/>
          <w:szCs w:val="20"/>
          <w:lang w:val="es-CR" w:eastAsia="es-CR"/>
        </w:rPr>
        <w:t>de distintas sentencias referidas a Venezuela</w:t>
      </w:r>
      <w:r>
        <w:rPr>
          <w:rStyle w:val="Refdenotaalpie"/>
          <w:rFonts w:ascii="Verdana" w:hAnsi="Verdana" w:cs="Arial"/>
          <w:color w:val="auto"/>
          <w:sz w:val="20"/>
          <w:szCs w:val="20"/>
          <w:lang w:val="es-CR" w:eastAsia="es-CR"/>
        </w:rPr>
        <w:footnoteReference w:id="24"/>
      </w:r>
      <w:r>
        <w:rPr>
          <w:rFonts w:ascii="Verdana" w:hAnsi="Verdana" w:cs="Arial"/>
          <w:color w:val="auto"/>
          <w:sz w:val="20"/>
          <w:szCs w:val="20"/>
          <w:lang w:val="es-CR" w:eastAsia="es-CR"/>
        </w:rPr>
        <w:t xml:space="preserve">. </w:t>
      </w:r>
    </w:p>
    <w:p w14:paraId="2D61AC25" w14:textId="77777777" w:rsidR="002145BF" w:rsidRPr="008B4560" w:rsidRDefault="002145BF" w:rsidP="002145BF">
      <w:pPr>
        <w:pStyle w:val="Prrafodelista"/>
        <w:rPr>
          <w:rFonts w:ascii="Verdana" w:hAnsi="Verdana" w:cs="Arial"/>
          <w:color w:val="auto"/>
          <w:sz w:val="20"/>
          <w:szCs w:val="20"/>
          <w:lang w:val="es-CR" w:eastAsia="es-CR"/>
        </w:rPr>
      </w:pPr>
    </w:p>
    <w:p w14:paraId="423E30F9" w14:textId="53FEDE40" w:rsidR="00CD2ECB" w:rsidRPr="00F12FC6" w:rsidRDefault="002145BF" w:rsidP="00FB59A6">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Pr>
          <w:rFonts w:ascii="Verdana" w:hAnsi="Verdana" w:cs="Arial"/>
          <w:color w:val="auto"/>
          <w:sz w:val="20"/>
          <w:szCs w:val="20"/>
          <w:lang w:val="es-CR" w:eastAsia="es-CR"/>
        </w:rPr>
        <w:t xml:space="preserve">A partir de lo expuesto, considerando que la Corte cuenta ya con una amplia jurisprudencia respecto a la </w:t>
      </w:r>
      <w:r w:rsidRPr="008B4560">
        <w:rPr>
          <w:rFonts w:ascii="Verdana" w:hAnsi="Verdana" w:cs="Arial"/>
          <w:color w:val="auto"/>
          <w:sz w:val="20"/>
          <w:szCs w:val="20"/>
          <w:lang w:val="es-CR" w:eastAsia="es-CR"/>
        </w:rPr>
        <w:t xml:space="preserve">obligación </w:t>
      </w:r>
      <w:r>
        <w:rPr>
          <w:rFonts w:ascii="Verdana" w:hAnsi="Verdana" w:cs="Arial"/>
          <w:color w:val="auto"/>
          <w:sz w:val="20"/>
          <w:szCs w:val="20"/>
          <w:lang w:val="es-CR" w:eastAsia="es-CR"/>
        </w:rPr>
        <w:t xml:space="preserve">estatal </w:t>
      </w:r>
      <w:r w:rsidRPr="008B4560">
        <w:rPr>
          <w:rFonts w:ascii="Verdana" w:hAnsi="Verdana" w:cs="Arial"/>
          <w:color w:val="auto"/>
          <w:sz w:val="20"/>
          <w:szCs w:val="20"/>
          <w:lang w:val="es-CR" w:eastAsia="es-CR"/>
        </w:rPr>
        <w:t>de investigar muertes que podrían deberse a actos de ejecución extrajudicial</w:t>
      </w:r>
      <w:r>
        <w:rPr>
          <w:rFonts w:ascii="Verdana" w:hAnsi="Verdana" w:cs="Arial"/>
          <w:color w:val="auto"/>
          <w:sz w:val="20"/>
          <w:szCs w:val="20"/>
          <w:lang w:val="es-CR" w:eastAsia="es-CR"/>
        </w:rPr>
        <w:t xml:space="preserve">, esta Presidencia considera que resultan insuficientes los argumentos de la Comisión respecto a supuestos elementos atinentes al orden público interamericano en el caso. Por lo tanto, no admite la declaración pericial propuesta por la Comisión Interamericana. Dado lo anterior, </w:t>
      </w:r>
      <w:r w:rsidR="009D358B" w:rsidRPr="009D358B">
        <w:rPr>
          <w:rFonts w:ascii="Verdana" w:hAnsi="Verdana" w:cs="Arial"/>
          <w:color w:val="auto"/>
          <w:sz w:val="20"/>
          <w:szCs w:val="20"/>
          <w:lang w:val="es-CR" w:eastAsia="es-CR"/>
        </w:rPr>
        <w:t xml:space="preserve">rechaza </w:t>
      </w:r>
      <w:r>
        <w:rPr>
          <w:rFonts w:ascii="Verdana" w:hAnsi="Verdana" w:cs="Arial"/>
          <w:color w:val="auto"/>
          <w:sz w:val="20"/>
          <w:szCs w:val="20"/>
          <w:lang w:val="es-CR" w:eastAsia="es-CR"/>
        </w:rPr>
        <w:t xml:space="preserve">también </w:t>
      </w:r>
      <w:r w:rsidR="009D358B" w:rsidRPr="009D358B">
        <w:rPr>
          <w:rFonts w:ascii="Verdana" w:hAnsi="Verdana" w:cs="Arial"/>
          <w:color w:val="auto"/>
          <w:sz w:val="20"/>
          <w:szCs w:val="20"/>
          <w:lang w:val="es-CR" w:eastAsia="es-CR"/>
        </w:rPr>
        <w:t>la solicitud de la Comisión de formular preguntas a declarantes.</w:t>
      </w:r>
      <w:r w:rsidR="00CD2ECB">
        <w:rPr>
          <w:rFonts w:ascii="Verdana" w:hAnsi="Verdana" w:cs="Arial"/>
          <w:color w:val="auto"/>
          <w:sz w:val="20"/>
          <w:szCs w:val="20"/>
          <w:lang w:val="es-CR" w:eastAsia="es-CR"/>
        </w:rPr>
        <w:t xml:space="preserve"> </w:t>
      </w:r>
    </w:p>
    <w:p w14:paraId="5645BC29" w14:textId="77777777" w:rsidR="00F12FC6" w:rsidRDefault="00F12FC6" w:rsidP="000C0263">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3673ABA2" w14:textId="39FE90B9" w:rsidR="009D358B" w:rsidRDefault="000C0263" w:rsidP="009D358B">
      <w:pPr>
        <w:spacing w:after="0"/>
        <w:ind w:left="567"/>
        <w:contextualSpacing/>
        <w:rPr>
          <w:b/>
          <w:i/>
          <w:szCs w:val="20"/>
        </w:rPr>
      </w:pPr>
      <w:r>
        <w:rPr>
          <w:b/>
          <w:i/>
          <w:szCs w:val="20"/>
        </w:rPr>
        <w:t xml:space="preserve">F. </w:t>
      </w:r>
      <w:r w:rsidR="000F06CF">
        <w:rPr>
          <w:b/>
          <w:i/>
          <w:szCs w:val="20"/>
        </w:rPr>
        <w:t>S</w:t>
      </w:r>
      <w:proofErr w:type="spellStart"/>
      <w:r w:rsidR="000F06CF" w:rsidRPr="009D358B">
        <w:rPr>
          <w:b/>
          <w:i/>
          <w:szCs w:val="20"/>
          <w:lang w:val="es-CR"/>
        </w:rPr>
        <w:t>olicitudes</w:t>
      </w:r>
      <w:proofErr w:type="spellEnd"/>
      <w:r w:rsidR="009D358B" w:rsidRPr="009D358B">
        <w:rPr>
          <w:b/>
          <w:i/>
          <w:szCs w:val="20"/>
          <w:lang w:val="es-CR"/>
        </w:rPr>
        <w:t xml:space="preserve"> de traslado de prueba efectuadas por la Comisión, l</w:t>
      </w:r>
      <w:r w:rsidR="00F840AB">
        <w:rPr>
          <w:b/>
          <w:i/>
          <w:szCs w:val="20"/>
          <w:lang w:val="es-CR"/>
        </w:rPr>
        <w:t>os representantes</w:t>
      </w:r>
      <w:r w:rsidR="009D358B" w:rsidRPr="009D358B">
        <w:rPr>
          <w:b/>
          <w:i/>
          <w:szCs w:val="20"/>
          <w:lang w:val="es-CR"/>
        </w:rPr>
        <w:t xml:space="preserve"> y </w:t>
      </w:r>
      <w:r w:rsidR="00F840AB">
        <w:rPr>
          <w:b/>
          <w:i/>
          <w:szCs w:val="20"/>
          <w:lang w:val="es-CR"/>
        </w:rPr>
        <w:t>el Estado</w:t>
      </w:r>
      <w:r w:rsidR="009D358B">
        <w:rPr>
          <w:szCs w:val="20"/>
          <w:lang w:val="es-CR"/>
        </w:rPr>
        <w:t xml:space="preserve"> </w:t>
      </w:r>
    </w:p>
    <w:p w14:paraId="5E858633" w14:textId="77777777" w:rsidR="000C0263" w:rsidRPr="000C0263" w:rsidRDefault="000C0263" w:rsidP="000C0263">
      <w:pPr>
        <w:pStyle w:val="Prrafodelista"/>
        <w:widowControl w:val="0"/>
        <w:tabs>
          <w:tab w:val="left" w:pos="567"/>
        </w:tabs>
        <w:autoSpaceDE w:val="0"/>
        <w:autoSpaceDN w:val="0"/>
        <w:adjustRightInd w:val="0"/>
        <w:ind w:left="0" w:right="22"/>
        <w:jc w:val="both"/>
        <w:rPr>
          <w:rFonts w:ascii="Verdana" w:hAnsi="Verdana" w:cs="Arial"/>
          <w:color w:val="auto"/>
          <w:sz w:val="20"/>
          <w:szCs w:val="20"/>
          <w:lang w:val="es-CR" w:eastAsia="es-CR"/>
        </w:rPr>
      </w:pPr>
    </w:p>
    <w:p w14:paraId="6266B236" w14:textId="1EEC0251" w:rsidR="005C1B41" w:rsidRPr="004B720A" w:rsidRDefault="00DF2489" w:rsidP="005C1B41">
      <w:pPr>
        <w:pStyle w:val="Prrafodelista"/>
        <w:widowControl w:val="0"/>
        <w:numPr>
          <w:ilvl w:val="0"/>
          <w:numId w:val="42"/>
        </w:numPr>
        <w:tabs>
          <w:tab w:val="left" w:pos="567"/>
        </w:tabs>
        <w:autoSpaceDE w:val="0"/>
        <w:autoSpaceDN w:val="0"/>
        <w:adjustRightInd w:val="0"/>
        <w:ind w:left="0" w:right="22" w:firstLine="0"/>
        <w:jc w:val="both"/>
        <w:rPr>
          <w:rFonts w:ascii="Verdana" w:hAnsi="Verdana" w:cs="Arial"/>
          <w:color w:val="auto"/>
          <w:sz w:val="20"/>
          <w:szCs w:val="20"/>
          <w:lang w:val="es-CR" w:eastAsia="es-CR"/>
        </w:rPr>
      </w:pPr>
      <w:r w:rsidRPr="005562D7">
        <w:rPr>
          <w:rFonts w:ascii="Verdana" w:hAnsi="Verdana" w:cs="Arial"/>
          <w:sz w:val="20"/>
          <w:szCs w:val="20"/>
          <w:lang w:val="es-CR"/>
        </w:rPr>
        <w:t xml:space="preserve">La </w:t>
      </w:r>
      <w:r w:rsidRPr="005562D7">
        <w:rPr>
          <w:rFonts w:ascii="Verdana" w:hAnsi="Verdana" w:cs="Arial"/>
          <w:b/>
          <w:bCs/>
          <w:i/>
          <w:iCs/>
          <w:sz w:val="20"/>
          <w:szCs w:val="20"/>
          <w:lang w:val="es-CR"/>
        </w:rPr>
        <w:t>Comisión</w:t>
      </w:r>
      <w:r w:rsidRPr="005562D7">
        <w:rPr>
          <w:rFonts w:ascii="Verdana" w:hAnsi="Verdana" w:cs="Arial"/>
          <w:sz w:val="20"/>
          <w:szCs w:val="20"/>
          <w:lang w:val="es-CR"/>
        </w:rPr>
        <w:t xml:space="preserve"> </w:t>
      </w:r>
      <w:r w:rsidR="00DF7CAC" w:rsidRPr="005562D7">
        <w:rPr>
          <w:rFonts w:ascii="Verdana" w:hAnsi="Verdana" w:cs="Arial"/>
          <w:sz w:val="20"/>
          <w:szCs w:val="20"/>
          <w:lang w:val="es-CR"/>
        </w:rPr>
        <w:t xml:space="preserve">solicitó el traslado del dictamen pericial del </w:t>
      </w:r>
      <w:r w:rsidR="00DF7CAC" w:rsidRPr="005562D7">
        <w:rPr>
          <w:rFonts w:ascii="Verdana" w:eastAsia="Times New Roman" w:hAnsi="Verdana" w:cs="Verdana"/>
          <w:sz w:val="20"/>
          <w:szCs w:val="20"/>
          <w:lang w:val="es-CL" w:eastAsia="en-US"/>
        </w:rPr>
        <w:t xml:space="preserve">experto </w:t>
      </w:r>
      <w:r w:rsidR="005C1B41" w:rsidRPr="005C1B41">
        <w:rPr>
          <w:rFonts w:ascii="Verdana" w:eastAsia="Times New Roman" w:hAnsi="Verdana" w:cs="Verdana"/>
          <w:sz w:val="20"/>
          <w:szCs w:val="16"/>
          <w:lang w:val="es-CL" w:eastAsia="en-US"/>
        </w:rPr>
        <w:t xml:space="preserve">Hugo </w:t>
      </w:r>
      <w:proofErr w:type="spellStart"/>
      <w:r w:rsidR="005C1B41" w:rsidRPr="005C1B41">
        <w:rPr>
          <w:rFonts w:ascii="Verdana" w:eastAsia="Times New Roman" w:hAnsi="Verdana" w:cs="Verdana"/>
          <w:sz w:val="20"/>
          <w:szCs w:val="16"/>
          <w:lang w:val="es-CL" w:eastAsia="en-US"/>
        </w:rPr>
        <w:t>Fru</w:t>
      </w:r>
      <w:r w:rsidR="00442EDB">
        <w:rPr>
          <w:rFonts w:ascii="Verdana" w:eastAsia="Times New Roman" w:hAnsi="Verdana" w:cs="Verdana"/>
          <w:sz w:val="20"/>
          <w:szCs w:val="16"/>
          <w:lang w:val="es-CL" w:eastAsia="en-US"/>
        </w:rPr>
        <w:t>h</w:t>
      </w:r>
      <w:r w:rsidR="005C1B41" w:rsidRPr="005C1B41">
        <w:rPr>
          <w:rFonts w:ascii="Verdana" w:eastAsia="Times New Roman" w:hAnsi="Verdana" w:cs="Verdana"/>
          <w:sz w:val="20"/>
          <w:szCs w:val="16"/>
          <w:lang w:val="es-CL" w:eastAsia="en-US"/>
        </w:rPr>
        <w:t>ling</w:t>
      </w:r>
      <w:proofErr w:type="spellEnd"/>
      <w:r w:rsidR="005C1B41">
        <w:rPr>
          <w:rFonts w:ascii="Verdana" w:eastAsia="Times New Roman" w:hAnsi="Verdana" w:cs="Verdana"/>
          <w:sz w:val="20"/>
          <w:szCs w:val="16"/>
          <w:lang w:val="es-CL" w:eastAsia="en-US"/>
        </w:rPr>
        <w:t>, rendido</w:t>
      </w:r>
      <w:r w:rsidR="005C1B41" w:rsidRPr="005C1B41">
        <w:rPr>
          <w:rFonts w:ascii="Verdana" w:eastAsia="Times New Roman" w:hAnsi="Verdana" w:cs="Verdana"/>
          <w:sz w:val="20"/>
          <w:szCs w:val="16"/>
          <w:lang w:val="es-CL" w:eastAsia="en-US"/>
        </w:rPr>
        <w:t xml:space="preserve"> en el caso</w:t>
      </w:r>
      <w:r w:rsidR="005C1B41" w:rsidRPr="005C1B41">
        <w:rPr>
          <w:rFonts w:ascii="Verdana" w:eastAsia="Times New Roman" w:hAnsi="Verdana" w:cs="Verdana"/>
          <w:i/>
          <w:sz w:val="20"/>
          <w:szCs w:val="16"/>
          <w:lang w:val="es-CL" w:eastAsia="en-US"/>
        </w:rPr>
        <w:t xml:space="preserve"> Hermanos Landaeta Mejías y otros Vs. Venezuela</w:t>
      </w:r>
      <w:r w:rsidR="002226DE" w:rsidRPr="000C0263">
        <w:rPr>
          <w:rStyle w:val="Refdenotaalpie"/>
          <w:rFonts w:ascii="Verdana" w:eastAsia="Times New Roman" w:hAnsi="Verdana" w:cs="Verdana"/>
          <w:sz w:val="20"/>
          <w:szCs w:val="16"/>
          <w:lang w:val="es-CL" w:eastAsia="en-US"/>
        </w:rPr>
        <w:footnoteReference w:id="25"/>
      </w:r>
      <w:r w:rsidR="005C1B41" w:rsidRPr="005C1B41">
        <w:rPr>
          <w:rFonts w:ascii="Verdana" w:eastAsia="Times New Roman" w:hAnsi="Verdana" w:cs="Verdana"/>
          <w:sz w:val="20"/>
          <w:szCs w:val="16"/>
          <w:lang w:val="es-CL" w:eastAsia="en-US"/>
        </w:rPr>
        <w:t>.</w:t>
      </w:r>
      <w:r w:rsidR="005C1B41">
        <w:rPr>
          <w:rFonts w:ascii="Verdana" w:eastAsia="Times New Roman" w:hAnsi="Verdana" w:cs="Verdana"/>
          <w:sz w:val="20"/>
          <w:szCs w:val="16"/>
          <w:lang w:val="es-CL" w:eastAsia="en-US"/>
        </w:rPr>
        <w:t xml:space="preserve"> </w:t>
      </w:r>
    </w:p>
    <w:p w14:paraId="5F219326" w14:textId="4F7DF2B1" w:rsidR="00B115F1" w:rsidRDefault="00B115F1" w:rsidP="004B720A">
      <w:pPr>
        <w:pStyle w:val="Prrafodelista"/>
        <w:widowControl w:val="0"/>
        <w:tabs>
          <w:tab w:val="left" w:pos="567"/>
        </w:tabs>
        <w:autoSpaceDE w:val="0"/>
        <w:autoSpaceDN w:val="0"/>
        <w:adjustRightInd w:val="0"/>
        <w:ind w:left="0" w:right="22"/>
        <w:jc w:val="both"/>
        <w:rPr>
          <w:rFonts w:ascii="Verdana" w:eastAsia="Times New Roman" w:hAnsi="Verdana" w:cs="Verdana"/>
          <w:sz w:val="20"/>
          <w:szCs w:val="16"/>
          <w:lang w:val="es-CL" w:eastAsia="en-US"/>
        </w:rPr>
      </w:pPr>
    </w:p>
    <w:p w14:paraId="54445B72" w14:textId="77777777" w:rsidR="00B115F1" w:rsidRPr="0087408C" w:rsidRDefault="00B115F1" w:rsidP="00B115F1">
      <w:pPr>
        <w:pStyle w:val="Prrafodelista"/>
        <w:widowControl w:val="0"/>
        <w:numPr>
          <w:ilvl w:val="0"/>
          <w:numId w:val="42"/>
        </w:numPr>
        <w:tabs>
          <w:tab w:val="left" w:pos="567"/>
        </w:tabs>
        <w:autoSpaceDE w:val="0"/>
        <w:autoSpaceDN w:val="0"/>
        <w:adjustRightInd w:val="0"/>
        <w:ind w:left="0" w:right="22" w:firstLine="0"/>
        <w:jc w:val="both"/>
        <w:rPr>
          <w:rFonts w:ascii="Verdana" w:eastAsia="Times New Roman" w:hAnsi="Verdana" w:cs="Verdana"/>
          <w:sz w:val="20"/>
          <w:szCs w:val="16"/>
          <w:lang w:val="es-CR" w:eastAsia="en-US"/>
        </w:rPr>
      </w:pPr>
      <w:r w:rsidRPr="005C1B41">
        <w:rPr>
          <w:rFonts w:ascii="Verdana" w:hAnsi="Verdana" w:cs="Arial"/>
          <w:color w:val="auto"/>
          <w:sz w:val="20"/>
          <w:szCs w:val="20"/>
          <w:lang w:val="es-CR" w:eastAsia="es-CR"/>
        </w:rPr>
        <w:t xml:space="preserve">Los </w:t>
      </w:r>
      <w:r w:rsidRPr="005C1B41">
        <w:rPr>
          <w:rFonts w:ascii="Verdana" w:hAnsi="Verdana" w:cs="Arial"/>
          <w:b/>
          <w:i/>
          <w:color w:val="auto"/>
          <w:sz w:val="20"/>
          <w:szCs w:val="20"/>
          <w:lang w:val="es-CR" w:eastAsia="es-CR"/>
        </w:rPr>
        <w:t xml:space="preserve">representantes </w:t>
      </w:r>
      <w:r>
        <w:rPr>
          <w:rFonts w:ascii="Verdana" w:hAnsi="Verdana" w:cs="Arial"/>
          <w:color w:val="auto"/>
          <w:sz w:val="20"/>
          <w:szCs w:val="20"/>
          <w:lang w:val="es-CR" w:eastAsia="es-CR"/>
        </w:rPr>
        <w:t xml:space="preserve">solicitaron que se incorporen al presente proceso las siguientes declaraciones periciales: a) la rendida por el señor Christof </w:t>
      </w:r>
      <w:proofErr w:type="spellStart"/>
      <w:r>
        <w:rPr>
          <w:rFonts w:ascii="Verdana" w:hAnsi="Verdana" w:cs="Arial"/>
          <w:color w:val="auto"/>
          <w:sz w:val="20"/>
          <w:szCs w:val="20"/>
          <w:lang w:val="es-CR" w:eastAsia="es-CR"/>
        </w:rPr>
        <w:t>Heyns</w:t>
      </w:r>
      <w:proofErr w:type="spellEnd"/>
      <w:r>
        <w:rPr>
          <w:rFonts w:ascii="Verdana" w:hAnsi="Verdana" w:cs="Arial"/>
          <w:color w:val="auto"/>
          <w:sz w:val="20"/>
          <w:szCs w:val="20"/>
          <w:lang w:val="es-CR" w:eastAsia="es-CR"/>
        </w:rPr>
        <w:t xml:space="preserve"> en el caso </w:t>
      </w:r>
      <w:r>
        <w:rPr>
          <w:rFonts w:ascii="Verdana" w:hAnsi="Verdana" w:cs="Arial"/>
          <w:i/>
          <w:color w:val="auto"/>
          <w:sz w:val="20"/>
          <w:szCs w:val="20"/>
          <w:lang w:val="es-CR" w:eastAsia="es-CR"/>
        </w:rPr>
        <w:t>Favela Nova Brasilia Vs. Brasil</w:t>
      </w:r>
      <w:r w:rsidRPr="00FF4441">
        <w:rPr>
          <w:rStyle w:val="Refdenotaalpie"/>
          <w:rFonts w:ascii="Verdana" w:hAnsi="Verdana" w:cs="Arial"/>
          <w:color w:val="auto"/>
          <w:sz w:val="20"/>
          <w:szCs w:val="20"/>
          <w:lang w:val="es-CR" w:eastAsia="es-CR"/>
        </w:rPr>
        <w:footnoteReference w:id="26"/>
      </w:r>
      <w:r w:rsidRPr="00665191">
        <w:rPr>
          <w:rFonts w:ascii="Verdana" w:hAnsi="Verdana" w:cs="Arial"/>
          <w:color w:val="auto"/>
          <w:sz w:val="20"/>
          <w:szCs w:val="20"/>
          <w:lang w:val="es-CR" w:eastAsia="es-CR"/>
        </w:rPr>
        <w:t xml:space="preserve">; b) </w:t>
      </w:r>
      <w:r>
        <w:rPr>
          <w:rFonts w:ascii="Verdana" w:hAnsi="Verdana" w:cs="Arial"/>
          <w:color w:val="auto"/>
          <w:sz w:val="20"/>
          <w:szCs w:val="20"/>
          <w:lang w:val="es-CR" w:eastAsia="es-CR"/>
        </w:rPr>
        <w:t xml:space="preserve">la dada por la señora Magaly Mercedes Vásquez González en el caso </w:t>
      </w:r>
      <w:r>
        <w:rPr>
          <w:rFonts w:ascii="Verdana" w:hAnsi="Verdana" w:cs="Arial"/>
          <w:i/>
          <w:color w:val="auto"/>
          <w:sz w:val="20"/>
          <w:szCs w:val="20"/>
          <w:lang w:val="es-CR" w:eastAsia="es-CR"/>
        </w:rPr>
        <w:t>Familia Barrios Vs. Venezuela</w:t>
      </w:r>
      <w:r w:rsidRPr="00FF4441">
        <w:rPr>
          <w:rStyle w:val="Refdenotaalpie"/>
          <w:rFonts w:ascii="Verdana" w:hAnsi="Verdana" w:cs="Arial"/>
          <w:color w:val="auto"/>
          <w:sz w:val="20"/>
          <w:szCs w:val="20"/>
          <w:lang w:val="es-CR" w:eastAsia="es-CR"/>
        </w:rPr>
        <w:footnoteReference w:id="27"/>
      </w:r>
      <w:r>
        <w:rPr>
          <w:rFonts w:ascii="Verdana" w:hAnsi="Verdana" w:cs="Arial"/>
          <w:color w:val="auto"/>
          <w:sz w:val="20"/>
          <w:szCs w:val="20"/>
          <w:lang w:val="es-CR" w:eastAsia="es-CR"/>
        </w:rPr>
        <w:t xml:space="preserve">, y c) la prestada por el señor José Pablo </w:t>
      </w:r>
      <w:proofErr w:type="spellStart"/>
      <w:r>
        <w:rPr>
          <w:rFonts w:ascii="Verdana" w:hAnsi="Verdana" w:cs="Arial"/>
          <w:color w:val="auto"/>
          <w:sz w:val="20"/>
          <w:szCs w:val="20"/>
          <w:lang w:val="es-CR" w:eastAsia="es-CR"/>
        </w:rPr>
        <w:t>Baraybar</w:t>
      </w:r>
      <w:proofErr w:type="spellEnd"/>
      <w:r>
        <w:rPr>
          <w:rFonts w:ascii="Verdana" w:hAnsi="Verdana" w:cs="Arial"/>
          <w:color w:val="auto"/>
          <w:sz w:val="20"/>
          <w:szCs w:val="20"/>
          <w:lang w:val="es-CR" w:eastAsia="es-CR"/>
        </w:rPr>
        <w:t xml:space="preserve"> en el caso </w:t>
      </w:r>
      <w:r w:rsidRPr="0087408C">
        <w:rPr>
          <w:rFonts w:ascii="Verdana" w:eastAsia="Times New Roman" w:hAnsi="Verdana" w:cs="Verdana"/>
          <w:i/>
          <w:sz w:val="20"/>
          <w:szCs w:val="16"/>
          <w:lang w:val="es-CL" w:eastAsia="en-US"/>
        </w:rPr>
        <w:t>Hermanos Landaeta Mejías y otros Vs. Venezuela</w:t>
      </w:r>
      <w:r w:rsidRPr="00241535">
        <w:rPr>
          <w:rStyle w:val="Refdenotaalpie"/>
          <w:rFonts w:ascii="Verdana" w:eastAsia="Times New Roman" w:hAnsi="Verdana" w:cs="Verdana"/>
          <w:sz w:val="20"/>
          <w:szCs w:val="16"/>
          <w:lang w:val="es-CL" w:eastAsia="en-US"/>
        </w:rPr>
        <w:footnoteReference w:id="28"/>
      </w:r>
      <w:r>
        <w:rPr>
          <w:rFonts w:ascii="Verdana" w:eastAsia="Times New Roman" w:hAnsi="Verdana" w:cs="Verdana"/>
          <w:i/>
          <w:sz w:val="20"/>
          <w:szCs w:val="16"/>
          <w:lang w:val="es-CL" w:eastAsia="en-US"/>
        </w:rPr>
        <w:t xml:space="preserve">. </w:t>
      </w:r>
    </w:p>
    <w:p w14:paraId="36154F39" w14:textId="77777777" w:rsidR="005C1B41" w:rsidRPr="005C1B41" w:rsidRDefault="005C1B41" w:rsidP="005C1B41">
      <w:pPr>
        <w:pStyle w:val="Prrafodelista"/>
        <w:rPr>
          <w:rFonts w:ascii="Verdana" w:eastAsia="Times New Roman" w:hAnsi="Verdana" w:cs="Verdana"/>
          <w:sz w:val="20"/>
          <w:szCs w:val="16"/>
          <w:lang w:val="es-CR" w:eastAsia="en-US"/>
        </w:rPr>
      </w:pPr>
    </w:p>
    <w:p w14:paraId="50002FED" w14:textId="0C4B212D" w:rsidR="005C1B41" w:rsidRDefault="005C1B41" w:rsidP="005C1B41">
      <w:pPr>
        <w:pStyle w:val="Prrafodelista"/>
        <w:widowControl w:val="0"/>
        <w:numPr>
          <w:ilvl w:val="0"/>
          <w:numId w:val="42"/>
        </w:numPr>
        <w:tabs>
          <w:tab w:val="left" w:pos="567"/>
        </w:tabs>
        <w:autoSpaceDE w:val="0"/>
        <w:autoSpaceDN w:val="0"/>
        <w:adjustRightInd w:val="0"/>
        <w:ind w:left="0" w:right="22" w:firstLine="0"/>
        <w:jc w:val="both"/>
        <w:rPr>
          <w:rFonts w:ascii="Verdana" w:eastAsia="Times New Roman" w:hAnsi="Verdana" w:cs="Verdana"/>
          <w:sz w:val="20"/>
          <w:szCs w:val="16"/>
          <w:lang w:val="es-CR" w:eastAsia="en-US"/>
        </w:rPr>
      </w:pPr>
      <w:r>
        <w:rPr>
          <w:rFonts w:ascii="Verdana" w:eastAsia="Times New Roman" w:hAnsi="Verdana" w:cs="Verdana"/>
          <w:sz w:val="20"/>
          <w:szCs w:val="16"/>
          <w:lang w:val="es-CR" w:eastAsia="en-US"/>
        </w:rPr>
        <w:t xml:space="preserve">El </w:t>
      </w:r>
      <w:r w:rsidR="00806963" w:rsidRPr="00806963">
        <w:rPr>
          <w:rFonts w:ascii="Verdana" w:eastAsia="Times New Roman" w:hAnsi="Verdana" w:cs="Verdana"/>
          <w:b/>
          <w:i/>
          <w:sz w:val="20"/>
          <w:szCs w:val="16"/>
          <w:lang w:val="es-CR" w:eastAsia="en-US"/>
        </w:rPr>
        <w:t>Estado</w:t>
      </w:r>
      <w:r w:rsidR="00806963">
        <w:rPr>
          <w:rFonts w:ascii="Verdana" w:eastAsia="Times New Roman" w:hAnsi="Verdana" w:cs="Verdana"/>
          <w:sz w:val="20"/>
          <w:szCs w:val="16"/>
          <w:lang w:val="es-CR" w:eastAsia="en-US"/>
        </w:rPr>
        <w:t xml:space="preserve"> </w:t>
      </w:r>
      <w:r w:rsidR="009D358B">
        <w:rPr>
          <w:rFonts w:ascii="Verdana" w:eastAsia="Times New Roman" w:hAnsi="Verdana" w:cs="Verdana"/>
          <w:sz w:val="20"/>
          <w:szCs w:val="16"/>
          <w:lang w:val="es-CR" w:eastAsia="en-US"/>
        </w:rPr>
        <w:t>requirió</w:t>
      </w:r>
      <w:r w:rsidR="00EB13F7">
        <w:rPr>
          <w:rFonts w:ascii="Verdana" w:eastAsia="Times New Roman" w:hAnsi="Verdana" w:cs="Verdana"/>
          <w:sz w:val="20"/>
          <w:szCs w:val="16"/>
          <w:lang w:val="es-CR" w:eastAsia="en-US"/>
        </w:rPr>
        <w:t>, en su escrito de contestación,</w:t>
      </w:r>
      <w:r w:rsidR="009D358B">
        <w:rPr>
          <w:rFonts w:ascii="Verdana" w:eastAsia="Times New Roman" w:hAnsi="Verdana" w:cs="Verdana"/>
          <w:sz w:val="20"/>
          <w:szCs w:val="16"/>
          <w:lang w:val="es-CR" w:eastAsia="en-US"/>
        </w:rPr>
        <w:t xml:space="preserve"> el traslado al pr</w:t>
      </w:r>
      <w:r w:rsidR="00EB13F7">
        <w:rPr>
          <w:rFonts w:ascii="Verdana" w:eastAsia="Times New Roman" w:hAnsi="Verdana" w:cs="Verdana"/>
          <w:sz w:val="20"/>
          <w:szCs w:val="16"/>
          <w:lang w:val="es-CR" w:eastAsia="en-US"/>
        </w:rPr>
        <w:t>e</w:t>
      </w:r>
      <w:r w:rsidR="009D358B">
        <w:rPr>
          <w:rFonts w:ascii="Verdana" w:eastAsia="Times New Roman" w:hAnsi="Verdana" w:cs="Verdana"/>
          <w:sz w:val="20"/>
          <w:szCs w:val="16"/>
          <w:lang w:val="es-CR" w:eastAsia="en-US"/>
        </w:rPr>
        <w:t xml:space="preserve">sente caso de </w:t>
      </w:r>
      <w:r w:rsidR="00EB13F7">
        <w:rPr>
          <w:rFonts w:ascii="Verdana" w:eastAsia="Times New Roman" w:hAnsi="Verdana" w:cs="Verdana"/>
          <w:sz w:val="20"/>
          <w:szCs w:val="16"/>
          <w:lang w:val="es-CR" w:eastAsia="en-US"/>
        </w:rPr>
        <w:t>pruebas “[d]</w:t>
      </w:r>
      <w:proofErr w:type="spellStart"/>
      <w:r w:rsidR="00EB13F7">
        <w:rPr>
          <w:rFonts w:ascii="Verdana" w:eastAsia="Times New Roman" w:hAnsi="Verdana" w:cs="Verdana"/>
          <w:sz w:val="20"/>
          <w:szCs w:val="16"/>
          <w:lang w:val="es-CR" w:eastAsia="en-US"/>
        </w:rPr>
        <w:t>ocumentales</w:t>
      </w:r>
      <w:proofErr w:type="spellEnd"/>
      <w:r w:rsidR="00EB13F7">
        <w:rPr>
          <w:rFonts w:ascii="Verdana" w:eastAsia="Times New Roman" w:hAnsi="Verdana" w:cs="Verdana"/>
          <w:sz w:val="20"/>
          <w:szCs w:val="16"/>
          <w:lang w:val="es-CR" w:eastAsia="en-US"/>
        </w:rPr>
        <w:t xml:space="preserve"> consignadas en el caso </w:t>
      </w:r>
      <w:r w:rsidR="00EB13F7" w:rsidRPr="005C1B41">
        <w:rPr>
          <w:rFonts w:ascii="Verdana" w:eastAsia="Times New Roman" w:hAnsi="Verdana" w:cs="Verdana"/>
          <w:i/>
          <w:sz w:val="20"/>
          <w:szCs w:val="16"/>
          <w:lang w:val="es-CL" w:eastAsia="en-US"/>
        </w:rPr>
        <w:t>Hermanos Landaeta Mejías y otros Vs. Venezuela</w:t>
      </w:r>
      <w:r w:rsidR="00EB13F7">
        <w:rPr>
          <w:rFonts w:ascii="Verdana" w:eastAsia="Times New Roman" w:hAnsi="Verdana" w:cs="Verdana"/>
          <w:sz w:val="20"/>
          <w:szCs w:val="16"/>
          <w:lang w:val="es-CR" w:eastAsia="en-US"/>
        </w:rPr>
        <w:t xml:space="preserve"> en relación con las medidas legislativas, administrativas y de otra índole para asegurar la investigación con la debida diligencia y de conformidad con los estándares internacionales relevantes, la necesidad y proporcionalidad del uso letal de la fuerza por parte de funcionarios policiales”. Por otra parte, </w:t>
      </w:r>
      <w:r w:rsidR="00806963">
        <w:rPr>
          <w:rFonts w:ascii="Verdana" w:eastAsia="Times New Roman" w:hAnsi="Verdana" w:cs="Verdana"/>
          <w:sz w:val="20"/>
          <w:szCs w:val="16"/>
          <w:lang w:val="es-CR" w:eastAsia="en-US"/>
        </w:rPr>
        <w:t xml:space="preserve">señaló que la Comisión no justificó la procedencia </w:t>
      </w:r>
      <w:r w:rsidR="00140100">
        <w:rPr>
          <w:rFonts w:ascii="Verdana" w:eastAsia="Times New Roman" w:hAnsi="Verdana" w:cs="Verdana"/>
          <w:sz w:val="20"/>
          <w:szCs w:val="16"/>
          <w:lang w:val="es-CR" w:eastAsia="en-US"/>
        </w:rPr>
        <w:t xml:space="preserve">en el presente caso </w:t>
      </w:r>
      <w:r w:rsidR="00806963">
        <w:rPr>
          <w:rFonts w:ascii="Verdana" w:eastAsia="Times New Roman" w:hAnsi="Verdana" w:cs="Verdana"/>
          <w:sz w:val="20"/>
          <w:szCs w:val="16"/>
          <w:lang w:val="es-CR" w:eastAsia="en-US"/>
        </w:rPr>
        <w:t>del dictame</w:t>
      </w:r>
      <w:r w:rsidR="000C0263">
        <w:rPr>
          <w:rFonts w:ascii="Verdana" w:eastAsia="Times New Roman" w:hAnsi="Verdana" w:cs="Verdana"/>
          <w:sz w:val="20"/>
          <w:szCs w:val="16"/>
          <w:lang w:val="es-CR" w:eastAsia="en-US"/>
        </w:rPr>
        <w:t xml:space="preserve">n pericial </w:t>
      </w:r>
      <w:r w:rsidR="00140100">
        <w:rPr>
          <w:rFonts w:ascii="Verdana" w:eastAsia="Times New Roman" w:hAnsi="Verdana" w:cs="Verdana"/>
          <w:sz w:val="20"/>
          <w:szCs w:val="16"/>
          <w:lang w:val="es-CR" w:eastAsia="en-US"/>
        </w:rPr>
        <w:t xml:space="preserve">del señor Hugo </w:t>
      </w:r>
      <w:proofErr w:type="spellStart"/>
      <w:r w:rsidR="00140100">
        <w:rPr>
          <w:rFonts w:ascii="Verdana" w:eastAsia="Times New Roman" w:hAnsi="Verdana" w:cs="Verdana"/>
          <w:sz w:val="20"/>
          <w:szCs w:val="16"/>
          <w:lang w:val="es-CR" w:eastAsia="en-US"/>
        </w:rPr>
        <w:t>Fruhling</w:t>
      </w:r>
      <w:proofErr w:type="spellEnd"/>
      <w:r w:rsidR="00140100">
        <w:rPr>
          <w:rFonts w:ascii="Verdana" w:eastAsia="Times New Roman" w:hAnsi="Verdana" w:cs="Verdana"/>
          <w:sz w:val="20"/>
          <w:szCs w:val="16"/>
          <w:lang w:val="es-CR" w:eastAsia="en-US"/>
        </w:rPr>
        <w:t xml:space="preserve">, dado en el caso </w:t>
      </w:r>
      <w:r w:rsidR="00140100" w:rsidRPr="005C1B41">
        <w:rPr>
          <w:rFonts w:ascii="Verdana" w:eastAsia="Times New Roman" w:hAnsi="Verdana" w:cs="Verdana"/>
          <w:i/>
          <w:sz w:val="20"/>
          <w:szCs w:val="16"/>
          <w:lang w:val="es-CL" w:eastAsia="en-US"/>
        </w:rPr>
        <w:t>Hermanos Landaeta Mejías y otros Vs. Venezuela</w:t>
      </w:r>
      <w:r w:rsidR="00140100" w:rsidRPr="004B720A">
        <w:rPr>
          <w:rFonts w:ascii="Verdana" w:eastAsia="Times New Roman" w:hAnsi="Verdana" w:cs="Verdana"/>
          <w:sz w:val="20"/>
          <w:szCs w:val="16"/>
          <w:lang w:val="es-CL" w:eastAsia="en-US"/>
        </w:rPr>
        <w:t>, pues no justificó su relevancia respecto al orden público interamericano</w:t>
      </w:r>
      <w:r w:rsidR="00140100">
        <w:rPr>
          <w:rFonts w:ascii="Verdana" w:eastAsia="Times New Roman" w:hAnsi="Verdana" w:cs="Verdana"/>
          <w:sz w:val="20"/>
          <w:szCs w:val="16"/>
          <w:lang w:val="es-CR" w:eastAsia="en-US"/>
        </w:rPr>
        <w:t xml:space="preserve">. </w:t>
      </w:r>
    </w:p>
    <w:p w14:paraId="25306EBC" w14:textId="77777777" w:rsidR="0087408C" w:rsidRPr="00806963" w:rsidRDefault="0087408C" w:rsidP="00806963">
      <w:pPr>
        <w:pStyle w:val="Prrafodelista"/>
        <w:rPr>
          <w:rFonts w:ascii="Verdana" w:eastAsia="Times New Roman" w:hAnsi="Verdana" w:cs="Verdana"/>
          <w:sz w:val="20"/>
          <w:szCs w:val="16"/>
          <w:lang w:val="es-CR" w:eastAsia="en-US"/>
        </w:rPr>
      </w:pPr>
    </w:p>
    <w:p w14:paraId="75BBC7FD" w14:textId="0977F291" w:rsidR="00C729FD" w:rsidRPr="00C729FD" w:rsidRDefault="00241535" w:rsidP="005C1B41">
      <w:pPr>
        <w:pStyle w:val="Prrafodelista"/>
        <w:widowControl w:val="0"/>
        <w:numPr>
          <w:ilvl w:val="0"/>
          <w:numId w:val="42"/>
        </w:numPr>
        <w:tabs>
          <w:tab w:val="left" w:pos="567"/>
        </w:tabs>
        <w:autoSpaceDE w:val="0"/>
        <w:autoSpaceDN w:val="0"/>
        <w:adjustRightInd w:val="0"/>
        <w:ind w:left="0" w:right="22" w:firstLine="0"/>
        <w:jc w:val="both"/>
        <w:rPr>
          <w:rFonts w:ascii="Verdana" w:eastAsia="Times New Roman" w:hAnsi="Verdana" w:cs="Verdana"/>
          <w:sz w:val="20"/>
          <w:szCs w:val="16"/>
          <w:lang w:val="es-CR" w:eastAsia="en-US"/>
        </w:rPr>
      </w:pPr>
      <w:r>
        <w:rPr>
          <w:rFonts w:ascii="Verdana" w:eastAsia="Times New Roman" w:hAnsi="Verdana" w:cs="Verdana"/>
          <w:sz w:val="20"/>
          <w:szCs w:val="16"/>
          <w:lang w:val="es-CR" w:eastAsia="en-US"/>
        </w:rPr>
        <w:t xml:space="preserve">En cuanto a la prueba cuyo traslado fue solicitado </w:t>
      </w:r>
      <w:r w:rsidRPr="004B720A">
        <w:rPr>
          <w:rFonts w:ascii="Verdana" w:eastAsia="Times New Roman" w:hAnsi="Verdana" w:cs="Verdana"/>
          <w:sz w:val="20"/>
          <w:szCs w:val="16"/>
          <w:lang w:val="es-CR" w:eastAsia="en-US"/>
        </w:rPr>
        <w:t xml:space="preserve">por </w:t>
      </w:r>
      <w:r w:rsidR="004A3B3F" w:rsidRPr="004B720A">
        <w:rPr>
          <w:rFonts w:ascii="Verdana" w:eastAsia="Times New Roman" w:hAnsi="Verdana" w:cs="Verdana"/>
          <w:sz w:val="20"/>
          <w:szCs w:val="16"/>
          <w:lang w:val="es-CR" w:eastAsia="en-US"/>
        </w:rPr>
        <w:t>la Comisión</w:t>
      </w:r>
      <w:r>
        <w:rPr>
          <w:rFonts w:ascii="Verdana" w:eastAsia="Times New Roman" w:hAnsi="Verdana" w:cs="Verdana"/>
          <w:sz w:val="20"/>
          <w:szCs w:val="16"/>
          <w:lang w:val="es-CR" w:eastAsia="en-US"/>
        </w:rPr>
        <w:t xml:space="preserve"> y los representantes</w:t>
      </w:r>
      <w:r w:rsidR="00C729FD">
        <w:rPr>
          <w:rFonts w:ascii="Verdana" w:eastAsia="Times New Roman" w:hAnsi="Verdana" w:cs="Verdana"/>
          <w:sz w:val="20"/>
          <w:szCs w:val="16"/>
          <w:lang w:val="es-CR" w:eastAsia="en-US"/>
        </w:rPr>
        <w:t xml:space="preserve">, esta </w:t>
      </w:r>
      <w:proofErr w:type="gramStart"/>
      <w:r w:rsidR="00C729FD" w:rsidRPr="004B720A">
        <w:rPr>
          <w:rFonts w:ascii="Verdana" w:eastAsia="Times New Roman" w:hAnsi="Verdana" w:cs="Verdana"/>
          <w:b/>
          <w:i/>
          <w:sz w:val="20"/>
          <w:szCs w:val="16"/>
          <w:lang w:val="es-CR" w:eastAsia="en-US"/>
        </w:rPr>
        <w:t>Presidenta</w:t>
      </w:r>
      <w:proofErr w:type="gramEnd"/>
      <w:r w:rsidR="00C729FD">
        <w:rPr>
          <w:rFonts w:ascii="Verdana" w:eastAsia="Times New Roman" w:hAnsi="Verdana" w:cs="Verdana"/>
          <w:sz w:val="20"/>
          <w:szCs w:val="16"/>
          <w:lang w:val="es-CR" w:eastAsia="en-US"/>
        </w:rPr>
        <w:t xml:space="preserve"> considera que, por su objeto, presentan elementos que podrían resultar relevantes en el presente caso. </w:t>
      </w:r>
      <w:r w:rsidR="004A3B3F">
        <w:rPr>
          <w:rFonts w:ascii="Verdana" w:eastAsia="Times New Roman" w:hAnsi="Verdana" w:cs="Verdana"/>
          <w:sz w:val="20"/>
          <w:szCs w:val="16"/>
          <w:lang w:val="es-CR" w:eastAsia="en-US"/>
        </w:rPr>
        <w:t>Por otra parte, dado que las declaraciones referidas tienen respecto de este proceso carácter de prueba documental (</w:t>
      </w:r>
      <w:r w:rsidR="004A3B3F">
        <w:rPr>
          <w:rFonts w:ascii="Verdana" w:eastAsia="Times New Roman" w:hAnsi="Verdana" w:cs="Verdana"/>
          <w:i/>
          <w:sz w:val="20"/>
          <w:szCs w:val="16"/>
          <w:lang w:val="es-CR" w:eastAsia="en-US"/>
        </w:rPr>
        <w:t xml:space="preserve">infra </w:t>
      </w:r>
      <w:r w:rsidR="006C42BD">
        <w:rPr>
          <w:rFonts w:ascii="Verdana" w:eastAsia="Times New Roman" w:hAnsi="Verdana" w:cs="Verdana"/>
          <w:sz w:val="20"/>
          <w:szCs w:val="16"/>
          <w:lang w:val="es-CR" w:eastAsia="en-US"/>
        </w:rPr>
        <w:t>Considerando</w:t>
      </w:r>
      <w:r w:rsidR="004A3B3F">
        <w:rPr>
          <w:rFonts w:ascii="Verdana" w:eastAsia="Times New Roman" w:hAnsi="Verdana" w:cs="Verdana"/>
          <w:sz w:val="20"/>
          <w:szCs w:val="16"/>
          <w:lang w:val="es-CR" w:eastAsia="en-US"/>
        </w:rPr>
        <w:t xml:space="preserve"> </w:t>
      </w:r>
      <w:r w:rsidR="008645EC">
        <w:rPr>
          <w:rFonts w:ascii="Verdana" w:eastAsia="Times New Roman" w:hAnsi="Verdana" w:cs="Verdana"/>
          <w:sz w:val="20"/>
          <w:szCs w:val="16"/>
          <w:lang w:val="es-CR" w:eastAsia="en-US"/>
        </w:rPr>
        <w:t>45</w:t>
      </w:r>
      <w:r w:rsidR="004A3B3F">
        <w:rPr>
          <w:rFonts w:ascii="Verdana" w:eastAsia="Times New Roman" w:hAnsi="Verdana" w:cs="Verdana"/>
          <w:sz w:val="20"/>
          <w:szCs w:val="16"/>
          <w:lang w:val="es-CR" w:eastAsia="en-US"/>
        </w:rPr>
        <w:t xml:space="preserve">), no rige el requisito establecido en el artículo 35.f del Reglamento, que refiere a la afectación relevante del orden público interamericano como condición para la procedencia de prueba </w:t>
      </w:r>
      <w:r w:rsidR="006C42BD">
        <w:rPr>
          <w:rFonts w:ascii="Verdana" w:eastAsia="Times New Roman" w:hAnsi="Verdana" w:cs="Verdana"/>
          <w:sz w:val="20"/>
          <w:szCs w:val="16"/>
          <w:lang w:val="es-CR" w:eastAsia="en-US"/>
        </w:rPr>
        <w:t>pericial</w:t>
      </w:r>
      <w:r w:rsidR="004A3B3F">
        <w:rPr>
          <w:rFonts w:ascii="Verdana" w:eastAsia="Times New Roman" w:hAnsi="Verdana" w:cs="Verdana"/>
          <w:sz w:val="20"/>
          <w:szCs w:val="16"/>
          <w:lang w:val="es-CR" w:eastAsia="en-US"/>
        </w:rPr>
        <w:t xml:space="preserve"> ofrecida por la Comisión. </w:t>
      </w:r>
      <w:r w:rsidR="00C729FD">
        <w:rPr>
          <w:rFonts w:ascii="Verdana" w:eastAsia="Times New Roman" w:hAnsi="Verdana" w:cs="Verdana"/>
          <w:sz w:val="20"/>
          <w:szCs w:val="16"/>
          <w:lang w:val="es-CR" w:eastAsia="en-US"/>
        </w:rPr>
        <w:t xml:space="preserve">Por lo tanto, </w:t>
      </w:r>
      <w:r w:rsidR="006C42BD">
        <w:rPr>
          <w:rFonts w:ascii="Verdana" w:eastAsia="Times New Roman" w:hAnsi="Verdana" w:cs="Verdana"/>
          <w:sz w:val="20"/>
          <w:szCs w:val="16"/>
          <w:lang w:val="es-CR" w:eastAsia="en-US"/>
        </w:rPr>
        <w:t xml:space="preserve">esta Presidencia </w:t>
      </w:r>
      <w:r w:rsidR="00C729FD">
        <w:rPr>
          <w:rFonts w:ascii="Verdana" w:eastAsia="Times New Roman" w:hAnsi="Verdana" w:cs="Verdana"/>
          <w:sz w:val="20"/>
          <w:szCs w:val="16"/>
          <w:lang w:val="es-CR" w:eastAsia="en-US"/>
        </w:rPr>
        <w:t>dispone la incorporación al presente proceso, con carácter de prueba documental de:</w:t>
      </w:r>
      <w:r w:rsidR="006C42BD">
        <w:rPr>
          <w:rFonts w:ascii="Verdana" w:eastAsia="Times New Roman" w:hAnsi="Verdana" w:cs="Verdana"/>
          <w:sz w:val="20"/>
          <w:szCs w:val="16"/>
          <w:lang w:val="es-CR" w:eastAsia="en-US"/>
        </w:rPr>
        <w:t xml:space="preserve"> </w:t>
      </w:r>
      <w:r w:rsidR="006C42BD">
        <w:rPr>
          <w:rFonts w:ascii="Verdana" w:eastAsia="Times New Roman" w:hAnsi="Verdana" w:cs="Verdana"/>
          <w:sz w:val="20"/>
          <w:szCs w:val="20"/>
          <w:lang w:val="es-CR" w:eastAsia="en-US"/>
        </w:rPr>
        <w:t>a</w:t>
      </w:r>
      <w:r w:rsidR="00C729FD" w:rsidRPr="00C729FD">
        <w:rPr>
          <w:rFonts w:ascii="Verdana" w:eastAsia="Times New Roman" w:hAnsi="Verdana" w:cs="Verdana"/>
          <w:sz w:val="20"/>
          <w:szCs w:val="20"/>
          <w:lang w:val="es-CR" w:eastAsia="en-US"/>
        </w:rPr>
        <w:t xml:space="preserve">) </w:t>
      </w:r>
      <w:r w:rsidR="006C42BD">
        <w:rPr>
          <w:rFonts w:ascii="Verdana" w:hAnsi="Verdana" w:cs="Arial"/>
          <w:sz w:val="20"/>
          <w:szCs w:val="20"/>
          <w:lang w:val="es-CR"/>
        </w:rPr>
        <w:t>la declaración</w:t>
      </w:r>
      <w:r w:rsidR="006C42BD" w:rsidRPr="005562D7">
        <w:rPr>
          <w:rFonts w:ascii="Verdana" w:hAnsi="Verdana" w:cs="Arial"/>
          <w:sz w:val="20"/>
          <w:szCs w:val="20"/>
          <w:lang w:val="es-CR"/>
        </w:rPr>
        <w:t xml:space="preserve"> pericial del </w:t>
      </w:r>
      <w:r w:rsidR="006C42BD" w:rsidRPr="005562D7">
        <w:rPr>
          <w:rFonts w:ascii="Verdana" w:eastAsia="Times New Roman" w:hAnsi="Verdana" w:cs="Verdana"/>
          <w:sz w:val="20"/>
          <w:szCs w:val="20"/>
          <w:lang w:val="es-CL" w:eastAsia="en-US"/>
        </w:rPr>
        <w:t xml:space="preserve">experto </w:t>
      </w:r>
      <w:r w:rsidR="006C42BD" w:rsidRPr="005C1B41">
        <w:rPr>
          <w:rFonts w:ascii="Verdana" w:eastAsia="Times New Roman" w:hAnsi="Verdana" w:cs="Verdana"/>
          <w:sz w:val="20"/>
          <w:szCs w:val="16"/>
          <w:lang w:val="es-CL" w:eastAsia="en-US"/>
        </w:rPr>
        <w:t xml:space="preserve">Hugo </w:t>
      </w:r>
      <w:proofErr w:type="spellStart"/>
      <w:r w:rsidR="006C42BD" w:rsidRPr="005C1B41">
        <w:rPr>
          <w:rFonts w:ascii="Verdana" w:eastAsia="Times New Roman" w:hAnsi="Verdana" w:cs="Verdana"/>
          <w:sz w:val="20"/>
          <w:szCs w:val="16"/>
          <w:lang w:val="es-CL" w:eastAsia="en-US"/>
        </w:rPr>
        <w:t>Fru</w:t>
      </w:r>
      <w:r w:rsidR="006C42BD">
        <w:rPr>
          <w:rFonts w:ascii="Verdana" w:eastAsia="Times New Roman" w:hAnsi="Verdana" w:cs="Verdana"/>
          <w:sz w:val="20"/>
          <w:szCs w:val="16"/>
          <w:lang w:val="es-CL" w:eastAsia="en-US"/>
        </w:rPr>
        <w:t>h</w:t>
      </w:r>
      <w:r w:rsidR="006C42BD" w:rsidRPr="005C1B41">
        <w:rPr>
          <w:rFonts w:ascii="Verdana" w:eastAsia="Times New Roman" w:hAnsi="Verdana" w:cs="Verdana"/>
          <w:sz w:val="20"/>
          <w:szCs w:val="16"/>
          <w:lang w:val="es-CL" w:eastAsia="en-US"/>
        </w:rPr>
        <w:t>ling</w:t>
      </w:r>
      <w:proofErr w:type="spellEnd"/>
      <w:r w:rsidR="006C42BD">
        <w:rPr>
          <w:rFonts w:ascii="Verdana" w:eastAsia="Times New Roman" w:hAnsi="Verdana" w:cs="Verdana"/>
          <w:sz w:val="20"/>
          <w:szCs w:val="16"/>
          <w:lang w:val="es-CL" w:eastAsia="en-US"/>
        </w:rPr>
        <w:t>, rendid</w:t>
      </w:r>
      <w:r w:rsidR="001C287E">
        <w:rPr>
          <w:rFonts w:ascii="Verdana" w:eastAsia="Times New Roman" w:hAnsi="Verdana" w:cs="Verdana"/>
          <w:sz w:val="20"/>
          <w:szCs w:val="16"/>
          <w:lang w:val="es-CL" w:eastAsia="en-US"/>
        </w:rPr>
        <w:t>a</w:t>
      </w:r>
      <w:r w:rsidR="006C42BD" w:rsidRPr="005C1B41">
        <w:rPr>
          <w:rFonts w:ascii="Verdana" w:eastAsia="Times New Roman" w:hAnsi="Verdana" w:cs="Verdana"/>
          <w:sz w:val="20"/>
          <w:szCs w:val="16"/>
          <w:lang w:val="es-CL" w:eastAsia="en-US"/>
        </w:rPr>
        <w:t xml:space="preserve"> en el caso</w:t>
      </w:r>
      <w:r w:rsidR="006C42BD" w:rsidRPr="005C1B41">
        <w:rPr>
          <w:rFonts w:ascii="Verdana" w:eastAsia="Times New Roman" w:hAnsi="Verdana" w:cs="Verdana"/>
          <w:i/>
          <w:sz w:val="20"/>
          <w:szCs w:val="16"/>
          <w:lang w:val="es-CL" w:eastAsia="en-US"/>
        </w:rPr>
        <w:t xml:space="preserve"> Hermanos Landaeta Mejías y otros Vs. Venezuela</w:t>
      </w:r>
      <w:r w:rsidR="006C42BD">
        <w:rPr>
          <w:rFonts w:ascii="Verdana" w:eastAsia="Times New Roman" w:hAnsi="Verdana" w:cs="Verdana"/>
          <w:i/>
          <w:sz w:val="20"/>
          <w:szCs w:val="16"/>
          <w:lang w:val="es-CL" w:eastAsia="en-US"/>
        </w:rPr>
        <w:t>;</w:t>
      </w:r>
      <w:r w:rsidR="006C42BD">
        <w:rPr>
          <w:rFonts w:ascii="Verdana" w:eastAsia="Times New Roman" w:hAnsi="Verdana" w:cs="Verdana"/>
          <w:sz w:val="20"/>
          <w:szCs w:val="20"/>
          <w:lang w:val="es-CR" w:eastAsia="en-US"/>
        </w:rPr>
        <w:t xml:space="preserve"> b) </w:t>
      </w:r>
      <w:r w:rsidR="00C729FD">
        <w:rPr>
          <w:rFonts w:ascii="Verdana" w:eastAsia="Times New Roman" w:hAnsi="Verdana" w:cs="Verdana"/>
          <w:sz w:val="20"/>
          <w:szCs w:val="20"/>
          <w:lang w:val="es-CR" w:eastAsia="en-US"/>
        </w:rPr>
        <w:t>la declaración pericial</w:t>
      </w:r>
      <w:r w:rsidR="00C729FD">
        <w:rPr>
          <w:rFonts w:ascii="Verdana" w:eastAsia="Times New Roman" w:hAnsi="Verdana" w:cs="Verdana"/>
          <w:sz w:val="20"/>
          <w:szCs w:val="16"/>
          <w:lang w:val="es-CR" w:eastAsia="en-US"/>
        </w:rPr>
        <w:t xml:space="preserve"> </w:t>
      </w:r>
      <w:r w:rsidR="001C287E">
        <w:rPr>
          <w:rFonts w:ascii="Verdana" w:hAnsi="Verdana" w:cs="Arial"/>
          <w:color w:val="auto"/>
          <w:sz w:val="20"/>
          <w:szCs w:val="20"/>
          <w:lang w:val="es-CR" w:eastAsia="es-CR"/>
        </w:rPr>
        <w:t>brindada</w:t>
      </w:r>
      <w:r w:rsidR="00C729FD" w:rsidRPr="00C729FD">
        <w:rPr>
          <w:rFonts w:ascii="Verdana" w:hAnsi="Verdana" w:cs="Arial"/>
          <w:color w:val="auto"/>
          <w:sz w:val="20"/>
          <w:szCs w:val="20"/>
          <w:lang w:val="es-CR" w:eastAsia="es-CR"/>
        </w:rPr>
        <w:t xml:space="preserve"> por Christof </w:t>
      </w:r>
      <w:proofErr w:type="spellStart"/>
      <w:r w:rsidR="00C729FD" w:rsidRPr="00C729FD">
        <w:rPr>
          <w:rFonts w:ascii="Verdana" w:hAnsi="Verdana" w:cs="Arial"/>
          <w:color w:val="auto"/>
          <w:sz w:val="20"/>
          <w:szCs w:val="20"/>
          <w:lang w:val="es-CR" w:eastAsia="es-CR"/>
        </w:rPr>
        <w:t>Heyns</w:t>
      </w:r>
      <w:proofErr w:type="spellEnd"/>
      <w:r w:rsidR="00C729FD" w:rsidRPr="00C729FD">
        <w:rPr>
          <w:rFonts w:ascii="Verdana" w:hAnsi="Verdana" w:cs="Arial"/>
          <w:color w:val="auto"/>
          <w:sz w:val="20"/>
          <w:szCs w:val="20"/>
          <w:lang w:val="es-CR" w:eastAsia="es-CR"/>
        </w:rPr>
        <w:t xml:space="preserve"> en el caso </w:t>
      </w:r>
      <w:r w:rsidR="00C729FD" w:rsidRPr="00C729FD">
        <w:rPr>
          <w:rFonts w:ascii="Verdana" w:hAnsi="Verdana" w:cs="Arial"/>
          <w:i/>
          <w:color w:val="auto"/>
          <w:sz w:val="20"/>
          <w:szCs w:val="20"/>
          <w:lang w:val="es-CR" w:eastAsia="es-CR"/>
        </w:rPr>
        <w:t>Favela Nova Brasilia Vs. Brasil</w:t>
      </w:r>
      <w:r w:rsidR="00C729FD" w:rsidRPr="00C729FD">
        <w:rPr>
          <w:rFonts w:ascii="Verdana" w:hAnsi="Verdana" w:cs="Arial"/>
          <w:color w:val="auto"/>
          <w:sz w:val="20"/>
          <w:szCs w:val="20"/>
          <w:lang w:val="es-CR" w:eastAsia="es-CR"/>
        </w:rPr>
        <w:t xml:space="preserve">; </w:t>
      </w:r>
      <w:r w:rsidR="00C729FD">
        <w:rPr>
          <w:rFonts w:ascii="Verdana" w:hAnsi="Verdana" w:cs="Arial"/>
          <w:color w:val="auto"/>
          <w:sz w:val="20"/>
          <w:szCs w:val="20"/>
          <w:lang w:val="es-CR" w:eastAsia="es-CR"/>
        </w:rPr>
        <w:t>c</w:t>
      </w:r>
      <w:r w:rsidR="00C729FD" w:rsidRPr="00C729FD">
        <w:rPr>
          <w:rFonts w:ascii="Verdana" w:hAnsi="Verdana" w:cs="Arial"/>
          <w:color w:val="auto"/>
          <w:sz w:val="20"/>
          <w:szCs w:val="20"/>
          <w:lang w:val="es-CR" w:eastAsia="es-CR"/>
        </w:rPr>
        <w:t>) la</w:t>
      </w:r>
      <w:r w:rsidR="00C729FD">
        <w:rPr>
          <w:rFonts w:ascii="Verdana" w:hAnsi="Verdana" w:cs="Arial"/>
          <w:color w:val="auto"/>
          <w:sz w:val="20"/>
          <w:szCs w:val="20"/>
          <w:lang w:val="es-CR" w:eastAsia="es-CR"/>
        </w:rPr>
        <w:t xml:space="preserve"> declaración pericial</w:t>
      </w:r>
      <w:r w:rsidR="00C729FD" w:rsidRPr="00C729FD">
        <w:rPr>
          <w:rFonts w:ascii="Verdana" w:hAnsi="Verdana" w:cs="Arial"/>
          <w:color w:val="auto"/>
          <w:sz w:val="20"/>
          <w:szCs w:val="20"/>
          <w:lang w:val="es-CR" w:eastAsia="es-CR"/>
        </w:rPr>
        <w:t xml:space="preserve"> dada por Magaly Mercedes Vásquez González en el caso </w:t>
      </w:r>
      <w:r w:rsidR="00C729FD" w:rsidRPr="00C729FD">
        <w:rPr>
          <w:rFonts w:ascii="Verdana" w:hAnsi="Verdana" w:cs="Arial"/>
          <w:i/>
          <w:color w:val="auto"/>
          <w:sz w:val="20"/>
          <w:szCs w:val="20"/>
          <w:lang w:val="es-CR" w:eastAsia="es-CR"/>
        </w:rPr>
        <w:t>Familia Barrios Vs. Venezuela</w:t>
      </w:r>
      <w:r w:rsidR="00C729FD" w:rsidRPr="00C729FD">
        <w:rPr>
          <w:rFonts w:ascii="Verdana" w:hAnsi="Verdana" w:cs="Arial"/>
          <w:color w:val="auto"/>
          <w:sz w:val="20"/>
          <w:szCs w:val="20"/>
          <w:lang w:val="es-CR" w:eastAsia="es-CR"/>
        </w:rPr>
        <w:t xml:space="preserve">, y </w:t>
      </w:r>
      <w:r w:rsidR="00C729FD">
        <w:rPr>
          <w:rFonts w:ascii="Verdana" w:hAnsi="Verdana" w:cs="Arial"/>
          <w:color w:val="auto"/>
          <w:sz w:val="20"/>
          <w:szCs w:val="20"/>
          <w:lang w:val="es-CR" w:eastAsia="es-CR"/>
        </w:rPr>
        <w:t>d</w:t>
      </w:r>
      <w:r w:rsidR="00C729FD" w:rsidRPr="00C729FD">
        <w:rPr>
          <w:rFonts w:ascii="Verdana" w:hAnsi="Verdana" w:cs="Arial"/>
          <w:color w:val="auto"/>
          <w:sz w:val="20"/>
          <w:szCs w:val="20"/>
          <w:lang w:val="es-CR" w:eastAsia="es-CR"/>
        </w:rPr>
        <w:t xml:space="preserve">) la </w:t>
      </w:r>
      <w:r w:rsidR="00C729FD">
        <w:rPr>
          <w:rFonts w:ascii="Verdana" w:hAnsi="Verdana" w:cs="Arial"/>
          <w:color w:val="auto"/>
          <w:sz w:val="20"/>
          <w:szCs w:val="20"/>
          <w:lang w:val="es-CR" w:eastAsia="es-CR"/>
        </w:rPr>
        <w:t xml:space="preserve">declaración pericial </w:t>
      </w:r>
      <w:r w:rsidR="00C729FD" w:rsidRPr="00C729FD">
        <w:rPr>
          <w:rFonts w:ascii="Verdana" w:hAnsi="Verdana" w:cs="Arial"/>
          <w:color w:val="auto"/>
          <w:sz w:val="20"/>
          <w:szCs w:val="20"/>
          <w:lang w:val="es-CR" w:eastAsia="es-CR"/>
        </w:rPr>
        <w:t xml:space="preserve">prestada por José Pablo </w:t>
      </w:r>
      <w:proofErr w:type="spellStart"/>
      <w:r w:rsidR="00C729FD" w:rsidRPr="00C729FD">
        <w:rPr>
          <w:rFonts w:ascii="Verdana" w:hAnsi="Verdana" w:cs="Arial"/>
          <w:color w:val="auto"/>
          <w:sz w:val="20"/>
          <w:szCs w:val="20"/>
          <w:lang w:val="es-CR" w:eastAsia="es-CR"/>
        </w:rPr>
        <w:t>Baraybar</w:t>
      </w:r>
      <w:proofErr w:type="spellEnd"/>
      <w:r w:rsidR="00C729FD" w:rsidRPr="00C729FD">
        <w:rPr>
          <w:rFonts w:ascii="Verdana" w:hAnsi="Verdana" w:cs="Arial"/>
          <w:color w:val="auto"/>
          <w:sz w:val="20"/>
          <w:szCs w:val="20"/>
          <w:lang w:val="es-CR" w:eastAsia="es-CR"/>
        </w:rPr>
        <w:t xml:space="preserve"> en el caso </w:t>
      </w:r>
      <w:r w:rsidR="00C729FD" w:rsidRPr="00C729FD">
        <w:rPr>
          <w:rFonts w:ascii="Verdana" w:eastAsia="Times New Roman" w:hAnsi="Verdana" w:cs="Verdana"/>
          <w:i/>
          <w:sz w:val="20"/>
          <w:szCs w:val="16"/>
          <w:lang w:val="es-CL" w:eastAsia="en-US"/>
        </w:rPr>
        <w:t>Hermanos Landaeta Mejías y otros Vs. Venezuela</w:t>
      </w:r>
      <w:r w:rsidR="00C729FD">
        <w:rPr>
          <w:rFonts w:ascii="Verdana" w:hAnsi="Verdana" w:cs="Arial"/>
          <w:color w:val="auto"/>
          <w:sz w:val="20"/>
          <w:szCs w:val="20"/>
          <w:lang w:val="es-CR" w:eastAsia="es-CR"/>
        </w:rPr>
        <w:t xml:space="preserve">. </w:t>
      </w:r>
    </w:p>
    <w:p w14:paraId="21949A96" w14:textId="77777777" w:rsidR="00C729FD" w:rsidRDefault="00C729FD" w:rsidP="005C1B41">
      <w:pPr>
        <w:pStyle w:val="Prrafodelista"/>
        <w:widowControl w:val="0"/>
        <w:tabs>
          <w:tab w:val="left" w:pos="567"/>
        </w:tabs>
        <w:autoSpaceDE w:val="0"/>
        <w:autoSpaceDN w:val="0"/>
        <w:adjustRightInd w:val="0"/>
        <w:ind w:left="0" w:right="22"/>
        <w:jc w:val="both"/>
        <w:rPr>
          <w:rFonts w:ascii="Verdana" w:eastAsia="Times New Roman" w:hAnsi="Verdana" w:cs="Verdana"/>
          <w:sz w:val="20"/>
          <w:szCs w:val="20"/>
          <w:lang w:val="es-CR" w:eastAsia="en-US"/>
        </w:rPr>
      </w:pPr>
    </w:p>
    <w:p w14:paraId="5DA352B9" w14:textId="2CF7CF03" w:rsidR="00241535" w:rsidRPr="00732213" w:rsidRDefault="00241535" w:rsidP="00241535">
      <w:pPr>
        <w:pStyle w:val="Prrafodelista"/>
        <w:numPr>
          <w:ilvl w:val="0"/>
          <w:numId w:val="42"/>
        </w:numPr>
        <w:tabs>
          <w:tab w:val="left" w:pos="567"/>
        </w:tabs>
        <w:ind w:left="0" w:firstLine="0"/>
        <w:jc w:val="both"/>
        <w:rPr>
          <w:rFonts w:ascii="Verdana" w:hAnsi="Verdana" w:cs="Arial"/>
          <w:sz w:val="20"/>
          <w:szCs w:val="20"/>
          <w:lang w:val="es-CL"/>
        </w:rPr>
      </w:pPr>
      <w:r w:rsidRPr="004D6F51">
        <w:rPr>
          <w:rFonts w:ascii="Verdana" w:hAnsi="Verdana"/>
          <w:color w:val="auto"/>
          <w:sz w:val="20"/>
          <w:szCs w:val="20"/>
          <w:lang w:val="es-AR"/>
        </w:rPr>
        <w:t>A</w:t>
      </w:r>
      <w:r w:rsidRPr="005562D7">
        <w:rPr>
          <w:rFonts w:ascii="Verdana" w:eastAsia="Times New Roman" w:hAnsi="Verdana" w:cs="Verdana"/>
          <w:color w:val="auto"/>
          <w:sz w:val="20"/>
          <w:szCs w:val="20"/>
          <w:lang w:val="es-CL" w:eastAsia="en-US"/>
        </w:rPr>
        <w:t xml:space="preserve">l respecto, </w:t>
      </w:r>
      <w:r w:rsidRPr="005562D7">
        <w:rPr>
          <w:rFonts w:ascii="Verdana" w:hAnsi="Verdana"/>
          <w:bCs/>
          <w:iCs/>
          <w:color w:val="auto"/>
          <w:sz w:val="20"/>
          <w:szCs w:val="20"/>
          <w:lang w:val="es-CR"/>
        </w:rPr>
        <w:t xml:space="preserve">la Presidenta recuerda que el traslado de </w:t>
      </w:r>
      <w:r w:rsidR="00C729FD">
        <w:rPr>
          <w:rFonts w:ascii="Verdana" w:hAnsi="Verdana"/>
          <w:bCs/>
          <w:iCs/>
          <w:color w:val="auto"/>
          <w:sz w:val="20"/>
          <w:szCs w:val="20"/>
          <w:lang w:val="es-CR"/>
        </w:rPr>
        <w:t>dictá</w:t>
      </w:r>
      <w:r w:rsidRPr="005562D7">
        <w:rPr>
          <w:rFonts w:ascii="Verdana" w:hAnsi="Verdana"/>
          <w:bCs/>
          <w:iCs/>
          <w:color w:val="auto"/>
          <w:sz w:val="20"/>
          <w:szCs w:val="20"/>
          <w:lang w:val="es-CR"/>
        </w:rPr>
        <w:t>men</w:t>
      </w:r>
      <w:r w:rsidR="00C729FD">
        <w:rPr>
          <w:rFonts w:ascii="Verdana" w:hAnsi="Verdana"/>
          <w:bCs/>
          <w:iCs/>
          <w:color w:val="auto"/>
          <w:sz w:val="20"/>
          <w:szCs w:val="20"/>
          <w:lang w:val="es-CR"/>
        </w:rPr>
        <w:t>es</w:t>
      </w:r>
      <w:r w:rsidRPr="005562D7">
        <w:rPr>
          <w:rFonts w:ascii="Verdana" w:hAnsi="Verdana"/>
          <w:bCs/>
          <w:iCs/>
          <w:color w:val="auto"/>
          <w:sz w:val="20"/>
          <w:szCs w:val="20"/>
          <w:lang w:val="es-CR"/>
        </w:rPr>
        <w:t xml:space="preserve"> pericial</w:t>
      </w:r>
      <w:r w:rsidR="00C729FD">
        <w:rPr>
          <w:rFonts w:ascii="Verdana" w:hAnsi="Verdana"/>
          <w:bCs/>
          <w:iCs/>
          <w:color w:val="auto"/>
          <w:sz w:val="20"/>
          <w:szCs w:val="20"/>
          <w:lang w:val="es-CR"/>
        </w:rPr>
        <w:t>es</w:t>
      </w:r>
      <w:r w:rsidRPr="005562D7">
        <w:rPr>
          <w:rFonts w:ascii="Verdana" w:hAnsi="Verdana"/>
          <w:bCs/>
          <w:iCs/>
          <w:color w:val="auto"/>
          <w:sz w:val="20"/>
          <w:szCs w:val="20"/>
          <w:lang w:val="es-CR"/>
        </w:rPr>
        <w:t xml:space="preserve"> rendido</w:t>
      </w:r>
      <w:r w:rsidR="00C729FD">
        <w:rPr>
          <w:rFonts w:ascii="Verdana" w:hAnsi="Verdana"/>
          <w:bCs/>
          <w:iCs/>
          <w:color w:val="auto"/>
          <w:sz w:val="20"/>
          <w:szCs w:val="20"/>
          <w:lang w:val="es-CR"/>
        </w:rPr>
        <w:t>s</w:t>
      </w:r>
      <w:r w:rsidRPr="005562D7">
        <w:rPr>
          <w:rFonts w:ascii="Verdana" w:hAnsi="Verdana"/>
          <w:bCs/>
          <w:iCs/>
          <w:color w:val="auto"/>
          <w:sz w:val="20"/>
          <w:szCs w:val="20"/>
          <w:lang w:val="es-CR"/>
        </w:rPr>
        <w:t xml:space="preserve"> en otro</w:t>
      </w:r>
      <w:r w:rsidR="00C729FD">
        <w:rPr>
          <w:rFonts w:ascii="Verdana" w:hAnsi="Verdana"/>
          <w:bCs/>
          <w:iCs/>
          <w:color w:val="auto"/>
          <w:sz w:val="20"/>
          <w:szCs w:val="20"/>
          <w:lang w:val="es-CR"/>
        </w:rPr>
        <w:t>s</w:t>
      </w:r>
      <w:r w:rsidRPr="005562D7">
        <w:rPr>
          <w:rFonts w:ascii="Verdana" w:hAnsi="Verdana"/>
          <w:bCs/>
          <w:iCs/>
          <w:color w:val="auto"/>
          <w:sz w:val="20"/>
          <w:szCs w:val="20"/>
          <w:lang w:val="es-CR"/>
        </w:rPr>
        <w:t xml:space="preserve"> proceso</w:t>
      </w:r>
      <w:r w:rsidR="00C729FD">
        <w:rPr>
          <w:rFonts w:ascii="Verdana" w:hAnsi="Verdana"/>
          <w:bCs/>
          <w:iCs/>
          <w:color w:val="auto"/>
          <w:sz w:val="20"/>
          <w:szCs w:val="20"/>
          <w:lang w:val="es-CR"/>
        </w:rPr>
        <w:t>s</w:t>
      </w:r>
      <w:r w:rsidRPr="005562D7">
        <w:rPr>
          <w:rFonts w:ascii="Verdana" w:hAnsi="Verdana"/>
          <w:bCs/>
          <w:iCs/>
          <w:color w:val="auto"/>
          <w:sz w:val="20"/>
          <w:szCs w:val="20"/>
          <w:lang w:val="es-CR"/>
        </w:rPr>
        <w:t xml:space="preserve"> no significa que tenga</w:t>
      </w:r>
      <w:r w:rsidR="00C729FD">
        <w:rPr>
          <w:rFonts w:ascii="Verdana" w:hAnsi="Verdana"/>
          <w:bCs/>
          <w:iCs/>
          <w:color w:val="auto"/>
          <w:sz w:val="20"/>
          <w:szCs w:val="20"/>
          <w:lang w:val="es-CR"/>
        </w:rPr>
        <w:t>n</w:t>
      </w:r>
      <w:r w:rsidRPr="005562D7">
        <w:rPr>
          <w:rFonts w:ascii="Verdana" w:hAnsi="Verdana"/>
          <w:bCs/>
          <w:iCs/>
          <w:color w:val="auto"/>
          <w:sz w:val="20"/>
          <w:szCs w:val="20"/>
          <w:lang w:val="es-CR"/>
        </w:rPr>
        <w:t xml:space="preserve"> el valor o peso probatorio de peritaje</w:t>
      </w:r>
      <w:r w:rsidR="00C729FD">
        <w:rPr>
          <w:rFonts w:ascii="Verdana" w:hAnsi="Verdana"/>
          <w:bCs/>
          <w:iCs/>
          <w:color w:val="auto"/>
          <w:sz w:val="20"/>
          <w:szCs w:val="20"/>
          <w:lang w:val="es-CR"/>
        </w:rPr>
        <w:t>s</w:t>
      </w:r>
      <w:r w:rsidRPr="005562D7">
        <w:rPr>
          <w:rFonts w:ascii="Verdana" w:hAnsi="Verdana"/>
          <w:bCs/>
          <w:iCs/>
          <w:color w:val="auto"/>
          <w:sz w:val="20"/>
          <w:szCs w:val="20"/>
          <w:lang w:val="es-CR"/>
        </w:rPr>
        <w:t>; así, l</w:t>
      </w:r>
      <w:r w:rsidR="00C729FD">
        <w:rPr>
          <w:rFonts w:ascii="Verdana" w:hAnsi="Verdana"/>
          <w:bCs/>
          <w:iCs/>
          <w:color w:val="auto"/>
          <w:sz w:val="20"/>
          <w:szCs w:val="20"/>
          <w:lang w:val="es-CR"/>
        </w:rPr>
        <w:t>os dictá</w:t>
      </w:r>
      <w:r w:rsidRPr="005562D7">
        <w:rPr>
          <w:rFonts w:ascii="Verdana" w:hAnsi="Verdana"/>
          <w:bCs/>
          <w:iCs/>
          <w:color w:val="auto"/>
          <w:sz w:val="20"/>
          <w:szCs w:val="20"/>
          <w:lang w:val="es-CR"/>
        </w:rPr>
        <w:t>men</w:t>
      </w:r>
      <w:r w:rsidR="00C729FD">
        <w:rPr>
          <w:rFonts w:ascii="Verdana" w:hAnsi="Verdana"/>
          <w:bCs/>
          <w:iCs/>
          <w:color w:val="auto"/>
          <w:sz w:val="20"/>
          <w:szCs w:val="20"/>
          <w:lang w:val="es-CR"/>
        </w:rPr>
        <w:t>es</w:t>
      </w:r>
      <w:r w:rsidRPr="005562D7">
        <w:rPr>
          <w:rFonts w:ascii="Verdana" w:hAnsi="Verdana"/>
          <w:bCs/>
          <w:iCs/>
          <w:color w:val="auto"/>
          <w:sz w:val="20"/>
          <w:szCs w:val="20"/>
          <w:lang w:val="es-CR"/>
        </w:rPr>
        <w:t xml:space="preserve"> pericial</w:t>
      </w:r>
      <w:r w:rsidR="00C729FD">
        <w:rPr>
          <w:rFonts w:ascii="Verdana" w:hAnsi="Verdana"/>
          <w:bCs/>
          <w:iCs/>
          <w:color w:val="auto"/>
          <w:sz w:val="20"/>
          <w:szCs w:val="20"/>
          <w:lang w:val="es-CR"/>
        </w:rPr>
        <w:t>es</w:t>
      </w:r>
      <w:r w:rsidRPr="005562D7">
        <w:rPr>
          <w:rFonts w:ascii="Verdana" w:hAnsi="Verdana"/>
          <w:bCs/>
          <w:iCs/>
          <w:color w:val="auto"/>
          <w:sz w:val="20"/>
          <w:szCs w:val="20"/>
          <w:lang w:val="es-CR"/>
        </w:rPr>
        <w:t xml:space="preserve"> cuyo traslado se admite s</w:t>
      </w:r>
      <w:r w:rsidR="00C729FD">
        <w:rPr>
          <w:rFonts w:ascii="Verdana" w:hAnsi="Verdana"/>
          <w:bCs/>
          <w:iCs/>
          <w:color w:val="auto"/>
          <w:sz w:val="20"/>
          <w:szCs w:val="20"/>
          <w:lang w:val="es-CR"/>
        </w:rPr>
        <w:t>on</w:t>
      </w:r>
      <w:r w:rsidRPr="005562D7">
        <w:rPr>
          <w:rFonts w:ascii="Verdana" w:hAnsi="Verdana"/>
          <w:bCs/>
          <w:iCs/>
          <w:color w:val="auto"/>
          <w:sz w:val="20"/>
          <w:szCs w:val="20"/>
          <w:lang w:val="es-CR"/>
        </w:rPr>
        <w:t xml:space="preserve"> incorporado</w:t>
      </w:r>
      <w:r w:rsidR="00C729FD">
        <w:rPr>
          <w:rFonts w:ascii="Verdana" w:hAnsi="Verdana"/>
          <w:bCs/>
          <w:iCs/>
          <w:color w:val="auto"/>
          <w:sz w:val="20"/>
          <w:szCs w:val="20"/>
          <w:lang w:val="es-CR"/>
        </w:rPr>
        <w:t>s</w:t>
      </w:r>
      <w:r w:rsidRPr="005562D7">
        <w:rPr>
          <w:rFonts w:ascii="Verdana" w:hAnsi="Verdana"/>
          <w:bCs/>
          <w:iCs/>
          <w:color w:val="auto"/>
          <w:sz w:val="20"/>
          <w:szCs w:val="20"/>
          <w:lang w:val="es-CR"/>
        </w:rPr>
        <w:t xml:space="preserve"> como prueba documental en el expediente, por lo que su valor será determinado al momento de realizar el análisis integral de la prueba, para lo cual es necesario tomar en cuenta las observaciones presentadas por las partes en ejercicio de su derecho de defensa</w:t>
      </w:r>
      <w:r w:rsidRPr="005562D7">
        <w:rPr>
          <w:rStyle w:val="Refdenotaalpie"/>
          <w:rFonts w:ascii="Verdana" w:hAnsi="Verdana"/>
          <w:color w:val="auto"/>
          <w:sz w:val="20"/>
          <w:szCs w:val="20"/>
        </w:rPr>
        <w:footnoteReference w:id="29"/>
      </w:r>
      <w:r w:rsidRPr="005562D7">
        <w:rPr>
          <w:rFonts w:ascii="Verdana" w:hAnsi="Verdana"/>
          <w:bCs/>
          <w:iCs/>
          <w:color w:val="auto"/>
          <w:sz w:val="20"/>
          <w:szCs w:val="20"/>
          <w:lang w:val="es-CR"/>
        </w:rPr>
        <w:t>.</w:t>
      </w:r>
      <w:r w:rsidR="002E38CB">
        <w:rPr>
          <w:rFonts w:ascii="Verdana" w:hAnsi="Verdana"/>
          <w:bCs/>
          <w:iCs/>
          <w:color w:val="auto"/>
          <w:sz w:val="20"/>
          <w:szCs w:val="20"/>
          <w:lang w:val="es-CR"/>
        </w:rPr>
        <w:t xml:space="preserve"> </w:t>
      </w:r>
      <w:r w:rsidR="002E38CB" w:rsidRPr="002E38CB">
        <w:rPr>
          <w:rFonts w:ascii="Verdana" w:hAnsi="Verdana"/>
          <w:bCs/>
          <w:iCs/>
          <w:color w:val="auto"/>
          <w:sz w:val="20"/>
          <w:szCs w:val="20"/>
          <w:lang w:val="es-419"/>
        </w:rPr>
        <w:t xml:space="preserve">Para el efecto, la Secretaría transmitirá </w:t>
      </w:r>
      <w:r w:rsidR="002E38CB">
        <w:rPr>
          <w:rFonts w:ascii="Verdana" w:hAnsi="Verdana"/>
          <w:bCs/>
          <w:iCs/>
          <w:color w:val="auto"/>
          <w:sz w:val="20"/>
          <w:szCs w:val="20"/>
          <w:lang w:val="es-419"/>
        </w:rPr>
        <w:t>a las partes copia de dichos</w:t>
      </w:r>
      <w:r w:rsidR="002E38CB" w:rsidRPr="002E38CB">
        <w:rPr>
          <w:rFonts w:ascii="Verdana" w:hAnsi="Verdana"/>
          <w:bCs/>
          <w:iCs/>
          <w:color w:val="auto"/>
          <w:sz w:val="20"/>
          <w:szCs w:val="20"/>
          <w:lang w:val="es-419"/>
        </w:rPr>
        <w:t xml:space="preserve"> documento</w:t>
      </w:r>
      <w:r w:rsidR="002E38CB">
        <w:rPr>
          <w:rFonts w:ascii="Verdana" w:hAnsi="Verdana"/>
          <w:bCs/>
          <w:iCs/>
          <w:color w:val="auto"/>
          <w:sz w:val="20"/>
          <w:szCs w:val="20"/>
          <w:lang w:val="es-419"/>
        </w:rPr>
        <w:t>s</w:t>
      </w:r>
      <w:r w:rsidR="002E38CB" w:rsidRPr="002E38CB">
        <w:rPr>
          <w:rFonts w:ascii="Verdana" w:hAnsi="Verdana"/>
          <w:bCs/>
          <w:iCs/>
          <w:color w:val="auto"/>
          <w:sz w:val="20"/>
          <w:szCs w:val="20"/>
          <w:lang w:val="es-419"/>
        </w:rPr>
        <w:t>, de modo que puedan presentar las observaciones que consideren pertinentes a más tardar con sus alegatos finales escritos.</w:t>
      </w:r>
    </w:p>
    <w:p w14:paraId="00EDC7A8" w14:textId="77777777" w:rsidR="00732213" w:rsidRPr="00732213" w:rsidRDefault="00732213" w:rsidP="00732213">
      <w:pPr>
        <w:pStyle w:val="Prrafodelista"/>
        <w:rPr>
          <w:rFonts w:ascii="Verdana" w:hAnsi="Verdana" w:cs="Arial"/>
          <w:sz w:val="20"/>
          <w:szCs w:val="20"/>
          <w:lang w:val="es-CL"/>
        </w:rPr>
      </w:pPr>
    </w:p>
    <w:p w14:paraId="4B7FCD24" w14:textId="4E0A4D74" w:rsidR="00732213" w:rsidRPr="004B720A" w:rsidRDefault="00732213" w:rsidP="00241535">
      <w:pPr>
        <w:pStyle w:val="Prrafodelista"/>
        <w:numPr>
          <w:ilvl w:val="0"/>
          <w:numId w:val="42"/>
        </w:numPr>
        <w:tabs>
          <w:tab w:val="left" w:pos="567"/>
        </w:tabs>
        <w:ind w:left="0" w:firstLine="0"/>
        <w:jc w:val="both"/>
        <w:rPr>
          <w:rFonts w:ascii="Verdana" w:hAnsi="Verdana" w:cs="Arial"/>
          <w:sz w:val="20"/>
          <w:szCs w:val="20"/>
          <w:lang w:val="es-CL"/>
        </w:rPr>
      </w:pPr>
      <w:r w:rsidRPr="004B720A">
        <w:rPr>
          <w:rFonts w:ascii="Verdana" w:hAnsi="Verdana" w:cs="Arial"/>
          <w:sz w:val="20"/>
          <w:szCs w:val="20"/>
          <w:lang w:val="es-CL"/>
        </w:rPr>
        <w:t xml:space="preserve">Por otra parte, la </w:t>
      </w:r>
      <w:proofErr w:type="gramStart"/>
      <w:r w:rsidRPr="004B720A">
        <w:rPr>
          <w:rFonts w:ascii="Verdana" w:hAnsi="Verdana" w:cs="Arial"/>
          <w:sz w:val="20"/>
          <w:szCs w:val="20"/>
          <w:lang w:val="es-CL"/>
        </w:rPr>
        <w:t>Presidenta</w:t>
      </w:r>
      <w:proofErr w:type="gramEnd"/>
      <w:r w:rsidRPr="004B720A">
        <w:rPr>
          <w:rFonts w:ascii="Verdana" w:hAnsi="Verdana" w:cs="Arial"/>
          <w:sz w:val="20"/>
          <w:szCs w:val="20"/>
          <w:lang w:val="es-CL"/>
        </w:rPr>
        <w:t xml:space="preserve"> advierte que la declaración pericial del señor Christof </w:t>
      </w:r>
      <w:proofErr w:type="spellStart"/>
      <w:r w:rsidRPr="004B720A">
        <w:rPr>
          <w:rFonts w:ascii="Verdana" w:hAnsi="Verdana" w:cs="Arial"/>
          <w:sz w:val="20"/>
          <w:szCs w:val="20"/>
          <w:lang w:val="es-CL"/>
        </w:rPr>
        <w:t>Heyns</w:t>
      </w:r>
      <w:proofErr w:type="spellEnd"/>
      <w:r w:rsidRPr="004B720A">
        <w:rPr>
          <w:rFonts w:ascii="Verdana" w:hAnsi="Verdana" w:cs="Arial"/>
          <w:sz w:val="20"/>
          <w:szCs w:val="20"/>
          <w:lang w:val="es-CL"/>
        </w:rPr>
        <w:t>, rendid</w:t>
      </w:r>
      <w:r w:rsidR="001C287E">
        <w:rPr>
          <w:rFonts w:ascii="Verdana" w:hAnsi="Verdana" w:cs="Arial"/>
          <w:sz w:val="20"/>
          <w:szCs w:val="20"/>
          <w:lang w:val="es-CL"/>
        </w:rPr>
        <w:t>a</w:t>
      </w:r>
      <w:r w:rsidRPr="004B720A">
        <w:rPr>
          <w:rFonts w:ascii="Verdana" w:hAnsi="Verdana" w:cs="Arial"/>
          <w:sz w:val="20"/>
          <w:szCs w:val="20"/>
          <w:lang w:val="es-CL"/>
        </w:rPr>
        <w:t xml:space="preserve"> en el caso </w:t>
      </w:r>
      <w:r w:rsidRPr="004B720A">
        <w:rPr>
          <w:rFonts w:ascii="Verdana" w:hAnsi="Verdana" w:cs="Arial"/>
          <w:i/>
          <w:color w:val="auto"/>
          <w:sz w:val="20"/>
          <w:szCs w:val="20"/>
          <w:lang w:val="es-CR" w:eastAsia="es-CR"/>
        </w:rPr>
        <w:t xml:space="preserve">Favela Nova Brasilia Vs. Brasil, </w:t>
      </w:r>
      <w:r w:rsidRPr="004B720A">
        <w:rPr>
          <w:rFonts w:ascii="Verdana" w:hAnsi="Verdana" w:cs="Arial"/>
          <w:color w:val="auto"/>
          <w:sz w:val="20"/>
          <w:szCs w:val="20"/>
          <w:lang w:val="es-CR" w:eastAsia="es-CR"/>
        </w:rPr>
        <w:t xml:space="preserve">se encuentra en idioma portugués. Siendo que el idioma de trabajo del presente caso </w:t>
      </w:r>
      <w:r w:rsidRPr="004B720A">
        <w:rPr>
          <w:rFonts w:ascii="Verdana" w:hAnsi="Verdana" w:cs="Arial"/>
          <w:i/>
          <w:color w:val="auto"/>
          <w:sz w:val="20"/>
          <w:szCs w:val="20"/>
          <w:lang w:val="es-CR" w:eastAsia="es-CR"/>
        </w:rPr>
        <w:t>Guerrero, Molina y otros Vs. Venezuela</w:t>
      </w:r>
      <w:r w:rsidRPr="004B720A">
        <w:rPr>
          <w:rFonts w:ascii="Verdana" w:hAnsi="Verdana" w:cs="Arial"/>
          <w:color w:val="auto"/>
          <w:sz w:val="20"/>
          <w:szCs w:val="20"/>
          <w:lang w:val="es-CR" w:eastAsia="es-CR"/>
        </w:rPr>
        <w:t xml:space="preserve"> es el español, y que, en lo que respecta a este proceso, dicha declaración es una medida de prueba propuesta por los representantes, corresponde que los mismos presenten su traducción al idioma español. Por lo tanto, conforme se indica en la parte resolutiva de la presente Resolución</w:t>
      </w:r>
      <w:r w:rsidR="00F97CCC" w:rsidRPr="004B720A">
        <w:rPr>
          <w:rFonts w:ascii="Verdana" w:hAnsi="Verdana" w:cs="Arial"/>
          <w:color w:val="auto"/>
          <w:sz w:val="20"/>
          <w:szCs w:val="20"/>
          <w:lang w:val="es-CR" w:eastAsia="es-CR"/>
        </w:rPr>
        <w:t xml:space="preserve"> (</w:t>
      </w:r>
      <w:r w:rsidR="00F97CCC" w:rsidRPr="004B720A">
        <w:rPr>
          <w:rFonts w:ascii="Verdana" w:hAnsi="Verdana" w:cs="Arial"/>
          <w:i/>
          <w:color w:val="auto"/>
          <w:sz w:val="20"/>
          <w:szCs w:val="20"/>
          <w:lang w:val="es-CR" w:eastAsia="es-CR"/>
        </w:rPr>
        <w:t>infra</w:t>
      </w:r>
      <w:r w:rsidR="00F97CCC" w:rsidRPr="004B720A">
        <w:rPr>
          <w:rFonts w:ascii="Verdana" w:hAnsi="Verdana" w:cs="Arial"/>
          <w:color w:val="auto"/>
          <w:sz w:val="20"/>
          <w:szCs w:val="20"/>
          <w:lang w:val="es-CR" w:eastAsia="es-CR"/>
        </w:rPr>
        <w:t xml:space="preserve">, punto resolutivo </w:t>
      </w:r>
      <w:r w:rsidR="008645EC">
        <w:rPr>
          <w:rFonts w:ascii="Verdana" w:hAnsi="Verdana" w:cs="Arial"/>
          <w:color w:val="auto"/>
          <w:sz w:val="20"/>
          <w:szCs w:val="20"/>
          <w:lang w:val="es-CR" w:eastAsia="es-CR"/>
        </w:rPr>
        <w:t>9</w:t>
      </w:r>
      <w:r w:rsidR="00F97CCC" w:rsidRPr="004B720A">
        <w:rPr>
          <w:rFonts w:ascii="Verdana" w:hAnsi="Verdana" w:cs="Arial"/>
          <w:color w:val="auto"/>
          <w:sz w:val="20"/>
          <w:szCs w:val="20"/>
          <w:lang w:val="es-CR" w:eastAsia="es-CR"/>
        </w:rPr>
        <w:t>)</w:t>
      </w:r>
      <w:r w:rsidRPr="004B720A">
        <w:rPr>
          <w:rFonts w:ascii="Verdana" w:hAnsi="Verdana" w:cs="Arial"/>
          <w:color w:val="auto"/>
          <w:sz w:val="20"/>
          <w:szCs w:val="20"/>
          <w:lang w:val="es-CR" w:eastAsia="es-CR"/>
        </w:rPr>
        <w:t xml:space="preserve">, la declaración pericial del señor Christof </w:t>
      </w:r>
      <w:proofErr w:type="spellStart"/>
      <w:r w:rsidRPr="004B720A">
        <w:rPr>
          <w:rFonts w:ascii="Verdana" w:hAnsi="Verdana" w:cs="Arial"/>
          <w:color w:val="auto"/>
          <w:sz w:val="20"/>
          <w:szCs w:val="20"/>
          <w:lang w:val="es-CR" w:eastAsia="es-CR"/>
        </w:rPr>
        <w:t>Heyns</w:t>
      </w:r>
      <w:proofErr w:type="spellEnd"/>
      <w:r w:rsidRPr="004B720A">
        <w:rPr>
          <w:rFonts w:ascii="Verdana" w:hAnsi="Verdana" w:cs="Arial"/>
          <w:color w:val="auto"/>
          <w:sz w:val="20"/>
          <w:szCs w:val="20"/>
          <w:lang w:val="es-CR" w:eastAsia="es-CR"/>
        </w:rPr>
        <w:t xml:space="preserve"> será transmitida por la Secretaría a las partes y a la Comisión, pero se fija un plazo para que los representantes remitan su versión traducida al español, la que será trasladada al Estado y a la Comisión Interamericana</w:t>
      </w:r>
      <w:r w:rsidRPr="00FB59A6">
        <w:rPr>
          <w:rFonts w:ascii="Verdana" w:hAnsi="Verdana" w:cs="Arial"/>
          <w:color w:val="auto"/>
          <w:sz w:val="20"/>
          <w:szCs w:val="20"/>
          <w:lang w:val="es-CR" w:eastAsia="es-CR"/>
        </w:rPr>
        <w:t>.</w:t>
      </w:r>
      <w:r w:rsidR="00E37DF4">
        <w:rPr>
          <w:rFonts w:ascii="Verdana" w:hAnsi="Verdana" w:cs="Arial"/>
          <w:color w:val="auto"/>
          <w:sz w:val="20"/>
          <w:szCs w:val="20"/>
          <w:lang w:val="es-CR" w:eastAsia="es-CR"/>
        </w:rPr>
        <w:t xml:space="preserve"> </w:t>
      </w:r>
      <w:r>
        <w:rPr>
          <w:rFonts w:ascii="Verdana" w:hAnsi="Verdana" w:cs="Arial"/>
          <w:color w:val="auto"/>
          <w:sz w:val="20"/>
          <w:szCs w:val="20"/>
          <w:lang w:val="es-CR" w:eastAsia="es-CR"/>
        </w:rPr>
        <w:t xml:space="preserve"> </w:t>
      </w:r>
    </w:p>
    <w:p w14:paraId="57D81501" w14:textId="77777777" w:rsidR="00B115F1" w:rsidRPr="004B720A" w:rsidRDefault="00B115F1" w:rsidP="004B720A">
      <w:pPr>
        <w:pStyle w:val="Prrafodelista"/>
        <w:rPr>
          <w:rFonts w:ascii="Verdana" w:hAnsi="Verdana" w:cs="Arial"/>
          <w:sz w:val="20"/>
          <w:szCs w:val="20"/>
          <w:lang w:val="es-CL"/>
        </w:rPr>
      </w:pPr>
    </w:p>
    <w:p w14:paraId="53E737F7" w14:textId="1D666E5C" w:rsidR="00B115F1" w:rsidRDefault="00B115F1" w:rsidP="00B115F1">
      <w:pPr>
        <w:pStyle w:val="Prrafodelista"/>
        <w:widowControl w:val="0"/>
        <w:numPr>
          <w:ilvl w:val="0"/>
          <w:numId w:val="42"/>
        </w:numPr>
        <w:tabs>
          <w:tab w:val="left" w:pos="567"/>
        </w:tabs>
        <w:autoSpaceDE w:val="0"/>
        <w:autoSpaceDN w:val="0"/>
        <w:adjustRightInd w:val="0"/>
        <w:ind w:left="0" w:right="22" w:firstLine="0"/>
        <w:jc w:val="both"/>
        <w:rPr>
          <w:rFonts w:ascii="Verdana" w:eastAsia="Times New Roman" w:hAnsi="Verdana" w:cs="Verdana"/>
          <w:sz w:val="20"/>
          <w:szCs w:val="16"/>
          <w:lang w:val="es-CR" w:eastAsia="en-US"/>
        </w:rPr>
      </w:pPr>
      <w:r>
        <w:rPr>
          <w:rFonts w:ascii="Verdana" w:eastAsia="Times New Roman" w:hAnsi="Verdana" w:cs="Verdana"/>
          <w:sz w:val="20"/>
          <w:szCs w:val="16"/>
          <w:lang w:val="es-CR" w:eastAsia="en-US"/>
        </w:rPr>
        <w:t xml:space="preserve">En cuanto a la solicitud del Estado de trasladar prueba documental que obra en otro proceso, cabe recordar que por medio de comunicaciones de la Secretaría de </w:t>
      </w:r>
      <w:r w:rsidRPr="00C6132B">
        <w:rPr>
          <w:rFonts w:ascii="Verdana" w:hAnsi="Verdana"/>
          <w:color w:val="auto"/>
          <w:sz w:val="20"/>
          <w:szCs w:val="20"/>
          <w:lang w:val="es-CR"/>
        </w:rPr>
        <w:t>1 y 11 de septiembre de 2020</w:t>
      </w:r>
      <w:r>
        <w:rPr>
          <w:rFonts w:ascii="Verdana" w:hAnsi="Verdana"/>
          <w:color w:val="auto"/>
          <w:sz w:val="20"/>
          <w:szCs w:val="20"/>
          <w:lang w:val="es-CR"/>
        </w:rPr>
        <w:t xml:space="preserve"> se requirió a Venezuela que precise los documentos cuyo traslado solicitaba. Frente a la falta de respuesta a la primera comunicación, en la segunda se volvió a dar un plazo al Estado para responder, señalando que, de lo contrario, el requerimiento estatal no podría ser considerado. El plazo venció el 16 de septiembre de 2020, sin que la Secretaría recibiera respuesta del Estado (</w:t>
      </w:r>
      <w:r>
        <w:rPr>
          <w:rFonts w:ascii="Verdana" w:hAnsi="Verdana"/>
          <w:i/>
          <w:color w:val="auto"/>
          <w:sz w:val="20"/>
          <w:szCs w:val="20"/>
          <w:lang w:val="es-CR"/>
        </w:rPr>
        <w:t xml:space="preserve">supra </w:t>
      </w:r>
      <w:r>
        <w:rPr>
          <w:rFonts w:ascii="Verdana" w:hAnsi="Verdana"/>
          <w:color w:val="auto"/>
          <w:sz w:val="20"/>
          <w:szCs w:val="20"/>
          <w:lang w:val="es-CR"/>
        </w:rPr>
        <w:t xml:space="preserve">Visto </w:t>
      </w:r>
      <w:r w:rsidR="008645EC">
        <w:rPr>
          <w:rFonts w:ascii="Verdana" w:hAnsi="Verdana"/>
          <w:color w:val="auto"/>
          <w:sz w:val="20"/>
          <w:szCs w:val="20"/>
          <w:lang w:val="es-CR"/>
        </w:rPr>
        <w:t>10</w:t>
      </w:r>
      <w:r>
        <w:rPr>
          <w:rFonts w:ascii="Verdana" w:hAnsi="Verdana"/>
          <w:color w:val="auto"/>
          <w:sz w:val="20"/>
          <w:szCs w:val="20"/>
          <w:lang w:val="es-CR"/>
        </w:rPr>
        <w:t xml:space="preserve">). Por lo tanto, no es posible considerar la solicitud de Venezuela y la misma queda desestimada. </w:t>
      </w:r>
    </w:p>
    <w:p w14:paraId="608EAA53" w14:textId="77777777" w:rsidR="000805CA" w:rsidRDefault="000805CA" w:rsidP="000805CA">
      <w:pPr>
        <w:pStyle w:val="Prrafodelista"/>
        <w:rPr>
          <w:rFonts w:ascii="Verdana" w:hAnsi="Verdana" w:cs="Arial"/>
          <w:sz w:val="20"/>
          <w:szCs w:val="20"/>
          <w:lang w:val="es-CL"/>
        </w:rPr>
      </w:pPr>
    </w:p>
    <w:p w14:paraId="1102F062" w14:textId="25D4D638" w:rsidR="000805CA" w:rsidRPr="000805CA" w:rsidRDefault="000805CA" w:rsidP="000805CA">
      <w:pPr>
        <w:pStyle w:val="Prrafodelista"/>
        <w:rPr>
          <w:rFonts w:ascii="Verdana" w:hAnsi="Verdana" w:cs="Arial"/>
          <w:b/>
          <w:i/>
          <w:sz w:val="20"/>
          <w:szCs w:val="20"/>
          <w:lang w:val="es-CL"/>
        </w:rPr>
      </w:pPr>
      <w:r w:rsidRPr="000805CA">
        <w:rPr>
          <w:rFonts w:ascii="Verdana" w:hAnsi="Verdana"/>
          <w:b/>
          <w:i/>
          <w:sz w:val="20"/>
          <w:szCs w:val="20"/>
          <w:lang w:val="es-CR"/>
        </w:rPr>
        <w:t>G. Solicitud de los representantes para que se requiera al Estado la remisión de un expediente interno</w:t>
      </w:r>
    </w:p>
    <w:p w14:paraId="1A1C647C" w14:textId="77777777" w:rsidR="000805CA" w:rsidRPr="000805CA" w:rsidRDefault="000805CA" w:rsidP="000805CA">
      <w:pPr>
        <w:pStyle w:val="Prrafodelista"/>
        <w:rPr>
          <w:rFonts w:ascii="Verdana" w:hAnsi="Verdana" w:cs="Arial"/>
          <w:sz w:val="20"/>
          <w:szCs w:val="20"/>
          <w:lang w:val="es-CL"/>
        </w:rPr>
      </w:pPr>
    </w:p>
    <w:p w14:paraId="4AAC1755" w14:textId="6027968A" w:rsidR="000805CA" w:rsidRPr="000805CA" w:rsidRDefault="000805CA" w:rsidP="000805CA">
      <w:pPr>
        <w:pStyle w:val="Prrafodelista"/>
        <w:numPr>
          <w:ilvl w:val="0"/>
          <w:numId w:val="42"/>
        </w:numPr>
        <w:tabs>
          <w:tab w:val="left" w:pos="567"/>
        </w:tabs>
        <w:ind w:left="0" w:firstLine="0"/>
        <w:jc w:val="both"/>
        <w:rPr>
          <w:rFonts w:ascii="Verdana" w:hAnsi="Verdana" w:cs="Arial"/>
          <w:sz w:val="20"/>
          <w:szCs w:val="20"/>
          <w:lang w:val="es-CL"/>
        </w:rPr>
      </w:pPr>
      <w:proofErr w:type="gramStart"/>
      <w:r>
        <w:rPr>
          <w:rFonts w:ascii="Verdana" w:hAnsi="Verdana" w:cs="Arial"/>
          <w:sz w:val="20"/>
          <w:szCs w:val="20"/>
          <w:lang w:val="es-CL"/>
        </w:rPr>
        <w:t>De acuerdo a</w:t>
      </w:r>
      <w:proofErr w:type="gramEnd"/>
      <w:r>
        <w:rPr>
          <w:rFonts w:ascii="Verdana" w:hAnsi="Verdana" w:cs="Arial"/>
          <w:sz w:val="20"/>
          <w:szCs w:val="20"/>
          <w:lang w:val="es-CL"/>
        </w:rPr>
        <w:t xml:space="preserve"> sus comunicaciones de </w:t>
      </w:r>
      <w:r w:rsidRPr="000805CA">
        <w:rPr>
          <w:rFonts w:ascii="Verdana" w:hAnsi="Verdana"/>
          <w:color w:val="auto"/>
          <w:sz w:val="20"/>
          <w:szCs w:val="20"/>
          <w:lang w:val="es-419"/>
        </w:rPr>
        <w:t>19 de julio de 2019 y 6 de enero de 2020</w:t>
      </w:r>
      <w:r>
        <w:rPr>
          <w:rFonts w:ascii="Verdana" w:hAnsi="Verdana"/>
          <w:color w:val="auto"/>
          <w:sz w:val="20"/>
          <w:szCs w:val="20"/>
          <w:lang w:val="es-419"/>
        </w:rPr>
        <w:t xml:space="preserve"> (</w:t>
      </w:r>
      <w:r>
        <w:rPr>
          <w:rFonts w:ascii="Verdana" w:hAnsi="Verdana"/>
          <w:i/>
          <w:color w:val="auto"/>
          <w:sz w:val="20"/>
          <w:szCs w:val="20"/>
          <w:lang w:val="es-419"/>
        </w:rPr>
        <w:t xml:space="preserve">supra </w:t>
      </w:r>
      <w:r>
        <w:rPr>
          <w:rFonts w:ascii="Verdana" w:hAnsi="Verdana"/>
          <w:color w:val="auto"/>
          <w:sz w:val="20"/>
          <w:szCs w:val="20"/>
          <w:lang w:val="es-419"/>
        </w:rPr>
        <w:t xml:space="preserve">Visto </w:t>
      </w:r>
      <w:r w:rsidR="008645EC">
        <w:rPr>
          <w:rFonts w:ascii="Verdana" w:hAnsi="Verdana"/>
          <w:color w:val="auto"/>
          <w:sz w:val="20"/>
          <w:szCs w:val="20"/>
          <w:lang w:val="es-419"/>
        </w:rPr>
        <w:t>2</w:t>
      </w:r>
      <w:r>
        <w:rPr>
          <w:rFonts w:ascii="Verdana" w:hAnsi="Verdana"/>
          <w:color w:val="auto"/>
          <w:sz w:val="20"/>
          <w:szCs w:val="20"/>
          <w:lang w:val="es-419"/>
        </w:rPr>
        <w:t xml:space="preserve">) </w:t>
      </w:r>
      <w:r w:rsidRPr="000805CA">
        <w:rPr>
          <w:rFonts w:ascii="Verdana" w:hAnsi="Verdana"/>
          <w:color w:val="auto"/>
          <w:sz w:val="20"/>
          <w:szCs w:val="20"/>
          <w:lang w:val="es-419"/>
        </w:rPr>
        <w:t xml:space="preserve">los </w:t>
      </w:r>
      <w:r w:rsidRPr="000805CA">
        <w:rPr>
          <w:rFonts w:ascii="Verdana" w:hAnsi="Verdana"/>
          <w:b/>
          <w:i/>
          <w:color w:val="auto"/>
          <w:sz w:val="20"/>
          <w:szCs w:val="20"/>
          <w:lang w:val="es-419"/>
        </w:rPr>
        <w:t>representantes</w:t>
      </w:r>
      <w:r w:rsidRPr="000805CA">
        <w:rPr>
          <w:rFonts w:ascii="Verdana" w:hAnsi="Verdana"/>
          <w:color w:val="auto"/>
          <w:sz w:val="20"/>
          <w:szCs w:val="20"/>
          <w:lang w:val="es-419"/>
        </w:rPr>
        <w:t xml:space="preserve"> requirieron que se </w:t>
      </w:r>
      <w:r w:rsidRPr="000805CA">
        <w:rPr>
          <w:rFonts w:ascii="Verdana" w:hAnsi="Verdana"/>
          <w:sz w:val="20"/>
          <w:szCs w:val="20"/>
          <w:lang w:val="es-CR"/>
        </w:rPr>
        <w:t>“</w:t>
      </w:r>
      <w:r w:rsidRPr="000805CA">
        <w:rPr>
          <w:rFonts w:ascii="Verdana" w:eastAsia="Times" w:hAnsi="Verdana"/>
          <w:sz w:val="20"/>
          <w:szCs w:val="20"/>
          <w:lang w:val="es-CR"/>
        </w:rPr>
        <w:t>solicite al Estado la presentación del expediente penal completo del caso”. Adujeron no haber podido acceder a dicha documentación</w:t>
      </w:r>
      <w:r w:rsidR="004E0F22">
        <w:rPr>
          <w:rFonts w:ascii="Verdana" w:eastAsia="Times" w:hAnsi="Verdana"/>
          <w:sz w:val="20"/>
          <w:szCs w:val="20"/>
          <w:lang w:val="es-CR"/>
        </w:rPr>
        <w:t xml:space="preserve"> en forma completa, pese a haberlo solicitado a las autoridades estatales correspondientes</w:t>
      </w:r>
      <w:r w:rsidRPr="000805CA">
        <w:rPr>
          <w:rFonts w:ascii="Verdana" w:eastAsia="Times" w:hAnsi="Verdana"/>
          <w:sz w:val="20"/>
          <w:szCs w:val="20"/>
          <w:lang w:val="es-CR"/>
        </w:rPr>
        <w:t>.</w:t>
      </w:r>
    </w:p>
    <w:p w14:paraId="583AF46C" w14:textId="14A34A9C" w:rsidR="00747D18" w:rsidRPr="000805CA" w:rsidRDefault="00747D18" w:rsidP="000805CA">
      <w:pPr>
        <w:pStyle w:val="Prrafodelista"/>
        <w:tabs>
          <w:tab w:val="left" w:pos="567"/>
        </w:tabs>
        <w:ind w:left="0"/>
        <w:jc w:val="both"/>
        <w:rPr>
          <w:rFonts w:ascii="Verdana" w:hAnsi="Verdana" w:cs="Arial"/>
          <w:sz w:val="20"/>
          <w:szCs w:val="20"/>
          <w:lang w:val="es-CL"/>
        </w:rPr>
      </w:pPr>
    </w:p>
    <w:p w14:paraId="1DFA9115" w14:textId="7A9297BA" w:rsidR="00747D18" w:rsidRPr="006B2049" w:rsidRDefault="000805CA" w:rsidP="000805CA">
      <w:pPr>
        <w:pStyle w:val="Prrafodelista"/>
        <w:numPr>
          <w:ilvl w:val="0"/>
          <w:numId w:val="42"/>
        </w:numPr>
        <w:tabs>
          <w:tab w:val="left" w:pos="567"/>
        </w:tabs>
        <w:ind w:left="0" w:firstLine="0"/>
        <w:jc w:val="both"/>
        <w:rPr>
          <w:rFonts w:ascii="Verdana" w:hAnsi="Verdana" w:cs="Arial"/>
          <w:sz w:val="20"/>
          <w:szCs w:val="20"/>
          <w:lang w:val="es-CL"/>
        </w:rPr>
      </w:pPr>
      <w:r>
        <w:rPr>
          <w:rFonts w:ascii="Verdana" w:hAnsi="Verdana" w:cs="Arial"/>
          <w:sz w:val="20"/>
          <w:szCs w:val="20"/>
          <w:lang w:val="es-CL"/>
        </w:rPr>
        <w:t xml:space="preserve">La </w:t>
      </w:r>
      <w:proofErr w:type="gramStart"/>
      <w:r w:rsidRPr="004E0F22">
        <w:rPr>
          <w:rFonts w:ascii="Verdana" w:hAnsi="Verdana" w:cs="Arial"/>
          <w:b/>
          <w:i/>
          <w:sz w:val="20"/>
          <w:szCs w:val="20"/>
          <w:lang w:val="es-CL"/>
        </w:rPr>
        <w:t>Presidenta</w:t>
      </w:r>
      <w:proofErr w:type="gramEnd"/>
      <w:r>
        <w:rPr>
          <w:rFonts w:ascii="Verdana" w:hAnsi="Verdana" w:cs="Arial"/>
          <w:sz w:val="20"/>
          <w:szCs w:val="20"/>
          <w:lang w:val="es-CL"/>
        </w:rPr>
        <w:t xml:space="preserve"> recuerda que</w:t>
      </w:r>
      <w:r w:rsidR="00840D92">
        <w:rPr>
          <w:rFonts w:ascii="Verdana" w:hAnsi="Verdana" w:cs="Arial"/>
          <w:sz w:val="20"/>
          <w:szCs w:val="20"/>
          <w:lang w:val="es-CL"/>
        </w:rPr>
        <w:t>,</w:t>
      </w:r>
      <w:r>
        <w:rPr>
          <w:rFonts w:ascii="Verdana" w:hAnsi="Verdana" w:cs="Arial"/>
          <w:sz w:val="20"/>
          <w:szCs w:val="20"/>
          <w:lang w:val="es-CL"/>
        </w:rPr>
        <w:t xml:space="preserve"> por medio de comunicaciones de la Secretaría</w:t>
      </w:r>
      <w:r w:rsidR="00BF7BD4">
        <w:rPr>
          <w:rFonts w:ascii="Verdana" w:hAnsi="Verdana" w:cs="Arial"/>
          <w:sz w:val="20"/>
          <w:szCs w:val="20"/>
          <w:lang w:val="es-CL"/>
        </w:rPr>
        <w:t xml:space="preserve"> de la Corte</w:t>
      </w:r>
      <w:r>
        <w:rPr>
          <w:rFonts w:ascii="Verdana" w:hAnsi="Verdana" w:cs="Arial"/>
          <w:sz w:val="20"/>
          <w:szCs w:val="20"/>
          <w:lang w:val="es-CL"/>
        </w:rPr>
        <w:t xml:space="preserve"> de </w:t>
      </w:r>
      <w:r w:rsidRPr="000805CA">
        <w:rPr>
          <w:rFonts w:ascii="Verdana" w:hAnsi="Verdana"/>
          <w:color w:val="auto"/>
          <w:sz w:val="20"/>
          <w:szCs w:val="20"/>
          <w:lang w:val="es-419"/>
        </w:rPr>
        <w:t>22 de julio de 2019 y 9 de enero de 2020</w:t>
      </w:r>
      <w:r>
        <w:rPr>
          <w:rFonts w:ascii="Verdana" w:hAnsi="Verdana"/>
          <w:color w:val="auto"/>
          <w:sz w:val="20"/>
          <w:szCs w:val="20"/>
          <w:lang w:val="es-419"/>
        </w:rPr>
        <w:t xml:space="preserve"> </w:t>
      </w:r>
      <w:r w:rsidR="00F97CCC">
        <w:rPr>
          <w:rFonts w:ascii="Verdana" w:hAnsi="Verdana"/>
          <w:color w:val="auto"/>
          <w:sz w:val="20"/>
          <w:szCs w:val="20"/>
          <w:lang w:val="es-419"/>
        </w:rPr>
        <w:t>(</w:t>
      </w:r>
      <w:r w:rsidR="00F97CCC">
        <w:rPr>
          <w:rFonts w:ascii="Verdana" w:hAnsi="Verdana"/>
          <w:i/>
          <w:color w:val="auto"/>
          <w:sz w:val="20"/>
          <w:szCs w:val="20"/>
          <w:lang w:val="es-419"/>
        </w:rPr>
        <w:t xml:space="preserve">supra </w:t>
      </w:r>
      <w:r w:rsidR="00F97CCC">
        <w:rPr>
          <w:rFonts w:ascii="Verdana" w:hAnsi="Verdana"/>
          <w:color w:val="auto"/>
          <w:sz w:val="20"/>
          <w:szCs w:val="20"/>
          <w:lang w:val="es-419"/>
        </w:rPr>
        <w:t xml:space="preserve">Visto </w:t>
      </w:r>
      <w:r w:rsidR="008645EC">
        <w:rPr>
          <w:rFonts w:ascii="Verdana" w:hAnsi="Verdana"/>
          <w:color w:val="auto"/>
          <w:sz w:val="20"/>
          <w:szCs w:val="20"/>
          <w:lang w:val="es-419"/>
        </w:rPr>
        <w:t>2</w:t>
      </w:r>
      <w:r w:rsidR="00F97CCC">
        <w:rPr>
          <w:rFonts w:ascii="Verdana" w:hAnsi="Verdana"/>
          <w:color w:val="auto"/>
          <w:sz w:val="20"/>
          <w:szCs w:val="20"/>
          <w:lang w:val="es-419"/>
        </w:rPr>
        <w:t>)</w:t>
      </w:r>
      <w:r w:rsidR="00840D92">
        <w:rPr>
          <w:rFonts w:ascii="Verdana" w:hAnsi="Verdana"/>
          <w:color w:val="auto"/>
          <w:sz w:val="20"/>
          <w:szCs w:val="20"/>
          <w:lang w:val="es-419"/>
        </w:rPr>
        <w:t>,</w:t>
      </w:r>
      <w:r w:rsidR="00F97CCC">
        <w:rPr>
          <w:rFonts w:ascii="Verdana" w:hAnsi="Verdana"/>
          <w:color w:val="auto"/>
          <w:sz w:val="20"/>
          <w:szCs w:val="20"/>
          <w:lang w:val="es-419"/>
        </w:rPr>
        <w:t xml:space="preserve"> </w:t>
      </w:r>
      <w:r>
        <w:rPr>
          <w:rFonts w:ascii="Verdana" w:hAnsi="Verdana"/>
          <w:color w:val="auto"/>
          <w:sz w:val="20"/>
          <w:szCs w:val="20"/>
          <w:lang w:val="es-419"/>
        </w:rPr>
        <w:t>se señaló que no correspondía en esos momentos, previos a la presentación del escrito de contestación por parte del Estado, hacer lugar a la solicitud de los representantes, y que la misma sería evaluada en forma oportuna. Al respecto, como ya se ha expresado (</w:t>
      </w:r>
      <w:r>
        <w:rPr>
          <w:rFonts w:ascii="Verdana" w:hAnsi="Verdana"/>
          <w:i/>
          <w:color w:val="auto"/>
          <w:sz w:val="20"/>
          <w:szCs w:val="20"/>
          <w:lang w:val="es-419"/>
        </w:rPr>
        <w:t xml:space="preserve">supra </w:t>
      </w:r>
      <w:r>
        <w:rPr>
          <w:rFonts w:ascii="Verdana" w:hAnsi="Verdana"/>
          <w:color w:val="auto"/>
          <w:sz w:val="20"/>
          <w:szCs w:val="20"/>
          <w:lang w:val="es-419"/>
        </w:rPr>
        <w:t xml:space="preserve">Considerando </w:t>
      </w:r>
      <w:r w:rsidR="008645EC">
        <w:rPr>
          <w:rFonts w:ascii="Verdana" w:hAnsi="Verdana"/>
          <w:color w:val="auto"/>
          <w:sz w:val="20"/>
          <w:szCs w:val="20"/>
          <w:lang w:val="es-419"/>
        </w:rPr>
        <w:t>10</w:t>
      </w:r>
      <w:r>
        <w:rPr>
          <w:rFonts w:ascii="Verdana" w:hAnsi="Verdana"/>
          <w:color w:val="auto"/>
          <w:sz w:val="20"/>
          <w:szCs w:val="20"/>
          <w:lang w:val="es-419"/>
        </w:rPr>
        <w:t xml:space="preserve">), Venezuela formuló en su escrito de contestación un reconocimiento de responsabilidad en términos amplios. </w:t>
      </w:r>
      <w:r w:rsidR="006B2049">
        <w:rPr>
          <w:rFonts w:ascii="Verdana" w:hAnsi="Verdana"/>
          <w:color w:val="auto"/>
          <w:sz w:val="20"/>
          <w:szCs w:val="20"/>
          <w:lang w:val="es-419"/>
        </w:rPr>
        <w:t xml:space="preserve">Sin perjuicio de las determinaciones que oportunamente realice el Tribunal, puede advertirse que los términos del reconocimiento de responsabilidad estatal incluyen aspectos fácticos y jurídicos relacionados con las actuaciones internas y la obligación de investigar hechos del caso. En atención a ello, la </w:t>
      </w:r>
      <w:proofErr w:type="gramStart"/>
      <w:r w:rsidR="006B2049">
        <w:rPr>
          <w:rFonts w:ascii="Verdana" w:hAnsi="Verdana"/>
          <w:color w:val="auto"/>
          <w:sz w:val="20"/>
          <w:szCs w:val="20"/>
          <w:lang w:val="es-419"/>
        </w:rPr>
        <w:t>Presidenta</w:t>
      </w:r>
      <w:proofErr w:type="gramEnd"/>
      <w:r w:rsidR="006B2049">
        <w:rPr>
          <w:rFonts w:ascii="Verdana" w:hAnsi="Verdana"/>
          <w:color w:val="auto"/>
          <w:sz w:val="20"/>
          <w:szCs w:val="20"/>
          <w:lang w:val="es-419"/>
        </w:rPr>
        <w:t xml:space="preserve"> no advierte que resulte necesario solicitar al Estado que remita copia del expediente interno demandado por los representantes. Por lo tanto, la solicitud de los representantes es rechazada. </w:t>
      </w:r>
    </w:p>
    <w:p w14:paraId="1977BE56" w14:textId="77777777" w:rsidR="006B2049" w:rsidRPr="006B2049" w:rsidRDefault="006B2049" w:rsidP="006B2049">
      <w:pPr>
        <w:pStyle w:val="Prrafodelista"/>
        <w:rPr>
          <w:rFonts w:ascii="Verdana" w:hAnsi="Verdana" w:cs="Arial"/>
          <w:sz w:val="20"/>
          <w:szCs w:val="20"/>
          <w:lang w:val="es-CL"/>
        </w:rPr>
      </w:pPr>
    </w:p>
    <w:p w14:paraId="7473CC76" w14:textId="5B8943ED" w:rsidR="006B2049" w:rsidRDefault="006B2049" w:rsidP="000805CA">
      <w:pPr>
        <w:pStyle w:val="Prrafodelista"/>
        <w:numPr>
          <w:ilvl w:val="0"/>
          <w:numId w:val="42"/>
        </w:numPr>
        <w:tabs>
          <w:tab w:val="left" w:pos="567"/>
        </w:tabs>
        <w:ind w:left="0" w:firstLine="0"/>
        <w:jc w:val="both"/>
        <w:rPr>
          <w:rFonts w:ascii="Verdana" w:hAnsi="Verdana" w:cs="Arial"/>
          <w:sz w:val="20"/>
          <w:szCs w:val="20"/>
          <w:lang w:val="es-CL"/>
        </w:rPr>
      </w:pPr>
      <w:r>
        <w:rPr>
          <w:rFonts w:ascii="Verdana" w:hAnsi="Verdana" w:cs="Arial"/>
          <w:sz w:val="20"/>
          <w:szCs w:val="20"/>
          <w:lang w:val="es-CL"/>
        </w:rPr>
        <w:t xml:space="preserve">Esta </w:t>
      </w:r>
      <w:proofErr w:type="gramStart"/>
      <w:r>
        <w:rPr>
          <w:rFonts w:ascii="Verdana" w:hAnsi="Verdana" w:cs="Arial"/>
          <w:sz w:val="20"/>
          <w:szCs w:val="20"/>
          <w:lang w:val="es-CL"/>
        </w:rPr>
        <w:t>Presidenta</w:t>
      </w:r>
      <w:proofErr w:type="gramEnd"/>
      <w:r>
        <w:rPr>
          <w:rFonts w:ascii="Verdana" w:hAnsi="Verdana" w:cs="Arial"/>
          <w:sz w:val="20"/>
          <w:szCs w:val="20"/>
          <w:lang w:val="es-CL"/>
        </w:rPr>
        <w:t xml:space="preserve"> considera pertinente dejar sentado que el rechazo señalado no limita las facultades reglamentarias previstas en el artículo 58 del Reglamento, que permiten a la Corte</w:t>
      </w:r>
      <w:r w:rsidR="00A326E3">
        <w:rPr>
          <w:rFonts w:ascii="Verdana" w:hAnsi="Verdana" w:cs="Arial"/>
          <w:sz w:val="20"/>
          <w:szCs w:val="20"/>
          <w:lang w:val="es-CL"/>
        </w:rPr>
        <w:t xml:space="preserve"> Interamericana de Derechos Humanos</w:t>
      </w:r>
      <w:r>
        <w:rPr>
          <w:rFonts w:ascii="Verdana" w:hAnsi="Verdana" w:cs="Arial"/>
          <w:sz w:val="20"/>
          <w:szCs w:val="20"/>
          <w:lang w:val="es-CL"/>
        </w:rPr>
        <w:t xml:space="preserve">, “[e]n cualquier estado de la causa”, requerir de las partes o la Comisión el suministro de prueba. </w:t>
      </w:r>
    </w:p>
    <w:p w14:paraId="3D1D6C07" w14:textId="77777777" w:rsidR="001C287E" w:rsidRDefault="001C287E" w:rsidP="002559F8">
      <w:pPr>
        <w:pStyle w:val="Prrafodelista"/>
        <w:rPr>
          <w:rFonts w:ascii="Verdana" w:hAnsi="Verdana" w:cs="Arial"/>
          <w:sz w:val="20"/>
          <w:szCs w:val="20"/>
          <w:lang w:val="es-CL"/>
        </w:rPr>
      </w:pPr>
    </w:p>
    <w:p w14:paraId="42E124DD" w14:textId="07795505" w:rsidR="002559F8" w:rsidRPr="000805CA" w:rsidRDefault="002559F8" w:rsidP="002559F8">
      <w:pPr>
        <w:pStyle w:val="Prrafodelista"/>
        <w:rPr>
          <w:rFonts w:ascii="Verdana" w:hAnsi="Verdana" w:cs="Arial"/>
          <w:b/>
          <w:i/>
          <w:sz w:val="20"/>
          <w:szCs w:val="20"/>
          <w:lang w:val="es-CL"/>
        </w:rPr>
      </w:pPr>
      <w:r>
        <w:rPr>
          <w:rFonts w:ascii="Verdana" w:hAnsi="Verdana"/>
          <w:b/>
          <w:i/>
          <w:sz w:val="20"/>
          <w:szCs w:val="20"/>
          <w:lang w:val="es-CR"/>
        </w:rPr>
        <w:t>H</w:t>
      </w:r>
      <w:r w:rsidRPr="000805CA">
        <w:rPr>
          <w:rFonts w:ascii="Verdana" w:hAnsi="Verdana"/>
          <w:b/>
          <w:i/>
          <w:sz w:val="20"/>
          <w:szCs w:val="20"/>
          <w:lang w:val="es-CR"/>
        </w:rPr>
        <w:t xml:space="preserve">. Solicitud de </w:t>
      </w:r>
      <w:r>
        <w:rPr>
          <w:rFonts w:ascii="Verdana" w:hAnsi="Verdana"/>
          <w:b/>
          <w:i/>
          <w:sz w:val="20"/>
          <w:szCs w:val="20"/>
          <w:lang w:val="es-CR"/>
        </w:rPr>
        <w:t>flexibilidad en tiempos procesales</w:t>
      </w:r>
    </w:p>
    <w:p w14:paraId="2D4172E2" w14:textId="3F2B3D28" w:rsidR="002559F8" w:rsidRPr="002559F8" w:rsidRDefault="002559F8" w:rsidP="002559F8">
      <w:pPr>
        <w:pStyle w:val="Prrafodelista"/>
        <w:rPr>
          <w:rFonts w:ascii="Verdana" w:hAnsi="Verdana" w:cs="Arial"/>
          <w:sz w:val="20"/>
          <w:szCs w:val="20"/>
          <w:lang w:val="es-CL"/>
        </w:rPr>
      </w:pPr>
    </w:p>
    <w:p w14:paraId="7F862C08" w14:textId="700F07A8" w:rsidR="002559F8" w:rsidRDefault="002559F8" w:rsidP="000805CA">
      <w:pPr>
        <w:pStyle w:val="Prrafodelista"/>
        <w:numPr>
          <w:ilvl w:val="0"/>
          <w:numId w:val="42"/>
        </w:numPr>
        <w:tabs>
          <w:tab w:val="left" w:pos="567"/>
        </w:tabs>
        <w:ind w:left="0" w:firstLine="0"/>
        <w:jc w:val="both"/>
        <w:rPr>
          <w:rFonts w:ascii="Verdana" w:hAnsi="Verdana" w:cs="Arial"/>
          <w:sz w:val="20"/>
          <w:szCs w:val="20"/>
          <w:lang w:val="es-CL"/>
        </w:rPr>
      </w:pPr>
      <w:r>
        <w:rPr>
          <w:rFonts w:ascii="Verdana" w:hAnsi="Verdana" w:cs="Arial"/>
          <w:sz w:val="20"/>
          <w:szCs w:val="20"/>
          <w:lang w:val="es-CL"/>
        </w:rPr>
        <w:t>En su comunicación de 30 de julio de 2020</w:t>
      </w:r>
      <w:r w:rsidR="00742263">
        <w:rPr>
          <w:rFonts w:ascii="Verdana" w:hAnsi="Verdana" w:cs="Arial"/>
          <w:sz w:val="20"/>
          <w:szCs w:val="20"/>
          <w:lang w:val="es-CL"/>
        </w:rPr>
        <w:t>,</w:t>
      </w:r>
      <w:r>
        <w:rPr>
          <w:rFonts w:ascii="Verdana" w:hAnsi="Verdana" w:cs="Arial"/>
          <w:sz w:val="20"/>
          <w:szCs w:val="20"/>
          <w:lang w:val="es-CL"/>
        </w:rPr>
        <w:t xml:space="preserve"> los </w:t>
      </w:r>
      <w:r w:rsidRPr="00536E62">
        <w:rPr>
          <w:rFonts w:ascii="Verdana" w:hAnsi="Verdana" w:cs="Arial"/>
          <w:b/>
          <w:i/>
          <w:sz w:val="20"/>
          <w:szCs w:val="20"/>
          <w:lang w:val="es-CL"/>
        </w:rPr>
        <w:t>representantes</w:t>
      </w:r>
      <w:r>
        <w:rPr>
          <w:rFonts w:ascii="Verdana" w:hAnsi="Verdana" w:cs="Arial"/>
          <w:sz w:val="20"/>
          <w:szCs w:val="20"/>
          <w:lang w:val="es-CL"/>
        </w:rPr>
        <w:t xml:space="preserve"> solicitaron que “independientemente de la celebración de una audiencia, los plazos para presentación de prueba sean más flexibles en el marco de la pandemia”. Adujeron que la misma ha generado diversos obstáculos, a partir de medidas adoptadas por el Estado al respecto. Indicaron, entre tales dificultades, restricciones a la movilidad</w:t>
      </w:r>
      <w:r w:rsidR="00F97CCC">
        <w:rPr>
          <w:rFonts w:ascii="Verdana" w:hAnsi="Verdana" w:cs="Arial"/>
          <w:sz w:val="20"/>
          <w:szCs w:val="20"/>
          <w:lang w:val="es-CL"/>
        </w:rPr>
        <w:t>, que hacen</w:t>
      </w:r>
      <w:r>
        <w:rPr>
          <w:rFonts w:ascii="Verdana" w:hAnsi="Verdana" w:cs="Arial"/>
          <w:sz w:val="20"/>
          <w:szCs w:val="20"/>
          <w:lang w:val="es-CL"/>
        </w:rPr>
        <w:t xml:space="preserve"> “imposible realizar peritajes psicosociales en forma presencial</w:t>
      </w:r>
      <w:r w:rsidR="00536E62">
        <w:rPr>
          <w:rFonts w:ascii="Verdana" w:hAnsi="Verdana" w:cs="Arial"/>
          <w:sz w:val="20"/>
          <w:szCs w:val="20"/>
          <w:lang w:val="es-CL"/>
        </w:rPr>
        <w:t xml:space="preserve">”, por lo cual estaban “explorando” la posibilidad de realizarlos por plataformas electrónicas. Además, en su escrito de 24 de agosto de 2020, los representantes requirieron que en caso de realizarse una “audiencia virtual” la convocatoria a la misma sea comunicada al menos con tres meses de antelación, para poder ellos “preparar toda la infraestructura necesaria”. </w:t>
      </w:r>
    </w:p>
    <w:p w14:paraId="55A8E9C7" w14:textId="13118C16" w:rsidR="00B115F1" w:rsidRPr="000F605A" w:rsidRDefault="00B115F1" w:rsidP="00B115F1">
      <w:pPr>
        <w:pStyle w:val="Prrafodelista"/>
        <w:tabs>
          <w:tab w:val="left" w:pos="567"/>
        </w:tabs>
        <w:ind w:left="0"/>
        <w:jc w:val="both"/>
        <w:rPr>
          <w:rFonts w:ascii="Verdana" w:hAnsi="Verdana" w:cs="Arial"/>
          <w:i/>
          <w:sz w:val="20"/>
          <w:szCs w:val="20"/>
          <w:lang w:val="es-CL"/>
        </w:rPr>
      </w:pPr>
    </w:p>
    <w:p w14:paraId="7A83B91B" w14:textId="281950DF" w:rsidR="00536E62" w:rsidRDefault="00536E62" w:rsidP="000805CA">
      <w:pPr>
        <w:pStyle w:val="Prrafodelista"/>
        <w:numPr>
          <w:ilvl w:val="0"/>
          <w:numId w:val="42"/>
        </w:numPr>
        <w:tabs>
          <w:tab w:val="left" w:pos="567"/>
        </w:tabs>
        <w:ind w:left="0" w:firstLine="0"/>
        <w:jc w:val="both"/>
        <w:rPr>
          <w:rFonts w:ascii="Verdana" w:hAnsi="Verdana" w:cs="Arial"/>
          <w:sz w:val="20"/>
          <w:szCs w:val="20"/>
          <w:lang w:val="es-CL"/>
        </w:rPr>
      </w:pPr>
      <w:r>
        <w:rPr>
          <w:rFonts w:ascii="Verdana" w:hAnsi="Verdana" w:cs="Arial"/>
          <w:sz w:val="20"/>
          <w:szCs w:val="20"/>
          <w:lang w:val="es-CL"/>
        </w:rPr>
        <w:t>En lo que respecta a la diligencia en que declararán dos presuntas víctimas (</w:t>
      </w:r>
      <w:r>
        <w:rPr>
          <w:rFonts w:ascii="Verdana" w:hAnsi="Verdana" w:cs="Arial"/>
          <w:i/>
          <w:sz w:val="20"/>
          <w:szCs w:val="20"/>
          <w:lang w:val="es-CL"/>
        </w:rPr>
        <w:t xml:space="preserve">supra </w:t>
      </w:r>
      <w:r>
        <w:rPr>
          <w:rFonts w:ascii="Verdana" w:hAnsi="Verdana" w:cs="Arial"/>
          <w:sz w:val="20"/>
          <w:szCs w:val="20"/>
          <w:lang w:val="es-CL"/>
        </w:rPr>
        <w:t>Considerando</w:t>
      </w:r>
      <w:r w:rsidR="008645EC">
        <w:rPr>
          <w:rFonts w:ascii="Verdana" w:hAnsi="Verdana" w:cs="Arial"/>
          <w:sz w:val="20"/>
          <w:szCs w:val="20"/>
          <w:lang w:val="es-CL"/>
        </w:rPr>
        <w:t xml:space="preserve"> 20 e infra punto resolutivo 1</w:t>
      </w:r>
      <w:r>
        <w:rPr>
          <w:rFonts w:ascii="Verdana" w:hAnsi="Verdana" w:cs="Arial"/>
          <w:sz w:val="20"/>
          <w:szCs w:val="20"/>
          <w:lang w:val="es-CL"/>
        </w:rPr>
        <w:t xml:space="preserve">), la </w:t>
      </w:r>
      <w:proofErr w:type="gramStart"/>
      <w:r>
        <w:rPr>
          <w:rFonts w:ascii="Verdana" w:hAnsi="Verdana" w:cs="Arial"/>
          <w:sz w:val="20"/>
          <w:szCs w:val="20"/>
          <w:lang w:val="es-CL"/>
        </w:rPr>
        <w:t>Presidenta</w:t>
      </w:r>
      <w:proofErr w:type="gramEnd"/>
      <w:r>
        <w:rPr>
          <w:rFonts w:ascii="Verdana" w:hAnsi="Verdana" w:cs="Arial"/>
          <w:sz w:val="20"/>
          <w:szCs w:val="20"/>
          <w:lang w:val="es-CL"/>
        </w:rPr>
        <w:t xml:space="preserve"> nota que los</w:t>
      </w:r>
      <w:r w:rsidR="00517995">
        <w:rPr>
          <w:rFonts w:ascii="Verdana" w:hAnsi="Verdana" w:cs="Arial"/>
          <w:sz w:val="20"/>
          <w:szCs w:val="20"/>
          <w:lang w:val="es-CL"/>
        </w:rPr>
        <w:t xml:space="preserve"> representantes no han fundamentado por qué necesitarían el tiempo de tres meses para preparar “infraestructura” para participar en una videoconferencia, ni han explicado cuál sería </w:t>
      </w:r>
      <w:r w:rsidR="00F840AB">
        <w:rPr>
          <w:rFonts w:ascii="Verdana" w:hAnsi="Verdana" w:cs="Arial"/>
          <w:sz w:val="20"/>
          <w:szCs w:val="20"/>
          <w:lang w:val="es-CL"/>
        </w:rPr>
        <w:t>la misma</w:t>
      </w:r>
      <w:r w:rsidR="00517995">
        <w:rPr>
          <w:rFonts w:ascii="Verdana" w:hAnsi="Verdana" w:cs="Arial"/>
          <w:sz w:val="20"/>
          <w:szCs w:val="20"/>
          <w:lang w:val="es-CL"/>
        </w:rPr>
        <w:t xml:space="preserve">. Además, recuerda </w:t>
      </w:r>
      <w:proofErr w:type="gramStart"/>
      <w:r w:rsidR="00517995">
        <w:rPr>
          <w:rFonts w:ascii="Verdana" w:hAnsi="Verdana" w:cs="Arial"/>
          <w:sz w:val="20"/>
          <w:szCs w:val="20"/>
          <w:lang w:val="es-CL"/>
        </w:rPr>
        <w:t>que</w:t>
      </w:r>
      <w:proofErr w:type="gramEnd"/>
      <w:r w:rsidR="00517995">
        <w:rPr>
          <w:rFonts w:ascii="Verdana" w:hAnsi="Verdana" w:cs="Arial"/>
          <w:sz w:val="20"/>
          <w:szCs w:val="20"/>
          <w:lang w:val="es-CL"/>
        </w:rPr>
        <w:t xml:space="preserve"> </w:t>
      </w:r>
      <w:r>
        <w:rPr>
          <w:rFonts w:ascii="Verdana" w:hAnsi="Verdana" w:cs="Arial"/>
          <w:sz w:val="20"/>
          <w:szCs w:val="20"/>
          <w:lang w:val="es-CL"/>
        </w:rPr>
        <w:t xml:space="preserve">en forma reciente, en dos </w:t>
      </w:r>
      <w:r w:rsidRPr="00757DF2">
        <w:rPr>
          <w:rFonts w:ascii="Verdana" w:hAnsi="Verdana" w:cs="Arial"/>
          <w:color w:val="auto"/>
          <w:sz w:val="20"/>
          <w:szCs w:val="20"/>
          <w:lang w:val="es-CL"/>
        </w:rPr>
        <w:t>c</w:t>
      </w:r>
      <w:r w:rsidR="00F840AB">
        <w:rPr>
          <w:rFonts w:ascii="Verdana" w:hAnsi="Verdana" w:cs="Arial"/>
          <w:color w:val="auto"/>
          <w:sz w:val="20"/>
          <w:szCs w:val="20"/>
          <w:lang w:val="es-CL"/>
        </w:rPr>
        <w:t>a</w:t>
      </w:r>
      <w:r w:rsidRPr="00757DF2">
        <w:rPr>
          <w:rFonts w:ascii="Verdana" w:hAnsi="Verdana" w:cs="Arial"/>
          <w:color w:val="auto"/>
          <w:sz w:val="20"/>
          <w:szCs w:val="20"/>
          <w:lang w:val="es-CL"/>
        </w:rPr>
        <w:t xml:space="preserve">usas </w:t>
      </w:r>
      <w:r>
        <w:rPr>
          <w:rFonts w:ascii="Verdana" w:hAnsi="Verdana" w:cs="Arial"/>
          <w:sz w:val="20"/>
          <w:szCs w:val="20"/>
          <w:lang w:val="es-CL"/>
        </w:rPr>
        <w:t xml:space="preserve">correspondientes a Venezuela, se realizaron actos de la misma naturaleza, </w:t>
      </w:r>
      <w:r w:rsidR="00517995">
        <w:rPr>
          <w:rFonts w:ascii="Verdana" w:hAnsi="Verdana" w:cs="Arial"/>
          <w:sz w:val="20"/>
          <w:szCs w:val="20"/>
          <w:lang w:val="es-CL"/>
        </w:rPr>
        <w:t>que fueron convocados</w:t>
      </w:r>
      <w:r>
        <w:rPr>
          <w:rFonts w:ascii="Verdana" w:hAnsi="Verdana" w:cs="Arial"/>
          <w:sz w:val="20"/>
          <w:szCs w:val="20"/>
          <w:lang w:val="es-CL"/>
        </w:rPr>
        <w:t xml:space="preserve"> con menos de tres meses de antelación, sin que surgieran dificultades</w:t>
      </w:r>
      <w:r w:rsidR="00517995">
        <w:rPr>
          <w:rStyle w:val="Refdenotaalpie"/>
          <w:rFonts w:ascii="Verdana" w:hAnsi="Verdana" w:cs="Arial"/>
          <w:sz w:val="20"/>
          <w:szCs w:val="20"/>
          <w:lang w:val="es-CL"/>
        </w:rPr>
        <w:footnoteReference w:id="30"/>
      </w:r>
      <w:r>
        <w:rPr>
          <w:rFonts w:ascii="Verdana" w:hAnsi="Verdana" w:cs="Arial"/>
          <w:sz w:val="20"/>
          <w:szCs w:val="20"/>
          <w:lang w:val="es-CL"/>
        </w:rPr>
        <w:t xml:space="preserve">. </w:t>
      </w:r>
      <w:r w:rsidR="00517995">
        <w:rPr>
          <w:rFonts w:ascii="Verdana" w:hAnsi="Verdana" w:cs="Arial"/>
          <w:sz w:val="20"/>
          <w:szCs w:val="20"/>
          <w:lang w:val="es-CL"/>
        </w:rPr>
        <w:t xml:space="preserve">De igual forma, la </w:t>
      </w:r>
      <w:proofErr w:type="gramStart"/>
      <w:r w:rsidR="00517995">
        <w:rPr>
          <w:rFonts w:ascii="Verdana" w:hAnsi="Verdana" w:cs="Arial"/>
          <w:sz w:val="20"/>
          <w:szCs w:val="20"/>
          <w:lang w:val="es-CL"/>
        </w:rPr>
        <w:t>Presidenta</w:t>
      </w:r>
      <w:proofErr w:type="gramEnd"/>
      <w:r w:rsidR="00517995">
        <w:rPr>
          <w:rFonts w:ascii="Verdana" w:hAnsi="Verdana" w:cs="Arial"/>
          <w:sz w:val="20"/>
          <w:szCs w:val="20"/>
          <w:lang w:val="es-CL"/>
        </w:rPr>
        <w:t xml:space="preserve"> deja constancia de que, en consulta con el Pleno de la Corte, ha tomado nota de las dificultades expresadas por los representantes y determinado el momento en el que se realizará la diligencia por videoconferencia, que se indica en la parte resolutiva de la presente Resolución</w:t>
      </w:r>
      <w:r w:rsidR="00F97CCC">
        <w:rPr>
          <w:rFonts w:ascii="Verdana" w:hAnsi="Verdana" w:cs="Arial"/>
          <w:sz w:val="20"/>
          <w:szCs w:val="20"/>
          <w:lang w:val="es-CL"/>
        </w:rPr>
        <w:t xml:space="preserve"> (</w:t>
      </w:r>
      <w:r w:rsidR="00F97CCC">
        <w:rPr>
          <w:rFonts w:ascii="Verdana" w:hAnsi="Verdana" w:cs="Arial"/>
          <w:i/>
          <w:sz w:val="20"/>
          <w:szCs w:val="20"/>
          <w:lang w:val="es-CL"/>
        </w:rPr>
        <w:t xml:space="preserve">infra </w:t>
      </w:r>
      <w:r w:rsidR="00F97CCC">
        <w:rPr>
          <w:rFonts w:ascii="Verdana" w:hAnsi="Verdana" w:cs="Arial"/>
          <w:sz w:val="20"/>
          <w:szCs w:val="20"/>
          <w:lang w:val="es-CL"/>
        </w:rPr>
        <w:t xml:space="preserve">punto resolutivo </w:t>
      </w:r>
      <w:r w:rsidR="0066229C">
        <w:rPr>
          <w:rFonts w:ascii="Verdana" w:hAnsi="Verdana" w:cs="Arial"/>
          <w:sz w:val="20"/>
          <w:szCs w:val="20"/>
          <w:lang w:val="es-CL"/>
        </w:rPr>
        <w:t>1</w:t>
      </w:r>
      <w:r w:rsidR="00F97CCC">
        <w:rPr>
          <w:rFonts w:ascii="Verdana" w:hAnsi="Verdana" w:cs="Arial"/>
          <w:sz w:val="20"/>
          <w:szCs w:val="20"/>
          <w:lang w:val="es-CL"/>
        </w:rPr>
        <w:t>)</w:t>
      </w:r>
      <w:r w:rsidR="00517995">
        <w:rPr>
          <w:rFonts w:ascii="Verdana" w:hAnsi="Verdana" w:cs="Arial"/>
          <w:sz w:val="20"/>
          <w:szCs w:val="20"/>
          <w:lang w:val="es-CL"/>
        </w:rPr>
        <w:t xml:space="preserve">, </w:t>
      </w:r>
      <w:r w:rsidR="00004EAC">
        <w:rPr>
          <w:rFonts w:ascii="Verdana" w:hAnsi="Verdana" w:cs="Arial"/>
          <w:sz w:val="20"/>
          <w:szCs w:val="20"/>
          <w:lang w:val="es-CL"/>
        </w:rPr>
        <w:t xml:space="preserve">de modo que </w:t>
      </w:r>
      <w:r w:rsidR="00517995">
        <w:rPr>
          <w:rFonts w:ascii="Verdana" w:hAnsi="Verdana" w:cs="Arial"/>
          <w:sz w:val="20"/>
          <w:szCs w:val="20"/>
          <w:lang w:val="es-CL"/>
        </w:rPr>
        <w:t>las partes</w:t>
      </w:r>
      <w:r w:rsidR="00004EAC">
        <w:rPr>
          <w:rFonts w:ascii="Verdana" w:hAnsi="Verdana" w:cs="Arial"/>
          <w:sz w:val="20"/>
          <w:szCs w:val="20"/>
          <w:lang w:val="es-CL"/>
        </w:rPr>
        <w:t xml:space="preserve"> y la Comisión</w:t>
      </w:r>
      <w:r w:rsidR="00517995">
        <w:rPr>
          <w:rFonts w:ascii="Verdana" w:hAnsi="Verdana" w:cs="Arial"/>
          <w:sz w:val="20"/>
          <w:szCs w:val="20"/>
          <w:lang w:val="es-CL"/>
        </w:rPr>
        <w:t xml:space="preserve"> tomen conocimiento del mismo con una antelación suficiente. La Presidencia, asimismo, ha determinado la fecha de presentación de declaraciones escritas, señalada en la parte resolutiva de la presente Resolución</w:t>
      </w:r>
      <w:r w:rsidR="00F97CCC">
        <w:rPr>
          <w:rFonts w:ascii="Verdana" w:hAnsi="Verdana" w:cs="Arial"/>
          <w:sz w:val="20"/>
          <w:szCs w:val="20"/>
          <w:lang w:val="es-CL"/>
        </w:rPr>
        <w:t xml:space="preserve"> (</w:t>
      </w:r>
      <w:r w:rsidR="00F97CCC">
        <w:rPr>
          <w:rFonts w:ascii="Verdana" w:hAnsi="Verdana" w:cs="Arial"/>
          <w:i/>
          <w:sz w:val="20"/>
          <w:szCs w:val="20"/>
          <w:lang w:val="es-CL"/>
        </w:rPr>
        <w:t xml:space="preserve">infra </w:t>
      </w:r>
      <w:r w:rsidR="00F97CCC">
        <w:rPr>
          <w:rFonts w:ascii="Verdana" w:hAnsi="Verdana" w:cs="Arial"/>
          <w:sz w:val="20"/>
          <w:szCs w:val="20"/>
          <w:lang w:val="es-CL"/>
        </w:rPr>
        <w:t xml:space="preserve">punto resolutivo </w:t>
      </w:r>
      <w:r w:rsidR="0066229C">
        <w:rPr>
          <w:rFonts w:ascii="Verdana" w:hAnsi="Verdana" w:cs="Arial"/>
          <w:sz w:val="20"/>
          <w:szCs w:val="20"/>
          <w:lang w:val="es-CL"/>
        </w:rPr>
        <w:t>5</w:t>
      </w:r>
      <w:r w:rsidR="00F97CCC">
        <w:rPr>
          <w:rFonts w:ascii="Verdana" w:hAnsi="Verdana" w:cs="Arial"/>
          <w:sz w:val="20"/>
          <w:szCs w:val="20"/>
          <w:lang w:val="es-CL"/>
        </w:rPr>
        <w:t>)</w:t>
      </w:r>
      <w:r w:rsidR="00517995">
        <w:rPr>
          <w:rFonts w:ascii="Verdana" w:hAnsi="Verdana" w:cs="Arial"/>
          <w:sz w:val="20"/>
          <w:szCs w:val="20"/>
          <w:lang w:val="es-CL"/>
        </w:rPr>
        <w:t xml:space="preserve">, </w:t>
      </w:r>
      <w:r w:rsidR="00004EAC">
        <w:rPr>
          <w:rFonts w:ascii="Verdana" w:hAnsi="Verdana" w:cs="Arial"/>
          <w:sz w:val="20"/>
          <w:szCs w:val="20"/>
          <w:lang w:val="es-CL"/>
        </w:rPr>
        <w:t xml:space="preserve">procurando que las partes y la Comisión cuenten con suficiente tiempo para la producción y envío de la prueba requerida. </w:t>
      </w:r>
    </w:p>
    <w:p w14:paraId="32D84230" w14:textId="77777777" w:rsidR="0047159F" w:rsidRPr="00BE543D" w:rsidRDefault="0047159F" w:rsidP="005562D7">
      <w:pPr>
        <w:pStyle w:val="Sangradetextonormal"/>
        <w:tabs>
          <w:tab w:val="left" w:pos="0"/>
          <w:tab w:val="left" w:pos="567"/>
        </w:tabs>
        <w:autoSpaceDE w:val="0"/>
        <w:autoSpaceDN w:val="0"/>
        <w:adjustRightInd w:val="0"/>
        <w:spacing w:after="0"/>
        <w:ind w:left="0"/>
        <w:rPr>
          <w:rFonts w:cs="TimesNewRomanPSMT"/>
          <w:sz w:val="24"/>
          <w:lang w:val="es-CR" w:eastAsia="es-CR"/>
        </w:rPr>
      </w:pPr>
    </w:p>
    <w:p w14:paraId="7A1857DF" w14:textId="26DD9475" w:rsidR="00721435" w:rsidRPr="00620FD2" w:rsidRDefault="00004EAC" w:rsidP="005562D7">
      <w:pPr>
        <w:spacing w:after="0"/>
        <w:ind w:left="567"/>
        <w:contextualSpacing/>
        <w:rPr>
          <w:b/>
          <w:i/>
          <w:szCs w:val="20"/>
        </w:rPr>
      </w:pPr>
      <w:r>
        <w:rPr>
          <w:b/>
          <w:i/>
          <w:szCs w:val="20"/>
        </w:rPr>
        <w:t>I</w:t>
      </w:r>
      <w:r w:rsidR="00620FD2" w:rsidRPr="00620FD2">
        <w:rPr>
          <w:b/>
          <w:i/>
          <w:szCs w:val="20"/>
        </w:rPr>
        <w:t>.</w:t>
      </w:r>
      <w:r w:rsidR="00721435" w:rsidRPr="00620FD2">
        <w:rPr>
          <w:b/>
          <w:i/>
          <w:szCs w:val="20"/>
        </w:rPr>
        <w:t xml:space="preserve"> Sobre </w:t>
      </w:r>
      <w:r w:rsidR="00202FF8" w:rsidRPr="00620FD2">
        <w:rPr>
          <w:b/>
          <w:i/>
          <w:szCs w:val="20"/>
        </w:rPr>
        <w:t>el uso</w:t>
      </w:r>
      <w:r w:rsidR="00721435" w:rsidRPr="00620FD2">
        <w:rPr>
          <w:b/>
          <w:i/>
          <w:szCs w:val="20"/>
        </w:rPr>
        <w:t xml:space="preserve"> del Fondo de Asistencia Legal de Víctimas</w:t>
      </w:r>
    </w:p>
    <w:p w14:paraId="515A09B0" w14:textId="77777777" w:rsidR="00FA7D5F" w:rsidRPr="005562D7" w:rsidRDefault="00FA7D5F" w:rsidP="005562D7">
      <w:pPr>
        <w:pStyle w:val="Prrafodelista"/>
        <w:rPr>
          <w:rFonts w:ascii="Verdana" w:hAnsi="Verdana" w:cs="TimesNewRomanPSMT"/>
          <w:sz w:val="20"/>
          <w:szCs w:val="20"/>
          <w:lang w:val="es-CR" w:eastAsia="es-CR"/>
        </w:rPr>
      </w:pPr>
    </w:p>
    <w:p w14:paraId="605242F4" w14:textId="0315CFA1" w:rsidR="00004EAC" w:rsidRPr="00004EAC" w:rsidRDefault="0057538A" w:rsidP="00004EAC">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szCs w:val="20"/>
          <w:lang w:val="es-CR"/>
        </w:rPr>
        <w:t xml:space="preserve">Mediante </w:t>
      </w:r>
      <w:r w:rsidR="00004EAC">
        <w:rPr>
          <w:szCs w:val="20"/>
          <w:lang w:val="es-CR"/>
        </w:rPr>
        <w:t xml:space="preserve">la </w:t>
      </w:r>
      <w:r w:rsidR="00004EAC" w:rsidRPr="00004EAC">
        <w:rPr>
          <w:szCs w:val="20"/>
        </w:rPr>
        <w:t>Resolución de 20 de enero de 2020 de esta Presidencia</w:t>
      </w:r>
      <w:r w:rsidR="00742263">
        <w:rPr>
          <w:szCs w:val="20"/>
        </w:rPr>
        <w:t>,</w:t>
      </w:r>
      <w:r w:rsidR="00004EAC" w:rsidRPr="00004EAC">
        <w:rPr>
          <w:szCs w:val="20"/>
        </w:rPr>
        <w:t xml:space="preserve"> se resolvió</w:t>
      </w:r>
      <w:r w:rsidR="00004EAC">
        <w:rPr>
          <w:szCs w:val="20"/>
        </w:rPr>
        <w:t xml:space="preserve"> </w:t>
      </w:r>
      <w:r w:rsidR="00742263">
        <w:rPr>
          <w:szCs w:val="20"/>
        </w:rPr>
        <w:t xml:space="preserve">declarar </w:t>
      </w:r>
      <w:r w:rsidR="00004EAC">
        <w:rPr>
          <w:szCs w:val="20"/>
        </w:rPr>
        <w:t xml:space="preserve">procedente el uso del </w:t>
      </w:r>
      <w:r w:rsidR="00004EAC" w:rsidRPr="00004EAC">
        <w:rPr>
          <w:szCs w:val="20"/>
        </w:rPr>
        <w:t xml:space="preserve">Fondo de Asistencia Legal de Víctimas, </w:t>
      </w:r>
      <w:r w:rsidR="00004EAC">
        <w:rPr>
          <w:szCs w:val="20"/>
        </w:rPr>
        <w:t xml:space="preserve">indicándose que, </w:t>
      </w:r>
      <w:r w:rsidR="00004EAC" w:rsidRPr="00004EAC">
        <w:rPr>
          <w:szCs w:val="20"/>
        </w:rPr>
        <w:t>por lo tanto, se otorgaría “el apoyo económico necesario […] para la presentación de un máximo de dos declaraciones, ya sea en audiencia o por a[f]</w:t>
      </w:r>
      <w:proofErr w:type="spellStart"/>
      <w:r w:rsidR="00004EAC" w:rsidRPr="00004EAC">
        <w:rPr>
          <w:szCs w:val="20"/>
        </w:rPr>
        <w:t>fidávit</w:t>
      </w:r>
      <w:proofErr w:type="spellEnd"/>
      <w:r w:rsidR="00004EAC">
        <w:rPr>
          <w:szCs w:val="20"/>
        </w:rPr>
        <w:t>” (</w:t>
      </w:r>
      <w:r w:rsidR="00004EAC">
        <w:rPr>
          <w:i/>
          <w:szCs w:val="20"/>
        </w:rPr>
        <w:t xml:space="preserve">supra </w:t>
      </w:r>
      <w:r w:rsidR="00004EAC">
        <w:rPr>
          <w:szCs w:val="20"/>
        </w:rPr>
        <w:t xml:space="preserve">Visto </w:t>
      </w:r>
      <w:r w:rsidR="0066229C">
        <w:rPr>
          <w:szCs w:val="20"/>
        </w:rPr>
        <w:t>3</w:t>
      </w:r>
      <w:r w:rsidR="00004EAC">
        <w:rPr>
          <w:szCs w:val="20"/>
        </w:rPr>
        <w:t>).</w:t>
      </w:r>
      <w:r w:rsidR="00004EAC" w:rsidRPr="00004EAC">
        <w:rPr>
          <w:szCs w:val="20"/>
        </w:rPr>
        <w:t xml:space="preserve"> </w:t>
      </w:r>
    </w:p>
    <w:p w14:paraId="44155C2E" w14:textId="77777777" w:rsidR="00202FF8" w:rsidRPr="005562D7" w:rsidRDefault="00202FF8" w:rsidP="005562D7">
      <w:pPr>
        <w:tabs>
          <w:tab w:val="left" w:pos="567"/>
        </w:tabs>
        <w:autoSpaceDE w:val="0"/>
        <w:autoSpaceDN w:val="0"/>
        <w:adjustRightInd w:val="0"/>
        <w:spacing w:after="0"/>
        <w:rPr>
          <w:rFonts w:eastAsia="Times New Roman" w:cs="Verdana"/>
          <w:color w:val="FF0000"/>
          <w:szCs w:val="20"/>
          <w:lang w:val="es-CL" w:eastAsia="en-US"/>
        </w:rPr>
      </w:pPr>
    </w:p>
    <w:p w14:paraId="3DBD2EB0" w14:textId="039AFE58" w:rsidR="00202FF8" w:rsidRPr="005562D7" w:rsidRDefault="00202FF8"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proofErr w:type="gramStart"/>
      <w:r w:rsidRPr="005562D7">
        <w:rPr>
          <w:szCs w:val="20"/>
        </w:rPr>
        <w:t>En razón de</w:t>
      </w:r>
      <w:proofErr w:type="gramEnd"/>
      <w:r w:rsidRPr="005562D7">
        <w:rPr>
          <w:szCs w:val="20"/>
        </w:rPr>
        <w:t xml:space="preserve"> lo anterior, tomando en cuenta que no se celebrará audiencia pública en el presente caso</w:t>
      </w:r>
      <w:r w:rsidR="0038551C">
        <w:rPr>
          <w:szCs w:val="20"/>
        </w:rPr>
        <w:t xml:space="preserve"> (</w:t>
      </w:r>
      <w:r w:rsidR="0038551C">
        <w:rPr>
          <w:i/>
          <w:szCs w:val="20"/>
        </w:rPr>
        <w:t xml:space="preserve">supra </w:t>
      </w:r>
      <w:r w:rsidR="0038551C">
        <w:rPr>
          <w:szCs w:val="20"/>
        </w:rPr>
        <w:t xml:space="preserve">Considerando </w:t>
      </w:r>
      <w:r w:rsidR="0066229C">
        <w:rPr>
          <w:szCs w:val="20"/>
        </w:rPr>
        <w:t>12</w:t>
      </w:r>
      <w:r w:rsidR="0038551C">
        <w:rPr>
          <w:szCs w:val="20"/>
        </w:rPr>
        <w:t>)</w:t>
      </w:r>
      <w:r w:rsidRPr="005562D7">
        <w:rPr>
          <w:szCs w:val="20"/>
        </w:rPr>
        <w:t>, la Presidencia dispone que la asistencia económica se</w:t>
      </w:r>
      <w:r w:rsidR="001C287E">
        <w:rPr>
          <w:szCs w:val="20"/>
        </w:rPr>
        <w:t>a</w:t>
      </w:r>
      <w:r w:rsidRPr="005562D7">
        <w:rPr>
          <w:szCs w:val="20"/>
        </w:rPr>
        <w:t xml:space="preserve"> asignada para cubrir los gastos razonables de formulación y envío de </w:t>
      </w:r>
      <w:r w:rsidR="00004EAC">
        <w:rPr>
          <w:szCs w:val="20"/>
        </w:rPr>
        <w:t xml:space="preserve">dos declaraciones </w:t>
      </w:r>
      <w:r w:rsidRPr="005562D7">
        <w:rPr>
          <w:szCs w:val="20"/>
        </w:rPr>
        <w:t xml:space="preserve">por </w:t>
      </w:r>
      <w:r w:rsidR="00004EAC">
        <w:rPr>
          <w:i/>
          <w:szCs w:val="20"/>
        </w:rPr>
        <w:t xml:space="preserve">affidávit </w:t>
      </w:r>
      <w:r w:rsidR="00004EAC">
        <w:t>que indiquen los representantes. A tal efecto, los representantes deberán remitir al Tribunal tanto la justificación de tales gastos como sus comprobantes a más tardar con la presentación de los alegatos finales escritos, siendo esa la última oportunidad procesal para hacerlo</w:t>
      </w:r>
      <w:r w:rsidR="006A4631" w:rsidRPr="005562D7">
        <w:rPr>
          <w:szCs w:val="20"/>
        </w:rPr>
        <w:t>.</w:t>
      </w:r>
    </w:p>
    <w:p w14:paraId="2CF0D6FC" w14:textId="77777777" w:rsidR="006A4631" w:rsidRPr="005562D7" w:rsidRDefault="006A4631" w:rsidP="005562D7">
      <w:pPr>
        <w:pStyle w:val="Prrafodelista"/>
        <w:rPr>
          <w:rFonts w:ascii="Verdana" w:eastAsia="Times New Roman" w:hAnsi="Verdana" w:cs="Verdana"/>
          <w:color w:val="FF0000"/>
          <w:sz w:val="20"/>
          <w:szCs w:val="20"/>
          <w:lang w:val="es-CL" w:eastAsia="en-US"/>
        </w:rPr>
      </w:pPr>
    </w:p>
    <w:p w14:paraId="03CA151C" w14:textId="27C57916" w:rsidR="006A4631" w:rsidRPr="005562D7" w:rsidRDefault="006A4631"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rFonts w:eastAsia="Times New Roman" w:cs="Verdana"/>
          <w:szCs w:val="20"/>
          <w:lang w:val="es-CL" w:eastAsia="en-US"/>
        </w:rPr>
        <w:t xml:space="preserve">De conformidad con </w:t>
      </w:r>
      <w:r w:rsidR="00202FF8" w:rsidRPr="005562D7">
        <w:rPr>
          <w:szCs w:val="20"/>
        </w:rPr>
        <w:t xml:space="preserve">lo </w:t>
      </w:r>
      <w:r w:rsidRPr="005562D7">
        <w:rPr>
          <w:szCs w:val="20"/>
        </w:rPr>
        <w:t>previsto en</w:t>
      </w:r>
      <w:r w:rsidR="00202FF8" w:rsidRPr="005562D7">
        <w:rPr>
          <w:szCs w:val="20"/>
        </w:rPr>
        <w:t xml:space="preserve"> el artículo 4 del Reglamento de la Corte sobre el </w:t>
      </w:r>
      <w:r w:rsidRPr="005562D7">
        <w:rPr>
          <w:szCs w:val="20"/>
        </w:rPr>
        <w:t>Funcionamiento</w:t>
      </w:r>
      <w:r w:rsidR="00202FF8" w:rsidRPr="005562D7">
        <w:rPr>
          <w:szCs w:val="20"/>
        </w:rPr>
        <w:t xml:space="preserve"> del Fondo, se dispone que la Secretaría abra un expediente de gastos a los fines de llevar la contabilidad</w:t>
      </w:r>
      <w:r w:rsidR="001B3CAA">
        <w:rPr>
          <w:szCs w:val="20"/>
        </w:rPr>
        <w:t>,</w:t>
      </w:r>
      <w:r w:rsidR="00202FF8" w:rsidRPr="005562D7">
        <w:rPr>
          <w:szCs w:val="20"/>
        </w:rPr>
        <w:t xml:space="preserve"> en el cual se documentará cada una de las erogaciones que se realice con el referido Fondo.</w:t>
      </w:r>
    </w:p>
    <w:p w14:paraId="7A989601" w14:textId="77777777" w:rsidR="006A4631" w:rsidRPr="004D6F51" w:rsidRDefault="006A4631" w:rsidP="005562D7">
      <w:pPr>
        <w:pStyle w:val="Prrafodelista"/>
        <w:rPr>
          <w:rFonts w:ascii="Verdana" w:hAnsi="Verdana"/>
          <w:sz w:val="20"/>
          <w:szCs w:val="20"/>
          <w:lang w:val="es-AR"/>
        </w:rPr>
      </w:pPr>
    </w:p>
    <w:p w14:paraId="510F3037" w14:textId="3BE35FE5" w:rsidR="00202FF8" w:rsidRPr="005562D7" w:rsidRDefault="006A4631" w:rsidP="0037549F">
      <w:pPr>
        <w:numPr>
          <w:ilvl w:val="0"/>
          <w:numId w:val="42"/>
        </w:numPr>
        <w:tabs>
          <w:tab w:val="left" w:pos="567"/>
        </w:tabs>
        <w:autoSpaceDE w:val="0"/>
        <w:autoSpaceDN w:val="0"/>
        <w:adjustRightInd w:val="0"/>
        <w:spacing w:after="0"/>
        <w:ind w:left="0" w:firstLine="0"/>
        <w:rPr>
          <w:rFonts w:eastAsia="Times New Roman" w:cs="Verdana"/>
          <w:color w:val="FF0000"/>
          <w:szCs w:val="20"/>
          <w:lang w:val="es-CL" w:eastAsia="en-US"/>
        </w:rPr>
      </w:pPr>
      <w:r w:rsidRPr="005562D7">
        <w:rPr>
          <w:szCs w:val="20"/>
        </w:rPr>
        <w:t xml:space="preserve">Por último, la Presidencia recuerda que, según el artículo 5 del Reglamento </w:t>
      </w:r>
      <w:r w:rsidR="001B3CAA">
        <w:rPr>
          <w:szCs w:val="20"/>
        </w:rPr>
        <w:t>de la Cor</w:t>
      </w:r>
      <w:r w:rsidR="007250FB">
        <w:rPr>
          <w:szCs w:val="20"/>
        </w:rPr>
        <w:t>t</w:t>
      </w:r>
      <w:r w:rsidR="001B3CAA">
        <w:rPr>
          <w:szCs w:val="20"/>
        </w:rPr>
        <w:t xml:space="preserve">e sobre </w:t>
      </w:r>
      <w:r w:rsidRPr="005562D7">
        <w:rPr>
          <w:szCs w:val="20"/>
        </w:rPr>
        <w:t>el</w:t>
      </w:r>
      <w:r w:rsidR="001B3CAA">
        <w:rPr>
          <w:szCs w:val="20"/>
        </w:rPr>
        <w:t xml:space="preserve"> Funcionamiento del</w:t>
      </w:r>
      <w:r w:rsidRPr="005562D7">
        <w:rPr>
          <w:szCs w:val="20"/>
        </w:rPr>
        <w:t xml:space="preserve"> Fondo, se informará oportunamente al Estado las erogaciones realizadas en aplicación del Fondo de Asistencia Legal de Víctimas, para que presente sus observaciones, si así lo estimare conveniente, dentro del plazo que se establezca al efecto.</w:t>
      </w:r>
    </w:p>
    <w:p w14:paraId="412EA7BB" w14:textId="77777777" w:rsidR="000F06CF" w:rsidRDefault="000F06CF" w:rsidP="000F06CF">
      <w:pPr>
        <w:autoSpaceDE w:val="0"/>
        <w:autoSpaceDN w:val="0"/>
        <w:adjustRightInd w:val="0"/>
        <w:spacing w:after="0"/>
        <w:rPr>
          <w:rFonts w:cs="Verdana"/>
          <w:b/>
          <w:bCs/>
          <w:szCs w:val="20"/>
        </w:rPr>
      </w:pPr>
    </w:p>
    <w:p w14:paraId="4E46D210" w14:textId="77777777" w:rsidR="0038551C" w:rsidRPr="005562D7" w:rsidRDefault="0038551C" w:rsidP="000F06CF">
      <w:pPr>
        <w:autoSpaceDE w:val="0"/>
        <w:autoSpaceDN w:val="0"/>
        <w:adjustRightInd w:val="0"/>
        <w:spacing w:after="0"/>
        <w:rPr>
          <w:rFonts w:cs="Verdana"/>
          <w:b/>
          <w:bCs/>
          <w:szCs w:val="20"/>
        </w:rPr>
      </w:pPr>
    </w:p>
    <w:p w14:paraId="35E59A6F" w14:textId="77777777" w:rsidR="000F06CF" w:rsidRPr="005562D7" w:rsidRDefault="000F06CF" w:rsidP="000F0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5562D7">
        <w:rPr>
          <w:rFonts w:cs="Verdana"/>
          <w:b/>
          <w:bCs/>
          <w:szCs w:val="20"/>
          <w:lang w:bidi="en-US"/>
        </w:rPr>
        <w:t>POR TANTO:</w:t>
      </w:r>
    </w:p>
    <w:p w14:paraId="44626493" w14:textId="77777777" w:rsidR="000F06CF" w:rsidRPr="005562D7" w:rsidRDefault="000F06CF" w:rsidP="000F0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14:paraId="0DB9237D" w14:textId="77777777" w:rsidR="000F06CF" w:rsidRPr="005562D7" w:rsidRDefault="000F06CF" w:rsidP="000F06CF">
      <w:pPr>
        <w:spacing w:after="0"/>
        <w:rPr>
          <w:rFonts w:eastAsia="Times New Roman"/>
          <w:szCs w:val="20"/>
          <w:lang w:val="es-CR"/>
        </w:rPr>
      </w:pPr>
      <w:r w:rsidRPr="005562D7">
        <w:rPr>
          <w:rFonts w:eastAsia="Times New Roman"/>
          <w:b/>
          <w:bCs/>
          <w:color w:val="000000"/>
          <w:szCs w:val="20"/>
          <w:lang w:val="es-CR"/>
        </w:rPr>
        <w:t xml:space="preserve">LA PRESIDENTA DE LA CORTE INTERAMERICANA DE DERECHOS HUMANOS, </w:t>
      </w:r>
    </w:p>
    <w:p w14:paraId="12931BD9" w14:textId="77777777" w:rsidR="000F06CF" w:rsidRPr="005562D7" w:rsidRDefault="000F06CF" w:rsidP="000F06CF">
      <w:pPr>
        <w:spacing w:after="0"/>
        <w:ind w:left="360"/>
        <w:rPr>
          <w:rFonts w:eastAsia="Times New Roman"/>
          <w:szCs w:val="20"/>
          <w:lang w:val="es-CR"/>
        </w:rPr>
      </w:pPr>
    </w:p>
    <w:p w14:paraId="30A01878" w14:textId="1DF6909F" w:rsidR="000F06CF" w:rsidRPr="005562D7" w:rsidRDefault="000F06CF" w:rsidP="000F06CF">
      <w:pPr>
        <w:spacing w:after="0"/>
        <w:rPr>
          <w:rFonts w:eastAsia="Times New Roman"/>
          <w:color w:val="000000"/>
          <w:szCs w:val="20"/>
          <w:lang w:val="es-CR"/>
        </w:rPr>
      </w:pPr>
      <w:r w:rsidRPr="005562D7">
        <w:rPr>
          <w:rFonts w:eastAsia="Times New Roman"/>
          <w:color w:val="000000"/>
          <w:szCs w:val="20"/>
          <w:lang w:val="es-CR"/>
        </w:rPr>
        <w:t>de conformidad con los artículos 24.1 y 25.2 del Estatuto de la Corte</w:t>
      </w:r>
      <w:r w:rsidR="00E377B2">
        <w:rPr>
          <w:rFonts w:eastAsia="Times New Roman"/>
          <w:color w:val="000000"/>
          <w:szCs w:val="20"/>
          <w:lang w:val="es-CR"/>
        </w:rPr>
        <w:t xml:space="preserve"> Interamericana de Derechos Humanos</w:t>
      </w:r>
      <w:r w:rsidRPr="005562D7">
        <w:rPr>
          <w:rFonts w:eastAsia="Times New Roman"/>
          <w:color w:val="000000"/>
          <w:szCs w:val="20"/>
          <w:lang w:val="es-CR"/>
        </w:rPr>
        <w:t>, y los artículos 4, 15.1, 26.1, 31.2, 35.1, 40.2, 41.1, 45, 46 a 48, 50 a 56 y 60 del Reglamento</w:t>
      </w:r>
      <w:r w:rsidR="00E377B2">
        <w:rPr>
          <w:rFonts w:eastAsia="Times New Roman"/>
          <w:color w:val="000000"/>
          <w:szCs w:val="20"/>
          <w:lang w:val="es-CR"/>
        </w:rPr>
        <w:t xml:space="preserve"> de la Corte Interamericana de Derechos Humanos</w:t>
      </w:r>
      <w:r w:rsidRPr="005562D7">
        <w:rPr>
          <w:rFonts w:eastAsia="Times New Roman"/>
          <w:color w:val="000000"/>
          <w:szCs w:val="20"/>
          <w:lang w:val="es-CR"/>
        </w:rPr>
        <w:t>,</w:t>
      </w:r>
    </w:p>
    <w:p w14:paraId="08D775C2" w14:textId="77777777" w:rsidR="000F06CF" w:rsidRPr="005562D7" w:rsidRDefault="000F06CF" w:rsidP="000F06CF">
      <w:pPr>
        <w:spacing w:after="0"/>
        <w:rPr>
          <w:rFonts w:eastAsia="Times New Roman"/>
          <w:szCs w:val="20"/>
          <w:lang w:val="es-CR"/>
        </w:rPr>
      </w:pPr>
    </w:p>
    <w:p w14:paraId="4CCD55DD" w14:textId="77777777" w:rsidR="000F06CF" w:rsidRPr="005562D7" w:rsidRDefault="000F06CF" w:rsidP="000F06CF">
      <w:pPr>
        <w:spacing w:after="0"/>
        <w:rPr>
          <w:rFonts w:eastAsia="Times New Roman"/>
          <w:b/>
          <w:bCs/>
          <w:color w:val="000000"/>
          <w:szCs w:val="20"/>
          <w:lang w:val="es-CR"/>
        </w:rPr>
      </w:pPr>
      <w:r w:rsidRPr="005562D7">
        <w:rPr>
          <w:rFonts w:eastAsia="Times New Roman"/>
          <w:b/>
          <w:bCs/>
          <w:color w:val="000000"/>
          <w:szCs w:val="20"/>
          <w:lang w:val="es-CR"/>
        </w:rPr>
        <w:t>RESUELVE:</w:t>
      </w:r>
    </w:p>
    <w:p w14:paraId="7C63D693" w14:textId="77777777" w:rsidR="000F06CF" w:rsidRPr="005562D7" w:rsidRDefault="000F06CF" w:rsidP="000F06CF">
      <w:pPr>
        <w:tabs>
          <w:tab w:val="left" w:pos="567"/>
        </w:tabs>
        <w:spacing w:after="0"/>
        <w:rPr>
          <w:b/>
          <w:szCs w:val="20"/>
        </w:rPr>
      </w:pPr>
    </w:p>
    <w:p w14:paraId="1D2BB6B2" w14:textId="2AFF2B01" w:rsidR="000F06CF" w:rsidRDefault="000F06CF" w:rsidP="000F06CF">
      <w:pPr>
        <w:pStyle w:val="Prrafodelista"/>
        <w:numPr>
          <w:ilvl w:val="0"/>
          <w:numId w:val="40"/>
        </w:numPr>
        <w:tabs>
          <w:tab w:val="left" w:pos="567"/>
        </w:tabs>
        <w:ind w:left="0" w:firstLine="0"/>
        <w:contextualSpacing/>
        <w:jc w:val="both"/>
        <w:rPr>
          <w:rFonts w:ascii="Verdana" w:hAnsi="Verdana"/>
          <w:sz w:val="20"/>
          <w:szCs w:val="20"/>
          <w:lang w:val="es-CR"/>
        </w:rPr>
      </w:pPr>
      <w:r w:rsidRPr="0092541C">
        <w:rPr>
          <w:rFonts w:ascii="Verdana" w:hAnsi="Verdana"/>
          <w:sz w:val="20"/>
          <w:szCs w:val="20"/>
          <w:lang w:val="es-ES_tradnl"/>
        </w:rPr>
        <w:t xml:space="preserve">Requerir, de acuerdo con las facultades que otorga el artículo 58 del Reglamento, que </w:t>
      </w:r>
      <w:r>
        <w:rPr>
          <w:rFonts w:ascii="Verdana" w:hAnsi="Verdana"/>
          <w:sz w:val="20"/>
          <w:szCs w:val="20"/>
          <w:lang w:val="es-ES_tradnl"/>
        </w:rPr>
        <w:t>las dos presuntas víctimas que se indican a continuación</w:t>
      </w:r>
      <w:r w:rsidRPr="0092541C">
        <w:rPr>
          <w:rFonts w:ascii="Verdana" w:hAnsi="Verdana"/>
          <w:sz w:val="20"/>
          <w:lang w:val="es-CR"/>
        </w:rPr>
        <w:t xml:space="preserve"> rindan declaración oral, ante el Pleno de la Corte Interamericana, por medio de una videoconferencia, que tendrá lugar </w:t>
      </w:r>
      <w:r w:rsidRPr="00F840AB">
        <w:rPr>
          <w:rFonts w:ascii="Verdana" w:hAnsi="Verdana"/>
          <w:sz w:val="20"/>
          <w:lang w:val="es-CR"/>
        </w:rPr>
        <w:t xml:space="preserve">el </w:t>
      </w:r>
      <w:r w:rsidR="00F840AB" w:rsidRPr="00F840AB">
        <w:rPr>
          <w:rFonts w:ascii="Verdana" w:hAnsi="Verdana"/>
          <w:sz w:val="20"/>
          <w:lang w:val="es-CR"/>
        </w:rPr>
        <w:t xml:space="preserve">26 </w:t>
      </w:r>
      <w:r w:rsidRPr="00F840AB">
        <w:rPr>
          <w:rFonts w:ascii="Verdana" w:hAnsi="Verdana"/>
          <w:sz w:val="20"/>
          <w:lang w:val="es-CR"/>
        </w:rPr>
        <w:t xml:space="preserve">de </w:t>
      </w:r>
      <w:r w:rsidR="00F840AB" w:rsidRPr="00F840AB">
        <w:rPr>
          <w:rFonts w:ascii="Verdana" w:hAnsi="Verdana"/>
          <w:sz w:val="20"/>
          <w:lang w:val="es-CR"/>
        </w:rPr>
        <w:t>enero de 2021</w:t>
      </w:r>
      <w:r w:rsidRPr="00F840AB">
        <w:rPr>
          <w:rFonts w:ascii="Verdana" w:hAnsi="Verdana"/>
          <w:sz w:val="20"/>
          <w:lang w:val="es-CR"/>
        </w:rPr>
        <w:t>,</w:t>
      </w:r>
      <w:r w:rsidRPr="0092541C">
        <w:rPr>
          <w:rFonts w:ascii="Verdana" w:hAnsi="Verdana"/>
          <w:sz w:val="20"/>
          <w:lang w:val="es-CR"/>
        </w:rPr>
        <w:t xml:space="preserve"> </w:t>
      </w:r>
      <w:r w:rsidRPr="0092541C">
        <w:rPr>
          <w:rFonts w:ascii="Verdana" w:hAnsi="Verdana"/>
          <w:sz w:val="20"/>
          <w:szCs w:val="20"/>
          <w:lang w:val="es-CR"/>
        </w:rPr>
        <w:t>en la que participarán también sus representantes, el Estado y la Comisión Interamericana de Derechos Humanos, y cuya</w:t>
      </w:r>
      <w:r>
        <w:rPr>
          <w:rFonts w:ascii="Verdana" w:hAnsi="Verdana"/>
          <w:sz w:val="20"/>
          <w:szCs w:val="20"/>
          <w:lang w:val="es-CR"/>
        </w:rPr>
        <w:t xml:space="preserve"> </w:t>
      </w:r>
      <w:r w:rsidRPr="0092541C">
        <w:rPr>
          <w:rFonts w:ascii="Verdana" w:hAnsi="Verdana"/>
          <w:sz w:val="20"/>
          <w:szCs w:val="20"/>
          <w:lang w:val="es-CR"/>
        </w:rPr>
        <w:t>modalidad específica será señalada por medio de comunicaciones de</w:t>
      </w:r>
      <w:r>
        <w:rPr>
          <w:rFonts w:ascii="Verdana" w:hAnsi="Verdana"/>
          <w:sz w:val="20"/>
          <w:szCs w:val="20"/>
          <w:lang w:val="es-CR"/>
        </w:rPr>
        <w:t xml:space="preserve"> la Secretaría de la Corte: </w:t>
      </w:r>
    </w:p>
    <w:p w14:paraId="310C96B8" w14:textId="77777777" w:rsidR="000F06CF" w:rsidRPr="0092541C" w:rsidRDefault="000F06CF" w:rsidP="000F06CF">
      <w:pPr>
        <w:pStyle w:val="Prrafodelista"/>
        <w:tabs>
          <w:tab w:val="left" w:pos="567"/>
        </w:tabs>
        <w:ind w:left="0"/>
        <w:contextualSpacing/>
        <w:jc w:val="both"/>
        <w:rPr>
          <w:rFonts w:ascii="Verdana" w:hAnsi="Verdana"/>
          <w:sz w:val="20"/>
          <w:szCs w:val="20"/>
          <w:lang w:val="es-CR"/>
        </w:rPr>
      </w:pPr>
    </w:p>
    <w:p w14:paraId="4AFED255" w14:textId="7228589E" w:rsidR="000F06CF" w:rsidRDefault="000F06CF" w:rsidP="000F06CF">
      <w:pPr>
        <w:pStyle w:val="Prrafodelista"/>
        <w:tabs>
          <w:tab w:val="left" w:pos="567"/>
        </w:tabs>
        <w:ind w:left="284"/>
        <w:contextualSpacing/>
        <w:jc w:val="both"/>
        <w:rPr>
          <w:rFonts w:ascii="Verdana" w:hAnsi="Verdana"/>
          <w:sz w:val="20"/>
          <w:szCs w:val="20"/>
          <w:lang w:val="es-CR"/>
        </w:rPr>
      </w:pPr>
      <w:r>
        <w:rPr>
          <w:rFonts w:ascii="Verdana" w:hAnsi="Verdana"/>
          <w:sz w:val="20"/>
          <w:szCs w:val="20"/>
          <w:lang w:val="es-CR"/>
        </w:rPr>
        <w:t xml:space="preserve">1.- </w:t>
      </w:r>
      <w:r w:rsidRPr="0092541C">
        <w:rPr>
          <w:rFonts w:ascii="Verdana" w:hAnsi="Verdana"/>
          <w:i/>
          <w:sz w:val="20"/>
          <w:szCs w:val="20"/>
          <w:lang w:val="es-CR"/>
        </w:rPr>
        <w:t>J</w:t>
      </w:r>
      <w:r w:rsidR="005A354F">
        <w:rPr>
          <w:rFonts w:ascii="Verdana" w:hAnsi="Verdana"/>
          <w:i/>
          <w:sz w:val="20"/>
          <w:szCs w:val="20"/>
          <w:lang w:val="es-CR"/>
        </w:rPr>
        <w:t>ea</w:t>
      </w:r>
      <w:r w:rsidRPr="0092541C">
        <w:rPr>
          <w:rFonts w:ascii="Verdana" w:hAnsi="Verdana"/>
          <w:i/>
          <w:sz w:val="20"/>
          <w:szCs w:val="20"/>
          <w:lang w:val="es-CR"/>
        </w:rPr>
        <w:t>n Carlos Guerrero</w:t>
      </w:r>
      <w:r>
        <w:rPr>
          <w:rFonts w:ascii="Verdana" w:hAnsi="Verdana"/>
          <w:sz w:val="20"/>
          <w:szCs w:val="20"/>
          <w:lang w:val="es-CR"/>
        </w:rPr>
        <w:t>, hermano de</w:t>
      </w:r>
      <w:r w:rsidR="00676695">
        <w:rPr>
          <w:rFonts w:ascii="Verdana" w:hAnsi="Verdana"/>
          <w:sz w:val="20"/>
          <w:szCs w:val="20"/>
          <w:lang w:val="es-CR"/>
        </w:rPr>
        <w:t>l señor</w:t>
      </w:r>
      <w:r>
        <w:rPr>
          <w:rFonts w:ascii="Verdana" w:hAnsi="Verdana"/>
          <w:sz w:val="20"/>
          <w:szCs w:val="20"/>
          <w:lang w:val="es-CR"/>
        </w:rPr>
        <w:t xml:space="preserve"> Jimmy Guerrero,</w:t>
      </w:r>
      <w:r w:rsidRPr="0092541C">
        <w:rPr>
          <w:rFonts w:ascii="Verdana" w:hAnsi="Verdana"/>
          <w:sz w:val="20"/>
          <w:szCs w:val="20"/>
          <w:lang w:val="es-CR"/>
        </w:rPr>
        <w:t xml:space="preserve"> </w:t>
      </w:r>
      <w:r>
        <w:rPr>
          <w:rFonts w:ascii="Verdana" w:hAnsi="Verdana"/>
          <w:sz w:val="20"/>
          <w:szCs w:val="20"/>
          <w:lang w:val="es-CR"/>
        </w:rPr>
        <w:t xml:space="preserve">quien </w:t>
      </w:r>
      <w:r w:rsidRPr="0092541C">
        <w:rPr>
          <w:rFonts w:ascii="Verdana" w:hAnsi="Verdana"/>
          <w:sz w:val="20"/>
          <w:szCs w:val="20"/>
          <w:lang w:val="es-CR"/>
        </w:rPr>
        <w:t>declarará sobre: i) las presuntas amenazas, hostigamiento y detenciones a</w:t>
      </w:r>
      <w:r w:rsidR="00676695">
        <w:rPr>
          <w:rFonts w:ascii="Verdana" w:hAnsi="Verdana"/>
          <w:sz w:val="20"/>
          <w:szCs w:val="20"/>
          <w:lang w:val="es-CR"/>
        </w:rPr>
        <w:t>l señor</w:t>
      </w:r>
      <w:r w:rsidRPr="0092541C">
        <w:rPr>
          <w:rFonts w:ascii="Verdana" w:hAnsi="Verdana"/>
          <w:sz w:val="20"/>
          <w:szCs w:val="20"/>
          <w:lang w:val="es-CR"/>
        </w:rPr>
        <w:t xml:space="preserve"> Jimmy Guerrero; </w:t>
      </w:r>
      <w:proofErr w:type="spellStart"/>
      <w:r w:rsidRPr="0092541C">
        <w:rPr>
          <w:rFonts w:ascii="Verdana" w:hAnsi="Verdana"/>
          <w:sz w:val="20"/>
          <w:szCs w:val="20"/>
          <w:lang w:val="es-CR"/>
        </w:rPr>
        <w:t>ii</w:t>
      </w:r>
      <w:proofErr w:type="spellEnd"/>
      <w:r w:rsidRPr="0092541C">
        <w:rPr>
          <w:rFonts w:ascii="Verdana" w:hAnsi="Verdana"/>
          <w:sz w:val="20"/>
          <w:szCs w:val="20"/>
          <w:lang w:val="es-CR"/>
        </w:rPr>
        <w:t xml:space="preserve">) los alegados hechos en los que se dio muerte a </w:t>
      </w:r>
      <w:r w:rsidR="00676695">
        <w:rPr>
          <w:rFonts w:ascii="Verdana" w:hAnsi="Verdana"/>
          <w:sz w:val="20"/>
          <w:szCs w:val="20"/>
          <w:lang w:val="es-CR"/>
        </w:rPr>
        <w:t xml:space="preserve">los señores </w:t>
      </w:r>
      <w:r w:rsidRPr="0092541C">
        <w:rPr>
          <w:rFonts w:ascii="Verdana" w:hAnsi="Verdana"/>
          <w:sz w:val="20"/>
          <w:szCs w:val="20"/>
          <w:lang w:val="es-CR"/>
        </w:rPr>
        <w:t xml:space="preserve">Jimmy Guerrero y Ramón Molina; </w:t>
      </w:r>
      <w:proofErr w:type="spellStart"/>
      <w:r w:rsidRPr="0092541C">
        <w:rPr>
          <w:rFonts w:ascii="Verdana" w:hAnsi="Verdana"/>
          <w:sz w:val="20"/>
          <w:szCs w:val="20"/>
          <w:lang w:val="es-CR"/>
        </w:rPr>
        <w:t>iii</w:t>
      </w:r>
      <w:proofErr w:type="spellEnd"/>
      <w:r w:rsidRPr="0092541C">
        <w:rPr>
          <w:rFonts w:ascii="Verdana" w:hAnsi="Verdana"/>
          <w:sz w:val="20"/>
          <w:szCs w:val="20"/>
          <w:lang w:val="es-CR"/>
        </w:rPr>
        <w:t>) las supuestas gestiones realizadas por el declarante y sus familiares para la búsqueda de justicia</w:t>
      </w:r>
      <w:r>
        <w:rPr>
          <w:rFonts w:ascii="Verdana" w:hAnsi="Verdana"/>
          <w:sz w:val="20"/>
          <w:szCs w:val="20"/>
          <w:lang w:val="es-CR"/>
        </w:rPr>
        <w:t>,</w:t>
      </w:r>
      <w:r w:rsidRPr="0092541C">
        <w:rPr>
          <w:rFonts w:ascii="Verdana" w:hAnsi="Verdana"/>
          <w:sz w:val="20"/>
          <w:szCs w:val="20"/>
          <w:lang w:val="es-CR"/>
        </w:rPr>
        <w:t xml:space="preserve"> y la impunidad en la que hasta la fecha se mantendrían los hechos; </w:t>
      </w:r>
      <w:proofErr w:type="spellStart"/>
      <w:r w:rsidRPr="0092541C">
        <w:rPr>
          <w:rFonts w:ascii="Verdana" w:hAnsi="Verdana"/>
          <w:sz w:val="20"/>
          <w:szCs w:val="20"/>
          <w:lang w:val="es-CR"/>
        </w:rPr>
        <w:t>iv</w:t>
      </w:r>
      <w:proofErr w:type="spellEnd"/>
      <w:r w:rsidRPr="0092541C">
        <w:rPr>
          <w:rFonts w:ascii="Verdana" w:hAnsi="Verdana"/>
          <w:sz w:val="20"/>
          <w:szCs w:val="20"/>
          <w:lang w:val="es-CR"/>
        </w:rPr>
        <w:t xml:space="preserve">) las supuestas amenazas por parte de policías que habrían obligado al declarante a abandonar Venezuela; v) las secuelas emocionales y físicas que habría sufrido como consecuencia de los hechos y la impunidad en la que permanecerían y las afectaciones que </w:t>
      </w:r>
      <w:r>
        <w:rPr>
          <w:rFonts w:ascii="Verdana" w:hAnsi="Verdana"/>
          <w:sz w:val="20"/>
          <w:szCs w:val="20"/>
          <w:lang w:val="es-CR"/>
        </w:rPr>
        <w:t xml:space="preserve">los mismos </w:t>
      </w:r>
      <w:r w:rsidRPr="0092541C">
        <w:rPr>
          <w:rFonts w:ascii="Verdana" w:hAnsi="Verdana"/>
          <w:sz w:val="20"/>
          <w:szCs w:val="20"/>
          <w:lang w:val="es-CR"/>
        </w:rPr>
        <w:t>habría</w:t>
      </w:r>
      <w:r>
        <w:rPr>
          <w:rFonts w:ascii="Verdana" w:hAnsi="Verdana"/>
          <w:sz w:val="20"/>
          <w:szCs w:val="20"/>
          <w:lang w:val="es-CR"/>
        </w:rPr>
        <w:t>n</w:t>
      </w:r>
      <w:r w:rsidRPr="0092541C">
        <w:rPr>
          <w:rFonts w:ascii="Verdana" w:hAnsi="Verdana"/>
          <w:sz w:val="20"/>
          <w:szCs w:val="20"/>
          <w:lang w:val="es-CR"/>
        </w:rPr>
        <w:t xml:space="preserve"> tenido en su proyecto de vida y el de su familia, y vi) </w:t>
      </w:r>
      <w:r w:rsidR="0038551C">
        <w:rPr>
          <w:rFonts w:ascii="Verdana" w:hAnsi="Verdana"/>
          <w:sz w:val="20"/>
          <w:szCs w:val="20"/>
          <w:lang w:val="es-CR"/>
        </w:rPr>
        <w:t xml:space="preserve">las </w:t>
      </w:r>
      <w:r w:rsidRPr="0092541C">
        <w:rPr>
          <w:rFonts w:ascii="Verdana" w:hAnsi="Verdana"/>
          <w:sz w:val="20"/>
          <w:szCs w:val="20"/>
          <w:lang w:val="es-CR"/>
        </w:rPr>
        <w:t>posibles medidas de reparación que consideraría apropiadas.</w:t>
      </w:r>
    </w:p>
    <w:p w14:paraId="2CD7D747" w14:textId="77777777" w:rsidR="000F06CF" w:rsidRDefault="000F06CF" w:rsidP="000F06CF">
      <w:pPr>
        <w:pStyle w:val="Prrafodelista"/>
        <w:tabs>
          <w:tab w:val="left" w:pos="567"/>
        </w:tabs>
        <w:ind w:left="284"/>
        <w:contextualSpacing/>
        <w:jc w:val="both"/>
        <w:rPr>
          <w:rFonts w:ascii="Verdana" w:hAnsi="Verdana"/>
          <w:sz w:val="20"/>
          <w:szCs w:val="20"/>
          <w:lang w:val="es-CR"/>
        </w:rPr>
      </w:pPr>
    </w:p>
    <w:p w14:paraId="6F6A94CF" w14:textId="52494C2F" w:rsidR="000F06CF" w:rsidRPr="0092541C" w:rsidRDefault="000F06CF" w:rsidP="000F06CF">
      <w:pPr>
        <w:pStyle w:val="Prrafodelista"/>
        <w:tabs>
          <w:tab w:val="left" w:pos="567"/>
        </w:tabs>
        <w:ind w:left="284"/>
        <w:contextualSpacing/>
        <w:jc w:val="both"/>
        <w:rPr>
          <w:rFonts w:ascii="Verdana" w:hAnsi="Verdana"/>
          <w:color w:val="auto"/>
          <w:sz w:val="20"/>
          <w:szCs w:val="20"/>
          <w:lang w:val="es-CR"/>
        </w:rPr>
      </w:pPr>
      <w:r>
        <w:rPr>
          <w:rFonts w:ascii="Verdana" w:hAnsi="Verdana"/>
          <w:sz w:val="20"/>
          <w:szCs w:val="20"/>
          <w:lang w:val="es-CR"/>
        </w:rPr>
        <w:t xml:space="preserve">2.- </w:t>
      </w:r>
      <w:proofErr w:type="spellStart"/>
      <w:r w:rsidRPr="0092541C">
        <w:rPr>
          <w:rFonts w:ascii="Verdana" w:hAnsi="Verdana"/>
          <w:i/>
          <w:sz w:val="20"/>
          <w:szCs w:val="20"/>
          <w:lang w:val="es-CR"/>
        </w:rPr>
        <w:t>Soleida</w:t>
      </w:r>
      <w:proofErr w:type="spellEnd"/>
      <w:r w:rsidRPr="0092541C">
        <w:rPr>
          <w:rFonts w:ascii="Verdana" w:hAnsi="Verdana"/>
          <w:i/>
          <w:sz w:val="20"/>
          <w:szCs w:val="20"/>
          <w:lang w:val="es-CR"/>
        </w:rPr>
        <w:t xml:space="preserve"> Morillo</w:t>
      </w:r>
      <w:r>
        <w:rPr>
          <w:rFonts w:ascii="Verdana" w:hAnsi="Verdana"/>
          <w:sz w:val="20"/>
          <w:szCs w:val="20"/>
          <w:lang w:val="es-CR"/>
        </w:rPr>
        <w:t>, viuda de</w:t>
      </w:r>
      <w:r w:rsidR="00676695">
        <w:rPr>
          <w:rFonts w:ascii="Verdana" w:hAnsi="Verdana"/>
          <w:sz w:val="20"/>
          <w:szCs w:val="20"/>
          <w:lang w:val="es-CR"/>
        </w:rPr>
        <w:t>l señor</w:t>
      </w:r>
      <w:r>
        <w:rPr>
          <w:rFonts w:ascii="Verdana" w:hAnsi="Verdana"/>
          <w:sz w:val="20"/>
          <w:szCs w:val="20"/>
          <w:lang w:val="es-CR"/>
        </w:rPr>
        <w:t xml:space="preserve"> Ramón Molina, </w:t>
      </w:r>
      <w:r w:rsidR="0038551C">
        <w:rPr>
          <w:rFonts w:ascii="Verdana" w:hAnsi="Verdana"/>
          <w:sz w:val="20"/>
          <w:szCs w:val="20"/>
          <w:lang w:val="es-CR"/>
        </w:rPr>
        <w:t xml:space="preserve">quien </w:t>
      </w:r>
      <w:r>
        <w:rPr>
          <w:rFonts w:ascii="Verdana" w:hAnsi="Verdana"/>
          <w:sz w:val="20"/>
          <w:szCs w:val="20"/>
          <w:lang w:val="es-CR"/>
        </w:rPr>
        <w:t xml:space="preserve">declarará sobre: </w:t>
      </w:r>
      <w:r>
        <w:rPr>
          <w:rFonts w:ascii="Verdana" w:hAnsi="Verdana"/>
          <w:color w:val="auto"/>
          <w:sz w:val="20"/>
          <w:szCs w:val="20"/>
          <w:lang w:val="es-CR"/>
        </w:rPr>
        <w:t>i) e</w:t>
      </w:r>
      <w:r w:rsidRPr="0092541C">
        <w:rPr>
          <w:rFonts w:ascii="Verdana" w:hAnsi="Verdana"/>
          <w:sz w:val="20"/>
          <w:szCs w:val="20"/>
          <w:lang w:val="es-CR"/>
        </w:rPr>
        <w:t xml:space="preserve">l impacto que </w:t>
      </w:r>
      <w:r>
        <w:rPr>
          <w:rFonts w:ascii="Verdana" w:hAnsi="Verdana"/>
          <w:sz w:val="20"/>
          <w:szCs w:val="20"/>
          <w:lang w:val="es-CR"/>
        </w:rPr>
        <w:t xml:space="preserve">habría tenido </w:t>
      </w:r>
      <w:r w:rsidRPr="0092541C">
        <w:rPr>
          <w:rFonts w:ascii="Verdana" w:hAnsi="Verdana"/>
          <w:sz w:val="20"/>
          <w:szCs w:val="20"/>
          <w:lang w:val="es-CR"/>
        </w:rPr>
        <w:t xml:space="preserve">en su vida y la de sus hijos la </w:t>
      </w:r>
      <w:r>
        <w:rPr>
          <w:rFonts w:ascii="Verdana" w:hAnsi="Verdana"/>
          <w:sz w:val="20"/>
          <w:szCs w:val="20"/>
          <w:lang w:val="es-CR"/>
        </w:rPr>
        <w:t xml:space="preserve">presunta </w:t>
      </w:r>
      <w:r w:rsidRPr="0092541C">
        <w:rPr>
          <w:rFonts w:ascii="Verdana" w:hAnsi="Verdana"/>
          <w:sz w:val="20"/>
          <w:szCs w:val="20"/>
          <w:lang w:val="es-CR"/>
        </w:rPr>
        <w:t xml:space="preserve">ejecución extrajudicial de su esposo; </w:t>
      </w:r>
      <w:proofErr w:type="spellStart"/>
      <w:r w:rsidRPr="0092541C">
        <w:rPr>
          <w:rFonts w:ascii="Verdana" w:hAnsi="Verdana"/>
          <w:sz w:val="20"/>
          <w:szCs w:val="20"/>
          <w:lang w:val="es-CR"/>
        </w:rPr>
        <w:t>ii</w:t>
      </w:r>
      <w:proofErr w:type="spellEnd"/>
      <w:r w:rsidRPr="0092541C">
        <w:rPr>
          <w:rFonts w:ascii="Verdana" w:hAnsi="Verdana"/>
          <w:sz w:val="20"/>
          <w:szCs w:val="20"/>
          <w:lang w:val="es-CR"/>
        </w:rPr>
        <w:t xml:space="preserve">) </w:t>
      </w:r>
      <w:r w:rsidR="008F4D31" w:rsidRPr="0092541C">
        <w:rPr>
          <w:rFonts w:ascii="Verdana" w:hAnsi="Verdana"/>
          <w:sz w:val="20"/>
          <w:szCs w:val="20"/>
          <w:lang w:val="es-CR"/>
        </w:rPr>
        <w:t xml:space="preserve">la búsqueda de justicia </w:t>
      </w:r>
      <w:r w:rsidR="008F4D31">
        <w:rPr>
          <w:rFonts w:ascii="Verdana" w:hAnsi="Verdana"/>
          <w:sz w:val="20"/>
          <w:szCs w:val="20"/>
          <w:lang w:val="es-CR"/>
        </w:rPr>
        <w:t xml:space="preserve">que habría sido llevada </w:t>
      </w:r>
      <w:r w:rsidR="008F4D31" w:rsidRPr="0092541C">
        <w:rPr>
          <w:rFonts w:ascii="Verdana" w:hAnsi="Verdana"/>
          <w:sz w:val="20"/>
          <w:szCs w:val="20"/>
          <w:lang w:val="es-CR"/>
        </w:rPr>
        <w:t>adelante por su familia</w:t>
      </w:r>
      <w:r w:rsidR="008F4D31">
        <w:rPr>
          <w:rFonts w:ascii="Verdana" w:hAnsi="Verdana"/>
          <w:sz w:val="20"/>
          <w:szCs w:val="20"/>
          <w:lang w:val="es-CR"/>
        </w:rPr>
        <w:t xml:space="preserve"> y</w:t>
      </w:r>
      <w:r w:rsidR="008F4D31" w:rsidRPr="0092541C">
        <w:rPr>
          <w:rFonts w:ascii="Verdana" w:hAnsi="Verdana"/>
          <w:sz w:val="20"/>
          <w:szCs w:val="20"/>
          <w:lang w:val="es-CR"/>
        </w:rPr>
        <w:t xml:space="preserve"> </w:t>
      </w:r>
      <w:r w:rsidRPr="0092541C">
        <w:rPr>
          <w:rFonts w:ascii="Verdana" w:hAnsi="Verdana"/>
          <w:sz w:val="20"/>
          <w:szCs w:val="20"/>
          <w:lang w:val="es-CR"/>
        </w:rPr>
        <w:t xml:space="preserve">la </w:t>
      </w:r>
      <w:r>
        <w:rPr>
          <w:rFonts w:ascii="Verdana" w:hAnsi="Verdana"/>
          <w:sz w:val="20"/>
          <w:szCs w:val="20"/>
          <w:lang w:val="es-CR"/>
        </w:rPr>
        <w:t xml:space="preserve">supuesta </w:t>
      </w:r>
      <w:r w:rsidRPr="0092541C">
        <w:rPr>
          <w:rFonts w:ascii="Verdana" w:hAnsi="Verdana"/>
          <w:sz w:val="20"/>
          <w:szCs w:val="20"/>
          <w:lang w:val="es-CR"/>
        </w:rPr>
        <w:t xml:space="preserve">obstaculización de las autoridades policiales y judiciales en su búsqueda por la verdad acerca de </w:t>
      </w:r>
      <w:r w:rsidR="008F4D31">
        <w:rPr>
          <w:rFonts w:ascii="Verdana" w:hAnsi="Verdana"/>
          <w:sz w:val="20"/>
          <w:szCs w:val="20"/>
          <w:lang w:val="es-CR"/>
        </w:rPr>
        <w:t xml:space="preserve">lo sucedido a </w:t>
      </w:r>
      <w:r w:rsidRPr="0092541C">
        <w:rPr>
          <w:rFonts w:ascii="Verdana" w:hAnsi="Verdana"/>
          <w:sz w:val="20"/>
          <w:szCs w:val="20"/>
          <w:lang w:val="es-CR"/>
        </w:rPr>
        <w:t xml:space="preserve">su </w:t>
      </w:r>
      <w:r>
        <w:rPr>
          <w:rFonts w:ascii="Verdana" w:hAnsi="Verdana"/>
          <w:sz w:val="20"/>
          <w:szCs w:val="20"/>
          <w:lang w:val="es-CR"/>
        </w:rPr>
        <w:t>esposo</w:t>
      </w:r>
      <w:r w:rsidRPr="0092541C">
        <w:rPr>
          <w:rFonts w:ascii="Verdana" w:hAnsi="Verdana"/>
          <w:sz w:val="20"/>
          <w:szCs w:val="20"/>
          <w:lang w:val="es-CR"/>
        </w:rPr>
        <w:t xml:space="preserve">; </w:t>
      </w:r>
      <w:proofErr w:type="spellStart"/>
      <w:r w:rsidRPr="0092541C">
        <w:rPr>
          <w:rFonts w:ascii="Verdana" w:hAnsi="Verdana"/>
          <w:sz w:val="20"/>
          <w:szCs w:val="20"/>
          <w:lang w:val="es-CR"/>
        </w:rPr>
        <w:t>iii</w:t>
      </w:r>
      <w:proofErr w:type="spellEnd"/>
      <w:r w:rsidRPr="0092541C">
        <w:rPr>
          <w:rFonts w:ascii="Verdana" w:hAnsi="Verdana"/>
          <w:sz w:val="20"/>
          <w:szCs w:val="20"/>
          <w:lang w:val="es-CR"/>
        </w:rPr>
        <w:t>) las secuel</w:t>
      </w:r>
      <w:r>
        <w:rPr>
          <w:rFonts w:ascii="Verdana" w:hAnsi="Verdana"/>
          <w:sz w:val="20"/>
          <w:szCs w:val="20"/>
          <w:lang w:val="es-CR"/>
        </w:rPr>
        <w:t>as emocionales y físicas que habría</w:t>
      </w:r>
      <w:r w:rsidRPr="0092541C">
        <w:rPr>
          <w:rFonts w:ascii="Verdana" w:hAnsi="Verdana"/>
          <w:sz w:val="20"/>
          <w:szCs w:val="20"/>
          <w:lang w:val="es-CR"/>
        </w:rPr>
        <w:t xml:space="preserve"> sufrido como consecuencia de los hechos; </w:t>
      </w:r>
      <w:proofErr w:type="spellStart"/>
      <w:r w:rsidRPr="0092541C">
        <w:rPr>
          <w:rFonts w:ascii="Verdana" w:hAnsi="Verdana"/>
          <w:sz w:val="20"/>
          <w:szCs w:val="20"/>
          <w:lang w:val="es-CR"/>
        </w:rPr>
        <w:t>iv</w:t>
      </w:r>
      <w:proofErr w:type="spellEnd"/>
      <w:r w:rsidRPr="0092541C">
        <w:rPr>
          <w:rFonts w:ascii="Verdana" w:hAnsi="Verdana"/>
          <w:sz w:val="20"/>
          <w:szCs w:val="20"/>
          <w:lang w:val="es-CR"/>
        </w:rPr>
        <w:t>) las afectaciones</w:t>
      </w:r>
      <w:r>
        <w:rPr>
          <w:rFonts w:ascii="Verdana" w:hAnsi="Verdana"/>
          <w:sz w:val="20"/>
          <w:szCs w:val="20"/>
          <w:lang w:val="es-CR"/>
        </w:rPr>
        <w:t xml:space="preserve"> que se habrían producido respecto</w:t>
      </w:r>
      <w:r w:rsidRPr="0092541C">
        <w:rPr>
          <w:rFonts w:ascii="Verdana" w:hAnsi="Verdana"/>
          <w:sz w:val="20"/>
          <w:szCs w:val="20"/>
          <w:lang w:val="es-CR"/>
        </w:rPr>
        <w:t xml:space="preserve"> a su proyecto de vida y el de su familia, y v) </w:t>
      </w:r>
      <w:r w:rsidR="0038551C">
        <w:rPr>
          <w:rFonts w:ascii="Verdana" w:hAnsi="Verdana"/>
          <w:sz w:val="20"/>
          <w:szCs w:val="20"/>
          <w:lang w:val="es-CR"/>
        </w:rPr>
        <w:t xml:space="preserve">las </w:t>
      </w:r>
      <w:r w:rsidRPr="0092541C">
        <w:rPr>
          <w:rFonts w:ascii="Verdana" w:hAnsi="Verdana"/>
          <w:sz w:val="20"/>
          <w:szCs w:val="20"/>
          <w:lang w:val="es-CR"/>
        </w:rPr>
        <w:t>posibles medidas de reparación</w:t>
      </w:r>
      <w:r>
        <w:rPr>
          <w:rFonts w:ascii="Verdana" w:hAnsi="Verdana"/>
          <w:sz w:val="20"/>
          <w:szCs w:val="20"/>
          <w:lang w:val="es-CR"/>
        </w:rPr>
        <w:t xml:space="preserve"> que consideraría apropiadas</w:t>
      </w:r>
      <w:r w:rsidRPr="0092541C">
        <w:rPr>
          <w:rFonts w:ascii="Verdana" w:hAnsi="Verdana"/>
          <w:sz w:val="20"/>
          <w:szCs w:val="20"/>
          <w:lang w:val="es-CR"/>
        </w:rPr>
        <w:t xml:space="preserve">.  </w:t>
      </w:r>
    </w:p>
    <w:p w14:paraId="66DBB71E" w14:textId="77777777" w:rsidR="000F06CF" w:rsidRDefault="000F06CF" w:rsidP="000F06CF">
      <w:pPr>
        <w:pStyle w:val="Prrafodelista"/>
        <w:tabs>
          <w:tab w:val="left" w:pos="567"/>
        </w:tabs>
        <w:ind w:left="0"/>
        <w:contextualSpacing/>
        <w:jc w:val="both"/>
        <w:rPr>
          <w:rFonts w:ascii="Verdana" w:hAnsi="Verdana"/>
          <w:sz w:val="20"/>
          <w:szCs w:val="20"/>
          <w:lang w:val="es-ES_tradnl"/>
        </w:rPr>
      </w:pPr>
    </w:p>
    <w:p w14:paraId="160CE5B9" w14:textId="728A85E6" w:rsidR="000F06CF" w:rsidRPr="0092541C"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92541C">
        <w:rPr>
          <w:rFonts w:ascii="Verdana" w:hAnsi="Verdana"/>
          <w:sz w:val="20"/>
          <w:szCs w:val="20"/>
          <w:lang w:val="es-ES_tradnl"/>
        </w:rPr>
        <w:t>Requerir, de conformidad con el principio de economía procesal y la facultad que le otorga el artículo 50.1 del Reglamento de la Corte,</w:t>
      </w:r>
      <w:r w:rsidR="00445D2F">
        <w:rPr>
          <w:rFonts w:ascii="Verdana" w:hAnsi="Verdana"/>
          <w:sz w:val="20"/>
          <w:szCs w:val="20"/>
          <w:lang w:val="es-ES_tradnl"/>
        </w:rPr>
        <w:t xml:space="preserve"> </w:t>
      </w:r>
      <w:r w:rsidR="00445D2F" w:rsidRPr="00D948E4">
        <w:rPr>
          <w:rFonts w:ascii="Verdana" w:hAnsi="Verdana"/>
          <w:color w:val="auto"/>
          <w:sz w:val="20"/>
          <w:szCs w:val="20"/>
          <w:lang w:val="es-ES_tradnl"/>
        </w:rPr>
        <w:t>teniendo además presente las dificultades derivas de la pandemia del COVID 19,</w:t>
      </w:r>
      <w:r w:rsidRPr="00D948E4">
        <w:rPr>
          <w:rFonts w:ascii="Verdana" w:hAnsi="Verdana"/>
          <w:color w:val="auto"/>
          <w:sz w:val="20"/>
          <w:szCs w:val="20"/>
          <w:lang w:val="es-ES_tradnl"/>
        </w:rPr>
        <w:t xml:space="preserve"> </w:t>
      </w:r>
      <w:r w:rsidRPr="0092541C">
        <w:rPr>
          <w:rFonts w:ascii="Verdana" w:hAnsi="Verdana"/>
          <w:sz w:val="20"/>
          <w:szCs w:val="20"/>
          <w:lang w:val="es-ES_tradnl"/>
        </w:rPr>
        <w:t>que las siguientes personas presten su declaración ante fedatario público (</w:t>
      </w:r>
      <w:r w:rsidRPr="0092541C">
        <w:rPr>
          <w:rFonts w:ascii="Verdana" w:hAnsi="Verdana"/>
          <w:i/>
          <w:sz w:val="20"/>
          <w:szCs w:val="20"/>
          <w:lang w:val="es-ES_tradnl"/>
        </w:rPr>
        <w:t>affidávit</w:t>
      </w:r>
      <w:r w:rsidRPr="0092541C">
        <w:rPr>
          <w:rFonts w:ascii="Verdana" w:hAnsi="Verdana"/>
          <w:sz w:val="20"/>
          <w:szCs w:val="20"/>
          <w:lang w:val="es-ES_tradnl"/>
        </w:rPr>
        <w:t>):</w:t>
      </w:r>
    </w:p>
    <w:p w14:paraId="76865F52" w14:textId="77777777" w:rsidR="00F57884" w:rsidRPr="005562D7" w:rsidRDefault="00F57884" w:rsidP="000F06CF">
      <w:pPr>
        <w:tabs>
          <w:tab w:val="left" w:pos="567"/>
        </w:tabs>
        <w:spacing w:after="0"/>
        <w:contextualSpacing/>
        <w:rPr>
          <w:szCs w:val="20"/>
        </w:rPr>
      </w:pPr>
    </w:p>
    <w:p w14:paraId="2B3F9B07" w14:textId="77777777" w:rsidR="000F06CF" w:rsidRPr="005562D7" w:rsidRDefault="000F06CF" w:rsidP="000F06CF">
      <w:pPr>
        <w:numPr>
          <w:ilvl w:val="0"/>
          <w:numId w:val="5"/>
        </w:numPr>
        <w:spacing w:after="0"/>
        <w:ind w:left="567"/>
        <w:contextualSpacing/>
        <w:rPr>
          <w:rFonts w:eastAsia="Times New Roman"/>
          <w:b/>
          <w:szCs w:val="20"/>
        </w:rPr>
      </w:pPr>
      <w:r w:rsidRPr="005562D7">
        <w:rPr>
          <w:rFonts w:eastAsia="Times New Roman"/>
          <w:b/>
          <w:szCs w:val="20"/>
        </w:rPr>
        <w:t>Presunta</w:t>
      </w:r>
      <w:r>
        <w:rPr>
          <w:rFonts w:eastAsia="Times New Roman"/>
          <w:b/>
          <w:szCs w:val="20"/>
        </w:rPr>
        <w:t>s</w:t>
      </w:r>
      <w:r w:rsidRPr="005562D7">
        <w:rPr>
          <w:rFonts w:eastAsia="Times New Roman"/>
          <w:b/>
          <w:szCs w:val="20"/>
        </w:rPr>
        <w:t xml:space="preserve"> víctima</w:t>
      </w:r>
      <w:r>
        <w:rPr>
          <w:rFonts w:eastAsia="Times New Roman"/>
          <w:b/>
          <w:szCs w:val="20"/>
        </w:rPr>
        <w:t>s</w:t>
      </w:r>
      <w:r w:rsidRPr="005562D7">
        <w:rPr>
          <w:rFonts w:eastAsia="Times New Roman"/>
          <w:b/>
          <w:szCs w:val="20"/>
        </w:rPr>
        <w:t xml:space="preserve"> (propuesta</w:t>
      </w:r>
      <w:r>
        <w:rPr>
          <w:rFonts w:eastAsia="Times New Roman"/>
          <w:b/>
          <w:szCs w:val="20"/>
        </w:rPr>
        <w:t>s por los</w:t>
      </w:r>
      <w:r w:rsidRPr="005562D7">
        <w:rPr>
          <w:rFonts w:eastAsia="Times New Roman"/>
          <w:b/>
          <w:szCs w:val="20"/>
        </w:rPr>
        <w:t xml:space="preserve"> representante</w:t>
      </w:r>
      <w:r>
        <w:rPr>
          <w:rFonts w:eastAsia="Times New Roman"/>
          <w:b/>
          <w:szCs w:val="20"/>
        </w:rPr>
        <w:t>s</w:t>
      </w:r>
      <w:r w:rsidRPr="005562D7">
        <w:rPr>
          <w:rFonts w:eastAsia="Times New Roman"/>
          <w:b/>
          <w:szCs w:val="20"/>
        </w:rPr>
        <w:t>)</w:t>
      </w:r>
    </w:p>
    <w:p w14:paraId="422B36F5" w14:textId="77777777" w:rsidR="000F06CF" w:rsidRPr="005562D7" w:rsidRDefault="000F06CF" w:rsidP="000F06CF">
      <w:pPr>
        <w:spacing w:after="0"/>
        <w:ind w:left="360"/>
        <w:rPr>
          <w:rFonts w:eastAsia="Times New Roman"/>
          <w:b/>
          <w:szCs w:val="20"/>
        </w:rPr>
      </w:pPr>
    </w:p>
    <w:p w14:paraId="0EE81F90" w14:textId="4D08E5AA" w:rsidR="000F06CF" w:rsidRDefault="000F06CF" w:rsidP="000F06CF">
      <w:pPr>
        <w:spacing w:after="0"/>
        <w:ind w:left="567"/>
        <w:contextualSpacing/>
        <w:rPr>
          <w:szCs w:val="20"/>
          <w:lang w:val="es-CR"/>
        </w:rPr>
      </w:pPr>
      <w:r>
        <w:rPr>
          <w:rFonts w:cs="Times New Roman"/>
          <w:szCs w:val="20"/>
        </w:rPr>
        <w:t>3.-</w:t>
      </w:r>
      <w:r w:rsidRPr="005C6160">
        <w:rPr>
          <w:i/>
          <w:szCs w:val="20"/>
          <w:lang w:val="es-CR"/>
        </w:rPr>
        <w:t>Nieves Guerrero</w:t>
      </w:r>
      <w:r w:rsidRPr="00FC370A">
        <w:rPr>
          <w:szCs w:val="20"/>
          <w:lang w:val="es-CR"/>
        </w:rPr>
        <w:t xml:space="preserve"> (padre de</w:t>
      </w:r>
      <w:r w:rsidR="00676695">
        <w:rPr>
          <w:szCs w:val="20"/>
          <w:lang w:val="es-CR"/>
        </w:rPr>
        <w:t>l señor</w:t>
      </w:r>
      <w:r w:rsidRPr="00FC370A">
        <w:rPr>
          <w:szCs w:val="20"/>
          <w:lang w:val="es-CR"/>
        </w:rPr>
        <w:t xml:space="preserve"> Jimmy Guerrero); </w:t>
      </w:r>
    </w:p>
    <w:p w14:paraId="7A0F8085" w14:textId="77777777" w:rsidR="000F06CF" w:rsidRDefault="000F06CF" w:rsidP="000F06CF">
      <w:pPr>
        <w:spacing w:after="0"/>
        <w:ind w:left="567"/>
        <w:contextualSpacing/>
        <w:rPr>
          <w:szCs w:val="20"/>
          <w:lang w:val="es-CR"/>
        </w:rPr>
      </w:pPr>
    </w:p>
    <w:p w14:paraId="3FC26AC6" w14:textId="26BE2809" w:rsidR="000F06CF" w:rsidRDefault="000F06CF" w:rsidP="000F06CF">
      <w:pPr>
        <w:spacing w:after="0"/>
        <w:ind w:left="567"/>
        <w:contextualSpacing/>
        <w:rPr>
          <w:szCs w:val="20"/>
          <w:lang w:val="es-CR"/>
        </w:rPr>
      </w:pPr>
      <w:r>
        <w:rPr>
          <w:szCs w:val="20"/>
          <w:lang w:val="es-CR"/>
        </w:rPr>
        <w:t>4.-</w:t>
      </w:r>
      <w:r w:rsidRPr="005C6160">
        <w:rPr>
          <w:i/>
          <w:szCs w:val="20"/>
          <w:lang w:val="es-CR"/>
        </w:rPr>
        <w:t>Emilia Coromoto Meléndez</w:t>
      </w:r>
      <w:r w:rsidRPr="00FC370A">
        <w:rPr>
          <w:szCs w:val="20"/>
          <w:lang w:val="es-CR"/>
        </w:rPr>
        <w:t xml:space="preserve"> (madre de</w:t>
      </w:r>
      <w:r w:rsidR="00676695">
        <w:rPr>
          <w:szCs w:val="20"/>
          <w:lang w:val="es-CR"/>
        </w:rPr>
        <w:t>l señor</w:t>
      </w:r>
      <w:r w:rsidRPr="00FC370A">
        <w:rPr>
          <w:szCs w:val="20"/>
          <w:lang w:val="es-CR"/>
        </w:rPr>
        <w:t xml:space="preserve"> Jimmy Guerrero); </w:t>
      </w:r>
    </w:p>
    <w:p w14:paraId="2086FC88" w14:textId="77777777" w:rsidR="000F06CF" w:rsidRDefault="000F06CF" w:rsidP="000F06CF">
      <w:pPr>
        <w:spacing w:after="0"/>
        <w:ind w:left="567"/>
        <w:contextualSpacing/>
        <w:rPr>
          <w:szCs w:val="20"/>
          <w:lang w:val="es-CR"/>
        </w:rPr>
      </w:pPr>
    </w:p>
    <w:p w14:paraId="7592B5A2" w14:textId="5EAD9D5F" w:rsidR="000F06CF" w:rsidRDefault="000F06CF" w:rsidP="000F06CF">
      <w:pPr>
        <w:spacing w:after="0"/>
        <w:ind w:left="567"/>
        <w:contextualSpacing/>
        <w:rPr>
          <w:szCs w:val="20"/>
          <w:lang w:val="es-CR"/>
        </w:rPr>
      </w:pPr>
      <w:r>
        <w:rPr>
          <w:szCs w:val="20"/>
          <w:lang w:val="es-CR"/>
        </w:rPr>
        <w:t>5.-</w:t>
      </w:r>
      <w:r w:rsidRPr="005C6160">
        <w:rPr>
          <w:i/>
          <w:szCs w:val="20"/>
          <w:lang w:val="es-CR"/>
        </w:rPr>
        <w:t>Yarelis Guerrero</w:t>
      </w:r>
      <w:r w:rsidRPr="00FC370A">
        <w:rPr>
          <w:szCs w:val="20"/>
          <w:lang w:val="es-CR"/>
        </w:rPr>
        <w:t xml:space="preserve"> (</w:t>
      </w:r>
      <w:r>
        <w:rPr>
          <w:szCs w:val="20"/>
          <w:lang w:val="es-CR"/>
        </w:rPr>
        <w:t xml:space="preserve">hermana </w:t>
      </w:r>
      <w:r w:rsidRPr="00FC370A">
        <w:rPr>
          <w:szCs w:val="20"/>
          <w:lang w:val="es-CR"/>
        </w:rPr>
        <w:t>de</w:t>
      </w:r>
      <w:r w:rsidR="00676695">
        <w:rPr>
          <w:szCs w:val="20"/>
          <w:lang w:val="es-CR"/>
        </w:rPr>
        <w:t>l señor</w:t>
      </w:r>
      <w:r w:rsidRPr="00FC370A">
        <w:rPr>
          <w:szCs w:val="20"/>
          <w:lang w:val="es-CR"/>
        </w:rPr>
        <w:t xml:space="preserve"> Jimmy Guerrero); </w:t>
      </w:r>
    </w:p>
    <w:p w14:paraId="184F0BF4" w14:textId="77777777" w:rsidR="000F06CF" w:rsidRDefault="000F06CF" w:rsidP="000F06CF">
      <w:pPr>
        <w:spacing w:after="0"/>
        <w:ind w:left="567"/>
        <w:contextualSpacing/>
        <w:rPr>
          <w:szCs w:val="20"/>
          <w:lang w:val="es-CR"/>
        </w:rPr>
      </w:pPr>
    </w:p>
    <w:p w14:paraId="2B8A4C1C" w14:textId="00A981DD" w:rsidR="000F06CF" w:rsidRDefault="000F06CF" w:rsidP="000F06CF">
      <w:pPr>
        <w:spacing w:after="0"/>
        <w:ind w:left="567"/>
        <w:contextualSpacing/>
        <w:rPr>
          <w:szCs w:val="20"/>
          <w:lang w:val="es-CR"/>
        </w:rPr>
      </w:pPr>
      <w:r>
        <w:rPr>
          <w:szCs w:val="20"/>
          <w:lang w:val="es-CR"/>
        </w:rPr>
        <w:t>6.-</w:t>
      </w:r>
      <w:r w:rsidRPr="005C6160">
        <w:rPr>
          <w:i/>
          <w:szCs w:val="20"/>
          <w:lang w:val="es-CR"/>
        </w:rPr>
        <w:t>Franklin Guerrero</w:t>
      </w:r>
      <w:r w:rsidRPr="00FC370A">
        <w:rPr>
          <w:szCs w:val="20"/>
          <w:lang w:val="es-CR"/>
        </w:rPr>
        <w:t xml:space="preserve"> (hermano de</w:t>
      </w:r>
      <w:r w:rsidR="00676695">
        <w:rPr>
          <w:szCs w:val="20"/>
          <w:lang w:val="es-CR"/>
        </w:rPr>
        <w:t>l señor</w:t>
      </w:r>
      <w:r w:rsidRPr="00FC370A">
        <w:rPr>
          <w:szCs w:val="20"/>
          <w:lang w:val="es-CR"/>
        </w:rPr>
        <w:t xml:space="preserve"> Jimmy Guerrero); </w:t>
      </w:r>
    </w:p>
    <w:p w14:paraId="7396980C" w14:textId="77777777" w:rsidR="000F06CF" w:rsidRDefault="000F06CF" w:rsidP="000F06CF">
      <w:pPr>
        <w:spacing w:after="0"/>
        <w:ind w:left="567"/>
        <w:contextualSpacing/>
        <w:rPr>
          <w:szCs w:val="20"/>
          <w:lang w:val="es-CR"/>
        </w:rPr>
      </w:pPr>
    </w:p>
    <w:p w14:paraId="7354084E" w14:textId="30040E0F" w:rsidR="000F06CF" w:rsidRDefault="000F06CF" w:rsidP="000F06CF">
      <w:pPr>
        <w:spacing w:after="0"/>
        <w:ind w:left="567"/>
        <w:contextualSpacing/>
        <w:rPr>
          <w:szCs w:val="20"/>
          <w:lang w:val="es-CR"/>
        </w:rPr>
      </w:pPr>
      <w:r>
        <w:rPr>
          <w:szCs w:val="20"/>
          <w:lang w:val="es-CR"/>
        </w:rPr>
        <w:t>7.-</w:t>
      </w:r>
      <w:r w:rsidRPr="005C6160">
        <w:rPr>
          <w:i/>
          <w:szCs w:val="20"/>
          <w:lang w:val="es-CR"/>
        </w:rPr>
        <w:t xml:space="preserve">Jiannibeth </w:t>
      </w:r>
      <w:proofErr w:type="spellStart"/>
      <w:r w:rsidRPr="005C6160">
        <w:rPr>
          <w:i/>
          <w:szCs w:val="20"/>
          <w:lang w:val="es-CR"/>
        </w:rPr>
        <w:t>Stephanny</w:t>
      </w:r>
      <w:proofErr w:type="spellEnd"/>
      <w:r w:rsidRPr="005C6160">
        <w:rPr>
          <w:i/>
          <w:szCs w:val="20"/>
          <w:lang w:val="es-CR"/>
        </w:rPr>
        <w:t xml:space="preserve"> Guerrero Colina</w:t>
      </w:r>
      <w:r>
        <w:rPr>
          <w:szCs w:val="20"/>
          <w:lang w:val="es-CR"/>
        </w:rPr>
        <w:t xml:space="preserve"> (hija de</w:t>
      </w:r>
      <w:r w:rsidR="00676695">
        <w:rPr>
          <w:szCs w:val="20"/>
          <w:lang w:val="es-CR"/>
        </w:rPr>
        <w:t>l señor</w:t>
      </w:r>
      <w:r>
        <w:rPr>
          <w:szCs w:val="20"/>
          <w:lang w:val="es-CR"/>
        </w:rPr>
        <w:t xml:space="preserve"> Jimmy Guerrero), y</w:t>
      </w:r>
      <w:r w:rsidRPr="00FC370A">
        <w:rPr>
          <w:szCs w:val="20"/>
          <w:lang w:val="es-CR"/>
        </w:rPr>
        <w:t xml:space="preserve"> </w:t>
      </w:r>
    </w:p>
    <w:p w14:paraId="79CF9397" w14:textId="77777777" w:rsidR="000F06CF" w:rsidRDefault="000F06CF" w:rsidP="000F06CF">
      <w:pPr>
        <w:spacing w:after="0"/>
        <w:ind w:left="567"/>
        <w:contextualSpacing/>
        <w:rPr>
          <w:szCs w:val="20"/>
          <w:lang w:val="es-CR"/>
        </w:rPr>
      </w:pPr>
    </w:p>
    <w:p w14:paraId="2B5E006B" w14:textId="2E014209" w:rsidR="000F06CF" w:rsidRDefault="000F06CF" w:rsidP="000F06CF">
      <w:pPr>
        <w:spacing w:after="0"/>
        <w:ind w:left="567"/>
        <w:contextualSpacing/>
        <w:rPr>
          <w:rFonts w:cs="Times New Roman"/>
          <w:szCs w:val="20"/>
        </w:rPr>
      </w:pPr>
      <w:r>
        <w:rPr>
          <w:szCs w:val="20"/>
          <w:lang w:val="es-CR"/>
        </w:rPr>
        <w:t>8.-</w:t>
      </w:r>
      <w:r w:rsidRPr="005C6160">
        <w:rPr>
          <w:i/>
          <w:szCs w:val="20"/>
          <w:lang w:val="es-CR"/>
        </w:rPr>
        <w:t>Fraily Guerrero</w:t>
      </w:r>
      <w:r w:rsidRPr="00FC370A">
        <w:rPr>
          <w:szCs w:val="20"/>
          <w:lang w:val="es-CR"/>
        </w:rPr>
        <w:t xml:space="preserve"> (sobrina de</w:t>
      </w:r>
      <w:r w:rsidR="00676695">
        <w:rPr>
          <w:szCs w:val="20"/>
          <w:lang w:val="es-CR"/>
        </w:rPr>
        <w:t>l señor</w:t>
      </w:r>
      <w:r w:rsidRPr="00FC370A">
        <w:rPr>
          <w:szCs w:val="20"/>
          <w:lang w:val="es-CR"/>
        </w:rPr>
        <w:t xml:space="preserve"> Jimmy Guerrero)</w:t>
      </w:r>
      <w:r>
        <w:rPr>
          <w:szCs w:val="20"/>
          <w:lang w:val="es-CR"/>
        </w:rPr>
        <w:t>.</w:t>
      </w:r>
    </w:p>
    <w:p w14:paraId="5042C663" w14:textId="77777777" w:rsidR="000F06CF" w:rsidRDefault="000F06CF" w:rsidP="000F06CF">
      <w:pPr>
        <w:spacing w:after="0"/>
        <w:ind w:left="567"/>
        <w:contextualSpacing/>
        <w:rPr>
          <w:rFonts w:cs="Times New Roman"/>
          <w:szCs w:val="20"/>
        </w:rPr>
      </w:pPr>
    </w:p>
    <w:p w14:paraId="2CC1A2AD" w14:textId="60FC95BE" w:rsidR="000F06CF" w:rsidRPr="005C6160" w:rsidRDefault="000F06CF" w:rsidP="000F06CF">
      <w:pPr>
        <w:spacing w:after="0"/>
        <w:ind w:left="567"/>
        <w:contextualSpacing/>
        <w:rPr>
          <w:rFonts w:cs="Times New Roman"/>
          <w:szCs w:val="20"/>
        </w:rPr>
      </w:pPr>
      <w:r>
        <w:rPr>
          <w:rFonts w:cs="Times New Roman"/>
          <w:szCs w:val="20"/>
        </w:rPr>
        <w:t>Las presuntas víctimas declararán sobre</w:t>
      </w:r>
      <w:r w:rsidR="00693DB2">
        <w:rPr>
          <w:rFonts w:cs="Times New Roman"/>
          <w:szCs w:val="20"/>
        </w:rPr>
        <w:t>:</w:t>
      </w:r>
      <w:r>
        <w:rPr>
          <w:rFonts w:cs="Times New Roman"/>
          <w:szCs w:val="20"/>
        </w:rPr>
        <w:t xml:space="preserve"> </w:t>
      </w:r>
      <w:r w:rsidRPr="005C6160">
        <w:rPr>
          <w:szCs w:val="20"/>
          <w:lang w:val="es-CR"/>
        </w:rPr>
        <w:t>i) las presuntas amenazas, hostigamiento y detenciones a</w:t>
      </w:r>
      <w:r w:rsidR="00676695">
        <w:rPr>
          <w:szCs w:val="20"/>
          <w:lang w:val="es-CR"/>
        </w:rPr>
        <w:t>l señor</w:t>
      </w:r>
      <w:r w:rsidRPr="005C6160">
        <w:rPr>
          <w:szCs w:val="20"/>
          <w:lang w:val="es-CR"/>
        </w:rPr>
        <w:t xml:space="preserve"> Jimmy Guerrero; </w:t>
      </w:r>
      <w:proofErr w:type="spellStart"/>
      <w:r w:rsidRPr="005C6160">
        <w:rPr>
          <w:szCs w:val="20"/>
          <w:lang w:val="es-CR"/>
        </w:rPr>
        <w:t>ii</w:t>
      </w:r>
      <w:proofErr w:type="spellEnd"/>
      <w:r w:rsidRPr="005C6160">
        <w:rPr>
          <w:szCs w:val="20"/>
          <w:lang w:val="es-CR"/>
        </w:rPr>
        <w:t xml:space="preserve">) los alegados hechos en los que se dio muerte a </w:t>
      </w:r>
      <w:r w:rsidR="00676695">
        <w:rPr>
          <w:szCs w:val="20"/>
          <w:lang w:val="es-CR"/>
        </w:rPr>
        <w:t xml:space="preserve">los señores </w:t>
      </w:r>
      <w:r w:rsidRPr="005C6160">
        <w:rPr>
          <w:szCs w:val="20"/>
          <w:lang w:val="es-CR"/>
        </w:rPr>
        <w:t xml:space="preserve">Jimmy Guerrero y Ramón Molina; </w:t>
      </w:r>
      <w:proofErr w:type="spellStart"/>
      <w:r w:rsidRPr="005C6160">
        <w:rPr>
          <w:szCs w:val="20"/>
          <w:lang w:val="es-CR"/>
        </w:rPr>
        <w:t>iii</w:t>
      </w:r>
      <w:proofErr w:type="spellEnd"/>
      <w:r w:rsidRPr="005C6160">
        <w:rPr>
          <w:szCs w:val="20"/>
          <w:lang w:val="es-CR"/>
        </w:rPr>
        <w:t>) las supuestas gestiones realizadas por l</w:t>
      </w:r>
      <w:r>
        <w:rPr>
          <w:szCs w:val="20"/>
          <w:lang w:val="es-CR"/>
        </w:rPr>
        <w:t>a persona</w:t>
      </w:r>
      <w:r w:rsidRPr="005C6160">
        <w:rPr>
          <w:szCs w:val="20"/>
          <w:lang w:val="es-CR"/>
        </w:rPr>
        <w:t xml:space="preserve"> declarante y sus familiares para la búsqueda de justicia</w:t>
      </w:r>
      <w:r>
        <w:rPr>
          <w:szCs w:val="20"/>
          <w:lang w:val="es-CR"/>
        </w:rPr>
        <w:t>,</w:t>
      </w:r>
      <w:r w:rsidRPr="005C6160">
        <w:rPr>
          <w:szCs w:val="20"/>
          <w:lang w:val="es-CR"/>
        </w:rPr>
        <w:t xml:space="preserve"> y la impunidad en la que hasta la fecha se mantendrían los hechos; </w:t>
      </w:r>
      <w:proofErr w:type="spellStart"/>
      <w:r w:rsidRPr="005C6160">
        <w:rPr>
          <w:szCs w:val="20"/>
          <w:lang w:val="es-CR"/>
        </w:rPr>
        <w:t>iv</w:t>
      </w:r>
      <w:proofErr w:type="spellEnd"/>
      <w:r w:rsidRPr="005C6160">
        <w:rPr>
          <w:szCs w:val="20"/>
          <w:lang w:val="es-CR"/>
        </w:rPr>
        <w:t>) las supuestas amenazas por parte de policías que habrían obligado a</w:t>
      </w:r>
      <w:r>
        <w:rPr>
          <w:szCs w:val="20"/>
          <w:lang w:val="es-CR"/>
        </w:rPr>
        <w:t xml:space="preserve"> </w:t>
      </w:r>
      <w:r w:rsidRPr="005C6160">
        <w:rPr>
          <w:szCs w:val="20"/>
          <w:lang w:val="es-CR"/>
        </w:rPr>
        <w:t>l</w:t>
      </w:r>
      <w:r>
        <w:rPr>
          <w:szCs w:val="20"/>
          <w:lang w:val="es-CR"/>
        </w:rPr>
        <w:t>a</w:t>
      </w:r>
      <w:r w:rsidRPr="005C6160">
        <w:rPr>
          <w:szCs w:val="20"/>
          <w:lang w:val="es-CR"/>
        </w:rPr>
        <w:t xml:space="preserve"> </w:t>
      </w:r>
      <w:r>
        <w:rPr>
          <w:szCs w:val="20"/>
          <w:lang w:val="es-CR"/>
        </w:rPr>
        <w:t xml:space="preserve">persona </w:t>
      </w:r>
      <w:r w:rsidRPr="005C6160">
        <w:rPr>
          <w:szCs w:val="20"/>
          <w:lang w:val="es-CR"/>
        </w:rPr>
        <w:t xml:space="preserve">declarante a abandonar Venezuela; v) las secuelas emocionales y físicas que </w:t>
      </w:r>
      <w:r>
        <w:rPr>
          <w:szCs w:val="20"/>
          <w:lang w:val="es-CR"/>
        </w:rPr>
        <w:t xml:space="preserve">la persona declarante </w:t>
      </w:r>
      <w:r w:rsidRPr="005C6160">
        <w:rPr>
          <w:szCs w:val="20"/>
          <w:lang w:val="es-CR"/>
        </w:rPr>
        <w:t>habría sufrido como consecuencia de los hechos y la impunidad en la que permanecerían</w:t>
      </w:r>
      <w:r>
        <w:rPr>
          <w:szCs w:val="20"/>
          <w:lang w:val="es-CR"/>
        </w:rPr>
        <w:t xml:space="preserve"> </w:t>
      </w:r>
      <w:r w:rsidRPr="005C6160">
        <w:rPr>
          <w:szCs w:val="20"/>
          <w:lang w:val="es-CR"/>
        </w:rPr>
        <w:t xml:space="preserve">y las afectaciones que </w:t>
      </w:r>
      <w:r>
        <w:rPr>
          <w:szCs w:val="20"/>
          <w:lang w:val="es-CR"/>
        </w:rPr>
        <w:t xml:space="preserve">los mismos </w:t>
      </w:r>
      <w:r w:rsidRPr="005C6160">
        <w:rPr>
          <w:szCs w:val="20"/>
          <w:lang w:val="es-CR"/>
        </w:rPr>
        <w:t>habría</w:t>
      </w:r>
      <w:r>
        <w:rPr>
          <w:szCs w:val="20"/>
          <w:lang w:val="es-CR"/>
        </w:rPr>
        <w:t>n</w:t>
      </w:r>
      <w:r w:rsidRPr="005C6160">
        <w:rPr>
          <w:szCs w:val="20"/>
          <w:lang w:val="es-CR"/>
        </w:rPr>
        <w:t xml:space="preserve"> tenido en su proyecto de vida y el de su familia, y vi) </w:t>
      </w:r>
      <w:r w:rsidR="0038551C">
        <w:rPr>
          <w:szCs w:val="20"/>
          <w:lang w:val="es-CR"/>
        </w:rPr>
        <w:t xml:space="preserve">las </w:t>
      </w:r>
      <w:r w:rsidRPr="005C6160">
        <w:rPr>
          <w:szCs w:val="20"/>
          <w:lang w:val="es-CR"/>
        </w:rPr>
        <w:t xml:space="preserve">posibles medidas de reparación que </w:t>
      </w:r>
      <w:r>
        <w:rPr>
          <w:szCs w:val="20"/>
          <w:lang w:val="es-CR"/>
        </w:rPr>
        <w:t xml:space="preserve">la persona declarante </w:t>
      </w:r>
      <w:r w:rsidRPr="005C6160">
        <w:rPr>
          <w:szCs w:val="20"/>
          <w:lang w:val="es-CR"/>
        </w:rPr>
        <w:t>consideraría apropiadas.</w:t>
      </w:r>
    </w:p>
    <w:p w14:paraId="1B8A911B" w14:textId="77777777" w:rsidR="000F06CF" w:rsidRPr="005562D7" w:rsidRDefault="000F06CF" w:rsidP="000F06CF">
      <w:pPr>
        <w:spacing w:after="0"/>
        <w:ind w:left="708"/>
        <w:contextualSpacing/>
        <w:rPr>
          <w:rFonts w:eastAsia="Cambria" w:cs="ArialMT"/>
          <w:szCs w:val="20"/>
          <w:lang w:val="es-CR" w:eastAsia="es-CR"/>
        </w:rPr>
      </w:pPr>
    </w:p>
    <w:p w14:paraId="2DED6C83" w14:textId="77777777" w:rsidR="000F06CF" w:rsidRPr="000F6BDF" w:rsidRDefault="000F06CF" w:rsidP="000F06CF">
      <w:pPr>
        <w:numPr>
          <w:ilvl w:val="0"/>
          <w:numId w:val="5"/>
        </w:numPr>
        <w:spacing w:after="0"/>
        <w:ind w:left="567"/>
        <w:contextualSpacing/>
        <w:rPr>
          <w:rFonts w:eastAsia="Times New Roman"/>
          <w:b/>
          <w:szCs w:val="20"/>
        </w:rPr>
      </w:pPr>
      <w:r w:rsidRPr="000F6BDF">
        <w:rPr>
          <w:rFonts w:eastAsia="Times New Roman"/>
          <w:b/>
          <w:szCs w:val="20"/>
        </w:rPr>
        <w:t>Testigo</w:t>
      </w:r>
      <w:r>
        <w:rPr>
          <w:rFonts w:eastAsia="Times New Roman"/>
          <w:b/>
          <w:szCs w:val="20"/>
        </w:rPr>
        <w:t>s (propuestos</w:t>
      </w:r>
      <w:r w:rsidRPr="000F6BDF">
        <w:rPr>
          <w:rFonts w:eastAsia="Times New Roman"/>
          <w:b/>
          <w:szCs w:val="20"/>
        </w:rPr>
        <w:t xml:space="preserve"> por el Estado)</w:t>
      </w:r>
    </w:p>
    <w:p w14:paraId="08689DCF" w14:textId="77777777" w:rsidR="000F06CF" w:rsidRPr="005562D7" w:rsidRDefault="000F06CF" w:rsidP="000F06CF">
      <w:pPr>
        <w:spacing w:after="0"/>
        <w:ind w:left="360"/>
        <w:rPr>
          <w:rFonts w:eastAsia="Times New Roman"/>
          <w:b/>
          <w:szCs w:val="20"/>
        </w:rPr>
      </w:pPr>
    </w:p>
    <w:p w14:paraId="307AB4DD" w14:textId="77777777" w:rsidR="000F06CF" w:rsidRDefault="000F06CF" w:rsidP="000F06CF">
      <w:pPr>
        <w:spacing w:after="0"/>
        <w:ind w:left="567"/>
        <w:contextualSpacing/>
      </w:pPr>
      <w:r>
        <w:rPr>
          <w:rFonts w:cs="Times New Roman"/>
          <w:szCs w:val="20"/>
        </w:rPr>
        <w:t>9.-</w:t>
      </w:r>
      <w:r w:rsidRPr="005562D7">
        <w:rPr>
          <w:rFonts w:cs="Times New Roman"/>
          <w:i/>
          <w:szCs w:val="20"/>
        </w:rPr>
        <w:t xml:space="preserve"> </w:t>
      </w:r>
      <w:r w:rsidRPr="00EF7ECC">
        <w:rPr>
          <w:i/>
        </w:rPr>
        <w:t>Pablo Fernández Blanco</w:t>
      </w:r>
      <w:r>
        <w:rPr>
          <w:i/>
        </w:rPr>
        <w:t xml:space="preserve">, </w:t>
      </w:r>
      <w:r>
        <w:t xml:space="preserve">Secretario Ejecutivo del Consejo Nacional de Policía, quien declarará sobre las diversas medidas que habría adoptado el Estado para la implementación del nuevo modelo policial en Venezuela, incluyendo las iniciativas de formación en materia de derechos humanos para funcionarios policiales que se habrían presentado, las medidas que se habrían adoptado para asegurar la efectiva rendición de cuentas en casos de presunto abuso de poder por parte de agentes policiales y las medidas legislativas, administrativas y/o de otra índole que se habrían adoptado para asegurar la necesidad y proporcionalidad del uso letal de la fuerza por parte de funcionarios policiales. </w:t>
      </w:r>
    </w:p>
    <w:p w14:paraId="6E7951A2" w14:textId="77777777" w:rsidR="000F06CF" w:rsidRDefault="000F06CF" w:rsidP="000F06CF">
      <w:pPr>
        <w:spacing w:after="0"/>
        <w:ind w:left="567"/>
        <w:contextualSpacing/>
      </w:pPr>
    </w:p>
    <w:p w14:paraId="3F3D9B67" w14:textId="77777777" w:rsidR="000F06CF" w:rsidRPr="005562D7" w:rsidRDefault="000F06CF" w:rsidP="000F06CF">
      <w:pPr>
        <w:spacing w:after="0"/>
        <w:ind w:left="567"/>
        <w:contextualSpacing/>
        <w:rPr>
          <w:rFonts w:cs="Times New Roman"/>
          <w:szCs w:val="20"/>
        </w:rPr>
      </w:pPr>
      <w:r>
        <w:t>10.</w:t>
      </w:r>
      <w:r>
        <w:tab/>
        <w:t xml:space="preserve"> </w:t>
      </w:r>
      <w:r w:rsidRPr="007378BC">
        <w:rPr>
          <w:i/>
        </w:rPr>
        <w:t>Karin García Carrasco</w:t>
      </w:r>
      <w:r>
        <w:t xml:space="preserve">, Directora de Protección de Derechos Humanos del Ministerio Púbico, quien declarará sobre las medidas legislativas, administrativas y/o de otra índole que habría adoptado el Estado para asegurar la investigación con la debida diligencia de los casos de alegadas ejecuciones extrajudiciales y demás violaciones del derecho a la vida.    </w:t>
      </w:r>
      <w:r w:rsidRPr="005562D7">
        <w:rPr>
          <w:rFonts w:cs="Arial-BoldMT"/>
          <w:bCs/>
          <w:i/>
          <w:szCs w:val="20"/>
        </w:rPr>
        <w:t xml:space="preserve"> </w:t>
      </w:r>
    </w:p>
    <w:p w14:paraId="28C7C48F" w14:textId="77777777" w:rsidR="003E4E02" w:rsidRDefault="003E4E02" w:rsidP="000F06CF">
      <w:pPr>
        <w:pStyle w:val="Prrafodelista"/>
        <w:tabs>
          <w:tab w:val="left" w:pos="567"/>
        </w:tabs>
        <w:ind w:left="0"/>
        <w:jc w:val="both"/>
        <w:rPr>
          <w:rFonts w:ascii="Verdana" w:hAnsi="Verdana"/>
          <w:sz w:val="20"/>
          <w:szCs w:val="20"/>
          <w:lang w:val="es-ES_tradnl"/>
        </w:rPr>
      </w:pPr>
    </w:p>
    <w:p w14:paraId="6FC9C835" w14:textId="1B419452" w:rsidR="000F06CF" w:rsidRPr="000F6BDF" w:rsidRDefault="000F06CF" w:rsidP="004B720A">
      <w:pPr>
        <w:numPr>
          <w:ilvl w:val="0"/>
          <w:numId w:val="5"/>
        </w:numPr>
        <w:spacing w:after="0"/>
        <w:ind w:left="567"/>
        <w:contextualSpacing/>
        <w:rPr>
          <w:rFonts w:eastAsia="Times New Roman"/>
          <w:b/>
          <w:szCs w:val="20"/>
        </w:rPr>
      </w:pPr>
      <w:r>
        <w:rPr>
          <w:rFonts w:eastAsia="Times New Roman"/>
          <w:b/>
          <w:szCs w:val="20"/>
        </w:rPr>
        <w:t xml:space="preserve">Peritos </w:t>
      </w:r>
      <w:r w:rsidR="006570C0">
        <w:rPr>
          <w:rFonts w:eastAsia="Times New Roman"/>
          <w:b/>
          <w:szCs w:val="20"/>
        </w:rPr>
        <w:t>(</w:t>
      </w:r>
      <w:r>
        <w:rPr>
          <w:rFonts w:eastAsia="Times New Roman"/>
          <w:b/>
          <w:szCs w:val="20"/>
        </w:rPr>
        <w:t>propuestos</w:t>
      </w:r>
      <w:r w:rsidRPr="000F6BDF">
        <w:rPr>
          <w:rFonts w:eastAsia="Times New Roman"/>
          <w:b/>
          <w:szCs w:val="20"/>
        </w:rPr>
        <w:t xml:space="preserve"> </w:t>
      </w:r>
      <w:r>
        <w:rPr>
          <w:rFonts w:eastAsia="Times New Roman"/>
          <w:b/>
          <w:szCs w:val="20"/>
        </w:rPr>
        <w:t>por</w:t>
      </w:r>
      <w:r w:rsidRPr="000F6BDF">
        <w:rPr>
          <w:rFonts w:eastAsia="Times New Roman"/>
          <w:b/>
          <w:szCs w:val="20"/>
        </w:rPr>
        <w:t xml:space="preserve"> l</w:t>
      </w:r>
      <w:r>
        <w:rPr>
          <w:rFonts w:eastAsia="Times New Roman"/>
          <w:b/>
          <w:szCs w:val="20"/>
        </w:rPr>
        <w:t>os</w:t>
      </w:r>
      <w:r w:rsidRPr="000F6BDF">
        <w:rPr>
          <w:rFonts w:eastAsia="Times New Roman"/>
          <w:b/>
          <w:szCs w:val="20"/>
        </w:rPr>
        <w:t xml:space="preserve"> </w:t>
      </w:r>
      <w:r>
        <w:rPr>
          <w:rFonts w:eastAsia="Times New Roman"/>
          <w:b/>
          <w:szCs w:val="20"/>
        </w:rPr>
        <w:t>representantes</w:t>
      </w:r>
      <w:r w:rsidR="006570C0">
        <w:rPr>
          <w:rFonts w:eastAsia="Times New Roman"/>
          <w:b/>
          <w:szCs w:val="20"/>
        </w:rPr>
        <w:t>)</w:t>
      </w:r>
    </w:p>
    <w:p w14:paraId="2B12806F" w14:textId="77777777" w:rsidR="000F06CF" w:rsidRPr="007378BC" w:rsidRDefault="000F06CF" w:rsidP="000F06CF">
      <w:pPr>
        <w:pStyle w:val="Prrafodelista"/>
        <w:tabs>
          <w:tab w:val="left" w:pos="567"/>
        </w:tabs>
        <w:ind w:left="0"/>
        <w:jc w:val="both"/>
        <w:rPr>
          <w:rFonts w:ascii="Verdana" w:hAnsi="Verdana"/>
          <w:sz w:val="20"/>
          <w:szCs w:val="20"/>
          <w:lang w:val="es-419"/>
        </w:rPr>
      </w:pPr>
    </w:p>
    <w:p w14:paraId="7FD5DA71" w14:textId="77777777" w:rsidR="000F06CF" w:rsidRDefault="000F06CF" w:rsidP="000F06CF">
      <w:pPr>
        <w:spacing w:after="0"/>
        <w:ind w:left="567"/>
        <w:contextualSpacing/>
      </w:pPr>
      <w:r>
        <w:t>11.</w:t>
      </w:r>
      <w:r>
        <w:tab/>
        <w:t xml:space="preserve"> </w:t>
      </w:r>
      <w:r>
        <w:rPr>
          <w:i/>
        </w:rPr>
        <w:t xml:space="preserve">Philip </w:t>
      </w:r>
      <w:proofErr w:type="spellStart"/>
      <w:r>
        <w:rPr>
          <w:i/>
        </w:rPr>
        <w:t>Alston</w:t>
      </w:r>
      <w:proofErr w:type="spellEnd"/>
      <w:r w:rsidRPr="002E01E9">
        <w:t>,</w:t>
      </w:r>
      <w:r>
        <w:t xml:space="preserve"> Relator especial sobre la extrema pobreza y los derechos humanos de la Organización de las Naciones Unidas y ex Relator especial sobre ejecuciones extrajudiciales, sumarias o arbitrarias de la Organización de las Naciones Unidas, quien declarará sobre: i) la actuación de las fuerzas de seguridad en el contexto de vulnerabilidad y pobreza en Venezuela, en particular en el Estado Falcón; </w:t>
      </w:r>
      <w:proofErr w:type="spellStart"/>
      <w:r>
        <w:t>ii</w:t>
      </w:r>
      <w:proofErr w:type="spellEnd"/>
      <w:r>
        <w:t xml:space="preserve">) el uso de la fuerza y la presunta estigmatización por parte de las fuerzas de seguridad contra población en situación de vulnerabilidad en contextos de pobreza; </w:t>
      </w:r>
      <w:proofErr w:type="spellStart"/>
      <w:r>
        <w:t>iii</w:t>
      </w:r>
      <w:proofErr w:type="spellEnd"/>
      <w:r>
        <w:t xml:space="preserve">) el rol del Estado venezolano respecto de actuaciones y prácticas de terceros que, bajo la supuesta tolerancia o aquiescencia estatal, crearían, mantendrían o favorecerían situaciones discriminatorias que generarían graves violaciones a los derechos humanos. </w:t>
      </w:r>
    </w:p>
    <w:p w14:paraId="4A2A2320" w14:textId="77777777" w:rsidR="000F06CF" w:rsidRDefault="000F06CF" w:rsidP="000F06CF">
      <w:pPr>
        <w:spacing w:after="0"/>
        <w:ind w:left="567"/>
        <w:contextualSpacing/>
      </w:pPr>
    </w:p>
    <w:p w14:paraId="4D92690D" w14:textId="77777777" w:rsidR="000F06CF" w:rsidRDefault="000F06CF" w:rsidP="000F06CF">
      <w:pPr>
        <w:spacing w:after="0"/>
        <w:ind w:left="567"/>
        <w:contextualSpacing/>
      </w:pPr>
      <w:r>
        <w:t xml:space="preserve">12. </w:t>
      </w:r>
      <w:r>
        <w:tab/>
      </w:r>
      <w:r w:rsidRPr="003A3134">
        <w:rPr>
          <w:i/>
        </w:rPr>
        <w:t>Ignacio Cano</w:t>
      </w:r>
      <w:r>
        <w:t xml:space="preserve">, Profesor de la Universidad del Estado de Río de Janeiro, quien declarará sobre: i) la importancia de la recolección de datos y cifras respecto de homicidios en manos de fuerzas de seguridad para el diseño e implementación de políticas públicas en derechos humanos efectivas por parte de un Estado; </w:t>
      </w:r>
      <w:proofErr w:type="spellStart"/>
      <w:r>
        <w:t>ii</w:t>
      </w:r>
      <w:proofErr w:type="spellEnd"/>
      <w:r>
        <w:t xml:space="preserve">) la forma en que un Estado debe recolectar ese tipo de datos para poder diseñar, implementar y evaluar políticas públicas que permitan reducir graves violaciones a los derechos humanos, tales como tortura y ejecuciones extrajudiciales por parte de las fuerzas de seguridad; </w:t>
      </w:r>
      <w:proofErr w:type="spellStart"/>
      <w:r>
        <w:t>iii</w:t>
      </w:r>
      <w:proofErr w:type="spellEnd"/>
      <w:r>
        <w:t xml:space="preserve">) los errores y obstáculos comunes de los Estados y sus instituciones en el diseño e implementación de este tipo de políticas y los mecanismos para superarlos, y </w:t>
      </w:r>
      <w:proofErr w:type="spellStart"/>
      <w:r>
        <w:t>iv</w:t>
      </w:r>
      <w:proofErr w:type="spellEnd"/>
      <w:r>
        <w:t xml:space="preserve">) el rol y participación de la sociedad civil en el diseño, implementación y evaluación de estas políticas públicas. </w:t>
      </w:r>
    </w:p>
    <w:p w14:paraId="04D4FD2E" w14:textId="77777777" w:rsidR="000F06CF" w:rsidRDefault="000F06CF" w:rsidP="000F06CF">
      <w:pPr>
        <w:spacing w:after="0"/>
        <w:ind w:left="567"/>
        <w:contextualSpacing/>
      </w:pPr>
    </w:p>
    <w:p w14:paraId="7A017EF0" w14:textId="77777777" w:rsidR="000F06CF" w:rsidRDefault="000F06CF" w:rsidP="000F06CF">
      <w:pPr>
        <w:spacing w:after="0"/>
        <w:ind w:left="567"/>
        <w:contextualSpacing/>
      </w:pPr>
      <w:r>
        <w:t xml:space="preserve">13.- </w:t>
      </w:r>
      <w:r w:rsidRPr="00232472">
        <w:rPr>
          <w:i/>
        </w:rPr>
        <w:t>Roberto Briceño León</w:t>
      </w:r>
      <w:r>
        <w:t xml:space="preserve">, investigador y profesor universitario, quien declarará sobre: i) el presunto contexto de violaciones de derechos humanos cometidas por la fuerza pública en Venezuela que habría existido en 2003; </w:t>
      </w:r>
      <w:proofErr w:type="spellStart"/>
      <w:r>
        <w:t>ii</w:t>
      </w:r>
      <w:proofErr w:type="spellEnd"/>
      <w:r>
        <w:t xml:space="preserve">) las eventuales causas estructurales de las posibles repeticiones e impunidad de tales violaciones; </w:t>
      </w:r>
      <w:proofErr w:type="spellStart"/>
      <w:r>
        <w:t>iii</w:t>
      </w:r>
      <w:proofErr w:type="spellEnd"/>
      <w:r>
        <w:t xml:space="preserve">) la posible omisión de medidas y políticas públicas necesarias y adecuadas para investigar y prevenir la repetición de las mismas violaciones en Venezuela, y </w:t>
      </w:r>
      <w:proofErr w:type="spellStart"/>
      <w:r>
        <w:t>iv</w:t>
      </w:r>
      <w:proofErr w:type="spellEnd"/>
      <w:r>
        <w:t xml:space="preserve">) las medidas que, en su caso, entiende necesarias para mejorar la prevención, esclarecimiento y sanción de las violaciones aludidas en Venezuela. </w:t>
      </w:r>
    </w:p>
    <w:p w14:paraId="266FA3FE" w14:textId="77777777" w:rsidR="000F06CF" w:rsidRDefault="000F06CF" w:rsidP="000F06CF">
      <w:pPr>
        <w:spacing w:after="0"/>
        <w:ind w:left="567"/>
        <w:contextualSpacing/>
      </w:pPr>
    </w:p>
    <w:p w14:paraId="23F302D8" w14:textId="51D0F8D8" w:rsidR="000F06CF" w:rsidRDefault="000F06CF" w:rsidP="000F06CF">
      <w:pPr>
        <w:spacing w:after="0"/>
        <w:ind w:left="567"/>
        <w:contextualSpacing/>
      </w:pPr>
      <w:r>
        <w:t xml:space="preserve">14.- </w:t>
      </w:r>
      <w:r>
        <w:rPr>
          <w:i/>
        </w:rPr>
        <w:t xml:space="preserve">José Luis Prieto Carrero, </w:t>
      </w:r>
      <w:r>
        <w:t>médico forense, quien declarará sobre: i) las negligencias y omisiones que se habrían cometido al recabar las diligencias investigativas por las muertes de</w:t>
      </w:r>
      <w:r w:rsidR="00676695">
        <w:t xml:space="preserve"> los señores</w:t>
      </w:r>
      <w:r>
        <w:t xml:space="preserve"> Jimmy Guerrero y Ramón Molina; </w:t>
      </w:r>
      <w:proofErr w:type="spellStart"/>
      <w:r>
        <w:t>ii</w:t>
      </w:r>
      <w:proofErr w:type="spellEnd"/>
      <w:r>
        <w:t xml:space="preserve">) el examen de la escena y de otras evidencias forenses para establecer la existencia de actos de tortura y ejecución; </w:t>
      </w:r>
      <w:proofErr w:type="spellStart"/>
      <w:r>
        <w:t>iii</w:t>
      </w:r>
      <w:proofErr w:type="spellEnd"/>
      <w:r>
        <w:t xml:space="preserve">) la consistencia de la trayectoria balística </w:t>
      </w:r>
      <w:r w:rsidRPr="00F02C89">
        <w:t xml:space="preserve">con un posible acto de ejecución; </w:t>
      </w:r>
      <w:proofErr w:type="spellStart"/>
      <w:r w:rsidRPr="00F02C89">
        <w:t>iv</w:t>
      </w:r>
      <w:proofErr w:type="spellEnd"/>
      <w:r w:rsidRPr="00F02C89">
        <w:t xml:space="preserve">) </w:t>
      </w:r>
      <w:r>
        <w:t xml:space="preserve">la posibilidad de determinar que se haya disparado a los cuerpos de </w:t>
      </w:r>
      <w:r w:rsidR="00676695">
        <w:t xml:space="preserve">los señores </w:t>
      </w:r>
      <w:r>
        <w:t xml:space="preserve">Jimmy Guerrero y Ramón Molina después de su fallecimiento, y v) las medidas que, de ser el caso, el Estado debería tomar para cumplir con los estándares internacionales de debida diligencia en la investigación, en lo atinente a la materia médica forense. </w:t>
      </w:r>
    </w:p>
    <w:p w14:paraId="3CC0DB75" w14:textId="77777777" w:rsidR="000F06CF" w:rsidRDefault="000F06CF" w:rsidP="000F06CF">
      <w:pPr>
        <w:spacing w:after="0"/>
        <w:ind w:left="567"/>
        <w:contextualSpacing/>
      </w:pPr>
    </w:p>
    <w:p w14:paraId="4DAFD9D1" w14:textId="3DE3CDA1" w:rsidR="000F06CF" w:rsidRDefault="000F06CF" w:rsidP="000F06CF">
      <w:pPr>
        <w:spacing w:after="0"/>
        <w:ind w:left="567"/>
        <w:contextualSpacing/>
      </w:pPr>
      <w:r>
        <w:t xml:space="preserve">15.- </w:t>
      </w:r>
      <w:r w:rsidRPr="00F02C89">
        <w:rPr>
          <w:i/>
        </w:rPr>
        <w:t>Rossana Ramírez</w:t>
      </w:r>
      <w:r>
        <w:t xml:space="preserve">, psicóloga, quien declarará sobre: i) los resultados obtenidos de una evaluación psicosocial practicada a los familiares de </w:t>
      </w:r>
      <w:r w:rsidR="00676695">
        <w:t xml:space="preserve">los señores </w:t>
      </w:r>
      <w:r>
        <w:t xml:space="preserve">Jimmy Guerrero y Ramón Molina; </w:t>
      </w:r>
      <w:proofErr w:type="spellStart"/>
      <w:r>
        <w:t>ii</w:t>
      </w:r>
      <w:proofErr w:type="spellEnd"/>
      <w:r>
        <w:t xml:space="preserve">) el impacto psicológico que habrían tenido las presuntas ejecuciones extrajudiciales de </w:t>
      </w:r>
      <w:r w:rsidR="00676695">
        <w:t xml:space="preserve">los señores </w:t>
      </w:r>
      <w:r>
        <w:t xml:space="preserve">Jimmy Guerrero y Ramón Molina en sus familiares; </w:t>
      </w:r>
      <w:proofErr w:type="spellStart"/>
      <w:r>
        <w:t>iii</w:t>
      </w:r>
      <w:proofErr w:type="spellEnd"/>
      <w:r>
        <w:t xml:space="preserve">) el impacto psicológico en las presuntas víctimas por los aducidos retrasos en la investigación y la alegada obstaculización deliberada de las autoridades policiales de la búsqueda de justicia; </w:t>
      </w:r>
      <w:proofErr w:type="spellStart"/>
      <w:r>
        <w:t>iv</w:t>
      </w:r>
      <w:proofErr w:type="spellEnd"/>
      <w:r>
        <w:t>) la supuesta afectación al proyecto de vida de las presuntas víctimas a raíz de lo ocurrido; v) la importancia de la asistencia psicológica a las presuntas víctimas para superar la pérdi</w:t>
      </w:r>
      <w:r w:rsidR="00676695">
        <w:t>da traumática de sus familiares, y</w:t>
      </w:r>
      <w:r>
        <w:t xml:space="preserve"> vi) posibles medidas de reparación, en caso de estimarse que resultarían pertinentes. </w:t>
      </w:r>
    </w:p>
    <w:p w14:paraId="6E43F73F" w14:textId="77777777" w:rsidR="000F06CF" w:rsidRDefault="000F06CF" w:rsidP="000F06CF">
      <w:pPr>
        <w:spacing w:after="0"/>
        <w:ind w:left="567"/>
        <w:contextualSpacing/>
      </w:pPr>
    </w:p>
    <w:p w14:paraId="4071214D" w14:textId="350B71CC" w:rsidR="000F06CF" w:rsidRDefault="000F06CF" w:rsidP="000F06CF">
      <w:pPr>
        <w:spacing w:after="0"/>
        <w:ind w:left="567"/>
        <w:contextualSpacing/>
      </w:pPr>
      <w:r>
        <w:t xml:space="preserve">16.- </w:t>
      </w:r>
      <w:r w:rsidRPr="00697112">
        <w:rPr>
          <w:i/>
        </w:rPr>
        <w:t xml:space="preserve">Carmen </w:t>
      </w:r>
      <w:proofErr w:type="spellStart"/>
      <w:r w:rsidRPr="00697112">
        <w:rPr>
          <w:i/>
        </w:rPr>
        <w:t>Wurst</w:t>
      </w:r>
      <w:proofErr w:type="spellEnd"/>
      <w:r>
        <w:t>, psicóloga, quien declarará sobre: i) los resultados obtenidos de una evaluación psicosocial practicada a los familiares de</w:t>
      </w:r>
      <w:r w:rsidR="00676695">
        <w:t>l señor</w:t>
      </w:r>
      <w:r>
        <w:t xml:space="preserve"> Jimmy Guerrero residentes en Lima, Perú; </w:t>
      </w:r>
      <w:proofErr w:type="spellStart"/>
      <w:r>
        <w:t>ii</w:t>
      </w:r>
      <w:proofErr w:type="spellEnd"/>
      <w:r>
        <w:t xml:space="preserve">) el impacto psicológico que habrían tenido las presuntas ejecuciones extrajudiciales de </w:t>
      </w:r>
      <w:r w:rsidR="00676695">
        <w:t xml:space="preserve">los señores </w:t>
      </w:r>
      <w:r>
        <w:t xml:space="preserve">Jimmy Guerrero y Ramón Molina en sus familiares; </w:t>
      </w:r>
      <w:proofErr w:type="spellStart"/>
      <w:r>
        <w:t>iii</w:t>
      </w:r>
      <w:proofErr w:type="spellEnd"/>
      <w:r>
        <w:t xml:space="preserve">) el impacto psicológico en las presuntas víctimas por los aducidos retrasos en la investigación y la alegada obstaculización deliberada de las autoridades policiales de la búsqueda de justicia; </w:t>
      </w:r>
      <w:proofErr w:type="spellStart"/>
      <w:r>
        <w:t>iv</w:t>
      </w:r>
      <w:proofErr w:type="spellEnd"/>
      <w:r>
        <w:t>) la supuesta afectación al proyecto de vida de las presuntas víctimas a raíz de lo ocurrido; v) la importancia de la asistencia psicológica a las presuntas víctimas para superar la pérdida traumática de sus familiares; vi) posibles medidas de reparación, en caso de estimarse que resultarían pertinentes.</w:t>
      </w:r>
    </w:p>
    <w:p w14:paraId="3E3FDF24" w14:textId="77777777" w:rsidR="000F06CF" w:rsidRPr="006B44AD" w:rsidRDefault="000F06CF" w:rsidP="000F06CF">
      <w:pPr>
        <w:pStyle w:val="Prrafodelista"/>
        <w:tabs>
          <w:tab w:val="left" w:pos="567"/>
        </w:tabs>
        <w:ind w:left="0"/>
        <w:jc w:val="both"/>
        <w:rPr>
          <w:rFonts w:ascii="Verdana" w:hAnsi="Verdana"/>
          <w:sz w:val="20"/>
          <w:szCs w:val="20"/>
          <w:lang w:val="es-ES_tradnl"/>
        </w:rPr>
      </w:pPr>
    </w:p>
    <w:p w14:paraId="33603E9F" w14:textId="77777777" w:rsidR="000F06CF" w:rsidRPr="006B44A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Instruir al Estado y a l</w:t>
      </w:r>
      <w:r>
        <w:rPr>
          <w:rFonts w:ascii="Verdana" w:hAnsi="Verdana"/>
          <w:sz w:val="20"/>
          <w:szCs w:val="20"/>
          <w:lang w:val="es-ES_tradnl"/>
        </w:rPr>
        <w:t>os</w:t>
      </w:r>
      <w:r w:rsidRPr="006B44AD">
        <w:rPr>
          <w:rFonts w:ascii="Verdana" w:hAnsi="Verdana"/>
          <w:sz w:val="20"/>
          <w:szCs w:val="20"/>
          <w:lang w:val="es-ES_tradnl"/>
        </w:rPr>
        <w:t xml:space="preserve"> representante</w:t>
      </w:r>
      <w:r>
        <w:rPr>
          <w:rFonts w:ascii="Verdana" w:hAnsi="Verdana"/>
          <w:sz w:val="20"/>
          <w:szCs w:val="20"/>
          <w:lang w:val="es-ES_tradnl"/>
        </w:rPr>
        <w:t>s de las presuntas víctimas</w:t>
      </w:r>
      <w:r w:rsidRPr="006B44AD">
        <w:rPr>
          <w:rFonts w:ascii="Verdana" w:hAnsi="Verdana"/>
          <w:sz w:val="20"/>
          <w:szCs w:val="20"/>
          <w:lang w:val="es-ES_tradnl"/>
        </w:rPr>
        <w:t xml:space="preserve"> que notifiquen la presente Resolución a las personas declarantes que fueron por ellos propuestas, de conformidad con lo dispuesto en los artículos 50.2 y 50.4 del Reglamento.</w:t>
      </w:r>
    </w:p>
    <w:p w14:paraId="0E4F2BBD" w14:textId="77777777" w:rsidR="000F06CF" w:rsidRPr="006B44AD" w:rsidRDefault="000F06CF" w:rsidP="000F06CF">
      <w:pPr>
        <w:pStyle w:val="Prrafodelista"/>
        <w:rPr>
          <w:rFonts w:ascii="Verdana" w:hAnsi="Verdana"/>
          <w:sz w:val="20"/>
          <w:szCs w:val="20"/>
          <w:lang w:val="es-ES_tradnl"/>
        </w:rPr>
      </w:pPr>
    </w:p>
    <w:p w14:paraId="0E4D9A33" w14:textId="0C909C97" w:rsidR="000F06CF" w:rsidRPr="006B44A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w:t>
      </w:r>
      <w:r>
        <w:rPr>
          <w:rFonts w:ascii="Verdana" w:hAnsi="Verdana"/>
          <w:sz w:val="20"/>
          <w:szCs w:val="20"/>
          <w:lang w:val="es-ES_tradnl"/>
        </w:rPr>
        <w:t>l Estado y</w:t>
      </w:r>
      <w:r w:rsidRPr="006B44AD">
        <w:rPr>
          <w:rFonts w:ascii="Verdana" w:hAnsi="Verdana"/>
          <w:sz w:val="20"/>
          <w:szCs w:val="20"/>
          <w:lang w:val="es-ES_tradnl"/>
        </w:rPr>
        <w:t xml:space="preserve"> l</w:t>
      </w:r>
      <w:r>
        <w:rPr>
          <w:rFonts w:ascii="Verdana" w:hAnsi="Verdana"/>
          <w:sz w:val="20"/>
          <w:szCs w:val="20"/>
          <w:lang w:val="es-ES_tradnl"/>
        </w:rPr>
        <w:t>os</w:t>
      </w:r>
      <w:r w:rsidRPr="006B44AD">
        <w:rPr>
          <w:rFonts w:ascii="Verdana" w:hAnsi="Verdana"/>
          <w:sz w:val="20"/>
          <w:szCs w:val="20"/>
          <w:lang w:val="es-ES_tradnl"/>
        </w:rPr>
        <w:t xml:space="preserve"> representante</w:t>
      </w:r>
      <w:r>
        <w:rPr>
          <w:rFonts w:ascii="Verdana" w:hAnsi="Verdana"/>
          <w:sz w:val="20"/>
          <w:szCs w:val="20"/>
          <w:lang w:val="es-ES_tradnl"/>
        </w:rPr>
        <w:t>s de las presuntas víctimas</w:t>
      </w:r>
      <w:r w:rsidRPr="006B44AD">
        <w:rPr>
          <w:rFonts w:ascii="Verdana" w:hAnsi="Verdana"/>
          <w:sz w:val="20"/>
          <w:szCs w:val="20"/>
          <w:lang w:val="es-ES_tradnl"/>
        </w:rPr>
        <w:t xml:space="preserve"> que remitan, en los términos del artículo 50.5 </w:t>
      </w:r>
      <w:r w:rsidRPr="00B10EAC">
        <w:rPr>
          <w:rFonts w:ascii="Verdana" w:hAnsi="Verdana"/>
          <w:sz w:val="20"/>
          <w:szCs w:val="20"/>
          <w:lang w:val="es-ES_tradnl"/>
        </w:rPr>
        <w:t>del</w:t>
      </w:r>
      <w:r w:rsidRPr="006B44AD">
        <w:rPr>
          <w:rFonts w:ascii="Verdana" w:hAnsi="Verdana"/>
          <w:sz w:val="20"/>
          <w:szCs w:val="20"/>
          <w:lang w:val="es-ES_tradnl"/>
        </w:rPr>
        <w:t xml:space="preserve"> Reglamento y de considerarlo pertinente, en lo que corresponda</w:t>
      </w:r>
      <w:r w:rsidR="002514CC">
        <w:rPr>
          <w:rFonts w:ascii="Verdana" w:hAnsi="Verdana"/>
          <w:sz w:val="20"/>
          <w:szCs w:val="20"/>
          <w:lang w:val="es-ES_tradnl"/>
        </w:rPr>
        <w:t>,</w:t>
      </w:r>
      <w:r w:rsidRPr="006B44AD">
        <w:rPr>
          <w:rFonts w:ascii="Verdana" w:hAnsi="Verdana"/>
          <w:sz w:val="20"/>
          <w:szCs w:val="20"/>
          <w:lang w:val="es-ES_tradnl"/>
        </w:rPr>
        <w:t xml:space="preserve"> y en el plazo </w:t>
      </w:r>
      <w:r w:rsidRPr="00766065">
        <w:rPr>
          <w:rFonts w:ascii="Verdana" w:hAnsi="Verdana"/>
          <w:sz w:val="20"/>
          <w:szCs w:val="20"/>
          <w:lang w:val="es-ES_tradnl"/>
        </w:rPr>
        <w:t xml:space="preserve">improrrogable que vence </w:t>
      </w:r>
      <w:r w:rsidRPr="0066229C">
        <w:rPr>
          <w:rFonts w:ascii="Verdana" w:hAnsi="Verdana"/>
          <w:sz w:val="20"/>
          <w:szCs w:val="20"/>
          <w:lang w:val="es-ES_tradnl"/>
        </w:rPr>
        <w:t xml:space="preserve">el </w:t>
      </w:r>
      <w:r w:rsidR="00B10EAC" w:rsidRPr="0066229C">
        <w:rPr>
          <w:rFonts w:ascii="Verdana" w:hAnsi="Verdana"/>
          <w:sz w:val="20"/>
          <w:szCs w:val="20"/>
          <w:lang w:val="es-ES_tradnl"/>
        </w:rPr>
        <w:t>2</w:t>
      </w:r>
      <w:r w:rsidRPr="0066229C">
        <w:rPr>
          <w:rFonts w:ascii="Verdana" w:hAnsi="Verdana"/>
          <w:sz w:val="20"/>
          <w:szCs w:val="20"/>
          <w:lang w:val="es-ES_tradnl"/>
        </w:rPr>
        <w:t xml:space="preserve"> de </w:t>
      </w:r>
      <w:r w:rsidR="00B10EAC" w:rsidRPr="0066229C">
        <w:rPr>
          <w:rFonts w:ascii="Verdana" w:hAnsi="Verdana"/>
          <w:sz w:val="20"/>
          <w:szCs w:val="20"/>
          <w:lang w:val="es-ES_tradnl"/>
        </w:rPr>
        <w:t>noviembre</w:t>
      </w:r>
      <w:r w:rsidRPr="0066229C">
        <w:rPr>
          <w:rFonts w:ascii="Verdana" w:hAnsi="Verdana"/>
          <w:color w:val="auto"/>
          <w:sz w:val="20"/>
          <w:szCs w:val="20"/>
          <w:lang w:val="es-ES_tradnl"/>
        </w:rPr>
        <w:t xml:space="preserve"> de 2020</w:t>
      </w:r>
      <w:r w:rsidRPr="0066229C">
        <w:rPr>
          <w:rFonts w:ascii="Verdana" w:hAnsi="Verdana"/>
          <w:sz w:val="20"/>
          <w:szCs w:val="20"/>
          <w:lang w:val="es-ES_tradnl"/>
        </w:rPr>
        <w:t>,</w:t>
      </w:r>
      <w:r w:rsidRPr="00766065">
        <w:rPr>
          <w:rFonts w:ascii="Verdana" w:hAnsi="Verdana"/>
          <w:sz w:val="20"/>
          <w:szCs w:val="20"/>
          <w:lang w:val="es-ES_tradnl"/>
        </w:rPr>
        <w:t xml:space="preserve"> las preguntas que estimen pertinente</w:t>
      </w:r>
      <w:r w:rsidRPr="006B44AD">
        <w:rPr>
          <w:rFonts w:ascii="Verdana" w:hAnsi="Verdana"/>
          <w:sz w:val="20"/>
          <w:szCs w:val="20"/>
          <w:lang w:val="es-ES_tradnl"/>
        </w:rPr>
        <w:t xml:space="preserve"> formular, a través de la Corte Interamericana, a los declarantes indicados en el punto resolutivo </w:t>
      </w:r>
      <w:r>
        <w:rPr>
          <w:rFonts w:ascii="Verdana" w:hAnsi="Verdana"/>
          <w:sz w:val="20"/>
          <w:szCs w:val="20"/>
          <w:lang w:val="es-ES_tradnl"/>
        </w:rPr>
        <w:t>2</w:t>
      </w:r>
      <w:r w:rsidRPr="006B44AD">
        <w:rPr>
          <w:rFonts w:ascii="Verdana" w:hAnsi="Verdana"/>
          <w:sz w:val="20"/>
          <w:szCs w:val="20"/>
          <w:lang w:val="es-ES_tradnl"/>
        </w:rPr>
        <w:t xml:space="preserve"> de la presente Resolución.</w:t>
      </w:r>
    </w:p>
    <w:p w14:paraId="52215444" w14:textId="77777777" w:rsidR="000F06CF" w:rsidRPr="006B44AD" w:rsidRDefault="000F06CF" w:rsidP="000F06CF">
      <w:pPr>
        <w:pStyle w:val="Prrafodelista"/>
        <w:rPr>
          <w:rFonts w:ascii="Verdana" w:hAnsi="Verdana"/>
          <w:sz w:val="20"/>
          <w:szCs w:val="20"/>
          <w:lang w:val="es-ES_tradnl"/>
        </w:rPr>
      </w:pPr>
    </w:p>
    <w:p w14:paraId="63AAA851" w14:textId="6A9423CE" w:rsidR="000F06CF" w:rsidRPr="00766065"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w:t>
      </w:r>
      <w:r>
        <w:rPr>
          <w:rFonts w:ascii="Verdana" w:hAnsi="Verdana"/>
          <w:sz w:val="20"/>
          <w:szCs w:val="20"/>
          <w:lang w:val="es-ES_tradnl"/>
        </w:rPr>
        <w:t>l Estado y a los representantes de las presuntas víctimas</w:t>
      </w:r>
      <w:r w:rsidRPr="006B44AD">
        <w:rPr>
          <w:rFonts w:ascii="Verdana" w:hAnsi="Verdana"/>
          <w:sz w:val="20"/>
          <w:szCs w:val="20"/>
          <w:lang w:val="es-ES_tradnl"/>
        </w:rPr>
        <w:t xml:space="preserve"> que coordinen y realicen las diligencias necesarias para que, una vez recibidas las preguntas, si las hubiere, l</w:t>
      </w:r>
      <w:r>
        <w:rPr>
          <w:rFonts w:ascii="Verdana" w:hAnsi="Verdana"/>
          <w:sz w:val="20"/>
          <w:szCs w:val="20"/>
          <w:lang w:val="es-ES_tradnl"/>
        </w:rPr>
        <w:t>a</w:t>
      </w:r>
      <w:r w:rsidRPr="006B44AD">
        <w:rPr>
          <w:rFonts w:ascii="Verdana" w:hAnsi="Verdana"/>
          <w:sz w:val="20"/>
          <w:szCs w:val="20"/>
          <w:lang w:val="es-ES_tradnl"/>
        </w:rPr>
        <w:t xml:space="preserve">s </w:t>
      </w:r>
      <w:r>
        <w:rPr>
          <w:rFonts w:ascii="Verdana" w:hAnsi="Verdana"/>
          <w:sz w:val="20"/>
          <w:szCs w:val="20"/>
          <w:lang w:val="es-ES_tradnl"/>
        </w:rPr>
        <w:t xml:space="preserve">personas </w:t>
      </w:r>
      <w:r w:rsidRPr="006B44AD">
        <w:rPr>
          <w:rFonts w:ascii="Verdana" w:hAnsi="Verdana"/>
          <w:sz w:val="20"/>
          <w:szCs w:val="20"/>
          <w:lang w:val="es-ES_tradnl"/>
        </w:rPr>
        <w:t>declarantes indicad</w:t>
      </w:r>
      <w:r>
        <w:rPr>
          <w:rFonts w:ascii="Verdana" w:hAnsi="Verdana"/>
          <w:sz w:val="20"/>
          <w:szCs w:val="20"/>
          <w:lang w:val="es-ES_tradnl"/>
        </w:rPr>
        <w:t>a</w:t>
      </w:r>
      <w:r w:rsidRPr="006B44AD">
        <w:rPr>
          <w:rFonts w:ascii="Verdana" w:hAnsi="Verdana"/>
          <w:sz w:val="20"/>
          <w:szCs w:val="20"/>
          <w:lang w:val="es-ES_tradnl"/>
        </w:rPr>
        <w:t xml:space="preserve">s en el punto resolutivo </w:t>
      </w:r>
      <w:r>
        <w:rPr>
          <w:rFonts w:ascii="Verdana" w:hAnsi="Verdana"/>
          <w:sz w:val="20"/>
          <w:szCs w:val="20"/>
          <w:lang w:val="es-ES_tradnl"/>
        </w:rPr>
        <w:t>2</w:t>
      </w:r>
      <w:r w:rsidRPr="006B44AD">
        <w:rPr>
          <w:rFonts w:ascii="Verdana" w:hAnsi="Verdana"/>
          <w:sz w:val="20"/>
          <w:szCs w:val="20"/>
          <w:lang w:val="es-ES_tradnl"/>
        </w:rPr>
        <w:t xml:space="preserve"> de la presente Resolución, incluyan las respuestas en sus respectivas declaraciones, rendidas ante fedatario público, salvo que esta Presidencia disponga lo contrario cuando la Secretaría las transmita. Las declaraciones requeridas deberán ser </w:t>
      </w:r>
      <w:r w:rsidRPr="00766065">
        <w:rPr>
          <w:rFonts w:ascii="Verdana" w:hAnsi="Verdana"/>
          <w:sz w:val="20"/>
          <w:szCs w:val="20"/>
          <w:lang w:val="es-ES_tradnl"/>
        </w:rPr>
        <w:t xml:space="preserve">presentadas al Tribunal a más tardar el </w:t>
      </w:r>
      <w:r w:rsidR="00B10EAC" w:rsidRPr="0066229C">
        <w:rPr>
          <w:rFonts w:ascii="Verdana" w:hAnsi="Verdana"/>
          <w:sz w:val="20"/>
          <w:szCs w:val="20"/>
          <w:lang w:val="es-ES_tradnl"/>
        </w:rPr>
        <w:t>27</w:t>
      </w:r>
      <w:r w:rsidRPr="0066229C">
        <w:rPr>
          <w:rFonts w:ascii="Verdana" w:hAnsi="Verdana"/>
          <w:color w:val="auto"/>
          <w:sz w:val="20"/>
          <w:szCs w:val="20"/>
          <w:lang w:val="es-ES_tradnl"/>
        </w:rPr>
        <w:t xml:space="preserve"> de </w:t>
      </w:r>
      <w:r w:rsidR="00B10EAC" w:rsidRPr="0066229C">
        <w:rPr>
          <w:rFonts w:ascii="Verdana" w:hAnsi="Verdana"/>
          <w:color w:val="auto"/>
          <w:sz w:val="20"/>
          <w:szCs w:val="20"/>
          <w:lang w:val="es-ES_tradnl"/>
        </w:rPr>
        <w:t>enero</w:t>
      </w:r>
      <w:r w:rsidRPr="0066229C">
        <w:rPr>
          <w:rFonts w:ascii="Verdana" w:hAnsi="Verdana"/>
          <w:color w:val="auto"/>
          <w:sz w:val="20"/>
          <w:szCs w:val="20"/>
          <w:lang w:val="es-ES_tradnl"/>
        </w:rPr>
        <w:t xml:space="preserve"> de</w:t>
      </w:r>
      <w:r w:rsidR="0066229C" w:rsidRPr="0066229C">
        <w:rPr>
          <w:rFonts w:ascii="Verdana" w:hAnsi="Verdana"/>
          <w:color w:val="auto"/>
          <w:sz w:val="20"/>
          <w:szCs w:val="20"/>
          <w:lang w:val="es-ES_tradnl"/>
        </w:rPr>
        <w:t xml:space="preserve"> 2021</w:t>
      </w:r>
      <w:r w:rsidRPr="00766065">
        <w:rPr>
          <w:rFonts w:ascii="Verdana" w:hAnsi="Verdana"/>
          <w:sz w:val="20"/>
          <w:szCs w:val="20"/>
          <w:lang w:val="es-ES_tradnl"/>
        </w:rPr>
        <w:t>.</w:t>
      </w:r>
    </w:p>
    <w:p w14:paraId="25080FAF" w14:textId="77777777" w:rsidR="000F06CF" w:rsidRPr="006B44AD" w:rsidRDefault="000F06CF" w:rsidP="000F06CF">
      <w:pPr>
        <w:pStyle w:val="Prrafodelista"/>
        <w:rPr>
          <w:rFonts w:ascii="Verdana" w:hAnsi="Verdana"/>
          <w:sz w:val="20"/>
          <w:szCs w:val="20"/>
          <w:lang w:val="es-ES_tradnl"/>
        </w:rPr>
      </w:pPr>
    </w:p>
    <w:p w14:paraId="414E6166" w14:textId="76421CF8" w:rsidR="000F06CF" w:rsidRPr="006B44A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 xml:space="preserve">Disponer, conforme al artículo 50.6 del Reglamento, </w:t>
      </w:r>
      <w:proofErr w:type="gramStart"/>
      <w:r w:rsidRPr="006B44AD">
        <w:rPr>
          <w:rFonts w:ascii="Verdana" w:hAnsi="Verdana"/>
          <w:sz w:val="20"/>
          <w:szCs w:val="20"/>
          <w:lang w:val="es-ES_tradnl"/>
        </w:rPr>
        <w:t>que</w:t>
      </w:r>
      <w:proofErr w:type="gramEnd"/>
      <w:r w:rsidRPr="006B44AD">
        <w:rPr>
          <w:rFonts w:ascii="Verdana" w:hAnsi="Verdana"/>
          <w:sz w:val="20"/>
          <w:szCs w:val="20"/>
          <w:lang w:val="es-ES_tradnl"/>
        </w:rPr>
        <w:t xml:space="preserve"> una vez recibidas las</w:t>
      </w:r>
      <w:r>
        <w:rPr>
          <w:rFonts w:ascii="Verdana" w:hAnsi="Verdana"/>
          <w:sz w:val="20"/>
          <w:szCs w:val="20"/>
          <w:lang w:val="es-ES_tradnl"/>
        </w:rPr>
        <w:t xml:space="preserve"> declaraciones</w:t>
      </w:r>
      <w:r w:rsidR="00BB71F6">
        <w:rPr>
          <w:rFonts w:ascii="Verdana" w:hAnsi="Verdana"/>
          <w:sz w:val="20"/>
          <w:szCs w:val="20"/>
          <w:lang w:val="es-ES_tradnl"/>
        </w:rPr>
        <w:t xml:space="preserve"> escritas</w:t>
      </w:r>
      <w:r>
        <w:rPr>
          <w:rFonts w:ascii="Verdana" w:hAnsi="Verdana"/>
          <w:sz w:val="20"/>
          <w:szCs w:val="20"/>
          <w:lang w:val="es-ES_tradnl"/>
        </w:rPr>
        <w:t>, la Secretaría la</w:t>
      </w:r>
      <w:r w:rsidRPr="006B44AD">
        <w:rPr>
          <w:rFonts w:ascii="Verdana" w:hAnsi="Verdana"/>
          <w:sz w:val="20"/>
          <w:szCs w:val="20"/>
          <w:lang w:val="es-ES_tradnl"/>
        </w:rPr>
        <w:t>s transmita al Estado, a l</w:t>
      </w:r>
      <w:r>
        <w:rPr>
          <w:rFonts w:ascii="Verdana" w:hAnsi="Verdana"/>
          <w:sz w:val="20"/>
          <w:szCs w:val="20"/>
          <w:lang w:val="es-ES_tradnl"/>
        </w:rPr>
        <w:t>os</w:t>
      </w:r>
      <w:r w:rsidRPr="006B44AD">
        <w:rPr>
          <w:rFonts w:ascii="Verdana" w:hAnsi="Verdana"/>
          <w:sz w:val="20"/>
          <w:szCs w:val="20"/>
          <w:lang w:val="es-ES_tradnl"/>
        </w:rPr>
        <w:t xml:space="preserve"> representante</w:t>
      </w:r>
      <w:r>
        <w:rPr>
          <w:rFonts w:ascii="Verdana" w:hAnsi="Verdana"/>
          <w:sz w:val="20"/>
          <w:szCs w:val="20"/>
          <w:lang w:val="es-ES_tradnl"/>
        </w:rPr>
        <w:t>s de las presuntas víctimas</w:t>
      </w:r>
      <w:r w:rsidRPr="006B44AD">
        <w:rPr>
          <w:rFonts w:ascii="Verdana" w:hAnsi="Verdana"/>
          <w:sz w:val="20"/>
          <w:szCs w:val="20"/>
          <w:lang w:val="es-ES_tradnl"/>
        </w:rPr>
        <w:t xml:space="preserve"> y a la Comisión</w:t>
      </w:r>
      <w:r>
        <w:rPr>
          <w:rFonts w:ascii="Verdana" w:hAnsi="Verdana"/>
          <w:sz w:val="20"/>
          <w:szCs w:val="20"/>
          <w:lang w:val="es-ES_tradnl"/>
        </w:rPr>
        <w:t xml:space="preserve"> Interamericana</w:t>
      </w:r>
      <w:r w:rsidRPr="006B44AD">
        <w:rPr>
          <w:rFonts w:ascii="Verdana" w:hAnsi="Verdana"/>
          <w:sz w:val="20"/>
          <w:szCs w:val="20"/>
          <w:lang w:val="es-ES_tradnl"/>
        </w:rPr>
        <w:t xml:space="preserve"> para que, si lo estiman necesario y en lo que les corresponda, presenten sus observaciones a más tardar con sus alegatos u observaciones finales escritas, respectivamente.</w:t>
      </w:r>
    </w:p>
    <w:p w14:paraId="76FB6210" w14:textId="77777777" w:rsidR="000F06CF" w:rsidRPr="006B44AD" w:rsidRDefault="000F06CF" w:rsidP="000F06CF">
      <w:pPr>
        <w:pStyle w:val="Prrafodelista"/>
        <w:rPr>
          <w:rFonts w:ascii="Verdana" w:hAnsi="Verdana"/>
          <w:sz w:val="20"/>
          <w:szCs w:val="20"/>
          <w:lang w:val="es-ES_tradnl"/>
        </w:rPr>
      </w:pPr>
    </w:p>
    <w:p w14:paraId="24EE021D" w14:textId="77777777" w:rsidR="000F06CF"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Requerir a la representante y al Estado que informen a las personas requeridas por la Corte para declarar que, según lo dispuesto en el artículo 54 del Reglamento, el Tribunal pondrá́ en conocimiento del Estado el caso en que la persona requerida para declarar rehusare deponer sin motivo legítimo, para los fines previstos en la legislación nacional correspondiente.</w:t>
      </w:r>
    </w:p>
    <w:p w14:paraId="59D3E794" w14:textId="77777777" w:rsidR="000F06CF" w:rsidRPr="00F00DBD" w:rsidRDefault="000F06CF" w:rsidP="000F06CF">
      <w:pPr>
        <w:pStyle w:val="Prrafodelista"/>
        <w:rPr>
          <w:rFonts w:ascii="Verdana" w:hAnsi="Verdana"/>
          <w:sz w:val="20"/>
          <w:szCs w:val="20"/>
          <w:lang w:val="es-ES_tradnl"/>
        </w:rPr>
      </w:pPr>
    </w:p>
    <w:p w14:paraId="3167F8D3" w14:textId="629B9EFE" w:rsidR="000F06CF" w:rsidRPr="00F00DB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F00DBD">
        <w:rPr>
          <w:rFonts w:ascii="Verdana" w:hAnsi="Verdana"/>
          <w:sz w:val="20"/>
          <w:szCs w:val="20"/>
          <w:lang w:val="es-ES_tradnl"/>
        </w:rPr>
        <w:t xml:space="preserve">Incorporar al acervo probatorio, como prueba documental: </w:t>
      </w:r>
      <w:r w:rsidRPr="00F00DBD">
        <w:rPr>
          <w:rFonts w:ascii="Verdana" w:eastAsia="Times New Roman" w:hAnsi="Verdana" w:cs="Verdana"/>
          <w:sz w:val="20"/>
          <w:szCs w:val="16"/>
          <w:lang w:val="es-CR" w:eastAsia="en-US"/>
        </w:rPr>
        <w:t xml:space="preserve">a) </w:t>
      </w:r>
      <w:r w:rsidR="00783317">
        <w:rPr>
          <w:rFonts w:ascii="Verdana" w:hAnsi="Verdana" w:cs="Arial"/>
          <w:sz w:val="20"/>
          <w:szCs w:val="20"/>
          <w:lang w:val="es-CR"/>
        </w:rPr>
        <w:t>la declaración</w:t>
      </w:r>
      <w:r w:rsidR="00783317" w:rsidRPr="005562D7">
        <w:rPr>
          <w:rFonts w:ascii="Verdana" w:hAnsi="Verdana" w:cs="Arial"/>
          <w:sz w:val="20"/>
          <w:szCs w:val="20"/>
          <w:lang w:val="es-CR"/>
        </w:rPr>
        <w:t xml:space="preserve"> pericial del </w:t>
      </w:r>
      <w:r w:rsidR="00783317" w:rsidRPr="005562D7">
        <w:rPr>
          <w:rFonts w:ascii="Verdana" w:eastAsia="Times New Roman" w:hAnsi="Verdana" w:cs="Verdana"/>
          <w:sz w:val="20"/>
          <w:szCs w:val="20"/>
          <w:lang w:val="es-CL" w:eastAsia="en-US"/>
        </w:rPr>
        <w:t xml:space="preserve">experto </w:t>
      </w:r>
      <w:r w:rsidR="00783317" w:rsidRPr="005C1B41">
        <w:rPr>
          <w:rFonts w:ascii="Verdana" w:eastAsia="Times New Roman" w:hAnsi="Verdana" w:cs="Verdana"/>
          <w:sz w:val="20"/>
          <w:szCs w:val="16"/>
          <w:lang w:val="es-CL" w:eastAsia="en-US"/>
        </w:rPr>
        <w:t xml:space="preserve">Hugo </w:t>
      </w:r>
      <w:proofErr w:type="spellStart"/>
      <w:r w:rsidR="00783317" w:rsidRPr="005C1B41">
        <w:rPr>
          <w:rFonts w:ascii="Verdana" w:eastAsia="Times New Roman" w:hAnsi="Verdana" w:cs="Verdana"/>
          <w:sz w:val="20"/>
          <w:szCs w:val="16"/>
          <w:lang w:val="es-CL" w:eastAsia="en-US"/>
        </w:rPr>
        <w:t>Fru</w:t>
      </w:r>
      <w:r w:rsidR="00783317">
        <w:rPr>
          <w:rFonts w:ascii="Verdana" w:eastAsia="Times New Roman" w:hAnsi="Verdana" w:cs="Verdana"/>
          <w:sz w:val="20"/>
          <w:szCs w:val="16"/>
          <w:lang w:val="es-CL" w:eastAsia="en-US"/>
        </w:rPr>
        <w:t>h</w:t>
      </w:r>
      <w:r w:rsidR="00783317" w:rsidRPr="005C1B41">
        <w:rPr>
          <w:rFonts w:ascii="Verdana" w:eastAsia="Times New Roman" w:hAnsi="Verdana" w:cs="Verdana"/>
          <w:sz w:val="20"/>
          <w:szCs w:val="16"/>
          <w:lang w:val="es-CL" w:eastAsia="en-US"/>
        </w:rPr>
        <w:t>ling</w:t>
      </w:r>
      <w:proofErr w:type="spellEnd"/>
      <w:r w:rsidR="00783317">
        <w:rPr>
          <w:rFonts w:ascii="Verdana" w:eastAsia="Times New Roman" w:hAnsi="Verdana" w:cs="Verdana"/>
          <w:sz w:val="20"/>
          <w:szCs w:val="16"/>
          <w:lang w:val="es-CL" w:eastAsia="en-US"/>
        </w:rPr>
        <w:t>, rendid</w:t>
      </w:r>
      <w:r w:rsidR="002514CC">
        <w:rPr>
          <w:rFonts w:ascii="Verdana" w:eastAsia="Times New Roman" w:hAnsi="Verdana" w:cs="Verdana"/>
          <w:sz w:val="20"/>
          <w:szCs w:val="16"/>
          <w:lang w:val="es-CL" w:eastAsia="en-US"/>
        </w:rPr>
        <w:t>a</w:t>
      </w:r>
      <w:r w:rsidR="00783317" w:rsidRPr="005C1B41">
        <w:rPr>
          <w:rFonts w:ascii="Verdana" w:eastAsia="Times New Roman" w:hAnsi="Verdana" w:cs="Verdana"/>
          <w:sz w:val="20"/>
          <w:szCs w:val="16"/>
          <w:lang w:val="es-CL" w:eastAsia="en-US"/>
        </w:rPr>
        <w:t xml:space="preserve"> en el caso</w:t>
      </w:r>
      <w:r w:rsidR="00783317" w:rsidRPr="005C1B41">
        <w:rPr>
          <w:rFonts w:ascii="Verdana" w:eastAsia="Times New Roman" w:hAnsi="Verdana" w:cs="Verdana"/>
          <w:i/>
          <w:sz w:val="20"/>
          <w:szCs w:val="16"/>
          <w:lang w:val="es-CL" w:eastAsia="en-US"/>
        </w:rPr>
        <w:t xml:space="preserve"> Hermanos Landaeta Mejías y otros Vs. Venezuela</w:t>
      </w:r>
      <w:r w:rsidRPr="00F00DBD">
        <w:rPr>
          <w:rFonts w:ascii="Verdana" w:eastAsia="Times New Roman" w:hAnsi="Verdana" w:cs="Verdana"/>
          <w:sz w:val="20"/>
          <w:szCs w:val="20"/>
          <w:lang w:val="es-CR" w:eastAsia="en-US"/>
        </w:rPr>
        <w:t xml:space="preserve">; b) la declaración pericial </w:t>
      </w:r>
      <w:r w:rsidRPr="00F00DBD">
        <w:rPr>
          <w:rFonts w:ascii="Verdana" w:hAnsi="Verdana" w:cs="Arial"/>
          <w:color w:val="auto"/>
          <w:sz w:val="20"/>
          <w:szCs w:val="20"/>
          <w:lang w:val="es-CR" w:eastAsia="es-CR"/>
        </w:rPr>
        <w:t xml:space="preserve">rendida por Christof </w:t>
      </w:r>
      <w:proofErr w:type="spellStart"/>
      <w:r w:rsidRPr="00F00DBD">
        <w:rPr>
          <w:rFonts w:ascii="Verdana" w:hAnsi="Verdana" w:cs="Arial"/>
          <w:color w:val="auto"/>
          <w:sz w:val="20"/>
          <w:szCs w:val="20"/>
          <w:lang w:val="es-CR" w:eastAsia="es-CR"/>
        </w:rPr>
        <w:t>Heyns</w:t>
      </w:r>
      <w:proofErr w:type="spellEnd"/>
      <w:r w:rsidRPr="00F00DBD">
        <w:rPr>
          <w:rFonts w:ascii="Verdana" w:hAnsi="Verdana" w:cs="Arial"/>
          <w:color w:val="auto"/>
          <w:sz w:val="20"/>
          <w:szCs w:val="20"/>
          <w:lang w:val="es-CR" w:eastAsia="es-CR"/>
        </w:rPr>
        <w:t xml:space="preserve"> en el caso </w:t>
      </w:r>
      <w:r w:rsidRPr="00F00DBD">
        <w:rPr>
          <w:rFonts w:ascii="Verdana" w:hAnsi="Verdana" w:cs="Arial"/>
          <w:i/>
          <w:color w:val="auto"/>
          <w:sz w:val="20"/>
          <w:szCs w:val="20"/>
          <w:lang w:val="es-CR" w:eastAsia="es-CR"/>
        </w:rPr>
        <w:t>Favela Nova Brasilia Vs. Brasil</w:t>
      </w:r>
      <w:r w:rsidRPr="00F00DBD">
        <w:rPr>
          <w:rFonts w:ascii="Verdana" w:hAnsi="Verdana" w:cs="Arial"/>
          <w:color w:val="auto"/>
          <w:sz w:val="20"/>
          <w:szCs w:val="20"/>
          <w:lang w:val="es-CR" w:eastAsia="es-CR"/>
        </w:rPr>
        <w:t xml:space="preserve">; c) la declaración pericial dada por Magaly Mercedes Vásquez González en el caso </w:t>
      </w:r>
      <w:r w:rsidRPr="00F00DBD">
        <w:rPr>
          <w:rFonts w:ascii="Verdana" w:hAnsi="Verdana" w:cs="Arial"/>
          <w:i/>
          <w:color w:val="auto"/>
          <w:sz w:val="20"/>
          <w:szCs w:val="20"/>
          <w:lang w:val="es-CR" w:eastAsia="es-CR"/>
        </w:rPr>
        <w:t>Familia Barrios Vs. Venezuela</w:t>
      </w:r>
      <w:r w:rsidRPr="00F00DBD">
        <w:rPr>
          <w:rFonts w:ascii="Verdana" w:hAnsi="Verdana" w:cs="Arial"/>
          <w:color w:val="auto"/>
          <w:sz w:val="20"/>
          <w:szCs w:val="20"/>
          <w:lang w:val="es-CR" w:eastAsia="es-CR"/>
        </w:rPr>
        <w:t xml:space="preserve">, y d) la declaración pericial prestada por José Pablo </w:t>
      </w:r>
      <w:proofErr w:type="spellStart"/>
      <w:r w:rsidRPr="00F00DBD">
        <w:rPr>
          <w:rFonts w:ascii="Verdana" w:hAnsi="Verdana" w:cs="Arial"/>
          <w:color w:val="auto"/>
          <w:sz w:val="20"/>
          <w:szCs w:val="20"/>
          <w:lang w:val="es-CR" w:eastAsia="es-CR"/>
        </w:rPr>
        <w:t>Baraybar</w:t>
      </w:r>
      <w:proofErr w:type="spellEnd"/>
      <w:r w:rsidRPr="00F00DBD">
        <w:rPr>
          <w:rFonts w:ascii="Verdana" w:hAnsi="Verdana" w:cs="Arial"/>
          <w:color w:val="auto"/>
          <w:sz w:val="20"/>
          <w:szCs w:val="20"/>
          <w:lang w:val="es-CR" w:eastAsia="es-CR"/>
        </w:rPr>
        <w:t xml:space="preserve"> en el caso </w:t>
      </w:r>
      <w:r w:rsidRPr="00F00DBD">
        <w:rPr>
          <w:rFonts w:ascii="Verdana" w:eastAsia="Times New Roman" w:hAnsi="Verdana" w:cs="Verdana"/>
          <w:i/>
          <w:sz w:val="20"/>
          <w:szCs w:val="16"/>
          <w:lang w:val="es-CL" w:eastAsia="en-US"/>
        </w:rPr>
        <w:t>Hermanos Landaeta Mejías y otros Vs. Venezuela</w:t>
      </w:r>
      <w:r w:rsidRPr="00F00DBD">
        <w:rPr>
          <w:rFonts w:ascii="Verdana" w:hAnsi="Verdana" w:cs="Arial"/>
          <w:color w:val="auto"/>
          <w:sz w:val="20"/>
          <w:szCs w:val="20"/>
          <w:lang w:val="es-CR" w:eastAsia="es-CR"/>
        </w:rPr>
        <w:t xml:space="preserve">. </w:t>
      </w:r>
    </w:p>
    <w:p w14:paraId="7CC18B3E" w14:textId="77777777" w:rsidR="000F06CF" w:rsidRPr="00F00DBD" w:rsidRDefault="000F06CF" w:rsidP="000F06CF">
      <w:pPr>
        <w:pStyle w:val="Prrafodelista"/>
        <w:rPr>
          <w:rFonts w:ascii="Verdana" w:hAnsi="Verdana"/>
          <w:sz w:val="20"/>
          <w:szCs w:val="20"/>
          <w:lang w:val="es-ES_tradnl"/>
        </w:rPr>
      </w:pPr>
    </w:p>
    <w:p w14:paraId="2807CC80" w14:textId="5D4EEA01" w:rsidR="000F06CF" w:rsidRPr="00F00DB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Pr>
          <w:rFonts w:ascii="Verdana" w:hAnsi="Verdana"/>
          <w:sz w:val="20"/>
          <w:szCs w:val="20"/>
          <w:lang w:val="es-ES_tradnl"/>
        </w:rPr>
        <w:t>Disponer que la Secretaría de la Corte trasmita al Estado, a los representantes de las presuntas víctimas y a la Comisión Interamericana la documentación referida en el punto resolutivo anterior</w:t>
      </w:r>
      <w:r w:rsidR="008E4B02">
        <w:rPr>
          <w:rFonts w:ascii="Verdana" w:hAnsi="Verdana"/>
          <w:sz w:val="20"/>
          <w:szCs w:val="20"/>
          <w:lang w:val="es-ES_tradnl"/>
        </w:rPr>
        <w:t xml:space="preserve"> para que</w:t>
      </w:r>
      <w:r w:rsidR="008E4B02" w:rsidRPr="008E4B02">
        <w:rPr>
          <w:rFonts w:ascii="Verdana" w:hAnsi="Verdana"/>
          <w:sz w:val="20"/>
          <w:szCs w:val="20"/>
          <w:lang w:val="es-ES_tradnl"/>
        </w:rPr>
        <w:t xml:space="preserve"> </w:t>
      </w:r>
      <w:r w:rsidR="008E4B02" w:rsidRPr="006B44AD">
        <w:rPr>
          <w:rFonts w:ascii="Verdana" w:hAnsi="Verdana"/>
          <w:sz w:val="20"/>
          <w:szCs w:val="20"/>
          <w:lang w:val="es-ES_tradnl"/>
        </w:rPr>
        <w:t xml:space="preserve">presenten </w:t>
      </w:r>
      <w:r w:rsidR="0055496A">
        <w:rPr>
          <w:rFonts w:ascii="Verdana" w:hAnsi="Verdana"/>
          <w:sz w:val="20"/>
          <w:szCs w:val="20"/>
          <w:lang w:val="es-ES_tradnl"/>
        </w:rPr>
        <w:t>las</w:t>
      </w:r>
      <w:r w:rsidR="008E4B02" w:rsidRPr="006B44AD">
        <w:rPr>
          <w:rFonts w:ascii="Verdana" w:hAnsi="Verdana"/>
          <w:sz w:val="20"/>
          <w:szCs w:val="20"/>
          <w:lang w:val="es-ES_tradnl"/>
        </w:rPr>
        <w:t xml:space="preserve"> observaciones </w:t>
      </w:r>
      <w:r w:rsidR="0055496A">
        <w:rPr>
          <w:rFonts w:ascii="Verdana" w:hAnsi="Verdana"/>
          <w:sz w:val="20"/>
          <w:szCs w:val="20"/>
          <w:lang w:val="es-ES_tradnl"/>
        </w:rPr>
        <w:t xml:space="preserve">que estimen pertinentes, </w:t>
      </w:r>
      <w:r w:rsidR="008E4B02" w:rsidRPr="006B44AD">
        <w:rPr>
          <w:rFonts w:ascii="Verdana" w:hAnsi="Verdana"/>
          <w:sz w:val="20"/>
          <w:szCs w:val="20"/>
          <w:lang w:val="es-ES_tradnl"/>
        </w:rPr>
        <w:t>a más tardar con sus alegatos u observaciones finales escritas</w:t>
      </w:r>
      <w:r>
        <w:rPr>
          <w:rFonts w:ascii="Verdana" w:hAnsi="Verdana"/>
          <w:sz w:val="20"/>
          <w:szCs w:val="20"/>
          <w:lang w:val="es-ES_tradnl"/>
        </w:rPr>
        <w:t xml:space="preserve">. </w:t>
      </w:r>
      <w:r w:rsidRPr="004B720A">
        <w:rPr>
          <w:rFonts w:ascii="Verdana" w:hAnsi="Verdana"/>
          <w:sz w:val="20"/>
          <w:szCs w:val="20"/>
          <w:lang w:val="es-ES_tradnl"/>
        </w:rPr>
        <w:t xml:space="preserve">De conformidad con lo expresado en el Considerando </w:t>
      </w:r>
      <w:r w:rsidR="0066229C">
        <w:rPr>
          <w:rFonts w:ascii="Verdana" w:hAnsi="Verdana"/>
          <w:sz w:val="20"/>
          <w:szCs w:val="20"/>
          <w:lang w:val="es-ES_tradnl"/>
        </w:rPr>
        <w:t>46</w:t>
      </w:r>
      <w:r w:rsidRPr="004B720A">
        <w:rPr>
          <w:rFonts w:ascii="Verdana" w:hAnsi="Verdana"/>
          <w:sz w:val="20"/>
          <w:szCs w:val="20"/>
          <w:lang w:val="es-ES_tradnl"/>
        </w:rPr>
        <w:t xml:space="preserve"> de la presente Resolución, los representantes deben remitir la traducción al español de la declaración del señor Christof </w:t>
      </w:r>
      <w:proofErr w:type="spellStart"/>
      <w:r w:rsidRPr="004B720A">
        <w:rPr>
          <w:rFonts w:ascii="Verdana" w:hAnsi="Verdana"/>
          <w:sz w:val="20"/>
          <w:szCs w:val="20"/>
          <w:lang w:val="es-ES_tradnl"/>
        </w:rPr>
        <w:t>Hayns</w:t>
      </w:r>
      <w:proofErr w:type="spellEnd"/>
      <w:r w:rsidRPr="004B720A">
        <w:rPr>
          <w:rFonts w:ascii="Verdana" w:hAnsi="Verdana"/>
          <w:sz w:val="20"/>
          <w:szCs w:val="20"/>
          <w:lang w:val="es-ES_tradnl"/>
        </w:rPr>
        <w:t xml:space="preserve"> a más tardar el </w:t>
      </w:r>
      <w:r w:rsidR="00B10EAC" w:rsidRPr="0066229C">
        <w:rPr>
          <w:rFonts w:ascii="Verdana" w:hAnsi="Verdana"/>
          <w:sz w:val="20"/>
          <w:szCs w:val="20"/>
          <w:lang w:val="es-ES_tradnl"/>
        </w:rPr>
        <w:t>27</w:t>
      </w:r>
      <w:r w:rsidRPr="0066229C">
        <w:rPr>
          <w:rFonts w:ascii="Verdana" w:hAnsi="Verdana"/>
          <w:sz w:val="20"/>
          <w:szCs w:val="20"/>
          <w:lang w:val="es-ES_tradnl"/>
        </w:rPr>
        <w:t xml:space="preserve"> de </w:t>
      </w:r>
      <w:r w:rsidR="00B10EAC" w:rsidRPr="0066229C">
        <w:rPr>
          <w:rFonts w:ascii="Verdana" w:hAnsi="Verdana"/>
          <w:sz w:val="20"/>
          <w:szCs w:val="20"/>
          <w:lang w:val="es-ES_tradnl"/>
        </w:rPr>
        <w:t>enero</w:t>
      </w:r>
      <w:r w:rsidRPr="0066229C">
        <w:rPr>
          <w:rFonts w:ascii="Verdana" w:hAnsi="Verdana"/>
          <w:sz w:val="20"/>
          <w:szCs w:val="20"/>
          <w:lang w:val="es-ES_tradnl"/>
        </w:rPr>
        <w:t xml:space="preserve"> de 202</w:t>
      </w:r>
      <w:r w:rsidR="00FA3875">
        <w:rPr>
          <w:rFonts w:ascii="Verdana" w:hAnsi="Verdana"/>
          <w:sz w:val="20"/>
          <w:szCs w:val="20"/>
          <w:lang w:val="es-ES_tradnl"/>
        </w:rPr>
        <w:t>1</w:t>
      </w:r>
      <w:r w:rsidR="00EE5B97">
        <w:rPr>
          <w:rFonts w:ascii="Verdana" w:hAnsi="Verdana"/>
          <w:sz w:val="20"/>
          <w:szCs w:val="20"/>
          <w:lang w:val="es-ES_tradnl"/>
        </w:rPr>
        <w:t>; luego la Secretaría trasladará dicha traducción al Estado y la Comisión.</w:t>
      </w:r>
      <w:r>
        <w:rPr>
          <w:rFonts w:ascii="Verdana" w:hAnsi="Verdana"/>
          <w:sz w:val="20"/>
          <w:szCs w:val="20"/>
          <w:lang w:val="es-ES_tradnl"/>
        </w:rPr>
        <w:t xml:space="preserve"> </w:t>
      </w:r>
    </w:p>
    <w:p w14:paraId="4E3D1175" w14:textId="77777777" w:rsidR="000F06CF" w:rsidRPr="00F00DBD" w:rsidRDefault="000F06CF" w:rsidP="000F06CF">
      <w:pPr>
        <w:pStyle w:val="Prrafodelista"/>
        <w:rPr>
          <w:rFonts w:ascii="Verdana" w:hAnsi="Verdana"/>
          <w:sz w:val="20"/>
          <w:szCs w:val="20"/>
          <w:lang w:val="es-ES_tradnl"/>
        </w:rPr>
      </w:pPr>
    </w:p>
    <w:p w14:paraId="17D38FDF" w14:textId="0218C726" w:rsidR="000F06CF" w:rsidRPr="00F00DBD"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F00DBD">
        <w:rPr>
          <w:rFonts w:ascii="Verdana" w:hAnsi="Verdana"/>
          <w:sz w:val="20"/>
          <w:szCs w:val="20"/>
          <w:lang w:val="es-CR"/>
        </w:rPr>
        <w:t>Informar al Estado y a los representantes de las presuntas víctimas que deben cubrir los gastos que ocasione la aportación o rendición de la prueba propuesta por ellos, de conformidad con lo dispuesto en el artículo 60 del Reglamento</w:t>
      </w:r>
      <w:r w:rsidR="00EE5B97">
        <w:rPr>
          <w:rFonts w:ascii="Verdana" w:hAnsi="Verdana"/>
          <w:sz w:val="20"/>
          <w:szCs w:val="20"/>
          <w:lang w:val="es-CR"/>
        </w:rPr>
        <w:t xml:space="preserve"> de la Corte</w:t>
      </w:r>
      <w:r w:rsidRPr="00F00DBD">
        <w:rPr>
          <w:rFonts w:ascii="Verdana" w:hAnsi="Verdana"/>
          <w:sz w:val="20"/>
          <w:szCs w:val="20"/>
          <w:lang w:val="es-CR"/>
        </w:rPr>
        <w:t xml:space="preserve">, sin perjuicio, en lo pertinente, de lo establecido en los puntos resolutivos </w:t>
      </w:r>
      <w:r w:rsidR="0066229C">
        <w:rPr>
          <w:rFonts w:ascii="Verdana" w:hAnsi="Verdana"/>
          <w:sz w:val="20"/>
          <w:szCs w:val="20"/>
          <w:lang w:val="es-CR"/>
        </w:rPr>
        <w:t xml:space="preserve">11 y 12 </w:t>
      </w:r>
      <w:r w:rsidRPr="00F00DBD">
        <w:rPr>
          <w:rFonts w:ascii="Verdana" w:hAnsi="Verdana"/>
          <w:sz w:val="20"/>
          <w:szCs w:val="20"/>
          <w:lang w:val="es-CR"/>
        </w:rPr>
        <w:t>de la presente Resolución.</w:t>
      </w:r>
      <w:r w:rsidRPr="00F00DBD">
        <w:rPr>
          <w:rFonts w:ascii="Verdana" w:hAnsi="Verdana"/>
          <w:sz w:val="20"/>
          <w:szCs w:val="20"/>
          <w:lang w:val="es-ES_tradnl"/>
        </w:rPr>
        <w:t xml:space="preserve"> </w:t>
      </w:r>
    </w:p>
    <w:p w14:paraId="2A4313BD" w14:textId="77777777" w:rsidR="000F06CF" w:rsidRPr="006F5264" w:rsidRDefault="000F06CF" w:rsidP="000F06CF">
      <w:pPr>
        <w:pStyle w:val="Prrafodelista"/>
        <w:rPr>
          <w:rFonts w:ascii="Verdana" w:hAnsi="Verdana"/>
          <w:sz w:val="20"/>
          <w:szCs w:val="20"/>
          <w:lang w:val="es-ES_tradnl"/>
        </w:rPr>
      </w:pPr>
    </w:p>
    <w:p w14:paraId="6A58F633" w14:textId="1A01F8F7" w:rsidR="000F06CF" w:rsidRPr="006F5264"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F5264">
        <w:rPr>
          <w:rFonts w:ascii="Verdana" w:hAnsi="Verdana" w:cs="Calibri"/>
          <w:sz w:val="20"/>
          <w:szCs w:val="20"/>
          <w:shd w:val="clear" w:color="auto" w:fill="FFFFFF"/>
          <w:lang w:val="es-ES_tradnl"/>
        </w:rPr>
        <w:t>Declarar procedente la aplicación del Fondo de Asistencia Legal de Víctimas de la Corte Interamericana en los términos dispuestos en l</w:t>
      </w:r>
      <w:r w:rsidR="0066229C">
        <w:rPr>
          <w:rFonts w:ascii="Verdana" w:hAnsi="Verdana" w:cs="Calibri"/>
          <w:sz w:val="20"/>
          <w:szCs w:val="20"/>
          <w:shd w:val="clear" w:color="auto" w:fill="FFFFFF"/>
          <w:lang w:val="es-ES_tradnl"/>
        </w:rPr>
        <w:t>os</w:t>
      </w:r>
      <w:r w:rsidRPr="006F5264">
        <w:rPr>
          <w:rFonts w:ascii="Verdana" w:hAnsi="Verdana" w:cs="Calibri"/>
          <w:sz w:val="20"/>
          <w:szCs w:val="20"/>
          <w:shd w:val="clear" w:color="auto" w:fill="FFFFFF"/>
          <w:lang w:val="es-ES_tradnl"/>
        </w:rPr>
        <w:t xml:space="preserve"> Considerando </w:t>
      </w:r>
      <w:r w:rsidR="0066229C">
        <w:rPr>
          <w:rFonts w:ascii="Verdana" w:hAnsi="Verdana" w:cs="Calibri"/>
          <w:sz w:val="20"/>
          <w:szCs w:val="20"/>
          <w:shd w:val="clear" w:color="auto" w:fill="FFFFFF"/>
          <w:lang w:val="es-ES_tradnl"/>
        </w:rPr>
        <w:t>53 a 56</w:t>
      </w:r>
      <w:r w:rsidRPr="006F5264">
        <w:rPr>
          <w:rFonts w:ascii="Verdana" w:hAnsi="Verdana" w:cs="Calibri"/>
          <w:sz w:val="20"/>
          <w:szCs w:val="20"/>
          <w:shd w:val="clear" w:color="auto" w:fill="FFFFFF"/>
          <w:lang w:val="es-ES_tradnl"/>
        </w:rPr>
        <w:t xml:space="preserve"> de esta Resolución.</w:t>
      </w:r>
    </w:p>
    <w:p w14:paraId="71E9F9BC" w14:textId="77777777" w:rsidR="000F06CF" w:rsidRPr="006F5264" w:rsidRDefault="000F06CF" w:rsidP="000F06CF">
      <w:pPr>
        <w:pStyle w:val="Prrafodelista"/>
        <w:rPr>
          <w:rFonts w:ascii="Verdana" w:hAnsi="Verdana"/>
          <w:sz w:val="20"/>
          <w:szCs w:val="20"/>
          <w:lang w:val="es-ES_tradnl"/>
        </w:rPr>
      </w:pPr>
    </w:p>
    <w:p w14:paraId="381EA120" w14:textId="167680D5" w:rsidR="000F06CF" w:rsidRPr="006F5264" w:rsidRDefault="000F06CF" w:rsidP="000F06CF">
      <w:pPr>
        <w:pStyle w:val="Prrafodelista"/>
        <w:numPr>
          <w:ilvl w:val="0"/>
          <w:numId w:val="40"/>
        </w:numPr>
        <w:tabs>
          <w:tab w:val="left" w:pos="567"/>
        </w:tabs>
        <w:ind w:left="0" w:firstLine="0"/>
        <w:contextualSpacing/>
        <w:jc w:val="both"/>
        <w:rPr>
          <w:rFonts w:ascii="Verdana" w:hAnsi="Verdana"/>
          <w:i/>
          <w:sz w:val="20"/>
          <w:szCs w:val="20"/>
          <w:lang w:val="es-ES_tradnl"/>
        </w:rPr>
      </w:pPr>
      <w:r w:rsidRPr="006F5264">
        <w:rPr>
          <w:rFonts w:ascii="Verdana" w:hAnsi="Verdana"/>
          <w:sz w:val="20"/>
          <w:szCs w:val="20"/>
          <w:lang w:val="es-ES_tradnl"/>
        </w:rPr>
        <w:t>.</w:t>
      </w:r>
      <w:r w:rsidRPr="006F5264">
        <w:rPr>
          <w:rFonts w:ascii="Verdana" w:hAnsi="Verdana"/>
          <w:sz w:val="20"/>
          <w:szCs w:val="20"/>
          <w:lang w:val="es-CR"/>
        </w:rPr>
        <w:t xml:space="preserve"> Requerir a los representantes que, a más tardar junto con sus alegatos finales escritos, que deben ser presentados en el día indicado en el punto resolutivo </w:t>
      </w:r>
      <w:r w:rsidR="0066229C">
        <w:rPr>
          <w:rFonts w:ascii="Verdana" w:hAnsi="Verdana"/>
          <w:sz w:val="20"/>
          <w:szCs w:val="20"/>
          <w:lang w:val="es-CR"/>
        </w:rPr>
        <w:t>14 de la presente Resolución</w:t>
      </w:r>
      <w:r w:rsidRPr="006F5264">
        <w:rPr>
          <w:rFonts w:ascii="Verdana" w:hAnsi="Verdana"/>
          <w:sz w:val="20"/>
          <w:szCs w:val="20"/>
          <w:lang w:val="es-CR"/>
        </w:rPr>
        <w:t>, presenten los comprobantes que acrediten debidamente los gastos razonables efectuados</w:t>
      </w:r>
      <w:r w:rsidR="00783317">
        <w:rPr>
          <w:rFonts w:ascii="Verdana" w:hAnsi="Verdana"/>
          <w:sz w:val="20"/>
          <w:szCs w:val="20"/>
          <w:lang w:val="es-CR"/>
        </w:rPr>
        <w:t xml:space="preserve"> respecto a dos declaraciones escritas</w:t>
      </w:r>
      <w:r w:rsidRPr="006F5264">
        <w:rPr>
          <w:rFonts w:ascii="Verdana" w:hAnsi="Verdana"/>
          <w:sz w:val="20"/>
          <w:szCs w:val="20"/>
          <w:lang w:val="es-CR"/>
        </w:rPr>
        <w:t xml:space="preserve">, </w:t>
      </w:r>
      <w:proofErr w:type="gramStart"/>
      <w:r w:rsidRPr="006F5264">
        <w:rPr>
          <w:rFonts w:ascii="Verdana" w:hAnsi="Verdana"/>
          <w:sz w:val="20"/>
          <w:szCs w:val="20"/>
          <w:lang w:val="es-CR"/>
        </w:rPr>
        <w:t>de acuerdo a</w:t>
      </w:r>
      <w:proofErr w:type="gramEnd"/>
      <w:r w:rsidRPr="006F5264">
        <w:rPr>
          <w:rFonts w:ascii="Verdana" w:hAnsi="Verdana"/>
          <w:sz w:val="20"/>
          <w:szCs w:val="20"/>
          <w:lang w:val="es-CR"/>
        </w:rPr>
        <w:t xml:space="preserve"> lo indicado en el Considerando </w:t>
      </w:r>
      <w:r w:rsidR="0066229C">
        <w:rPr>
          <w:rFonts w:ascii="Verdana" w:hAnsi="Verdana"/>
          <w:sz w:val="20"/>
          <w:szCs w:val="20"/>
          <w:lang w:val="es-CR"/>
        </w:rPr>
        <w:t>54</w:t>
      </w:r>
      <w:r w:rsidRPr="006F5264">
        <w:rPr>
          <w:rFonts w:ascii="Verdana" w:hAnsi="Verdana"/>
          <w:sz w:val="20"/>
          <w:szCs w:val="20"/>
          <w:lang w:val="es-CR"/>
        </w:rPr>
        <w:t xml:space="preserve"> de la presente Resolución. El reintegro de los gastos se efectuará luego de la recepción de los comprobantes correspondientes.</w:t>
      </w:r>
    </w:p>
    <w:p w14:paraId="0A181DF9" w14:textId="77777777" w:rsidR="000F06CF" w:rsidRPr="006F5264" w:rsidRDefault="000F06CF" w:rsidP="000F06CF">
      <w:pPr>
        <w:pStyle w:val="Prrafodelista"/>
        <w:rPr>
          <w:rFonts w:ascii="Verdana" w:hAnsi="Verdana"/>
          <w:sz w:val="20"/>
          <w:szCs w:val="20"/>
          <w:lang w:val="es-CR"/>
        </w:rPr>
      </w:pPr>
    </w:p>
    <w:p w14:paraId="5A4288A9" w14:textId="77777777" w:rsidR="000F06CF" w:rsidRPr="006F5264"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F5264">
        <w:rPr>
          <w:rFonts w:ascii="Verdana" w:hAnsi="Verdana"/>
          <w:sz w:val="20"/>
          <w:szCs w:val="20"/>
          <w:lang w:val="es-CR"/>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4581A5DE" w14:textId="77777777" w:rsidR="000F06CF" w:rsidRPr="006B44AD" w:rsidRDefault="000F06CF" w:rsidP="000F06CF">
      <w:pPr>
        <w:pStyle w:val="Prrafodelista"/>
        <w:tabs>
          <w:tab w:val="left" w:pos="567"/>
        </w:tabs>
        <w:ind w:left="0"/>
        <w:jc w:val="both"/>
        <w:rPr>
          <w:rFonts w:ascii="Verdana" w:hAnsi="Verdana"/>
          <w:sz w:val="20"/>
          <w:szCs w:val="20"/>
          <w:lang w:val="es-ES_tradnl"/>
        </w:rPr>
      </w:pPr>
    </w:p>
    <w:p w14:paraId="19C513C3" w14:textId="7B33B2C1" w:rsidR="000F06CF" w:rsidRPr="00FF0496"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Informar a</w:t>
      </w:r>
      <w:r>
        <w:rPr>
          <w:rFonts w:ascii="Verdana" w:hAnsi="Verdana"/>
          <w:sz w:val="20"/>
          <w:szCs w:val="20"/>
          <w:lang w:val="es-ES_tradnl"/>
        </w:rPr>
        <w:t>l Estado, a</w:t>
      </w:r>
      <w:r w:rsidRPr="006B44AD">
        <w:rPr>
          <w:rFonts w:ascii="Verdana" w:hAnsi="Verdana"/>
          <w:sz w:val="20"/>
          <w:szCs w:val="20"/>
          <w:lang w:val="es-ES_tradnl"/>
        </w:rPr>
        <w:t xml:space="preserve"> l</w:t>
      </w:r>
      <w:r>
        <w:rPr>
          <w:rFonts w:ascii="Verdana" w:hAnsi="Verdana"/>
          <w:sz w:val="20"/>
          <w:szCs w:val="20"/>
          <w:lang w:val="es-ES_tradnl"/>
        </w:rPr>
        <w:t>os</w:t>
      </w:r>
      <w:r w:rsidRPr="006B44AD">
        <w:rPr>
          <w:rFonts w:ascii="Verdana" w:hAnsi="Verdana"/>
          <w:sz w:val="20"/>
          <w:szCs w:val="20"/>
          <w:lang w:val="es-ES_tradnl"/>
        </w:rPr>
        <w:t xml:space="preserve"> representante</w:t>
      </w:r>
      <w:r>
        <w:rPr>
          <w:rFonts w:ascii="Verdana" w:hAnsi="Verdana"/>
          <w:sz w:val="20"/>
          <w:szCs w:val="20"/>
          <w:lang w:val="es-ES_tradnl"/>
        </w:rPr>
        <w:t xml:space="preserve">s de las presuntas víctimas y a </w:t>
      </w:r>
      <w:r w:rsidRPr="006B44AD">
        <w:rPr>
          <w:rFonts w:ascii="Verdana" w:hAnsi="Verdana"/>
          <w:sz w:val="20"/>
          <w:szCs w:val="20"/>
          <w:lang w:val="es-ES_tradnl"/>
        </w:rPr>
        <w:t xml:space="preserve">la Comisión Interamericana que, en los </w:t>
      </w:r>
      <w:r w:rsidRPr="00812641">
        <w:rPr>
          <w:rFonts w:ascii="Verdana" w:hAnsi="Verdana"/>
          <w:sz w:val="20"/>
          <w:szCs w:val="20"/>
          <w:lang w:val="es-ES_tradnl"/>
        </w:rPr>
        <w:t>términos del artículo 56 del Reglamento, cuentan con un plazo de un mes, contado a partir</w:t>
      </w:r>
      <w:r w:rsidRPr="00FF0496">
        <w:rPr>
          <w:rFonts w:ascii="Verdana" w:hAnsi="Verdana"/>
          <w:sz w:val="20"/>
          <w:szCs w:val="20"/>
          <w:lang w:val="es-ES_tradnl"/>
        </w:rPr>
        <w:t xml:space="preserve"> del día en que, de conformidad con lo esta</w:t>
      </w:r>
      <w:r>
        <w:rPr>
          <w:rFonts w:ascii="Verdana" w:hAnsi="Verdana"/>
          <w:sz w:val="20"/>
          <w:szCs w:val="20"/>
          <w:lang w:val="es-ES_tradnl"/>
        </w:rPr>
        <w:t>blecido en l</w:t>
      </w:r>
      <w:r w:rsidR="00EE5B97">
        <w:rPr>
          <w:rFonts w:ascii="Verdana" w:hAnsi="Verdana"/>
          <w:sz w:val="20"/>
          <w:szCs w:val="20"/>
          <w:lang w:val="es-ES_tradnl"/>
        </w:rPr>
        <w:t>os</w:t>
      </w:r>
      <w:r>
        <w:rPr>
          <w:rFonts w:ascii="Verdana" w:hAnsi="Verdana"/>
          <w:sz w:val="20"/>
          <w:szCs w:val="20"/>
          <w:lang w:val="es-ES_tradnl"/>
        </w:rPr>
        <w:t xml:space="preserve"> punto</w:t>
      </w:r>
      <w:r w:rsidR="00EE5B97">
        <w:rPr>
          <w:rFonts w:ascii="Verdana" w:hAnsi="Verdana"/>
          <w:sz w:val="20"/>
          <w:szCs w:val="20"/>
          <w:lang w:val="es-ES_tradnl"/>
        </w:rPr>
        <w:t>s</w:t>
      </w:r>
      <w:r>
        <w:rPr>
          <w:rFonts w:ascii="Verdana" w:hAnsi="Verdana"/>
          <w:sz w:val="20"/>
          <w:szCs w:val="20"/>
          <w:lang w:val="es-ES_tradnl"/>
        </w:rPr>
        <w:t xml:space="preserve"> resolutivo</w:t>
      </w:r>
      <w:r w:rsidR="00EE5B97">
        <w:rPr>
          <w:rFonts w:ascii="Verdana" w:hAnsi="Verdana"/>
          <w:sz w:val="20"/>
          <w:szCs w:val="20"/>
          <w:lang w:val="es-ES_tradnl"/>
        </w:rPr>
        <w:t>s</w:t>
      </w:r>
      <w:r>
        <w:rPr>
          <w:rFonts w:ascii="Verdana" w:hAnsi="Verdana"/>
          <w:sz w:val="20"/>
          <w:szCs w:val="20"/>
          <w:lang w:val="es-ES_tradnl"/>
        </w:rPr>
        <w:t xml:space="preserve"> </w:t>
      </w:r>
      <w:r w:rsidRPr="0066229C">
        <w:rPr>
          <w:rFonts w:ascii="Verdana" w:hAnsi="Verdana"/>
          <w:sz w:val="20"/>
          <w:szCs w:val="20"/>
          <w:lang w:val="es-ES_tradnl"/>
        </w:rPr>
        <w:t>6</w:t>
      </w:r>
      <w:r w:rsidR="00EE5B97" w:rsidRPr="0066229C">
        <w:rPr>
          <w:rFonts w:ascii="Verdana" w:hAnsi="Verdana"/>
          <w:sz w:val="20"/>
          <w:szCs w:val="20"/>
          <w:lang w:val="es-ES_tradnl"/>
        </w:rPr>
        <w:t xml:space="preserve"> y</w:t>
      </w:r>
      <w:r w:rsidR="00EE5B97">
        <w:rPr>
          <w:rFonts w:ascii="Verdana" w:hAnsi="Verdana"/>
          <w:sz w:val="20"/>
          <w:szCs w:val="20"/>
          <w:lang w:val="es-ES_tradnl"/>
        </w:rPr>
        <w:t xml:space="preserve"> 9</w:t>
      </w:r>
      <w:r w:rsidRPr="00FF0496">
        <w:rPr>
          <w:rFonts w:ascii="Verdana" w:hAnsi="Verdana"/>
          <w:sz w:val="20"/>
          <w:szCs w:val="20"/>
          <w:lang w:val="es-ES_tradnl"/>
        </w:rPr>
        <w:t>, reciban las declaraciones indicadas</w:t>
      </w:r>
      <w:r>
        <w:rPr>
          <w:rFonts w:ascii="Verdana" w:hAnsi="Verdana"/>
          <w:sz w:val="20"/>
          <w:szCs w:val="20"/>
          <w:lang w:val="es-ES_tradnl"/>
        </w:rPr>
        <w:t xml:space="preserve"> en el punto resolutivo </w:t>
      </w:r>
      <w:r w:rsidRPr="00777EA8">
        <w:rPr>
          <w:rFonts w:ascii="Verdana" w:hAnsi="Verdana"/>
          <w:sz w:val="20"/>
          <w:szCs w:val="20"/>
          <w:lang w:val="es-ES_tradnl"/>
        </w:rPr>
        <w:t>2</w:t>
      </w:r>
      <w:r w:rsidR="00EE5B97">
        <w:rPr>
          <w:rFonts w:ascii="Verdana" w:hAnsi="Verdana"/>
          <w:sz w:val="20"/>
          <w:szCs w:val="20"/>
          <w:lang w:val="es-ES_tradnl"/>
        </w:rPr>
        <w:t xml:space="preserve"> y el documento señalado en el punto resolutivo 9</w:t>
      </w:r>
      <w:r w:rsidRPr="00FF0496">
        <w:rPr>
          <w:rFonts w:ascii="Verdana" w:hAnsi="Verdana"/>
          <w:sz w:val="20"/>
          <w:szCs w:val="20"/>
          <w:lang w:val="es-ES_tradnl"/>
        </w:rPr>
        <w:t xml:space="preserve">, para presentar sus alegatos finales escritos y observaciones finales escritas, respectivamente, en relación con </w:t>
      </w:r>
      <w:r>
        <w:rPr>
          <w:rFonts w:ascii="Verdana" w:hAnsi="Verdana"/>
          <w:sz w:val="20"/>
          <w:szCs w:val="20"/>
          <w:lang w:val="es-ES_tradnl"/>
        </w:rPr>
        <w:t>el fondo y eventuales</w:t>
      </w:r>
      <w:r w:rsidRPr="00FF0496">
        <w:rPr>
          <w:rFonts w:ascii="Verdana" w:hAnsi="Verdana"/>
          <w:sz w:val="20"/>
          <w:szCs w:val="20"/>
          <w:lang w:val="es-ES_tradnl"/>
        </w:rPr>
        <w:t xml:space="preserve"> reparaciones y costas en el presente caso. Este plazo es improrrogable.</w:t>
      </w:r>
    </w:p>
    <w:p w14:paraId="3893D8B6" w14:textId="77777777" w:rsidR="000F06CF" w:rsidRPr="006B44AD" w:rsidRDefault="000F06CF" w:rsidP="000F06CF">
      <w:pPr>
        <w:pStyle w:val="Prrafodelista"/>
        <w:tabs>
          <w:tab w:val="left" w:pos="567"/>
        </w:tabs>
        <w:ind w:left="0"/>
        <w:contextualSpacing/>
        <w:jc w:val="both"/>
        <w:rPr>
          <w:rFonts w:ascii="Verdana" w:hAnsi="Verdana"/>
          <w:sz w:val="20"/>
          <w:szCs w:val="20"/>
          <w:highlight w:val="yellow"/>
          <w:lang w:val="es-ES_tradnl"/>
        </w:rPr>
      </w:pPr>
    </w:p>
    <w:p w14:paraId="514B2F05" w14:textId="5DD8446D" w:rsidR="006A4631" w:rsidRDefault="000F06CF" w:rsidP="000F06CF">
      <w:pPr>
        <w:pStyle w:val="Prrafodelista"/>
        <w:numPr>
          <w:ilvl w:val="0"/>
          <w:numId w:val="40"/>
        </w:numPr>
        <w:tabs>
          <w:tab w:val="left" w:pos="567"/>
        </w:tabs>
        <w:ind w:left="0" w:firstLine="0"/>
        <w:contextualSpacing/>
        <w:jc w:val="both"/>
        <w:rPr>
          <w:rFonts w:ascii="Verdana" w:hAnsi="Verdana"/>
          <w:sz w:val="20"/>
          <w:szCs w:val="20"/>
          <w:lang w:val="es-ES_tradnl"/>
        </w:rPr>
      </w:pPr>
      <w:r w:rsidRPr="006B44AD">
        <w:rPr>
          <w:rFonts w:ascii="Verdana" w:hAnsi="Verdana"/>
          <w:sz w:val="20"/>
          <w:szCs w:val="20"/>
          <w:lang w:val="es-ES_tradnl"/>
        </w:rPr>
        <w:t>Disponer que la Secretaría de la Corte Interamericana</w:t>
      </w:r>
      <w:r w:rsidR="00BB71F6">
        <w:rPr>
          <w:rFonts w:ascii="Verdana" w:hAnsi="Verdana"/>
          <w:sz w:val="20"/>
          <w:szCs w:val="20"/>
          <w:lang w:val="es-ES_tradnl"/>
        </w:rPr>
        <w:t xml:space="preserve"> de Derechos Humanos</w:t>
      </w:r>
      <w:r w:rsidRPr="006B44AD">
        <w:rPr>
          <w:rFonts w:ascii="Verdana" w:hAnsi="Verdana"/>
          <w:sz w:val="20"/>
          <w:szCs w:val="20"/>
          <w:lang w:val="es-ES_tradnl"/>
        </w:rPr>
        <w:t xml:space="preserve"> notifique la presente Resolución a la</w:t>
      </w:r>
      <w:r>
        <w:rPr>
          <w:rFonts w:ascii="Verdana" w:hAnsi="Verdana"/>
          <w:sz w:val="20"/>
          <w:szCs w:val="20"/>
          <w:lang w:val="es-ES_tradnl"/>
        </w:rPr>
        <w:t xml:space="preserve"> República Bolivariana de Venezuela, a los representantes de las presuntas víctimas y a la</w:t>
      </w:r>
      <w:r w:rsidRPr="006B44AD">
        <w:rPr>
          <w:rFonts w:ascii="Verdana" w:hAnsi="Verdana"/>
          <w:sz w:val="20"/>
          <w:szCs w:val="20"/>
          <w:lang w:val="es-ES_tradnl"/>
        </w:rPr>
        <w:t xml:space="preserve"> Comisión Interamericana de Derechos Humanos.</w:t>
      </w:r>
      <w:bookmarkEnd w:id="0"/>
    </w:p>
    <w:p w14:paraId="3A94A850" w14:textId="77777777" w:rsidR="00315F92" w:rsidRPr="00315F92" w:rsidRDefault="00315F92" w:rsidP="00315F92">
      <w:pPr>
        <w:pStyle w:val="Prrafodelista"/>
        <w:rPr>
          <w:rFonts w:ascii="Verdana" w:hAnsi="Verdana"/>
          <w:sz w:val="20"/>
          <w:szCs w:val="20"/>
          <w:lang w:val="es-ES_tradnl"/>
        </w:rPr>
      </w:pPr>
    </w:p>
    <w:p w14:paraId="0A88414E" w14:textId="0A99EEE6" w:rsidR="00315F92" w:rsidRDefault="00315F92" w:rsidP="00315F92">
      <w:pPr>
        <w:tabs>
          <w:tab w:val="left" w:pos="567"/>
        </w:tabs>
        <w:contextualSpacing/>
        <w:rPr>
          <w:szCs w:val="20"/>
          <w:lang w:val="es-ES_tradnl"/>
        </w:rPr>
      </w:pPr>
      <w:r>
        <w:rPr>
          <w:szCs w:val="20"/>
          <w:lang w:val="es-ES_tradnl"/>
        </w:rPr>
        <w:t xml:space="preserve">Resolución de la </w:t>
      </w:r>
      <w:proofErr w:type="gramStart"/>
      <w:r>
        <w:rPr>
          <w:szCs w:val="20"/>
          <w:lang w:val="es-ES_tradnl"/>
        </w:rPr>
        <w:t>Presidenta</w:t>
      </w:r>
      <w:proofErr w:type="gramEnd"/>
      <w:r>
        <w:rPr>
          <w:szCs w:val="20"/>
          <w:lang w:val="es-ES_tradnl"/>
        </w:rPr>
        <w:t xml:space="preserve"> de la Corte Interamericana de Derechos Humanos. Caso Guerrero Molina y otros Vs. Venezuela.</w:t>
      </w:r>
    </w:p>
    <w:p w14:paraId="56B48DD1" w14:textId="247CEBEB" w:rsidR="00315F92" w:rsidRDefault="00315F92" w:rsidP="00315F92">
      <w:pPr>
        <w:tabs>
          <w:tab w:val="left" w:pos="567"/>
        </w:tabs>
        <w:contextualSpacing/>
        <w:rPr>
          <w:szCs w:val="20"/>
          <w:lang w:val="es-ES_tradnl"/>
        </w:rPr>
      </w:pPr>
    </w:p>
    <w:p w14:paraId="0E53B04A" w14:textId="31E29B7C" w:rsidR="00315F92" w:rsidRDefault="00315F92" w:rsidP="00315F92">
      <w:pPr>
        <w:tabs>
          <w:tab w:val="left" w:pos="567"/>
        </w:tabs>
        <w:contextualSpacing/>
        <w:rPr>
          <w:szCs w:val="20"/>
          <w:lang w:val="es-ES_tradnl"/>
        </w:rPr>
      </w:pPr>
    </w:p>
    <w:p w14:paraId="3B9EB6EA" w14:textId="571BFA17" w:rsidR="00315F92" w:rsidRDefault="00315F92" w:rsidP="00315F92">
      <w:pPr>
        <w:tabs>
          <w:tab w:val="left" w:pos="567"/>
        </w:tabs>
        <w:contextualSpacing/>
        <w:rPr>
          <w:szCs w:val="20"/>
          <w:lang w:val="es-ES_tradnl"/>
        </w:rPr>
      </w:pPr>
    </w:p>
    <w:p w14:paraId="74DD077F" w14:textId="653EB6D0" w:rsidR="00315F92" w:rsidRDefault="00315F92" w:rsidP="00315F92">
      <w:pPr>
        <w:tabs>
          <w:tab w:val="left" w:pos="567"/>
        </w:tabs>
        <w:contextualSpacing/>
        <w:jc w:val="right"/>
        <w:rPr>
          <w:szCs w:val="20"/>
          <w:lang w:val="es-ES_tradnl"/>
        </w:rPr>
      </w:pPr>
    </w:p>
    <w:p w14:paraId="5E757E5C" w14:textId="234B8EA1" w:rsidR="00315F92" w:rsidRDefault="00315F92" w:rsidP="00315F92">
      <w:pPr>
        <w:tabs>
          <w:tab w:val="left" w:pos="567"/>
        </w:tabs>
        <w:contextualSpacing/>
        <w:jc w:val="right"/>
        <w:rPr>
          <w:szCs w:val="20"/>
          <w:lang w:val="es-ES_tradnl"/>
        </w:rPr>
      </w:pPr>
      <w:r>
        <w:rPr>
          <w:szCs w:val="20"/>
          <w:lang w:val="es-ES_tradnl"/>
        </w:rPr>
        <w:t>Elizabeth Odio Benito</w:t>
      </w:r>
    </w:p>
    <w:p w14:paraId="5C7D6690" w14:textId="497F1EE0" w:rsidR="00315F92" w:rsidRDefault="00315F92" w:rsidP="00315F92">
      <w:pPr>
        <w:tabs>
          <w:tab w:val="left" w:pos="567"/>
        </w:tabs>
        <w:contextualSpacing/>
        <w:rPr>
          <w:szCs w:val="20"/>
          <w:lang w:val="es-ES_tradnl"/>
        </w:rPr>
      </w:pP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t>Presidenta</w:t>
      </w:r>
    </w:p>
    <w:p w14:paraId="5E7CBA3A" w14:textId="64FEFD46" w:rsidR="00315F92" w:rsidRDefault="00315F92" w:rsidP="00315F92">
      <w:pPr>
        <w:tabs>
          <w:tab w:val="left" w:pos="567"/>
        </w:tabs>
        <w:contextualSpacing/>
        <w:rPr>
          <w:szCs w:val="20"/>
          <w:lang w:val="es-ES_tradnl"/>
        </w:rPr>
      </w:pPr>
    </w:p>
    <w:p w14:paraId="72012BBE" w14:textId="2E3B389D" w:rsidR="00315F92" w:rsidRDefault="00315F92" w:rsidP="00315F92">
      <w:pPr>
        <w:tabs>
          <w:tab w:val="left" w:pos="567"/>
        </w:tabs>
        <w:contextualSpacing/>
        <w:rPr>
          <w:szCs w:val="20"/>
          <w:lang w:val="es-ES_tradnl"/>
        </w:rPr>
      </w:pPr>
    </w:p>
    <w:p w14:paraId="31F80EB6" w14:textId="704F63CB" w:rsidR="00315F92" w:rsidRDefault="00315F92" w:rsidP="00315F92">
      <w:pPr>
        <w:tabs>
          <w:tab w:val="left" w:pos="567"/>
        </w:tabs>
        <w:contextualSpacing/>
        <w:rPr>
          <w:szCs w:val="20"/>
          <w:lang w:val="es-ES_tradnl"/>
        </w:rPr>
      </w:pPr>
      <w:r>
        <w:rPr>
          <w:szCs w:val="20"/>
          <w:lang w:val="es-ES_tradnl"/>
        </w:rPr>
        <w:t>Pablo Saavedra Alessandri</w:t>
      </w:r>
    </w:p>
    <w:p w14:paraId="14592B2B" w14:textId="2C7218CC" w:rsidR="00315F92" w:rsidRDefault="00315F92" w:rsidP="00315F92">
      <w:pPr>
        <w:tabs>
          <w:tab w:val="left" w:pos="567"/>
        </w:tabs>
        <w:contextualSpacing/>
        <w:rPr>
          <w:szCs w:val="20"/>
          <w:lang w:val="es-ES_tradnl"/>
        </w:rPr>
      </w:pPr>
      <w:r>
        <w:rPr>
          <w:szCs w:val="20"/>
          <w:lang w:val="es-ES_tradnl"/>
        </w:rPr>
        <w:t xml:space="preserve">          Secretario</w:t>
      </w:r>
    </w:p>
    <w:p w14:paraId="2FE53AFC" w14:textId="4782DFF6" w:rsidR="00315F92" w:rsidRDefault="00315F92" w:rsidP="00315F92">
      <w:pPr>
        <w:tabs>
          <w:tab w:val="left" w:pos="567"/>
        </w:tabs>
        <w:contextualSpacing/>
        <w:rPr>
          <w:szCs w:val="20"/>
          <w:lang w:val="es-ES_tradnl"/>
        </w:rPr>
      </w:pPr>
    </w:p>
    <w:p w14:paraId="2CFD46EE" w14:textId="6E84B3C7" w:rsidR="00315F92" w:rsidRDefault="00315F92" w:rsidP="00315F92">
      <w:pPr>
        <w:tabs>
          <w:tab w:val="left" w:pos="567"/>
        </w:tabs>
        <w:contextualSpacing/>
        <w:rPr>
          <w:szCs w:val="20"/>
          <w:lang w:val="es-ES_tradnl"/>
        </w:rPr>
      </w:pPr>
    </w:p>
    <w:p w14:paraId="0B96F095" w14:textId="15357A33" w:rsidR="00315F92" w:rsidRDefault="00315F92" w:rsidP="00315F92">
      <w:pPr>
        <w:tabs>
          <w:tab w:val="left" w:pos="567"/>
        </w:tabs>
        <w:contextualSpacing/>
        <w:rPr>
          <w:szCs w:val="20"/>
          <w:lang w:val="es-ES_tradnl"/>
        </w:rPr>
      </w:pPr>
      <w:r>
        <w:rPr>
          <w:szCs w:val="20"/>
          <w:lang w:val="es-ES_tradnl"/>
        </w:rPr>
        <w:t>Comuníquese y ejecútese,</w:t>
      </w:r>
      <w:r w:rsidRPr="00315F92">
        <w:rPr>
          <w:noProof/>
          <w:szCs w:val="20"/>
          <w:lang w:val="es-ES"/>
        </w:rPr>
        <w:t xml:space="preserve"> </w:t>
      </w:r>
    </w:p>
    <w:p w14:paraId="0307EA72" w14:textId="2B0A66F5" w:rsidR="00315F92" w:rsidRDefault="00315F92" w:rsidP="00315F92">
      <w:pPr>
        <w:tabs>
          <w:tab w:val="left" w:pos="567"/>
        </w:tabs>
        <w:contextualSpacing/>
        <w:rPr>
          <w:szCs w:val="20"/>
          <w:lang w:val="es-ES_tradnl"/>
        </w:rPr>
      </w:pPr>
    </w:p>
    <w:p w14:paraId="27AA2521" w14:textId="1D62D71F" w:rsidR="00315F92" w:rsidRDefault="00315F92" w:rsidP="00315F92">
      <w:pPr>
        <w:tabs>
          <w:tab w:val="left" w:pos="567"/>
        </w:tabs>
        <w:contextualSpacing/>
        <w:rPr>
          <w:szCs w:val="20"/>
          <w:lang w:val="es-ES_tradnl"/>
        </w:rPr>
      </w:pPr>
    </w:p>
    <w:p w14:paraId="6EA82579" w14:textId="2D864619" w:rsidR="00315F92" w:rsidRDefault="00315F92" w:rsidP="00315F92">
      <w:pPr>
        <w:tabs>
          <w:tab w:val="left" w:pos="567"/>
        </w:tabs>
        <w:contextualSpacing/>
        <w:rPr>
          <w:szCs w:val="20"/>
          <w:lang w:val="es-ES_tradnl"/>
        </w:rPr>
      </w:pPr>
    </w:p>
    <w:p w14:paraId="43B28EBD" w14:textId="3250178A" w:rsidR="00315F92" w:rsidRDefault="00315F92" w:rsidP="00315F92">
      <w:pPr>
        <w:tabs>
          <w:tab w:val="left" w:pos="567"/>
        </w:tabs>
        <w:contextualSpacing/>
        <w:jc w:val="right"/>
        <w:rPr>
          <w:szCs w:val="20"/>
          <w:lang w:val="es-ES_tradnl"/>
        </w:rPr>
      </w:pPr>
    </w:p>
    <w:p w14:paraId="341AC533" w14:textId="4F7F26A1" w:rsidR="00315F92" w:rsidRDefault="00315F92" w:rsidP="00315F92">
      <w:pPr>
        <w:tabs>
          <w:tab w:val="left" w:pos="567"/>
        </w:tabs>
        <w:contextualSpacing/>
        <w:jc w:val="right"/>
        <w:rPr>
          <w:szCs w:val="20"/>
          <w:lang w:val="es-ES_tradnl"/>
        </w:rPr>
      </w:pPr>
      <w:r>
        <w:rPr>
          <w:szCs w:val="20"/>
          <w:lang w:val="es-ES_tradnl"/>
        </w:rPr>
        <w:t>Elizabeth Odio Benito</w:t>
      </w:r>
    </w:p>
    <w:p w14:paraId="020BF585" w14:textId="0DAC9938" w:rsidR="00315F92" w:rsidRDefault="00315F92" w:rsidP="00315F92">
      <w:pPr>
        <w:tabs>
          <w:tab w:val="left" w:pos="567"/>
        </w:tabs>
        <w:contextualSpacing/>
        <w:rPr>
          <w:szCs w:val="20"/>
          <w:lang w:val="es-ES_tradnl"/>
        </w:rPr>
      </w:pP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r>
      <w:r>
        <w:rPr>
          <w:szCs w:val="20"/>
          <w:lang w:val="es-ES_tradnl"/>
        </w:rPr>
        <w:tab/>
        <w:t>Presidenta</w:t>
      </w:r>
    </w:p>
    <w:p w14:paraId="1F029AC6" w14:textId="0500237F" w:rsidR="00315F92" w:rsidRDefault="00315F92" w:rsidP="00315F92">
      <w:pPr>
        <w:tabs>
          <w:tab w:val="left" w:pos="567"/>
        </w:tabs>
        <w:contextualSpacing/>
        <w:rPr>
          <w:szCs w:val="20"/>
          <w:lang w:val="es-ES_tradnl"/>
        </w:rPr>
      </w:pPr>
    </w:p>
    <w:p w14:paraId="41F85C58" w14:textId="77777777" w:rsidR="00315F92" w:rsidRDefault="00315F92" w:rsidP="00315F92">
      <w:pPr>
        <w:tabs>
          <w:tab w:val="left" w:pos="567"/>
        </w:tabs>
        <w:contextualSpacing/>
        <w:rPr>
          <w:szCs w:val="20"/>
          <w:lang w:val="es-ES_tradnl"/>
        </w:rPr>
      </w:pPr>
    </w:p>
    <w:p w14:paraId="24E30142" w14:textId="77777777" w:rsidR="00315F92" w:rsidRDefault="00315F92" w:rsidP="00315F92">
      <w:pPr>
        <w:tabs>
          <w:tab w:val="left" w:pos="567"/>
        </w:tabs>
        <w:contextualSpacing/>
        <w:rPr>
          <w:szCs w:val="20"/>
          <w:lang w:val="es-ES_tradnl"/>
        </w:rPr>
      </w:pPr>
      <w:r>
        <w:rPr>
          <w:szCs w:val="20"/>
          <w:lang w:val="es-ES_tradnl"/>
        </w:rPr>
        <w:t>Pablo Saavedra Alessandri</w:t>
      </w:r>
    </w:p>
    <w:p w14:paraId="2E30CF72" w14:textId="6E28B1E1" w:rsidR="00315F92" w:rsidRPr="00315F92" w:rsidRDefault="00315F92" w:rsidP="00315F92">
      <w:pPr>
        <w:tabs>
          <w:tab w:val="left" w:pos="567"/>
        </w:tabs>
        <w:contextualSpacing/>
        <w:rPr>
          <w:szCs w:val="20"/>
          <w:lang w:val="es-ES_tradnl"/>
        </w:rPr>
      </w:pPr>
      <w:r>
        <w:rPr>
          <w:szCs w:val="20"/>
          <w:lang w:val="es-ES_tradnl"/>
        </w:rPr>
        <w:t xml:space="preserve">          Secretario</w:t>
      </w:r>
    </w:p>
    <w:sectPr w:rsidR="00315F92" w:rsidRPr="00315F92" w:rsidSect="00F57884">
      <w:footerReference w:type="default" r:id="rId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B9CD2" w14:textId="77777777" w:rsidR="004851D4" w:rsidRDefault="004851D4" w:rsidP="00DF2489">
      <w:pPr>
        <w:spacing w:after="0"/>
      </w:pPr>
      <w:r>
        <w:separator/>
      </w:r>
    </w:p>
  </w:endnote>
  <w:endnote w:type="continuationSeparator" w:id="0">
    <w:p w14:paraId="4E920CD2" w14:textId="77777777" w:rsidR="004851D4" w:rsidRDefault="004851D4" w:rsidP="00DF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1198000"/>
      <w:docPartObj>
        <w:docPartGallery w:val="Page Numbers (Bottom of Page)"/>
        <w:docPartUnique/>
      </w:docPartObj>
    </w:sdtPr>
    <w:sdtEndPr>
      <w:rPr>
        <w:noProof/>
      </w:rPr>
    </w:sdtEndPr>
    <w:sdtContent>
      <w:p w14:paraId="12ACFEAD" w14:textId="2E9EB555" w:rsidR="00D817A6" w:rsidRDefault="00D817A6">
        <w:pPr>
          <w:pStyle w:val="Piedepgina"/>
          <w:jc w:val="center"/>
        </w:pPr>
        <w:r>
          <w:fldChar w:fldCharType="begin"/>
        </w:r>
        <w:r>
          <w:instrText xml:space="preserve"> PAGE   \* MERGEFORMAT </w:instrText>
        </w:r>
        <w:r>
          <w:fldChar w:fldCharType="separate"/>
        </w:r>
        <w:r w:rsidR="00FA3875">
          <w:rPr>
            <w:noProof/>
          </w:rPr>
          <w:t>19</w:t>
        </w:r>
        <w:r>
          <w:rPr>
            <w:noProof/>
          </w:rPr>
          <w:fldChar w:fldCharType="end"/>
        </w:r>
      </w:p>
    </w:sdtContent>
  </w:sdt>
  <w:p w14:paraId="11B2F1A4" w14:textId="77777777" w:rsidR="00D817A6" w:rsidRDefault="00D817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967A3" w14:textId="77777777" w:rsidR="004851D4" w:rsidRDefault="004851D4" w:rsidP="00DF2489">
      <w:pPr>
        <w:spacing w:after="0"/>
      </w:pPr>
      <w:r>
        <w:separator/>
      </w:r>
    </w:p>
  </w:footnote>
  <w:footnote w:type="continuationSeparator" w:id="0">
    <w:p w14:paraId="59BC81F7" w14:textId="77777777" w:rsidR="004851D4" w:rsidRDefault="004851D4" w:rsidP="00DF2489">
      <w:pPr>
        <w:spacing w:after="0"/>
      </w:pPr>
      <w:r>
        <w:continuationSeparator/>
      </w:r>
    </w:p>
  </w:footnote>
  <w:footnote w:id="1">
    <w:p w14:paraId="769AF4FE" w14:textId="58257869" w:rsidR="00D817A6" w:rsidRDefault="00D817A6" w:rsidP="000F06CF">
      <w:pPr>
        <w:pStyle w:val="Textonotapie"/>
        <w:spacing w:after="0"/>
        <w:rPr>
          <w:rFonts w:ascii="Verdana" w:hAnsi="Verdana"/>
          <w:sz w:val="16"/>
          <w:szCs w:val="16"/>
        </w:rPr>
      </w:pPr>
      <w:r>
        <w:rPr>
          <w:rStyle w:val="Refdenotaalpie"/>
        </w:rPr>
        <w:footnoteRef/>
      </w:r>
      <w:r>
        <w:t xml:space="preserve"> </w:t>
      </w:r>
      <w:r w:rsidRPr="000F06CF">
        <w:rPr>
          <w:rFonts w:ascii="Verdana" w:hAnsi="Verdana"/>
          <w:sz w:val="16"/>
          <w:szCs w:val="16"/>
        </w:rPr>
        <w:t xml:space="preserve"> </w:t>
      </w:r>
      <w:r w:rsidRPr="000F06CF">
        <w:rPr>
          <w:rFonts w:ascii="Verdana" w:hAnsi="Verdana"/>
          <w:sz w:val="16"/>
          <w:szCs w:val="16"/>
        </w:rPr>
        <w:tab/>
        <w:t xml:space="preserve">La representación de las presuntas víctimas es ejercida por el Comité de Familiares de las Víctimas de los Sucesos de Febrero – </w:t>
      </w:r>
      <w:proofErr w:type="gramStart"/>
      <w:r w:rsidRPr="000F06CF">
        <w:rPr>
          <w:rFonts w:ascii="Verdana" w:hAnsi="Verdana"/>
          <w:sz w:val="16"/>
          <w:szCs w:val="16"/>
        </w:rPr>
        <w:t>Marzo</w:t>
      </w:r>
      <w:proofErr w:type="gramEnd"/>
      <w:r w:rsidRPr="000F06CF">
        <w:rPr>
          <w:rFonts w:ascii="Verdana" w:hAnsi="Verdana"/>
          <w:sz w:val="16"/>
          <w:szCs w:val="16"/>
        </w:rPr>
        <w:t xml:space="preserve"> de 1989 (COFAVIC) y por el Centro por la Justicia y el Derecho Internacional (CEJIL).</w:t>
      </w:r>
    </w:p>
    <w:p w14:paraId="3298DA66" w14:textId="77777777" w:rsidR="00D817A6" w:rsidRPr="00A05A0D" w:rsidRDefault="00D817A6" w:rsidP="000F06CF">
      <w:pPr>
        <w:pStyle w:val="Textonotapie"/>
        <w:spacing w:after="0"/>
        <w:rPr>
          <w:rFonts w:ascii="Verdana" w:hAnsi="Verdana"/>
          <w:sz w:val="16"/>
          <w:szCs w:val="16"/>
        </w:rPr>
      </w:pPr>
    </w:p>
  </w:footnote>
  <w:footnote w:id="2">
    <w:p w14:paraId="628D77C8" w14:textId="73D13A2A" w:rsidR="00D817A6" w:rsidRPr="004B720A" w:rsidRDefault="00D817A6">
      <w:pPr>
        <w:pStyle w:val="Textonotapie"/>
        <w:rPr>
          <w:rFonts w:ascii="Verdana" w:hAnsi="Verdana"/>
          <w:sz w:val="16"/>
          <w:szCs w:val="16"/>
        </w:rPr>
      </w:pPr>
      <w:r w:rsidRPr="004B720A">
        <w:rPr>
          <w:rStyle w:val="Refdenotaalpie"/>
          <w:rFonts w:ascii="Verdana" w:hAnsi="Verdana"/>
          <w:sz w:val="16"/>
          <w:szCs w:val="16"/>
        </w:rPr>
        <w:footnoteRef/>
      </w:r>
      <w:r w:rsidRPr="004B720A">
        <w:rPr>
          <w:rFonts w:ascii="Verdana" w:hAnsi="Verdana"/>
          <w:sz w:val="16"/>
          <w:szCs w:val="16"/>
        </w:rPr>
        <w:t xml:space="preserve">  </w:t>
      </w:r>
      <w:r w:rsidRPr="004B720A">
        <w:rPr>
          <w:rFonts w:ascii="Verdana" w:hAnsi="Verdana"/>
          <w:sz w:val="16"/>
          <w:szCs w:val="16"/>
        </w:rPr>
        <w:tab/>
      </w:r>
      <w:r w:rsidRPr="004B720A">
        <w:rPr>
          <w:rFonts w:ascii="Verdana" w:hAnsi="Verdana"/>
          <w:i/>
          <w:sz w:val="16"/>
          <w:szCs w:val="16"/>
        </w:rPr>
        <w:t>Caso Guerrero. Molina y otros Vs. Venezuela</w:t>
      </w:r>
      <w:r w:rsidRPr="004B720A">
        <w:rPr>
          <w:rFonts w:ascii="Verdana" w:hAnsi="Verdana"/>
          <w:sz w:val="16"/>
          <w:szCs w:val="16"/>
        </w:rPr>
        <w:t xml:space="preserve">. Resolución de la </w:t>
      </w:r>
      <w:proofErr w:type="gramStart"/>
      <w:r w:rsidRPr="004B720A">
        <w:rPr>
          <w:rFonts w:ascii="Verdana" w:hAnsi="Verdana"/>
          <w:sz w:val="16"/>
          <w:szCs w:val="16"/>
        </w:rPr>
        <w:t>Presidenta</w:t>
      </w:r>
      <w:proofErr w:type="gramEnd"/>
      <w:r w:rsidRPr="004B720A">
        <w:rPr>
          <w:rFonts w:ascii="Verdana" w:hAnsi="Verdana"/>
          <w:sz w:val="16"/>
          <w:szCs w:val="16"/>
        </w:rPr>
        <w:t xml:space="preserve"> de la Corte Interamericana de Derechos Humanos de 20 de enero de 2020 (disponible en: </w:t>
      </w:r>
      <w:hyperlink r:id="rId1" w:history="1">
        <w:r w:rsidRPr="004B720A">
          <w:rPr>
            <w:rStyle w:val="Hipervnculo"/>
            <w:rFonts w:ascii="Verdana" w:hAnsi="Verdana" w:cs="Times"/>
            <w:sz w:val="16"/>
            <w:szCs w:val="16"/>
          </w:rPr>
          <w:t>https://www.corteidh.or.cr/docs/asuntos/guerrero_fv_2020.pdf</w:t>
        </w:r>
      </w:hyperlink>
      <w:r w:rsidRPr="004B720A">
        <w:rPr>
          <w:rFonts w:ascii="Verdana" w:hAnsi="Verdana"/>
          <w:sz w:val="16"/>
          <w:szCs w:val="16"/>
        </w:rPr>
        <w:t xml:space="preserve">) </w:t>
      </w:r>
    </w:p>
  </w:footnote>
  <w:footnote w:id="3">
    <w:p w14:paraId="2CFF4E00" w14:textId="4C622FB1" w:rsidR="00D817A6" w:rsidRDefault="00D817A6" w:rsidP="000F06CF">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t xml:space="preserve">En relación con el trámite del presente caso, es preciso dejar sentado que el Estado presentó su escrito de contestación el 9 de marzo de 2020, sin firma y sin sus anexos documentales, y luego, el 17 de marzo de 2020, comenzó a regir la suspensión de términos prevista en el Acuerdo 1/20 de la Corte, motivada por la pandemia por el </w:t>
      </w:r>
      <w:r w:rsidR="009461B3">
        <w:rPr>
          <w:rFonts w:ascii="Verdana" w:hAnsi="Verdana"/>
          <w:sz w:val="16"/>
          <w:szCs w:val="16"/>
        </w:rPr>
        <w:t>COVID</w:t>
      </w:r>
      <w:r w:rsidRPr="000F06CF">
        <w:rPr>
          <w:rFonts w:ascii="Verdana" w:hAnsi="Verdana"/>
          <w:sz w:val="16"/>
          <w:szCs w:val="16"/>
        </w:rPr>
        <w:t xml:space="preserve">-19, situación de púbico y notorio conocimiento. La suspensión de términos fue luego prorrogada hasta el 20 de mayo de 2020 inclusive, por el Acuerdo 2/20 de la Corte. Entre el 17 de marzo y el 20 de mayo de 2020, por tanto, permaneció suspendido el término de 21 días, previsto en el artículo 28 del Reglamento, aplicable para la remisión del escrito de contestación firmado y con sus anexos documentales, que había comenzado a correr a partir del 9 de marzo de 2020. Venezuela remitió la documentación señalada el 2 de junio de 2020. </w:t>
      </w:r>
    </w:p>
    <w:p w14:paraId="2672AE56" w14:textId="36CEF96B" w:rsidR="00D817A6" w:rsidRPr="000F06CF" w:rsidRDefault="00D817A6" w:rsidP="000F06CF">
      <w:pPr>
        <w:pStyle w:val="Textonotapie"/>
        <w:spacing w:after="0"/>
        <w:rPr>
          <w:rFonts w:ascii="Verdana" w:hAnsi="Verdana"/>
          <w:sz w:val="16"/>
          <w:szCs w:val="16"/>
        </w:rPr>
      </w:pPr>
    </w:p>
  </w:footnote>
  <w:footnote w:id="4">
    <w:p w14:paraId="4DAA29B0" w14:textId="2ED1BD9A" w:rsidR="00D817A6" w:rsidRDefault="00D817A6" w:rsidP="000F06CF">
      <w:pPr>
        <w:pStyle w:val="Textonotapie"/>
        <w:spacing w:after="0"/>
        <w:rPr>
          <w:rFonts w:ascii="Verdana" w:hAnsi="Verdana"/>
          <w:b/>
          <w:sz w:val="16"/>
          <w:szCs w:val="16"/>
        </w:rPr>
      </w:pPr>
      <w:r w:rsidRPr="000F06CF">
        <w:rPr>
          <w:rStyle w:val="Refdenotaalpie"/>
          <w:rFonts w:ascii="Verdana" w:hAnsi="Verdana"/>
          <w:sz w:val="16"/>
          <w:szCs w:val="16"/>
        </w:rPr>
        <w:footnoteRef/>
      </w:r>
      <w:r w:rsidRPr="000F06CF">
        <w:rPr>
          <w:rFonts w:ascii="Verdana" w:hAnsi="Verdana"/>
          <w:sz w:val="16"/>
          <w:szCs w:val="16"/>
        </w:rPr>
        <w:tab/>
        <w:t xml:space="preserve">El Estado, de modo previo, el 6 de julio de 2020, solicitó una prórroga respecto al plazo que se había fijado para la presentación de observaciones a las listas definitivas de declarantes. La misma fue concedida hasta el 13 de julio de 2020. </w:t>
      </w:r>
    </w:p>
    <w:p w14:paraId="61405466" w14:textId="77777777" w:rsidR="00D817A6" w:rsidRPr="000F06CF" w:rsidRDefault="00D817A6" w:rsidP="000F06CF">
      <w:pPr>
        <w:pStyle w:val="Textonotapie"/>
        <w:spacing w:after="0"/>
        <w:rPr>
          <w:rFonts w:ascii="Verdana" w:hAnsi="Verdana"/>
          <w:sz w:val="16"/>
          <w:szCs w:val="16"/>
        </w:rPr>
      </w:pPr>
    </w:p>
  </w:footnote>
  <w:footnote w:id="5">
    <w:p w14:paraId="2FFFE126" w14:textId="33EBE042" w:rsidR="00D817A6" w:rsidRDefault="00D817A6" w:rsidP="000F06C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r>
      <w:r w:rsidRPr="000F06CF">
        <w:rPr>
          <w:rFonts w:ascii="Verdana" w:hAnsi="Verdana"/>
          <w:sz w:val="16"/>
          <w:szCs w:val="16"/>
          <w:lang w:val="es-CR"/>
        </w:rPr>
        <w:t xml:space="preserve">Los representantes ofrecieron las declaraciones de las siguiente personas, familiares de </w:t>
      </w:r>
      <w:r>
        <w:rPr>
          <w:rFonts w:ascii="Verdana" w:hAnsi="Verdana"/>
          <w:sz w:val="16"/>
          <w:szCs w:val="16"/>
          <w:lang w:val="es-CR"/>
        </w:rPr>
        <w:t xml:space="preserve">los señores </w:t>
      </w:r>
      <w:r w:rsidRPr="000F06CF">
        <w:rPr>
          <w:rFonts w:ascii="Verdana" w:hAnsi="Verdana"/>
          <w:sz w:val="16"/>
          <w:szCs w:val="16"/>
          <w:lang w:val="es-CR"/>
        </w:rPr>
        <w:t>Jimmy Guerrero o Ramón Molina: Jean Carlos Guerrero (hermano de Jimmy Guerrero); Nieves Guerrero (padre de Jimmy Guerrero); Emilia Coromoto Meléndez (madre de Jimmy Guerrero); Yarelis Guerrero (</w:t>
      </w:r>
      <w:r w:rsidR="009461B3">
        <w:rPr>
          <w:rFonts w:ascii="Verdana" w:hAnsi="Verdana"/>
          <w:sz w:val="16"/>
          <w:szCs w:val="16"/>
          <w:lang w:val="es-CR"/>
        </w:rPr>
        <w:t xml:space="preserve">hermana </w:t>
      </w:r>
      <w:r w:rsidRPr="000F06CF">
        <w:rPr>
          <w:rFonts w:ascii="Verdana" w:hAnsi="Verdana"/>
          <w:sz w:val="16"/>
          <w:szCs w:val="16"/>
          <w:lang w:val="es-CR"/>
        </w:rPr>
        <w:t xml:space="preserve">de Jimmy Guerrero); Franklin Guerrero (hermano de Jimmy Guerrero); </w:t>
      </w:r>
      <w:proofErr w:type="spellStart"/>
      <w:r w:rsidRPr="000F06CF">
        <w:rPr>
          <w:rFonts w:ascii="Verdana" w:hAnsi="Verdana"/>
          <w:sz w:val="16"/>
          <w:szCs w:val="16"/>
          <w:lang w:val="es-CR"/>
        </w:rPr>
        <w:t>Jiannibeth</w:t>
      </w:r>
      <w:proofErr w:type="spellEnd"/>
      <w:r w:rsidRPr="000F06CF">
        <w:rPr>
          <w:rFonts w:ascii="Verdana" w:hAnsi="Verdana"/>
          <w:sz w:val="16"/>
          <w:szCs w:val="16"/>
          <w:lang w:val="es-CR"/>
        </w:rPr>
        <w:t xml:space="preserve"> </w:t>
      </w:r>
      <w:proofErr w:type="spellStart"/>
      <w:r w:rsidRPr="000F06CF">
        <w:rPr>
          <w:rFonts w:ascii="Verdana" w:hAnsi="Verdana"/>
          <w:sz w:val="16"/>
          <w:szCs w:val="16"/>
          <w:lang w:val="es-CR"/>
        </w:rPr>
        <w:t>Stephanny</w:t>
      </w:r>
      <w:proofErr w:type="spellEnd"/>
      <w:r w:rsidRPr="000F06CF">
        <w:rPr>
          <w:rFonts w:ascii="Verdana" w:hAnsi="Verdana"/>
          <w:sz w:val="16"/>
          <w:szCs w:val="16"/>
          <w:lang w:val="es-CR"/>
        </w:rPr>
        <w:t xml:space="preserve"> Guerrero Colina (hija de Jimmy Guerrero); </w:t>
      </w:r>
      <w:proofErr w:type="spellStart"/>
      <w:r w:rsidRPr="000F06CF">
        <w:rPr>
          <w:rFonts w:ascii="Verdana" w:hAnsi="Verdana"/>
          <w:sz w:val="16"/>
          <w:szCs w:val="16"/>
          <w:lang w:val="es-CR"/>
        </w:rPr>
        <w:t>Fraily</w:t>
      </w:r>
      <w:proofErr w:type="spellEnd"/>
      <w:r w:rsidRPr="000F06CF">
        <w:rPr>
          <w:rFonts w:ascii="Verdana" w:hAnsi="Verdana"/>
          <w:sz w:val="16"/>
          <w:szCs w:val="16"/>
          <w:lang w:val="es-CR"/>
        </w:rPr>
        <w:t xml:space="preserve"> Guerrero (sobrina de Jimmy Guerrero); </w:t>
      </w:r>
      <w:proofErr w:type="spellStart"/>
      <w:r w:rsidRPr="000F06CF">
        <w:rPr>
          <w:rFonts w:ascii="Verdana" w:hAnsi="Verdana"/>
          <w:sz w:val="16"/>
          <w:szCs w:val="16"/>
          <w:lang w:val="es-CR"/>
        </w:rPr>
        <w:t>Soleida</w:t>
      </w:r>
      <w:proofErr w:type="spellEnd"/>
      <w:r w:rsidRPr="000F06CF">
        <w:rPr>
          <w:rFonts w:ascii="Verdana" w:hAnsi="Verdana"/>
          <w:sz w:val="16"/>
          <w:szCs w:val="16"/>
          <w:lang w:val="es-CR"/>
        </w:rPr>
        <w:t xml:space="preserve"> Morillo (viuda de Ramón Molina). Además, ofrecieron las declaraciones periciales de Philip </w:t>
      </w:r>
      <w:proofErr w:type="spellStart"/>
      <w:r w:rsidRPr="000F06CF">
        <w:rPr>
          <w:rFonts w:ascii="Verdana" w:hAnsi="Verdana"/>
          <w:sz w:val="16"/>
          <w:szCs w:val="16"/>
          <w:lang w:val="es-CR"/>
        </w:rPr>
        <w:t>Alston</w:t>
      </w:r>
      <w:proofErr w:type="spellEnd"/>
      <w:r w:rsidRPr="000F06CF">
        <w:rPr>
          <w:rFonts w:ascii="Verdana" w:hAnsi="Verdana"/>
          <w:sz w:val="16"/>
          <w:szCs w:val="16"/>
          <w:lang w:val="es-CR"/>
        </w:rPr>
        <w:t xml:space="preserve">, Ignacio Cano, Roberto Briceño León, José Luis Prieto Carrero, Rossana Ramírez, Carmen </w:t>
      </w:r>
      <w:proofErr w:type="spellStart"/>
      <w:r w:rsidRPr="000F06CF">
        <w:rPr>
          <w:rFonts w:ascii="Verdana" w:hAnsi="Verdana"/>
          <w:sz w:val="16"/>
          <w:szCs w:val="16"/>
          <w:lang w:val="es-CR"/>
        </w:rPr>
        <w:t>Wurst</w:t>
      </w:r>
      <w:proofErr w:type="spellEnd"/>
      <w:r w:rsidRPr="000F06CF">
        <w:rPr>
          <w:rFonts w:ascii="Verdana" w:hAnsi="Verdana"/>
          <w:sz w:val="16"/>
          <w:szCs w:val="16"/>
          <w:lang w:val="es-CR"/>
        </w:rPr>
        <w:t xml:space="preserve"> y Magaly Mercedes Vásquez González.</w:t>
      </w:r>
    </w:p>
    <w:p w14:paraId="7BF2AA43" w14:textId="77777777" w:rsidR="00D817A6" w:rsidRPr="000F06CF" w:rsidRDefault="00D817A6" w:rsidP="000F06CF">
      <w:pPr>
        <w:pStyle w:val="Textonotapie"/>
        <w:spacing w:after="0"/>
        <w:rPr>
          <w:rFonts w:ascii="Verdana" w:hAnsi="Verdana"/>
          <w:sz w:val="16"/>
          <w:szCs w:val="16"/>
          <w:lang w:val="es-CR"/>
        </w:rPr>
      </w:pPr>
    </w:p>
  </w:footnote>
  <w:footnote w:id="6">
    <w:p w14:paraId="3352AB82" w14:textId="5750DE58" w:rsidR="00D817A6" w:rsidRDefault="00D817A6" w:rsidP="000F06CF">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t xml:space="preserve">Venezuela ofreció que Pablo Fernández Blanco y Karin García Carrasco presenten sus testimonios, y que Emerson Aguilar brinde una declaración pericial. </w:t>
      </w:r>
    </w:p>
    <w:p w14:paraId="277ACB0C" w14:textId="77777777" w:rsidR="00D817A6" w:rsidRPr="000F06CF" w:rsidRDefault="00D817A6" w:rsidP="000F06CF">
      <w:pPr>
        <w:pStyle w:val="Textonotapie"/>
        <w:spacing w:after="0"/>
        <w:rPr>
          <w:rFonts w:ascii="Verdana" w:hAnsi="Verdana"/>
          <w:sz w:val="16"/>
          <w:szCs w:val="16"/>
          <w:lang w:val="es-CR"/>
        </w:rPr>
      </w:pPr>
    </w:p>
  </w:footnote>
  <w:footnote w:id="7">
    <w:p w14:paraId="50DD4AF2" w14:textId="77777777" w:rsidR="00D817A6" w:rsidRDefault="00D817A6" w:rsidP="000F06CF">
      <w:pPr>
        <w:pStyle w:val="Textonotapie"/>
        <w:tabs>
          <w:tab w:val="left" w:pos="567"/>
        </w:tabs>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r>
      <w:r w:rsidRPr="000F06CF">
        <w:rPr>
          <w:rFonts w:ascii="Verdana" w:hAnsi="Verdana"/>
          <w:i/>
          <w:sz w:val="16"/>
          <w:szCs w:val="16"/>
          <w:lang w:val="es-CR"/>
        </w:rPr>
        <w:t xml:space="preserve">Cfr. Caso </w:t>
      </w:r>
      <w:proofErr w:type="spellStart"/>
      <w:r w:rsidRPr="000F06CF">
        <w:rPr>
          <w:rFonts w:ascii="Verdana" w:hAnsi="Verdana"/>
          <w:i/>
          <w:sz w:val="16"/>
          <w:szCs w:val="16"/>
          <w:lang w:val="es-CR"/>
        </w:rPr>
        <w:t>Goiburú</w:t>
      </w:r>
      <w:proofErr w:type="spellEnd"/>
      <w:r w:rsidRPr="000F06CF">
        <w:rPr>
          <w:rFonts w:ascii="Verdana" w:hAnsi="Verdana"/>
          <w:i/>
          <w:sz w:val="16"/>
          <w:szCs w:val="16"/>
          <w:lang w:val="es-CR"/>
        </w:rPr>
        <w:t xml:space="preserve"> y otros Vs. Paraguay</w:t>
      </w:r>
      <w:r w:rsidRPr="000F06CF">
        <w:rPr>
          <w:rFonts w:ascii="Verdana" w:hAnsi="Verdana"/>
          <w:sz w:val="16"/>
          <w:szCs w:val="16"/>
          <w:lang w:val="es-CR"/>
        </w:rPr>
        <w:t xml:space="preserve">. Resolución del </w:t>
      </w:r>
      <w:proofErr w:type="gramStart"/>
      <w:r w:rsidRPr="000F06CF">
        <w:rPr>
          <w:rFonts w:ascii="Verdana" w:hAnsi="Verdana"/>
          <w:sz w:val="16"/>
          <w:szCs w:val="16"/>
          <w:lang w:val="es-CR"/>
        </w:rPr>
        <w:t>Presidente</w:t>
      </w:r>
      <w:proofErr w:type="gramEnd"/>
      <w:r w:rsidRPr="000F06CF">
        <w:rPr>
          <w:rFonts w:ascii="Verdana" w:hAnsi="Verdana"/>
          <w:sz w:val="16"/>
          <w:szCs w:val="16"/>
          <w:lang w:val="es-CR"/>
        </w:rPr>
        <w:t xml:space="preserve"> de la Corte Interamericana de Derechos Humanos de 5 de mayo de 2006, Considerando 11, y </w:t>
      </w:r>
      <w:r w:rsidRPr="000F06CF">
        <w:rPr>
          <w:rFonts w:ascii="Verdana" w:hAnsi="Verdana"/>
          <w:i/>
          <w:sz w:val="16"/>
          <w:szCs w:val="16"/>
          <w:lang w:val="es-CR"/>
        </w:rPr>
        <w:t>Caso Casa Nina Vs. Perú</w:t>
      </w:r>
      <w:r w:rsidRPr="000F06CF">
        <w:rPr>
          <w:rFonts w:ascii="Verdana" w:hAnsi="Verdana"/>
          <w:sz w:val="16"/>
          <w:szCs w:val="16"/>
          <w:lang w:val="es-CR"/>
        </w:rPr>
        <w:t xml:space="preserve">. Resolución de la </w:t>
      </w:r>
      <w:proofErr w:type="gramStart"/>
      <w:r w:rsidRPr="000F06CF">
        <w:rPr>
          <w:rFonts w:ascii="Verdana" w:hAnsi="Verdana"/>
          <w:sz w:val="16"/>
          <w:szCs w:val="16"/>
          <w:lang w:val="es-CR"/>
        </w:rPr>
        <w:t>Presidenta</w:t>
      </w:r>
      <w:proofErr w:type="gramEnd"/>
      <w:r w:rsidRPr="000F06CF">
        <w:rPr>
          <w:rFonts w:ascii="Verdana" w:hAnsi="Verdana"/>
          <w:sz w:val="16"/>
          <w:szCs w:val="16"/>
          <w:lang w:val="es-CR"/>
        </w:rPr>
        <w:t xml:space="preserve"> de la Corte Interamericana de Derechos Humanos de 3 de agosto de 2020</w:t>
      </w:r>
      <w:r w:rsidRPr="000F06CF">
        <w:rPr>
          <w:rFonts w:ascii="Verdana" w:hAnsi="Verdana" w:cs="Helvetica"/>
          <w:sz w:val="16"/>
          <w:szCs w:val="16"/>
          <w:shd w:val="clear" w:color="auto" w:fill="FFFFFF"/>
        </w:rPr>
        <w:t>,</w:t>
      </w:r>
      <w:r w:rsidRPr="000F06CF">
        <w:rPr>
          <w:rFonts w:ascii="Verdana" w:hAnsi="Verdana"/>
          <w:sz w:val="16"/>
          <w:szCs w:val="16"/>
          <w:lang w:val="es-CR"/>
        </w:rPr>
        <w:t xml:space="preserve"> Considerando 9.</w:t>
      </w:r>
    </w:p>
    <w:p w14:paraId="2CCC44D5" w14:textId="77777777" w:rsidR="00D817A6" w:rsidRPr="000F06CF" w:rsidRDefault="00D817A6" w:rsidP="000F06CF">
      <w:pPr>
        <w:pStyle w:val="Textonotapie"/>
        <w:tabs>
          <w:tab w:val="left" w:pos="567"/>
        </w:tabs>
        <w:spacing w:after="0"/>
        <w:rPr>
          <w:rFonts w:ascii="Verdana" w:hAnsi="Verdana"/>
          <w:sz w:val="16"/>
          <w:szCs w:val="16"/>
          <w:lang w:val="es-GT"/>
        </w:rPr>
      </w:pPr>
    </w:p>
  </w:footnote>
  <w:footnote w:id="8">
    <w:p w14:paraId="6552FC5E" w14:textId="60EA62DE" w:rsidR="00D817A6" w:rsidRPr="000F06CF" w:rsidRDefault="00D817A6" w:rsidP="000F06C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lang w:val="es-CR"/>
        </w:rPr>
        <w:tab/>
      </w:r>
      <w:r w:rsidRPr="000F06CF">
        <w:rPr>
          <w:rFonts w:ascii="Verdana" w:hAnsi="Verdana"/>
          <w:i/>
          <w:sz w:val="16"/>
          <w:szCs w:val="16"/>
          <w:lang w:val="es-CR"/>
        </w:rPr>
        <w:t>Cfr.</w:t>
      </w:r>
      <w:r w:rsidRPr="000F06CF">
        <w:rPr>
          <w:rFonts w:ascii="Verdana" w:hAnsi="Verdana"/>
          <w:sz w:val="16"/>
          <w:szCs w:val="16"/>
          <w:lang w:val="es-CR"/>
        </w:rPr>
        <w:t xml:space="preserve"> </w:t>
      </w:r>
      <w:r w:rsidRPr="009461B3">
        <w:rPr>
          <w:rFonts w:ascii="Verdana" w:hAnsi="Verdana"/>
          <w:i/>
          <w:sz w:val="16"/>
          <w:szCs w:val="16"/>
        </w:rPr>
        <w:t xml:space="preserve">Caso de la Comunidad </w:t>
      </w:r>
      <w:proofErr w:type="spellStart"/>
      <w:r w:rsidRPr="009461B3">
        <w:rPr>
          <w:rFonts w:ascii="Verdana" w:hAnsi="Verdana"/>
          <w:i/>
          <w:sz w:val="16"/>
          <w:szCs w:val="16"/>
        </w:rPr>
        <w:t>Moiwana</w:t>
      </w:r>
      <w:proofErr w:type="spellEnd"/>
      <w:r w:rsidRPr="009461B3">
        <w:rPr>
          <w:rFonts w:ascii="Verdana" w:hAnsi="Verdana"/>
          <w:i/>
          <w:sz w:val="16"/>
          <w:szCs w:val="16"/>
        </w:rPr>
        <w:t>. Vs. Surinam. Excepciones Preliminares, Fondo, Reparaciones y Costas</w:t>
      </w:r>
      <w:r w:rsidRPr="000F06CF">
        <w:rPr>
          <w:rFonts w:ascii="Verdana" w:hAnsi="Verdana"/>
          <w:sz w:val="16"/>
          <w:szCs w:val="16"/>
        </w:rPr>
        <w:t xml:space="preserve">. Sentencia de 15 de junio de 2005. Serie C No. 124, párr. 147, y </w:t>
      </w:r>
      <w:r w:rsidRPr="000F06CF">
        <w:rPr>
          <w:rFonts w:ascii="Verdana" w:hAnsi="Verdana"/>
          <w:i/>
          <w:sz w:val="16"/>
          <w:szCs w:val="16"/>
          <w:lang w:val="es-CR"/>
        </w:rPr>
        <w:t xml:space="preserve">Caso Mota </w:t>
      </w:r>
      <w:proofErr w:type="spellStart"/>
      <w:r w:rsidRPr="000F06CF">
        <w:rPr>
          <w:rFonts w:ascii="Verdana" w:hAnsi="Verdana"/>
          <w:i/>
          <w:sz w:val="16"/>
          <w:szCs w:val="16"/>
          <w:lang w:val="es-CR"/>
        </w:rPr>
        <w:t>Abarullo</w:t>
      </w:r>
      <w:proofErr w:type="spellEnd"/>
      <w:r w:rsidRPr="000F06CF">
        <w:rPr>
          <w:rFonts w:ascii="Verdana" w:hAnsi="Verdana"/>
          <w:i/>
          <w:sz w:val="16"/>
          <w:szCs w:val="16"/>
          <w:lang w:val="es-CR"/>
        </w:rPr>
        <w:t xml:space="preserve"> y otros Vs. Venezuela.</w:t>
      </w:r>
      <w:r w:rsidRPr="000F06CF">
        <w:rPr>
          <w:rFonts w:ascii="Verdana" w:hAnsi="Verdana"/>
          <w:sz w:val="16"/>
          <w:szCs w:val="16"/>
          <w:lang w:val="es-CR"/>
        </w:rPr>
        <w:t xml:space="preserve"> Resolución de la Corte de 24 de agosto de 2020, Considerando 15.</w:t>
      </w:r>
    </w:p>
  </w:footnote>
  <w:footnote w:id="9">
    <w:p w14:paraId="33795F12" w14:textId="77777777" w:rsidR="00D817A6" w:rsidRDefault="00D817A6" w:rsidP="000F06CF">
      <w:pPr>
        <w:pStyle w:val="Textonotapie"/>
        <w:spacing w:after="0"/>
        <w:rPr>
          <w:rFonts w:ascii="Verdana" w:hAnsi="Verdana"/>
          <w:sz w:val="16"/>
          <w:szCs w:val="16"/>
        </w:rPr>
      </w:pPr>
    </w:p>
    <w:p w14:paraId="541BA990" w14:textId="3D553B28" w:rsidR="00B115F1" w:rsidRPr="000F06CF" w:rsidRDefault="00D817A6" w:rsidP="00B115F1">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r>
      <w:r w:rsidRPr="000F06CF">
        <w:rPr>
          <w:rFonts w:ascii="Verdana" w:hAnsi="Verdana"/>
          <w:i/>
          <w:sz w:val="16"/>
          <w:szCs w:val="16"/>
        </w:rPr>
        <w:t>Cfr.</w:t>
      </w:r>
      <w:r w:rsidRPr="000F06CF">
        <w:rPr>
          <w:rFonts w:ascii="Verdana" w:hAnsi="Verdana"/>
          <w:sz w:val="16"/>
          <w:szCs w:val="16"/>
        </w:rPr>
        <w:t xml:space="preserve"> </w:t>
      </w:r>
      <w:r w:rsidRPr="000F06CF">
        <w:rPr>
          <w:rFonts w:ascii="Verdana" w:hAnsi="Verdana"/>
          <w:i/>
          <w:sz w:val="16"/>
          <w:szCs w:val="16"/>
        </w:rPr>
        <w:t>Caso de la “Masacre de la Rochela” vs. Colombia</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de la Corte de 22 de diciembre de 2006, Considerando 13, y </w:t>
      </w:r>
      <w:r w:rsidRPr="000F06CF">
        <w:rPr>
          <w:rFonts w:ascii="Verdana" w:hAnsi="Verdana"/>
          <w:i/>
          <w:sz w:val="16"/>
          <w:szCs w:val="16"/>
        </w:rPr>
        <w:t>Caso Ticona Estrada y otros Vs. Bolivia.</w:t>
      </w:r>
      <w:r w:rsidRPr="000F06CF">
        <w:rPr>
          <w:rFonts w:ascii="Verdana" w:hAnsi="Verdana"/>
          <w:sz w:val="16"/>
          <w:szCs w:val="16"/>
        </w:rPr>
        <w:t xml:space="preserve"> Resolución de la </w:t>
      </w:r>
      <w:proofErr w:type="gramStart"/>
      <w:r w:rsidRPr="000F06CF">
        <w:rPr>
          <w:rFonts w:ascii="Verdana" w:hAnsi="Verdana"/>
          <w:sz w:val="16"/>
          <w:szCs w:val="16"/>
        </w:rPr>
        <w:t>Presidenta</w:t>
      </w:r>
      <w:proofErr w:type="gramEnd"/>
      <w:r w:rsidRPr="000F06CF">
        <w:rPr>
          <w:rFonts w:ascii="Verdana" w:hAnsi="Verdana"/>
          <w:sz w:val="16"/>
          <w:szCs w:val="16"/>
        </w:rPr>
        <w:t xml:space="preserve"> de la Corte de 9 de junio de 2008, Considerando 7</w:t>
      </w:r>
      <w:r w:rsidR="002514CC">
        <w:rPr>
          <w:rFonts w:ascii="Verdana" w:hAnsi="Verdana"/>
          <w:sz w:val="16"/>
          <w:szCs w:val="16"/>
        </w:rPr>
        <w:t>.</w:t>
      </w:r>
      <w:r w:rsidR="00B115F1">
        <w:rPr>
          <w:rFonts w:ascii="Verdana" w:hAnsi="Verdana"/>
          <w:sz w:val="16"/>
          <w:szCs w:val="16"/>
        </w:rPr>
        <w:t xml:space="preserve"> </w:t>
      </w:r>
      <w:r w:rsidR="002514CC">
        <w:rPr>
          <w:rFonts w:ascii="Verdana" w:hAnsi="Verdana"/>
          <w:sz w:val="16"/>
          <w:szCs w:val="16"/>
        </w:rPr>
        <w:t>E</w:t>
      </w:r>
      <w:r w:rsidR="00B115F1">
        <w:rPr>
          <w:rFonts w:ascii="Verdana" w:hAnsi="Verdana"/>
          <w:sz w:val="16"/>
          <w:szCs w:val="16"/>
        </w:rPr>
        <w:t xml:space="preserve">n el mismo sentido, </w:t>
      </w:r>
      <w:r w:rsidR="00B115F1" w:rsidRPr="004B720A">
        <w:rPr>
          <w:rFonts w:ascii="Verdana" w:hAnsi="Verdana"/>
          <w:i/>
          <w:sz w:val="16"/>
          <w:szCs w:val="16"/>
        </w:rPr>
        <w:t xml:space="preserve">Caso Mota </w:t>
      </w:r>
      <w:proofErr w:type="spellStart"/>
      <w:r w:rsidR="00B115F1" w:rsidRPr="004B720A">
        <w:rPr>
          <w:rFonts w:ascii="Verdana" w:hAnsi="Verdana"/>
          <w:i/>
          <w:sz w:val="16"/>
          <w:szCs w:val="16"/>
        </w:rPr>
        <w:t>Abarullo</w:t>
      </w:r>
      <w:proofErr w:type="spellEnd"/>
      <w:r w:rsidR="00B115F1" w:rsidRPr="004B720A">
        <w:rPr>
          <w:rFonts w:ascii="Verdana" w:hAnsi="Verdana"/>
          <w:i/>
          <w:sz w:val="16"/>
          <w:szCs w:val="16"/>
        </w:rPr>
        <w:t xml:space="preserve"> y otros Vs. Venezuela.</w:t>
      </w:r>
      <w:r w:rsidR="00B115F1" w:rsidRPr="00C6132B">
        <w:rPr>
          <w:rFonts w:ascii="Verdana" w:hAnsi="Verdana"/>
          <w:sz w:val="16"/>
          <w:szCs w:val="16"/>
        </w:rPr>
        <w:t xml:space="preserve"> Resolución de la Corte de 24 de agosto de 2020</w:t>
      </w:r>
      <w:r w:rsidR="00B115F1">
        <w:rPr>
          <w:rFonts w:ascii="Verdana" w:hAnsi="Verdana"/>
          <w:sz w:val="16"/>
          <w:szCs w:val="16"/>
        </w:rPr>
        <w:t>, Considerando 15</w:t>
      </w:r>
      <w:r w:rsidR="00B115F1" w:rsidRPr="000F06CF">
        <w:rPr>
          <w:rFonts w:ascii="Verdana" w:hAnsi="Verdana"/>
          <w:sz w:val="16"/>
          <w:szCs w:val="16"/>
        </w:rPr>
        <w:t xml:space="preserve">. </w:t>
      </w:r>
    </w:p>
    <w:p w14:paraId="08173C28" w14:textId="39FBFDFB" w:rsidR="00FD0B9D" w:rsidRPr="000F06CF" w:rsidRDefault="00FD0B9D" w:rsidP="000F06CF">
      <w:pPr>
        <w:pStyle w:val="Textonotapie"/>
        <w:spacing w:after="0"/>
        <w:rPr>
          <w:rFonts w:ascii="Verdana" w:hAnsi="Verdana"/>
          <w:sz w:val="16"/>
          <w:szCs w:val="16"/>
          <w:lang w:val="es-CR"/>
        </w:rPr>
      </w:pPr>
    </w:p>
  </w:footnote>
  <w:footnote w:id="10">
    <w:p w14:paraId="4DD0D455" w14:textId="257B030F" w:rsidR="00D817A6" w:rsidRDefault="00D817A6" w:rsidP="00032567">
      <w:pPr>
        <w:tabs>
          <w:tab w:val="left" w:pos="567"/>
        </w:tabs>
        <w:spacing w:after="0"/>
        <w:rPr>
          <w:rFonts w:cs="Arial"/>
          <w:sz w:val="16"/>
          <w:szCs w:val="16"/>
          <w:shd w:val="clear" w:color="auto" w:fill="FFFFFF"/>
          <w:lang w:val="es-CR"/>
        </w:rPr>
      </w:pPr>
      <w:r w:rsidRPr="000F06CF">
        <w:rPr>
          <w:rStyle w:val="Refdenotaalpie"/>
          <w:sz w:val="16"/>
          <w:szCs w:val="16"/>
        </w:rPr>
        <w:footnoteRef/>
      </w:r>
      <w:r w:rsidRPr="000F06CF">
        <w:rPr>
          <w:sz w:val="16"/>
          <w:szCs w:val="16"/>
          <w:lang w:val="es-CR"/>
        </w:rPr>
        <w:t xml:space="preserve"> </w:t>
      </w:r>
      <w:r w:rsidRPr="000F06CF">
        <w:rPr>
          <w:sz w:val="16"/>
          <w:szCs w:val="16"/>
          <w:lang w:val="es-CR"/>
        </w:rPr>
        <w:tab/>
      </w:r>
      <w:r w:rsidRPr="000F06CF">
        <w:rPr>
          <w:i/>
          <w:sz w:val="16"/>
          <w:szCs w:val="16"/>
          <w:lang w:val="es-CR"/>
        </w:rPr>
        <w:t>Cfr. Caso Olivares Muñoz y otros Vs. Venezuela.</w:t>
      </w:r>
      <w:r w:rsidRPr="000F06CF">
        <w:rPr>
          <w:sz w:val="16"/>
          <w:szCs w:val="16"/>
          <w:lang w:val="es-CR"/>
        </w:rPr>
        <w:t xml:space="preserve"> Resolución de la Corte de 29 de julio de 2020, Considerandos 9, 10 y 11, y </w:t>
      </w:r>
      <w:r w:rsidRPr="000F06CF">
        <w:rPr>
          <w:i/>
          <w:sz w:val="16"/>
          <w:szCs w:val="16"/>
          <w:lang w:val="es-CR"/>
        </w:rPr>
        <w:t xml:space="preserve">Caso Mota </w:t>
      </w:r>
      <w:proofErr w:type="spellStart"/>
      <w:r w:rsidRPr="000F06CF">
        <w:rPr>
          <w:i/>
          <w:sz w:val="16"/>
          <w:szCs w:val="16"/>
          <w:lang w:val="es-CR"/>
        </w:rPr>
        <w:t>Abarullo</w:t>
      </w:r>
      <w:proofErr w:type="spellEnd"/>
      <w:r w:rsidRPr="000F06CF">
        <w:rPr>
          <w:i/>
          <w:sz w:val="16"/>
          <w:szCs w:val="16"/>
          <w:lang w:val="es-CR"/>
        </w:rPr>
        <w:t xml:space="preserve"> y otros Vs. Venezuela</w:t>
      </w:r>
      <w:r w:rsidRPr="000F06CF">
        <w:rPr>
          <w:sz w:val="16"/>
          <w:szCs w:val="16"/>
          <w:lang w:val="es-CR"/>
        </w:rPr>
        <w:t xml:space="preserve">. Resolución de la Corte </w:t>
      </w:r>
      <w:r w:rsidR="00DA55A7">
        <w:rPr>
          <w:sz w:val="16"/>
          <w:szCs w:val="16"/>
          <w:lang w:val="es-CR"/>
        </w:rPr>
        <w:t xml:space="preserve">de 24 de agosto de 2020, Considerandos </w:t>
      </w:r>
      <w:r w:rsidRPr="000F06CF">
        <w:rPr>
          <w:sz w:val="16"/>
          <w:szCs w:val="16"/>
          <w:lang w:val="es-CR"/>
        </w:rPr>
        <w:t xml:space="preserve">12, 13 y 14. </w:t>
      </w:r>
      <w:r w:rsidRPr="000F06CF">
        <w:rPr>
          <w:rFonts w:eastAsia="Verdana"/>
          <w:sz w:val="16"/>
          <w:szCs w:val="16"/>
          <w:lang w:val="es-PE"/>
        </w:rPr>
        <w:t>En ambas Resoluciones (en sus notas a pie de página 4), la Corte hizo notar que “ya en casos anteriores ha dispuesto la recepción de declaraciones orales en diligencias particulares convocadas para el efecto.</w:t>
      </w:r>
      <w:r w:rsidRPr="000F06CF">
        <w:rPr>
          <w:rFonts w:eastAsia="Verdana"/>
          <w:i/>
          <w:sz w:val="16"/>
          <w:szCs w:val="16"/>
          <w:lang w:val="es-PE"/>
        </w:rPr>
        <w:t xml:space="preserve"> Cfr. </w:t>
      </w:r>
      <w:r w:rsidRPr="000F06CF">
        <w:rPr>
          <w:rFonts w:cs="Arial"/>
          <w:i/>
          <w:sz w:val="16"/>
          <w:szCs w:val="16"/>
          <w:shd w:val="clear" w:color="auto" w:fill="FFFFFF"/>
          <w:lang w:val="es-CR"/>
        </w:rPr>
        <w:t>Caso Cantoral Benavides Vs. Perú. Fondo.</w:t>
      </w:r>
      <w:r w:rsidRPr="000F06CF">
        <w:rPr>
          <w:rFonts w:cs="Arial"/>
          <w:sz w:val="16"/>
          <w:szCs w:val="16"/>
          <w:shd w:val="clear" w:color="auto" w:fill="FFFFFF"/>
          <w:lang w:val="es-CR"/>
        </w:rPr>
        <w:t xml:space="preserve"> Sentencia de 18 de agosto de 2000. Serie C No. 69, párr. 27; </w:t>
      </w:r>
      <w:r w:rsidRPr="000F06CF">
        <w:rPr>
          <w:rFonts w:cs="Arial"/>
          <w:i/>
          <w:sz w:val="16"/>
          <w:szCs w:val="16"/>
          <w:shd w:val="clear" w:color="auto" w:fill="FFFFFF"/>
          <w:lang w:val="es-CR"/>
        </w:rPr>
        <w:t>Caso Bámaca Velásquez Vs. Guatemala. Fondo.</w:t>
      </w:r>
      <w:r w:rsidRPr="000F06CF">
        <w:rPr>
          <w:rFonts w:cs="Arial"/>
          <w:sz w:val="16"/>
          <w:szCs w:val="16"/>
          <w:shd w:val="clear" w:color="auto" w:fill="FFFFFF"/>
          <w:lang w:val="es-CR"/>
        </w:rPr>
        <w:t xml:space="preserve"> Sentencia de 25 de noviembre de 2000. Serie C No. 70, párr. 44;</w:t>
      </w:r>
      <w:r w:rsidRPr="000F06CF">
        <w:rPr>
          <w:rFonts w:eastAsia="Verdana"/>
          <w:sz w:val="16"/>
          <w:szCs w:val="16"/>
          <w:lang w:val="es-PE"/>
        </w:rPr>
        <w:t xml:space="preserve"> </w:t>
      </w:r>
      <w:r w:rsidRPr="000F06CF">
        <w:rPr>
          <w:rFonts w:cs="Arial"/>
          <w:i/>
          <w:sz w:val="16"/>
          <w:szCs w:val="16"/>
          <w:shd w:val="clear" w:color="auto" w:fill="FFFFFF"/>
          <w:lang w:val="es-CR"/>
        </w:rPr>
        <w:t xml:space="preserve">Caso Yvon </w:t>
      </w:r>
      <w:proofErr w:type="spellStart"/>
      <w:r w:rsidRPr="000F06CF">
        <w:rPr>
          <w:rFonts w:cs="Arial"/>
          <w:i/>
          <w:sz w:val="16"/>
          <w:szCs w:val="16"/>
          <w:shd w:val="clear" w:color="auto" w:fill="FFFFFF"/>
          <w:lang w:val="es-CR"/>
        </w:rPr>
        <w:t>Neptune</w:t>
      </w:r>
      <w:proofErr w:type="spellEnd"/>
      <w:r w:rsidRPr="000F06CF">
        <w:rPr>
          <w:rFonts w:cs="Arial"/>
          <w:i/>
          <w:sz w:val="16"/>
          <w:szCs w:val="16"/>
          <w:shd w:val="clear" w:color="auto" w:fill="FFFFFF"/>
          <w:lang w:val="es-CR"/>
        </w:rPr>
        <w:t xml:space="preserve"> Vs. Haití</w:t>
      </w:r>
      <w:r w:rsidRPr="000F06CF">
        <w:rPr>
          <w:rFonts w:cs="Arial"/>
          <w:sz w:val="16"/>
          <w:szCs w:val="16"/>
          <w:shd w:val="clear" w:color="auto" w:fill="FFFFFF"/>
          <w:lang w:val="es-CR"/>
        </w:rPr>
        <w:t xml:space="preserve">. Resolución de la Corte Interamericana de Derechos Humanos de 29 de noviembre de 2007; </w:t>
      </w:r>
      <w:r w:rsidRPr="000F06CF">
        <w:rPr>
          <w:rFonts w:cs="Arial"/>
          <w:i/>
          <w:sz w:val="16"/>
          <w:szCs w:val="16"/>
          <w:shd w:val="clear" w:color="auto" w:fill="FFFFFF"/>
          <w:lang w:val="es-CR"/>
        </w:rPr>
        <w:t xml:space="preserve">Caso </w:t>
      </w:r>
      <w:proofErr w:type="spellStart"/>
      <w:r w:rsidRPr="000F06CF">
        <w:rPr>
          <w:rFonts w:cs="Arial"/>
          <w:i/>
          <w:sz w:val="16"/>
          <w:szCs w:val="16"/>
          <w:shd w:val="clear" w:color="auto" w:fill="FFFFFF"/>
          <w:lang w:val="es-CR"/>
        </w:rPr>
        <w:t>Atala</w:t>
      </w:r>
      <w:proofErr w:type="spellEnd"/>
      <w:r w:rsidRPr="000F06CF">
        <w:rPr>
          <w:rFonts w:cs="Arial"/>
          <w:i/>
          <w:sz w:val="16"/>
          <w:szCs w:val="16"/>
          <w:shd w:val="clear" w:color="auto" w:fill="FFFFFF"/>
          <w:lang w:val="es-CR"/>
        </w:rPr>
        <w:t xml:space="preserve"> Riffo e hijas Vs. Chile.</w:t>
      </w:r>
      <w:r w:rsidRPr="000F06CF">
        <w:rPr>
          <w:rFonts w:cs="Arial"/>
          <w:sz w:val="16"/>
          <w:szCs w:val="16"/>
          <w:shd w:val="clear" w:color="auto" w:fill="FFFFFF"/>
          <w:lang w:val="es-CR"/>
        </w:rPr>
        <w:t xml:space="preserve"> Resolución de la Corte Interamericana de Derechos Humanos de 29 de noviembre de 2011, puntos resolutivos 1 y 2, y </w:t>
      </w:r>
      <w:r w:rsidRPr="000F06CF">
        <w:rPr>
          <w:rFonts w:cs="Arial"/>
          <w:i/>
          <w:sz w:val="16"/>
          <w:szCs w:val="16"/>
          <w:shd w:val="clear" w:color="auto" w:fill="FFFFFF"/>
          <w:lang w:val="es-CR"/>
        </w:rPr>
        <w:t xml:space="preserve">Caso </w:t>
      </w:r>
      <w:r w:rsidRPr="000F06CF">
        <w:rPr>
          <w:rFonts w:cs="Arial"/>
          <w:i/>
          <w:iCs/>
          <w:sz w:val="16"/>
          <w:szCs w:val="16"/>
          <w:shd w:val="clear" w:color="auto" w:fill="FFFFFF"/>
          <w:lang w:val="es-CR"/>
        </w:rPr>
        <w:t>V.R.P. y V.P.C.</w:t>
      </w:r>
      <w:r w:rsidRPr="000F06CF">
        <w:rPr>
          <w:rFonts w:cs="Arial"/>
          <w:i/>
          <w:sz w:val="16"/>
          <w:szCs w:val="16"/>
          <w:shd w:val="clear" w:color="auto" w:fill="FFFFFF"/>
          <w:lang w:val="es-CR"/>
        </w:rPr>
        <w:t xml:space="preserve"> Vs. Nicaragua</w:t>
      </w:r>
      <w:r w:rsidRPr="000F06CF">
        <w:rPr>
          <w:rFonts w:cs="Arial"/>
          <w:sz w:val="16"/>
          <w:szCs w:val="16"/>
          <w:shd w:val="clear" w:color="auto" w:fill="FFFFFF"/>
          <w:lang w:val="es-CR"/>
        </w:rPr>
        <w:t xml:space="preserve">. Convocatoria a audiencia. Resolución del </w:t>
      </w:r>
      <w:proofErr w:type="gramStart"/>
      <w:r w:rsidRPr="000F06CF">
        <w:rPr>
          <w:rFonts w:cs="Arial"/>
          <w:sz w:val="16"/>
          <w:szCs w:val="16"/>
          <w:shd w:val="clear" w:color="auto" w:fill="FFFFFF"/>
          <w:lang w:val="es-CR"/>
        </w:rPr>
        <w:t>Presidente</w:t>
      </w:r>
      <w:proofErr w:type="gramEnd"/>
      <w:r w:rsidRPr="000F06CF">
        <w:rPr>
          <w:rFonts w:cs="Arial"/>
          <w:sz w:val="16"/>
          <w:szCs w:val="16"/>
          <w:shd w:val="clear" w:color="auto" w:fill="FFFFFF"/>
          <w:lang w:val="es-CR"/>
        </w:rPr>
        <w:t xml:space="preserve"> de la Corte Interamericana de Derechos Humanos de 21 de septiembre de 2017, punto resolutivo 2”.</w:t>
      </w:r>
    </w:p>
    <w:p w14:paraId="108CC61D" w14:textId="77777777" w:rsidR="006570C0" w:rsidRPr="000F06CF" w:rsidRDefault="006570C0" w:rsidP="00032567">
      <w:pPr>
        <w:tabs>
          <w:tab w:val="left" w:pos="567"/>
        </w:tabs>
        <w:spacing w:after="0"/>
        <w:rPr>
          <w:rFonts w:eastAsia="Verdana"/>
          <w:sz w:val="16"/>
          <w:szCs w:val="16"/>
          <w:lang w:val="es-PE"/>
        </w:rPr>
      </w:pPr>
    </w:p>
  </w:footnote>
  <w:footnote w:id="11">
    <w:p w14:paraId="554E7404" w14:textId="2BFAD102" w:rsidR="00FD0B9D" w:rsidRDefault="00FD0B9D" w:rsidP="004B720A">
      <w:pPr>
        <w:pStyle w:val="Textonotapie"/>
        <w:spacing w:after="0"/>
        <w:rPr>
          <w:rFonts w:ascii="Verdana" w:hAnsi="Verdana"/>
          <w:sz w:val="16"/>
          <w:szCs w:val="16"/>
          <w:lang w:val="es-CR"/>
        </w:rPr>
      </w:pPr>
      <w:r w:rsidRPr="004B720A">
        <w:rPr>
          <w:rStyle w:val="Refdenotaalpie"/>
          <w:rFonts w:ascii="Verdana" w:hAnsi="Verdana"/>
          <w:sz w:val="16"/>
          <w:szCs w:val="16"/>
        </w:rPr>
        <w:footnoteRef/>
      </w:r>
      <w:r w:rsidRPr="004B720A">
        <w:rPr>
          <w:rFonts w:ascii="Verdana" w:hAnsi="Verdana"/>
          <w:sz w:val="16"/>
          <w:szCs w:val="16"/>
          <w:lang w:val="es-CR"/>
        </w:rPr>
        <w:t xml:space="preserve"> </w:t>
      </w:r>
      <w:r w:rsidRPr="004B720A">
        <w:rPr>
          <w:rFonts w:ascii="Verdana" w:hAnsi="Verdana"/>
          <w:sz w:val="16"/>
          <w:szCs w:val="16"/>
          <w:lang w:val="es-CR"/>
        </w:rPr>
        <w:tab/>
        <w:t xml:space="preserve">Los representantes propusieron que el señor Cano declare sobre: “i) la importancia de la recolección de datos y cifras respecto de homicidios en manos de fuerzas de seguridad para el diseño e implementación de políticas públicas en derechos humanos efectivas por parte de un Estado; </w:t>
      </w:r>
      <w:proofErr w:type="spellStart"/>
      <w:r w:rsidRPr="004B720A">
        <w:rPr>
          <w:rFonts w:ascii="Verdana" w:hAnsi="Verdana"/>
          <w:sz w:val="16"/>
          <w:szCs w:val="16"/>
          <w:lang w:val="es-CR"/>
        </w:rPr>
        <w:t>ii</w:t>
      </w:r>
      <w:proofErr w:type="spellEnd"/>
      <w:r w:rsidRPr="004B720A">
        <w:rPr>
          <w:rFonts w:ascii="Verdana" w:hAnsi="Verdana"/>
          <w:sz w:val="16"/>
          <w:szCs w:val="16"/>
          <w:lang w:val="es-CR"/>
        </w:rPr>
        <w:t xml:space="preserve">) las formas en que un Estado debe recolectar este tipo de datos para poder diseñar, implementar y evaluar políticas públicas que permitan reducir graves violaciones a los derechos humanos, tales como tortura, ejecuciones extrajudicial o desapariciones forzadas por parte de las fuerzas de seguridad; </w:t>
      </w:r>
      <w:proofErr w:type="spellStart"/>
      <w:r w:rsidRPr="004B720A">
        <w:rPr>
          <w:rFonts w:ascii="Verdana" w:hAnsi="Verdana"/>
          <w:sz w:val="16"/>
          <w:szCs w:val="16"/>
          <w:lang w:val="es-CR"/>
        </w:rPr>
        <w:t>iii</w:t>
      </w:r>
      <w:proofErr w:type="spellEnd"/>
      <w:r w:rsidRPr="004B720A">
        <w:rPr>
          <w:rFonts w:ascii="Verdana" w:hAnsi="Verdana"/>
          <w:sz w:val="16"/>
          <w:szCs w:val="16"/>
          <w:lang w:val="es-CR"/>
        </w:rPr>
        <w:t xml:space="preserve">) los errores y obstáculos comunes de los Estados y sus instituciones en el diseño e implementación de este tipo de políticas públicas como también los mecanismos para superarlos; y </w:t>
      </w:r>
      <w:proofErr w:type="spellStart"/>
      <w:r w:rsidRPr="004B720A">
        <w:rPr>
          <w:rFonts w:ascii="Verdana" w:hAnsi="Verdana"/>
          <w:sz w:val="16"/>
          <w:szCs w:val="16"/>
          <w:lang w:val="es-CR"/>
        </w:rPr>
        <w:t>iv</w:t>
      </w:r>
      <w:proofErr w:type="spellEnd"/>
      <w:r w:rsidRPr="004B720A">
        <w:rPr>
          <w:rFonts w:ascii="Verdana" w:hAnsi="Verdana"/>
          <w:sz w:val="16"/>
          <w:szCs w:val="16"/>
          <w:lang w:val="es-CR"/>
        </w:rPr>
        <w:t>) el rol y participación de la sociedad civil en el diseño, implementación y evaluación de estas políticas públicas”.</w:t>
      </w:r>
    </w:p>
    <w:p w14:paraId="3468A317" w14:textId="77777777" w:rsidR="00AB00F1" w:rsidRPr="004B720A" w:rsidRDefault="00AB00F1" w:rsidP="004B720A">
      <w:pPr>
        <w:pStyle w:val="Textonotapie"/>
        <w:spacing w:after="0"/>
        <w:rPr>
          <w:rFonts w:ascii="Verdana" w:hAnsi="Verdana"/>
          <w:sz w:val="16"/>
          <w:szCs w:val="16"/>
          <w:lang w:val="es-CR"/>
        </w:rPr>
      </w:pPr>
    </w:p>
  </w:footnote>
  <w:footnote w:id="12">
    <w:p w14:paraId="64B55BF6" w14:textId="390DC224" w:rsidR="00FD0B9D" w:rsidRDefault="00FD0B9D" w:rsidP="004B720A">
      <w:pPr>
        <w:pStyle w:val="Textonotapie"/>
        <w:spacing w:after="0"/>
        <w:rPr>
          <w:rFonts w:ascii="Verdana" w:hAnsi="Verdana"/>
          <w:sz w:val="16"/>
          <w:szCs w:val="16"/>
          <w:lang w:val="es-CR"/>
        </w:rPr>
      </w:pPr>
      <w:r w:rsidRPr="004B720A">
        <w:rPr>
          <w:rStyle w:val="Refdenotaalpie"/>
          <w:rFonts w:ascii="Verdana" w:hAnsi="Verdana"/>
          <w:sz w:val="16"/>
          <w:szCs w:val="16"/>
        </w:rPr>
        <w:footnoteRef/>
      </w:r>
      <w:r w:rsidRPr="004B720A">
        <w:rPr>
          <w:rFonts w:ascii="Verdana" w:hAnsi="Verdana"/>
          <w:sz w:val="16"/>
          <w:szCs w:val="16"/>
        </w:rPr>
        <w:t xml:space="preserve"> </w:t>
      </w:r>
      <w:r w:rsidRPr="004B720A">
        <w:rPr>
          <w:rFonts w:ascii="Verdana" w:hAnsi="Verdana"/>
          <w:sz w:val="16"/>
          <w:szCs w:val="16"/>
          <w:lang w:val="es-CR"/>
        </w:rPr>
        <w:t xml:space="preserve"> </w:t>
      </w:r>
      <w:r w:rsidRPr="004B720A">
        <w:rPr>
          <w:rFonts w:ascii="Verdana" w:hAnsi="Verdana"/>
          <w:sz w:val="16"/>
          <w:szCs w:val="16"/>
          <w:lang w:val="es-CR"/>
        </w:rPr>
        <w:tab/>
        <w:t>El señor Prieto Carrero, de conformidad a lo expresado por los representantes, declararía sobre: “</w:t>
      </w:r>
      <w:r w:rsidR="00AB00F1" w:rsidRPr="004B720A">
        <w:rPr>
          <w:rFonts w:ascii="Verdana" w:hAnsi="Verdana"/>
          <w:sz w:val="16"/>
          <w:szCs w:val="16"/>
          <w:lang w:val="es-CR"/>
        </w:rPr>
        <w:t xml:space="preserve">i) las </w:t>
      </w:r>
      <w:r w:rsidRPr="004B720A">
        <w:rPr>
          <w:rFonts w:ascii="Verdana" w:hAnsi="Verdana"/>
          <w:sz w:val="16"/>
          <w:szCs w:val="16"/>
          <w:lang w:val="es-CR"/>
        </w:rPr>
        <w:t xml:space="preserve">negligencias y omisiones cometidas al recabar las diligencias investigativas por la muerte de Jimmy Guerrero y Ramón Molina; </w:t>
      </w:r>
      <w:proofErr w:type="spellStart"/>
      <w:r w:rsidRPr="004B720A">
        <w:rPr>
          <w:rFonts w:ascii="Verdana" w:hAnsi="Verdana"/>
          <w:sz w:val="16"/>
          <w:szCs w:val="16"/>
          <w:lang w:val="es-CR"/>
        </w:rPr>
        <w:t>ii</w:t>
      </w:r>
      <w:proofErr w:type="spellEnd"/>
      <w:r w:rsidRPr="004B720A">
        <w:rPr>
          <w:rFonts w:ascii="Verdana" w:hAnsi="Verdana"/>
          <w:sz w:val="16"/>
          <w:szCs w:val="16"/>
          <w:lang w:val="es-CR"/>
        </w:rPr>
        <w:t xml:space="preserve">) el examen de la escena y de otras evidencias forenses para establecer si las estas son consistentes con la existencia de actos de tortura y ejecución; </w:t>
      </w:r>
      <w:proofErr w:type="spellStart"/>
      <w:r w:rsidRPr="004B720A">
        <w:rPr>
          <w:rFonts w:ascii="Verdana" w:hAnsi="Verdana"/>
          <w:sz w:val="16"/>
          <w:szCs w:val="16"/>
          <w:lang w:val="es-CR"/>
        </w:rPr>
        <w:t>iii</w:t>
      </w:r>
      <w:proofErr w:type="spellEnd"/>
      <w:r w:rsidRPr="004B720A">
        <w:rPr>
          <w:rFonts w:ascii="Verdana" w:hAnsi="Verdana"/>
          <w:sz w:val="16"/>
          <w:szCs w:val="16"/>
          <w:lang w:val="es-CR"/>
        </w:rPr>
        <w:t xml:space="preserve">) la trayectoria balística para pronunciarse si esta es consistente con una ejecución; </w:t>
      </w:r>
      <w:proofErr w:type="spellStart"/>
      <w:r w:rsidRPr="004B720A">
        <w:rPr>
          <w:rFonts w:ascii="Verdana" w:hAnsi="Verdana"/>
          <w:sz w:val="16"/>
          <w:szCs w:val="16"/>
          <w:lang w:val="es-CR"/>
        </w:rPr>
        <w:t>iv</w:t>
      </w:r>
      <w:proofErr w:type="spellEnd"/>
      <w:r w:rsidRPr="004B720A">
        <w:rPr>
          <w:rFonts w:ascii="Verdana" w:hAnsi="Verdana"/>
          <w:sz w:val="16"/>
          <w:szCs w:val="16"/>
          <w:lang w:val="es-CR"/>
        </w:rPr>
        <w:t>) las heridas ocasionadas por el disparo para determinar si se disparó a las víctimas después de su fallecimiento; y v) las</w:t>
      </w:r>
      <w:r w:rsidR="00AB00F1" w:rsidRPr="004B720A">
        <w:rPr>
          <w:rFonts w:ascii="Verdana" w:hAnsi="Verdana"/>
          <w:sz w:val="16"/>
          <w:szCs w:val="16"/>
        </w:rPr>
        <w:t xml:space="preserve"> </w:t>
      </w:r>
      <w:r w:rsidR="00AB00F1" w:rsidRPr="004B720A">
        <w:rPr>
          <w:rFonts w:ascii="Verdana" w:hAnsi="Verdana"/>
          <w:sz w:val="16"/>
          <w:szCs w:val="16"/>
          <w:lang w:val="es-CR"/>
        </w:rPr>
        <w:t>medidas que el Estado debería tomar para cumplir con los estándares internacionales de debida diligencia en la investigación”</w:t>
      </w:r>
      <w:r w:rsidR="00AB00F1">
        <w:rPr>
          <w:rFonts w:ascii="Verdana" w:hAnsi="Verdana"/>
          <w:sz w:val="16"/>
          <w:szCs w:val="16"/>
          <w:lang w:val="es-CR"/>
        </w:rPr>
        <w:t>.</w:t>
      </w:r>
    </w:p>
    <w:p w14:paraId="5FDDBB3D" w14:textId="77777777" w:rsidR="00AB00F1" w:rsidRPr="004B720A" w:rsidRDefault="00AB00F1" w:rsidP="004B720A">
      <w:pPr>
        <w:pStyle w:val="Textonotapie"/>
        <w:spacing w:after="0"/>
        <w:rPr>
          <w:rFonts w:ascii="Verdana" w:hAnsi="Verdana"/>
          <w:sz w:val="16"/>
          <w:szCs w:val="16"/>
          <w:lang w:val="es-CR"/>
        </w:rPr>
      </w:pPr>
    </w:p>
  </w:footnote>
  <w:footnote w:id="13">
    <w:p w14:paraId="690F0FEC" w14:textId="4EF947B6" w:rsidR="00FD0B9D" w:rsidRDefault="00FD0B9D" w:rsidP="004B720A">
      <w:pPr>
        <w:pStyle w:val="Textonotapie"/>
        <w:spacing w:after="0"/>
        <w:rPr>
          <w:rFonts w:ascii="Verdana" w:hAnsi="Verdana"/>
          <w:sz w:val="16"/>
          <w:szCs w:val="16"/>
          <w:lang w:val="es-CR"/>
        </w:rPr>
      </w:pPr>
      <w:r w:rsidRPr="004B720A">
        <w:rPr>
          <w:rStyle w:val="Refdenotaalpie"/>
          <w:rFonts w:ascii="Verdana" w:hAnsi="Verdana"/>
          <w:sz w:val="16"/>
          <w:szCs w:val="16"/>
        </w:rPr>
        <w:footnoteRef/>
      </w:r>
      <w:r w:rsidRPr="004B720A">
        <w:rPr>
          <w:rFonts w:ascii="Verdana" w:hAnsi="Verdana"/>
          <w:sz w:val="16"/>
          <w:szCs w:val="16"/>
        </w:rPr>
        <w:t xml:space="preserve"> </w:t>
      </w:r>
      <w:r w:rsidRPr="004B720A">
        <w:rPr>
          <w:rFonts w:ascii="Verdana" w:hAnsi="Verdana"/>
          <w:sz w:val="16"/>
          <w:szCs w:val="16"/>
          <w:lang w:val="es-CR"/>
        </w:rPr>
        <w:t xml:space="preserve"> </w:t>
      </w:r>
      <w:r w:rsidRPr="004B720A">
        <w:rPr>
          <w:rFonts w:ascii="Verdana" w:hAnsi="Verdana"/>
          <w:sz w:val="16"/>
          <w:szCs w:val="16"/>
          <w:lang w:val="es-CR"/>
        </w:rPr>
        <w:tab/>
        <w:t xml:space="preserve">Los representantes señalaron que el señor </w:t>
      </w:r>
      <w:proofErr w:type="spellStart"/>
      <w:r w:rsidRPr="004B720A">
        <w:rPr>
          <w:rFonts w:ascii="Verdana" w:hAnsi="Verdana"/>
          <w:sz w:val="16"/>
          <w:szCs w:val="16"/>
          <w:lang w:val="es-CR"/>
        </w:rPr>
        <w:t>Alston</w:t>
      </w:r>
      <w:proofErr w:type="spellEnd"/>
      <w:r w:rsidRPr="004B720A">
        <w:rPr>
          <w:rFonts w:ascii="Verdana" w:hAnsi="Verdana"/>
          <w:sz w:val="16"/>
          <w:szCs w:val="16"/>
          <w:lang w:val="es-CR"/>
        </w:rPr>
        <w:t xml:space="preserve"> declararía sobre: “i) la actuación de las fuerzas de seguridad en contexto de pobreza y vulnerabilidad en Venezuela, en particular en el Estado Falcón; </w:t>
      </w:r>
      <w:proofErr w:type="spellStart"/>
      <w:r w:rsidRPr="004B720A">
        <w:rPr>
          <w:rFonts w:ascii="Verdana" w:hAnsi="Verdana"/>
          <w:sz w:val="16"/>
          <w:szCs w:val="16"/>
          <w:lang w:val="es-CR"/>
        </w:rPr>
        <w:t>ii</w:t>
      </w:r>
      <w:proofErr w:type="spellEnd"/>
      <w:r w:rsidRPr="004B720A">
        <w:rPr>
          <w:rFonts w:ascii="Verdana" w:hAnsi="Verdana"/>
          <w:sz w:val="16"/>
          <w:szCs w:val="16"/>
          <w:lang w:val="es-CR"/>
        </w:rPr>
        <w:t xml:space="preserve">) el uso la fuerza y la estigmatización por parte de las fuerzas de seguridad y, el Estado venezolano, en general, contra población vulnerabilidad y en contextos de pobreza; </w:t>
      </w:r>
      <w:proofErr w:type="spellStart"/>
      <w:r w:rsidRPr="004B720A">
        <w:rPr>
          <w:rFonts w:ascii="Verdana" w:hAnsi="Verdana"/>
          <w:sz w:val="16"/>
          <w:szCs w:val="16"/>
          <w:lang w:val="es-CR"/>
        </w:rPr>
        <w:t>ii</w:t>
      </w:r>
      <w:proofErr w:type="spellEnd"/>
      <w:r w:rsidRPr="004B720A">
        <w:rPr>
          <w:rFonts w:ascii="Verdana" w:hAnsi="Verdana"/>
          <w:sz w:val="16"/>
          <w:szCs w:val="16"/>
          <w:lang w:val="es-CR"/>
        </w:rPr>
        <w:t xml:space="preserve">) el rol del Estado venezolano respecto de actuaciones y prácticas de terceros que, bajo su tolerancia o aquiescencia, creen, mantengan o favorezcan las situaciones discriminatorias que generen además graves violaciones a los derechos humanos”. </w:t>
      </w:r>
    </w:p>
    <w:p w14:paraId="4C40E663" w14:textId="77777777" w:rsidR="00AB00F1" w:rsidRPr="004B720A" w:rsidRDefault="00AB00F1" w:rsidP="004B720A">
      <w:pPr>
        <w:pStyle w:val="Textonotapie"/>
        <w:spacing w:after="0"/>
        <w:rPr>
          <w:rFonts w:ascii="Verdana" w:hAnsi="Verdana"/>
          <w:sz w:val="16"/>
          <w:szCs w:val="16"/>
          <w:lang w:val="es-CR"/>
        </w:rPr>
      </w:pPr>
    </w:p>
  </w:footnote>
  <w:footnote w:id="14">
    <w:p w14:paraId="195582B0" w14:textId="6532F62F" w:rsidR="00FD0B9D" w:rsidRDefault="00FD0B9D" w:rsidP="004B720A">
      <w:pPr>
        <w:pStyle w:val="Textonotapie"/>
        <w:spacing w:after="0"/>
        <w:rPr>
          <w:lang w:val="es-CR"/>
        </w:rPr>
      </w:pPr>
      <w:r w:rsidRPr="004B720A">
        <w:rPr>
          <w:rStyle w:val="Refdenotaalpie"/>
          <w:rFonts w:ascii="Verdana" w:hAnsi="Verdana"/>
          <w:sz w:val="16"/>
          <w:szCs w:val="16"/>
        </w:rPr>
        <w:footnoteRef/>
      </w:r>
      <w:r w:rsidRPr="004B720A">
        <w:rPr>
          <w:rFonts w:ascii="Verdana" w:hAnsi="Verdana"/>
          <w:sz w:val="16"/>
          <w:szCs w:val="16"/>
        </w:rPr>
        <w:t xml:space="preserve"> </w:t>
      </w:r>
      <w:r w:rsidRPr="004B720A">
        <w:rPr>
          <w:rFonts w:ascii="Verdana" w:hAnsi="Verdana"/>
          <w:sz w:val="16"/>
          <w:szCs w:val="16"/>
          <w:lang w:val="es-CR"/>
        </w:rPr>
        <w:t xml:space="preserve"> </w:t>
      </w:r>
      <w:r w:rsidRPr="004B720A">
        <w:rPr>
          <w:rFonts w:ascii="Verdana" w:hAnsi="Verdana"/>
          <w:sz w:val="16"/>
          <w:szCs w:val="16"/>
          <w:lang w:val="es-CR"/>
        </w:rPr>
        <w:tab/>
        <w:t xml:space="preserve">El objeto que los representantes indicaron para la declaración del señor Briceño León es el siguiente: “i) el contexto de violaciones de derechos humanos cometidas por la fuerza pública en Venezuela; </w:t>
      </w:r>
      <w:proofErr w:type="spellStart"/>
      <w:r w:rsidRPr="004B720A">
        <w:rPr>
          <w:rFonts w:ascii="Verdana" w:hAnsi="Verdana"/>
          <w:sz w:val="16"/>
          <w:szCs w:val="16"/>
          <w:lang w:val="es-CR"/>
        </w:rPr>
        <w:t>ii</w:t>
      </w:r>
      <w:proofErr w:type="spellEnd"/>
      <w:r w:rsidRPr="004B720A">
        <w:rPr>
          <w:rFonts w:ascii="Verdana" w:hAnsi="Verdana"/>
          <w:sz w:val="16"/>
          <w:szCs w:val="16"/>
          <w:lang w:val="es-CR"/>
        </w:rPr>
        <w:t xml:space="preserve">) las causas estructurales de la repetición e impunidad de las mismas; </w:t>
      </w:r>
      <w:proofErr w:type="spellStart"/>
      <w:r w:rsidRPr="004B720A">
        <w:rPr>
          <w:rFonts w:ascii="Verdana" w:hAnsi="Verdana"/>
          <w:sz w:val="16"/>
          <w:szCs w:val="16"/>
          <w:lang w:val="es-CR"/>
        </w:rPr>
        <w:t>iii</w:t>
      </w:r>
      <w:proofErr w:type="spellEnd"/>
      <w:r w:rsidRPr="004B720A">
        <w:rPr>
          <w:rFonts w:ascii="Verdana" w:hAnsi="Verdana"/>
          <w:sz w:val="16"/>
          <w:szCs w:val="16"/>
          <w:lang w:val="es-CR"/>
        </w:rPr>
        <w:t xml:space="preserve">) la falta de medidas y políticas públicas necesarias y adecuadas para investigar y prevenir la repetición de estos delitos en Venezuela; </w:t>
      </w:r>
      <w:proofErr w:type="spellStart"/>
      <w:r w:rsidRPr="004B720A">
        <w:rPr>
          <w:rFonts w:ascii="Verdana" w:hAnsi="Verdana"/>
          <w:sz w:val="16"/>
          <w:szCs w:val="16"/>
          <w:lang w:val="es-CR"/>
        </w:rPr>
        <w:t>iv</w:t>
      </w:r>
      <w:proofErr w:type="spellEnd"/>
      <w:r w:rsidRPr="004B720A">
        <w:rPr>
          <w:rFonts w:ascii="Verdana" w:hAnsi="Verdana"/>
          <w:sz w:val="16"/>
          <w:szCs w:val="16"/>
          <w:lang w:val="es-CR"/>
        </w:rPr>
        <w:t>) medidas necesarias para mejorar la prevención, esclarecimiento y sanción de tales violaciones en Venezuela”.</w:t>
      </w:r>
      <w:r>
        <w:rPr>
          <w:lang w:val="es-CR"/>
        </w:rPr>
        <w:t xml:space="preserve"> </w:t>
      </w:r>
    </w:p>
    <w:p w14:paraId="6F1B5199" w14:textId="77777777" w:rsidR="00AB00F1" w:rsidRPr="004B720A" w:rsidRDefault="00AB00F1" w:rsidP="004B720A">
      <w:pPr>
        <w:pStyle w:val="Textonotapie"/>
        <w:spacing w:after="0"/>
        <w:rPr>
          <w:lang w:val="es-CR"/>
        </w:rPr>
      </w:pPr>
    </w:p>
  </w:footnote>
  <w:footnote w:id="15">
    <w:p w14:paraId="3D9A6CAF" w14:textId="77777777" w:rsidR="00AB00F1" w:rsidRDefault="00AB00F1" w:rsidP="00AB00F1">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r>
      <w:r w:rsidRPr="000F06CF">
        <w:rPr>
          <w:rFonts w:ascii="Verdana" w:hAnsi="Verdana"/>
          <w:sz w:val="16"/>
          <w:szCs w:val="16"/>
          <w:lang w:val="es-CR"/>
        </w:rPr>
        <w:t>El objeto propuesto para la declaración de la señora Vásquez Gonzales, en los términos formul</w:t>
      </w:r>
      <w:r>
        <w:rPr>
          <w:rFonts w:ascii="Verdana" w:hAnsi="Verdana"/>
          <w:sz w:val="16"/>
          <w:szCs w:val="16"/>
          <w:lang w:val="es-CR"/>
        </w:rPr>
        <w:t>ados por los representantes, es</w:t>
      </w:r>
      <w:r w:rsidRPr="000F06CF">
        <w:rPr>
          <w:rFonts w:ascii="Verdana" w:hAnsi="Verdana"/>
          <w:sz w:val="16"/>
          <w:szCs w:val="16"/>
          <w:lang w:val="es-CR"/>
        </w:rPr>
        <w:t xml:space="preserve"> el siguiente “i) el procedimiento penal venezolano [en] el momento de la ejecución extrajudicial; </w:t>
      </w:r>
      <w:proofErr w:type="spellStart"/>
      <w:r w:rsidRPr="000F06CF">
        <w:rPr>
          <w:rFonts w:ascii="Verdana" w:hAnsi="Verdana"/>
          <w:sz w:val="16"/>
          <w:szCs w:val="16"/>
          <w:lang w:val="es-CR"/>
        </w:rPr>
        <w:t>ii</w:t>
      </w:r>
      <w:proofErr w:type="spellEnd"/>
      <w:r w:rsidRPr="000F06CF">
        <w:rPr>
          <w:rFonts w:ascii="Verdana" w:hAnsi="Verdana"/>
          <w:sz w:val="16"/>
          <w:szCs w:val="16"/>
          <w:lang w:val="es-CR"/>
        </w:rPr>
        <w:t xml:space="preserve">) los obstáculos al acceso a la justicia y el retraso en el proceso penal en el presente caso; y </w:t>
      </w:r>
      <w:proofErr w:type="spellStart"/>
      <w:r w:rsidRPr="000F06CF">
        <w:rPr>
          <w:rFonts w:ascii="Verdana" w:hAnsi="Verdana"/>
          <w:sz w:val="16"/>
          <w:szCs w:val="16"/>
          <w:lang w:val="es-CR"/>
        </w:rPr>
        <w:t>iii</w:t>
      </w:r>
      <w:proofErr w:type="spellEnd"/>
      <w:r w:rsidRPr="000F06CF">
        <w:rPr>
          <w:rFonts w:ascii="Verdana" w:hAnsi="Verdana"/>
          <w:sz w:val="16"/>
          <w:szCs w:val="16"/>
          <w:lang w:val="es-CR"/>
        </w:rPr>
        <w:t xml:space="preserve">) la falta de diligencia por parte de las autoridades judiciales y administrativas para avanzar de manera oportuna la investigación de las ejecuciones de las [presuntas] víctimas”. </w:t>
      </w:r>
    </w:p>
    <w:p w14:paraId="68484D63" w14:textId="77777777" w:rsidR="00AB00F1" w:rsidRPr="000F06CF" w:rsidRDefault="00AB00F1" w:rsidP="00AB00F1">
      <w:pPr>
        <w:pStyle w:val="Textonotapie"/>
        <w:spacing w:after="0"/>
        <w:rPr>
          <w:rFonts w:ascii="Verdana" w:hAnsi="Verdana"/>
          <w:sz w:val="16"/>
          <w:szCs w:val="16"/>
          <w:lang w:val="es-CR"/>
        </w:rPr>
      </w:pPr>
    </w:p>
  </w:footnote>
  <w:footnote w:id="16">
    <w:p w14:paraId="57C12439" w14:textId="175CCF02" w:rsidR="000A61D6" w:rsidRPr="004B720A" w:rsidRDefault="000A61D6">
      <w:pPr>
        <w:pStyle w:val="Textonotapie"/>
        <w:rPr>
          <w:lang w:val="es-CR"/>
        </w:rPr>
      </w:pPr>
      <w:r>
        <w:rPr>
          <w:rStyle w:val="Refdenotaalpie"/>
        </w:rPr>
        <w:footnoteRef/>
      </w:r>
      <w:r>
        <w:t xml:space="preserve">  </w:t>
      </w:r>
      <w:r>
        <w:tab/>
      </w:r>
      <w:r w:rsidRPr="004B720A">
        <w:rPr>
          <w:rFonts w:ascii="Verdana" w:hAnsi="Verdana"/>
          <w:i/>
          <w:sz w:val="16"/>
          <w:szCs w:val="16"/>
        </w:rPr>
        <w:t>Cfr.</w:t>
      </w:r>
      <w:r w:rsidRPr="004B720A">
        <w:rPr>
          <w:rFonts w:ascii="Verdana" w:hAnsi="Verdana"/>
          <w:sz w:val="16"/>
          <w:szCs w:val="16"/>
        </w:rPr>
        <w:t xml:space="preserve">, en el mismo sentido, </w:t>
      </w:r>
      <w:r w:rsidRPr="004B720A">
        <w:rPr>
          <w:rFonts w:ascii="Verdana" w:hAnsi="Verdana" w:cs="Arial"/>
          <w:i/>
          <w:sz w:val="16"/>
          <w:szCs w:val="16"/>
          <w:shd w:val="clear" w:color="auto" w:fill="FFFFFF"/>
        </w:rPr>
        <w:t>Caso Álvarez Ramos Vs. Venezuela.</w:t>
      </w:r>
      <w:r w:rsidRPr="004B720A">
        <w:rPr>
          <w:rFonts w:ascii="Verdana" w:hAnsi="Verdana" w:cs="Arial"/>
          <w:sz w:val="16"/>
          <w:szCs w:val="16"/>
          <w:shd w:val="clear" w:color="auto" w:fill="FFFFFF"/>
        </w:rPr>
        <w:t xml:space="preserve"> Resolución del </w:t>
      </w:r>
      <w:proofErr w:type="gramStart"/>
      <w:r w:rsidRPr="004B720A">
        <w:rPr>
          <w:rFonts w:ascii="Verdana" w:hAnsi="Verdana" w:cs="Arial"/>
          <w:sz w:val="16"/>
          <w:szCs w:val="16"/>
          <w:shd w:val="clear" w:color="auto" w:fill="FFFFFF"/>
        </w:rPr>
        <w:t>Presidente</w:t>
      </w:r>
      <w:proofErr w:type="gramEnd"/>
      <w:r w:rsidRPr="004B720A">
        <w:rPr>
          <w:rFonts w:ascii="Verdana" w:hAnsi="Verdana" w:cs="Arial"/>
          <w:sz w:val="16"/>
          <w:szCs w:val="16"/>
          <w:shd w:val="clear" w:color="auto" w:fill="FFFFFF"/>
        </w:rPr>
        <w:t xml:space="preserve"> de la Corte de 21 de junio de 2018, Considerando 25.</w:t>
      </w:r>
    </w:p>
  </w:footnote>
  <w:footnote w:id="17">
    <w:p w14:paraId="09F66028" w14:textId="627A2A55" w:rsidR="00724382" w:rsidRPr="004B720A" w:rsidRDefault="00724382">
      <w:pPr>
        <w:pStyle w:val="Textonotapie"/>
        <w:rPr>
          <w:rFonts w:ascii="Verdana" w:hAnsi="Verdana"/>
          <w:sz w:val="16"/>
          <w:szCs w:val="16"/>
          <w:lang w:val="es-CR"/>
        </w:rPr>
      </w:pPr>
      <w:r w:rsidRPr="004B720A">
        <w:rPr>
          <w:rStyle w:val="Refdenotaalpie"/>
          <w:rFonts w:ascii="Verdana" w:hAnsi="Verdana"/>
          <w:sz w:val="16"/>
          <w:szCs w:val="16"/>
        </w:rPr>
        <w:footnoteRef/>
      </w:r>
      <w:r w:rsidRPr="004B720A">
        <w:rPr>
          <w:rFonts w:ascii="Verdana" w:hAnsi="Verdana"/>
          <w:sz w:val="16"/>
          <w:szCs w:val="16"/>
        </w:rPr>
        <w:t xml:space="preserve"> </w:t>
      </w:r>
      <w:r w:rsidRPr="004B720A">
        <w:rPr>
          <w:rFonts w:ascii="Verdana" w:hAnsi="Verdana"/>
          <w:sz w:val="16"/>
          <w:szCs w:val="16"/>
        </w:rPr>
        <w:tab/>
      </w:r>
      <w:r w:rsidRPr="004B720A">
        <w:rPr>
          <w:rFonts w:ascii="Verdana" w:hAnsi="Verdana"/>
          <w:i/>
          <w:sz w:val="16"/>
          <w:szCs w:val="16"/>
          <w:lang w:val="es-CR"/>
        </w:rPr>
        <w:t xml:space="preserve">Cfr. </w:t>
      </w:r>
      <w:r w:rsidRPr="004B720A">
        <w:rPr>
          <w:rFonts w:ascii="Verdana" w:hAnsi="Verdana"/>
          <w:i/>
          <w:sz w:val="16"/>
          <w:szCs w:val="16"/>
        </w:rPr>
        <w:t>Caso Boyce y otros Vs. Barbados.</w:t>
      </w:r>
      <w:r w:rsidRPr="004B720A">
        <w:rPr>
          <w:rFonts w:ascii="Verdana" w:hAnsi="Verdana"/>
          <w:sz w:val="16"/>
          <w:szCs w:val="16"/>
        </w:rPr>
        <w:t xml:space="preserve"> Resolución del </w:t>
      </w:r>
      <w:proofErr w:type="gramStart"/>
      <w:r w:rsidRPr="004B720A">
        <w:rPr>
          <w:rFonts w:ascii="Verdana" w:hAnsi="Verdana"/>
          <w:sz w:val="16"/>
          <w:szCs w:val="16"/>
        </w:rPr>
        <w:t>Presidente</w:t>
      </w:r>
      <w:proofErr w:type="gramEnd"/>
      <w:r w:rsidRPr="004B720A">
        <w:rPr>
          <w:rFonts w:ascii="Verdana" w:hAnsi="Verdana"/>
          <w:sz w:val="16"/>
          <w:szCs w:val="16"/>
        </w:rPr>
        <w:t xml:space="preserve"> de la Corte de 29 de mayo de 2007, considerando 22, y </w:t>
      </w:r>
      <w:r w:rsidRPr="004B720A">
        <w:rPr>
          <w:rFonts w:ascii="Verdana" w:hAnsi="Verdana"/>
          <w:i/>
          <w:sz w:val="16"/>
          <w:szCs w:val="16"/>
          <w:lang w:val="es-CR"/>
        </w:rPr>
        <w:t xml:space="preserve">Caso Urrutia </w:t>
      </w:r>
      <w:proofErr w:type="spellStart"/>
      <w:r w:rsidRPr="004B720A">
        <w:rPr>
          <w:rFonts w:ascii="Verdana" w:hAnsi="Verdana"/>
          <w:i/>
          <w:sz w:val="16"/>
          <w:szCs w:val="16"/>
          <w:lang w:val="es-CR"/>
        </w:rPr>
        <w:t>Laubreaux</w:t>
      </w:r>
      <w:proofErr w:type="spellEnd"/>
      <w:r w:rsidRPr="004B720A">
        <w:rPr>
          <w:rFonts w:ascii="Verdana" w:hAnsi="Verdana"/>
          <w:i/>
          <w:sz w:val="16"/>
          <w:szCs w:val="16"/>
          <w:lang w:val="es-CR"/>
        </w:rPr>
        <w:t xml:space="preserve"> Vs. Chile.</w:t>
      </w:r>
      <w:r w:rsidRPr="004B720A">
        <w:rPr>
          <w:rFonts w:ascii="Verdana" w:hAnsi="Verdana"/>
          <w:sz w:val="16"/>
          <w:szCs w:val="16"/>
          <w:lang w:val="es-CR"/>
        </w:rPr>
        <w:t xml:space="preserve"> Resolución del </w:t>
      </w:r>
      <w:proofErr w:type="gramStart"/>
      <w:r w:rsidRPr="004B720A">
        <w:rPr>
          <w:rFonts w:ascii="Verdana" w:hAnsi="Verdana"/>
          <w:sz w:val="16"/>
          <w:szCs w:val="16"/>
          <w:lang w:val="es-CR"/>
        </w:rPr>
        <w:t>Presidente</w:t>
      </w:r>
      <w:proofErr w:type="gramEnd"/>
      <w:r w:rsidRPr="004B720A">
        <w:rPr>
          <w:rFonts w:ascii="Verdana" w:hAnsi="Verdana"/>
          <w:sz w:val="16"/>
          <w:szCs w:val="16"/>
          <w:lang w:val="es-CR"/>
        </w:rPr>
        <w:t xml:space="preserve"> de la Corte de 20 de diciembre de 2019, Considerando 15.</w:t>
      </w:r>
    </w:p>
  </w:footnote>
  <w:footnote w:id="18">
    <w:p w14:paraId="3ABB97FF" w14:textId="77777777" w:rsidR="00D817A6" w:rsidRPr="00121E83" w:rsidRDefault="00D817A6" w:rsidP="002145BF">
      <w:pPr>
        <w:rPr>
          <w:lang w:val="es-CR"/>
        </w:rPr>
      </w:pPr>
      <w:r w:rsidRPr="00121E83">
        <w:rPr>
          <w:rStyle w:val="Refdenotaalpie"/>
          <w:sz w:val="16"/>
          <w:szCs w:val="16"/>
        </w:rPr>
        <w:footnoteRef/>
      </w:r>
      <w:r>
        <w:rPr>
          <w:sz w:val="16"/>
          <w:szCs w:val="16"/>
          <w:lang w:val="es-CR"/>
        </w:rPr>
        <w:tab/>
        <w:t xml:space="preserve">El </w:t>
      </w:r>
      <w:r w:rsidRPr="00121E83">
        <w:rPr>
          <w:sz w:val="16"/>
          <w:szCs w:val="16"/>
          <w:lang w:val="es-CR"/>
        </w:rPr>
        <w:t xml:space="preserve">objeto </w:t>
      </w:r>
      <w:r>
        <w:rPr>
          <w:sz w:val="16"/>
          <w:szCs w:val="16"/>
          <w:lang w:val="es-CR"/>
        </w:rPr>
        <w:t xml:space="preserve">propuesto para </w:t>
      </w:r>
      <w:r w:rsidRPr="00121E83">
        <w:rPr>
          <w:sz w:val="16"/>
          <w:szCs w:val="16"/>
          <w:lang w:val="es-CR"/>
        </w:rPr>
        <w:t xml:space="preserve">la declaración es el </w:t>
      </w:r>
      <w:r w:rsidRPr="00121E83">
        <w:rPr>
          <w:rFonts w:cs="Arial"/>
          <w:sz w:val="16"/>
          <w:szCs w:val="16"/>
          <w:lang w:val="es-CR" w:eastAsia="es-CR"/>
        </w:rPr>
        <w:t>siguiente:</w:t>
      </w:r>
      <w:r w:rsidRPr="00121E83">
        <w:rPr>
          <w:sz w:val="16"/>
          <w:szCs w:val="16"/>
          <w:lang w:val="es-CR" w:eastAsia="es-CR"/>
        </w:rPr>
        <w:t xml:space="preserve"> “las obligaciones estatales para responder a contextos generales de ejecuciones extrajudiciales, desde una perspectiva integral, que incluya tanto el actuar de los funcionarios de seguridad involucrados </w:t>
      </w:r>
      <w:proofErr w:type="gramStart"/>
      <w:r w:rsidRPr="00121E83">
        <w:rPr>
          <w:sz w:val="16"/>
          <w:szCs w:val="16"/>
          <w:lang w:val="es-CR" w:eastAsia="es-CR"/>
        </w:rPr>
        <w:t>directamente e indirectamente</w:t>
      </w:r>
      <w:proofErr w:type="gramEnd"/>
      <w:r w:rsidRPr="00121E83">
        <w:rPr>
          <w:sz w:val="16"/>
          <w:szCs w:val="16"/>
          <w:lang w:val="es-CR" w:eastAsia="es-CR"/>
        </w:rPr>
        <w:t>, como la respuesta investigativa e institucional que debe darse para enfrentar los diferentes elementos que favorecen la existencia y permanencia de problemáticas de esta naturaleza</w:t>
      </w:r>
      <w:r>
        <w:rPr>
          <w:sz w:val="16"/>
          <w:szCs w:val="16"/>
          <w:lang w:val="es-CR" w:eastAsia="es-CR"/>
        </w:rPr>
        <w:t>”.</w:t>
      </w:r>
    </w:p>
  </w:footnote>
  <w:footnote w:id="19">
    <w:p w14:paraId="49C2E6C1" w14:textId="77777777" w:rsidR="00D817A6" w:rsidRPr="000F06CF" w:rsidRDefault="00D817A6" w:rsidP="002145B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r>
      <w:r w:rsidRPr="000F06CF">
        <w:rPr>
          <w:rFonts w:ascii="Verdana" w:hAnsi="Verdana"/>
          <w:i/>
          <w:sz w:val="16"/>
          <w:szCs w:val="16"/>
        </w:rPr>
        <w:t>Caso Vicky Hernández y otros Vs. Honduras</w:t>
      </w:r>
      <w:r w:rsidRPr="000F06CF">
        <w:rPr>
          <w:rFonts w:ascii="Verdana" w:hAnsi="Verdana"/>
          <w:sz w:val="16"/>
          <w:szCs w:val="16"/>
        </w:rPr>
        <w:t xml:space="preserve">. Convocatoria a audiencia. Resolución de la </w:t>
      </w:r>
      <w:proofErr w:type="gramStart"/>
      <w:r w:rsidRPr="000F06CF">
        <w:rPr>
          <w:rFonts w:ascii="Verdana" w:hAnsi="Verdana"/>
          <w:sz w:val="16"/>
          <w:szCs w:val="16"/>
        </w:rPr>
        <w:t>Presidenta</w:t>
      </w:r>
      <w:proofErr w:type="gramEnd"/>
      <w:r w:rsidRPr="000F06CF">
        <w:rPr>
          <w:rFonts w:ascii="Verdana" w:hAnsi="Verdana"/>
          <w:sz w:val="16"/>
          <w:szCs w:val="16"/>
        </w:rPr>
        <w:t xml:space="preserve"> de la Corte de 1 de septiembre de 2020. En el mismo sentido, </w:t>
      </w:r>
      <w:r w:rsidRPr="000F06CF">
        <w:rPr>
          <w:rFonts w:ascii="Verdana" w:hAnsi="Verdana"/>
          <w:i/>
          <w:sz w:val="16"/>
          <w:szCs w:val="16"/>
        </w:rPr>
        <w:t>Caso Pacheco Teruel y otros Vs. Honduras</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de la Corte 27 de enero de 2012. Considerando 9.  </w:t>
      </w:r>
    </w:p>
  </w:footnote>
  <w:footnote w:id="20">
    <w:p w14:paraId="551B6124" w14:textId="77777777" w:rsidR="00D817A6" w:rsidRDefault="00D817A6" w:rsidP="002145BF">
      <w:pPr>
        <w:pStyle w:val="Textonotapie"/>
        <w:spacing w:after="0"/>
        <w:rPr>
          <w:rFonts w:ascii="Verdana" w:hAnsi="Verdana"/>
          <w:sz w:val="16"/>
          <w:szCs w:val="16"/>
        </w:rPr>
      </w:pPr>
    </w:p>
    <w:p w14:paraId="166A728E" w14:textId="77777777" w:rsidR="00D817A6" w:rsidRDefault="00D817A6" w:rsidP="002145BF">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ab/>
        <w:t>Dicha jurisprudencia inicia con el primer caso contencioso conocido por la Corte y abarca una gran cantidad de casos conocidos por el Tribunal (</w:t>
      </w:r>
      <w:r w:rsidRPr="000F06CF">
        <w:rPr>
          <w:rFonts w:ascii="Verdana" w:hAnsi="Verdana"/>
          <w:i/>
          <w:sz w:val="16"/>
          <w:szCs w:val="16"/>
        </w:rPr>
        <w:t>cfr.</w:t>
      </w:r>
      <w:r w:rsidRPr="000F06CF">
        <w:rPr>
          <w:rFonts w:ascii="Verdana" w:hAnsi="Verdana"/>
          <w:sz w:val="16"/>
          <w:szCs w:val="16"/>
        </w:rPr>
        <w:t xml:space="preserve">, entre otras varias sentencias, </w:t>
      </w:r>
      <w:r w:rsidRPr="000F06CF">
        <w:rPr>
          <w:rFonts w:ascii="Verdana" w:hAnsi="Verdana"/>
          <w:i/>
          <w:sz w:val="16"/>
          <w:szCs w:val="16"/>
        </w:rPr>
        <w:t>Caso Velásquez Rodríguez Vs. Honduras. Fondo.</w:t>
      </w:r>
      <w:r w:rsidRPr="000F06CF">
        <w:rPr>
          <w:rFonts w:ascii="Verdana" w:hAnsi="Verdana"/>
          <w:sz w:val="16"/>
          <w:szCs w:val="16"/>
        </w:rPr>
        <w:t xml:space="preserve"> Sentencia de 29 de julio de 1988. Serie C No. 4, </w:t>
      </w:r>
      <w:proofErr w:type="spellStart"/>
      <w:r w:rsidRPr="000F06CF">
        <w:rPr>
          <w:rFonts w:ascii="Verdana" w:hAnsi="Verdana"/>
          <w:sz w:val="16"/>
          <w:szCs w:val="16"/>
        </w:rPr>
        <w:t>párrs</w:t>
      </w:r>
      <w:proofErr w:type="spellEnd"/>
      <w:r w:rsidRPr="000F06CF">
        <w:rPr>
          <w:rFonts w:ascii="Verdana" w:hAnsi="Verdana"/>
          <w:sz w:val="16"/>
          <w:szCs w:val="16"/>
        </w:rPr>
        <w:t xml:space="preserve">. 176 a 185 y </w:t>
      </w:r>
      <w:r w:rsidRPr="000F06CF">
        <w:rPr>
          <w:rFonts w:ascii="Verdana" w:hAnsi="Verdana"/>
          <w:i/>
          <w:sz w:val="16"/>
          <w:szCs w:val="16"/>
        </w:rPr>
        <w:t>Caso Guzmán Albarracín y otras Vs. Ecuador. Fondo, Reparaciones y Costas.</w:t>
      </w:r>
      <w:r w:rsidRPr="000F06CF">
        <w:rPr>
          <w:rFonts w:ascii="Verdana" w:hAnsi="Verdana"/>
          <w:sz w:val="16"/>
          <w:szCs w:val="16"/>
        </w:rPr>
        <w:t xml:space="preserve"> Sentencia de 24 de junio de 2020. Serie C No. 405, </w:t>
      </w:r>
      <w:proofErr w:type="spellStart"/>
      <w:r w:rsidRPr="000F06CF">
        <w:rPr>
          <w:rFonts w:ascii="Verdana" w:hAnsi="Verdana"/>
          <w:sz w:val="16"/>
          <w:szCs w:val="16"/>
        </w:rPr>
        <w:t>párrs</w:t>
      </w:r>
      <w:proofErr w:type="spellEnd"/>
      <w:r w:rsidRPr="000F06CF">
        <w:rPr>
          <w:rFonts w:ascii="Verdana" w:hAnsi="Verdana"/>
          <w:sz w:val="16"/>
          <w:szCs w:val="16"/>
        </w:rPr>
        <w:t>. 176 a 178 a 195).</w:t>
      </w:r>
    </w:p>
    <w:p w14:paraId="0CB96836" w14:textId="77777777" w:rsidR="00D817A6" w:rsidRPr="000F06CF" w:rsidRDefault="00D817A6" w:rsidP="002145BF">
      <w:pPr>
        <w:pStyle w:val="Textonotapie"/>
        <w:spacing w:after="0"/>
        <w:rPr>
          <w:rFonts w:ascii="Verdana" w:hAnsi="Verdana"/>
          <w:sz w:val="16"/>
          <w:szCs w:val="16"/>
        </w:rPr>
      </w:pPr>
    </w:p>
  </w:footnote>
  <w:footnote w:id="21">
    <w:p w14:paraId="3FDFA30E" w14:textId="77777777" w:rsidR="00D817A6" w:rsidRPr="000F06CF" w:rsidRDefault="00D817A6" w:rsidP="002145BF">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t xml:space="preserve">Pueden verse, al respecto, además de las sentencias citadas en la nota anterior y varias otras, </w:t>
      </w:r>
      <w:r w:rsidRPr="000F06CF">
        <w:rPr>
          <w:rFonts w:ascii="Verdana" w:hAnsi="Verdana"/>
          <w:i/>
          <w:sz w:val="16"/>
          <w:szCs w:val="16"/>
        </w:rPr>
        <w:t>Caso Godínez Cruz Vs. Honduras. Fondo</w:t>
      </w:r>
      <w:r w:rsidRPr="000F06CF">
        <w:rPr>
          <w:rFonts w:ascii="Verdana" w:hAnsi="Verdana"/>
          <w:sz w:val="16"/>
          <w:szCs w:val="16"/>
        </w:rPr>
        <w:t xml:space="preserve">. Sentencia de 20 de enero de 1989. Serie C No. 5, </w:t>
      </w:r>
      <w:proofErr w:type="spellStart"/>
      <w:r w:rsidRPr="000F06CF">
        <w:rPr>
          <w:rFonts w:ascii="Verdana" w:hAnsi="Verdana"/>
          <w:sz w:val="16"/>
          <w:szCs w:val="16"/>
        </w:rPr>
        <w:t>párrs</w:t>
      </w:r>
      <w:proofErr w:type="spellEnd"/>
      <w:r w:rsidRPr="000F06CF">
        <w:rPr>
          <w:rFonts w:ascii="Verdana" w:hAnsi="Verdana"/>
          <w:sz w:val="16"/>
          <w:szCs w:val="16"/>
        </w:rPr>
        <w:t xml:space="preserve">. 187 a 194, y </w:t>
      </w:r>
      <w:r w:rsidRPr="000F06CF">
        <w:rPr>
          <w:rFonts w:ascii="Verdana" w:hAnsi="Verdana"/>
          <w:i/>
          <w:sz w:val="16"/>
          <w:szCs w:val="16"/>
        </w:rPr>
        <w:t xml:space="preserve">Caso Gómez </w:t>
      </w:r>
      <w:proofErr w:type="spellStart"/>
      <w:r w:rsidRPr="000F06CF">
        <w:rPr>
          <w:rFonts w:ascii="Verdana" w:hAnsi="Verdana"/>
          <w:i/>
          <w:sz w:val="16"/>
          <w:szCs w:val="16"/>
        </w:rPr>
        <w:t>Virula</w:t>
      </w:r>
      <w:proofErr w:type="spellEnd"/>
      <w:r w:rsidRPr="000F06CF">
        <w:rPr>
          <w:rFonts w:ascii="Verdana" w:hAnsi="Verdana"/>
          <w:i/>
          <w:sz w:val="16"/>
          <w:szCs w:val="16"/>
        </w:rPr>
        <w:t xml:space="preserve"> y otros Vs. Guatemala. Excepción Preliminar, Fondo, Reparaciones y Costas.</w:t>
      </w:r>
      <w:r w:rsidRPr="000F06CF">
        <w:rPr>
          <w:rFonts w:ascii="Verdana" w:hAnsi="Verdana"/>
          <w:sz w:val="16"/>
          <w:szCs w:val="16"/>
        </w:rPr>
        <w:t xml:space="preserve"> Sentencia de 21 de noviembre de 2019. Serie C No. 393, </w:t>
      </w:r>
      <w:proofErr w:type="spellStart"/>
      <w:r w:rsidRPr="000F06CF">
        <w:rPr>
          <w:rFonts w:ascii="Verdana" w:hAnsi="Verdana"/>
          <w:sz w:val="16"/>
          <w:szCs w:val="16"/>
        </w:rPr>
        <w:t>párrs</w:t>
      </w:r>
      <w:proofErr w:type="spellEnd"/>
      <w:r w:rsidRPr="000F06CF">
        <w:rPr>
          <w:rFonts w:ascii="Verdana" w:hAnsi="Verdana"/>
          <w:sz w:val="16"/>
          <w:szCs w:val="16"/>
        </w:rPr>
        <w:t>. 64 y 65.</w:t>
      </w:r>
    </w:p>
  </w:footnote>
  <w:footnote w:id="22">
    <w:p w14:paraId="017F15D9" w14:textId="77777777" w:rsidR="00D817A6" w:rsidRDefault="00D817A6" w:rsidP="002145BF">
      <w:pPr>
        <w:pStyle w:val="Textonotapie"/>
        <w:spacing w:after="0"/>
        <w:rPr>
          <w:rFonts w:ascii="Verdana" w:hAnsi="Verdana"/>
          <w:sz w:val="16"/>
          <w:szCs w:val="16"/>
          <w:lang w:val="es-CR"/>
        </w:rPr>
      </w:pPr>
    </w:p>
    <w:p w14:paraId="0375DD6F" w14:textId="29B8B37A" w:rsidR="00D817A6" w:rsidRDefault="00D817A6" w:rsidP="002145BF">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lang w:val="es-CR"/>
        </w:rPr>
        <w:t xml:space="preserve"> </w:t>
      </w:r>
      <w:r w:rsidRPr="000F06CF">
        <w:rPr>
          <w:rFonts w:ascii="Verdana" w:hAnsi="Verdana"/>
          <w:sz w:val="16"/>
          <w:szCs w:val="16"/>
          <w:lang w:val="es-CR"/>
        </w:rPr>
        <w:tab/>
      </w:r>
      <w:r w:rsidRPr="000F06CF">
        <w:rPr>
          <w:rFonts w:ascii="Verdana" w:hAnsi="Verdana"/>
          <w:i/>
          <w:sz w:val="16"/>
          <w:szCs w:val="16"/>
          <w:lang w:val="es-CR"/>
        </w:rPr>
        <w:t>Cfr</w:t>
      </w:r>
      <w:r w:rsidR="00DA55A7">
        <w:rPr>
          <w:rFonts w:ascii="Verdana" w:hAnsi="Verdana"/>
          <w:i/>
          <w:sz w:val="16"/>
          <w:szCs w:val="16"/>
          <w:lang w:val="es-CR"/>
        </w:rPr>
        <w:t>.</w:t>
      </w:r>
      <w:r w:rsidRPr="000F06CF">
        <w:rPr>
          <w:rFonts w:ascii="Verdana" w:hAnsi="Verdana"/>
          <w:i/>
          <w:sz w:val="16"/>
          <w:szCs w:val="16"/>
          <w:lang w:val="es-CR"/>
        </w:rPr>
        <w:t>,</w:t>
      </w:r>
      <w:r w:rsidRPr="000F06CF">
        <w:rPr>
          <w:rFonts w:ascii="Verdana" w:hAnsi="Verdana"/>
          <w:sz w:val="16"/>
          <w:szCs w:val="16"/>
          <w:lang w:val="es-CR"/>
        </w:rPr>
        <w:t xml:space="preserve"> entre otras,</w:t>
      </w:r>
      <w:r w:rsidRPr="000F06CF">
        <w:rPr>
          <w:rFonts w:ascii="Verdana" w:hAnsi="Verdana"/>
          <w:sz w:val="16"/>
          <w:szCs w:val="16"/>
        </w:rPr>
        <w:t xml:space="preserve"> </w:t>
      </w:r>
      <w:r w:rsidRPr="000F06CF">
        <w:rPr>
          <w:rFonts w:ascii="Verdana" w:hAnsi="Verdana"/>
          <w:i/>
          <w:sz w:val="16"/>
          <w:szCs w:val="16"/>
        </w:rPr>
        <w:t>Caso de las Hermanas Serrano Cruz Vs. El Salvador. Fondo, Reparaciones y Costas.</w:t>
      </w:r>
      <w:r w:rsidRPr="000F06CF">
        <w:rPr>
          <w:rFonts w:ascii="Verdana" w:hAnsi="Verdana"/>
          <w:sz w:val="16"/>
          <w:szCs w:val="16"/>
        </w:rPr>
        <w:t xml:space="preserve"> Sentencia de 1 de marzo de 2005. Serie C No. 120, </w:t>
      </w:r>
      <w:proofErr w:type="spellStart"/>
      <w:r w:rsidRPr="000F06CF">
        <w:rPr>
          <w:rFonts w:ascii="Verdana" w:hAnsi="Verdana"/>
          <w:sz w:val="16"/>
          <w:szCs w:val="16"/>
        </w:rPr>
        <w:t>párrs</w:t>
      </w:r>
      <w:proofErr w:type="spellEnd"/>
      <w:r w:rsidRPr="000F06CF">
        <w:rPr>
          <w:rFonts w:ascii="Verdana" w:hAnsi="Verdana"/>
          <w:sz w:val="16"/>
          <w:szCs w:val="16"/>
        </w:rPr>
        <w:t xml:space="preserve">. 88 y 105, y </w:t>
      </w:r>
      <w:r w:rsidRPr="000F06CF">
        <w:rPr>
          <w:rFonts w:ascii="Verdana" w:hAnsi="Verdana"/>
          <w:i/>
          <w:sz w:val="16"/>
          <w:szCs w:val="16"/>
        </w:rPr>
        <w:t>Caso Azul Rojas Marín y otra Vs. Perú. Excepciones Preliminares, Fondo, Reparaciones y Costas</w:t>
      </w:r>
      <w:r w:rsidRPr="000F06CF">
        <w:rPr>
          <w:rFonts w:ascii="Verdana" w:hAnsi="Verdana"/>
          <w:sz w:val="16"/>
          <w:szCs w:val="16"/>
        </w:rPr>
        <w:t>. Sentencia de 12 de marzo de 2020. Serie C No. 402, párr. 194.</w:t>
      </w:r>
    </w:p>
    <w:p w14:paraId="5BBC9642" w14:textId="77777777" w:rsidR="00D817A6" w:rsidRPr="000F06CF" w:rsidRDefault="00D817A6" w:rsidP="002145BF">
      <w:pPr>
        <w:pStyle w:val="Textonotapie"/>
        <w:spacing w:after="0"/>
        <w:rPr>
          <w:rFonts w:ascii="Verdana" w:hAnsi="Verdana"/>
          <w:sz w:val="16"/>
          <w:szCs w:val="16"/>
          <w:lang w:val="es-CR"/>
        </w:rPr>
      </w:pPr>
    </w:p>
  </w:footnote>
  <w:footnote w:id="23">
    <w:p w14:paraId="6CDD4A62" w14:textId="77777777" w:rsidR="00D817A6" w:rsidRDefault="00D817A6" w:rsidP="002145B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lang w:val="es-CR"/>
        </w:rPr>
        <w:t xml:space="preserve"> </w:t>
      </w:r>
      <w:r w:rsidRPr="000F06CF">
        <w:rPr>
          <w:rFonts w:ascii="Verdana" w:hAnsi="Verdana"/>
          <w:sz w:val="16"/>
          <w:szCs w:val="16"/>
          <w:lang w:val="es-CR"/>
        </w:rPr>
        <w:tab/>
        <w:t xml:space="preserve">Lo dicho, aun en casos en que la participación de agentes estatales no resulta evidente </w:t>
      </w:r>
      <w:r w:rsidRPr="000F06CF">
        <w:rPr>
          <w:rFonts w:ascii="Verdana" w:hAnsi="Verdana"/>
          <w:i/>
          <w:sz w:val="16"/>
          <w:szCs w:val="16"/>
          <w:lang w:val="es-CR"/>
        </w:rPr>
        <w:t xml:space="preserve">a priori, </w:t>
      </w:r>
      <w:r w:rsidRPr="000F06CF">
        <w:rPr>
          <w:rFonts w:ascii="Verdana" w:hAnsi="Verdana"/>
          <w:sz w:val="16"/>
          <w:szCs w:val="16"/>
          <w:lang w:val="es-CR"/>
        </w:rPr>
        <w:t xml:space="preserve">sin perjuicio de las determinaciones de la Corte sobre la responsabilidad estatal respecto a la violación al derecho a la vida. Pueden verse las decisiones sobre los casos </w:t>
      </w:r>
      <w:r w:rsidRPr="000F06CF">
        <w:rPr>
          <w:rFonts w:ascii="Verdana" w:hAnsi="Verdana"/>
          <w:i/>
          <w:sz w:val="16"/>
          <w:szCs w:val="16"/>
          <w:lang w:val="es-CR"/>
        </w:rPr>
        <w:t>Caso Pacheco León y otros Vs. Honduras</w:t>
      </w:r>
      <w:r w:rsidRPr="000F06CF">
        <w:rPr>
          <w:rFonts w:ascii="Verdana" w:hAnsi="Verdana"/>
          <w:sz w:val="16"/>
          <w:szCs w:val="16"/>
          <w:lang w:val="es-CR"/>
        </w:rPr>
        <w:t xml:space="preserve"> (</w:t>
      </w:r>
      <w:r w:rsidRPr="000F06CF">
        <w:rPr>
          <w:rFonts w:ascii="Verdana" w:hAnsi="Verdana"/>
          <w:i/>
          <w:sz w:val="16"/>
          <w:szCs w:val="16"/>
          <w:lang w:val="es-CR"/>
        </w:rPr>
        <w:t>Fondo, Reparaciones y Costas.</w:t>
      </w:r>
      <w:r w:rsidRPr="000F06CF">
        <w:rPr>
          <w:rFonts w:ascii="Verdana" w:hAnsi="Verdana"/>
          <w:sz w:val="16"/>
          <w:szCs w:val="16"/>
          <w:lang w:val="es-CR"/>
        </w:rPr>
        <w:t xml:space="preserve"> Sentencia de 15 de noviembre 2017. Serie C No. 342, </w:t>
      </w:r>
      <w:proofErr w:type="spellStart"/>
      <w:r w:rsidRPr="000F06CF">
        <w:rPr>
          <w:rFonts w:ascii="Verdana" w:hAnsi="Verdana"/>
          <w:sz w:val="16"/>
          <w:szCs w:val="16"/>
          <w:lang w:val="es-CR"/>
        </w:rPr>
        <w:t>párrs</w:t>
      </w:r>
      <w:proofErr w:type="spellEnd"/>
      <w:r w:rsidRPr="000F06CF">
        <w:rPr>
          <w:rFonts w:ascii="Verdana" w:hAnsi="Verdana"/>
          <w:sz w:val="16"/>
          <w:szCs w:val="16"/>
          <w:lang w:val="es-CR"/>
        </w:rPr>
        <w:t xml:space="preserve">. 89 a .116) y </w:t>
      </w:r>
      <w:r w:rsidRPr="000F06CF">
        <w:rPr>
          <w:rFonts w:ascii="Verdana" w:hAnsi="Verdana"/>
          <w:i/>
          <w:sz w:val="16"/>
          <w:szCs w:val="16"/>
          <w:lang w:val="es-CR"/>
        </w:rPr>
        <w:t>Ruiz Fuentes y otra Vs. Guatemala</w:t>
      </w:r>
      <w:r w:rsidRPr="000F06CF">
        <w:rPr>
          <w:rFonts w:ascii="Verdana" w:hAnsi="Verdana"/>
          <w:sz w:val="16"/>
          <w:szCs w:val="16"/>
          <w:lang w:val="es-CR"/>
        </w:rPr>
        <w:t xml:space="preserve"> (</w:t>
      </w:r>
      <w:r w:rsidRPr="000F06CF">
        <w:rPr>
          <w:rFonts w:ascii="Verdana" w:hAnsi="Verdana"/>
          <w:i/>
          <w:sz w:val="16"/>
          <w:szCs w:val="16"/>
          <w:lang w:val="es-CR"/>
        </w:rPr>
        <w:t>Excepción Preliminar, Fondo, Reparaciones y Costas.</w:t>
      </w:r>
      <w:r w:rsidRPr="000F06CF">
        <w:rPr>
          <w:rFonts w:ascii="Verdana" w:hAnsi="Verdana"/>
          <w:sz w:val="16"/>
          <w:szCs w:val="16"/>
          <w:lang w:val="es-CR"/>
        </w:rPr>
        <w:t xml:space="preserve"> Sentencia de 10 de octubre de 2019. Serie C No. 385, párr. 179)</w:t>
      </w:r>
      <w:r>
        <w:rPr>
          <w:rFonts w:ascii="Verdana" w:hAnsi="Verdana"/>
          <w:sz w:val="16"/>
          <w:szCs w:val="16"/>
          <w:lang w:val="es-CR"/>
        </w:rPr>
        <w:t>.</w:t>
      </w:r>
    </w:p>
    <w:p w14:paraId="007B7B7B" w14:textId="77777777" w:rsidR="00D817A6" w:rsidRPr="000F06CF" w:rsidRDefault="00D817A6" w:rsidP="002145BF">
      <w:pPr>
        <w:pStyle w:val="Textonotapie"/>
        <w:spacing w:after="0"/>
        <w:rPr>
          <w:rFonts w:ascii="Verdana" w:hAnsi="Verdana"/>
          <w:sz w:val="16"/>
          <w:szCs w:val="16"/>
          <w:lang w:val="es-CR"/>
        </w:rPr>
      </w:pPr>
    </w:p>
  </w:footnote>
  <w:footnote w:id="24">
    <w:p w14:paraId="1C3CC420" w14:textId="77777777" w:rsidR="00D817A6" w:rsidRDefault="00D817A6" w:rsidP="002145B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lang w:val="es-CR"/>
        </w:rPr>
        <w:tab/>
      </w:r>
      <w:r w:rsidRPr="000F06CF">
        <w:rPr>
          <w:rFonts w:ascii="Verdana" w:hAnsi="Verdana"/>
          <w:i/>
          <w:sz w:val="16"/>
          <w:szCs w:val="16"/>
          <w:lang w:val="es-CR"/>
        </w:rPr>
        <w:t>Cfr.</w:t>
      </w:r>
      <w:r w:rsidRPr="000F06CF">
        <w:rPr>
          <w:rFonts w:ascii="Verdana" w:hAnsi="Verdana"/>
          <w:sz w:val="16"/>
          <w:szCs w:val="16"/>
          <w:lang w:val="es-CR"/>
        </w:rPr>
        <w:t xml:space="preserve"> </w:t>
      </w:r>
      <w:r w:rsidRPr="000F06CF">
        <w:rPr>
          <w:rFonts w:ascii="Verdana" w:hAnsi="Verdana"/>
          <w:i/>
          <w:sz w:val="16"/>
          <w:szCs w:val="16"/>
          <w:lang w:val="es-CR"/>
        </w:rPr>
        <w:t>Caso Familia Barrios Vs. Venezuela. Fondo, Reparaciones y Costas</w:t>
      </w:r>
      <w:r w:rsidRPr="000F06CF">
        <w:rPr>
          <w:rFonts w:ascii="Verdana" w:hAnsi="Verdana"/>
          <w:sz w:val="16"/>
          <w:szCs w:val="16"/>
          <w:lang w:val="es-CR"/>
        </w:rPr>
        <w:t xml:space="preserve">. Sentencia de 24 de noviembre de 2011. Serie C No. 237, </w:t>
      </w:r>
      <w:proofErr w:type="spellStart"/>
      <w:r w:rsidRPr="000F06CF">
        <w:rPr>
          <w:rFonts w:ascii="Verdana" w:hAnsi="Verdana"/>
          <w:sz w:val="16"/>
          <w:szCs w:val="16"/>
          <w:lang w:val="es-CR"/>
        </w:rPr>
        <w:t>párrs</w:t>
      </w:r>
      <w:proofErr w:type="spellEnd"/>
      <w:r w:rsidRPr="000F06CF">
        <w:rPr>
          <w:rFonts w:ascii="Verdana" w:hAnsi="Verdana"/>
          <w:sz w:val="16"/>
          <w:szCs w:val="16"/>
          <w:lang w:val="es-CR"/>
        </w:rPr>
        <w:t xml:space="preserve">. 38, 173 a 181 y 234 a 239; </w:t>
      </w:r>
      <w:r w:rsidRPr="000F06CF">
        <w:rPr>
          <w:rFonts w:ascii="Verdana" w:hAnsi="Verdana"/>
          <w:i/>
          <w:sz w:val="16"/>
          <w:szCs w:val="16"/>
          <w:lang w:val="es-CR"/>
        </w:rPr>
        <w:t>Caso Uzcátegui y otros Vs. Venezuela. Fondo y Reparaciones.</w:t>
      </w:r>
      <w:r w:rsidRPr="000F06CF">
        <w:rPr>
          <w:rFonts w:ascii="Verdana" w:hAnsi="Verdana"/>
          <w:sz w:val="16"/>
          <w:szCs w:val="16"/>
          <w:lang w:val="es-CR"/>
        </w:rPr>
        <w:t xml:space="preserve"> Sentencia de 3 de septiembre de 2012. Serie C No. 249, </w:t>
      </w:r>
      <w:proofErr w:type="spellStart"/>
      <w:r w:rsidRPr="000F06CF">
        <w:rPr>
          <w:rFonts w:ascii="Verdana" w:hAnsi="Verdana"/>
          <w:sz w:val="16"/>
          <w:szCs w:val="16"/>
          <w:lang w:val="es-CR"/>
        </w:rPr>
        <w:t>párrs</w:t>
      </w:r>
      <w:proofErr w:type="spellEnd"/>
      <w:r w:rsidRPr="000F06CF">
        <w:rPr>
          <w:rFonts w:ascii="Verdana" w:hAnsi="Verdana"/>
          <w:sz w:val="16"/>
          <w:szCs w:val="16"/>
          <w:lang w:val="es-CR"/>
        </w:rPr>
        <w:t xml:space="preserve">. 35, 36 y 216 a 223; </w:t>
      </w:r>
      <w:r w:rsidRPr="000F06CF">
        <w:rPr>
          <w:rFonts w:ascii="Verdana" w:hAnsi="Verdana"/>
          <w:i/>
          <w:sz w:val="16"/>
          <w:szCs w:val="16"/>
          <w:lang w:val="es-CR"/>
        </w:rPr>
        <w:t>Caso Hermanos Landaeta Mejías y otros Vs. Venezuela. Excepciones Preliminares, Fondo, Reparaciones y Costas.</w:t>
      </w:r>
      <w:r w:rsidRPr="000F06CF">
        <w:rPr>
          <w:rFonts w:ascii="Verdana" w:hAnsi="Verdana"/>
          <w:sz w:val="16"/>
          <w:szCs w:val="16"/>
          <w:lang w:val="es-CR"/>
        </w:rPr>
        <w:t xml:space="preserve"> Sentencia de 27 de agosto de 2014. Serie C No. 281, </w:t>
      </w:r>
      <w:proofErr w:type="spellStart"/>
      <w:r w:rsidRPr="000F06CF">
        <w:rPr>
          <w:rFonts w:ascii="Verdana" w:hAnsi="Verdana"/>
          <w:sz w:val="16"/>
          <w:szCs w:val="16"/>
          <w:lang w:val="es-CR"/>
        </w:rPr>
        <w:t>párrs</w:t>
      </w:r>
      <w:proofErr w:type="spellEnd"/>
      <w:r w:rsidRPr="000F06CF">
        <w:rPr>
          <w:rFonts w:ascii="Verdana" w:hAnsi="Verdana"/>
          <w:sz w:val="16"/>
          <w:szCs w:val="16"/>
          <w:lang w:val="es-CR"/>
        </w:rPr>
        <w:t xml:space="preserve">. 35, 214 a 218, 224, 225, 227, 228, 230 a 237, 242, 243, 253 y 254, y </w:t>
      </w:r>
      <w:r w:rsidRPr="000F06CF">
        <w:rPr>
          <w:rFonts w:ascii="Verdana" w:hAnsi="Verdana"/>
          <w:i/>
          <w:sz w:val="16"/>
          <w:szCs w:val="16"/>
          <w:lang w:val="es-CR"/>
        </w:rPr>
        <w:t>Caso Díaz Loreto y otros Vs. Venezuela. Excepciones Preliminares, Fondo, Reparaciones y Costas.</w:t>
      </w:r>
      <w:r w:rsidRPr="000F06CF">
        <w:rPr>
          <w:rFonts w:ascii="Verdana" w:hAnsi="Verdana"/>
          <w:sz w:val="16"/>
          <w:szCs w:val="16"/>
          <w:lang w:val="es-CR"/>
        </w:rPr>
        <w:t xml:space="preserve"> Sentencia de 19 de noviembre de 2019. Serie C No. 392, </w:t>
      </w:r>
      <w:proofErr w:type="spellStart"/>
      <w:r w:rsidRPr="000F06CF">
        <w:rPr>
          <w:rFonts w:ascii="Verdana" w:hAnsi="Verdana"/>
          <w:sz w:val="16"/>
          <w:szCs w:val="16"/>
          <w:lang w:val="es-CR"/>
        </w:rPr>
        <w:t>párrs</w:t>
      </w:r>
      <w:proofErr w:type="spellEnd"/>
      <w:r w:rsidRPr="000F06CF">
        <w:rPr>
          <w:rFonts w:ascii="Verdana" w:hAnsi="Verdana"/>
          <w:sz w:val="16"/>
          <w:szCs w:val="16"/>
          <w:lang w:val="es-CR"/>
        </w:rPr>
        <w:t xml:space="preserve">. 30 a 33 y 103 a 111. </w:t>
      </w:r>
    </w:p>
    <w:p w14:paraId="623CBA12" w14:textId="77777777" w:rsidR="00D817A6" w:rsidRPr="000F06CF" w:rsidRDefault="00D817A6" w:rsidP="002145BF">
      <w:pPr>
        <w:pStyle w:val="Textonotapie"/>
        <w:spacing w:after="0"/>
        <w:rPr>
          <w:rFonts w:ascii="Verdana" w:hAnsi="Verdana"/>
          <w:sz w:val="16"/>
          <w:szCs w:val="16"/>
          <w:lang w:val="es-CR"/>
        </w:rPr>
      </w:pPr>
    </w:p>
  </w:footnote>
  <w:footnote w:id="25">
    <w:p w14:paraId="28B4FFBC" w14:textId="746B2D43" w:rsidR="00D817A6" w:rsidRDefault="00D817A6" w:rsidP="000F06C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lang w:val="es-CR"/>
        </w:rPr>
        <w:t xml:space="preserve"> </w:t>
      </w:r>
      <w:r w:rsidRPr="000F06CF">
        <w:rPr>
          <w:rFonts w:ascii="Verdana" w:hAnsi="Verdana"/>
          <w:sz w:val="16"/>
          <w:szCs w:val="16"/>
          <w:lang w:val="es-CR"/>
        </w:rPr>
        <w:tab/>
        <w:t xml:space="preserve">En el caso aludido, el peritaje del señor Hugo </w:t>
      </w:r>
      <w:proofErr w:type="spellStart"/>
      <w:r w:rsidRPr="000F06CF">
        <w:rPr>
          <w:rFonts w:ascii="Verdana" w:hAnsi="Verdana"/>
          <w:sz w:val="16"/>
          <w:szCs w:val="16"/>
          <w:lang w:val="es-CR"/>
        </w:rPr>
        <w:t>Fru</w:t>
      </w:r>
      <w:r>
        <w:rPr>
          <w:rFonts w:ascii="Verdana" w:hAnsi="Verdana"/>
          <w:sz w:val="16"/>
          <w:szCs w:val="16"/>
          <w:lang w:val="es-CR"/>
        </w:rPr>
        <w:t>h</w:t>
      </w:r>
      <w:r w:rsidRPr="000F06CF">
        <w:rPr>
          <w:rFonts w:ascii="Verdana" w:hAnsi="Verdana"/>
          <w:sz w:val="16"/>
          <w:szCs w:val="16"/>
          <w:lang w:val="es-CR"/>
        </w:rPr>
        <w:t>ling</w:t>
      </w:r>
      <w:proofErr w:type="spellEnd"/>
      <w:r w:rsidRPr="000F06CF">
        <w:rPr>
          <w:rFonts w:ascii="Verdana" w:hAnsi="Verdana"/>
          <w:sz w:val="16"/>
          <w:szCs w:val="16"/>
          <w:lang w:val="es-CR"/>
        </w:rPr>
        <w:t xml:space="preserve"> se refirió a “las obligaciones estatales para responder a contextos generales de ejecuciones extrajudiciales, desde una perspectiva integral, que incluya tanto el actuar de los funcionarios de seguridad involucrados directamente, como la respuesta investigativa e institucional que debe darse para enfrentar los diferentes elementos que favorecen la existencia y permanencia de problemáticas de esta naturaleza. El perito se referir[</w:t>
      </w:r>
      <w:proofErr w:type="spellStart"/>
      <w:r w:rsidRPr="000F06CF">
        <w:rPr>
          <w:rFonts w:ascii="Verdana" w:hAnsi="Verdana"/>
          <w:sz w:val="16"/>
          <w:szCs w:val="16"/>
          <w:lang w:val="es-CR"/>
        </w:rPr>
        <w:t>ía</w:t>
      </w:r>
      <w:proofErr w:type="spellEnd"/>
      <w:r w:rsidRPr="000F06CF">
        <w:rPr>
          <w:rFonts w:ascii="Verdana" w:hAnsi="Verdana"/>
          <w:sz w:val="16"/>
          <w:szCs w:val="16"/>
          <w:lang w:val="es-CR"/>
        </w:rPr>
        <w:t>] también a las medidas de no repetición que se consideran adecuadas frente a situaciones como las del presente caso” (</w:t>
      </w:r>
      <w:r w:rsidRPr="000F06CF">
        <w:rPr>
          <w:rFonts w:ascii="Verdana" w:hAnsi="Verdana"/>
          <w:i/>
          <w:sz w:val="16"/>
          <w:szCs w:val="16"/>
          <w:lang w:val="es-CR"/>
        </w:rPr>
        <w:t>Caso Hermanos Landaeta Mejías y otros Vs. Venezuela.</w:t>
      </w:r>
      <w:r w:rsidRPr="000F06CF">
        <w:rPr>
          <w:rFonts w:ascii="Verdana" w:hAnsi="Verdana"/>
          <w:sz w:val="16"/>
          <w:szCs w:val="16"/>
          <w:lang w:val="es-CR"/>
        </w:rPr>
        <w:t xml:space="preserve"> Resolución del </w:t>
      </w:r>
      <w:proofErr w:type="gramStart"/>
      <w:r w:rsidRPr="000F06CF">
        <w:rPr>
          <w:rFonts w:ascii="Verdana" w:hAnsi="Verdana"/>
          <w:sz w:val="16"/>
          <w:szCs w:val="16"/>
          <w:lang w:val="es-CR"/>
        </w:rPr>
        <w:t>Presidente</w:t>
      </w:r>
      <w:proofErr w:type="gramEnd"/>
      <w:r w:rsidRPr="000F06CF">
        <w:rPr>
          <w:rFonts w:ascii="Verdana" w:hAnsi="Verdana"/>
          <w:sz w:val="16"/>
          <w:szCs w:val="16"/>
          <w:lang w:val="es-CR"/>
        </w:rPr>
        <w:t xml:space="preserve"> de la Corte de 26 de diciembre de 2013, punto resolutivo 1).</w:t>
      </w:r>
    </w:p>
    <w:p w14:paraId="4F3227DD" w14:textId="77777777" w:rsidR="00D817A6" w:rsidRPr="000F06CF" w:rsidRDefault="00D817A6" w:rsidP="000F06CF">
      <w:pPr>
        <w:pStyle w:val="Textonotapie"/>
        <w:spacing w:after="0"/>
        <w:rPr>
          <w:rFonts w:ascii="Verdana" w:hAnsi="Verdana"/>
          <w:sz w:val="16"/>
          <w:szCs w:val="16"/>
          <w:lang w:val="es-CR"/>
        </w:rPr>
      </w:pPr>
    </w:p>
  </w:footnote>
  <w:footnote w:id="26">
    <w:p w14:paraId="5D74FC4E" w14:textId="77777777" w:rsidR="00B115F1" w:rsidRDefault="00B115F1" w:rsidP="00B115F1">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lang w:val="es-CR"/>
        </w:rPr>
        <w:t xml:space="preserve"> </w:t>
      </w:r>
      <w:r w:rsidRPr="000F06CF">
        <w:rPr>
          <w:rFonts w:ascii="Verdana" w:hAnsi="Verdana"/>
          <w:sz w:val="16"/>
          <w:szCs w:val="16"/>
          <w:lang w:val="es-CR"/>
        </w:rPr>
        <w:tab/>
        <w:t xml:space="preserve">La declaración pericial del señor Christof </w:t>
      </w:r>
      <w:proofErr w:type="spellStart"/>
      <w:r w:rsidRPr="000F06CF">
        <w:rPr>
          <w:rFonts w:ascii="Verdana" w:hAnsi="Verdana"/>
          <w:sz w:val="16"/>
          <w:szCs w:val="16"/>
          <w:lang w:val="es-CR"/>
        </w:rPr>
        <w:t>Haynes</w:t>
      </w:r>
      <w:proofErr w:type="spellEnd"/>
      <w:r w:rsidRPr="000F06CF">
        <w:rPr>
          <w:rFonts w:ascii="Verdana" w:hAnsi="Verdana"/>
          <w:sz w:val="16"/>
          <w:szCs w:val="16"/>
          <w:lang w:val="es-CR"/>
        </w:rPr>
        <w:t xml:space="preserve"> en el caso</w:t>
      </w:r>
      <w:r w:rsidRPr="000F06CF">
        <w:rPr>
          <w:rFonts w:ascii="Verdana" w:hAnsi="Verdana"/>
          <w:sz w:val="16"/>
          <w:szCs w:val="16"/>
        </w:rPr>
        <w:t xml:space="preserve"> </w:t>
      </w:r>
      <w:r w:rsidRPr="000F06CF">
        <w:rPr>
          <w:rFonts w:ascii="Verdana" w:hAnsi="Verdana"/>
          <w:i/>
          <w:sz w:val="16"/>
          <w:szCs w:val="16"/>
          <w:lang w:val="es-CR"/>
        </w:rPr>
        <w:t xml:space="preserve">Favela Nova </w:t>
      </w:r>
      <w:proofErr w:type="spellStart"/>
      <w:r w:rsidRPr="000F06CF">
        <w:rPr>
          <w:rFonts w:ascii="Verdana" w:hAnsi="Verdana"/>
          <w:i/>
          <w:sz w:val="16"/>
          <w:szCs w:val="16"/>
          <w:lang w:val="es-CR"/>
        </w:rPr>
        <w:t>Brasília</w:t>
      </w:r>
      <w:proofErr w:type="spellEnd"/>
      <w:r w:rsidRPr="000F06CF">
        <w:rPr>
          <w:rFonts w:ascii="Verdana" w:hAnsi="Verdana"/>
          <w:i/>
          <w:sz w:val="16"/>
          <w:szCs w:val="16"/>
          <w:lang w:val="es-CR"/>
        </w:rPr>
        <w:t xml:space="preserve"> Vs. Brasil</w:t>
      </w:r>
      <w:r w:rsidRPr="000F06CF">
        <w:rPr>
          <w:rFonts w:ascii="Verdana" w:hAnsi="Verdana"/>
          <w:sz w:val="16"/>
          <w:szCs w:val="16"/>
          <w:lang w:val="es-CR"/>
        </w:rPr>
        <w:t xml:space="preserve"> versó sobre “</w:t>
      </w:r>
      <w:r w:rsidRPr="000F06CF">
        <w:rPr>
          <w:rFonts w:ascii="Verdana" w:hAnsi="Verdana"/>
          <w:sz w:val="16"/>
          <w:szCs w:val="16"/>
        </w:rPr>
        <w:t xml:space="preserve">los estándares internacionales relativos al deber de investigar casos de uso letal de la fuerza por parte de agentes policiales en el contexto de operativos o redadas. Específicamente, el perito se </w:t>
      </w:r>
      <w:proofErr w:type="spellStart"/>
      <w:r w:rsidRPr="000F06CF">
        <w:rPr>
          <w:rFonts w:ascii="Verdana" w:hAnsi="Verdana"/>
          <w:sz w:val="16"/>
          <w:szCs w:val="16"/>
        </w:rPr>
        <w:t>ref</w:t>
      </w:r>
      <w:proofErr w:type="spellEnd"/>
      <w:r w:rsidRPr="000F06CF">
        <w:rPr>
          <w:rFonts w:ascii="Verdana" w:hAnsi="Verdana"/>
          <w:sz w:val="16"/>
          <w:szCs w:val="16"/>
        </w:rPr>
        <w:t>[</w:t>
      </w:r>
      <w:proofErr w:type="spellStart"/>
      <w:r w:rsidRPr="000F06CF">
        <w:rPr>
          <w:rFonts w:ascii="Verdana" w:hAnsi="Verdana"/>
          <w:sz w:val="16"/>
          <w:szCs w:val="16"/>
        </w:rPr>
        <w:t>irió</w:t>
      </w:r>
      <w:proofErr w:type="spellEnd"/>
      <w:r w:rsidRPr="000F06CF">
        <w:rPr>
          <w:rFonts w:ascii="Verdana" w:hAnsi="Verdana"/>
          <w:sz w:val="16"/>
          <w:szCs w:val="16"/>
        </w:rPr>
        <w:t xml:space="preserve">] a los estándares relevantes para analizar las múltiples formas de estigmatización que pueden ocurrir en estas investigaciones, en particular, la estigmatización como ‘delincuentes’ de las víctimas fallecidas y la manera en que tales estigmas impactan en el desarrollo y perspectivas de efectividad de las investigaciones. Asimismo, el perito </w:t>
      </w:r>
      <w:proofErr w:type="spellStart"/>
      <w:r w:rsidRPr="000F06CF">
        <w:rPr>
          <w:rFonts w:ascii="Verdana" w:hAnsi="Verdana"/>
          <w:sz w:val="16"/>
          <w:szCs w:val="16"/>
        </w:rPr>
        <w:t>podr</w:t>
      </w:r>
      <w:proofErr w:type="spellEnd"/>
      <w:r w:rsidRPr="000F06CF">
        <w:rPr>
          <w:rFonts w:ascii="Verdana" w:hAnsi="Verdana"/>
          <w:sz w:val="16"/>
          <w:szCs w:val="16"/>
        </w:rPr>
        <w:t>[</w:t>
      </w:r>
      <w:proofErr w:type="spellStart"/>
      <w:r w:rsidRPr="000F06CF">
        <w:rPr>
          <w:rFonts w:ascii="Verdana" w:hAnsi="Verdana"/>
          <w:sz w:val="16"/>
          <w:szCs w:val="16"/>
        </w:rPr>
        <w:t>ía</w:t>
      </w:r>
      <w:proofErr w:type="spellEnd"/>
      <w:r w:rsidRPr="000F06CF">
        <w:rPr>
          <w:rFonts w:ascii="Verdana" w:hAnsi="Verdana"/>
          <w:sz w:val="16"/>
          <w:szCs w:val="16"/>
        </w:rPr>
        <w:t>] hacer referencia a la figura de prescripción frente a supuestos de ejecuciones extrajudiciales en contextos como los del caso” (</w:t>
      </w:r>
      <w:r w:rsidRPr="000F06CF">
        <w:rPr>
          <w:rFonts w:ascii="Verdana" w:hAnsi="Verdana"/>
          <w:i/>
          <w:sz w:val="16"/>
          <w:szCs w:val="16"/>
        </w:rPr>
        <w:t xml:space="preserve">Caso Genoveva y otros (Favela Nova </w:t>
      </w:r>
      <w:proofErr w:type="spellStart"/>
      <w:r w:rsidRPr="000F06CF">
        <w:rPr>
          <w:rFonts w:ascii="Verdana" w:hAnsi="Verdana"/>
          <w:i/>
          <w:sz w:val="16"/>
          <w:szCs w:val="16"/>
        </w:rPr>
        <w:t>Brasília</w:t>
      </w:r>
      <w:proofErr w:type="spellEnd"/>
      <w:r w:rsidRPr="000F06CF">
        <w:rPr>
          <w:rFonts w:ascii="Verdana" w:hAnsi="Verdana"/>
          <w:i/>
          <w:sz w:val="16"/>
          <w:szCs w:val="16"/>
        </w:rPr>
        <w:t>) Vs. Brasil.</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en ejercicio de la Corte de 4 de agosto de 2016, punto resolutivo 1).</w:t>
      </w:r>
    </w:p>
    <w:p w14:paraId="6C0018A5" w14:textId="77777777" w:rsidR="00B115F1" w:rsidRPr="000F06CF" w:rsidRDefault="00B115F1" w:rsidP="00B115F1">
      <w:pPr>
        <w:pStyle w:val="Textonotapie"/>
        <w:spacing w:after="0"/>
        <w:rPr>
          <w:rFonts w:ascii="Verdana" w:hAnsi="Verdana"/>
          <w:sz w:val="16"/>
          <w:szCs w:val="16"/>
          <w:lang w:val="es-CR"/>
        </w:rPr>
      </w:pPr>
    </w:p>
  </w:footnote>
  <w:footnote w:id="27">
    <w:p w14:paraId="5ABE69C0" w14:textId="77777777" w:rsidR="00B115F1" w:rsidRDefault="00B115F1" w:rsidP="00B115F1">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rPr>
        <w:tab/>
        <w:t xml:space="preserve">La declaración pericial de la señora Magaly Mercedes Vásquez González </w:t>
      </w:r>
      <w:r w:rsidRPr="000F06CF">
        <w:rPr>
          <w:rFonts w:ascii="Verdana" w:hAnsi="Verdana" w:cs="Arial"/>
          <w:sz w:val="16"/>
          <w:szCs w:val="16"/>
          <w:lang w:val="es-CR" w:eastAsia="es-CR"/>
        </w:rPr>
        <w:t xml:space="preserve">en el caso </w:t>
      </w:r>
      <w:r w:rsidRPr="000F06CF">
        <w:rPr>
          <w:rFonts w:ascii="Verdana" w:hAnsi="Verdana" w:cs="Arial"/>
          <w:i/>
          <w:sz w:val="16"/>
          <w:szCs w:val="16"/>
          <w:lang w:val="es-CR" w:eastAsia="es-CR"/>
        </w:rPr>
        <w:t xml:space="preserve">Familia Barrios Vs. Venezuela </w:t>
      </w:r>
      <w:r w:rsidRPr="000F06CF">
        <w:rPr>
          <w:rFonts w:ascii="Verdana" w:hAnsi="Verdana" w:cs="Arial"/>
          <w:sz w:val="16"/>
          <w:szCs w:val="16"/>
          <w:lang w:val="es-CR" w:eastAsia="es-CR"/>
        </w:rPr>
        <w:t>trató sobre “</w:t>
      </w:r>
      <w:r w:rsidRPr="000F06CF">
        <w:rPr>
          <w:rFonts w:ascii="Verdana" w:hAnsi="Verdana"/>
          <w:sz w:val="16"/>
          <w:szCs w:val="16"/>
        </w:rPr>
        <w:t>la normatividad que regía el procedimiento penal en Venezuela en el momento de la ocurrencia de los hechos, y el que rige actualmente, con referencia al papel del Estado como garante del derecho a la vida, a la integridad personal y a la libertad personal; la debida diligencia en los procesos penales de los casos de la familia Barrios, en especial los alegados obstáculos de hecho y de derecho presentados a lo largo de las investigaciones; la Unidad Criminalística del Ministerio Público, la competencia del Cuerpo de Investigaciones Científicas, Penales y Criminalísticas para el análisis de las investigaciones, y la aplicación de la ley de protección de testigos en Venezuela” (</w:t>
      </w:r>
      <w:r w:rsidRPr="000F06CF">
        <w:rPr>
          <w:rFonts w:ascii="Verdana" w:hAnsi="Verdana"/>
          <w:i/>
          <w:sz w:val="16"/>
          <w:szCs w:val="16"/>
        </w:rPr>
        <w:t>Caso Familia Barrios Vs. Venezuela.</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de la Corte de 1 de junio de 2011, punto resolutivo 5). </w:t>
      </w:r>
    </w:p>
    <w:p w14:paraId="55EBD5AC" w14:textId="77777777" w:rsidR="00B115F1" w:rsidRPr="000F06CF" w:rsidRDefault="00B115F1" w:rsidP="00B115F1">
      <w:pPr>
        <w:pStyle w:val="Textonotapie"/>
        <w:spacing w:after="0"/>
        <w:rPr>
          <w:rFonts w:ascii="Verdana" w:hAnsi="Verdana"/>
          <w:sz w:val="16"/>
          <w:szCs w:val="16"/>
          <w:lang w:val="es-CR"/>
        </w:rPr>
      </w:pPr>
    </w:p>
  </w:footnote>
  <w:footnote w:id="28">
    <w:p w14:paraId="5371090A" w14:textId="77777777" w:rsidR="00B115F1" w:rsidRDefault="00B115F1" w:rsidP="00B115F1">
      <w:pPr>
        <w:pStyle w:val="Textonotapie"/>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rPr>
        <w:t xml:space="preserve"> </w:t>
      </w:r>
      <w:r w:rsidRPr="000F06CF">
        <w:rPr>
          <w:rFonts w:ascii="Verdana" w:hAnsi="Verdana"/>
          <w:sz w:val="16"/>
          <w:szCs w:val="16"/>
          <w:lang w:val="es-CR"/>
        </w:rPr>
        <w:tab/>
        <w:t xml:space="preserve">La declaración pericial del señor </w:t>
      </w:r>
      <w:r w:rsidRPr="000F06CF">
        <w:rPr>
          <w:rFonts w:ascii="Verdana" w:hAnsi="Verdana" w:cs="Arial"/>
          <w:sz w:val="16"/>
          <w:szCs w:val="16"/>
          <w:lang w:val="es-CR" w:eastAsia="es-CR"/>
        </w:rPr>
        <w:t xml:space="preserve">José Pablo </w:t>
      </w:r>
      <w:proofErr w:type="spellStart"/>
      <w:r w:rsidRPr="000F06CF">
        <w:rPr>
          <w:rFonts w:ascii="Verdana" w:hAnsi="Verdana" w:cs="Arial"/>
          <w:sz w:val="16"/>
          <w:szCs w:val="16"/>
          <w:lang w:val="es-CR" w:eastAsia="es-CR"/>
        </w:rPr>
        <w:t>Baraybar</w:t>
      </w:r>
      <w:proofErr w:type="spellEnd"/>
      <w:r w:rsidRPr="000F06CF">
        <w:rPr>
          <w:rFonts w:ascii="Verdana" w:hAnsi="Verdana" w:cs="Arial"/>
          <w:sz w:val="16"/>
          <w:szCs w:val="16"/>
          <w:lang w:val="es-CR" w:eastAsia="es-CR"/>
        </w:rPr>
        <w:t xml:space="preserve"> en el caso </w:t>
      </w:r>
      <w:r w:rsidRPr="000F06CF">
        <w:rPr>
          <w:rFonts w:ascii="Verdana" w:hAnsi="Verdana" w:cs="Verdana"/>
          <w:i/>
          <w:sz w:val="16"/>
          <w:szCs w:val="16"/>
          <w:lang w:val="es-CL" w:eastAsia="en-US"/>
        </w:rPr>
        <w:t>Hermanos Landaeta Mejías y otros Vs. Venezuela</w:t>
      </w:r>
      <w:r w:rsidRPr="000F06CF">
        <w:rPr>
          <w:rFonts w:ascii="Verdana" w:hAnsi="Verdana" w:cs="Verdana"/>
          <w:sz w:val="16"/>
          <w:szCs w:val="16"/>
          <w:lang w:val="es-CL" w:eastAsia="en-US"/>
        </w:rPr>
        <w:t xml:space="preserve"> tuvo por objeto “l</w:t>
      </w:r>
      <w:r w:rsidRPr="000F06CF">
        <w:rPr>
          <w:rFonts w:ascii="Verdana" w:hAnsi="Verdana"/>
          <w:sz w:val="16"/>
          <w:szCs w:val="16"/>
        </w:rPr>
        <w:t xml:space="preserve">os estándares internacionales en las evaluaciones </w:t>
      </w:r>
      <w:proofErr w:type="gramStart"/>
      <w:r w:rsidRPr="000F06CF">
        <w:rPr>
          <w:rFonts w:ascii="Verdana" w:hAnsi="Verdana"/>
          <w:sz w:val="16"/>
          <w:szCs w:val="16"/>
        </w:rPr>
        <w:t>médico legales</w:t>
      </w:r>
      <w:proofErr w:type="gramEnd"/>
      <w:r w:rsidRPr="000F06CF">
        <w:rPr>
          <w:rFonts w:ascii="Verdana" w:hAnsi="Verdana"/>
          <w:sz w:val="16"/>
          <w:szCs w:val="16"/>
        </w:rPr>
        <w:t xml:space="preserve"> y la debida diligencia en las investigaciones de ejecuciones extrajudiciales y graves violaciones de derechos humanos, y la aplicación de dichos estándares en las investigaciones de [dicho] caso” (</w:t>
      </w:r>
      <w:r w:rsidRPr="000F06CF">
        <w:rPr>
          <w:rFonts w:ascii="Verdana" w:hAnsi="Verdana"/>
          <w:i/>
          <w:sz w:val="16"/>
          <w:szCs w:val="16"/>
        </w:rPr>
        <w:t>Caso Hermanos Landaeta Mejías y otros Vs. Venezuela.</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de la Corte de 26 de diciembre de 2013, punto resolutivo 1). </w:t>
      </w:r>
    </w:p>
    <w:p w14:paraId="3274B181" w14:textId="77777777" w:rsidR="00B115F1" w:rsidRPr="000F06CF" w:rsidRDefault="00B115F1" w:rsidP="00B115F1">
      <w:pPr>
        <w:pStyle w:val="Textonotapie"/>
        <w:spacing w:after="0"/>
        <w:rPr>
          <w:rFonts w:ascii="Verdana" w:hAnsi="Verdana"/>
          <w:sz w:val="16"/>
          <w:szCs w:val="16"/>
          <w:lang w:val="es-CR"/>
        </w:rPr>
      </w:pPr>
    </w:p>
  </w:footnote>
  <w:footnote w:id="29">
    <w:p w14:paraId="5DA96057" w14:textId="0A251C86" w:rsidR="00D817A6" w:rsidRDefault="00D817A6" w:rsidP="000F06CF">
      <w:pPr>
        <w:pStyle w:val="Textonotapie"/>
        <w:tabs>
          <w:tab w:val="left" w:pos="567"/>
        </w:tabs>
        <w:spacing w:after="0"/>
        <w:rPr>
          <w:rFonts w:ascii="Verdana" w:hAnsi="Verdana"/>
          <w:sz w:val="16"/>
          <w:szCs w:val="16"/>
        </w:rPr>
      </w:pPr>
      <w:r w:rsidRPr="000F06CF">
        <w:rPr>
          <w:rStyle w:val="Refdenotaalpie"/>
          <w:rFonts w:ascii="Verdana" w:hAnsi="Verdana"/>
          <w:sz w:val="16"/>
          <w:szCs w:val="16"/>
        </w:rPr>
        <w:footnoteRef/>
      </w:r>
      <w:r w:rsidRPr="000F06CF">
        <w:rPr>
          <w:rFonts w:ascii="Verdana" w:hAnsi="Verdana"/>
          <w:sz w:val="16"/>
          <w:szCs w:val="16"/>
          <w:lang w:val="pt-BR"/>
        </w:rPr>
        <w:t xml:space="preserve"> </w:t>
      </w:r>
      <w:r w:rsidRPr="000F06CF">
        <w:rPr>
          <w:rFonts w:ascii="Verdana" w:hAnsi="Verdana"/>
          <w:sz w:val="16"/>
          <w:szCs w:val="16"/>
          <w:lang w:val="pt-BR"/>
        </w:rPr>
        <w:tab/>
      </w:r>
      <w:r w:rsidRPr="000F06CF">
        <w:rPr>
          <w:rFonts w:ascii="Verdana" w:hAnsi="Verdana"/>
          <w:i/>
          <w:sz w:val="16"/>
          <w:szCs w:val="16"/>
          <w:lang w:val="pt-BR"/>
        </w:rPr>
        <w:t xml:space="preserve">Cfr. Caso Pacheco </w:t>
      </w:r>
      <w:proofErr w:type="spellStart"/>
      <w:r w:rsidRPr="000F06CF">
        <w:rPr>
          <w:rFonts w:ascii="Verdana" w:hAnsi="Verdana"/>
          <w:i/>
          <w:sz w:val="16"/>
          <w:szCs w:val="16"/>
          <w:lang w:val="pt-BR"/>
        </w:rPr>
        <w:t>Tineo</w:t>
      </w:r>
      <w:proofErr w:type="spellEnd"/>
      <w:r w:rsidRPr="000F06CF">
        <w:rPr>
          <w:rFonts w:ascii="Verdana" w:hAnsi="Verdana"/>
          <w:i/>
          <w:sz w:val="16"/>
          <w:szCs w:val="16"/>
          <w:lang w:val="pt-BR"/>
        </w:rPr>
        <w:t xml:space="preserve"> Vs. </w:t>
      </w:r>
      <w:r w:rsidRPr="000F06CF">
        <w:rPr>
          <w:rFonts w:ascii="Verdana" w:hAnsi="Verdana"/>
          <w:i/>
          <w:sz w:val="16"/>
          <w:szCs w:val="16"/>
        </w:rPr>
        <w:t>Bolivia.</w:t>
      </w:r>
      <w:r w:rsidRPr="000F06CF">
        <w:rPr>
          <w:rFonts w:ascii="Verdana" w:hAnsi="Verdana"/>
          <w:sz w:val="16"/>
          <w:szCs w:val="16"/>
        </w:rPr>
        <w:t xml:space="preserve"> Resolución del </w:t>
      </w:r>
      <w:proofErr w:type="gramStart"/>
      <w:r w:rsidRPr="000F06CF">
        <w:rPr>
          <w:rFonts w:ascii="Verdana" w:hAnsi="Verdana"/>
          <w:sz w:val="16"/>
          <w:szCs w:val="16"/>
        </w:rPr>
        <w:t>Presidente</w:t>
      </w:r>
      <w:proofErr w:type="gramEnd"/>
      <w:r w:rsidRPr="000F06CF">
        <w:rPr>
          <w:rFonts w:ascii="Verdana" w:hAnsi="Verdana"/>
          <w:sz w:val="16"/>
          <w:szCs w:val="16"/>
        </w:rPr>
        <w:t xml:space="preserve"> de la Corte de 19 de febrero de 2013, Considerando 54, y </w:t>
      </w:r>
      <w:r w:rsidRPr="000F06CF">
        <w:rPr>
          <w:rFonts w:ascii="Verdana" w:hAnsi="Verdana"/>
          <w:i/>
          <w:sz w:val="16"/>
          <w:szCs w:val="16"/>
        </w:rPr>
        <w:t>Caso Vicky Hernández y otros Vs. Honduras.</w:t>
      </w:r>
      <w:r w:rsidRPr="000F06CF">
        <w:rPr>
          <w:rFonts w:ascii="Verdana" w:hAnsi="Verdana"/>
          <w:sz w:val="16"/>
          <w:szCs w:val="16"/>
        </w:rPr>
        <w:t xml:space="preserve"> Resolución de la </w:t>
      </w:r>
      <w:proofErr w:type="gramStart"/>
      <w:r w:rsidRPr="000F06CF">
        <w:rPr>
          <w:rFonts w:ascii="Verdana" w:hAnsi="Verdana"/>
          <w:sz w:val="16"/>
          <w:szCs w:val="16"/>
        </w:rPr>
        <w:t>Presidenta</w:t>
      </w:r>
      <w:proofErr w:type="gramEnd"/>
      <w:r w:rsidRPr="000F06CF">
        <w:rPr>
          <w:rFonts w:ascii="Verdana" w:hAnsi="Verdana"/>
          <w:sz w:val="16"/>
          <w:szCs w:val="16"/>
        </w:rPr>
        <w:t xml:space="preserve"> de la Corte de 1 de septiembre de 2020, Considerando 17.</w:t>
      </w:r>
    </w:p>
    <w:p w14:paraId="15C4ACD5" w14:textId="77777777" w:rsidR="00D817A6" w:rsidRPr="000F06CF" w:rsidRDefault="00D817A6" w:rsidP="000F06CF">
      <w:pPr>
        <w:pStyle w:val="Textonotapie"/>
        <w:tabs>
          <w:tab w:val="left" w:pos="567"/>
        </w:tabs>
        <w:spacing w:after="0"/>
        <w:rPr>
          <w:rFonts w:ascii="Verdana" w:hAnsi="Verdana"/>
          <w:sz w:val="16"/>
          <w:szCs w:val="16"/>
          <w:lang w:val="es-CR"/>
        </w:rPr>
      </w:pPr>
    </w:p>
  </w:footnote>
  <w:footnote w:id="30">
    <w:p w14:paraId="77FB6326" w14:textId="62106055" w:rsidR="00D817A6" w:rsidRDefault="00D817A6" w:rsidP="000F06CF">
      <w:pPr>
        <w:pStyle w:val="Textonotapie"/>
        <w:spacing w:after="0"/>
        <w:rPr>
          <w:rFonts w:ascii="Verdana" w:hAnsi="Verdana"/>
          <w:sz w:val="16"/>
          <w:szCs w:val="16"/>
          <w:lang w:val="es-CR"/>
        </w:rPr>
      </w:pPr>
      <w:r w:rsidRPr="000F06CF">
        <w:rPr>
          <w:rStyle w:val="Refdenotaalpie"/>
          <w:rFonts w:ascii="Verdana" w:hAnsi="Verdana"/>
          <w:sz w:val="16"/>
          <w:szCs w:val="16"/>
        </w:rPr>
        <w:footnoteRef/>
      </w:r>
      <w:r w:rsidRPr="000F06CF">
        <w:rPr>
          <w:rFonts w:ascii="Verdana" w:hAnsi="Verdana"/>
          <w:sz w:val="16"/>
          <w:szCs w:val="16"/>
          <w:lang w:val="es-CR"/>
        </w:rPr>
        <w:tab/>
      </w:r>
      <w:r w:rsidRPr="000F06CF">
        <w:rPr>
          <w:rFonts w:ascii="Verdana" w:hAnsi="Verdana"/>
          <w:i/>
          <w:sz w:val="16"/>
          <w:szCs w:val="16"/>
          <w:lang w:val="es-CR"/>
        </w:rPr>
        <w:t>Cfr. Caso Olivares Muñoz y otros Vs. Venezuela</w:t>
      </w:r>
      <w:r w:rsidRPr="000F06CF">
        <w:rPr>
          <w:rFonts w:ascii="Verdana" w:hAnsi="Verdana"/>
          <w:sz w:val="16"/>
          <w:szCs w:val="16"/>
          <w:lang w:val="es-CR"/>
        </w:rPr>
        <w:t xml:space="preserve">. Resolución de la Corte de 29 de julio de 2020, y </w:t>
      </w:r>
      <w:r w:rsidRPr="000F06CF">
        <w:rPr>
          <w:rFonts w:ascii="Verdana" w:hAnsi="Verdana"/>
          <w:i/>
          <w:sz w:val="16"/>
          <w:szCs w:val="16"/>
          <w:lang w:val="es-CR"/>
        </w:rPr>
        <w:t xml:space="preserve">Caso Mota </w:t>
      </w:r>
      <w:proofErr w:type="spellStart"/>
      <w:r w:rsidRPr="000F06CF">
        <w:rPr>
          <w:rFonts w:ascii="Verdana" w:hAnsi="Verdana"/>
          <w:i/>
          <w:sz w:val="16"/>
          <w:szCs w:val="16"/>
          <w:lang w:val="es-CR"/>
        </w:rPr>
        <w:t>Abarullo</w:t>
      </w:r>
      <w:proofErr w:type="spellEnd"/>
      <w:r w:rsidRPr="000F06CF">
        <w:rPr>
          <w:rFonts w:ascii="Verdana" w:hAnsi="Verdana"/>
          <w:i/>
          <w:sz w:val="16"/>
          <w:szCs w:val="16"/>
          <w:lang w:val="es-CR"/>
        </w:rPr>
        <w:t xml:space="preserve"> y otros Vs. Venezuela. </w:t>
      </w:r>
      <w:r w:rsidRPr="000F06CF">
        <w:rPr>
          <w:rFonts w:ascii="Verdana" w:hAnsi="Verdana"/>
          <w:sz w:val="16"/>
          <w:szCs w:val="16"/>
          <w:lang w:val="es-CR"/>
        </w:rPr>
        <w:t>Resolución de la Corte de 24 de agosto de 2020.</w:t>
      </w:r>
    </w:p>
    <w:p w14:paraId="352720A0" w14:textId="77777777" w:rsidR="00D817A6" w:rsidRPr="00517995" w:rsidRDefault="00D817A6" w:rsidP="000F06CF">
      <w:pPr>
        <w:pStyle w:val="Textonotapie"/>
        <w:spacing w:after="0"/>
        <w:rPr>
          <w:lang w:val="es-C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B2172"/>
    <w:multiLevelType w:val="hybridMultilevel"/>
    <w:tmpl w:val="511061D8"/>
    <w:lvl w:ilvl="0" w:tplc="0EA2D4E0">
      <w:start w:val="1"/>
      <w:numFmt w:val="lowerRoman"/>
      <w:lvlText w:val="%1)"/>
      <w:lvlJc w:val="left"/>
      <w:pPr>
        <w:ind w:left="1080" w:hanging="720"/>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633A0A"/>
    <w:multiLevelType w:val="hybridMultilevel"/>
    <w:tmpl w:val="3D24E59A"/>
    <w:lvl w:ilvl="0" w:tplc="D158D870">
      <w:start w:val="1"/>
      <w:numFmt w:val="decimal"/>
      <w:lvlText w:val="%1."/>
      <w:lvlJc w:val="left"/>
      <w:pPr>
        <w:ind w:left="720" w:hanging="360"/>
      </w:pPr>
      <w:rPr>
        <w:rFonts w:hint="default"/>
        <w:b w:val="0"/>
        <w:color w:val="auto"/>
        <w:u w:val="no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0867BD"/>
    <w:multiLevelType w:val="hybridMultilevel"/>
    <w:tmpl w:val="549E96A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47B6AD4"/>
    <w:multiLevelType w:val="hybridMultilevel"/>
    <w:tmpl w:val="71262404"/>
    <w:lvl w:ilvl="0" w:tplc="9FECA2C8">
      <w:start w:val="1"/>
      <w:numFmt w:val="decimal"/>
      <w:lvlText w:val="(%1)"/>
      <w:lvlJc w:val="left"/>
      <w:pPr>
        <w:ind w:left="1114" w:hanging="405"/>
      </w:pPr>
      <w:rPr>
        <w:rFonts w:cs="Arial-BoldMT"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4" w15:restartNumberingAfterBreak="0">
    <w:nsid w:val="1577227C"/>
    <w:multiLevelType w:val="hybridMultilevel"/>
    <w:tmpl w:val="B9568A1A"/>
    <w:lvl w:ilvl="0" w:tplc="560A30FA">
      <w:start w:val="9"/>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664B6"/>
    <w:multiLevelType w:val="hybridMultilevel"/>
    <w:tmpl w:val="D248AB8C"/>
    <w:lvl w:ilvl="0" w:tplc="D95ADA78">
      <w:start w:val="5"/>
      <w:numFmt w:val="upperLetter"/>
      <w:lvlText w:val="%1."/>
      <w:lvlJc w:val="left"/>
      <w:pPr>
        <w:ind w:left="450" w:hanging="360"/>
      </w:pPr>
      <w:rPr>
        <w:rFonts w:hint="default"/>
      </w:rPr>
    </w:lvl>
    <w:lvl w:ilvl="1" w:tplc="140A0019" w:tentative="1">
      <w:start w:val="1"/>
      <w:numFmt w:val="lowerLetter"/>
      <w:lvlText w:val="%2."/>
      <w:lvlJc w:val="left"/>
      <w:pPr>
        <w:ind w:left="1170" w:hanging="360"/>
      </w:pPr>
    </w:lvl>
    <w:lvl w:ilvl="2" w:tplc="140A001B" w:tentative="1">
      <w:start w:val="1"/>
      <w:numFmt w:val="lowerRoman"/>
      <w:lvlText w:val="%3."/>
      <w:lvlJc w:val="right"/>
      <w:pPr>
        <w:ind w:left="1890" w:hanging="180"/>
      </w:pPr>
    </w:lvl>
    <w:lvl w:ilvl="3" w:tplc="140A000F" w:tentative="1">
      <w:start w:val="1"/>
      <w:numFmt w:val="decimal"/>
      <w:lvlText w:val="%4."/>
      <w:lvlJc w:val="left"/>
      <w:pPr>
        <w:ind w:left="2610" w:hanging="360"/>
      </w:pPr>
    </w:lvl>
    <w:lvl w:ilvl="4" w:tplc="140A0019" w:tentative="1">
      <w:start w:val="1"/>
      <w:numFmt w:val="lowerLetter"/>
      <w:lvlText w:val="%5."/>
      <w:lvlJc w:val="left"/>
      <w:pPr>
        <w:ind w:left="3330" w:hanging="360"/>
      </w:pPr>
    </w:lvl>
    <w:lvl w:ilvl="5" w:tplc="140A001B" w:tentative="1">
      <w:start w:val="1"/>
      <w:numFmt w:val="lowerRoman"/>
      <w:lvlText w:val="%6."/>
      <w:lvlJc w:val="right"/>
      <w:pPr>
        <w:ind w:left="4050" w:hanging="180"/>
      </w:pPr>
    </w:lvl>
    <w:lvl w:ilvl="6" w:tplc="140A000F" w:tentative="1">
      <w:start w:val="1"/>
      <w:numFmt w:val="decimal"/>
      <w:lvlText w:val="%7."/>
      <w:lvlJc w:val="left"/>
      <w:pPr>
        <w:ind w:left="4770" w:hanging="360"/>
      </w:pPr>
    </w:lvl>
    <w:lvl w:ilvl="7" w:tplc="140A0019" w:tentative="1">
      <w:start w:val="1"/>
      <w:numFmt w:val="lowerLetter"/>
      <w:lvlText w:val="%8."/>
      <w:lvlJc w:val="left"/>
      <w:pPr>
        <w:ind w:left="5490" w:hanging="360"/>
      </w:pPr>
    </w:lvl>
    <w:lvl w:ilvl="8" w:tplc="140A001B" w:tentative="1">
      <w:start w:val="1"/>
      <w:numFmt w:val="lowerRoman"/>
      <w:lvlText w:val="%9."/>
      <w:lvlJc w:val="right"/>
      <w:pPr>
        <w:ind w:left="6210" w:hanging="180"/>
      </w:pPr>
    </w:lvl>
  </w:abstractNum>
  <w:abstractNum w:abstractNumId="6"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C82DBC"/>
    <w:multiLevelType w:val="hybridMultilevel"/>
    <w:tmpl w:val="663C9160"/>
    <w:lvl w:ilvl="0" w:tplc="BDB8BB3C">
      <w:start w:val="1"/>
      <w:numFmt w:val="lowerRoman"/>
      <w:lvlText w:val="%1)"/>
      <w:lvlJc w:val="left"/>
      <w:pPr>
        <w:ind w:left="1080" w:hanging="720"/>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9CF6D3B"/>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A215262"/>
    <w:multiLevelType w:val="hybridMultilevel"/>
    <w:tmpl w:val="E858241E"/>
    <w:lvl w:ilvl="0" w:tplc="543C1500">
      <w:start w:val="1"/>
      <w:numFmt w:val="lowerLetter"/>
      <w:lvlText w:val="%1)"/>
      <w:lvlJc w:val="left"/>
      <w:pPr>
        <w:ind w:left="643" w:hanging="360"/>
      </w:pPr>
      <w:rPr>
        <w:rFonts w:hint="default"/>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12"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15:restartNumberingAfterBreak="0">
    <w:nsid w:val="3BCD6FEF"/>
    <w:multiLevelType w:val="hybridMultilevel"/>
    <w:tmpl w:val="72720ACC"/>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2004AD5"/>
    <w:multiLevelType w:val="hybridMultilevel"/>
    <w:tmpl w:val="444ED67A"/>
    <w:lvl w:ilvl="0" w:tplc="9FE824E0">
      <w:start w:val="1"/>
      <w:numFmt w:val="upperLetter"/>
      <w:lvlText w:val="%1."/>
      <w:lvlJc w:val="left"/>
      <w:pPr>
        <w:ind w:left="360" w:hanging="360"/>
      </w:pPr>
      <w:rPr>
        <w:rFonts w:ascii="Verdana" w:hAnsi="Verdana" w:hint="default"/>
        <w:b/>
        <w:color w:val="000000"/>
        <w:sz w:val="20"/>
        <w:szCs w:val="20"/>
      </w:rPr>
    </w:lvl>
    <w:lvl w:ilvl="1" w:tplc="9C82A476">
      <w:start w:val="1"/>
      <w:numFmt w:val="lowerLetter"/>
      <w:lvlText w:val="%2."/>
      <w:lvlJc w:val="left"/>
      <w:pPr>
        <w:ind w:left="1080" w:hanging="360"/>
      </w:pPr>
      <w:rPr>
        <w:b w:val="0"/>
        <w:lang w:val="es-ES_tradnl"/>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35D27"/>
    <w:multiLevelType w:val="hybridMultilevel"/>
    <w:tmpl w:val="E69CA474"/>
    <w:lvl w:ilvl="0" w:tplc="140A000F">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A9D3974"/>
    <w:multiLevelType w:val="hybridMultilevel"/>
    <w:tmpl w:val="27A0774E"/>
    <w:lvl w:ilvl="0" w:tplc="A3966368">
      <w:start w:val="1"/>
      <w:numFmt w:val="upperLetter"/>
      <w:lvlText w:val="%1."/>
      <w:lvlJc w:val="left"/>
      <w:pPr>
        <w:ind w:left="360" w:hanging="360"/>
      </w:pPr>
      <w:rPr>
        <w:b/>
        <w:color w:val="000000"/>
      </w:rPr>
    </w:lvl>
    <w:lvl w:ilvl="1" w:tplc="58B80EF8">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AB014D1"/>
    <w:multiLevelType w:val="hybridMultilevel"/>
    <w:tmpl w:val="D172C2C0"/>
    <w:lvl w:ilvl="0" w:tplc="A00A0B48">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9"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EDF1884"/>
    <w:multiLevelType w:val="hybridMultilevel"/>
    <w:tmpl w:val="CC9CFA08"/>
    <w:lvl w:ilvl="0" w:tplc="A3661314">
      <w:start w:val="1"/>
      <w:numFmt w:val="decimal"/>
      <w:lvlText w:val="%1."/>
      <w:lvlJc w:val="left"/>
      <w:pPr>
        <w:ind w:left="720" w:hanging="360"/>
      </w:pPr>
      <w:rPr>
        <w:rFonts w:hint="default"/>
        <w:u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33725C7"/>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hint="default"/>
        <w:i w:val="0"/>
      </w:rPr>
    </w:lvl>
    <w:lvl w:ilvl="1" w:tplc="140A0019">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4" w15:restartNumberingAfterBreak="0">
    <w:nsid w:val="547846BE"/>
    <w:multiLevelType w:val="multilevel"/>
    <w:tmpl w:val="1FDCAC94"/>
    <w:lvl w:ilvl="0">
      <w:start w:val="1"/>
      <w:numFmt w:val="decimal"/>
      <w:lvlText w:val="%1."/>
      <w:lvlJc w:val="left"/>
      <w:pPr>
        <w:ind w:left="360" w:hanging="360"/>
      </w:pPr>
      <w:rPr>
        <w:rFonts w:ascii="Verdana" w:hAnsi="Verdana" w:hint="default"/>
        <w:b w:val="0"/>
        <w:i w:val="0"/>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5" w15:restartNumberingAfterBreak="0">
    <w:nsid w:val="590E2591"/>
    <w:multiLevelType w:val="hybridMultilevel"/>
    <w:tmpl w:val="D714BDB8"/>
    <w:lvl w:ilvl="0" w:tplc="ACB8A732">
      <w:start w:val="1"/>
      <w:numFmt w:val="decimal"/>
      <w:lvlText w:val="(%1)"/>
      <w:lvlJc w:val="left"/>
      <w:pPr>
        <w:ind w:left="2520" w:hanging="360"/>
      </w:pPr>
      <w:rPr>
        <w:rFonts w:eastAsia="Calibri" w:cs="Arial-BoldMT" w:hint="default"/>
        <w:i/>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26" w15:restartNumberingAfterBreak="0">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5AF5218D"/>
    <w:multiLevelType w:val="hybridMultilevel"/>
    <w:tmpl w:val="CD48C8AC"/>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BF477E8"/>
    <w:multiLevelType w:val="hybridMultilevel"/>
    <w:tmpl w:val="021C66DE"/>
    <w:lvl w:ilvl="0" w:tplc="140A0019">
      <w:start w:val="3"/>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F0639DB"/>
    <w:multiLevelType w:val="hybridMultilevel"/>
    <w:tmpl w:val="719E20E4"/>
    <w:lvl w:ilvl="0" w:tplc="BFB413EA">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E508E"/>
    <w:multiLevelType w:val="hybridMultilevel"/>
    <w:tmpl w:val="4796CDBE"/>
    <w:lvl w:ilvl="0" w:tplc="6784A05E">
      <w:start w:val="2"/>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3" w15:restartNumberingAfterBreak="0">
    <w:nsid w:val="62C97D24"/>
    <w:multiLevelType w:val="hybridMultilevel"/>
    <w:tmpl w:val="FB186486"/>
    <w:lvl w:ilvl="0" w:tplc="CCE89446">
      <w:start w:val="1"/>
      <w:numFmt w:val="decimal"/>
      <w:lvlText w:val="%1."/>
      <w:lvlJc w:val="left"/>
      <w:pPr>
        <w:ind w:left="1080" w:hanging="720"/>
      </w:pPr>
      <w:rPr>
        <w:rFonts w:ascii="Verdana" w:hAnsi="Verdana" w:hint="default"/>
        <w:b w:val="0"/>
        <w:color w:val="auto"/>
        <w:sz w:val="20"/>
        <w:szCs w:val="2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34" w15:restartNumberingAfterBreak="0">
    <w:nsid w:val="664109B4"/>
    <w:multiLevelType w:val="hybridMultilevel"/>
    <w:tmpl w:val="20A4A238"/>
    <w:lvl w:ilvl="0" w:tplc="A8E4E7E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0900C3E"/>
    <w:multiLevelType w:val="hybridMultilevel"/>
    <w:tmpl w:val="E3DE4808"/>
    <w:lvl w:ilvl="0" w:tplc="140A000F">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1964C79"/>
    <w:multiLevelType w:val="multilevel"/>
    <w:tmpl w:val="106E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41751B"/>
    <w:multiLevelType w:val="hybridMultilevel"/>
    <w:tmpl w:val="9556AB82"/>
    <w:lvl w:ilvl="0" w:tplc="3A1CAF48">
      <w:start w:val="1"/>
      <w:numFmt w:val="decimal"/>
      <w:lvlText w:val="%1."/>
      <w:lvlJc w:val="left"/>
      <w:pPr>
        <w:ind w:left="720" w:hanging="360"/>
      </w:pPr>
      <w:rPr>
        <w:rFonts w:ascii="Verdana" w:hAnsi="Verdana" w:cs="Verdana"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528446A"/>
    <w:multiLevelType w:val="hybridMultilevel"/>
    <w:tmpl w:val="18C8FB22"/>
    <w:lvl w:ilvl="0" w:tplc="6100B122">
      <w:start w:val="3"/>
      <w:numFmt w:val="upperLetter"/>
      <w:lvlText w:val="%1."/>
      <w:lvlJc w:val="left"/>
      <w:pPr>
        <w:ind w:left="810" w:hanging="360"/>
      </w:pPr>
      <w:rPr>
        <w:rFonts w:hint="default"/>
      </w:rPr>
    </w:lvl>
    <w:lvl w:ilvl="1" w:tplc="100A0019" w:tentative="1">
      <w:start w:val="1"/>
      <w:numFmt w:val="lowerLetter"/>
      <w:lvlText w:val="%2."/>
      <w:lvlJc w:val="left"/>
      <w:pPr>
        <w:ind w:left="1530" w:hanging="360"/>
      </w:pPr>
    </w:lvl>
    <w:lvl w:ilvl="2" w:tplc="100A001B" w:tentative="1">
      <w:start w:val="1"/>
      <w:numFmt w:val="lowerRoman"/>
      <w:lvlText w:val="%3."/>
      <w:lvlJc w:val="right"/>
      <w:pPr>
        <w:ind w:left="2250" w:hanging="180"/>
      </w:pPr>
    </w:lvl>
    <w:lvl w:ilvl="3" w:tplc="100A000F" w:tentative="1">
      <w:start w:val="1"/>
      <w:numFmt w:val="decimal"/>
      <w:lvlText w:val="%4."/>
      <w:lvlJc w:val="left"/>
      <w:pPr>
        <w:ind w:left="2970" w:hanging="360"/>
      </w:pPr>
    </w:lvl>
    <w:lvl w:ilvl="4" w:tplc="100A0019" w:tentative="1">
      <w:start w:val="1"/>
      <w:numFmt w:val="lowerLetter"/>
      <w:lvlText w:val="%5."/>
      <w:lvlJc w:val="left"/>
      <w:pPr>
        <w:ind w:left="3690" w:hanging="360"/>
      </w:pPr>
    </w:lvl>
    <w:lvl w:ilvl="5" w:tplc="100A001B" w:tentative="1">
      <w:start w:val="1"/>
      <w:numFmt w:val="lowerRoman"/>
      <w:lvlText w:val="%6."/>
      <w:lvlJc w:val="right"/>
      <w:pPr>
        <w:ind w:left="4410" w:hanging="180"/>
      </w:pPr>
    </w:lvl>
    <w:lvl w:ilvl="6" w:tplc="100A000F" w:tentative="1">
      <w:start w:val="1"/>
      <w:numFmt w:val="decimal"/>
      <w:lvlText w:val="%7."/>
      <w:lvlJc w:val="left"/>
      <w:pPr>
        <w:ind w:left="5130" w:hanging="360"/>
      </w:pPr>
    </w:lvl>
    <w:lvl w:ilvl="7" w:tplc="100A0019" w:tentative="1">
      <w:start w:val="1"/>
      <w:numFmt w:val="lowerLetter"/>
      <w:lvlText w:val="%8."/>
      <w:lvlJc w:val="left"/>
      <w:pPr>
        <w:ind w:left="5850" w:hanging="360"/>
      </w:pPr>
    </w:lvl>
    <w:lvl w:ilvl="8" w:tplc="100A001B" w:tentative="1">
      <w:start w:val="1"/>
      <w:numFmt w:val="lowerRoman"/>
      <w:lvlText w:val="%9."/>
      <w:lvlJc w:val="right"/>
      <w:pPr>
        <w:ind w:left="6570" w:hanging="180"/>
      </w:pPr>
    </w:lvl>
  </w:abstractNum>
  <w:abstractNum w:abstractNumId="41" w15:restartNumberingAfterBreak="0">
    <w:nsid w:val="75FB7C72"/>
    <w:multiLevelType w:val="hybridMultilevel"/>
    <w:tmpl w:val="D584C428"/>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76526955"/>
    <w:multiLevelType w:val="hybridMultilevel"/>
    <w:tmpl w:val="E18E85AC"/>
    <w:lvl w:ilvl="0" w:tplc="7B90A786">
      <w:start w:val="1"/>
      <w:numFmt w:val="decimal"/>
      <w:lvlText w:val="%1."/>
      <w:lvlJc w:val="left"/>
      <w:pPr>
        <w:ind w:left="720" w:hanging="360"/>
      </w:pPr>
      <w:rPr>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E69C2"/>
    <w:multiLevelType w:val="hybridMultilevel"/>
    <w:tmpl w:val="384C2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D173139"/>
    <w:multiLevelType w:val="hybridMultilevel"/>
    <w:tmpl w:val="9796F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1"/>
  </w:num>
  <w:num w:numId="3">
    <w:abstractNumId w:val="33"/>
  </w:num>
  <w:num w:numId="4">
    <w:abstractNumId w:val="3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43"/>
  </w:num>
  <w:num w:numId="9">
    <w:abstractNumId w:val="1"/>
  </w:num>
  <w:num w:numId="10">
    <w:abstractNumId w:val="22"/>
  </w:num>
  <w:num w:numId="11">
    <w:abstractNumId w:val="21"/>
  </w:num>
  <w:num w:numId="12">
    <w:abstractNumId w:val="11"/>
  </w:num>
  <w:num w:numId="13">
    <w:abstractNumId w:val="14"/>
  </w:num>
  <w:num w:numId="14">
    <w:abstractNumId w:val="17"/>
  </w:num>
  <w:num w:numId="15">
    <w:abstractNumId w:val="13"/>
  </w:num>
  <w:num w:numId="16">
    <w:abstractNumId w:val="27"/>
  </w:num>
  <w:num w:numId="17">
    <w:abstractNumId w:val="4"/>
  </w:num>
  <w:num w:numId="18">
    <w:abstractNumId w:val="28"/>
  </w:num>
  <w:num w:numId="19">
    <w:abstractNumId w:val="23"/>
  </w:num>
  <w:num w:numId="20">
    <w:abstractNumId w:val="25"/>
  </w:num>
  <w:num w:numId="21">
    <w:abstractNumId w:val="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8"/>
  </w:num>
  <w:num w:numId="25">
    <w:abstractNumId w:val="10"/>
  </w:num>
  <w:num w:numId="26">
    <w:abstractNumId w:val="26"/>
  </w:num>
  <w:num w:numId="27">
    <w:abstractNumId w:val="9"/>
  </w:num>
  <w:num w:numId="28">
    <w:abstractNumId w:val="5"/>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6"/>
  </w:num>
  <w:num w:numId="34">
    <w:abstractNumId w:val="1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30"/>
  </w:num>
  <w:num w:numId="38">
    <w:abstractNumId w:val="42"/>
  </w:num>
  <w:num w:numId="39">
    <w:abstractNumId w:val="15"/>
  </w:num>
  <w:num w:numId="40">
    <w:abstractNumId w:val="34"/>
  </w:num>
  <w:num w:numId="41">
    <w:abstractNumId w:val="44"/>
  </w:num>
  <w:num w:numId="42">
    <w:abstractNumId w:val="31"/>
  </w:num>
  <w:num w:numId="43">
    <w:abstractNumId w:val="38"/>
  </w:num>
  <w:num w:numId="44">
    <w:abstractNumId w:val="8"/>
  </w:num>
  <w:num w:numId="45">
    <w:abstractNumId w:val="0"/>
  </w:num>
  <w:num w:numId="46">
    <w:abstractNumId w:val="29"/>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s-MX" w:vendorID="64" w:dllVersion="6" w:nlCheck="1" w:checkStyle="0"/>
  <w:activeWritingStyle w:appName="MSWord" w:lang="es-GT" w:vendorID="64" w:dllVersion="6" w:nlCheck="1" w:checkStyle="1"/>
  <w:activeWritingStyle w:appName="MSWord" w:lang="es-419" w:vendorID="64" w:dllVersion="6" w:nlCheck="1" w:checkStyle="0"/>
  <w:activeWritingStyle w:appName="MSWord" w:lang="es-CL" w:vendorID="64" w:dllVersion="6" w:nlCheck="1" w:checkStyle="0"/>
  <w:activeWritingStyle w:appName="MSWord" w:lang="es-CO" w:vendorID="64" w:dllVersion="6" w:nlCheck="1" w:checkStyle="0"/>
  <w:activeWritingStyle w:appName="MSWord" w:lang="es-AR" w:vendorID="64" w:dllVersion="6" w:nlCheck="1" w:checkStyle="1"/>
  <w:activeWritingStyle w:appName="MSWord" w:lang="es-ES" w:vendorID="64" w:dllVersion="6" w:nlCheck="1" w:checkStyle="0"/>
  <w:activeWritingStyle w:appName="MSWord" w:lang="en-US" w:vendorID="64" w:dllVersion="6" w:nlCheck="1" w:checkStyle="0"/>
  <w:activeWritingStyle w:appName="MSWord" w:lang="es-PE" w:vendorID="64" w:dllVersion="6" w:nlCheck="1" w:checkStyle="0"/>
  <w:activeWritingStyle w:appName="MSWord" w:lang="es-419"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CL"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419"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CO" w:vendorID="64" w:dllVersion="0" w:nlCheck="1" w:checkStyle="0"/>
  <w:activeWritingStyle w:appName="MSWord" w:lang="es-MX" w:vendorID="64" w:dllVersion="0" w:nlCheck="1" w:checkStyle="0"/>
  <w:activeWritingStyle w:appName="MSWord" w:lang="es-AR" w:vendorID="64" w:dllVersion="0" w:nlCheck="1" w:checkStyle="0"/>
  <w:activeWritingStyle w:appName="MSWord" w:lang="es-PE" w:vendorID="64" w:dllVersion="0" w:nlCheck="1" w:checkStyle="0"/>
  <w:activeWritingStyle w:appName="MSWord" w:lang="pt-BR" w:vendorID="64" w:dllVersion="0"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89"/>
    <w:rsid w:val="00000A20"/>
    <w:rsid w:val="00004EAC"/>
    <w:rsid w:val="00011936"/>
    <w:rsid w:val="00011AE1"/>
    <w:rsid w:val="00013146"/>
    <w:rsid w:val="00013DE3"/>
    <w:rsid w:val="0001544E"/>
    <w:rsid w:val="00015823"/>
    <w:rsid w:val="00017B33"/>
    <w:rsid w:val="00020547"/>
    <w:rsid w:val="00032567"/>
    <w:rsid w:val="00033777"/>
    <w:rsid w:val="0003512F"/>
    <w:rsid w:val="00035E0D"/>
    <w:rsid w:val="00037A31"/>
    <w:rsid w:val="00040D30"/>
    <w:rsid w:val="000413D6"/>
    <w:rsid w:val="00042660"/>
    <w:rsid w:val="00043526"/>
    <w:rsid w:val="00046B7D"/>
    <w:rsid w:val="00046BBF"/>
    <w:rsid w:val="00047244"/>
    <w:rsid w:val="000571B9"/>
    <w:rsid w:val="000643B7"/>
    <w:rsid w:val="00074702"/>
    <w:rsid w:val="000805CA"/>
    <w:rsid w:val="00081C9F"/>
    <w:rsid w:val="00084C32"/>
    <w:rsid w:val="00087C58"/>
    <w:rsid w:val="000900B3"/>
    <w:rsid w:val="0009065A"/>
    <w:rsid w:val="0009425C"/>
    <w:rsid w:val="00094927"/>
    <w:rsid w:val="00097FEB"/>
    <w:rsid w:val="000A1752"/>
    <w:rsid w:val="000A45F8"/>
    <w:rsid w:val="000A5C3B"/>
    <w:rsid w:val="000A61D6"/>
    <w:rsid w:val="000A63E6"/>
    <w:rsid w:val="000A721F"/>
    <w:rsid w:val="000A7E23"/>
    <w:rsid w:val="000B5AA9"/>
    <w:rsid w:val="000C0263"/>
    <w:rsid w:val="000C171F"/>
    <w:rsid w:val="000C1D2B"/>
    <w:rsid w:val="000C7AC9"/>
    <w:rsid w:val="000D076B"/>
    <w:rsid w:val="000D08DF"/>
    <w:rsid w:val="000D146B"/>
    <w:rsid w:val="000D2439"/>
    <w:rsid w:val="000D2889"/>
    <w:rsid w:val="000D4C95"/>
    <w:rsid w:val="000D613C"/>
    <w:rsid w:val="000D7443"/>
    <w:rsid w:val="000E0A1E"/>
    <w:rsid w:val="000E18A1"/>
    <w:rsid w:val="000E24CA"/>
    <w:rsid w:val="000E6A06"/>
    <w:rsid w:val="000F06CF"/>
    <w:rsid w:val="000F09E8"/>
    <w:rsid w:val="000F1559"/>
    <w:rsid w:val="000F6BDF"/>
    <w:rsid w:val="001044CE"/>
    <w:rsid w:val="00104636"/>
    <w:rsid w:val="001061A0"/>
    <w:rsid w:val="001069C0"/>
    <w:rsid w:val="001163D4"/>
    <w:rsid w:val="00121E83"/>
    <w:rsid w:val="001237B4"/>
    <w:rsid w:val="0012423F"/>
    <w:rsid w:val="001245BE"/>
    <w:rsid w:val="0012580D"/>
    <w:rsid w:val="0013124C"/>
    <w:rsid w:val="00133837"/>
    <w:rsid w:val="001345AA"/>
    <w:rsid w:val="00135BCA"/>
    <w:rsid w:val="001375BF"/>
    <w:rsid w:val="0014007E"/>
    <w:rsid w:val="00140100"/>
    <w:rsid w:val="00142325"/>
    <w:rsid w:val="00144B2C"/>
    <w:rsid w:val="00150342"/>
    <w:rsid w:val="001511E7"/>
    <w:rsid w:val="001516CB"/>
    <w:rsid w:val="001555EC"/>
    <w:rsid w:val="001556C6"/>
    <w:rsid w:val="00160AE9"/>
    <w:rsid w:val="00165200"/>
    <w:rsid w:val="00170341"/>
    <w:rsid w:val="0017150D"/>
    <w:rsid w:val="00172463"/>
    <w:rsid w:val="001766B5"/>
    <w:rsid w:val="001771C2"/>
    <w:rsid w:val="001801A0"/>
    <w:rsid w:val="00180B10"/>
    <w:rsid w:val="001855F6"/>
    <w:rsid w:val="0019264C"/>
    <w:rsid w:val="0019600A"/>
    <w:rsid w:val="001A1C8D"/>
    <w:rsid w:val="001A53E8"/>
    <w:rsid w:val="001A6E10"/>
    <w:rsid w:val="001B1670"/>
    <w:rsid w:val="001B35A4"/>
    <w:rsid w:val="001B3CAA"/>
    <w:rsid w:val="001B516D"/>
    <w:rsid w:val="001B5BEE"/>
    <w:rsid w:val="001B720F"/>
    <w:rsid w:val="001C287E"/>
    <w:rsid w:val="001C755F"/>
    <w:rsid w:val="001D0528"/>
    <w:rsid w:val="001D2FF2"/>
    <w:rsid w:val="001D78A0"/>
    <w:rsid w:val="001E2E03"/>
    <w:rsid w:val="001E7051"/>
    <w:rsid w:val="001F053C"/>
    <w:rsid w:val="001F35C7"/>
    <w:rsid w:val="00200606"/>
    <w:rsid w:val="0020236F"/>
    <w:rsid w:val="00202FF8"/>
    <w:rsid w:val="00207D3C"/>
    <w:rsid w:val="00207FDB"/>
    <w:rsid w:val="002130EF"/>
    <w:rsid w:val="002145BF"/>
    <w:rsid w:val="00214F51"/>
    <w:rsid w:val="00215C48"/>
    <w:rsid w:val="00215CCA"/>
    <w:rsid w:val="00215F50"/>
    <w:rsid w:val="002170F3"/>
    <w:rsid w:val="00217559"/>
    <w:rsid w:val="00220C84"/>
    <w:rsid w:val="002217A0"/>
    <w:rsid w:val="002226DE"/>
    <w:rsid w:val="0022317F"/>
    <w:rsid w:val="00227CAB"/>
    <w:rsid w:val="002338F9"/>
    <w:rsid w:val="00237C50"/>
    <w:rsid w:val="00240E30"/>
    <w:rsid w:val="00241535"/>
    <w:rsid w:val="00241DAC"/>
    <w:rsid w:val="00242875"/>
    <w:rsid w:val="002449CB"/>
    <w:rsid w:val="00246031"/>
    <w:rsid w:val="002514CC"/>
    <w:rsid w:val="00254DDC"/>
    <w:rsid w:val="002559F8"/>
    <w:rsid w:val="00256098"/>
    <w:rsid w:val="00256205"/>
    <w:rsid w:val="00262EA4"/>
    <w:rsid w:val="002701F5"/>
    <w:rsid w:val="002720C2"/>
    <w:rsid w:val="0027448C"/>
    <w:rsid w:val="00275150"/>
    <w:rsid w:val="00276B66"/>
    <w:rsid w:val="002826A1"/>
    <w:rsid w:val="00283698"/>
    <w:rsid w:val="00283978"/>
    <w:rsid w:val="002900F6"/>
    <w:rsid w:val="00291EF0"/>
    <w:rsid w:val="002933BD"/>
    <w:rsid w:val="00295899"/>
    <w:rsid w:val="00297C21"/>
    <w:rsid w:val="002A08FD"/>
    <w:rsid w:val="002A36CB"/>
    <w:rsid w:val="002B1841"/>
    <w:rsid w:val="002B304F"/>
    <w:rsid w:val="002C2732"/>
    <w:rsid w:val="002C3422"/>
    <w:rsid w:val="002C5B18"/>
    <w:rsid w:val="002C5F69"/>
    <w:rsid w:val="002C736E"/>
    <w:rsid w:val="002C7F79"/>
    <w:rsid w:val="002D00D1"/>
    <w:rsid w:val="002D24C0"/>
    <w:rsid w:val="002D4E1C"/>
    <w:rsid w:val="002D6DD5"/>
    <w:rsid w:val="002D7516"/>
    <w:rsid w:val="002E38CB"/>
    <w:rsid w:val="002E526A"/>
    <w:rsid w:val="002F1DAF"/>
    <w:rsid w:val="002F51B6"/>
    <w:rsid w:val="002F5DBB"/>
    <w:rsid w:val="002F6691"/>
    <w:rsid w:val="0030025F"/>
    <w:rsid w:val="003024F7"/>
    <w:rsid w:val="0030334A"/>
    <w:rsid w:val="0030337C"/>
    <w:rsid w:val="00304DAC"/>
    <w:rsid w:val="00315014"/>
    <w:rsid w:val="003159CE"/>
    <w:rsid w:val="00315F92"/>
    <w:rsid w:val="00316133"/>
    <w:rsid w:val="003219F6"/>
    <w:rsid w:val="003242A8"/>
    <w:rsid w:val="00331194"/>
    <w:rsid w:val="00333177"/>
    <w:rsid w:val="00340402"/>
    <w:rsid w:val="00340742"/>
    <w:rsid w:val="00340A24"/>
    <w:rsid w:val="00342C71"/>
    <w:rsid w:val="00344501"/>
    <w:rsid w:val="00345F90"/>
    <w:rsid w:val="003535B4"/>
    <w:rsid w:val="003539D4"/>
    <w:rsid w:val="003558B8"/>
    <w:rsid w:val="003640DF"/>
    <w:rsid w:val="00364232"/>
    <w:rsid w:val="0037528B"/>
    <w:rsid w:val="0037549F"/>
    <w:rsid w:val="00375846"/>
    <w:rsid w:val="00380355"/>
    <w:rsid w:val="003839FD"/>
    <w:rsid w:val="0038551C"/>
    <w:rsid w:val="00387B13"/>
    <w:rsid w:val="003914C4"/>
    <w:rsid w:val="003953B6"/>
    <w:rsid w:val="00396E56"/>
    <w:rsid w:val="003978A7"/>
    <w:rsid w:val="003A0ACC"/>
    <w:rsid w:val="003A26C7"/>
    <w:rsid w:val="003A2FF9"/>
    <w:rsid w:val="003A4ABD"/>
    <w:rsid w:val="003A4EE2"/>
    <w:rsid w:val="003A5DF7"/>
    <w:rsid w:val="003A6E87"/>
    <w:rsid w:val="003A7311"/>
    <w:rsid w:val="003A793E"/>
    <w:rsid w:val="003B299D"/>
    <w:rsid w:val="003B5FFE"/>
    <w:rsid w:val="003B706C"/>
    <w:rsid w:val="003B77F8"/>
    <w:rsid w:val="003B78E1"/>
    <w:rsid w:val="003C0590"/>
    <w:rsid w:val="003C1231"/>
    <w:rsid w:val="003C1AFE"/>
    <w:rsid w:val="003C3A3C"/>
    <w:rsid w:val="003C510D"/>
    <w:rsid w:val="003D1596"/>
    <w:rsid w:val="003D2660"/>
    <w:rsid w:val="003D45D7"/>
    <w:rsid w:val="003D5DAA"/>
    <w:rsid w:val="003D76E7"/>
    <w:rsid w:val="003E0614"/>
    <w:rsid w:val="003E3E18"/>
    <w:rsid w:val="003E4E02"/>
    <w:rsid w:val="003E5450"/>
    <w:rsid w:val="003E6765"/>
    <w:rsid w:val="003E7778"/>
    <w:rsid w:val="003F5D44"/>
    <w:rsid w:val="003F6FC7"/>
    <w:rsid w:val="00402EAB"/>
    <w:rsid w:val="0040577D"/>
    <w:rsid w:val="004125AB"/>
    <w:rsid w:val="004145E1"/>
    <w:rsid w:val="00415FB8"/>
    <w:rsid w:val="0041764D"/>
    <w:rsid w:val="004214CD"/>
    <w:rsid w:val="004216E3"/>
    <w:rsid w:val="00421EBF"/>
    <w:rsid w:val="00422492"/>
    <w:rsid w:val="00424BAE"/>
    <w:rsid w:val="00425BB5"/>
    <w:rsid w:val="00427572"/>
    <w:rsid w:val="004329E6"/>
    <w:rsid w:val="00433A84"/>
    <w:rsid w:val="004340AF"/>
    <w:rsid w:val="0043551A"/>
    <w:rsid w:val="004357A4"/>
    <w:rsid w:val="00436C67"/>
    <w:rsid w:val="00440053"/>
    <w:rsid w:val="00440407"/>
    <w:rsid w:val="00442EDB"/>
    <w:rsid w:val="00443074"/>
    <w:rsid w:val="00444BA6"/>
    <w:rsid w:val="00445015"/>
    <w:rsid w:val="004456F4"/>
    <w:rsid w:val="00445D2F"/>
    <w:rsid w:val="00450559"/>
    <w:rsid w:val="00451469"/>
    <w:rsid w:val="004603D0"/>
    <w:rsid w:val="00462B5D"/>
    <w:rsid w:val="00464F88"/>
    <w:rsid w:val="00466C22"/>
    <w:rsid w:val="00467666"/>
    <w:rsid w:val="0047159F"/>
    <w:rsid w:val="00472442"/>
    <w:rsid w:val="004733A2"/>
    <w:rsid w:val="004733A9"/>
    <w:rsid w:val="004851D4"/>
    <w:rsid w:val="00485FFE"/>
    <w:rsid w:val="00491A1E"/>
    <w:rsid w:val="004925DE"/>
    <w:rsid w:val="00496BB6"/>
    <w:rsid w:val="004A0FC1"/>
    <w:rsid w:val="004A1EB5"/>
    <w:rsid w:val="004A3793"/>
    <w:rsid w:val="004A3B3F"/>
    <w:rsid w:val="004A3E0B"/>
    <w:rsid w:val="004A4260"/>
    <w:rsid w:val="004B140F"/>
    <w:rsid w:val="004B2CB3"/>
    <w:rsid w:val="004B6A28"/>
    <w:rsid w:val="004B720A"/>
    <w:rsid w:val="004C0578"/>
    <w:rsid w:val="004D6F51"/>
    <w:rsid w:val="004E0AC5"/>
    <w:rsid w:val="004E0F22"/>
    <w:rsid w:val="004E26C4"/>
    <w:rsid w:val="004F4450"/>
    <w:rsid w:val="00500620"/>
    <w:rsid w:val="005017EE"/>
    <w:rsid w:val="00503D07"/>
    <w:rsid w:val="005047AE"/>
    <w:rsid w:val="00511D04"/>
    <w:rsid w:val="00516CFA"/>
    <w:rsid w:val="00517995"/>
    <w:rsid w:val="00520BAF"/>
    <w:rsid w:val="00523814"/>
    <w:rsid w:val="005251A6"/>
    <w:rsid w:val="00525C55"/>
    <w:rsid w:val="00526AE0"/>
    <w:rsid w:val="005305A3"/>
    <w:rsid w:val="00532209"/>
    <w:rsid w:val="00536E62"/>
    <w:rsid w:val="00541054"/>
    <w:rsid w:val="00542475"/>
    <w:rsid w:val="00542986"/>
    <w:rsid w:val="005446C4"/>
    <w:rsid w:val="00546071"/>
    <w:rsid w:val="0054767A"/>
    <w:rsid w:val="00550CA6"/>
    <w:rsid w:val="00553123"/>
    <w:rsid w:val="00553479"/>
    <w:rsid w:val="00553BFE"/>
    <w:rsid w:val="0055496A"/>
    <w:rsid w:val="005562D7"/>
    <w:rsid w:val="005570C7"/>
    <w:rsid w:val="00557676"/>
    <w:rsid w:val="00563557"/>
    <w:rsid w:val="00564154"/>
    <w:rsid w:val="0056475E"/>
    <w:rsid w:val="00564EC4"/>
    <w:rsid w:val="0056645D"/>
    <w:rsid w:val="005664C5"/>
    <w:rsid w:val="005676ED"/>
    <w:rsid w:val="00573873"/>
    <w:rsid w:val="0057538A"/>
    <w:rsid w:val="00576248"/>
    <w:rsid w:val="005818A2"/>
    <w:rsid w:val="0058489C"/>
    <w:rsid w:val="00587F61"/>
    <w:rsid w:val="00591989"/>
    <w:rsid w:val="00592348"/>
    <w:rsid w:val="00594074"/>
    <w:rsid w:val="0059529F"/>
    <w:rsid w:val="005A18F5"/>
    <w:rsid w:val="005A354F"/>
    <w:rsid w:val="005A415B"/>
    <w:rsid w:val="005B0DDB"/>
    <w:rsid w:val="005B6BD2"/>
    <w:rsid w:val="005C1B41"/>
    <w:rsid w:val="005C37BB"/>
    <w:rsid w:val="005D382F"/>
    <w:rsid w:val="005D50ED"/>
    <w:rsid w:val="005D576B"/>
    <w:rsid w:val="005D5CF9"/>
    <w:rsid w:val="005D7798"/>
    <w:rsid w:val="005E1314"/>
    <w:rsid w:val="005E793D"/>
    <w:rsid w:val="005F2761"/>
    <w:rsid w:val="005F7B20"/>
    <w:rsid w:val="006015CE"/>
    <w:rsid w:val="00601D68"/>
    <w:rsid w:val="006020EC"/>
    <w:rsid w:val="0060713A"/>
    <w:rsid w:val="00613D22"/>
    <w:rsid w:val="00620FD2"/>
    <w:rsid w:val="006226B8"/>
    <w:rsid w:val="00622C8C"/>
    <w:rsid w:val="0062349A"/>
    <w:rsid w:val="00627364"/>
    <w:rsid w:val="006334B8"/>
    <w:rsid w:val="0064055B"/>
    <w:rsid w:val="00642652"/>
    <w:rsid w:val="00643FCF"/>
    <w:rsid w:val="00645616"/>
    <w:rsid w:val="0064711C"/>
    <w:rsid w:val="006505D6"/>
    <w:rsid w:val="00650B02"/>
    <w:rsid w:val="00653FCB"/>
    <w:rsid w:val="006549D5"/>
    <w:rsid w:val="006570C0"/>
    <w:rsid w:val="006616A4"/>
    <w:rsid w:val="00662205"/>
    <w:rsid w:val="0066229C"/>
    <w:rsid w:val="006627DE"/>
    <w:rsid w:val="00665191"/>
    <w:rsid w:val="00667FF5"/>
    <w:rsid w:val="0067050C"/>
    <w:rsid w:val="006764CC"/>
    <w:rsid w:val="00676695"/>
    <w:rsid w:val="006838A5"/>
    <w:rsid w:val="006858C6"/>
    <w:rsid w:val="00686065"/>
    <w:rsid w:val="00687C7F"/>
    <w:rsid w:val="00691BEA"/>
    <w:rsid w:val="006923C4"/>
    <w:rsid w:val="00692586"/>
    <w:rsid w:val="00693ACC"/>
    <w:rsid w:val="00693DB2"/>
    <w:rsid w:val="00694653"/>
    <w:rsid w:val="0069624F"/>
    <w:rsid w:val="006963EC"/>
    <w:rsid w:val="00696992"/>
    <w:rsid w:val="006A2773"/>
    <w:rsid w:val="006A4631"/>
    <w:rsid w:val="006B2049"/>
    <w:rsid w:val="006B44AD"/>
    <w:rsid w:val="006B66C3"/>
    <w:rsid w:val="006B7537"/>
    <w:rsid w:val="006B7C0A"/>
    <w:rsid w:val="006C1152"/>
    <w:rsid w:val="006C1575"/>
    <w:rsid w:val="006C1775"/>
    <w:rsid w:val="006C42BD"/>
    <w:rsid w:val="006C5FEF"/>
    <w:rsid w:val="006D1D57"/>
    <w:rsid w:val="006D2132"/>
    <w:rsid w:val="006D3B54"/>
    <w:rsid w:val="006D5B3D"/>
    <w:rsid w:val="006E01B0"/>
    <w:rsid w:val="006E51D3"/>
    <w:rsid w:val="006F0C16"/>
    <w:rsid w:val="006F65C4"/>
    <w:rsid w:val="006F7B8D"/>
    <w:rsid w:val="006F7BC0"/>
    <w:rsid w:val="00701836"/>
    <w:rsid w:val="00702BCA"/>
    <w:rsid w:val="007038F0"/>
    <w:rsid w:val="00704331"/>
    <w:rsid w:val="007044E8"/>
    <w:rsid w:val="00704D2B"/>
    <w:rsid w:val="00707476"/>
    <w:rsid w:val="007102F1"/>
    <w:rsid w:val="00711065"/>
    <w:rsid w:val="007137C1"/>
    <w:rsid w:val="00713BE9"/>
    <w:rsid w:val="007160F5"/>
    <w:rsid w:val="00716F68"/>
    <w:rsid w:val="00721435"/>
    <w:rsid w:val="00723B65"/>
    <w:rsid w:val="00724382"/>
    <w:rsid w:val="007250FB"/>
    <w:rsid w:val="00732213"/>
    <w:rsid w:val="00733E27"/>
    <w:rsid w:val="00741D84"/>
    <w:rsid w:val="00742263"/>
    <w:rsid w:val="00746438"/>
    <w:rsid w:val="00747424"/>
    <w:rsid w:val="00747D18"/>
    <w:rsid w:val="007525BB"/>
    <w:rsid w:val="00752B68"/>
    <w:rsid w:val="00753C20"/>
    <w:rsid w:val="00754303"/>
    <w:rsid w:val="00755359"/>
    <w:rsid w:val="00757DF2"/>
    <w:rsid w:val="00761013"/>
    <w:rsid w:val="007631C7"/>
    <w:rsid w:val="00763289"/>
    <w:rsid w:val="00764C62"/>
    <w:rsid w:val="00766065"/>
    <w:rsid w:val="0076618D"/>
    <w:rsid w:val="007675CC"/>
    <w:rsid w:val="007770C9"/>
    <w:rsid w:val="00777EA8"/>
    <w:rsid w:val="007810CC"/>
    <w:rsid w:val="007817C6"/>
    <w:rsid w:val="00783317"/>
    <w:rsid w:val="00785AAF"/>
    <w:rsid w:val="00786600"/>
    <w:rsid w:val="0078784D"/>
    <w:rsid w:val="00791588"/>
    <w:rsid w:val="00791617"/>
    <w:rsid w:val="00792509"/>
    <w:rsid w:val="00793B4B"/>
    <w:rsid w:val="00794C78"/>
    <w:rsid w:val="0079733E"/>
    <w:rsid w:val="007974FF"/>
    <w:rsid w:val="007A3D7B"/>
    <w:rsid w:val="007A474F"/>
    <w:rsid w:val="007B1968"/>
    <w:rsid w:val="007B229C"/>
    <w:rsid w:val="007B329D"/>
    <w:rsid w:val="007B37E9"/>
    <w:rsid w:val="007B48AE"/>
    <w:rsid w:val="007C2F29"/>
    <w:rsid w:val="007D288F"/>
    <w:rsid w:val="007D34F9"/>
    <w:rsid w:val="007E15DA"/>
    <w:rsid w:val="007E2267"/>
    <w:rsid w:val="007E3A32"/>
    <w:rsid w:val="007E667D"/>
    <w:rsid w:val="007F0507"/>
    <w:rsid w:val="007F2B02"/>
    <w:rsid w:val="007F6733"/>
    <w:rsid w:val="0080009C"/>
    <w:rsid w:val="0080307A"/>
    <w:rsid w:val="00803E11"/>
    <w:rsid w:val="008057FA"/>
    <w:rsid w:val="00805846"/>
    <w:rsid w:val="00806963"/>
    <w:rsid w:val="00806A11"/>
    <w:rsid w:val="00812641"/>
    <w:rsid w:val="00821369"/>
    <w:rsid w:val="00822914"/>
    <w:rsid w:val="00823932"/>
    <w:rsid w:val="0083477D"/>
    <w:rsid w:val="00840D92"/>
    <w:rsid w:val="008420E2"/>
    <w:rsid w:val="00842734"/>
    <w:rsid w:val="008437FA"/>
    <w:rsid w:val="00845158"/>
    <w:rsid w:val="00850120"/>
    <w:rsid w:val="00850B1D"/>
    <w:rsid w:val="00850F6E"/>
    <w:rsid w:val="008510C0"/>
    <w:rsid w:val="00851131"/>
    <w:rsid w:val="00854D0B"/>
    <w:rsid w:val="00857C08"/>
    <w:rsid w:val="008634FF"/>
    <w:rsid w:val="008644C2"/>
    <w:rsid w:val="008645EC"/>
    <w:rsid w:val="008661E8"/>
    <w:rsid w:val="00872823"/>
    <w:rsid w:val="0087408C"/>
    <w:rsid w:val="008813A9"/>
    <w:rsid w:val="0088158A"/>
    <w:rsid w:val="0088281E"/>
    <w:rsid w:val="0088327E"/>
    <w:rsid w:val="0088361E"/>
    <w:rsid w:val="008843FC"/>
    <w:rsid w:val="00891E38"/>
    <w:rsid w:val="008921EE"/>
    <w:rsid w:val="0089311F"/>
    <w:rsid w:val="008A3774"/>
    <w:rsid w:val="008A4D50"/>
    <w:rsid w:val="008A5914"/>
    <w:rsid w:val="008A6EAD"/>
    <w:rsid w:val="008B0E20"/>
    <w:rsid w:val="008B13E5"/>
    <w:rsid w:val="008B207D"/>
    <w:rsid w:val="008B3F0F"/>
    <w:rsid w:val="008B4560"/>
    <w:rsid w:val="008C04D6"/>
    <w:rsid w:val="008C4CEA"/>
    <w:rsid w:val="008C4F3E"/>
    <w:rsid w:val="008D24FB"/>
    <w:rsid w:val="008D5D15"/>
    <w:rsid w:val="008E2647"/>
    <w:rsid w:val="008E4202"/>
    <w:rsid w:val="008E4B02"/>
    <w:rsid w:val="008E6514"/>
    <w:rsid w:val="008F4D31"/>
    <w:rsid w:val="008F5D77"/>
    <w:rsid w:val="008F778F"/>
    <w:rsid w:val="008F7FE7"/>
    <w:rsid w:val="0090499F"/>
    <w:rsid w:val="009061EF"/>
    <w:rsid w:val="00907274"/>
    <w:rsid w:val="00910296"/>
    <w:rsid w:val="009138AC"/>
    <w:rsid w:val="009161D4"/>
    <w:rsid w:val="00923A3C"/>
    <w:rsid w:val="00925836"/>
    <w:rsid w:val="00925847"/>
    <w:rsid w:val="0093022B"/>
    <w:rsid w:val="00930498"/>
    <w:rsid w:val="009317CC"/>
    <w:rsid w:val="00933FE2"/>
    <w:rsid w:val="0093511F"/>
    <w:rsid w:val="00936F25"/>
    <w:rsid w:val="00940729"/>
    <w:rsid w:val="009407E4"/>
    <w:rsid w:val="009461B3"/>
    <w:rsid w:val="009504CB"/>
    <w:rsid w:val="009512B1"/>
    <w:rsid w:val="00951764"/>
    <w:rsid w:val="00951AD0"/>
    <w:rsid w:val="0095662A"/>
    <w:rsid w:val="00957C49"/>
    <w:rsid w:val="00962D2B"/>
    <w:rsid w:val="00964813"/>
    <w:rsid w:val="00964900"/>
    <w:rsid w:val="0096659C"/>
    <w:rsid w:val="00966EF5"/>
    <w:rsid w:val="00970141"/>
    <w:rsid w:val="009752C6"/>
    <w:rsid w:val="00976E9D"/>
    <w:rsid w:val="0098129C"/>
    <w:rsid w:val="009A3E17"/>
    <w:rsid w:val="009A4354"/>
    <w:rsid w:val="009A51B1"/>
    <w:rsid w:val="009A5AA4"/>
    <w:rsid w:val="009B43EE"/>
    <w:rsid w:val="009B74BB"/>
    <w:rsid w:val="009B77AF"/>
    <w:rsid w:val="009C35E5"/>
    <w:rsid w:val="009C6303"/>
    <w:rsid w:val="009C64E6"/>
    <w:rsid w:val="009D2EBF"/>
    <w:rsid w:val="009D358B"/>
    <w:rsid w:val="009D3597"/>
    <w:rsid w:val="009D6408"/>
    <w:rsid w:val="009D672B"/>
    <w:rsid w:val="009D6A50"/>
    <w:rsid w:val="009D7C60"/>
    <w:rsid w:val="009E1AEA"/>
    <w:rsid w:val="009E50D2"/>
    <w:rsid w:val="009F2345"/>
    <w:rsid w:val="00A00C0F"/>
    <w:rsid w:val="00A05A0D"/>
    <w:rsid w:val="00A06E46"/>
    <w:rsid w:val="00A07E6B"/>
    <w:rsid w:val="00A10399"/>
    <w:rsid w:val="00A12164"/>
    <w:rsid w:val="00A1444D"/>
    <w:rsid w:val="00A147E2"/>
    <w:rsid w:val="00A2277F"/>
    <w:rsid w:val="00A227DF"/>
    <w:rsid w:val="00A231B1"/>
    <w:rsid w:val="00A24418"/>
    <w:rsid w:val="00A24CBB"/>
    <w:rsid w:val="00A326E3"/>
    <w:rsid w:val="00A33A46"/>
    <w:rsid w:val="00A33FC3"/>
    <w:rsid w:val="00A34188"/>
    <w:rsid w:val="00A35510"/>
    <w:rsid w:val="00A4711D"/>
    <w:rsid w:val="00A47DAE"/>
    <w:rsid w:val="00A50307"/>
    <w:rsid w:val="00A5437A"/>
    <w:rsid w:val="00A56F0D"/>
    <w:rsid w:val="00A57B15"/>
    <w:rsid w:val="00A57D99"/>
    <w:rsid w:val="00A6183F"/>
    <w:rsid w:val="00A62999"/>
    <w:rsid w:val="00A665D1"/>
    <w:rsid w:val="00A67C14"/>
    <w:rsid w:val="00A7143E"/>
    <w:rsid w:val="00A7348E"/>
    <w:rsid w:val="00A81C2D"/>
    <w:rsid w:val="00A82267"/>
    <w:rsid w:val="00A85636"/>
    <w:rsid w:val="00A90254"/>
    <w:rsid w:val="00A91FFB"/>
    <w:rsid w:val="00A94A56"/>
    <w:rsid w:val="00A95979"/>
    <w:rsid w:val="00A96D9D"/>
    <w:rsid w:val="00AA1D2F"/>
    <w:rsid w:val="00AA6982"/>
    <w:rsid w:val="00AB00F1"/>
    <w:rsid w:val="00AB0E2C"/>
    <w:rsid w:val="00AB30CE"/>
    <w:rsid w:val="00AB37CD"/>
    <w:rsid w:val="00AB38E7"/>
    <w:rsid w:val="00AB4529"/>
    <w:rsid w:val="00AB530F"/>
    <w:rsid w:val="00AB5B25"/>
    <w:rsid w:val="00AC1DF2"/>
    <w:rsid w:val="00AC35BE"/>
    <w:rsid w:val="00AD3BD7"/>
    <w:rsid w:val="00AD3F54"/>
    <w:rsid w:val="00AD5417"/>
    <w:rsid w:val="00AD5CA9"/>
    <w:rsid w:val="00AD5F9F"/>
    <w:rsid w:val="00AD71B2"/>
    <w:rsid w:val="00AE0996"/>
    <w:rsid w:val="00AE24E0"/>
    <w:rsid w:val="00AE5BD6"/>
    <w:rsid w:val="00AE6B76"/>
    <w:rsid w:val="00AE6C2B"/>
    <w:rsid w:val="00AE7D1A"/>
    <w:rsid w:val="00AF0B81"/>
    <w:rsid w:val="00AF100E"/>
    <w:rsid w:val="00AF6471"/>
    <w:rsid w:val="00AF6C9A"/>
    <w:rsid w:val="00AF79E1"/>
    <w:rsid w:val="00B0006B"/>
    <w:rsid w:val="00B10EAC"/>
    <w:rsid w:val="00B115F1"/>
    <w:rsid w:val="00B127FA"/>
    <w:rsid w:val="00B166C7"/>
    <w:rsid w:val="00B206F0"/>
    <w:rsid w:val="00B20D9C"/>
    <w:rsid w:val="00B210ED"/>
    <w:rsid w:val="00B21792"/>
    <w:rsid w:val="00B2477E"/>
    <w:rsid w:val="00B27E59"/>
    <w:rsid w:val="00B30A72"/>
    <w:rsid w:val="00B348DD"/>
    <w:rsid w:val="00B34BB7"/>
    <w:rsid w:val="00B352D2"/>
    <w:rsid w:val="00B35B2B"/>
    <w:rsid w:val="00B52992"/>
    <w:rsid w:val="00B5619F"/>
    <w:rsid w:val="00B57E2E"/>
    <w:rsid w:val="00B633E4"/>
    <w:rsid w:val="00B65C96"/>
    <w:rsid w:val="00B664D0"/>
    <w:rsid w:val="00B71D5C"/>
    <w:rsid w:val="00B736D0"/>
    <w:rsid w:val="00B7449D"/>
    <w:rsid w:val="00B81921"/>
    <w:rsid w:val="00B81928"/>
    <w:rsid w:val="00B8242A"/>
    <w:rsid w:val="00B91B18"/>
    <w:rsid w:val="00B9449A"/>
    <w:rsid w:val="00B94E34"/>
    <w:rsid w:val="00B9638A"/>
    <w:rsid w:val="00BA31C7"/>
    <w:rsid w:val="00BA668E"/>
    <w:rsid w:val="00BA7FB4"/>
    <w:rsid w:val="00BB1BC6"/>
    <w:rsid w:val="00BB26F3"/>
    <w:rsid w:val="00BB2FF8"/>
    <w:rsid w:val="00BB4020"/>
    <w:rsid w:val="00BB52CC"/>
    <w:rsid w:val="00BB6AB2"/>
    <w:rsid w:val="00BB71F6"/>
    <w:rsid w:val="00BC1FA4"/>
    <w:rsid w:val="00BC2B9A"/>
    <w:rsid w:val="00BC4363"/>
    <w:rsid w:val="00BC48DA"/>
    <w:rsid w:val="00BC6255"/>
    <w:rsid w:val="00BC680E"/>
    <w:rsid w:val="00BE0ABF"/>
    <w:rsid w:val="00BE167F"/>
    <w:rsid w:val="00BE20A8"/>
    <w:rsid w:val="00BE3992"/>
    <w:rsid w:val="00BE543D"/>
    <w:rsid w:val="00BF1266"/>
    <w:rsid w:val="00BF224C"/>
    <w:rsid w:val="00BF25B5"/>
    <w:rsid w:val="00BF3BCF"/>
    <w:rsid w:val="00BF7BD4"/>
    <w:rsid w:val="00C029ED"/>
    <w:rsid w:val="00C05F32"/>
    <w:rsid w:val="00C07838"/>
    <w:rsid w:val="00C102D6"/>
    <w:rsid w:val="00C111D9"/>
    <w:rsid w:val="00C131AD"/>
    <w:rsid w:val="00C20AEA"/>
    <w:rsid w:val="00C251C1"/>
    <w:rsid w:val="00C25943"/>
    <w:rsid w:val="00C30CB2"/>
    <w:rsid w:val="00C3165B"/>
    <w:rsid w:val="00C31B19"/>
    <w:rsid w:val="00C367C7"/>
    <w:rsid w:val="00C37E4F"/>
    <w:rsid w:val="00C431D9"/>
    <w:rsid w:val="00C4401B"/>
    <w:rsid w:val="00C46B03"/>
    <w:rsid w:val="00C52F6F"/>
    <w:rsid w:val="00C541FC"/>
    <w:rsid w:val="00C57EA7"/>
    <w:rsid w:val="00C619B4"/>
    <w:rsid w:val="00C62512"/>
    <w:rsid w:val="00C711E8"/>
    <w:rsid w:val="00C727AC"/>
    <w:rsid w:val="00C729FD"/>
    <w:rsid w:val="00C72A1C"/>
    <w:rsid w:val="00C76924"/>
    <w:rsid w:val="00C76E9E"/>
    <w:rsid w:val="00C77A1B"/>
    <w:rsid w:val="00C85C29"/>
    <w:rsid w:val="00C86998"/>
    <w:rsid w:val="00C87034"/>
    <w:rsid w:val="00C8707C"/>
    <w:rsid w:val="00C876F7"/>
    <w:rsid w:val="00C87E51"/>
    <w:rsid w:val="00C906BB"/>
    <w:rsid w:val="00C94EE9"/>
    <w:rsid w:val="00C979F8"/>
    <w:rsid w:val="00CA07D6"/>
    <w:rsid w:val="00CA1144"/>
    <w:rsid w:val="00CA2093"/>
    <w:rsid w:val="00CA3872"/>
    <w:rsid w:val="00CB018D"/>
    <w:rsid w:val="00CB434D"/>
    <w:rsid w:val="00CC02D6"/>
    <w:rsid w:val="00CC6B61"/>
    <w:rsid w:val="00CD1433"/>
    <w:rsid w:val="00CD2C66"/>
    <w:rsid w:val="00CD2ECB"/>
    <w:rsid w:val="00CD416C"/>
    <w:rsid w:val="00CD42AC"/>
    <w:rsid w:val="00CD49B9"/>
    <w:rsid w:val="00CD5449"/>
    <w:rsid w:val="00CD5849"/>
    <w:rsid w:val="00CD5B9B"/>
    <w:rsid w:val="00CD7774"/>
    <w:rsid w:val="00CE0D35"/>
    <w:rsid w:val="00CE24DC"/>
    <w:rsid w:val="00CE2781"/>
    <w:rsid w:val="00CE3771"/>
    <w:rsid w:val="00CE4A08"/>
    <w:rsid w:val="00CE6E06"/>
    <w:rsid w:val="00CF2BA6"/>
    <w:rsid w:val="00CF6899"/>
    <w:rsid w:val="00D031D1"/>
    <w:rsid w:val="00D0512D"/>
    <w:rsid w:val="00D06F0D"/>
    <w:rsid w:val="00D10D36"/>
    <w:rsid w:val="00D10DE4"/>
    <w:rsid w:val="00D115E5"/>
    <w:rsid w:val="00D21BD3"/>
    <w:rsid w:val="00D22750"/>
    <w:rsid w:val="00D275A4"/>
    <w:rsid w:val="00D31165"/>
    <w:rsid w:val="00D32492"/>
    <w:rsid w:val="00D43476"/>
    <w:rsid w:val="00D5209F"/>
    <w:rsid w:val="00D520A3"/>
    <w:rsid w:val="00D520D3"/>
    <w:rsid w:val="00D535BD"/>
    <w:rsid w:val="00D55112"/>
    <w:rsid w:val="00D609E5"/>
    <w:rsid w:val="00D64A88"/>
    <w:rsid w:val="00D65530"/>
    <w:rsid w:val="00D707FC"/>
    <w:rsid w:val="00D72B5B"/>
    <w:rsid w:val="00D75489"/>
    <w:rsid w:val="00D772EC"/>
    <w:rsid w:val="00D817A6"/>
    <w:rsid w:val="00D81B84"/>
    <w:rsid w:val="00D84DB3"/>
    <w:rsid w:val="00D84FBE"/>
    <w:rsid w:val="00D856A9"/>
    <w:rsid w:val="00D87B6A"/>
    <w:rsid w:val="00D925D9"/>
    <w:rsid w:val="00D948E4"/>
    <w:rsid w:val="00D95E2B"/>
    <w:rsid w:val="00DA1A3F"/>
    <w:rsid w:val="00DA213E"/>
    <w:rsid w:val="00DA3AD5"/>
    <w:rsid w:val="00DA3F89"/>
    <w:rsid w:val="00DA4897"/>
    <w:rsid w:val="00DA55A7"/>
    <w:rsid w:val="00DA6BEB"/>
    <w:rsid w:val="00DA6DF5"/>
    <w:rsid w:val="00DA6FFD"/>
    <w:rsid w:val="00DA792E"/>
    <w:rsid w:val="00DA7EC0"/>
    <w:rsid w:val="00DB042C"/>
    <w:rsid w:val="00DB3BA2"/>
    <w:rsid w:val="00DB6EE0"/>
    <w:rsid w:val="00DC482E"/>
    <w:rsid w:val="00DD4C8C"/>
    <w:rsid w:val="00DD53B2"/>
    <w:rsid w:val="00DE16B9"/>
    <w:rsid w:val="00DE315F"/>
    <w:rsid w:val="00DE5483"/>
    <w:rsid w:val="00DE57DC"/>
    <w:rsid w:val="00DE7037"/>
    <w:rsid w:val="00DE7893"/>
    <w:rsid w:val="00DF14E6"/>
    <w:rsid w:val="00DF2489"/>
    <w:rsid w:val="00DF7CAC"/>
    <w:rsid w:val="00E02810"/>
    <w:rsid w:val="00E0340C"/>
    <w:rsid w:val="00E053A0"/>
    <w:rsid w:val="00E06F7F"/>
    <w:rsid w:val="00E07F6F"/>
    <w:rsid w:val="00E10049"/>
    <w:rsid w:val="00E12527"/>
    <w:rsid w:val="00E14F8C"/>
    <w:rsid w:val="00E15C7C"/>
    <w:rsid w:val="00E16E69"/>
    <w:rsid w:val="00E24791"/>
    <w:rsid w:val="00E247C2"/>
    <w:rsid w:val="00E2528F"/>
    <w:rsid w:val="00E25616"/>
    <w:rsid w:val="00E26DDA"/>
    <w:rsid w:val="00E27C5C"/>
    <w:rsid w:val="00E34110"/>
    <w:rsid w:val="00E377B2"/>
    <w:rsid w:val="00E37DF4"/>
    <w:rsid w:val="00E45C0C"/>
    <w:rsid w:val="00E50523"/>
    <w:rsid w:val="00E5129C"/>
    <w:rsid w:val="00E51A18"/>
    <w:rsid w:val="00E539B7"/>
    <w:rsid w:val="00E558BD"/>
    <w:rsid w:val="00E55F21"/>
    <w:rsid w:val="00E62C30"/>
    <w:rsid w:val="00E64203"/>
    <w:rsid w:val="00E676FB"/>
    <w:rsid w:val="00E736E3"/>
    <w:rsid w:val="00E76831"/>
    <w:rsid w:val="00E80C57"/>
    <w:rsid w:val="00E81062"/>
    <w:rsid w:val="00E8252C"/>
    <w:rsid w:val="00E82E67"/>
    <w:rsid w:val="00E8546F"/>
    <w:rsid w:val="00E8551B"/>
    <w:rsid w:val="00E85B86"/>
    <w:rsid w:val="00E86E84"/>
    <w:rsid w:val="00E97018"/>
    <w:rsid w:val="00E972A7"/>
    <w:rsid w:val="00EA1963"/>
    <w:rsid w:val="00EA2D8D"/>
    <w:rsid w:val="00EA495A"/>
    <w:rsid w:val="00EA6320"/>
    <w:rsid w:val="00EA645D"/>
    <w:rsid w:val="00EB13F7"/>
    <w:rsid w:val="00EB2A30"/>
    <w:rsid w:val="00EB7C01"/>
    <w:rsid w:val="00EB7D23"/>
    <w:rsid w:val="00EB7FEF"/>
    <w:rsid w:val="00EC1393"/>
    <w:rsid w:val="00EC58B1"/>
    <w:rsid w:val="00EC78E0"/>
    <w:rsid w:val="00ED3365"/>
    <w:rsid w:val="00ED3CD6"/>
    <w:rsid w:val="00ED6FEF"/>
    <w:rsid w:val="00EE0679"/>
    <w:rsid w:val="00EE2025"/>
    <w:rsid w:val="00EE33D3"/>
    <w:rsid w:val="00EE5B97"/>
    <w:rsid w:val="00EF6B2D"/>
    <w:rsid w:val="00EF6D39"/>
    <w:rsid w:val="00EF7CA6"/>
    <w:rsid w:val="00F00B82"/>
    <w:rsid w:val="00F0297D"/>
    <w:rsid w:val="00F052F2"/>
    <w:rsid w:val="00F07D88"/>
    <w:rsid w:val="00F107E9"/>
    <w:rsid w:val="00F10F1A"/>
    <w:rsid w:val="00F12766"/>
    <w:rsid w:val="00F12FC6"/>
    <w:rsid w:val="00F130DB"/>
    <w:rsid w:val="00F134DE"/>
    <w:rsid w:val="00F143E2"/>
    <w:rsid w:val="00F23581"/>
    <w:rsid w:val="00F236F5"/>
    <w:rsid w:val="00F248A9"/>
    <w:rsid w:val="00F319F2"/>
    <w:rsid w:val="00F32DEF"/>
    <w:rsid w:val="00F332FB"/>
    <w:rsid w:val="00F33A69"/>
    <w:rsid w:val="00F379B7"/>
    <w:rsid w:val="00F43290"/>
    <w:rsid w:val="00F44E11"/>
    <w:rsid w:val="00F45EB4"/>
    <w:rsid w:val="00F47542"/>
    <w:rsid w:val="00F51E5E"/>
    <w:rsid w:val="00F53417"/>
    <w:rsid w:val="00F53AA6"/>
    <w:rsid w:val="00F541D6"/>
    <w:rsid w:val="00F54EA7"/>
    <w:rsid w:val="00F57884"/>
    <w:rsid w:val="00F62792"/>
    <w:rsid w:val="00F662A5"/>
    <w:rsid w:val="00F66DF0"/>
    <w:rsid w:val="00F73232"/>
    <w:rsid w:val="00F74B45"/>
    <w:rsid w:val="00F7538D"/>
    <w:rsid w:val="00F840AB"/>
    <w:rsid w:val="00F8600D"/>
    <w:rsid w:val="00F927EF"/>
    <w:rsid w:val="00F94D09"/>
    <w:rsid w:val="00F94D5E"/>
    <w:rsid w:val="00F95DCB"/>
    <w:rsid w:val="00F97CCC"/>
    <w:rsid w:val="00FA30E7"/>
    <w:rsid w:val="00FA3614"/>
    <w:rsid w:val="00FA3875"/>
    <w:rsid w:val="00FA446C"/>
    <w:rsid w:val="00FA7D5F"/>
    <w:rsid w:val="00FB0903"/>
    <w:rsid w:val="00FB1200"/>
    <w:rsid w:val="00FB213D"/>
    <w:rsid w:val="00FB2D68"/>
    <w:rsid w:val="00FB3211"/>
    <w:rsid w:val="00FB56A5"/>
    <w:rsid w:val="00FB59A6"/>
    <w:rsid w:val="00FC03AF"/>
    <w:rsid w:val="00FC2BBB"/>
    <w:rsid w:val="00FC35CF"/>
    <w:rsid w:val="00FC370A"/>
    <w:rsid w:val="00FC482D"/>
    <w:rsid w:val="00FC4C89"/>
    <w:rsid w:val="00FC5E16"/>
    <w:rsid w:val="00FC7854"/>
    <w:rsid w:val="00FD0B9D"/>
    <w:rsid w:val="00FD1453"/>
    <w:rsid w:val="00FD5774"/>
    <w:rsid w:val="00FD5985"/>
    <w:rsid w:val="00FE2CE3"/>
    <w:rsid w:val="00FE2E8F"/>
    <w:rsid w:val="00FE469C"/>
    <w:rsid w:val="00FE6997"/>
    <w:rsid w:val="00FF034C"/>
    <w:rsid w:val="00FF0496"/>
    <w:rsid w:val="00FF214B"/>
    <w:rsid w:val="00FF2AB4"/>
    <w:rsid w:val="00FF4441"/>
    <w:rsid w:val="00FF78F6"/>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2E88"/>
  <w15:docId w15:val="{A5C17EE6-5A92-418B-BBB6-7C75D082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489"/>
    <w:pPr>
      <w:spacing w:after="120"/>
      <w:jc w:val="both"/>
    </w:pPr>
    <w:rPr>
      <w:rFonts w:ascii="Verdana" w:hAnsi="Verdana" w:cs="Times"/>
      <w:szCs w:val="24"/>
      <w:lang w:val="es-419" w:eastAsia="es-ES"/>
    </w:rPr>
  </w:style>
  <w:style w:type="paragraph" w:styleId="Ttulo1">
    <w:name w:val="heading 1"/>
    <w:basedOn w:val="Normal"/>
    <w:next w:val="Normal"/>
    <w:link w:val="Ttulo1Car"/>
    <w:uiPriority w:val="9"/>
    <w:qFormat/>
    <w:rsid w:val="005D5CF9"/>
    <w:pPr>
      <w:keepNext/>
      <w:spacing w:before="240" w:after="60" w:line="276" w:lineRule="auto"/>
      <w:jc w:val="center"/>
      <w:outlineLvl w:val="0"/>
    </w:pPr>
    <w:rPr>
      <w:rFonts w:ascii="Verdana Bold" w:eastAsia="Times New Roman" w:hAnsi="Verdana Bold"/>
      <w:b/>
      <w:bCs/>
      <w:caps/>
      <w:kern w:val="32"/>
      <w:szCs w:val="32"/>
    </w:rPr>
  </w:style>
  <w:style w:type="paragraph" w:styleId="Ttulo2">
    <w:name w:val="heading 2"/>
    <w:basedOn w:val="Normal"/>
    <w:next w:val="Normal"/>
    <w:link w:val="Ttulo2Car"/>
    <w:uiPriority w:val="9"/>
    <w:unhideWhenUsed/>
    <w:qFormat/>
    <w:rsid w:val="005D5CF9"/>
    <w:pPr>
      <w:keepNext/>
      <w:spacing w:before="240" w:after="60" w:line="276" w:lineRule="auto"/>
      <w:outlineLvl w:val="1"/>
    </w:pPr>
    <w:rPr>
      <w:rFonts w:eastAsia="Times New Roman"/>
      <w:b/>
      <w:bCs/>
      <w:i/>
      <w:iCs/>
      <w:szCs w:val="28"/>
    </w:rPr>
  </w:style>
  <w:style w:type="paragraph" w:styleId="Ttulo3">
    <w:name w:val="heading 3"/>
    <w:basedOn w:val="Normal"/>
    <w:next w:val="Normal"/>
    <w:link w:val="Ttulo3Car"/>
    <w:uiPriority w:val="9"/>
    <w:semiHidden/>
    <w:unhideWhenUsed/>
    <w:qFormat/>
    <w:rsid w:val="005D5CF9"/>
    <w:pPr>
      <w:keepNext/>
      <w:spacing w:before="240" w:after="60" w:line="276" w:lineRule="auto"/>
      <w:outlineLvl w:val="2"/>
    </w:pPr>
    <w:rPr>
      <w:rFonts w:ascii="Cambria" w:eastAsia="Times New Roman" w:hAnsi="Cambria"/>
      <w:b/>
      <w:bCs/>
      <w:sz w:val="26"/>
      <w:szCs w:val="26"/>
    </w:rPr>
  </w:style>
  <w:style w:type="paragraph" w:styleId="Ttulo5">
    <w:name w:val="heading 5"/>
    <w:basedOn w:val="Normal"/>
    <w:next w:val="Normal"/>
    <w:link w:val="Ttulo5Car"/>
    <w:qFormat/>
    <w:rsid w:val="005D5CF9"/>
    <w:pPr>
      <w:spacing w:before="240" w:after="60"/>
      <w:outlineLvl w:val="4"/>
    </w:pPr>
    <w:rPr>
      <w:rFonts w:eastAsia="Times New Roman"/>
      <w:b/>
      <w:i/>
      <w:szCs w:val="26"/>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delibro">
    <w:name w:val="Título de libro"/>
    <w:uiPriority w:val="33"/>
    <w:qFormat/>
    <w:rsid w:val="005D5CF9"/>
    <w:rPr>
      <w:b/>
      <w:bCs/>
      <w:smallCaps/>
      <w:spacing w:val="5"/>
    </w:rPr>
  </w:style>
  <w:style w:type="paragraph" w:customStyle="1" w:styleId="Estilo1">
    <w:name w:val="Estilo1"/>
    <w:basedOn w:val="Normal"/>
    <w:link w:val="Estilo1Car"/>
    <w:qFormat/>
    <w:rsid w:val="005D5CF9"/>
    <w:pPr>
      <w:ind w:left="2018" w:right="6" w:hanging="180"/>
    </w:pPr>
    <w:rPr>
      <w:rFonts w:eastAsia="Batang"/>
      <w:i/>
      <w:noProof/>
      <w:lang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5D5CF9"/>
    <w:rPr>
      <w:rFonts w:ascii="Verdana Bold" w:eastAsia="Times New Roman" w:hAnsi="Verdana Bold"/>
      <w:b/>
      <w:bCs/>
      <w:caps/>
      <w:kern w:val="32"/>
      <w:szCs w:val="32"/>
    </w:rPr>
  </w:style>
  <w:style w:type="character" w:customStyle="1" w:styleId="Ttulo2Car">
    <w:name w:val="Título 2 Car"/>
    <w:link w:val="Ttulo2"/>
    <w:uiPriority w:val="9"/>
    <w:rsid w:val="005D5CF9"/>
    <w:rPr>
      <w:rFonts w:ascii="Verdana" w:eastAsia="Times New Roman" w:hAnsi="Verdana"/>
      <w:b/>
      <w:bCs/>
      <w:i/>
      <w:iCs/>
      <w:szCs w:val="28"/>
    </w:rPr>
  </w:style>
  <w:style w:type="character" w:customStyle="1" w:styleId="Ttulo3Car">
    <w:name w:val="Título 3 Car"/>
    <w:link w:val="Ttulo3"/>
    <w:uiPriority w:val="9"/>
    <w:semiHidden/>
    <w:rsid w:val="005D5CF9"/>
    <w:rPr>
      <w:rFonts w:ascii="Cambria" w:eastAsia="Times New Roman" w:hAnsi="Cambria"/>
      <w:b/>
      <w:bCs/>
      <w:sz w:val="26"/>
      <w:szCs w:val="26"/>
    </w:rPr>
  </w:style>
  <w:style w:type="character" w:customStyle="1" w:styleId="Ttulo5Car">
    <w:name w:val="Título 5 Car"/>
    <w:link w:val="Ttulo5"/>
    <w:rsid w:val="005D5CF9"/>
    <w:rPr>
      <w:rFonts w:ascii="Verdana" w:eastAsia="Times New Roman" w:hAnsi="Verdana"/>
      <w:b/>
      <w:i/>
      <w:szCs w:val="26"/>
      <w:lang w:eastAsia="x-none"/>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lang w:val="es-MX"/>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99"/>
    <w:qFormat/>
    <w:rsid w:val="005D5CF9"/>
    <w:pPr>
      <w:spacing w:before="60" w:after="60"/>
      <w:jc w:val="center"/>
    </w:pPr>
    <w:rPr>
      <w:rFonts w:eastAsia="Times New Roman"/>
      <w:b/>
      <w:lang w:eastAsia="en-US"/>
    </w:rPr>
  </w:style>
  <w:style w:type="character" w:customStyle="1" w:styleId="TtuloCar">
    <w:name w:val="Título Car"/>
    <w:link w:val="Ttulo"/>
    <w:uiPriority w:val="99"/>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eastAsia="Times New Roman"/>
      <w:b/>
      <w:i/>
      <w:iCs/>
      <w:spacing w:val="15"/>
      <w:lang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uiPriority w:val="22"/>
    <w:qFormat/>
    <w:rsid w:val="005D5CF9"/>
    <w:rPr>
      <w:b/>
      <w:bCs/>
    </w:rPr>
  </w:style>
  <w:style w:type="paragraph" w:styleId="Sinespaciado">
    <w:name w:val="No Spacing"/>
    <w:uiPriority w:val="1"/>
    <w:qFormat/>
    <w:rsid w:val="005D5CF9"/>
    <w:rPr>
      <w:sz w:val="22"/>
      <w:szCs w:val="22"/>
      <w:lang w:val="en-US" w:eastAsia="en-US"/>
    </w:rPr>
  </w:style>
  <w:style w:type="paragraph" w:styleId="Prrafodelista">
    <w:name w:val="List Paragraph"/>
    <w:aliases w:val="Colorful List - Accent 11,Lista vistosa - Énfasis 11,Footnote,List Paragraph2,Párrafo de lista1,List Paragraph11,Subtle Emphasis1,Footnote1,Parrafos"/>
    <w:link w:val="PrrafodelistaCar"/>
    <w:qFormat/>
    <w:rsid w:val="005D5CF9"/>
    <w:pPr>
      <w:ind w:left="720"/>
    </w:pPr>
    <w:rPr>
      <w:rFonts w:ascii="Cambria" w:eastAsia="Cambria" w:hAnsi="Cambria" w:cs="Cambria"/>
      <w:color w:val="000000"/>
      <w:sz w:val="24"/>
      <w:szCs w:val="24"/>
      <w:u w:color="000000"/>
      <w:lang w:val="en-US" w:eastAsia="es-ES"/>
    </w:rPr>
  </w:style>
  <w:style w:type="paragraph" w:styleId="TtuloTDC">
    <w:name w:val="TOC Heading"/>
    <w:basedOn w:val="Ttulo1"/>
    <w:next w:val="Normal"/>
    <w:uiPriority w:val="39"/>
    <w:semiHidden/>
    <w:unhideWhenUsed/>
    <w:qFormat/>
    <w:rsid w:val="005D5CF9"/>
    <w:pPr>
      <w:keepLines/>
      <w:spacing w:before="480" w:after="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
    <w:link w:val="Listavistosa-nfasis1"/>
    <w:uiPriority w:val="99"/>
    <w:rsid w:val="005D5CF9"/>
    <w:rPr>
      <w:rFonts w:eastAsia="Times New Roman"/>
      <w:lang w:val="es-CR" w:eastAsia="es-CR"/>
    </w:rPr>
  </w:style>
  <w:style w:type="table" w:styleId="Listavistosa-nfasis1">
    <w:name w:val="Colorful List Accent 1"/>
    <w:basedOn w:val="Tablanormal"/>
    <w:link w:val="ColorfulList-Accent1Char"/>
    <w:uiPriority w:val="99"/>
    <w:rsid w:val="005D5CF9"/>
    <w:rPr>
      <w:rFonts w:eastAsia="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F2489"/>
    <w:rPr>
      <w:vertAlign w:val="superscript"/>
    </w:rPr>
  </w:style>
  <w:style w:type="paragraph" w:customStyle="1" w:styleId="ListParagraph1">
    <w:name w:val="List Paragraph1"/>
    <w:basedOn w:val="Normal"/>
    <w:rsid w:val="00DF2489"/>
    <w:pPr>
      <w:spacing w:after="0"/>
      <w:ind w:left="720"/>
      <w:jc w:val="left"/>
    </w:pPr>
    <w:rPr>
      <w:rFonts w:ascii="Times New Roman" w:hAnsi="Times New Roman" w:cs="Times New Roman"/>
      <w:sz w:val="24"/>
      <w:lang w:val="es-ES"/>
    </w:rPr>
  </w:style>
  <w:style w:type="paragraph" w:styleId="Piedepgina">
    <w:name w:val="footer"/>
    <w:basedOn w:val="Normal"/>
    <w:link w:val="PiedepginaCar"/>
    <w:uiPriority w:val="99"/>
    <w:unhideWhenUsed/>
    <w:rsid w:val="00DF2489"/>
    <w:pPr>
      <w:tabs>
        <w:tab w:val="center" w:pos="4680"/>
        <w:tab w:val="right" w:pos="9360"/>
      </w:tabs>
      <w:spacing w:after="0"/>
    </w:pPr>
    <w:rPr>
      <w:rFonts w:cs="Times New Roman"/>
    </w:rPr>
  </w:style>
  <w:style w:type="character" w:customStyle="1" w:styleId="PiedepginaCar">
    <w:name w:val="Pie de página Car"/>
    <w:basedOn w:val="Fuentedeprrafopredeter"/>
    <w:link w:val="Piedepgina"/>
    <w:uiPriority w:val="99"/>
    <w:rsid w:val="00DF2489"/>
    <w:rPr>
      <w:rFonts w:ascii="Verdana" w:hAnsi="Verdana"/>
      <w:szCs w:val="24"/>
      <w:lang w:val="es-ES_tradnl" w:eastAsia="es-ES"/>
    </w:rPr>
  </w:style>
  <w:style w:type="paragraph" w:styleId="Sangradetextonormal">
    <w:name w:val="Body Text Indent"/>
    <w:basedOn w:val="Normal"/>
    <w:link w:val="SangradetextonormalCar"/>
    <w:uiPriority w:val="99"/>
    <w:unhideWhenUsed/>
    <w:rsid w:val="00DF2489"/>
    <w:pPr>
      <w:ind w:left="283"/>
    </w:pPr>
    <w:rPr>
      <w:rFonts w:cs="Times New Roman"/>
    </w:rPr>
  </w:style>
  <w:style w:type="character" w:customStyle="1" w:styleId="SangradetextonormalCar">
    <w:name w:val="Sangría de texto normal Car"/>
    <w:basedOn w:val="Fuentedeprrafopredeter"/>
    <w:link w:val="Sangradetextonormal"/>
    <w:uiPriority w:val="99"/>
    <w:rsid w:val="00DF2489"/>
    <w:rPr>
      <w:rFonts w:ascii="Verdana" w:hAnsi="Verdana"/>
      <w:szCs w:val="24"/>
      <w:lang w:val="es-ES_tradnl" w:eastAsia="es-ES"/>
    </w:rPr>
  </w:style>
  <w:style w:type="character" w:styleId="Refdecomentario">
    <w:name w:val="annotation reference"/>
    <w:uiPriority w:val="99"/>
    <w:semiHidden/>
    <w:unhideWhenUsed/>
    <w:rsid w:val="00DF2489"/>
    <w:rPr>
      <w:sz w:val="16"/>
      <w:szCs w:val="16"/>
    </w:rPr>
  </w:style>
  <w:style w:type="paragraph" w:styleId="Textocomentario">
    <w:name w:val="annotation text"/>
    <w:basedOn w:val="Normal"/>
    <w:link w:val="TextocomentarioCar"/>
    <w:uiPriority w:val="99"/>
    <w:semiHidden/>
    <w:unhideWhenUsed/>
    <w:rsid w:val="00DF2489"/>
    <w:rPr>
      <w:rFonts w:cs="Times New Roman"/>
      <w:szCs w:val="20"/>
    </w:rPr>
  </w:style>
  <w:style w:type="character" w:customStyle="1" w:styleId="TextocomentarioCar">
    <w:name w:val="Texto comentario Car"/>
    <w:basedOn w:val="Fuentedeprrafopredeter"/>
    <w:link w:val="Textocomentario"/>
    <w:uiPriority w:val="99"/>
    <w:semiHidden/>
    <w:rsid w:val="00DF2489"/>
    <w:rPr>
      <w:rFonts w:ascii="Verdana" w:hAnsi="Verdana"/>
      <w:lang w:val="es-ES_tradnl" w:eastAsia="es-ES"/>
    </w:rPr>
  </w:style>
  <w:style w:type="paragraph" w:styleId="Textodeglobo">
    <w:name w:val="Balloon Text"/>
    <w:basedOn w:val="Normal"/>
    <w:link w:val="TextodegloboCar"/>
    <w:uiPriority w:val="99"/>
    <w:semiHidden/>
    <w:unhideWhenUsed/>
    <w:rsid w:val="00DF248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2489"/>
    <w:rPr>
      <w:rFonts w:ascii="Tahoma" w:hAnsi="Tahoma" w:cs="Tahoma"/>
      <w:sz w:val="16"/>
      <w:szCs w:val="16"/>
      <w:lang w:val="es-ES_tradnl" w:eastAsia="es-ES"/>
    </w:rPr>
  </w:style>
  <w:style w:type="character" w:styleId="Hipervnculo">
    <w:name w:val="Hyperlink"/>
    <w:uiPriority w:val="99"/>
    <w:rsid w:val="00D87B6A"/>
    <w:rPr>
      <w:rFonts w:cs="Times New Roman"/>
      <w:color w:val="0000FF"/>
      <w:u w:val="single"/>
    </w:rPr>
  </w:style>
  <w:style w:type="paragraph" w:styleId="Asuntodelcomentario">
    <w:name w:val="annotation subject"/>
    <w:basedOn w:val="Textocomentario"/>
    <w:next w:val="Textocomentario"/>
    <w:link w:val="AsuntodelcomentarioCar"/>
    <w:uiPriority w:val="99"/>
    <w:semiHidden/>
    <w:unhideWhenUsed/>
    <w:rsid w:val="002F6691"/>
    <w:rPr>
      <w:rFonts w:cs="Times"/>
      <w:b/>
      <w:bCs/>
    </w:rPr>
  </w:style>
  <w:style w:type="character" w:customStyle="1" w:styleId="AsuntodelcomentarioCar">
    <w:name w:val="Asunto del comentario Car"/>
    <w:basedOn w:val="TextocomentarioCar"/>
    <w:link w:val="Asuntodelcomentario"/>
    <w:uiPriority w:val="99"/>
    <w:semiHidden/>
    <w:rsid w:val="002F6691"/>
    <w:rPr>
      <w:rFonts w:ascii="Verdana" w:hAnsi="Verdana" w:cs="Times"/>
      <w:b/>
      <w:bCs/>
      <w:lang w:val="es-ES_tradnl" w:eastAsia="es-ES"/>
    </w:rPr>
  </w:style>
  <w:style w:type="character" w:styleId="nfasissutil">
    <w:name w:val="Subtle Emphasis"/>
    <w:uiPriority w:val="19"/>
    <w:qFormat/>
    <w:rsid w:val="00C77A1B"/>
    <w:rPr>
      <w:rFonts w:ascii="Verdana" w:hAnsi="Verdana"/>
      <w:i/>
      <w:iCs/>
      <w:color w:val="808080"/>
      <w:sz w:val="20"/>
      <w:u w:val="single"/>
    </w:rPr>
  </w:style>
  <w:style w:type="paragraph" w:styleId="Textodebloque">
    <w:name w:val="Block Text"/>
    <w:basedOn w:val="Normal"/>
    <w:uiPriority w:val="99"/>
    <w:unhideWhenUsed/>
    <w:rsid w:val="00FB56A5"/>
    <w:pPr>
      <w:tabs>
        <w:tab w:val="left" w:pos="851"/>
      </w:tabs>
      <w:autoSpaceDE w:val="0"/>
      <w:autoSpaceDN w:val="0"/>
      <w:adjustRightInd w:val="0"/>
      <w:spacing w:after="0"/>
      <w:ind w:left="567" w:right="571"/>
    </w:pPr>
    <w:rPr>
      <w:rFonts w:eastAsiaTheme="minorHAnsi" w:cs="Arial"/>
      <w:szCs w:val="20"/>
      <w:lang w:val="es-CR" w:eastAsia="en-US"/>
    </w:rPr>
  </w:style>
  <w:style w:type="paragraph" w:styleId="Encabezado">
    <w:name w:val="header"/>
    <w:basedOn w:val="Normal"/>
    <w:link w:val="EncabezadoCar"/>
    <w:uiPriority w:val="99"/>
    <w:unhideWhenUsed/>
    <w:rsid w:val="00097FEB"/>
    <w:pPr>
      <w:tabs>
        <w:tab w:val="center" w:pos="4419"/>
        <w:tab w:val="right" w:pos="8838"/>
      </w:tabs>
      <w:spacing w:after="0"/>
    </w:pPr>
  </w:style>
  <w:style w:type="character" w:customStyle="1" w:styleId="EncabezadoCar">
    <w:name w:val="Encabezado Car"/>
    <w:basedOn w:val="Fuentedeprrafopredeter"/>
    <w:link w:val="Encabezado"/>
    <w:uiPriority w:val="99"/>
    <w:rsid w:val="00097FEB"/>
    <w:rPr>
      <w:rFonts w:ascii="Verdana" w:hAnsi="Verdana" w:cs="Times"/>
      <w:szCs w:val="24"/>
      <w:lang w:val="es-ES_tradnl" w:eastAsia="es-ES"/>
    </w:rPr>
  </w:style>
  <w:style w:type="paragraph" w:customStyle="1" w:styleId="Normal1">
    <w:name w:val="Normal1"/>
    <w:rsid w:val="00F44E11"/>
    <w:pPr>
      <w:widowControl w:val="0"/>
    </w:pPr>
    <w:rPr>
      <w:rFonts w:ascii="Times New Roman" w:eastAsia="Times New Roman" w:hAnsi="Times New Roman"/>
      <w:sz w:val="24"/>
      <w:szCs w:val="24"/>
      <w:lang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401B"/>
    <w:pPr>
      <w:spacing w:after="0"/>
    </w:pPr>
    <w:rPr>
      <w:rFonts w:ascii="Calibri" w:hAnsi="Calibri" w:cs="Times New Roman"/>
      <w:szCs w:val="20"/>
      <w:vertAlign w:val="superscript"/>
      <w:lang w:val="es-CR" w:eastAsia="es-CR"/>
    </w:rPr>
  </w:style>
  <w:style w:type="character" w:customStyle="1" w:styleId="PrrafodelistaCar">
    <w:name w:val="Párrafo de lista Car"/>
    <w:aliases w:val="Colorful List - Accent 11 Car,Lista vistosa - Énfasis 11 Car,Footnote Car,List Paragraph2 Car,Párrafo de lista1 Car,List Paragraph11 Car,Subtle Emphasis1 Car,Footnote1 Car,Parrafos Car"/>
    <w:link w:val="Prrafodelista"/>
    <w:locked/>
    <w:rsid w:val="00CD5449"/>
    <w:rPr>
      <w:rFonts w:ascii="Cambria" w:eastAsia="Cambria" w:hAnsi="Cambria" w:cs="Cambria"/>
      <w:color w:val="000000"/>
      <w:sz w:val="24"/>
      <w:szCs w:val="24"/>
      <w:u w:color="000000"/>
      <w:lang w:val="en-US" w:eastAsia="es-ES"/>
    </w:rPr>
  </w:style>
  <w:style w:type="paragraph" w:customStyle="1" w:styleId="1">
    <w:name w:val="1"/>
    <w:basedOn w:val="Normal"/>
    <w:uiPriority w:val="99"/>
    <w:rsid w:val="00845158"/>
    <w:pPr>
      <w:spacing w:after="160" w:line="240" w:lineRule="exact"/>
      <w:jc w:val="left"/>
    </w:pPr>
    <w:rPr>
      <w:rFonts w:asciiTheme="minorHAnsi" w:eastAsiaTheme="minorHAnsi" w:hAnsiTheme="minorHAnsi" w:cstheme="minorBidi"/>
      <w:sz w:val="22"/>
      <w:szCs w:val="22"/>
      <w:vertAlign w:val="superscript"/>
      <w:lang w:val="en-US" w:eastAsia="en-US"/>
    </w:rPr>
  </w:style>
  <w:style w:type="paragraph" w:styleId="Textoindependiente">
    <w:name w:val="Body Text"/>
    <w:basedOn w:val="Normal"/>
    <w:link w:val="TextoindependienteCar"/>
    <w:uiPriority w:val="99"/>
    <w:semiHidden/>
    <w:unhideWhenUsed/>
    <w:rsid w:val="00741D84"/>
  </w:style>
  <w:style w:type="character" w:customStyle="1" w:styleId="TextoindependienteCar">
    <w:name w:val="Texto independiente Car"/>
    <w:basedOn w:val="Fuentedeprrafopredeter"/>
    <w:link w:val="Textoindependiente"/>
    <w:uiPriority w:val="99"/>
    <w:semiHidden/>
    <w:rsid w:val="00741D84"/>
    <w:rPr>
      <w:rFonts w:ascii="Verdana" w:hAnsi="Verdana" w:cs="Times"/>
      <w:szCs w:val="24"/>
      <w:lang w:val="es-419" w:eastAsia="es-ES"/>
    </w:rPr>
  </w:style>
  <w:style w:type="paragraph" w:customStyle="1" w:styleId="cmsh1">
    <w:name w:val="cmsh1"/>
    <w:basedOn w:val="Normal"/>
    <w:rsid w:val="00741D84"/>
    <w:pPr>
      <w:spacing w:before="240" w:after="240"/>
      <w:jc w:val="center"/>
    </w:pPr>
    <w:rPr>
      <w:rFonts w:cs="Times New Roman"/>
      <w:b/>
      <w:bCs/>
      <w:color w:val="3378D9"/>
      <w:sz w:val="26"/>
      <w:szCs w:val="26"/>
      <w:lang w:val="es-CR" w:eastAsia="es-CR"/>
    </w:rPr>
  </w:style>
  <w:style w:type="paragraph" w:styleId="NormalWeb">
    <w:name w:val="Normal (Web)"/>
    <w:basedOn w:val="Normal"/>
    <w:uiPriority w:val="99"/>
    <w:unhideWhenUsed/>
    <w:rsid w:val="005562D7"/>
    <w:pPr>
      <w:spacing w:before="100" w:beforeAutospacing="1" w:after="100" w:afterAutospacing="1"/>
      <w:jc w:val="left"/>
    </w:pPr>
    <w:rPr>
      <w:rFonts w:ascii="Times New Roman" w:eastAsiaTheme="minorHAnsi" w:hAnsi="Times New Roman" w:cs="Times New Roman"/>
      <w:sz w:val="24"/>
      <w:lang w:val="es-ES_tradnl" w:eastAsia="es-ES_tradnl"/>
    </w:rPr>
  </w:style>
  <w:style w:type="paragraph" w:styleId="Textonotaalfinal">
    <w:name w:val="endnote text"/>
    <w:basedOn w:val="Normal"/>
    <w:link w:val="TextonotaalfinalCar"/>
    <w:uiPriority w:val="99"/>
    <w:semiHidden/>
    <w:unhideWhenUsed/>
    <w:rsid w:val="008E6514"/>
    <w:pPr>
      <w:spacing w:after="0"/>
    </w:pPr>
    <w:rPr>
      <w:szCs w:val="20"/>
    </w:rPr>
  </w:style>
  <w:style w:type="character" w:customStyle="1" w:styleId="TextonotaalfinalCar">
    <w:name w:val="Texto nota al final Car"/>
    <w:basedOn w:val="Fuentedeprrafopredeter"/>
    <w:link w:val="Textonotaalfinal"/>
    <w:uiPriority w:val="99"/>
    <w:semiHidden/>
    <w:rsid w:val="008E6514"/>
    <w:rPr>
      <w:rFonts w:ascii="Verdana" w:hAnsi="Verdana" w:cs="Times"/>
      <w:lang w:val="es-419" w:eastAsia="es-ES"/>
    </w:rPr>
  </w:style>
  <w:style w:type="character" w:styleId="Refdenotaalfinal">
    <w:name w:val="endnote reference"/>
    <w:basedOn w:val="Fuentedeprrafopredeter"/>
    <w:uiPriority w:val="99"/>
    <w:semiHidden/>
    <w:unhideWhenUsed/>
    <w:rsid w:val="008E6514"/>
    <w:rPr>
      <w:vertAlign w:val="superscript"/>
    </w:rPr>
  </w:style>
  <w:style w:type="character" w:styleId="Nmerodelnea">
    <w:name w:val="line number"/>
    <w:basedOn w:val="Fuentedeprrafopredeter"/>
    <w:uiPriority w:val="99"/>
    <w:semiHidden/>
    <w:unhideWhenUsed/>
    <w:rsid w:val="00752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479019">
      <w:bodyDiv w:val="1"/>
      <w:marLeft w:val="0"/>
      <w:marRight w:val="0"/>
      <w:marTop w:val="0"/>
      <w:marBottom w:val="0"/>
      <w:divBdr>
        <w:top w:val="none" w:sz="0" w:space="0" w:color="auto"/>
        <w:left w:val="none" w:sz="0" w:space="0" w:color="auto"/>
        <w:bottom w:val="none" w:sz="0" w:space="0" w:color="auto"/>
        <w:right w:val="none" w:sz="0" w:space="0" w:color="auto"/>
      </w:divBdr>
    </w:div>
    <w:div w:id="1795978677">
      <w:bodyDiv w:val="1"/>
      <w:marLeft w:val="0"/>
      <w:marRight w:val="0"/>
      <w:marTop w:val="0"/>
      <w:marBottom w:val="0"/>
      <w:divBdr>
        <w:top w:val="none" w:sz="0" w:space="0" w:color="auto"/>
        <w:left w:val="none" w:sz="0" w:space="0" w:color="auto"/>
        <w:bottom w:val="none" w:sz="0" w:space="0" w:color="auto"/>
        <w:right w:val="none" w:sz="0" w:space="0" w:color="auto"/>
      </w:divBdr>
    </w:div>
    <w:div w:id="199448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rteidh.or.cr/docs/asuntos/guerrero_fv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DDAF9-D48D-426B-BF1E-7066892B4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8823</Words>
  <Characters>48530</Characters>
  <Application>Microsoft Office Word</Application>
  <DocSecurity>0</DocSecurity>
  <Lines>404</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2020-08-04T15:55:00Z</cp:lastPrinted>
  <dcterms:created xsi:type="dcterms:W3CDTF">2020-11-06T13:26:00Z</dcterms:created>
  <dcterms:modified xsi:type="dcterms:W3CDTF">2020-11-06T13:26:00Z</dcterms:modified>
</cp:coreProperties>
</file>