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505A3" w14:textId="266E3FAC" w:rsidR="00722C9F" w:rsidRPr="00F4196C" w:rsidRDefault="00415DAC" w:rsidP="00415DAC">
      <w:pPr>
        <w:jc w:val="center"/>
        <w:rPr>
          <w:rFonts w:ascii="Cambria" w:hAnsi="Cambria"/>
          <w:sz w:val="20"/>
          <w:szCs w:val="20"/>
          <w:lang w:val="es-ES_tradnl"/>
        </w:rPr>
      </w:pPr>
      <w:r>
        <w:rPr>
          <w:rFonts w:ascii="Cambria" w:hAnsi="Cambria" w:cs="Univers"/>
          <w:b/>
          <w:bCs/>
          <w:sz w:val="22"/>
          <w:szCs w:val="22"/>
          <w:lang w:val="es-ES_tradnl"/>
        </w:rPr>
        <w:t>I</w:t>
      </w:r>
      <w:r w:rsidR="007C756A" w:rsidRPr="00F4196C">
        <w:rPr>
          <w:rFonts w:ascii="Cambria" w:hAnsi="Cambria"/>
          <w:b/>
          <w:sz w:val="18"/>
          <w:szCs w:val="20"/>
          <w:lang w:val="es-ES"/>
        </w:rPr>
        <w:t xml:space="preserve">NFORME No. </w:t>
      </w:r>
      <w:r w:rsidR="00741DF9">
        <w:rPr>
          <w:rFonts w:ascii="Cambria" w:hAnsi="Cambria"/>
          <w:b/>
          <w:sz w:val="18"/>
          <w:szCs w:val="20"/>
          <w:lang w:val="es-ES"/>
        </w:rPr>
        <w:t>117</w:t>
      </w:r>
      <w:r w:rsidR="007C756A" w:rsidRPr="00F4196C">
        <w:rPr>
          <w:rFonts w:ascii="Cambria" w:hAnsi="Cambria"/>
          <w:b/>
          <w:sz w:val="18"/>
          <w:szCs w:val="20"/>
          <w:lang w:val="es-ES"/>
        </w:rPr>
        <w:t>/</w:t>
      </w:r>
      <w:r w:rsidR="0068465B">
        <w:rPr>
          <w:rFonts w:ascii="Cambria" w:hAnsi="Cambria"/>
          <w:b/>
          <w:sz w:val="18"/>
          <w:szCs w:val="20"/>
          <w:lang w:val="es-ES"/>
        </w:rPr>
        <w:t>18</w:t>
      </w:r>
    </w:p>
    <w:p w14:paraId="01B624A5" w14:textId="77777777" w:rsidR="00722C9F" w:rsidRPr="00CF5065" w:rsidRDefault="00722C9F" w:rsidP="00722C9F">
      <w:pPr>
        <w:tabs>
          <w:tab w:val="center" w:pos="5400"/>
        </w:tabs>
        <w:suppressAutoHyphens/>
        <w:spacing w:line="276" w:lineRule="auto"/>
        <w:jc w:val="center"/>
        <w:rPr>
          <w:rFonts w:ascii="Cambria" w:hAnsi="Cambria"/>
          <w:b/>
          <w:sz w:val="18"/>
          <w:szCs w:val="20"/>
          <w:lang w:val="es-ES"/>
        </w:rPr>
      </w:pPr>
      <w:r w:rsidRPr="00F4196C">
        <w:rPr>
          <w:rFonts w:ascii="Cambria" w:hAnsi="Cambria"/>
          <w:b/>
          <w:sz w:val="18"/>
          <w:szCs w:val="20"/>
          <w:lang w:val="es-ES"/>
        </w:rPr>
        <w:t xml:space="preserve"> </w:t>
      </w:r>
      <w:r w:rsidRPr="00CF5065">
        <w:rPr>
          <w:rFonts w:ascii="Cambria" w:hAnsi="Cambria"/>
          <w:b/>
          <w:sz w:val="18"/>
          <w:szCs w:val="20"/>
          <w:lang w:val="es-ES"/>
        </w:rPr>
        <w:t xml:space="preserve">CASO </w:t>
      </w:r>
      <w:r w:rsidR="00CF3582" w:rsidRPr="00CF5065">
        <w:rPr>
          <w:rFonts w:ascii="Cambria" w:hAnsi="Cambria"/>
          <w:b/>
          <w:sz w:val="18"/>
          <w:szCs w:val="20"/>
          <w:lang w:val="es-ES"/>
        </w:rPr>
        <w:t>12.829</w:t>
      </w:r>
    </w:p>
    <w:p w14:paraId="43A88D08" w14:textId="77777777" w:rsidR="00722C9F" w:rsidRPr="00CF5065" w:rsidRDefault="007C756A" w:rsidP="00722C9F">
      <w:pPr>
        <w:tabs>
          <w:tab w:val="center" w:pos="5400"/>
        </w:tabs>
        <w:suppressAutoHyphens/>
        <w:spacing w:line="276" w:lineRule="auto"/>
        <w:jc w:val="center"/>
        <w:rPr>
          <w:rFonts w:ascii="Cambria" w:hAnsi="Cambria"/>
          <w:sz w:val="18"/>
          <w:szCs w:val="20"/>
          <w:lang w:val="es-ES_tradnl"/>
        </w:rPr>
      </w:pPr>
      <w:r w:rsidRPr="00CF5065">
        <w:rPr>
          <w:rFonts w:ascii="Cambria" w:hAnsi="Cambria"/>
          <w:sz w:val="18"/>
          <w:szCs w:val="20"/>
          <w:lang w:val="es-ES_tradnl"/>
        </w:rPr>
        <w:t>FONDO</w:t>
      </w:r>
    </w:p>
    <w:p w14:paraId="34374380" w14:textId="77777777" w:rsidR="00722C9F" w:rsidRPr="00CF5065" w:rsidRDefault="006C7479" w:rsidP="006C7479">
      <w:pPr>
        <w:tabs>
          <w:tab w:val="center" w:pos="5400"/>
        </w:tabs>
        <w:suppressAutoHyphens/>
        <w:spacing w:line="276" w:lineRule="auto"/>
        <w:jc w:val="center"/>
        <w:rPr>
          <w:rFonts w:ascii="Cambria" w:hAnsi="Cambria"/>
          <w:sz w:val="18"/>
          <w:szCs w:val="20"/>
          <w:lang w:val="es-ES_tradnl"/>
        </w:rPr>
      </w:pPr>
      <w:r>
        <w:rPr>
          <w:rFonts w:ascii="Cambria" w:hAnsi="Cambria"/>
          <w:sz w:val="18"/>
          <w:szCs w:val="20"/>
          <w:lang w:val="es-ES_tradnl"/>
        </w:rPr>
        <w:t xml:space="preserve">OLIMPIADES </w:t>
      </w:r>
      <w:r w:rsidRPr="00CF5065">
        <w:rPr>
          <w:rFonts w:ascii="Cambria" w:hAnsi="Cambria"/>
          <w:sz w:val="18"/>
          <w:szCs w:val="20"/>
          <w:lang w:val="es-ES_tradnl"/>
        </w:rPr>
        <w:t>GONZÁLEZ</w:t>
      </w:r>
      <w:r>
        <w:rPr>
          <w:rFonts w:ascii="Cambria" w:hAnsi="Cambria"/>
          <w:sz w:val="18"/>
          <w:szCs w:val="20"/>
          <w:lang w:val="es-ES_tradnl"/>
        </w:rPr>
        <w:t xml:space="preserve"> Y OTROS</w:t>
      </w:r>
    </w:p>
    <w:p w14:paraId="47255CF1" w14:textId="77777777" w:rsidR="00722C9F" w:rsidRPr="00CF5065" w:rsidRDefault="00A92A28" w:rsidP="00722C9F">
      <w:pPr>
        <w:tabs>
          <w:tab w:val="center" w:pos="5400"/>
        </w:tabs>
        <w:suppressAutoHyphens/>
        <w:spacing w:line="276" w:lineRule="auto"/>
        <w:jc w:val="center"/>
        <w:rPr>
          <w:rFonts w:ascii="Cambria" w:hAnsi="Cambria"/>
          <w:sz w:val="18"/>
          <w:szCs w:val="20"/>
          <w:lang w:val="es-ES_tradnl"/>
        </w:rPr>
      </w:pPr>
      <w:r w:rsidRPr="00CF5065">
        <w:rPr>
          <w:rFonts w:ascii="Cambria" w:hAnsi="Cambria"/>
          <w:sz w:val="18"/>
          <w:szCs w:val="20"/>
          <w:lang w:val="es-ES_tradnl"/>
        </w:rPr>
        <w:t>VENEZUELA</w:t>
      </w:r>
    </w:p>
    <w:p w14:paraId="7F6B626A" w14:textId="77777777" w:rsidR="00722C9F" w:rsidRPr="00CF5065" w:rsidRDefault="00741DF9" w:rsidP="00722C9F">
      <w:pPr>
        <w:tabs>
          <w:tab w:val="center" w:pos="5400"/>
        </w:tabs>
        <w:suppressAutoHyphens/>
        <w:spacing w:line="276" w:lineRule="auto"/>
        <w:jc w:val="center"/>
        <w:rPr>
          <w:rFonts w:ascii="Cambria" w:hAnsi="Cambria"/>
          <w:sz w:val="18"/>
          <w:szCs w:val="20"/>
          <w:lang w:val="es-ES_tradnl"/>
        </w:rPr>
      </w:pPr>
      <w:r>
        <w:rPr>
          <w:rFonts w:ascii="Cambria" w:hAnsi="Cambria"/>
          <w:sz w:val="18"/>
          <w:szCs w:val="20"/>
          <w:lang w:val="es-ES_tradnl"/>
        </w:rPr>
        <w:t>5 DE OCTUBRE DE 2018</w:t>
      </w:r>
    </w:p>
    <w:p w14:paraId="55AB66AE" w14:textId="77777777" w:rsidR="005937F1" w:rsidRPr="00CF5065" w:rsidRDefault="005937F1" w:rsidP="005937F1">
      <w:pPr>
        <w:pStyle w:val="LightList-Accent51"/>
        <w:suppressAutoHyphens/>
        <w:ind w:left="1440"/>
        <w:rPr>
          <w:b/>
          <w:sz w:val="20"/>
          <w:szCs w:val="20"/>
          <w:lang w:val="es-ES_tradnl"/>
        </w:rPr>
      </w:pPr>
    </w:p>
    <w:p w14:paraId="2B8F09E3" w14:textId="77777777" w:rsidR="00D12193" w:rsidRPr="00AC1705" w:rsidRDefault="00D12193" w:rsidP="00AC1705">
      <w:pPr>
        <w:pStyle w:val="Ttulo1"/>
        <w:spacing w:before="0"/>
        <w:ind w:hanging="90"/>
        <w:rPr>
          <w:color w:val="auto"/>
          <w:sz w:val="20"/>
          <w:szCs w:val="20"/>
          <w:lang w:val="es-ES_tradnl"/>
        </w:rPr>
      </w:pPr>
      <w:bookmarkStart w:id="0" w:name="_Toc529374043"/>
      <w:r w:rsidRPr="00AC1705">
        <w:rPr>
          <w:color w:val="auto"/>
          <w:sz w:val="20"/>
          <w:szCs w:val="20"/>
          <w:lang w:val="es-ES_tradnl"/>
        </w:rPr>
        <w:t>RESUMEN</w:t>
      </w:r>
      <w:bookmarkEnd w:id="0"/>
      <w:r w:rsidR="00361415" w:rsidRPr="00AC1705">
        <w:rPr>
          <w:color w:val="auto"/>
          <w:sz w:val="20"/>
          <w:szCs w:val="20"/>
          <w:lang w:val="es-ES_tradnl"/>
        </w:rPr>
        <w:t xml:space="preserve"> </w:t>
      </w:r>
    </w:p>
    <w:p w14:paraId="297B19CA" w14:textId="77777777" w:rsidR="005C4CA5" w:rsidRPr="00CF5065" w:rsidRDefault="005C4CA5" w:rsidP="005C4CA5">
      <w:pPr>
        <w:suppressAutoHyphens/>
        <w:ind w:left="360"/>
        <w:rPr>
          <w:rFonts w:ascii="Cambria" w:hAnsi="Cambria"/>
          <w:b/>
          <w:sz w:val="20"/>
          <w:szCs w:val="20"/>
          <w:lang w:val="es-ES_tradnl"/>
        </w:rPr>
      </w:pPr>
    </w:p>
    <w:p w14:paraId="7299296E" w14:textId="77777777" w:rsidR="005F6EA3" w:rsidRPr="005F6EA3" w:rsidRDefault="00955970" w:rsidP="00D17FEF">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FF0000"/>
          <w:sz w:val="20"/>
          <w:szCs w:val="20"/>
          <w:lang w:val="es-VE"/>
        </w:rPr>
      </w:pPr>
      <w:r w:rsidRPr="00CF5065">
        <w:rPr>
          <w:rFonts w:ascii="Cambria" w:hAnsi="Cambria"/>
          <w:color w:val="000000"/>
          <w:sz w:val="20"/>
          <w:szCs w:val="20"/>
          <w:lang w:val="es-VE"/>
        </w:rPr>
        <w:t>El 22 de</w:t>
      </w:r>
      <w:r w:rsidR="00A73D91" w:rsidRPr="00CF5065">
        <w:rPr>
          <w:rFonts w:ascii="Cambria" w:hAnsi="Cambria"/>
          <w:color w:val="000000"/>
          <w:sz w:val="20"/>
          <w:szCs w:val="20"/>
          <w:lang w:val="es-VE"/>
        </w:rPr>
        <w:t xml:space="preserve"> enero de 2004 la Comisión Interamericana de Derechos Humanos (en adelante “la Comisión Interamericana”, “la Comisión” o “la CIDH”) recibió una petición pres</w:t>
      </w:r>
      <w:r w:rsidR="00770E2D">
        <w:rPr>
          <w:rFonts w:ascii="Cambria" w:hAnsi="Cambria"/>
          <w:color w:val="000000"/>
          <w:sz w:val="20"/>
          <w:szCs w:val="20"/>
          <w:lang w:val="es-VE"/>
        </w:rPr>
        <w:t xml:space="preserve">entada por Olimpiades Gonzáles y </w:t>
      </w:r>
      <w:r w:rsidR="00A73D91" w:rsidRPr="00CF5065">
        <w:rPr>
          <w:rFonts w:ascii="Cambria" w:hAnsi="Cambria"/>
          <w:color w:val="000000"/>
          <w:sz w:val="20"/>
          <w:szCs w:val="20"/>
          <w:lang w:val="es-VE"/>
        </w:rPr>
        <w:t>María Angélica Gonzáles (en adelante “la parte peticionaria”)</w:t>
      </w:r>
      <w:r w:rsidR="00A73D91" w:rsidRPr="00CF5065">
        <w:rPr>
          <w:rStyle w:val="Refdenotaalpie"/>
          <w:rFonts w:ascii="Cambria" w:hAnsi="Cambria"/>
          <w:color w:val="000000"/>
          <w:sz w:val="20"/>
          <w:szCs w:val="20"/>
          <w:lang w:val="es-VE"/>
        </w:rPr>
        <w:footnoteReference w:id="2"/>
      </w:r>
      <w:r w:rsidR="00770E2D">
        <w:rPr>
          <w:rFonts w:ascii="Cambria" w:hAnsi="Cambria"/>
          <w:color w:val="000000"/>
          <w:sz w:val="20"/>
          <w:szCs w:val="20"/>
          <w:lang w:val="es-VE"/>
        </w:rPr>
        <w:t xml:space="preserve"> </w:t>
      </w:r>
      <w:r w:rsidR="00A73D91" w:rsidRPr="00CF5065">
        <w:rPr>
          <w:rFonts w:ascii="Cambria" w:hAnsi="Cambria"/>
          <w:color w:val="000000"/>
          <w:sz w:val="20"/>
          <w:szCs w:val="20"/>
          <w:lang w:val="es-VE"/>
        </w:rPr>
        <w:t xml:space="preserve">en la cual se alega la responsabilidad internacional de la República Bolivariana de Venezuela (en adelante “el Estado </w:t>
      </w:r>
      <w:r w:rsidR="0068465B">
        <w:rPr>
          <w:rFonts w:ascii="Cambria" w:hAnsi="Cambria"/>
          <w:color w:val="000000"/>
          <w:sz w:val="20"/>
          <w:szCs w:val="20"/>
          <w:lang w:val="es-VE"/>
        </w:rPr>
        <w:t>v</w:t>
      </w:r>
      <w:r w:rsidR="00A73D91" w:rsidRPr="00CF5065">
        <w:rPr>
          <w:rFonts w:ascii="Cambria" w:hAnsi="Cambria"/>
          <w:color w:val="000000"/>
          <w:sz w:val="20"/>
          <w:szCs w:val="20"/>
          <w:lang w:val="es-VE"/>
        </w:rPr>
        <w:t xml:space="preserve">enezolano”, “el Estado” o “Venezuela”) en perjuicio de </w:t>
      </w:r>
      <w:r w:rsidR="00E04A7F" w:rsidRPr="00E04A7F">
        <w:rPr>
          <w:rFonts w:ascii="Cambria" w:hAnsi="Cambria"/>
          <w:sz w:val="20"/>
          <w:szCs w:val="20"/>
          <w:lang w:val="es-VE"/>
        </w:rPr>
        <w:t>María</w:t>
      </w:r>
      <w:r w:rsidR="00A73D91" w:rsidRPr="00E04A7F">
        <w:rPr>
          <w:rFonts w:ascii="Cambria" w:hAnsi="Cambria"/>
          <w:sz w:val="20"/>
          <w:szCs w:val="20"/>
          <w:lang w:val="es-VE"/>
        </w:rPr>
        <w:t xml:space="preserve"> </w:t>
      </w:r>
      <w:r w:rsidR="00A73D91" w:rsidRPr="005516A7">
        <w:rPr>
          <w:rFonts w:ascii="Cambria" w:hAnsi="Cambria"/>
          <w:sz w:val="20"/>
          <w:szCs w:val="20"/>
          <w:lang w:val="es-VE"/>
        </w:rPr>
        <w:t>Angélica González</w:t>
      </w:r>
      <w:r w:rsidR="005516A7" w:rsidRPr="005516A7">
        <w:rPr>
          <w:rFonts w:ascii="Cambria" w:hAnsi="Cambria"/>
          <w:sz w:val="20"/>
          <w:szCs w:val="20"/>
          <w:lang w:val="es-VE"/>
        </w:rPr>
        <w:t>,</w:t>
      </w:r>
      <w:r w:rsidR="00A73D91" w:rsidRPr="005516A7">
        <w:rPr>
          <w:rFonts w:ascii="Cambria" w:hAnsi="Cambria"/>
          <w:sz w:val="20"/>
          <w:szCs w:val="20"/>
          <w:lang w:val="es-VE"/>
        </w:rPr>
        <w:t xml:space="preserve"> Olimpiades González, Fernando González, Luis Guillermo González, </w:t>
      </w:r>
      <w:r w:rsidR="00770E2D">
        <w:rPr>
          <w:rFonts w:ascii="Cambria" w:hAnsi="Cambria"/>
          <w:sz w:val="20"/>
          <w:szCs w:val="20"/>
          <w:lang w:val="es-VE"/>
        </w:rPr>
        <w:t xml:space="preserve">Wilmer </w:t>
      </w:r>
      <w:r w:rsidR="002A7A06">
        <w:rPr>
          <w:rFonts w:ascii="Cambria" w:hAnsi="Cambria"/>
          <w:sz w:val="20"/>
          <w:szCs w:val="20"/>
          <w:lang w:val="es-VE"/>
        </w:rPr>
        <w:t xml:space="preserve">Antonio Barliza González y </w:t>
      </w:r>
      <w:r w:rsidR="00A73D91" w:rsidRPr="005516A7">
        <w:rPr>
          <w:rFonts w:ascii="Cambria" w:hAnsi="Cambria"/>
          <w:sz w:val="20"/>
          <w:szCs w:val="20"/>
          <w:lang w:val="es-VE"/>
        </w:rPr>
        <w:t>Belkis Mirelis González</w:t>
      </w:r>
      <w:r w:rsidR="00416011">
        <w:rPr>
          <w:rFonts w:ascii="Cambria" w:hAnsi="Cambria"/>
          <w:sz w:val="20"/>
          <w:szCs w:val="20"/>
          <w:lang w:val="es-VE"/>
        </w:rPr>
        <w:t xml:space="preserve">, </w:t>
      </w:r>
      <w:r w:rsidR="00E34204">
        <w:rPr>
          <w:rFonts w:ascii="Cambria" w:hAnsi="Cambria"/>
          <w:sz w:val="20"/>
          <w:szCs w:val="20"/>
          <w:lang w:val="es-VE"/>
        </w:rPr>
        <w:t xml:space="preserve">miembros de una </w:t>
      </w:r>
      <w:r w:rsidR="00416011">
        <w:rPr>
          <w:rFonts w:ascii="Cambria" w:hAnsi="Cambria"/>
          <w:sz w:val="20"/>
          <w:szCs w:val="20"/>
          <w:lang w:val="es-VE"/>
        </w:rPr>
        <w:t>familia indígena Wayuú que residía en</w:t>
      </w:r>
      <w:r w:rsidR="00E34204">
        <w:rPr>
          <w:rFonts w:ascii="Cambria" w:hAnsi="Cambria"/>
          <w:sz w:val="20"/>
          <w:szCs w:val="20"/>
          <w:lang w:val="es-VE"/>
        </w:rPr>
        <w:t xml:space="preserve"> la ciudad de Maracaibo, estado Zulia</w:t>
      </w:r>
      <w:r w:rsidR="00A73D91" w:rsidRPr="00E04A7F">
        <w:rPr>
          <w:rFonts w:ascii="Cambria" w:hAnsi="Cambria"/>
          <w:sz w:val="20"/>
          <w:szCs w:val="20"/>
          <w:lang w:val="es-VE"/>
        </w:rPr>
        <w:t xml:space="preserve">. </w:t>
      </w:r>
      <w:r w:rsidR="00A73D91" w:rsidRPr="005F6EA3">
        <w:rPr>
          <w:rFonts w:ascii="Cambria" w:hAnsi="Cambria"/>
          <w:color w:val="FF0000"/>
          <w:sz w:val="20"/>
          <w:szCs w:val="20"/>
          <w:lang w:val="es-VE"/>
        </w:rPr>
        <w:t xml:space="preserve">  </w:t>
      </w:r>
    </w:p>
    <w:p w14:paraId="78D75300" w14:textId="77777777" w:rsidR="009014A4" w:rsidRPr="00CF5065"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sz w:val="20"/>
          <w:szCs w:val="20"/>
          <w:lang w:val="es-VE"/>
        </w:rPr>
      </w:pPr>
    </w:p>
    <w:p w14:paraId="77981285" w14:textId="77777777" w:rsidR="009014A4" w:rsidRPr="00CF5065" w:rsidRDefault="009014A4" w:rsidP="003F2B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es-VE"/>
        </w:rPr>
      </w:pPr>
      <w:r w:rsidRPr="00CF5065">
        <w:rPr>
          <w:rFonts w:ascii="Cambria" w:hAnsi="Cambria"/>
          <w:color w:val="000000"/>
          <w:sz w:val="20"/>
          <w:szCs w:val="20"/>
          <w:lang w:val="es-VE"/>
        </w:rPr>
        <w:t>L</w:t>
      </w:r>
      <w:r w:rsidRPr="009014A4">
        <w:rPr>
          <w:rFonts w:ascii="Cambria" w:hAnsi="Cambria"/>
          <w:sz w:val="20"/>
          <w:szCs w:val="20"/>
          <w:lang w:val="es-ES_tradnl"/>
        </w:rPr>
        <w:t xml:space="preserve">a Comisión aprobó </w:t>
      </w:r>
      <w:r w:rsidR="000A7363">
        <w:rPr>
          <w:rFonts w:ascii="Cambria" w:hAnsi="Cambria"/>
          <w:sz w:val="20"/>
          <w:szCs w:val="20"/>
          <w:lang w:val="es-ES_tradnl"/>
        </w:rPr>
        <w:t>el informe de admisibilidad No. 121</w:t>
      </w:r>
      <w:r w:rsidRPr="009014A4">
        <w:rPr>
          <w:rFonts w:ascii="Cambria" w:hAnsi="Cambria"/>
          <w:sz w:val="20"/>
          <w:szCs w:val="20"/>
          <w:lang w:val="es-ES_tradnl"/>
        </w:rPr>
        <w:t>/</w:t>
      </w:r>
      <w:proofErr w:type="gramStart"/>
      <w:r w:rsidR="000A7363">
        <w:rPr>
          <w:rFonts w:ascii="Cambria" w:hAnsi="Cambria"/>
          <w:sz w:val="20"/>
          <w:szCs w:val="20"/>
          <w:lang w:val="es-ES_tradnl"/>
        </w:rPr>
        <w:t xml:space="preserve">11  </w:t>
      </w:r>
      <w:r w:rsidR="004108D7">
        <w:rPr>
          <w:rFonts w:ascii="Cambria" w:hAnsi="Cambria"/>
          <w:sz w:val="20"/>
          <w:szCs w:val="20"/>
          <w:lang w:val="es-ES_tradnl"/>
        </w:rPr>
        <w:t>el</w:t>
      </w:r>
      <w:proofErr w:type="gramEnd"/>
      <w:r w:rsidR="000A7363">
        <w:rPr>
          <w:rFonts w:ascii="Cambria" w:hAnsi="Cambria"/>
          <w:sz w:val="20"/>
          <w:szCs w:val="20"/>
          <w:lang w:val="es-ES_tradnl"/>
        </w:rPr>
        <w:t xml:space="preserve"> 19</w:t>
      </w:r>
      <w:r w:rsidR="009F0B58">
        <w:rPr>
          <w:rFonts w:ascii="Cambria" w:hAnsi="Cambria"/>
          <w:sz w:val="20"/>
          <w:szCs w:val="20"/>
          <w:lang w:val="es-ES_tradnl"/>
        </w:rPr>
        <w:t xml:space="preserve"> de octubre</w:t>
      </w:r>
      <w:r w:rsidR="006600F3">
        <w:rPr>
          <w:rFonts w:ascii="Cambria" w:hAnsi="Cambria"/>
          <w:sz w:val="20"/>
          <w:szCs w:val="20"/>
          <w:lang w:val="es-ES_tradnl"/>
        </w:rPr>
        <w:t xml:space="preserve"> de 2011</w:t>
      </w:r>
      <w:r w:rsidRPr="001265CE">
        <w:rPr>
          <w:rStyle w:val="Refdenotaalpie"/>
          <w:rFonts w:ascii="Cambria" w:hAnsi="Cambria"/>
          <w:sz w:val="20"/>
          <w:szCs w:val="20"/>
          <w:lang w:val="es-ES_tradnl"/>
        </w:rPr>
        <w:footnoteReference w:id="3"/>
      </w:r>
      <w:r w:rsidR="00AF7988">
        <w:rPr>
          <w:rFonts w:ascii="Cambria" w:hAnsi="Cambria"/>
          <w:sz w:val="20"/>
          <w:szCs w:val="20"/>
          <w:lang w:val="es-ES_tradnl"/>
        </w:rPr>
        <w:t xml:space="preserve">. </w:t>
      </w:r>
      <w:r w:rsidR="00B01A7D">
        <w:rPr>
          <w:rFonts w:ascii="Cambria" w:hAnsi="Cambria"/>
          <w:sz w:val="20"/>
          <w:szCs w:val="20"/>
          <w:lang w:val="es-ES_tradnl"/>
        </w:rPr>
        <w:t>El 14 de noviembre de 2011</w:t>
      </w:r>
      <w:r w:rsidRPr="009014A4">
        <w:rPr>
          <w:rFonts w:ascii="Cambria" w:hAnsi="Cambria"/>
          <w:sz w:val="20"/>
          <w:szCs w:val="20"/>
          <w:lang w:val="es-ES_tradnl"/>
        </w:rPr>
        <w:t xml:space="preserve"> la Comisión notificó dicho informe a las partes y se puso a su disposición a fin de llegar a una solución </w:t>
      </w:r>
      <w:r w:rsidRPr="0036601A">
        <w:rPr>
          <w:rFonts w:ascii="Cambria" w:hAnsi="Cambria"/>
          <w:sz w:val="20"/>
          <w:szCs w:val="20"/>
          <w:lang w:val="es-ES_tradnl"/>
        </w:rPr>
        <w:t>amistos</w:t>
      </w:r>
      <w:r w:rsidR="009F0B58">
        <w:rPr>
          <w:rFonts w:ascii="Cambria" w:hAnsi="Cambria"/>
          <w:sz w:val="20"/>
          <w:szCs w:val="20"/>
          <w:lang w:val="es-ES_tradnl"/>
        </w:rPr>
        <w:t>a</w:t>
      </w:r>
      <w:r w:rsidRPr="0036601A">
        <w:rPr>
          <w:rFonts w:ascii="Cambria" w:hAnsi="Cambria"/>
          <w:sz w:val="20"/>
          <w:szCs w:val="20"/>
          <w:lang w:val="es-ES_tradnl"/>
        </w:rPr>
        <w:t>.</w:t>
      </w:r>
      <w:r w:rsidRPr="009014A4">
        <w:rPr>
          <w:rFonts w:ascii="Cambria" w:hAnsi="Cambria"/>
          <w:sz w:val="20"/>
          <w:szCs w:val="20"/>
          <w:lang w:val="es-ES_tradnl"/>
        </w:rPr>
        <w:t xml:space="preserve"> Las partes contaron con los plazos reglamentarios para presentar sus observaci</w:t>
      </w:r>
      <w:r w:rsidR="003236CF">
        <w:rPr>
          <w:rFonts w:ascii="Cambria" w:hAnsi="Cambria"/>
          <w:sz w:val="20"/>
          <w:szCs w:val="20"/>
          <w:lang w:val="es-ES_tradnl"/>
        </w:rPr>
        <w:t>ones adicionales sobre el fondo</w:t>
      </w:r>
      <w:r w:rsidRPr="009014A4">
        <w:rPr>
          <w:rFonts w:ascii="Cambria" w:hAnsi="Cambria"/>
          <w:sz w:val="20"/>
          <w:szCs w:val="20"/>
          <w:lang w:val="es-ES_tradnl"/>
        </w:rPr>
        <w:t>. Toda la información recibida fue debidamente trasladada entre las partes.</w:t>
      </w:r>
      <w:r w:rsidR="00435C7B" w:rsidRPr="00CF5065">
        <w:rPr>
          <w:rFonts w:ascii="Cambria" w:hAnsi="Cambria"/>
          <w:color w:val="000000"/>
          <w:sz w:val="20"/>
          <w:szCs w:val="20"/>
          <w:lang w:val="es-VE"/>
        </w:rPr>
        <w:t xml:space="preserve"> </w:t>
      </w:r>
    </w:p>
    <w:p w14:paraId="200B6B55" w14:textId="77777777" w:rsidR="009014A4"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VE"/>
        </w:rPr>
      </w:pPr>
    </w:p>
    <w:p w14:paraId="71216ED2" w14:textId="77777777" w:rsidR="00796FC1" w:rsidRDefault="001B1AE2" w:rsidP="00A603D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es-VE"/>
        </w:rPr>
      </w:pPr>
      <w:r w:rsidRPr="00CF5065">
        <w:rPr>
          <w:rFonts w:ascii="Cambria" w:hAnsi="Cambria"/>
          <w:color w:val="000000"/>
          <w:sz w:val="20"/>
          <w:szCs w:val="20"/>
          <w:lang w:val="es-VE"/>
        </w:rPr>
        <w:t xml:space="preserve">La parte peticionaria </w:t>
      </w:r>
      <w:r w:rsidR="00796FC1">
        <w:rPr>
          <w:rFonts w:ascii="Cambria" w:hAnsi="Cambria"/>
          <w:color w:val="000000"/>
          <w:sz w:val="20"/>
          <w:szCs w:val="20"/>
          <w:lang w:val="es-VE"/>
        </w:rPr>
        <w:t xml:space="preserve">alegó que la detención preventiva de las presuntas víctimas en noviembre de 1998 y enero de 1999, en el marco de un proceso penal por homicidio, tuvo una duración irrazonable y no fue fundamentada adecuadamente. </w:t>
      </w:r>
      <w:r w:rsidR="00E20627">
        <w:rPr>
          <w:rFonts w:ascii="Cambria" w:hAnsi="Cambria"/>
          <w:color w:val="000000"/>
          <w:sz w:val="20"/>
          <w:szCs w:val="20"/>
          <w:lang w:val="es-VE"/>
        </w:rPr>
        <w:t xml:space="preserve">Añadió que el Código de Enjuiciamiento </w:t>
      </w:r>
      <w:r w:rsidR="00834779">
        <w:rPr>
          <w:rFonts w:ascii="Cambria" w:hAnsi="Cambria"/>
          <w:color w:val="000000"/>
          <w:sz w:val="20"/>
          <w:szCs w:val="20"/>
          <w:lang w:val="es-VE"/>
        </w:rPr>
        <w:t>Criminal</w:t>
      </w:r>
      <w:r w:rsidR="00E20627">
        <w:rPr>
          <w:rFonts w:ascii="Cambria" w:hAnsi="Cambria"/>
          <w:color w:val="000000"/>
          <w:sz w:val="20"/>
          <w:szCs w:val="20"/>
          <w:lang w:val="es-VE"/>
        </w:rPr>
        <w:t xml:space="preserve"> de dicha época establecía como regla general la detención preventiva ante la existencia de meros indicios de responsabilidad penal, lo cual resulta contrario a la Convención. </w:t>
      </w:r>
      <w:r w:rsidR="0025041B">
        <w:rPr>
          <w:rFonts w:ascii="Cambria" w:hAnsi="Cambria"/>
          <w:color w:val="000000"/>
          <w:sz w:val="20"/>
          <w:szCs w:val="20"/>
          <w:lang w:val="es-VE"/>
        </w:rPr>
        <w:t>S</w:t>
      </w:r>
      <w:r w:rsidR="00796FC1">
        <w:rPr>
          <w:rFonts w:ascii="Cambria" w:hAnsi="Cambria"/>
          <w:color w:val="000000"/>
          <w:sz w:val="20"/>
          <w:szCs w:val="20"/>
          <w:lang w:val="es-VE"/>
        </w:rPr>
        <w:t xml:space="preserve">ostuvo que durante su detención preventiva </w:t>
      </w:r>
      <w:r w:rsidR="00E20627">
        <w:rPr>
          <w:rFonts w:ascii="Cambria" w:hAnsi="Cambria"/>
          <w:color w:val="000000"/>
          <w:sz w:val="20"/>
          <w:szCs w:val="20"/>
          <w:lang w:val="es-VE"/>
        </w:rPr>
        <w:t xml:space="preserve">no fueron separadas de personas condenadas. </w:t>
      </w:r>
      <w:r w:rsidR="0048057F">
        <w:rPr>
          <w:rFonts w:ascii="Cambria" w:hAnsi="Cambria"/>
          <w:color w:val="000000"/>
          <w:sz w:val="20"/>
          <w:szCs w:val="20"/>
          <w:lang w:val="es-VE"/>
        </w:rPr>
        <w:t>A</w:t>
      </w:r>
      <w:r w:rsidR="00E20627">
        <w:rPr>
          <w:rFonts w:ascii="Cambria" w:hAnsi="Cambria"/>
          <w:color w:val="000000"/>
          <w:sz w:val="20"/>
          <w:szCs w:val="20"/>
          <w:lang w:val="es-VE"/>
        </w:rPr>
        <w:t>legó que el Estado no brindó medidas de seguridad adecuadas frente a las amenazas y atentados de muerte en contra de Olimpiades González. Añadió que</w:t>
      </w:r>
      <w:r w:rsidR="0065055D">
        <w:rPr>
          <w:rFonts w:ascii="Cambria" w:hAnsi="Cambria"/>
          <w:color w:val="000000"/>
          <w:sz w:val="20"/>
          <w:szCs w:val="20"/>
          <w:lang w:val="es-VE"/>
        </w:rPr>
        <w:t xml:space="preserve"> debido a ello el señor González fue asesinado en diciembre de 2006 y que a la fecha el Estado no ha realizado una investigación adecuada para identificar y sancionar a las personas responsables.</w:t>
      </w:r>
    </w:p>
    <w:p w14:paraId="2AA5716A" w14:textId="77777777" w:rsidR="00A603D4" w:rsidRPr="00CF5065" w:rsidRDefault="00A603D4" w:rsidP="00A603D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260"/>
        <w:jc w:val="both"/>
        <w:rPr>
          <w:rFonts w:ascii="Cambria" w:hAnsi="Cambria"/>
          <w:color w:val="000000"/>
          <w:sz w:val="20"/>
          <w:szCs w:val="20"/>
          <w:lang w:val="es-VE"/>
        </w:rPr>
      </w:pPr>
    </w:p>
    <w:p w14:paraId="27FCC48E" w14:textId="77777777" w:rsidR="0065055D" w:rsidRDefault="005C4CA5" w:rsidP="003F2B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es-VE"/>
        </w:rPr>
      </w:pPr>
      <w:r w:rsidRPr="00CF5065">
        <w:rPr>
          <w:rFonts w:ascii="Cambria" w:hAnsi="Cambria"/>
          <w:color w:val="000000"/>
          <w:sz w:val="20"/>
          <w:szCs w:val="20"/>
          <w:lang w:val="es-VE"/>
        </w:rPr>
        <w:t>El Estado alegó</w:t>
      </w:r>
      <w:r w:rsidR="009A4755" w:rsidRPr="00CF5065">
        <w:rPr>
          <w:rFonts w:ascii="Cambria" w:hAnsi="Cambria"/>
          <w:color w:val="000000"/>
          <w:sz w:val="20"/>
          <w:szCs w:val="20"/>
          <w:lang w:val="es-VE"/>
        </w:rPr>
        <w:t xml:space="preserve"> que </w:t>
      </w:r>
      <w:r w:rsidR="000B2E03">
        <w:rPr>
          <w:rFonts w:ascii="Cambria" w:hAnsi="Cambria"/>
          <w:color w:val="000000"/>
          <w:sz w:val="20"/>
          <w:szCs w:val="20"/>
          <w:lang w:val="es-VE"/>
        </w:rPr>
        <w:t>la detención preventiva de las presuntas víctimas en el marco del proceso penal</w:t>
      </w:r>
      <w:r w:rsidR="002C1770">
        <w:rPr>
          <w:rFonts w:ascii="Cambria" w:hAnsi="Cambria"/>
          <w:color w:val="000000"/>
          <w:sz w:val="20"/>
          <w:szCs w:val="20"/>
          <w:lang w:val="es-VE"/>
        </w:rPr>
        <w:t xml:space="preserve"> fue </w:t>
      </w:r>
      <w:r w:rsidR="000B2E03">
        <w:rPr>
          <w:rFonts w:ascii="Cambria" w:hAnsi="Cambria"/>
          <w:color w:val="000000"/>
          <w:sz w:val="20"/>
          <w:szCs w:val="20"/>
          <w:lang w:val="es-VE"/>
        </w:rPr>
        <w:t>legal conforme</w:t>
      </w:r>
      <w:r w:rsidR="002C1770">
        <w:rPr>
          <w:rFonts w:ascii="Cambria" w:hAnsi="Cambria"/>
          <w:color w:val="000000"/>
          <w:sz w:val="20"/>
          <w:szCs w:val="20"/>
          <w:lang w:val="es-VE"/>
        </w:rPr>
        <w:t xml:space="preserve"> al </w:t>
      </w:r>
      <w:r w:rsidR="000B2E03">
        <w:rPr>
          <w:rFonts w:ascii="Cambria" w:hAnsi="Cambria"/>
          <w:color w:val="000000"/>
          <w:sz w:val="20"/>
          <w:szCs w:val="20"/>
          <w:lang w:val="es-VE"/>
        </w:rPr>
        <w:t xml:space="preserve">Código de Enjuiciamiento </w:t>
      </w:r>
      <w:r w:rsidR="00834779">
        <w:rPr>
          <w:rFonts w:ascii="Cambria" w:hAnsi="Cambria"/>
          <w:color w:val="000000"/>
          <w:sz w:val="20"/>
          <w:szCs w:val="20"/>
          <w:lang w:val="es-VE"/>
        </w:rPr>
        <w:t xml:space="preserve">Criminal </w:t>
      </w:r>
      <w:r w:rsidR="000B2E03">
        <w:rPr>
          <w:rFonts w:ascii="Cambria" w:hAnsi="Cambria"/>
          <w:color w:val="000000"/>
          <w:sz w:val="20"/>
          <w:szCs w:val="20"/>
          <w:lang w:val="es-VE"/>
        </w:rPr>
        <w:t xml:space="preserve">y a los estándares internacionales. Sostuvo que el proceso cumplió con todas las garantías del debido proceso y que incluso se decretó la absolución de las presuntas víctimas. Agregó que pudieron interponer todos los recursos disponibles para cuestionar las diversas decisiones a nivel interno, y que éstas fueron resultas de manera pronta y eficiente. </w:t>
      </w:r>
      <w:r w:rsidR="00DD07BC">
        <w:rPr>
          <w:rFonts w:ascii="Cambria" w:hAnsi="Cambria"/>
          <w:color w:val="000000"/>
          <w:sz w:val="20"/>
          <w:szCs w:val="20"/>
          <w:lang w:val="es-VE"/>
        </w:rPr>
        <w:t>S</w:t>
      </w:r>
      <w:r w:rsidR="000B2E03">
        <w:rPr>
          <w:rFonts w:ascii="Cambria" w:hAnsi="Cambria"/>
          <w:color w:val="000000"/>
          <w:sz w:val="20"/>
          <w:szCs w:val="20"/>
          <w:lang w:val="es-VE"/>
        </w:rPr>
        <w:t xml:space="preserve">ostuvo que sí se otorgaron medidas de seguridad a favor </w:t>
      </w:r>
      <w:r w:rsidR="004763B2">
        <w:rPr>
          <w:rFonts w:ascii="Cambria" w:hAnsi="Cambria"/>
          <w:color w:val="000000"/>
          <w:sz w:val="20"/>
          <w:szCs w:val="20"/>
          <w:lang w:val="es-VE"/>
        </w:rPr>
        <w:t xml:space="preserve">de Olimpiades González </w:t>
      </w:r>
      <w:r w:rsidR="000B2E03">
        <w:rPr>
          <w:rFonts w:ascii="Cambria" w:hAnsi="Cambria"/>
          <w:color w:val="000000"/>
          <w:sz w:val="20"/>
          <w:szCs w:val="20"/>
          <w:lang w:val="es-VE"/>
        </w:rPr>
        <w:t>en noviembre de 2001</w:t>
      </w:r>
      <w:r w:rsidR="004763B2">
        <w:rPr>
          <w:rFonts w:ascii="Cambria" w:hAnsi="Cambria"/>
          <w:color w:val="000000"/>
          <w:sz w:val="20"/>
          <w:szCs w:val="20"/>
          <w:lang w:val="es-VE"/>
        </w:rPr>
        <w:t xml:space="preserve">. </w:t>
      </w:r>
      <w:r w:rsidR="00DD07BC">
        <w:rPr>
          <w:rFonts w:ascii="Cambria" w:hAnsi="Cambria"/>
          <w:color w:val="000000"/>
          <w:sz w:val="20"/>
          <w:szCs w:val="20"/>
          <w:lang w:val="es-VE"/>
        </w:rPr>
        <w:t xml:space="preserve">Indicó </w:t>
      </w:r>
      <w:r w:rsidR="004763B2">
        <w:rPr>
          <w:rFonts w:ascii="Cambria" w:hAnsi="Cambria"/>
          <w:color w:val="000000"/>
          <w:sz w:val="20"/>
          <w:szCs w:val="20"/>
          <w:lang w:val="es-VE"/>
        </w:rPr>
        <w:t>que su</w:t>
      </w:r>
      <w:r w:rsidR="000B2E03">
        <w:rPr>
          <w:rFonts w:ascii="Cambria" w:hAnsi="Cambria"/>
          <w:color w:val="000000"/>
          <w:sz w:val="20"/>
          <w:szCs w:val="20"/>
          <w:lang w:val="es-VE"/>
        </w:rPr>
        <w:t xml:space="preserve"> fallecimiento </w:t>
      </w:r>
      <w:r w:rsidR="004763B2">
        <w:rPr>
          <w:rFonts w:ascii="Cambria" w:hAnsi="Cambria"/>
          <w:color w:val="000000"/>
          <w:sz w:val="20"/>
          <w:szCs w:val="20"/>
          <w:lang w:val="es-VE"/>
        </w:rPr>
        <w:t xml:space="preserve">en 2006 sucedió mucho tiempo después de la implementación de dichas medidas y que no se puede responsabilizar al Estado por lo sucedido. Añadió que inició una investigación </w:t>
      </w:r>
      <w:r w:rsidR="00477142">
        <w:rPr>
          <w:rFonts w:ascii="Cambria" w:hAnsi="Cambria"/>
          <w:color w:val="000000"/>
          <w:sz w:val="20"/>
          <w:szCs w:val="20"/>
          <w:lang w:val="es-VE"/>
        </w:rPr>
        <w:t xml:space="preserve">para </w:t>
      </w:r>
      <w:r w:rsidR="004763B2">
        <w:rPr>
          <w:rFonts w:ascii="Cambria" w:hAnsi="Cambria"/>
          <w:color w:val="000000"/>
          <w:sz w:val="20"/>
          <w:szCs w:val="20"/>
          <w:lang w:val="es-VE"/>
        </w:rPr>
        <w:t xml:space="preserve">esclarecer </w:t>
      </w:r>
      <w:r w:rsidR="00477142">
        <w:rPr>
          <w:rFonts w:ascii="Cambria" w:hAnsi="Cambria"/>
          <w:color w:val="000000"/>
          <w:sz w:val="20"/>
          <w:szCs w:val="20"/>
          <w:lang w:val="es-VE"/>
        </w:rPr>
        <w:t xml:space="preserve">dicha </w:t>
      </w:r>
      <w:r w:rsidR="004763B2">
        <w:rPr>
          <w:rFonts w:ascii="Cambria" w:hAnsi="Cambria"/>
          <w:color w:val="000000"/>
          <w:sz w:val="20"/>
          <w:szCs w:val="20"/>
          <w:lang w:val="es-VE"/>
        </w:rPr>
        <w:t xml:space="preserve">muerte y sancionar a las personas responsables. </w:t>
      </w:r>
    </w:p>
    <w:p w14:paraId="270D3548" w14:textId="77777777" w:rsidR="005C4CA5" w:rsidRPr="00CF5065" w:rsidRDefault="005C4CA5" w:rsidP="004763B2">
      <w:pPr>
        <w:pStyle w:val="LightList-Accent51"/>
        <w:ind w:left="0"/>
        <w:rPr>
          <w:sz w:val="20"/>
          <w:szCs w:val="20"/>
          <w:lang w:val="es-VE"/>
        </w:rPr>
      </w:pPr>
    </w:p>
    <w:p w14:paraId="40C1DFC0" w14:textId="77777777" w:rsidR="005C4CA5" w:rsidRPr="00435C7B" w:rsidRDefault="005C4CA5" w:rsidP="003F2B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es-VE"/>
        </w:rPr>
      </w:pPr>
      <w:r w:rsidRPr="00435C7B">
        <w:rPr>
          <w:rFonts w:ascii="Cambria" w:hAnsi="Cambria"/>
          <w:color w:val="000000"/>
          <w:sz w:val="20"/>
          <w:szCs w:val="20"/>
          <w:lang w:val="es-VE"/>
        </w:rPr>
        <w:t>Con base en las determinaciones de hecho y de derecho, la Comisión Interamericana concluyó que</w:t>
      </w:r>
      <w:r w:rsidR="00A814FA" w:rsidRPr="00435C7B">
        <w:rPr>
          <w:rFonts w:ascii="Cambria" w:hAnsi="Cambria"/>
          <w:color w:val="000000"/>
          <w:sz w:val="20"/>
          <w:szCs w:val="20"/>
          <w:lang w:val="es-VE"/>
        </w:rPr>
        <w:t xml:space="preserve"> </w:t>
      </w:r>
      <w:r w:rsidRPr="00435C7B">
        <w:rPr>
          <w:rFonts w:ascii="Cambria" w:hAnsi="Cambria"/>
          <w:color w:val="000000"/>
          <w:sz w:val="20"/>
          <w:szCs w:val="20"/>
          <w:lang w:val="es-VE"/>
        </w:rPr>
        <w:t xml:space="preserve">el Estado es responsable por la violación de los artículos </w:t>
      </w:r>
      <w:r w:rsidR="00435C7B">
        <w:rPr>
          <w:rFonts w:ascii="Cambria" w:hAnsi="Cambria"/>
          <w:color w:val="000000"/>
          <w:sz w:val="20"/>
          <w:szCs w:val="20"/>
          <w:lang w:val="es-VE"/>
        </w:rPr>
        <w:t>4.1</w:t>
      </w:r>
      <w:r w:rsidRPr="00435C7B">
        <w:rPr>
          <w:rFonts w:ascii="Cambria" w:hAnsi="Cambria"/>
          <w:color w:val="000000"/>
          <w:sz w:val="20"/>
          <w:szCs w:val="20"/>
          <w:lang w:val="es-VE"/>
        </w:rPr>
        <w:t xml:space="preserve"> (</w:t>
      </w:r>
      <w:r w:rsidR="00435C7B">
        <w:rPr>
          <w:rFonts w:ascii="Cambria" w:hAnsi="Cambria"/>
          <w:color w:val="000000"/>
          <w:sz w:val="20"/>
          <w:szCs w:val="20"/>
          <w:lang w:val="es-VE"/>
        </w:rPr>
        <w:t>derecho a la vida</w:t>
      </w:r>
      <w:r w:rsidRPr="00435C7B">
        <w:rPr>
          <w:rFonts w:ascii="Cambria" w:hAnsi="Cambria"/>
          <w:color w:val="000000"/>
          <w:sz w:val="20"/>
          <w:szCs w:val="20"/>
          <w:lang w:val="es-VE"/>
        </w:rPr>
        <w:t>)</w:t>
      </w:r>
      <w:r w:rsidR="00435C7B">
        <w:rPr>
          <w:rFonts w:ascii="Cambria" w:hAnsi="Cambria"/>
          <w:color w:val="000000"/>
          <w:sz w:val="20"/>
          <w:szCs w:val="20"/>
          <w:lang w:val="es-VE"/>
        </w:rPr>
        <w:t>; 5.1</w:t>
      </w:r>
      <w:r w:rsidR="00326B3F">
        <w:rPr>
          <w:rFonts w:ascii="Cambria" w:hAnsi="Cambria"/>
          <w:color w:val="000000"/>
          <w:sz w:val="20"/>
          <w:szCs w:val="20"/>
          <w:lang w:val="es-VE"/>
        </w:rPr>
        <w:t xml:space="preserve"> y 5.4</w:t>
      </w:r>
      <w:r w:rsidR="00435C7B">
        <w:rPr>
          <w:rFonts w:ascii="Cambria" w:hAnsi="Cambria"/>
          <w:color w:val="000000"/>
          <w:sz w:val="20"/>
          <w:szCs w:val="20"/>
          <w:lang w:val="es-VE"/>
        </w:rPr>
        <w:t xml:space="preserve"> (derecho a la integridad personal); 7.1, 7.2</w:t>
      </w:r>
      <w:r w:rsidR="00A45928">
        <w:rPr>
          <w:rFonts w:ascii="Cambria" w:hAnsi="Cambria"/>
          <w:color w:val="000000"/>
          <w:sz w:val="20"/>
          <w:szCs w:val="20"/>
          <w:lang w:val="es-VE"/>
        </w:rPr>
        <w:t>,</w:t>
      </w:r>
      <w:r w:rsidR="00435C7B">
        <w:rPr>
          <w:rFonts w:ascii="Cambria" w:hAnsi="Cambria"/>
          <w:color w:val="000000"/>
          <w:sz w:val="20"/>
          <w:szCs w:val="20"/>
          <w:lang w:val="es-VE"/>
        </w:rPr>
        <w:t xml:space="preserve"> 7.3</w:t>
      </w:r>
      <w:r w:rsidR="00A45928">
        <w:rPr>
          <w:rFonts w:ascii="Cambria" w:hAnsi="Cambria"/>
          <w:color w:val="000000"/>
          <w:sz w:val="20"/>
          <w:szCs w:val="20"/>
          <w:lang w:val="es-VE"/>
        </w:rPr>
        <w:t>. 7.5 y 7.6</w:t>
      </w:r>
      <w:r w:rsidR="00435C7B">
        <w:rPr>
          <w:rFonts w:ascii="Cambria" w:hAnsi="Cambria"/>
          <w:color w:val="000000"/>
          <w:sz w:val="20"/>
          <w:szCs w:val="20"/>
          <w:lang w:val="es-VE"/>
        </w:rPr>
        <w:t xml:space="preserve"> (derecho a la libertad personal); 8.1</w:t>
      </w:r>
      <w:r w:rsidR="00A45928">
        <w:rPr>
          <w:rFonts w:ascii="Cambria" w:hAnsi="Cambria"/>
          <w:color w:val="000000"/>
          <w:sz w:val="20"/>
          <w:szCs w:val="20"/>
          <w:lang w:val="es-VE"/>
        </w:rPr>
        <w:t xml:space="preserve"> y 8.2</w:t>
      </w:r>
      <w:r w:rsidR="00435C7B">
        <w:rPr>
          <w:rFonts w:ascii="Cambria" w:hAnsi="Cambria"/>
          <w:color w:val="000000"/>
          <w:sz w:val="20"/>
          <w:szCs w:val="20"/>
          <w:lang w:val="es-VE"/>
        </w:rPr>
        <w:t xml:space="preserve"> (garantías judiciales); y 25.1 (protección judicial) </w:t>
      </w:r>
      <w:r w:rsidRPr="00435C7B">
        <w:rPr>
          <w:rFonts w:ascii="Cambria" w:hAnsi="Cambria"/>
          <w:color w:val="000000"/>
          <w:sz w:val="20"/>
          <w:szCs w:val="20"/>
          <w:lang w:val="es-VE"/>
        </w:rPr>
        <w:t xml:space="preserve">de la Convención Americana sobre Derechos Humanos (en </w:t>
      </w:r>
      <w:proofErr w:type="gramStart"/>
      <w:r w:rsidRPr="00435C7B">
        <w:rPr>
          <w:rFonts w:ascii="Cambria" w:hAnsi="Cambria"/>
          <w:color w:val="000000"/>
          <w:sz w:val="20"/>
          <w:szCs w:val="20"/>
          <w:lang w:val="es-VE"/>
        </w:rPr>
        <w:t>adelante  “</w:t>
      </w:r>
      <w:proofErr w:type="gramEnd"/>
      <w:r w:rsidRPr="00435C7B">
        <w:rPr>
          <w:rFonts w:ascii="Cambria" w:hAnsi="Cambria"/>
          <w:color w:val="000000"/>
          <w:sz w:val="20"/>
          <w:szCs w:val="20"/>
          <w:lang w:val="es-VE"/>
        </w:rPr>
        <w:t xml:space="preserve">la Convención Americana” </w:t>
      </w:r>
      <w:r w:rsidR="008217E6" w:rsidRPr="00435C7B">
        <w:rPr>
          <w:rFonts w:ascii="Cambria" w:hAnsi="Cambria"/>
          <w:color w:val="000000"/>
          <w:sz w:val="20"/>
          <w:szCs w:val="20"/>
          <w:lang w:val="es-VE"/>
        </w:rPr>
        <w:t xml:space="preserve"> </w:t>
      </w:r>
      <w:r w:rsidRPr="00435C7B">
        <w:rPr>
          <w:rFonts w:ascii="Cambria" w:hAnsi="Cambria"/>
          <w:color w:val="000000"/>
          <w:sz w:val="20"/>
          <w:szCs w:val="20"/>
          <w:lang w:val="es-VE"/>
        </w:rPr>
        <w:t xml:space="preserve">o “la Convención”), en relación con las </w:t>
      </w:r>
      <w:r w:rsidR="00435C7B">
        <w:rPr>
          <w:rFonts w:ascii="Cambria" w:hAnsi="Cambria"/>
          <w:color w:val="000000"/>
          <w:sz w:val="20"/>
          <w:szCs w:val="20"/>
          <w:lang w:val="es-VE"/>
        </w:rPr>
        <w:t xml:space="preserve">obligaciones establecidas en </w:t>
      </w:r>
      <w:r w:rsidRPr="00435C7B">
        <w:rPr>
          <w:rFonts w:ascii="Cambria" w:hAnsi="Cambria"/>
          <w:color w:val="000000"/>
          <w:sz w:val="20"/>
          <w:szCs w:val="20"/>
          <w:lang w:val="es-VE"/>
        </w:rPr>
        <w:t>los artícu</w:t>
      </w:r>
      <w:r w:rsidRPr="00435C7B">
        <w:rPr>
          <w:rFonts w:ascii="Cambria" w:hAnsi="Cambria"/>
          <w:sz w:val="20"/>
          <w:szCs w:val="20"/>
          <w:lang w:val="es-VE"/>
        </w:rPr>
        <w:t>l</w:t>
      </w:r>
      <w:r w:rsidR="00435C7B" w:rsidRPr="00435C7B">
        <w:rPr>
          <w:rFonts w:ascii="Cambria" w:hAnsi="Cambria"/>
          <w:sz w:val="20"/>
          <w:szCs w:val="20"/>
          <w:lang w:val="es-VE"/>
        </w:rPr>
        <w:t>o</w:t>
      </w:r>
      <w:r w:rsidRPr="00435C7B">
        <w:rPr>
          <w:rFonts w:ascii="Cambria" w:hAnsi="Cambria"/>
          <w:sz w:val="20"/>
          <w:szCs w:val="20"/>
          <w:lang w:val="es-VE"/>
        </w:rPr>
        <w:t xml:space="preserve">s </w:t>
      </w:r>
      <w:r w:rsidR="00435C7B" w:rsidRPr="00435C7B">
        <w:rPr>
          <w:rFonts w:ascii="Cambria" w:hAnsi="Cambria"/>
          <w:sz w:val="20"/>
          <w:szCs w:val="20"/>
          <w:lang w:val="es-VE"/>
        </w:rPr>
        <w:t xml:space="preserve">1.1 y </w:t>
      </w:r>
      <w:r w:rsidRPr="00435C7B">
        <w:rPr>
          <w:rFonts w:ascii="Cambria" w:hAnsi="Cambria"/>
          <w:sz w:val="20"/>
          <w:szCs w:val="20"/>
          <w:lang w:val="es-VE"/>
        </w:rPr>
        <w:t xml:space="preserve">2 </w:t>
      </w:r>
      <w:r w:rsidRPr="00435C7B">
        <w:rPr>
          <w:rFonts w:ascii="Cambria" w:hAnsi="Cambria"/>
          <w:color w:val="000000"/>
          <w:sz w:val="20"/>
          <w:szCs w:val="20"/>
          <w:lang w:val="es-VE"/>
        </w:rPr>
        <w:t xml:space="preserve">del mismo instrumento. </w:t>
      </w:r>
    </w:p>
    <w:p w14:paraId="68B1A55C" w14:textId="77777777" w:rsidR="007C756A" w:rsidRPr="00CF5065" w:rsidRDefault="007C756A" w:rsidP="00AC1705">
      <w:pPr>
        <w:pStyle w:val="LightList-Accent51"/>
        <w:suppressAutoHyphens/>
        <w:ind w:left="1080"/>
        <w:rPr>
          <w:b/>
          <w:sz w:val="20"/>
          <w:szCs w:val="20"/>
          <w:lang w:val="es-ES_tradnl"/>
        </w:rPr>
      </w:pPr>
    </w:p>
    <w:p w14:paraId="0221A7BF" w14:textId="77777777" w:rsidR="00D12193" w:rsidRPr="00AC1705" w:rsidRDefault="00D12193" w:rsidP="00AC1705">
      <w:pPr>
        <w:pStyle w:val="Ttulo1"/>
        <w:spacing w:before="0"/>
        <w:ind w:hanging="90"/>
        <w:rPr>
          <w:color w:val="auto"/>
          <w:sz w:val="20"/>
          <w:szCs w:val="20"/>
          <w:lang w:val="es-ES_tradnl"/>
        </w:rPr>
      </w:pPr>
      <w:bookmarkStart w:id="1" w:name="_Toc529374044"/>
      <w:r w:rsidRPr="00AC1705">
        <w:rPr>
          <w:color w:val="auto"/>
          <w:sz w:val="20"/>
          <w:szCs w:val="20"/>
          <w:lang w:val="es-ES_tradnl"/>
        </w:rPr>
        <w:lastRenderedPageBreak/>
        <w:t>ALEGATOS DE LAS PARTES</w:t>
      </w:r>
      <w:bookmarkEnd w:id="1"/>
    </w:p>
    <w:p w14:paraId="602CFE63" w14:textId="77777777" w:rsidR="0008768F" w:rsidRPr="00CF5065" w:rsidRDefault="0008768F" w:rsidP="00AC1705">
      <w:pPr>
        <w:suppressAutoHyphens/>
        <w:rPr>
          <w:rFonts w:ascii="Cambria" w:hAnsi="Cambria"/>
          <w:sz w:val="20"/>
          <w:szCs w:val="20"/>
          <w:lang w:val="es-ES_tradnl"/>
        </w:rPr>
      </w:pPr>
    </w:p>
    <w:p w14:paraId="3927F80E" w14:textId="77777777" w:rsidR="00D12193" w:rsidRPr="00CF5065" w:rsidRDefault="00AC1705" w:rsidP="003F2B27">
      <w:pPr>
        <w:pStyle w:val="Ttulo2"/>
        <w:numPr>
          <w:ilvl w:val="0"/>
          <w:numId w:val="57"/>
        </w:numPr>
        <w:spacing w:before="0" w:after="0"/>
        <w:ind w:hanging="90"/>
        <w:rPr>
          <w:rFonts w:ascii="Cambria" w:hAnsi="Cambria"/>
          <w:i w:val="0"/>
          <w:sz w:val="20"/>
          <w:szCs w:val="20"/>
          <w:lang w:val="es-ES_tradnl"/>
        </w:rPr>
      </w:pPr>
      <w:bookmarkStart w:id="2" w:name="_Toc529374045"/>
      <w:r w:rsidRPr="00CF5065">
        <w:rPr>
          <w:rFonts w:ascii="Cambria" w:hAnsi="Cambria"/>
          <w:i w:val="0"/>
          <w:sz w:val="20"/>
          <w:szCs w:val="20"/>
          <w:lang w:val="es-ES_tradnl"/>
        </w:rPr>
        <w:t>Parte peticionaria</w:t>
      </w:r>
      <w:bookmarkEnd w:id="2"/>
    </w:p>
    <w:p w14:paraId="4D6404A1" w14:textId="77777777" w:rsidR="00577BE2" w:rsidRPr="00CF5065" w:rsidRDefault="00577BE2" w:rsidP="00577BE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FF0000"/>
          <w:sz w:val="20"/>
          <w:szCs w:val="20"/>
          <w:lang w:val="es-VE"/>
        </w:rPr>
      </w:pPr>
    </w:p>
    <w:p w14:paraId="111282A3" w14:textId="77777777" w:rsidR="00984C43" w:rsidRDefault="00C93C86" w:rsidP="00C93C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es-VE"/>
        </w:rPr>
      </w:pPr>
      <w:r w:rsidRPr="00CF5065">
        <w:rPr>
          <w:rFonts w:ascii="Cambria" w:hAnsi="Cambria"/>
          <w:color w:val="000000"/>
          <w:sz w:val="20"/>
          <w:szCs w:val="20"/>
          <w:lang w:val="es-VE"/>
        </w:rPr>
        <w:t xml:space="preserve">La parte peticionaria </w:t>
      </w:r>
      <w:r>
        <w:rPr>
          <w:rFonts w:ascii="Cambria" w:hAnsi="Cambria"/>
          <w:color w:val="000000"/>
          <w:sz w:val="20"/>
          <w:szCs w:val="20"/>
          <w:lang w:val="es-VE"/>
        </w:rPr>
        <w:t xml:space="preserve">alegó que </w:t>
      </w:r>
      <w:r w:rsidR="00984C43">
        <w:rPr>
          <w:rFonts w:ascii="Cambria" w:hAnsi="Cambria"/>
          <w:color w:val="000000"/>
          <w:sz w:val="20"/>
          <w:szCs w:val="20"/>
          <w:lang w:val="es-VE"/>
        </w:rPr>
        <w:t xml:space="preserve">el Estado es responsable por la violación </w:t>
      </w:r>
      <w:r w:rsidR="00C65E3D">
        <w:rPr>
          <w:rFonts w:ascii="Cambria" w:hAnsi="Cambria"/>
          <w:color w:val="000000"/>
          <w:sz w:val="20"/>
          <w:szCs w:val="20"/>
          <w:lang w:val="es-VE"/>
        </w:rPr>
        <w:t xml:space="preserve">de varios </w:t>
      </w:r>
      <w:r w:rsidR="00984C43">
        <w:rPr>
          <w:rFonts w:ascii="Cambria" w:hAnsi="Cambria"/>
          <w:color w:val="000000"/>
          <w:sz w:val="20"/>
          <w:szCs w:val="20"/>
          <w:lang w:val="es-VE"/>
        </w:rPr>
        <w:t xml:space="preserve">derechos humanos </w:t>
      </w:r>
      <w:r w:rsidR="00E34204" w:rsidRPr="00435C7B">
        <w:rPr>
          <w:rFonts w:ascii="Cambria" w:hAnsi="Cambria"/>
          <w:color w:val="000000"/>
          <w:sz w:val="20"/>
          <w:szCs w:val="20"/>
          <w:lang w:val="es-VE"/>
        </w:rPr>
        <w:t xml:space="preserve">establecidos en </w:t>
      </w:r>
      <w:r w:rsidR="00984C43" w:rsidRPr="00435C7B">
        <w:rPr>
          <w:rFonts w:ascii="Cambria" w:hAnsi="Cambria"/>
          <w:color w:val="000000"/>
          <w:sz w:val="20"/>
          <w:szCs w:val="20"/>
          <w:lang w:val="es-VE"/>
        </w:rPr>
        <w:t xml:space="preserve">la Convención en perjuicio de seis miembros </w:t>
      </w:r>
      <w:r w:rsidR="00E34204" w:rsidRPr="00435C7B">
        <w:rPr>
          <w:rFonts w:ascii="Cambria" w:hAnsi="Cambria"/>
          <w:color w:val="000000"/>
          <w:sz w:val="20"/>
          <w:szCs w:val="20"/>
          <w:lang w:val="es-VE"/>
        </w:rPr>
        <w:t>de la familia González</w:t>
      </w:r>
      <w:r w:rsidR="0091749F" w:rsidRPr="00435C7B">
        <w:rPr>
          <w:rFonts w:ascii="Cambria" w:hAnsi="Cambria"/>
          <w:color w:val="000000"/>
          <w:sz w:val="20"/>
          <w:szCs w:val="20"/>
          <w:lang w:val="es-VE"/>
        </w:rPr>
        <w:t>, quienes pertenecen</w:t>
      </w:r>
      <w:r w:rsidR="00E34204" w:rsidRPr="00435C7B">
        <w:rPr>
          <w:rFonts w:ascii="Cambria" w:hAnsi="Cambria"/>
          <w:color w:val="000000"/>
          <w:sz w:val="20"/>
          <w:szCs w:val="20"/>
          <w:lang w:val="es-VE"/>
        </w:rPr>
        <w:t xml:space="preserve"> al pueblo indígena</w:t>
      </w:r>
      <w:r w:rsidR="00984C43" w:rsidRPr="00435C7B">
        <w:rPr>
          <w:rFonts w:ascii="Cambria" w:hAnsi="Cambria"/>
          <w:color w:val="000000"/>
          <w:sz w:val="20"/>
          <w:szCs w:val="20"/>
          <w:lang w:val="es-VE"/>
        </w:rPr>
        <w:t xml:space="preserve"> </w:t>
      </w:r>
      <w:r w:rsidR="00E34204" w:rsidRPr="00435C7B">
        <w:rPr>
          <w:rFonts w:ascii="Cambria" w:hAnsi="Cambria"/>
          <w:sz w:val="20"/>
          <w:szCs w:val="20"/>
          <w:lang w:val="es-VE"/>
        </w:rPr>
        <w:t>Wayuú y residían en la ciudad de Maracaibo</w:t>
      </w:r>
      <w:r w:rsidR="00435C7B" w:rsidRPr="00435C7B">
        <w:rPr>
          <w:rFonts w:ascii="Cambria" w:hAnsi="Cambria"/>
          <w:sz w:val="20"/>
          <w:szCs w:val="20"/>
          <w:lang w:val="es-VE"/>
        </w:rPr>
        <w:t>, estado Zulia</w:t>
      </w:r>
      <w:r w:rsidR="00E34204" w:rsidRPr="00435C7B">
        <w:rPr>
          <w:rFonts w:ascii="Cambria" w:hAnsi="Cambria"/>
          <w:sz w:val="20"/>
          <w:szCs w:val="20"/>
          <w:lang w:val="es-VE"/>
        </w:rPr>
        <w:t xml:space="preserve">. </w:t>
      </w:r>
      <w:r w:rsidR="00984C43" w:rsidRPr="00435C7B">
        <w:rPr>
          <w:rFonts w:ascii="Cambria" w:hAnsi="Cambria"/>
          <w:color w:val="000000"/>
          <w:sz w:val="20"/>
          <w:szCs w:val="20"/>
          <w:lang w:val="es-VE"/>
        </w:rPr>
        <w:t>Sostuvo que dichas vulneraciones se dieron en el marco de un proceso penal iniciado en el año 1998</w:t>
      </w:r>
      <w:r w:rsidR="00E34204" w:rsidRPr="00435C7B">
        <w:rPr>
          <w:rFonts w:ascii="Cambria" w:hAnsi="Cambria"/>
          <w:color w:val="000000"/>
          <w:sz w:val="20"/>
          <w:szCs w:val="20"/>
          <w:lang w:val="es-VE"/>
        </w:rPr>
        <w:t xml:space="preserve"> </w:t>
      </w:r>
      <w:r w:rsidR="00984C43">
        <w:rPr>
          <w:rFonts w:ascii="Cambria" w:hAnsi="Cambria"/>
          <w:color w:val="000000"/>
          <w:sz w:val="20"/>
          <w:szCs w:val="20"/>
          <w:lang w:val="es-VE"/>
        </w:rPr>
        <w:t xml:space="preserve">por el delito de homicidio de </w:t>
      </w:r>
      <w:r w:rsidR="00416011">
        <w:rPr>
          <w:rFonts w:ascii="Cambria" w:hAnsi="Cambria"/>
          <w:color w:val="000000"/>
          <w:sz w:val="20"/>
          <w:szCs w:val="20"/>
          <w:lang w:val="es-VE"/>
        </w:rPr>
        <w:t xml:space="preserve">Carmen Fernández, </w:t>
      </w:r>
      <w:r w:rsidR="00495792">
        <w:rPr>
          <w:rFonts w:ascii="Cambria" w:hAnsi="Cambria"/>
          <w:color w:val="000000"/>
          <w:sz w:val="20"/>
          <w:szCs w:val="20"/>
          <w:lang w:val="es-VE"/>
        </w:rPr>
        <w:t xml:space="preserve">vecina de </w:t>
      </w:r>
      <w:r w:rsidR="00E34204">
        <w:rPr>
          <w:rFonts w:ascii="Cambria" w:hAnsi="Cambria"/>
          <w:color w:val="000000"/>
          <w:sz w:val="20"/>
          <w:szCs w:val="20"/>
          <w:lang w:val="es-VE"/>
        </w:rPr>
        <w:t>la familia González.</w:t>
      </w:r>
    </w:p>
    <w:p w14:paraId="0E2A5B25" w14:textId="77777777" w:rsidR="00C93C86" w:rsidRDefault="00C93C86" w:rsidP="00C93C8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FF0000"/>
          <w:sz w:val="20"/>
          <w:szCs w:val="20"/>
          <w:lang w:val="es-VE"/>
        </w:rPr>
      </w:pPr>
    </w:p>
    <w:p w14:paraId="09F74933" w14:textId="77777777" w:rsidR="00984C43" w:rsidRPr="001F1C70" w:rsidRDefault="00C93C86" w:rsidP="00C93C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CF5065">
        <w:rPr>
          <w:rFonts w:ascii="Cambria" w:hAnsi="Cambria"/>
          <w:sz w:val="20"/>
          <w:szCs w:val="20"/>
          <w:lang w:val="es-VE"/>
        </w:rPr>
        <w:t xml:space="preserve">Respecto a </w:t>
      </w:r>
      <w:proofErr w:type="gramStart"/>
      <w:r w:rsidRPr="00CF5065">
        <w:rPr>
          <w:rFonts w:ascii="Cambria" w:hAnsi="Cambria"/>
          <w:sz w:val="20"/>
          <w:szCs w:val="20"/>
          <w:lang w:val="es-VE"/>
        </w:rPr>
        <w:t>la  violación</w:t>
      </w:r>
      <w:proofErr w:type="gramEnd"/>
      <w:r w:rsidRPr="00CF5065">
        <w:rPr>
          <w:rFonts w:ascii="Cambria" w:hAnsi="Cambria"/>
          <w:sz w:val="20"/>
          <w:szCs w:val="20"/>
          <w:lang w:val="es-VE"/>
        </w:rPr>
        <w:t xml:space="preserve"> del d</w:t>
      </w:r>
      <w:r w:rsidRPr="001F1C70">
        <w:rPr>
          <w:rFonts w:ascii="Cambria" w:hAnsi="Cambria"/>
          <w:sz w:val="20"/>
          <w:szCs w:val="20"/>
          <w:lang w:val="es-VE"/>
        </w:rPr>
        <w:t xml:space="preserve">erecho a la  libertad personal, </w:t>
      </w:r>
      <w:r w:rsidR="00984C43" w:rsidRPr="001F1C70">
        <w:rPr>
          <w:rFonts w:ascii="Cambria" w:hAnsi="Cambria"/>
          <w:sz w:val="20"/>
          <w:szCs w:val="20"/>
          <w:lang w:val="es-VE"/>
        </w:rPr>
        <w:t xml:space="preserve">alegó que </w:t>
      </w:r>
      <w:r w:rsidR="00984C43" w:rsidRPr="001F1C70">
        <w:rPr>
          <w:rFonts w:ascii="Cambria" w:hAnsi="Cambria"/>
          <w:color w:val="000000"/>
          <w:sz w:val="20"/>
          <w:szCs w:val="20"/>
          <w:lang w:val="es-VE"/>
        </w:rPr>
        <w:t xml:space="preserve">la detención preventiva de las presuntas víctimas en noviembre de 1998 y enero de 1999 tuvo una duración irrazonable y no fue fundamentada adecuadamente. Añadió que el Código de Enjuiciamiento </w:t>
      </w:r>
      <w:r w:rsidR="00834779">
        <w:rPr>
          <w:rFonts w:ascii="Cambria" w:hAnsi="Cambria"/>
          <w:color w:val="000000"/>
          <w:sz w:val="20"/>
          <w:szCs w:val="20"/>
          <w:lang w:val="es-VE"/>
        </w:rPr>
        <w:t xml:space="preserve">Criminal </w:t>
      </w:r>
      <w:r w:rsidR="00984C43" w:rsidRPr="00435C7B">
        <w:rPr>
          <w:rFonts w:ascii="Cambria" w:hAnsi="Cambria"/>
          <w:color w:val="000000"/>
          <w:sz w:val="20"/>
          <w:szCs w:val="20"/>
          <w:lang w:val="es-VE"/>
        </w:rPr>
        <w:t>establecía como regla general la detención preventiva ante la existencia de meros indicios de responsabilidad penal, lo cual resulta contrario a la Convención Amer</w:t>
      </w:r>
      <w:r w:rsidR="00EB1046" w:rsidRPr="00435C7B">
        <w:rPr>
          <w:rFonts w:ascii="Cambria" w:hAnsi="Cambria"/>
          <w:color w:val="000000"/>
          <w:sz w:val="20"/>
          <w:szCs w:val="20"/>
          <w:lang w:val="es-VE"/>
        </w:rPr>
        <w:t>ic</w:t>
      </w:r>
      <w:r w:rsidR="00984C43" w:rsidRPr="00435C7B">
        <w:rPr>
          <w:rFonts w:ascii="Cambria" w:hAnsi="Cambria"/>
          <w:color w:val="000000"/>
          <w:sz w:val="20"/>
          <w:szCs w:val="20"/>
          <w:lang w:val="es-VE"/>
        </w:rPr>
        <w:t xml:space="preserve">ana. </w:t>
      </w:r>
      <w:r w:rsidR="002E3F66" w:rsidRPr="00435C7B">
        <w:rPr>
          <w:rFonts w:ascii="Cambria" w:hAnsi="Cambria"/>
          <w:color w:val="000000"/>
          <w:sz w:val="20"/>
          <w:szCs w:val="20"/>
          <w:lang w:val="es-VE"/>
        </w:rPr>
        <w:t xml:space="preserve">Sostuvo que también se vulneró su derecho a la protección judicial en tanto el recurso </w:t>
      </w:r>
      <w:r w:rsidR="00EB1046" w:rsidRPr="00435C7B">
        <w:rPr>
          <w:rFonts w:ascii="Cambria" w:hAnsi="Cambria"/>
          <w:color w:val="000000"/>
          <w:sz w:val="20"/>
          <w:szCs w:val="20"/>
          <w:lang w:val="es-VE"/>
        </w:rPr>
        <w:t>presentado para modificar la pri</w:t>
      </w:r>
      <w:r w:rsidR="002E3F66" w:rsidRPr="00435C7B">
        <w:rPr>
          <w:rFonts w:ascii="Cambria" w:hAnsi="Cambria"/>
          <w:color w:val="000000"/>
          <w:sz w:val="20"/>
          <w:szCs w:val="20"/>
          <w:lang w:val="es-VE"/>
        </w:rPr>
        <w:t>sión preventiva por</w:t>
      </w:r>
      <w:r w:rsidR="002E3F66" w:rsidRPr="001F1C70">
        <w:rPr>
          <w:rFonts w:ascii="Cambria" w:hAnsi="Cambria"/>
          <w:color w:val="000000"/>
          <w:sz w:val="20"/>
          <w:szCs w:val="20"/>
          <w:lang w:val="es-VE"/>
        </w:rPr>
        <w:t xml:space="preserve"> una medida menos lesiva fue rechazado sin analizar la situación particular de las presuntas víctimas.</w:t>
      </w:r>
    </w:p>
    <w:p w14:paraId="6EBFEA30" w14:textId="77777777" w:rsidR="00984C43" w:rsidRPr="001F1C70" w:rsidRDefault="00984C43" w:rsidP="00984C4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53882A46" w14:textId="77777777" w:rsidR="00984C43" w:rsidRDefault="00984C43" w:rsidP="00984C4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1F1C70">
        <w:rPr>
          <w:rFonts w:ascii="Cambria" w:hAnsi="Cambria"/>
          <w:sz w:val="20"/>
          <w:szCs w:val="20"/>
          <w:lang w:val="es-VE"/>
        </w:rPr>
        <w:t xml:space="preserve">En relación con la alegada violación del derecho a la integridad personal, la parte peticionaria sostuvo que durante la detención preventiva </w:t>
      </w:r>
      <w:r w:rsidR="002E3F66" w:rsidRPr="001F1C70">
        <w:rPr>
          <w:rFonts w:ascii="Cambria" w:hAnsi="Cambria"/>
          <w:sz w:val="20"/>
          <w:szCs w:val="20"/>
          <w:lang w:val="es-VE"/>
        </w:rPr>
        <w:t>las presuntas víctimas</w:t>
      </w:r>
      <w:r w:rsidR="009E4F32">
        <w:rPr>
          <w:rFonts w:ascii="Cambria" w:hAnsi="Cambria"/>
          <w:sz w:val="20"/>
          <w:szCs w:val="20"/>
          <w:lang w:val="es-VE"/>
        </w:rPr>
        <w:t xml:space="preserve"> no fueron separadas de personas condenadas </w:t>
      </w:r>
      <w:r w:rsidRPr="001F1C70">
        <w:rPr>
          <w:rFonts w:ascii="Cambria" w:hAnsi="Cambria"/>
          <w:sz w:val="20"/>
          <w:szCs w:val="20"/>
          <w:lang w:val="es-VE"/>
        </w:rPr>
        <w:t>en la Cárcel Nacional de S</w:t>
      </w:r>
      <w:r w:rsidR="00832560">
        <w:rPr>
          <w:rFonts w:ascii="Cambria" w:hAnsi="Cambria"/>
          <w:sz w:val="20"/>
          <w:szCs w:val="20"/>
          <w:lang w:val="es-VE"/>
        </w:rPr>
        <w:t>a</w:t>
      </w:r>
      <w:r w:rsidRPr="001F1C70">
        <w:rPr>
          <w:rFonts w:ascii="Cambria" w:hAnsi="Cambria"/>
          <w:sz w:val="20"/>
          <w:szCs w:val="20"/>
          <w:lang w:val="es-VE"/>
        </w:rPr>
        <w:t>b</w:t>
      </w:r>
      <w:r w:rsidR="00832560">
        <w:rPr>
          <w:rFonts w:ascii="Cambria" w:hAnsi="Cambria"/>
          <w:sz w:val="20"/>
          <w:szCs w:val="20"/>
          <w:lang w:val="es-VE"/>
        </w:rPr>
        <w:t>a</w:t>
      </w:r>
      <w:r w:rsidRPr="001F1C70">
        <w:rPr>
          <w:rFonts w:ascii="Cambria" w:hAnsi="Cambria"/>
          <w:sz w:val="20"/>
          <w:szCs w:val="20"/>
          <w:lang w:val="es-VE"/>
        </w:rPr>
        <w:t xml:space="preserve">neta del Estado de Zulia. </w:t>
      </w:r>
      <w:r w:rsidR="002E3F66" w:rsidRPr="001F1C70">
        <w:rPr>
          <w:rFonts w:ascii="Cambria" w:hAnsi="Cambria"/>
          <w:sz w:val="20"/>
          <w:szCs w:val="20"/>
          <w:lang w:val="es-VE"/>
        </w:rPr>
        <w:t>Asimismo, alegó que durante la detención las presuntas víc</w:t>
      </w:r>
      <w:r w:rsidR="001F1C70" w:rsidRPr="001F1C70">
        <w:rPr>
          <w:rFonts w:ascii="Cambria" w:hAnsi="Cambria"/>
          <w:sz w:val="20"/>
          <w:szCs w:val="20"/>
          <w:lang w:val="es-VE"/>
        </w:rPr>
        <w:t xml:space="preserve">timas </w:t>
      </w:r>
      <w:r w:rsidR="00A85163" w:rsidRPr="001F1C70">
        <w:rPr>
          <w:rFonts w:ascii="Cambria" w:hAnsi="Cambria"/>
          <w:sz w:val="20"/>
          <w:szCs w:val="20"/>
          <w:lang w:val="es-VE"/>
        </w:rPr>
        <w:t>sufrieron</w:t>
      </w:r>
      <w:r w:rsidR="001F1C70" w:rsidRPr="001F1C70">
        <w:rPr>
          <w:rFonts w:ascii="Cambria" w:hAnsi="Cambria"/>
          <w:sz w:val="20"/>
          <w:szCs w:val="20"/>
          <w:lang w:val="es-VE"/>
        </w:rPr>
        <w:t xml:space="preserve"> amenazas y actos de intimidación. Sostuvo que ello también afectó su honra y dignidad. </w:t>
      </w:r>
    </w:p>
    <w:p w14:paraId="29CA9C91" w14:textId="77777777" w:rsidR="001F1C70" w:rsidRDefault="001F1C70" w:rsidP="001F1C7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5CE5380C" w14:textId="77777777" w:rsidR="009C4298" w:rsidRPr="00094F22" w:rsidRDefault="001F1C70" w:rsidP="00094F2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Respecto de lo sucedido a </w:t>
      </w:r>
      <w:r w:rsidRPr="00CF5065">
        <w:rPr>
          <w:rFonts w:ascii="Cambria" w:hAnsi="Cambria"/>
          <w:sz w:val="20"/>
          <w:szCs w:val="20"/>
          <w:lang w:val="es-VE"/>
        </w:rPr>
        <w:t>Olimpiades Gonzále</w:t>
      </w:r>
      <w:r w:rsidR="001F315F">
        <w:rPr>
          <w:rFonts w:ascii="Cambria" w:hAnsi="Cambria"/>
          <w:sz w:val="20"/>
          <w:szCs w:val="20"/>
          <w:lang w:val="es-VE"/>
        </w:rPr>
        <w:t>z</w:t>
      </w:r>
      <w:r>
        <w:rPr>
          <w:rFonts w:ascii="Cambria" w:hAnsi="Cambria"/>
          <w:sz w:val="20"/>
          <w:szCs w:val="20"/>
          <w:lang w:val="es-VE"/>
        </w:rPr>
        <w:t xml:space="preserve">, sostuvo </w:t>
      </w:r>
      <w:proofErr w:type="gramStart"/>
      <w:r>
        <w:rPr>
          <w:rFonts w:ascii="Cambria" w:hAnsi="Cambria"/>
          <w:sz w:val="20"/>
          <w:szCs w:val="20"/>
          <w:lang w:val="es-VE"/>
        </w:rPr>
        <w:t>que</w:t>
      </w:r>
      <w:proofErr w:type="gramEnd"/>
      <w:r>
        <w:rPr>
          <w:rFonts w:ascii="Cambria" w:hAnsi="Cambria"/>
          <w:sz w:val="20"/>
          <w:szCs w:val="20"/>
          <w:lang w:val="es-VE"/>
        </w:rPr>
        <w:t xml:space="preserve"> frente a </w:t>
      </w:r>
      <w:r w:rsidR="009C4298">
        <w:rPr>
          <w:rFonts w:ascii="Cambria" w:hAnsi="Cambria"/>
          <w:sz w:val="20"/>
          <w:szCs w:val="20"/>
          <w:lang w:val="es-VE"/>
        </w:rPr>
        <w:t>múltiples denuncias</w:t>
      </w:r>
      <w:r>
        <w:rPr>
          <w:rFonts w:ascii="Cambria" w:hAnsi="Cambria"/>
          <w:sz w:val="20"/>
          <w:szCs w:val="20"/>
          <w:lang w:val="es-VE"/>
        </w:rPr>
        <w:t xml:space="preserve"> por </w:t>
      </w:r>
      <w:r>
        <w:rPr>
          <w:rFonts w:ascii="Cambria" w:hAnsi="Cambria"/>
          <w:color w:val="000000"/>
          <w:sz w:val="20"/>
          <w:szCs w:val="20"/>
          <w:lang w:val="es-VE"/>
        </w:rPr>
        <w:t>amenazas y atentados de muerte, el Estado no brindó medidas de segur</w:t>
      </w:r>
      <w:r w:rsidR="009C4298">
        <w:rPr>
          <w:rFonts w:ascii="Cambria" w:hAnsi="Cambria"/>
          <w:color w:val="000000"/>
          <w:sz w:val="20"/>
          <w:szCs w:val="20"/>
          <w:lang w:val="es-VE"/>
        </w:rPr>
        <w:t xml:space="preserve">idad adecuadas para proteger su </w:t>
      </w:r>
      <w:r w:rsidR="00F664AF">
        <w:rPr>
          <w:rFonts w:ascii="Cambria" w:hAnsi="Cambria"/>
          <w:color w:val="000000"/>
          <w:sz w:val="20"/>
          <w:szCs w:val="20"/>
          <w:lang w:val="es-VE"/>
        </w:rPr>
        <w:t>vida e integridad personal, a pesar de tener conocimiento del riesgo.</w:t>
      </w:r>
      <w:r>
        <w:rPr>
          <w:rFonts w:ascii="Cambria" w:hAnsi="Cambria"/>
          <w:color w:val="000000"/>
          <w:sz w:val="20"/>
          <w:szCs w:val="20"/>
          <w:lang w:val="es-VE"/>
        </w:rPr>
        <w:t xml:space="preserve"> </w:t>
      </w:r>
      <w:r w:rsidR="009C4298">
        <w:rPr>
          <w:rFonts w:ascii="Cambria" w:hAnsi="Cambria"/>
          <w:color w:val="000000"/>
          <w:sz w:val="20"/>
          <w:szCs w:val="20"/>
          <w:lang w:val="es-VE"/>
        </w:rPr>
        <w:t xml:space="preserve">Indicó que las medidas de protección otorgadas fueron mínimas y únicamente tuvieron una duración de dos meses. Agregó que a pesar de los recursos </w:t>
      </w:r>
      <w:r w:rsidR="005328CA">
        <w:rPr>
          <w:rFonts w:ascii="Cambria" w:hAnsi="Cambria"/>
          <w:color w:val="000000"/>
          <w:sz w:val="20"/>
          <w:szCs w:val="20"/>
          <w:lang w:val="es-VE"/>
        </w:rPr>
        <w:t>presentados</w:t>
      </w:r>
      <w:r w:rsidR="009C4298">
        <w:rPr>
          <w:rFonts w:ascii="Cambria" w:hAnsi="Cambria"/>
          <w:color w:val="000000"/>
          <w:sz w:val="20"/>
          <w:szCs w:val="20"/>
          <w:lang w:val="es-VE"/>
        </w:rPr>
        <w:t xml:space="preserve"> para que las medidas de seguridad vuelvan a ser implementadas, éstos fueron rechazad</w:t>
      </w:r>
      <w:r w:rsidR="0098466C">
        <w:rPr>
          <w:rFonts w:ascii="Cambria" w:hAnsi="Cambria"/>
          <w:color w:val="000000"/>
          <w:sz w:val="20"/>
          <w:szCs w:val="20"/>
          <w:lang w:val="es-VE"/>
        </w:rPr>
        <w:t>o</w:t>
      </w:r>
      <w:r w:rsidR="009C4298">
        <w:rPr>
          <w:rFonts w:ascii="Cambria" w:hAnsi="Cambria"/>
          <w:color w:val="000000"/>
          <w:sz w:val="20"/>
          <w:szCs w:val="20"/>
          <w:lang w:val="es-VE"/>
        </w:rPr>
        <w:t>s.</w:t>
      </w:r>
      <w:r w:rsidR="00094F22">
        <w:rPr>
          <w:rFonts w:ascii="Cambria" w:hAnsi="Cambria"/>
          <w:sz w:val="20"/>
          <w:szCs w:val="20"/>
          <w:lang w:val="es-VE"/>
        </w:rPr>
        <w:t xml:space="preserve"> </w:t>
      </w:r>
      <w:r w:rsidR="00EE392A" w:rsidRPr="00094F22">
        <w:rPr>
          <w:rFonts w:ascii="Cambria" w:hAnsi="Cambria"/>
          <w:color w:val="000000"/>
          <w:sz w:val="20"/>
          <w:szCs w:val="20"/>
          <w:lang w:val="es-VE"/>
        </w:rPr>
        <w:t xml:space="preserve">Sostuvo que no se han realizado diligencias mínimas en el marco de la investigación a efectos de esclarecer lo sucedido, identificar y sancionar a las personas responsables.  </w:t>
      </w:r>
    </w:p>
    <w:p w14:paraId="60A4083D" w14:textId="77777777" w:rsidR="00361415" w:rsidRPr="00CF5065" w:rsidRDefault="00361415" w:rsidP="00361415">
      <w:pPr>
        <w:suppressAutoHyphens/>
        <w:rPr>
          <w:rFonts w:ascii="Cambria" w:hAnsi="Cambria"/>
          <w:color w:val="548DD4"/>
          <w:sz w:val="20"/>
          <w:szCs w:val="20"/>
          <w:lang w:val="es-VE"/>
        </w:rPr>
      </w:pPr>
    </w:p>
    <w:p w14:paraId="0FDCEADF" w14:textId="77777777" w:rsidR="001C4ECC" w:rsidRPr="00CF5065" w:rsidRDefault="00AC1705" w:rsidP="00084C85">
      <w:pPr>
        <w:pStyle w:val="Ttulo2"/>
        <w:numPr>
          <w:ilvl w:val="0"/>
          <w:numId w:val="57"/>
        </w:numPr>
        <w:spacing w:before="0" w:after="0"/>
        <w:ind w:hanging="90"/>
        <w:rPr>
          <w:rFonts w:ascii="Cambria" w:hAnsi="Cambria"/>
          <w:i w:val="0"/>
          <w:sz w:val="20"/>
          <w:szCs w:val="20"/>
          <w:lang w:val="es-ES_tradnl"/>
        </w:rPr>
      </w:pPr>
      <w:bookmarkStart w:id="3" w:name="_Toc529374046"/>
      <w:r w:rsidRPr="00CF5065">
        <w:rPr>
          <w:rFonts w:ascii="Cambria" w:hAnsi="Cambria"/>
          <w:i w:val="0"/>
          <w:sz w:val="20"/>
          <w:szCs w:val="20"/>
          <w:lang w:val="es-ES_tradnl"/>
        </w:rPr>
        <w:t>Estado</w:t>
      </w:r>
      <w:bookmarkEnd w:id="3"/>
    </w:p>
    <w:p w14:paraId="292B3744" w14:textId="77777777" w:rsidR="007C756A" w:rsidRPr="00CF5065" w:rsidRDefault="007C756A" w:rsidP="00CC63CF">
      <w:pPr>
        <w:suppressAutoHyphens/>
        <w:rPr>
          <w:rFonts w:ascii="Cambria" w:hAnsi="Cambria"/>
          <w:sz w:val="20"/>
          <w:szCs w:val="20"/>
          <w:lang w:val="es-ES_tradnl"/>
        </w:rPr>
      </w:pPr>
    </w:p>
    <w:p w14:paraId="79F405C4" w14:textId="77777777" w:rsidR="00C95396" w:rsidRPr="00C95396" w:rsidRDefault="00EE392A" w:rsidP="00C9539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es-VE"/>
        </w:rPr>
      </w:pPr>
      <w:r>
        <w:rPr>
          <w:rFonts w:ascii="Cambria" w:hAnsi="Cambria"/>
          <w:sz w:val="20"/>
          <w:szCs w:val="20"/>
          <w:lang w:val="es-VE"/>
        </w:rPr>
        <w:t>El E</w:t>
      </w:r>
      <w:r w:rsidR="003B18C3" w:rsidRPr="00CF5065">
        <w:rPr>
          <w:rFonts w:ascii="Cambria" w:hAnsi="Cambria"/>
          <w:sz w:val="20"/>
          <w:szCs w:val="20"/>
          <w:lang w:val="es-VE"/>
        </w:rPr>
        <w:t xml:space="preserve">stado </w:t>
      </w:r>
      <w:r w:rsidRPr="00CF5065">
        <w:rPr>
          <w:rFonts w:ascii="Cambria" w:hAnsi="Cambria"/>
          <w:color w:val="000000"/>
          <w:sz w:val="20"/>
          <w:szCs w:val="20"/>
          <w:lang w:val="es-VE"/>
        </w:rPr>
        <w:t xml:space="preserve">alegó que </w:t>
      </w:r>
      <w:r>
        <w:rPr>
          <w:rFonts w:ascii="Cambria" w:hAnsi="Cambria"/>
          <w:color w:val="000000"/>
          <w:sz w:val="20"/>
          <w:szCs w:val="20"/>
          <w:lang w:val="es-VE"/>
        </w:rPr>
        <w:t>la detención preventiva de las presuntas víctimas en el marco del proceso penal</w:t>
      </w:r>
      <w:r w:rsidR="00F61439">
        <w:rPr>
          <w:rFonts w:ascii="Cambria" w:hAnsi="Cambria"/>
          <w:color w:val="000000"/>
          <w:sz w:val="20"/>
          <w:szCs w:val="20"/>
          <w:lang w:val="es-VE"/>
        </w:rPr>
        <w:t xml:space="preserve"> fue </w:t>
      </w:r>
      <w:r>
        <w:rPr>
          <w:rFonts w:ascii="Cambria" w:hAnsi="Cambria"/>
          <w:color w:val="000000"/>
          <w:sz w:val="20"/>
          <w:szCs w:val="20"/>
          <w:lang w:val="es-VE"/>
        </w:rPr>
        <w:t>legal conforme a</w:t>
      </w:r>
      <w:r w:rsidR="00F61439">
        <w:rPr>
          <w:rFonts w:ascii="Cambria" w:hAnsi="Cambria"/>
          <w:color w:val="000000"/>
          <w:sz w:val="20"/>
          <w:szCs w:val="20"/>
          <w:lang w:val="es-VE"/>
        </w:rPr>
        <w:t xml:space="preserve">l </w:t>
      </w:r>
      <w:r>
        <w:rPr>
          <w:rFonts w:ascii="Cambria" w:hAnsi="Cambria"/>
          <w:color w:val="000000"/>
          <w:sz w:val="20"/>
          <w:szCs w:val="20"/>
          <w:lang w:val="es-VE"/>
        </w:rPr>
        <w:t xml:space="preserve">Código de Enjuiciamiento Penal y a los estándares internacionales. </w:t>
      </w:r>
      <w:r w:rsidR="00C95396">
        <w:rPr>
          <w:rFonts w:ascii="Cambria" w:hAnsi="Cambria"/>
          <w:color w:val="000000"/>
          <w:sz w:val="20"/>
          <w:szCs w:val="20"/>
          <w:lang w:val="es-VE"/>
        </w:rPr>
        <w:t xml:space="preserve">Sostuvo que </w:t>
      </w:r>
      <w:r w:rsidR="00C95396" w:rsidRPr="00C95396">
        <w:rPr>
          <w:rFonts w:ascii="Cambria" w:hAnsi="Cambria"/>
          <w:sz w:val="20"/>
          <w:szCs w:val="20"/>
          <w:lang w:val="es-VE"/>
        </w:rPr>
        <w:t>la detención</w:t>
      </w:r>
      <w:r w:rsidR="00321426">
        <w:rPr>
          <w:rFonts w:ascii="Cambria" w:hAnsi="Cambria"/>
          <w:sz w:val="20"/>
          <w:szCs w:val="20"/>
          <w:lang w:val="es-VE"/>
        </w:rPr>
        <w:t xml:space="preserve"> también</w:t>
      </w:r>
      <w:r w:rsidR="00BA237E">
        <w:rPr>
          <w:rFonts w:ascii="Cambria" w:hAnsi="Cambria"/>
          <w:sz w:val="20"/>
          <w:szCs w:val="20"/>
          <w:lang w:val="es-VE"/>
        </w:rPr>
        <w:t xml:space="preserve"> </w:t>
      </w:r>
      <w:r w:rsidR="00C95396">
        <w:rPr>
          <w:rFonts w:ascii="Cambria" w:hAnsi="Cambria"/>
          <w:sz w:val="20"/>
          <w:szCs w:val="20"/>
          <w:lang w:val="es-VE"/>
        </w:rPr>
        <w:t xml:space="preserve">fue legal y que las presuntas víctimas fueron informadas sobre las razones de su arresto. Indicó que fueron puestas de manera inmediata ante autoridad judicial y que tuvieron la oportunidad de </w:t>
      </w:r>
      <w:r w:rsidR="005C3257">
        <w:rPr>
          <w:rFonts w:ascii="Cambria" w:hAnsi="Cambria"/>
          <w:sz w:val="20"/>
          <w:szCs w:val="20"/>
          <w:lang w:val="es-VE"/>
        </w:rPr>
        <w:t xml:space="preserve">presentar recursos a efectos de cuestionar la detención preventiva. Sostuvo que el solo hecho de que la decisión haya sido contraria a los intereses de las presuntas víctimas no </w:t>
      </w:r>
      <w:r w:rsidR="00447B95">
        <w:rPr>
          <w:rFonts w:ascii="Cambria" w:hAnsi="Cambria"/>
          <w:sz w:val="20"/>
          <w:szCs w:val="20"/>
          <w:lang w:val="es-VE"/>
        </w:rPr>
        <w:t xml:space="preserve">puede implicar una atribución de responsabilidad internacional. </w:t>
      </w:r>
    </w:p>
    <w:p w14:paraId="218E16C8" w14:textId="77777777" w:rsidR="00C95396" w:rsidRDefault="00C95396" w:rsidP="00554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sz w:val="20"/>
          <w:szCs w:val="20"/>
          <w:lang w:val="es-VE"/>
        </w:rPr>
      </w:pPr>
    </w:p>
    <w:p w14:paraId="630CC3C1" w14:textId="77777777" w:rsidR="00554998" w:rsidRDefault="00487F34" w:rsidP="00EE39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es-VE"/>
        </w:rPr>
      </w:pPr>
      <w:r>
        <w:rPr>
          <w:rFonts w:ascii="Cambria" w:hAnsi="Cambria"/>
          <w:color w:val="000000"/>
          <w:sz w:val="20"/>
          <w:szCs w:val="20"/>
          <w:lang w:val="es-VE"/>
        </w:rPr>
        <w:t xml:space="preserve">Alegó </w:t>
      </w:r>
      <w:r w:rsidR="00EE392A">
        <w:rPr>
          <w:rFonts w:ascii="Cambria" w:hAnsi="Cambria"/>
          <w:color w:val="000000"/>
          <w:sz w:val="20"/>
          <w:szCs w:val="20"/>
          <w:lang w:val="es-VE"/>
        </w:rPr>
        <w:t xml:space="preserve">que el proceso </w:t>
      </w:r>
      <w:r w:rsidR="00554998">
        <w:rPr>
          <w:rFonts w:ascii="Cambria" w:hAnsi="Cambria"/>
          <w:color w:val="000000"/>
          <w:sz w:val="20"/>
          <w:szCs w:val="20"/>
          <w:lang w:val="es-VE"/>
        </w:rPr>
        <w:t xml:space="preserve">penal seguido en contra de las presuntas víctimas </w:t>
      </w:r>
      <w:r w:rsidR="00EE392A">
        <w:rPr>
          <w:rFonts w:ascii="Cambria" w:hAnsi="Cambria"/>
          <w:color w:val="000000"/>
          <w:sz w:val="20"/>
          <w:szCs w:val="20"/>
          <w:lang w:val="es-VE"/>
        </w:rPr>
        <w:t xml:space="preserve">cumplió con todas las garantías del debido proceso y que incluso </w:t>
      </w:r>
      <w:r w:rsidR="00B00940">
        <w:rPr>
          <w:rFonts w:ascii="Cambria" w:hAnsi="Cambria"/>
          <w:color w:val="000000"/>
          <w:sz w:val="20"/>
          <w:szCs w:val="20"/>
          <w:lang w:val="es-VE"/>
        </w:rPr>
        <w:t>fueron absueltas</w:t>
      </w:r>
      <w:r w:rsidR="00EE392A">
        <w:rPr>
          <w:rFonts w:ascii="Cambria" w:hAnsi="Cambria"/>
          <w:color w:val="000000"/>
          <w:sz w:val="20"/>
          <w:szCs w:val="20"/>
          <w:lang w:val="es-VE"/>
        </w:rPr>
        <w:t>.</w:t>
      </w:r>
      <w:r w:rsidR="00554998">
        <w:rPr>
          <w:rFonts w:ascii="Cambria" w:hAnsi="Cambria"/>
          <w:color w:val="000000"/>
          <w:sz w:val="20"/>
          <w:szCs w:val="20"/>
          <w:lang w:val="es-VE"/>
        </w:rPr>
        <w:t xml:space="preserve"> Indicó que ello demuestra que las autoridades judiciales actuaron de manera adecuada y garantizaron el derecho de defensa de las presuntas víctimas.</w:t>
      </w:r>
    </w:p>
    <w:p w14:paraId="7BBEBFCA" w14:textId="77777777" w:rsidR="00554998" w:rsidRDefault="00554998" w:rsidP="00554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sz w:val="20"/>
          <w:szCs w:val="20"/>
          <w:lang w:val="es-VE"/>
        </w:rPr>
      </w:pPr>
    </w:p>
    <w:p w14:paraId="5FD0B22D" w14:textId="77777777" w:rsidR="00554998" w:rsidRPr="00E41274" w:rsidRDefault="00554998" w:rsidP="00EE39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es-VE"/>
        </w:rPr>
      </w:pPr>
      <w:r>
        <w:rPr>
          <w:rFonts w:ascii="Cambria" w:hAnsi="Cambria"/>
          <w:color w:val="000000"/>
          <w:sz w:val="20"/>
          <w:szCs w:val="20"/>
          <w:lang w:val="es-VE"/>
        </w:rPr>
        <w:t xml:space="preserve">En relación </w:t>
      </w:r>
      <w:proofErr w:type="gramStart"/>
      <w:r>
        <w:rPr>
          <w:rFonts w:ascii="Cambria" w:hAnsi="Cambria"/>
          <w:color w:val="000000"/>
          <w:sz w:val="20"/>
          <w:szCs w:val="20"/>
          <w:lang w:val="es-VE"/>
        </w:rPr>
        <w:t xml:space="preserve">con </w:t>
      </w:r>
      <w:r w:rsidR="00EE392A">
        <w:rPr>
          <w:rFonts w:ascii="Cambria" w:hAnsi="Cambria"/>
          <w:color w:val="000000"/>
          <w:sz w:val="20"/>
          <w:szCs w:val="20"/>
          <w:lang w:val="es-VE"/>
        </w:rPr>
        <w:t xml:space="preserve"> </w:t>
      </w:r>
      <w:r w:rsidR="00E41274">
        <w:rPr>
          <w:rFonts w:ascii="Cambria" w:hAnsi="Cambria"/>
          <w:sz w:val="20"/>
          <w:szCs w:val="20"/>
          <w:lang w:val="es-VE"/>
        </w:rPr>
        <w:t>lo</w:t>
      </w:r>
      <w:proofErr w:type="gramEnd"/>
      <w:r w:rsidR="00E41274">
        <w:rPr>
          <w:rFonts w:ascii="Cambria" w:hAnsi="Cambria"/>
          <w:sz w:val="20"/>
          <w:szCs w:val="20"/>
          <w:lang w:val="es-VE"/>
        </w:rPr>
        <w:t xml:space="preserve"> sucedido a </w:t>
      </w:r>
      <w:r w:rsidR="00E41274" w:rsidRPr="00CF5065">
        <w:rPr>
          <w:rFonts w:ascii="Cambria" w:hAnsi="Cambria"/>
          <w:sz w:val="20"/>
          <w:szCs w:val="20"/>
          <w:lang w:val="es-VE"/>
        </w:rPr>
        <w:t>Olimpiades Gonzále</w:t>
      </w:r>
      <w:r w:rsidR="000B5F5C">
        <w:rPr>
          <w:rFonts w:ascii="Cambria" w:hAnsi="Cambria"/>
          <w:sz w:val="20"/>
          <w:szCs w:val="20"/>
          <w:lang w:val="es-VE"/>
        </w:rPr>
        <w:t>z</w:t>
      </w:r>
      <w:r w:rsidR="00E41274">
        <w:rPr>
          <w:rFonts w:ascii="Cambria" w:hAnsi="Cambria"/>
          <w:sz w:val="20"/>
          <w:szCs w:val="20"/>
          <w:lang w:val="es-VE"/>
        </w:rPr>
        <w:t xml:space="preserve">, el Estado indicó que una vez tuvo conocimiento del atentado, otorgó medidas </w:t>
      </w:r>
      <w:r w:rsidR="00E41274" w:rsidRPr="00435C7B">
        <w:rPr>
          <w:rFonts w:ascii="Cambria" w:hAnsi="Cambria"/>
          <w:sz w:val="20"/>
          <w:szCs w:val="20"/>
          <w:lang w:val="es-VE"/>
        </w:rPr>
        <w:t>de seguridad a su favor en noviembre de 2001</w:t>
      </w:r>
      <w:r w:rsidR="006205CE" w:rsidRPr="00435C7B">
        <w:rPr>
          <w:rFonts w:ascii="Cambria" w:hAnsi="Cambria"/>
          <w:sz w:val="20"/>
          <w:szCs w:val="20"/>
          <w:lang w:val="es-VE"/>
        </w:rPr>
        <w:t>, específicamente a través de una ronda policial fuera de su domicilio</w:t>
      </w:r>
      <w:r w:rsidR="00AD284A">
        <w:rPr>
          <w:rFonts w:ascii="Cambria" w:hAnsi="Cambria"/>
          <w:sz w:val="20"/>
          <w:szCs w:val="20"/>
          <w:lang w:val="es-VE"/>
        </w:rPr>
        <w:t xml:space="preserve">, a fin </w:t>
      </w:r>
      <w:r w:rsidR="00E41274" w:rsidRPr="00435C7B">
        <w:rPr>
          <w:rFonts w:ascii="Cambria" w:hAnsi="Cambria"/>
          <w:sz w:val="20"/>
          <w:szCs w:val="20"/>
          <w:lang w:val="es-VE"/>
        </w:rPr>
        <w:t>de resguardar su vida e integridad personal. Agregó que dichas medidas estuvieron vigentes</w:t>
      </w:r>
      <w:r w:rsidR="00E41274">
        <w:rPr>
          <w:rFonts w:ascii="Cambria" w:hAnsi="Cambria"/>
          <w:sz w:val="20"/>
          <w:szCs w:val="20"/>
          <w:lang w:val="es-VE"/>
        </w:rPr>
        <w:t xml:space="preserve"> durante dos meses y que fueron levantadas en tanto la investigación iniciada concluyó que no había prueba suficiente para determinar una</w:t>
      </w:r>
      <w:r w:rsidR="00435C7B">
        <w:rPr>
          <w:rFonts w:ascii="Cambria" w:hAnsi="Cambria"/>
          <w:sz w:val="20"/>
          <w:szCs w:val="20"/>
          <w:lang w:val="es-VE"/>
        </w:rPr>
        <w:t xml:space="preserve"> situación de riesgo.</w:t>
      </w:r>
    </w:p>
    <w:p w14:paraId="645043AF" w14:textId="77777777" w:rsidR="00E41274" w:rsidRDefault="00E41274" w:rsidP="00E4127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sz w:val="20"/>
          <w:szCs w:val="20"/>
          <w:lang w:val="es-VE"/>
        </w:rPr>
      </w:pPr>
    </w:p>
    <w:p w14:paraId="76417A85" w14:textId="77777777" w:rsidR="00E41274" w:rsidRDefault="006205CE" w:rsidP="00EE39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szCs w:val="20"/>
          <w:lang w:val="es-VE"/>
        </w:rPr>
      </w:pPr>
      <w:r>
        <w:rPr>
          <w:rFonts w:ascii="Cambria" w:hAnsi="Cambria"/>
          <w:sz w:val="20"/>
          <w:szCs w:val="20"/>
          <w:lang w:val="es-VE"/>
        </w:rPr>
        <w:t>Asimismo, indicó</w:t>
      </w:r>
      <w:r w:rsidR="00E41274">
        <w:rPr>
          <w:rFonts w:ascii="Cambria" w:hAnsi="Cambria"/>
          <w:sz w:val="20"/>
          <w:szCs w:val="20"/>
          <w:lang w:val="es-VE"/>
        </w:rPr>
        <w:t xml:space="preserve"> que el fallecimiento del señor González en diciembre de 2006 </w:t>
      </w:r>
      <w:r w:rsidR="00E41274">
        <w:rPr>
          <w:rFonts w:ascii="Cambria" w:hAnsi="Cambria"/>
          <w:color w:val="000000"/>
          <w:sz w:val="20"/>
          <w:szCs w:val="20"/>
          <w:lang w:val="es-VE"/>
        </w:rPr>
        <w:t>sucedió cinco años después de la implementación de las medidas de seguridad y que no se puede responsabilizar al Estado por lo sucedido.</w:t>
      </w:r>
      <w:r>
        <w:rPr>
          <w:rFonts w:ascii="Cambria" w:hAnsi="Cambria"/>
          <w:color w:val="000000"/>
          <w:sz w:val="20"/>
          <w:szCs w:val="20"/>
          <w:lang w:val="es-VE"/>
        </w:rPr>
        <w:t xml:space="preserve"> Sostuvo que inició una investigación a efectos de esclarecer lo sucedido y que se realizaron diversas diligencias para identificar a las personas responsables. Agregó que se logró identificar a una persona como presunto responsable del asesinato del señor González y que se emitió una orden de detención en su contra. Informó que dicha persona no ha sido detenida pues</w:t>
      </w:r>
      <w:r w:rsidR="00247CE1">
        <w:rPr>
          <w:rFonts w:ascii="Cambria" w:hAnsi="Cambria"/>
          <w:color w:val="000000"/>
          <w:sz w:val="20"/>
          <w:szCs w:val="20"/>
          <w:lang w:val="es-VE"/>
        </w:rPr>
        <w:t xml:space="preserve"> está </w:t>
      </w:r>
      <w:r>
        <w:rPr>
          <w:rFonts w:ascii="Cambria" w:hAnsi="Cambria"/>
          <w:color w:val="000000"/>
          <w:sz w:val="20"/>
          <w:szCs w:val="20"/>
          <w:lang w:val="es-VE"/>
        </w:rPr>
        <w:t xml:space="preserve">prófuga de la justicia. </w:t>
      </w:r>
    </w:p>
    <w:p w14:paraId="49063A60" w14:textId="77777777" w:rsidR="006A23C8" w:rsidRPr="00CF5065" w:rsidRDefault="006A23C8" w:rsidP="006A23C8">
      <w:pPr>
        <w:pStyle w:val="LightList-Accent51"/>
        <w:rPr>
          <w:color w:val="FF0000"/>
          <w:sz w:val="20"/>
          <w:szCs w:val="20"/>
          <w:lang w:val="es-AR"/>
        </w:rPr>
      </w:pPr>
    </w:p>
    <w:p w14:paraId="0EFA4AAC" w14:textId="77777777" w:rsidR="006A23C8" w:rsidRPr="00776B4C" w:rsidRDefault="006A23C8" w:rsidP="006A23C8">
      <w:pPr>
        <w:pStyle w:val="Ttulo1"/>
        <w:spacing w:before="0"/>
        <w:ind w:hanging="90"/>
        <w:rPr>
          <w:color w:val="auto"/>
          <w:sz w:val="20"/>
          <w:szCs w:val="20"/>
          <w:lang w:val="es-ES_tradnl"/>
        </w:rPr>
      </w:pPr>
      <w:bookmarkStart w:id="4" w:name="_Toc529374047"/>
      <w:r w:rsidRPr="00776B4C">
        <w:rPr>
          <w:color w:val="auto"/>
          <w:sz w:val="20"/>
          <w:szCs w:val="20"/>
          <w:lang w:val="es-ES_tradnl"/>
        </w:rPr>
        <w:t>DETERMINACIONES DE HECHO</w:t>
      </w:r>
      <w:bookmarkEnd w:id="4"/>
    </w:p>
    <w:p w14:paraId="330F5B23" w14:textId="77777777" w:rsidR="006A23C8" w:rsidRPr="00CF5065" w:rsidRDefault="006A23C8" w:rsidP="006A23C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6F281F76" w14:textId="77777777" w:rsidR="006A23C8" w:rsidRPr="00CF5065" w:rsidRDefault="006205CE" w:rsidP="006A23C8">
      <w:pPr>
        <w:pStyle w:val="Ttulo2"/>
        <w:numPr>
          <w:ilvl w:val="0"/>
          <w:numId w:val="58"/>
        </w:numPr>
        <w:spacing w:before="0" w:after="0"/>
        <w:ind w:hanging="90"/>
        <w:rPr>
          <w:rFonts w:ascii="Cambria" w:hAnsi="Cambria"/>
          <w:i w:val="0"/>
          <w:sz w:val="20"/>
          <w:szCs w:val="20"/>
          <w:lang w:val="es-ES_tradnl"/>
        </w:rPr>
      </w:pPr>
      <w:bookmarkStart w:id="5" w:name="_Toc529374048"/>
      <w:r>
        <w:rPr>
          <w:rFonts w:ascii="Cambria" w:hAnsi="Cambria"/>
          <w:i w:val="0"/>
          <w:sz w:val="20"/>
          <w:szCs w:val="20"/>
          <w:lang w:val="es-ES_tradnl"/>
        </w:rPr>
        <w:t>Sobre la familia González</w:t>
      </w:r>
      <w:bookmarkEnd w:id="5"/>
    </w:p>
    <w:p w14:paraId="714BD239" w14:textId="77777777" w:rsidR="006A23C8" w:rsidRPr="00CF5065" w:rsidRDefault="006A23C8" w:rsidP="006A23C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04CCC554" w14:textId="77777777" w:rsidR="009254D0" w:rsidRDefault="00436343" w:rsidP="008164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Conforme a su relato, </w:t>
      </w:r>
      <w:r w:rsidR="00834779">
        <w:rPr>
          <w:rFonts w:ascii="Cambria" w:hAnsi="Cambria"/>
          <w:sz w:val="20"/>
          <w:szCs w:val="20"/>
          <w:lang w:val="es-VE"/>
        </w:rPr>
        <w:t>l</w:t>
      </w:r>
      <w:r w:rsidR="00166CCC">
        <w:rPr>
          <w:rFonts w:ascii="Cambria" w:hAnsi="Cambria"/>
          <w:sz w:val="20"/>
          <w:szCs w:val="20"/>
          <w:lang w:val="es-VE"/>
        </w:rPr>
        <w:t xml:space="preserve">as presuntas víctimas son miembros de la familia González </w:t>
      </w:r>
      <w:r w:rsidR="00200ED8">
        <w:rPr>
          <w:rFonts w:ascii="Cambria" w:hAnsi="Cambria"/>
          <w:sz w:val="20"/>
          <w:szCs w:val="20"/>
          <w:lang w:val="es-VE"/>
        </w:rPr>
        <w:t>que residían en la ciudad de Maracaibo, estado Zulia</w:t>
      </w:r>
      <w:r w:rsidR="00166CCC">
        <w:rPr>
          <w:rStyle w:val="Refdenotaalpie"/>
          <w:rFonts w:ascii="Cambria" w:hAnsi="Cambria"/>
          <w:sz w:val="20"/>
          <w:szCs w:val="20"/>
          <w:lang w:val="es-VE"/>
        </w:rPr>
        <w:footnoteReference w:id="4"/>
      </w:r>
      <w:r w:rsidR="00166CCC">
        <w:rPr>
          <w:rFonts w:ascii="Cambria" w:hAnsi="Cambria"/>
          <w:sz w:val="20"/>
          <w:szCs w:val="20"/>
          <w:lang w:val="es-VE"/>
        </w:rPr>
        <w:t xml:space="preserve">. </w:t>
      </w:r>
      <w:r w:rsidR="00834779">
        <w:rPr>
          <w:rFonts w:ascii="Cambria" w:hAnsi="Cambria"/>
          <w:sz w:val="20"/>
          <w:szCs w:val="20"/>
          <w:lang w:val="es-VE"/>
        </w:rPr>
        <w:t xml:space="preserve">En 1999 </w:t>
      </w:r>
      <w:r w:rsidR="009254D0" w:rsidRPr="002346A8">
        <w:rPr>
          <w:rFonts w:ascii="Cambria" w:hAnsi="Cambria"/>
          <w:sz w:val="20"/>
          <w:szCs w:val="20"/>
          <w:lang w:val="es-VE"/>
        </w:rPr>
        <w:t>María Angélica González</w:t>
      </w:r>
      <w:r w:rsidR="00834779">
        <w:rPr>
          <w:rFonts w:ascii="Cambria" w:hAnsi="Cambria"/>
          <w:sz w:val="20"/>
          <w:szCs w:val="20"/>
          <w:lang w:val="es-VE"/>
        </w:rPr>
        <w:t xml:space="preserve"> tenía</w:t>
      </w:r>
      <w:r w:rsidR="00705794" w:rsidRPr="002346A8">
        <w:rPr>
          <w:rFonts w:ascii="Cambria" w:hAnsi="Cambria"/>
          <w:sz w:val="20"/>
          <w:szCs w:val="20"/>
          <w:lang w:val="es-VE"/>
        </w:rPr>
        <w:t xml:space="preserve"> 22 años </w:t>
      </w:r>
      <w:r w:rsidR="00200ED8">
        <w:rPr>
          <w:rFonts w:ascii="Cambria" w:hAnsi="Cambria"/>
          <w:sz w:val="20"/>
          <w:szCs w:val="20"/>
          <w:lang w:val="es-VE"/>
        </w:rPr>
        <w:t>y trabajaba como</w:t>
      </w:r>
      <w:r w:rsidR="008750D8" w:rsidRPr="002346A8">
        <w:rPr>
          <w:rFonts w:ascii="Cambria" w:hAnsi="Cambria"/>
          <w:sz w:val="20"/>
          <w:szCs w:val="20"/>
          <w:lang w:val="es-VE"/>
        </w:rPr>
        <w:t xml:space="preserve"> comerciante</w:t>
      </w:r>
      <w:r w:rsidR="005B28BF">
        <w:rPr>
          <w:rFonts w:ascii="Cambria" w:hAnsi="Cambria"/>
          <w:sz w:val="20"/>
          <w:szCs w:val="20"/>
          <w:lang w:val="es-VE"/>
        </w:rPr>
        <w:t>;</w:t>
      </w:r>
      <w:r w:rsidR="00705794" w:rsidRPr="002346A8">
        <w:rPr>
          <w:rFonts w:ascii="Cambria" w:hAnsi="Cambria"/>
          <w:sz w:val="20"/>
          <w:szCs w:val="20"/>
          <w:lang w:val="es-VE"/>
        </w:rPr>
        <w:t xml:space="preserve"> </w:t>
      </w:r>
      <w:r w:rsidR="00CB484D">
        <w:rPr>
          <w:rFonts w:ascii="Cambria" w:hAnsi="Cambria"/>
          <w:sz w:val="20"/>
          <w:szCs w:val="20"/>
          <w:lang w:val="es-VE"/>
        </w:rPr>
        <w:t>y su hermana</w:t>
      </w:r>
      <w:r w:rsidR="00200ED8">
        <w:rPr>
          <w:rFonts w:ascii="Cambria" w:hAnsi="Cambria"/>
          <w:sz w:val="20"/>
          <w:szCs w:val="20"/>
          <w:lang w:val="es-VE"/>
        </w:rPr>
        <w:t xml:space="preserve"> </w:t>
      </w:r>
      <w:r w:rsidR="00200ED8" w:rsidRPr="002346A8">
        <w:rPr>
          <w:rFonts w:ascii="Cambria" w:hAnsi="Cambria"/>
          <w:sz w:val="20"/>
          <w:szCs w:val="20"/>
          <w:lang w:val="es-VE"/>
        </w:rPr>
        <w:t>Belkis Mirelis González</w:t>
      </w:r>
      <w:r w:rsidR="00200ED8">
        <w:rPr>
          <w:rFonts w:ascii="Cambria" w:hAnsi="Cambria"/>
          <w:sz w:val="20"/>
          <w:szCs w:val="20"/>
          <w:lang w:val="es-VE"/>
        </w:rPr>
        <w:t xml:space="preserve"> tenía 21 años y era estudiante</w:t>
      </w:r>
      <w:r w:rsidR="00F67628">
        <w:rPr>
          <w:rFonts w:ascii="Cambria" w:hAnsi="Cambria"/>
          <w:sz w:val="20"/>
          <w:szCs w:val="20"/>
          <w:lang w:val="es-VE"/>
        </w:rPr>
        <w:t xml:space="preserve"> de Filosofía en la Universidad de Zulia</w:t>
      </w:r>
      <w:r w:rsidR="00200ED8">
        <w:rPr>
          <w:rFonts w:ascii="Cambria" w:hAnsi="Cambria"/>
          <w:sz w:val="20"/>
          <w:szCs w:val="20"/>
          <w:lang w:val="es-VE"/>
        </w:rPr>
        <w:t>. Amb</w:t>
      </w:r>
      <w:r w:rsidR="00294DBE">
        <w:rPr>
          <w:rFonts w:ascii="Cambria" w:hAnsi="Cambria"/>
          <w:sz w:val="20"/>
          <w:szCs w:val="20"/>
          <w:lang w:val="es-VE"/>
        </w:rPr>
        <w:t>a</w:t>
      </w:r>
      <w:r w:rsidR="00200ED8">
        <w:rPr>
          <w:rFonts w:ascii="Cambria" w:hAnsi="Cambria"/>
          <w:sz w:val="20"/>
          <w:szCs w:val="20"/>
          <w:lang w:val="es-VE"/>
        </w:rPr>
        <w:t xml:space="preserve">s </w:t>
      </w:r>
      <w:r w:rsidR="00200ED8" w:rsidRPr="00435C7B">
        <w:rPr>
          <w:rFonts w:ascii="Cambria" w:hAnsi="Cambria"/>
          <w:sz w:val="20"/>
          <w:szCs w:val="20"/>
          <w:lang w:val="es-VE"/>
        </w:rPr>
        <w:t>vivían con sus padres (</w:t>
      </w:r>
      <w:r w:rsidR="00816486" w:rsidRPr="00435C7B">
        <w:rPr>
          <w:rFonts w:ascii="Cambria" w:hAnsi="Cambria"/>
          <w:sz w:val="20"/>
          <w:szCs w:val="20"/>
          <w:lang w:val="es-VE"/>
        </w:rPr>
        <w:t>Fernando Gonzále</w:t>
      </w:r>
      <w:r w:rsidR="00126830">
        <w:rPr>
          <w:rFonts w:ascii="Cambria" w:hAnsi="Cambria"/>
          <w:sz w:val="20"/>
          <w:szCs w:val="20"/>
          <w:lang w:val="es-VE"/>
        </w:rPr>
        <w:t>z</w:t>
      </w:r>
      <w:r w:rsidR="00816486" w:rsidRPr="00435C7B">
        <w:rPr>
          <w:rFonts w:ascii="Cambria" w:hAnsi="Cambria"/>
          <w:sz w:val="20"/>
          <w:szCs w:val="20"/>
          <w:lang w:val="es-VE"/>
        </w:rPr>
        <w:t xml:space="preserve"> y Aura González</w:t>
      </w:r>
      <w:r w:rsidR="00200ED8" w:rsidRPr="00435C7B">
        <w:rPr>
          <w:rFonts w:ascii="Cambria" w:hAnsi="Cambria"/>
          <w:sz w:val="20"/>
          <w:szCs w:val="20"/>
          <w:lang w:val="es-VE"/>
        </w:rPr>
        <w:t>) en el barrio el Mamón.</w:t>
      </w:r>
      <w:r w:rsidR="00816486" w:rsidRPr="00435C7B">
        <w:rPr>
          <w:rFonts w:ascii="Cambria" w:hAnsi="Cambria"/>
          <w:sz w:val="20"/>
          <w:szCs w:val="20"/>
          <w:lang w:val="es-VE"/>
        </w:rPr>
        <w:t xml:space="preserve"> Asimismo, Olimpiades González tenía 25 años y era comerciante y estudiante. El señor González también vivía en el barrio el Mamón. Adicionalmente, i) Fernando</w:t>
      </w:r>
      <w:r w:rsidR="00816486">
        <w:rPr>
          <w:rFonts w:ascii="Cambria" w:hAnsi="Cambria"/>
          <w:sz w:val="20"/>
          <w:szCs w:val="20"/>
          <w:lang w:val="es-VE"/>
        </w:rPr>
        <w:t xml:space="preserve"> González tenía </w:t>
      </w:r>
      <w:r w:rsidR="000C3AD6" w:rsidRPr="00816486">
        <w:rPr>
          <w:rFonts w:ascii="Cambria" w:hAnsi="Cambria"/>
          <w:sz w:val="20"/>
          <w:szCs w:val="20"/>
          <w:lang w:val="es-VE"/>
        </w:rPr>
        <w:t>51 años</w:t>
      </w:r>
      <w:r w:rsidR="00816486">
        <w:rPr>
          <w:rFonts w:ascii="Cambria" w:hAnsi="Cambria"/>
          <w:sz w:val="20"/>
          <w:szCs w:val="20"/>
          <w:lang w:val="es-VE"/>
        </w:rPr>
        <w:t xml:space="preserve">, trabajaba como comerciante; ii) Luis Guillermo González tenía 25 años, trabajaba como </w:t>
      </w:r>
      <w:r w:rsidR="00C104C6" w:rsidRPr="00816486">
        <w:rPr>
          <w:rFonts w:ascii="Cambria" w:hAnsi="Cambria"/>
          <w:sz w:val="20"/>
          <w:szCs w:val="20"/>
          <w:lang w:val="es-VE"/>
        </w:rPr>
        <w:t>obrero</w:t>
      </w:r>
      <w:r w:rsidR="002346A8" w:rsidRPr="00816486">
        <w:rPr>
          <w:rFonts w:ascii="Cambria" w:hAnsi="Cambria"/>
          <w:sz w:val="20"/>
          <w:szCs w:val="20"/>
          <w:lang w:val="es-VE"/>
        </w:rPr>
        <w:t>,</w:t>
      </w:r>
      <w:r w:rsidR="00816486">
        <w:rPr>
          <w:rFonts w:ascii="Cambria" w:hAnsi="Cambria"/>
          <w:sz w:val="20"/>
          <w:szCs w:val="20"/>
          <w:lang w:val="es-VE"/>
        </w:rPr>
        <w:t xml:space="preserve"> y vivía</w:t>
      </w:r>
      <w:r w:rsidR="002346A8" w:rsidRPr="00816486">
        <w:rPr>
          <w:rFonts w:ascii="Cambria" w:hAnsi="Cambria"/>
          <w:sz w:val="20"/>
          <w:szCs w:val="20"/>
          <w:lang w:val="es-VE"/>
        </w:rPr>
        <w:t xml:space="preserve"> en </w:t>
      </w:r>
      <w:r w:rsidR="00BB1501">
        <w:rPr>
          <w:rFonts w:ascii="Cambria" w:hAnsi="Cambria"/>
          <w:sz w:val="20"/>
          <w:szCs w:val="20"/>
          <w:lang w:val="es-VE"/>
        </w:rPr>
        <w:t>Las</w:t>
      </w:r>
      <w:r w:rsidR="002346A8" w:rsidRPr="00816486">
        <w:rPr>
          <w:rFonts w:ascii="Cambria" w:hAnsi="Cambria"/>
          <w:sz w:val="20"/>
          <w:szCs w:val="20"/>
          <w:lang w:val="es-VE"/>
        </w:rPr>
        <w:t xml:space="preserve"> Peonias</w:t>
      </w:r>
      <w:r w:rsidR="00C104C6" w:rsidRPr="00816486">
        <w:rPr>
          <w:rFonts w:ascii="Cambria" w:hAnsi="Cambria"/>
          <w:sz w:val="20"/>
          <w:szCs w:val="20"/>
          <w:lang w:val="es-VE"/>
        </w:rPr>
        <w:t>;</w:t>
      </w:r>
      <w:r w:rsidR="00816486">
        <w:rPr>
          <w:rFonts w:ascii="Cambria" w:hAnsi="Cambria"/>
          <w:sz w:val="20"/>
          <w:szCs w:val="20"/>
          <w:lang w:val="es-VE"/>
        </w:rPr>
        <w:t xml:space="preserve"> y iii)</w:t>
      </w:r>
      <w:r w:rsidR="009254D0" w:rsidRPr="00816486">
        <w:rPr>
          <w:rFonts w:ascii="Cambria" w:hAnsi="Cambria"/>
          <w:sz w:val="20"/>
          <w:szCs w:val="20"/>
          <w:lang w:val="es-VE"/>
        </w:rPr>
        <w:t xml:space="preserve"> Wilmer Antonio Barliza González</w:t>
      </w:r>
      <w:r w:rsidR="00816486">
        <w:rPr>
          <w:rFonts w:ascii="Cambria" w:hAnsi="Cambria"/>
          <w:sz w:val="20"/>
          <w:szCs w:val="20"/>
          <w:lang w:val="es-VE"/>
        </w:rPr>
        <w:t xml:space="preserve"> tenía </w:t>
      </w:r>
      <w:r w:rsidR="00066FE5" w:rsidRPr="00816486">
        <w:rPr>
          <w:rFonts w:ascii="Cambria" w:hAnsi="Cambria"/>
          <w:sz w:val="20"/>
          <w:szCs w:val="20"/>
          <w:lang w:val="es-VE"/>
        </w:rPr>
        <w:t>20 años</w:t>
      </w:r>
      <w:r w:rsidR="00816486">
        <w:rPr>
          <w:rFonts w:ascii="Cambria" w:hAnsi="Cambria"/>
          <w:sz w:val="20"/>
          <w:szCs w:val="20"/>
          <w:lang w:val="es-VE"/>
        </w:rPr>
        <w:t xml:space="preserve">, trabajaba como </w:t>
      </w:r>
      <w:r w:rsidR="000970C8" w:rsidRPr="00816486">
        <w:rPr>
          <w:rFonts w:ascii="Cambria" w:hAnsi="Cambria"/>
          <w:sz w:val="20"/>
          <w:szCs w:val="20"/>
          <w:lang w:val="es-VE"/>
        </w:rPr>
        <w:t>albañil</w:t>
      </w:r>
      <w:r w:rsidR="00816486">
        <w:rPr>
          <w:rFonts w:ascii="Cambria" w:hAnsi="Cambria"/>
          <w:sz w:val="20"/>
          <w:szCs w:val="20"/>
          <w:lang w:val="es-VE"/>
        </w:rPr>
        <w:t xml:space="preserve"> y vivía en el barrio </w:t>
      </w:r>
      <w:r w:rsidR="00066FE5" w:rsidRPr="00816486">
        <w:rPr>
          <w:rFonts w:ascii="Cambria" w:hAnsi="Cambria"/>
          <w:sz w:val="20"/>
          <w:szCs w:val="20"/>
          <w:lang w:val="es-VE"/>
        </w:rPr>
        <w:t>Catatumbo</w:t>
      </w:r>
      <w:r w:rsidR="00816486" w:rsidRPr="002346A8">
        <w:rPr>
          <w:rStyle w:val="Refdenotaalpie"/>
          <w:rFonts w:ascii="Cambria" w:hAnsi="Cambria"/>
          <w:sz w:val="20"/>
          <w:szCs w:val="20"/>
          <w:lang w:val="es-VE"/>
        </w:rPr>
        <w:footnoteReference w:id="5"/>
      </w:r>
      <w:r w:rsidR="00816486">
        <w:rPr>
          <w:rFonts w:ascii="Cambria" w:hAnsi="Cambria"/>
          <w:sz w:val="20"/>
          <w:szCs w:val="20"/>
          <w:lang w:val="es-VE"/>
        </w:rPr>
        <w:t>.</w:t>
      </w:r>
    </w:p>
    <w:p w14:paraId="3EBADB4B" w14:textId="77777777" w:rsidR="00BB1501" w:rsidRDefault="00BB1501" w:rsidP="00BB150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217B936E" w14:textId="77777777" w:rsidR="00BB1501" w:rsidRPr="00C47E36" w:rsidRDefault="00BB1501" w:rsidP="00C47E3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Ambas partes indicaron que los miembros de la familia González pertenecían al pueblo indígena Wayuú</w:t>
      </w:r>
      <w:r>
        <w:rPr>
          <w:rStyle w:val="Refdenotaalpie"/>
          <w:rFonts w:ascii="Cambria" w:hAnsi="Cambria"/>
          <w:sz w:val="20"/>
          <w:szCs w:val="20"/>
          <w:lang w:val="es-VE"/>
        </w:rPr>
        <w:footnoteReference w:id="6"/>
      </w:r>
      <w:r w:rsidR="00833E6E">
        <w:rPr>
          <w:rFonts w:ascii="Cambria" w:hAnsi="Cambria"/>
          <w:sz w:val="20"/>
          <w:szCs w:val="20"/>
          <w:lang w:val="es-VE"/>
        </w:rPr>
        <w:t>. El Estado sostuvo</w:t>
      </w:r>
      <w:r>
        <w:rPr>
          <w:rFonts w:ascii="Cambria" w:hAnsi="Cambria"/>
          <w:sz w:val="20"/>
          <w:szCs w:val="20"/>
          <w:lang w:val="es-VE"/>
        </w:rPr>
        <w:t xml:space="preserve"> que en la década de 1990 muchos miembros del pueblo Wayuú emigraron a diversas ciudades en Venezuela en “</w:t>
      </w:r>
      <w:r w:rsidR="00833E6E">
        <w:rPr>
          <w:rFonts w:ascii="Cambria" w:hAnsi="Cambria"/>
          <w:sz w:val="20"/>
          <w:szCs w:val="20"/>
          <w:lang w:val="es-VE"/>
        </w:rPr>
        <w:t>busca de mejores condiciones de vida</w:t>
      </w:r>
      <w:r>
        <w:rPr>
          <w:rFonts w:ascii="Cambria" w:hAnsi="Cambria"/>
          <w:sz w:val="20"/>
          <w:szCs w:val="20"/>
          <w:lang w:val="es-VE"/>
        </w:rPr>
        <w:t>”</w:t>
      </w:r>
      <w:r w:rsidR="00833E6E">
        <w:rPr>
          <w:rFonts w:ascii="Cambria" w:hAnsi="Cambria"/>
          <w:sz w:val="20"/>
          <w:szCs w:val="20"/>
          <w:lang w:val="es-VE"/>
        </w:rPr>
        <w:t>, tal como el caso de la familia González</w:t>
      </w:r>
      <w:r w:rsidR="00833E6E" w:rsidRPr="00CF5065">
        <w:rPr>
          <w:rStyle w:val="Refdenotaalpie"/>
          <w:rFonts w:ascii="Cambria" w:hAnsi="Cambria"/>
          <w:sz w:val="20"/>
          <w:szCs w:val="20"/>
          <w:lang w:val="es-VE"/>
        </w:rPr>
        <w:footnoteReference w:id="7"/>
      </w:r>
      <w:r w:rsidR="00833E6E">
        <w:rPr>
          <w:rFonts w:ascii="Cambria" w:hAnsi="Cambria"/>
          <w:sz w:val="20"/>
          <w:szCs w:val="20"/>
          <w:lang w:val="es-VE"/>
        </w:rPr>
        <w:t xml:space="preserve">. Asimismo, el Estado indicó que </w:t>
      </w:r>
      <w:r w:rsidR="00833E6E" w:rsidRPr="00CB6C97">
        <w:rPr>
          <w:rFonts w:ascii="Cambria" w:hAnsi="Cambria"/>
          <w:sz w:val="20"/>
          <w:szCs w:val="20"/>
          <w:lang w:val="es-VE"/>
        </w:rPr>
        <w:t>durante varios años se registraron enfrentamientos entre la familia González y la familia Meneses Fernández en diversos barrios de la ciudad de Maracaibo</w:t>
      </w:r>
      <w:r w:rsidR="00833E6E">
        <w:rPr>
          <w:rStyle w:val="Refdenotaalpie"/>
          <w:rFonts w:ascii="Cambria" w:hAnsi="Cambria"/>
          <w:sz w:val="20"/>
          <w:szCs w:val="20"/>
          <w:lang w:val="es-VE"/>
        </w:rPr>
        <w:footnoteReference w:id="8"/>
      </w:r>
      <w:r w:rsidR="00833E6E" w:rsidRPr="00CB6C97">
        <w:rPr>
          <w:rFonts w:ascii="Cambria" w:hAnsi="Cambria"/>
          <w:sz w:val="20"/>
          <w:szCs w:val="20"/>
          <w:lang w:val="es-VE"/>
        </w:rPr>
        <w:t>.</w:t>
      </w:r>
      <w:r w:rsidR="00CB6C97">
        <w:rPr>
          <w:rFonts w:ascii="Cambria" w:hAnsi="Cambria"/>
          <w:sz w:val="20"/>
          <w:szCs w:val="20"/>
          <w:lang w:val="es-VE"/>
        </w:rPr>
        <w:t xml:space="preserve"> </w:t>
      </w:r>
      <w:r w:rsidR="001A28F6">
        <w:rPr>
          <w:rFonts w:ascii="Cambria" w:hAnsi="Cambria"/>
          <w:sz w:val="20"/>
          <w:szCs w:val="20"/>
          <w:lang w:val="es-VE"/>
        </w:rPr>
        <w:t xml:space="preserve">El Estado </w:t>
      </w:r>
      <w:r w:rsidR="00C47E36">
        <w:rPr>
          <w:rFonts w:ascii="Cambria" w:hAnsi="Cambria"/>
          <w:sz w:val="20"/>
          <w:szCs w:val="20"/>
          <w:lang w:val="es-VE"/>
        </w:rPr>
        <w:t>agregó que dichos enfrentamientos se iniciaron cuando “</w:t>
      </w:r>
      <w:r w:rsidR="00CB6C97" w:rsidRPr="00C47E36">
        <w:rPr>
          <w:rFonts w:ascii="Cambria" w:hAnsi="Cambria"/>
          <w:sz w:val="20"/>
          <w:szCs w:val="20"/>
          <w:lang w:val="es-VE"/>
        </w:rPr>
        <w:t>miembros de la familia Meneses Fern</w:t>
      </w:r>
      <w:r w:rsidR="00A070C6" w:rsidRPr="00C47E36">
        <w:rPr>
          <w:rFonts w:ascii="Cambria" w:hAnsi="Cambria"/>
          <w:sz w:val="20"/>
          <w:szCs w:val="20"/>
          <w:lang w:val="es-VE"/>
        </w:rPr>
        <w:t>ández presun</w:t>
      </w:r>
      <w:r w:rsidR="00CB6C97" w:rsidRPr="00C47E36">
        <w:rPr>
          <w:rFonts w:ascii="Cambria" w:hAnsi="Cambria"/>
          <w:sz w:val="20"/>
          <w:szCs w:val="20"/>
          <w:lang w:val="es-VE"/>
        </w:rPr>
        <w:t xml:space="preserve">tamente exigieron a </w:t>
      </w:r>
      <w:r w:rsidR="009D45B1">
        <w:rPr>
          <w:rFonts w:ascii="Cambria" w:hAnsi="Cambria"/>
          <w:sz w:val="20"/>
          <w:szCs w:val="20"/>
          <w:lang w:val="es-VE"/>
        </w:rPr>
        <w:t xml:space="preserve">los González </w:t>
      </w:r>
      <w:r w:rsidR="00CB6C97" w:rsidRPr="00C47E36">
        <w:rPr>
          <w:rFonts w:ascii="Cambria" w:hAnsi="Cambria"/>
          <w:sz w:val="20"/>
          <w:szCs w:val="20"/>
          <w:lang w:val="es-VE"/>
        </w:rPr>
        <w:t>una reparaci</w:t>
      </w:r>
      <w:r w:rsidR="00A070C6" w:rsidRPr="00C47E36">
        <w:rPr>
          <w:rFonts w:ascii="Cambria" w:hAnsi="Cambria"/>
          <w:sz w:val="20"/>
          <w:szCs w:val="20"/>
          <w:lang w:val="es-VE"/>
        </w:rPr>
        <w:t>ón en dinero a causa de un decomiso que les hiciera la Poli</w:t>
      </w:r>
      <w:r w:rsidR="00BE2CAE">
        <w:rPr>
          <w:rFonts w:ascii="Cambria" w:hAnsi="Cambria"/>
          <w:sz w:val="20"/>
          <w:szCs w:val="20"/>
          <w:lang w:val="es-VE"/>
        </w:rPr>
        <w:t xml:space="preserve">cía, por el </w:t>
      </w:r>
      <w:r w:rsidR="00BE2CAE" w:rsidRPr="009D45B1">
        <w:rPr>
          <w:rFonts w:ascii="Cambria" w:hAnsi="Cambria"/>
          <w:sz w:val="20"/>
          <w:szCs w:val="20"/>
          <w:lang w:val="es-VE"/>
        </w:rPr>
        <w:t>cual responsabilizaron</w:t>
      </w:r>
      <w:r w:rsidR="00A070C6" w:rsidRPr="009D45B1">
        <w:rPr>
          <w:rFonts w:ascii="Cambria" w:hAnsi="Cambria"/>
          <w:sz w:val="20"/>
          <w:szCs w:val="20"/>
          <w:lang w:val="es-VE"/>
        </w:rPr>
        <w:t xml:space="preserve"> a los González</w:t>
      </w:r>
      <w:r w:rsidR="00A070C6" w:rsidRPr="00C47E36">
        <w:rPr>
          <w:rFonts w:ascii="Cambria" w:hAnsi="Cambria"/>
          <w:sz w:val="20"/>
          <w:szCs w:val="20"/>
          <w:lang w:val="es-VE"/>
        </w:rPr>
        <w:t>, y estos últimos se negaron a pagar la suma exigida</w:t>
      </w:r>
      <w:r w:rsidR="00A070C6">
        <w:rPr>
          <w:rStyle w:val="Refdenotaalpie"/>
          <w:rFonts w:ascii="Cambria" w:hAnsi="Cambria"/>
          <w:sz w:val="20"/>
          <w:szCs w:val="20"/>
          <w:lang w:val="es-VE"/>
        </w:rPr>
        <w:footnoteReference w:id="9"/>
      </w:r>
      <w:r w:rsidR="00A070C6" w:rsidRPr="00C47E36">
        <w:rPr>
          <w:rFonts w:ascii="Cambria" w:hAnsi="Cambria"/>
          <w:sz w:val="20"/>
          <w:szCs w:val="20"/>
          <w:lang w:val="es-VE"/>
        </w:rPr>
        <w:t>”.</w:t>
      </w:r>
      <w:r w:rsidR="00833E6E" w:rsidRPr="00C47E36">
        <w:rPr>
          <w:rFonts w:ascii="Cambria" w:hAnsi="Cambria"/>
          <w:sz w:val="20"/>
          <w:szCs w:val="20"/>
          <w:lang w:val="es-VE"/>
        </w:rPr>
        <w:t xml:space="preserve"> La CIDH </w:t>
      </w:r>
      <w:r w:rsidR="00A070C6" w:rsidRPr="00C47E36">
        <w:rPr>
          <w:rFonts w:ascii="Cambria" w:hAnsi="Cambria"/>
          <w:sz w:val="20"/>
          <w:szCs w:val="20"/>
          <w:lang w:val="es-VE"/>
        </w:rPr>
        <w:t>no cuenta con información acerca de est</w:t>
      </w:r>
      <w:r w:rsidR="009873CB">
        <w:rPr>
          <w:rFonts w:ascii="Cambria" w:hAnsi="Cambria"/>
          <w:sz w:val="20"/>
          <w:szCs w:val="20"/>
          <w:lang w:val="es-VE"/>
        </w:rPr>
        <w:t xml:space="preserve">e alegado conflicto entre las familias. </w:t>
      </w:r>
    </w:p>
    <w:p w14:paraId="1CD3ABDE" w14:textId="77777777" w:rsidR="00CB484D" w:rsidRPr="00733C50" w:rsidRDefault="00CB484D" w:rsidP="00CB484D">
      <w:pPr>
        <w:pStyle w:val="NormalWeb"/>
        <w:spacing w:before="0" w:beforeAutospacing="0" w:after="0" w:afterAutospacing="0"/>
        <w:rPr>
          <w:rFonts w:ascii="Cambria" w:eastAsia="Arial Unicode MS" w:hAnsi="Cambria" w:cs="Arial Unicode MS"/>
          <w:color w:val="000000"/>
          <w:sz w:val="20"/>
          <w:szCs w:val="20"/>
          <w:lang w:val="es-MX"/>
        </w:rPr>
      </w:pPr>
    </w:p>
    <w:p w14:paraId="7F75335E" w14:textId="77777777" w:rsidR="00703244" w:rsidRPr="00DA4C01" w:rsidRDefault="00703244" w:rsidP="00703244">
      <w:pPr>
        <w:pStyle w:val="Ttulo2"/>
        <w:numPr>
          <w:ilvl w:val="0"/>
          <w:numId w:val="58"/>
        </w:numPr>
        <w:spacing w:before="0" w:after="0"/>
        <w:ind w:hanging="90"/>
        <w:rPr>
          <w:rFonts w:ascii="Cambria" w:hAnsi="Cambria"/>
          <w:i w:val="0"/>
          <w:sz w:val="20"/>
          <w:szCs w:val="20"/>
          <w:lang w:val="es-ES_tradnl"/>
        </w:rPr>
      </w:pPr>
      <w:bookmarkStart w:id="6" w:name="_Toc529374049"/>
      <w:r>
        <w:rPr>
          <w:rFonts w:ascii="Cambria" w:hAnsi="Cambria"/>
          <w:i w:val="0"/>
          <w:sz w:val="20"/>
          <w:szCs w:val="20"/>
          <w:lang w:val="es-ES_tradnl"/>
        </w:rPr>
        <w:t>Sobre la detención y el proceso seguido a las presuntas víctimas</w:t>
      </w:r>
      <w:bookmarkEnd w:id="6"/>
      <w:r w:rsidR="00D10B61" w:rsidRPr="00DA4C01">
        <w:rPr>
          <w:lang w:val="es-ES_tradnl"/>
        </w:rPr>
        <w:t xml:space="preserve"> </w:t>
      </w:r>
    </w:p>
    <w:p w14:paraId="4E40A78A" w14:textId="77777777" w:rsidR="00FE4BF6" w:rsidRDefault="00FE4BF6" w:rsidP="002844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16845DB" w14:textId="77777777" w:rsidR="00C47E36" w:rsidRDefault="00D46C84" w:rsidP="00F056B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1B2E71">
        <w:rPr>
          <w:rFonts w:ascii="Cambria" w:hAnsi="Cambria"/>
          <w:sz w:val="20"/>
          <w:szCs w:val="20"/>
          <w:lang w:val="es-VE"/>
        </w:rPr>
        <w:t xml:space="preserve">El 23 de noviembre de 1998 </w:t>
      </w:r>
      <w:r w:rsidR="007A7ED8">
        <w:rPr>
          <w:rFonts w:ascii="Cambria" w:hAnsi="Cambria"/>
          <w:sz w:val="20"/>
          <w:szCs w:val="20"/>
          <w:lang w:val="es-VE"/>
        </w:rPr>
        <w:t xml:space="preserve">el </w:t>
      </w:r>
      <w:proofErr w:type="gramStart"/>
      <w:r w:rsidR="007A7ED8">
        <w:rPr>
          <w:rFonts w:ascii="Cambria" w:hAnsi="Cambria"/>
          <w:sz w:val="20"/>
          <w:szCs w:val="20"/>
          <w:lang w:val="es-VE"/>
        </w:rPr>
        <w:t>Secretario</w:t>
      </w:r>
      <w:proofErr w:type="gramEnd"/>
      <w:r w:rsidR="007A7ED8">
        <w:rPr>
          <w:rFonts w:ascii="Cambria" w:hAnsi="Cambria"/>
          <w:sz w:val="20"/>
          <w:szCs w:val="20"/>
          <w:lang w:val="es-VE"/>
        </w:rPr>
        <w:t xml:space="preserve"> de la </w:t>
      </w:r>
      <w:r w:rsidR="007A7ED8" w:rsidRPr="00435C7B">
        <w:rPr>
          <w:rFonts w:ascii="Cambria" w:hAnsi="Cambria"/>
          <w:sz w:val="20"/>
          <w:szCs w:val="20"/>
          <w:lang w:val="es-VE"/>
        </w:rPr>
        <w:t xml:space="preserve">Brigada </w:t>
      </w:r>
      <w:r w:rsidR="005E0729" w:rsidRPr="00435C7B">
        <w:rPr>
          <w:rFonts w:ascii="Cambria" w:hAnsi="Cambria"/>
          <w:sz w:val="20"/>
          <w:szCs w:val="20"/>
          <w:lang w:val="es-VE"/>
        </w:rPr>
        <w:t>c</w:t>
      </w:r>
      <w:r w:rsidR="00D914CC" w:rsidRPr="00435C7B">
        <w:rPr>
          <w:rFonts w:ascii="Cambria" w:hAnsi="Cambria"/>
          <w:sz w:val="20"/>
          <w:szCs w:val="20"/>
          <w:lang w:val="es-VE"/>
        </w:rPr>
        <w:t>ontra</w:t>
      </w:r>
      <w:r w:rsidR="00D914CC">
        <w:rPr>
          <w:rFonts w:ascii="Cambria" w:hAnsi="Cambria"/>
          <w:sz w:val="20"/>
          <w:szCs w:val="20"/>
          <w:lang w:val="es-VE"/>
        </w:rPr>
        <w:t xml:space="preserve"> Homicidios</w:t>
      </w:r>
      <w:r w:rsidR="00C47E36">
        <w:rPr>
          <w:rFonts w:ascii="Cambria" w:hAnsi="Cambria"/>
          <w:sz w:val="20"/>
          <w:szCs w:val="20"/>
          <w:lang w:val="es-VE"/>
        </w:rPr>
        <w:t xml:space="preserve"> certificó que a las 2:00 a.m. se recibió una llamada de un funcionario de guardia que indicó que en las afueras de una casa en el barrio Catacumbo se encontró el cadáver de una mujer</w:t>
      </w:r>
      <w:r w:rsidR="005E2561">
        <w:rPr>
          <w:rFonts w:ascii="Cambria" w:hAnsi="Cambria"/>
          <w:sz w:val="20"/>
          <w:szCs w:val="20"/>
          <w:lang w:val="es-VE"/>
        </w:rPr>
        <w:t xml:space="preserve">, llamada </w:t>
      </w:r>
      <w:r w:rsidR="00BE4B06">
        <w:rPr>
          <w:rFonts w:ascii="Cambria" w:hAnsi="Cambria"/>
          <w:sz w:val="20"/>
          <w:szCs w:val="20"/>
          <w:lang w:val="es-VE"/>
        </w:rPr>
        <w:t>Carmen Fernández</w:t>
      </w:r>
      <w:r w:rsidR="005E2561">
        <w:rPr>
          <w:rFonts w:ascii="Cambria" w:hAnsi="Cambria"/>
          <w:sz w:val="20"/>
          <w:szCs w:val="20"/>
          <w:lang w:val="es-VE"/>
        </w:rPr>
        <w:t xml:space="preserve">, fallecida </w:t>
      </w:r>
      <w:r w:rsidR="00C47E36">
        <w:rPr>
          <w:rFonts w:ascii="Cambria" w:hAnsi="Cambria"/>
          <w:sz w:val="20"/>
          <w:szCs w:val="20"/>
          <w:lang w:val="es-VE"/>
        </w:rPr>
        <w:t>por arma de fuego</w:t>
      </w:r>
      <w:r w:rsidR="00BF6C53">
        <w:rPr>
          <w:rStyle w:val="Refdenotaalpie"/>
          <w:rFonts w:ascii="Cambria" w:hAnsi="Cambria"/>
          <w:sz w:val="20"/>
          <w:szCs w:val="20"/>
          <w:lang w:val="es-VE"/>
        </w:rPr>
        <w:footnoteReference w:id="10"/>
      </w:r>
      <w:r w:rsidR="00C47E36">
        <w:rPr>
          <w:rFonts w:ascii="Cambria" w:hAnsi="Cambria"/>
          <w:sz w:val="20"/>
          <w:szCs w:val="20"/>
          <w:lang w:val="es-VE"/>
        </w:rPr>
        <w:t xml:space="preserve">. Inmediatamente después el Cuerpo Técnico de </w:t>
      </w:r>
      <w:r w:rsidR="0045696B">
        <w:rPr>
          <w:rFonts w:ascii="Cambria" w:hAnsi="Cambria"/>
          <w:sz w:val="20"/>
          <w:szCs w:val="20"/>
          <w:lang w:val="es-VE"/>
        </w:rPr>
        <w:t xml:space="preserve">la </w:t>
      </w:r>
      <w:r w:rsidR="00C47E36">
        <w:rPr>
          <w:rFonts w:ascii="Cambria" w:hAnsi="Cambria"/>
          <w:sz w:val="20"/>
          <w:szCs w:val="20"/>
          <w:lang w:val="es-VE"/>
        </w:rPr>
        <w:t>Policía Judicial envió dicha información al Juez Cuarto de Primera Instancia en lo Penal, el cual se declaró competente para iniciar la investigación</w:t>
      </w:r>
      <w:r w:rsidR="00C47E36">
        <w:rPr>
          <w:rStyle w:val="Refdenotaalpie"/>
          <w:rFonts w:ascii="Cambria" w:hAnsi="Cambria"/>
          <w:sz w:val="20"/>
          <w:szCs w:val="20"/>
          <w:lang w:val="es-VE"/>
        </w:rPr>
        <w:footnoteReference w:id="11"/>
      </w:r>
      <w:r w:rsidR="00C47E36">
        <w:rPr>
          <w:rFonts w:ascii="Cambria" w:hAnsi="Cambria"/>
          <w:sz w:val="20"/>
          <w:szCs w:val="20"/>
          <w:lang w:val="es-VE"/>
        </w:rPr>
        <w:t>.</w:t>
      </w:r>
    </w:p>
    <w:p w14:paraId="384CAB8A" w14:textId="77777777" w:rsidR="00EE15B4" w:rsidRDefault="00EE15B4" w:rsidP="00EE15B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705DA3D2" w14:textId="77777777" w:rsidR="00FF1EB1" w:rsidRDefault="00BE4B06" w:rsidP="00BE4B0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T</w:t>
      </w:r>
      <w:r w:rsidR="00EE15B4" w:rsidRPr="00BE4B06">
        <w:rPr>
          <w:rFonts w:ascii="Cambria" w:hAnsi="Cambria"/>
          <w:sz w:val="20"/>
          <w:szCs w:val="20"/>
          <w:lang w:val="es-VE"/>
        </w:rPr>
        <w:t>res horas después de</w:t>
      </w:r>
      <w:r w:rsidR="007A32AA">
        <w:rPr>
          <w:rFonts w:ascii="Cambria" w:hAnsi="Cambria"/>
          <w:sz w:val="20"/>
          <w:szCs w:val="20"/>
          <w:lang w:val="es-VE"/>
        </w:rPr>
        <w:t xml:space="preserve"> dicha información, </w:t>
      </w:r>
      <w:r>
        <w:rPr>
          <w:rFonts w:ascii="Cambria" w:hAnsi="Cambria"/>
          <w:sz w:val="20"/>
          <w:szCs w:val="20"/>
          <w:lang w:val="es-VE"/>
        </w:rPr>
        <w:t xml:space="preserve">se realizó una inspección ocular </w:t>
      </w:r>
      <w:r w:rsidR="009D6502">
        <w:rPr>
          <w:rFonts w:ascii="Cambria" w:hAnsi="Cambria"/>
          <w:sz w:val="20"/>
          <w:szCs w:val="20"/>
          <w:lang w:val="es-VE"/>
        </w:rPr>
        <w:t xml:space="preserve">en </w:t>
      </w:r>
      <w:r>
        <w:rPr>
          <w:rFonts w:ascii="Cambria" w:hAnsi="Cambria"/>
          <w:sz w:val="20"/>
          <w:szCs w:val="20"/>
          <w:lang w:val="es-VE"/>
        </w:rPr>
        <w:t>el lugar de los hechos. Asimis</w:t>
      </w:r>
      <w:r w:rsidR="00FF1EB1">
        <w:rPr>
          <w:rFonts w:ascii="Cambria" w:hAnsi="Cambria"/>
          <w:sz w:val="20"/>
          <w:szCs w:val="20"/>
          <w:lang w:val="es-VE"/>
        </w:rPr>
        <w:t xml:space="preserve">mo, el Sub Inspector Policial y </w:t>
      </w:r>
      <w:r>
        <w:rPr>
          <w:rFonts w:ascii="Cambria" w:hAnsi="Cambria"/>
          <w:sz w:val="20"/>
          <w:szCs w:val="20"/>
          <w:lang w:val="es-VE"/>
        </w:rPr>
        <w:t xml:space="preserve">un grupo de agentes </w:t>
      </w:r>
      <w:r w:rsidR="0045696B">
        <w:rPr>
          <w:rFonts w:ascii="Cambria" w:hAnsi="Cambria"/>
          <w:sz w:val="20"/>
          <w:szCs w:val="20"/>
          <w:lang w:val="es-VE"/>
        </w:rPr>
        <w:t xml:space="preserve">de la Policía Técnica Judicial </w:t>
      </w:r>
      <w:r w:rsidR="00CF7D80">
        <w:rPr>
          <w:rFonts w:ascii="Cambria" w:hAnsi="Cambria"/>
          <w:sz w:val="20"/>
          <w:szCs w:val="20"/>
          <w:lang w:val="es-VE"/>
        </w:rPr>
        <w:t xml:space="preserve">(PTJ) </w:t>
      </w:r>
      <w:r>
        <w:rPr>
          <w:rFonts w:ascii="Cambria" w:hAnsi="Cambria"/>
          <w:sz w:val="20"/>
          <w:szCs w:val="20"/>
          <w:lang w:val="es-VE"/>
        </w:rPr>
        <w:t>acudieron al domicilio de Belkis Mirelis Gonzál</w:t>
      </w:r>
      <w:r w:rsidR="00FF1EB1">
        <w:rPr>
          <w:rFonts w:ascii="Cambria" w:hAnsi="Cambria"/>
          <w:sz w:val="20"/>
          <w:szCs w:val="20"/>
          <w:lang w:val="es-VE"/>
        </w:rPr>
        <w:t xml:space="preserve">ez y María Angélica González. </w:t>
      </w:r>
      <w:proofErr w:type="gramStart"/>
      <w:r w:rsidR="00FF1EB1">
        <w:rPr>
          <w:rFonts w:ascii="Cambria" w:hAnsi="Cambria"/>
          <w:sz w:val="20"/>
          <w:szCs w:val="20"/>
          <w:lang w:val="es-VE"/>
        </w:rPr>
        <w:t>De acuerdo al</w:t>
      </w:r>
      <w:proofErr w:type="gramEnd"/>
      <w:r w:rsidR="00FF1EB1">
        <w:rPr>
          <w:rFonts w:ascii="Cambria" w:hAnsi="Cambria"/>
          <w:sz w:val="20"/>
          <w:szCs w:val="20"/>
          <w:lang w:val="es-VE"/>
        </w:rPr>
        <w:t xml:space="preserve"> acta policial, ambas personas fueron detenidas y luego de una inspección en su domicilio, se les </w:t>
      </w:r>
      <w:r w:rsidR="00A85163">
        <w:rPr>
          <w:rFonts w:ascii="Cambria" w:hAnsi="Cambria"/>
          <w:sz w:val="20"/>
          <w:szCs w:val="20"/>
          <w:lang w:val="es-VE"/>
        </w:rPr>
        <w:t>decomisó</w:t>
      </w:r>
      <w:r w:rsidR="00FF1EB1">
        <w:rPr>
          <w:rFonts w:ascii="Cambria" w:hAnsi="Cambria"/>
          <w:sz w:val="20"/>
          <w:szCs w:val="20"/>
          <w:lang w:val="es-VE"/>
        </w:rPr>
        <w:t xml:space="preserve"> una escopeta</w:t>
      </w:r>
      <w:r w:rsidR="00FF1EB1">
        <w:rPr>
          <w:rStyle w:val="Refdenotaalpie"/>
          <w:rFonts w:ascii="Cambria" w:hAnsi="Cambria"/>
          <w:sz w:val="20"/>
          <w:szCs w:val="20"/>
          <w:lang w:val="es-VE"/>
        </w:rPr>
        <w:footnoteReference w:id="12"/>
      </w:r>
      <w:r w:rsidR="00FF1EB1">
        <w:rPr>
          <w:rFonts w:ascii="Cambria" w:hAnsi="Cambria"/>
          <w:sz w:val="20"/>
          <w:szCs w:val="20"/>
          <w:lang w:val="es-VE"/>
        </w:rPr>
        <w:t xml:space="preserve">. </w:t>
      </w:r>
    </w:p>
    <w:p w14:paraId="5362B58F" w14:textId="77777777" w:rsidR="00FF1EB1" w:rsidRDefault="00FF1EB1" w:rsidP="00FF1EB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0CDC1BF9" w14:textId="77777777" w:rsidR="00C47E36" w:rsidRPr="00BE4B06" w:rsidRDefault="00FF1EB1" w:rsidP="00BE4B0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 </w:t>
      </w:r>
      <w:r w:rsidR="00BE4B06">
        <w:rPr>
          <w:rFonts w:ascii="Cambria" w:hAnsi="Cambria"/>
          <w:sz w:val="20"/>
          <w:szCs w:val="20"/>
          <w:lang w:val="es-VE"/>
        </w:rPr>
        <w:t>La Comisión nota q</w:t>
      </w:r>
      <w:r w:rsidR="003039A1">
        <w:rPr>
          <w:rFonts w:ascii="Cambria" w:hAnsi="Cambria"/>
          <w:sz w:val="20"/>
          <w:szCs w:val="20"/>
          <w:lang w:val="es-VE"/>
        </w:rPr>
        <w:t>ue el acta policial que acreditó</w:t>
      </w:r>
      <w:r w:rsidR="00BE4B06">
        <w:rPr>
          <w:rFonts w:ascii="Cambria" w:hAnsi="Cambria"/>
          <w:sz w:val="20"/>
          <w:szCs w:val="20"/>
          <w:lang w:val="es-VE"/>
        </w:rPr>
        <w:t xml:space="preserve"> dicha detención se encuentra incomplet</w:t>
      </w:r>
      <w:r>
        <w:rPr>
          <w:rFonts w:ascii="Cambria" w:hAnsi="Cambria"/>
          <w:sz w:val="20"/>
          <w:szCs w:val="20"/>
          <w:lang w:val="es-VE"/>
        </w:rPr>
        <w:t>a y no se indica</w:t>
      </w:r>
      <w:r w:rsidR="00333BA8">
        <w:rPr>
          <w:rFonts w:ascii="Cambria" w:hAnsi="Cambria"/>
          <w:sz w:val="20"/>
          <w:szCs w:val="20"/>
          <w:lang w:val="es-VE"/>
        </w:rPr>
        <w:t>n detalles de su realización</w:t>
      </w:r>
      <w:r w:rsidR="003039A1">
        <w:rPr>
          <w:rFonts w:ascii="Cambria" w:hAnsi="Cambria"/>
          <w:sz w:val="20"/>
          <w:szCs w:val="20"/>
          <w:lang w:val="es-VE"/>
        </w:rPr>
        <w:t>. Al respecto,</w:t>
      </w:r>
      <w:r w:rsidR="0045696B">
        <w:rPr>
          <w:rFonts w:ascii="Cambria" w:hAnsi="Cambria"/>
          <w:sz w:val="20"/>
          <w:szCs w:val="20"/>
          <w:lang w:val="es-VE"/>
        </w:rPr>
        <w:t xml:space="preserve"> Belkis y María Angélica González señalaron lo siguiente sobre su detención:</w:t>
      </w:r>
    </w:p>
    <w:p w14:paraId="7329DDF2" w14:textId="77777777" w:rsidR="00D914CC" w:rsidRDefault="00543C44" w:rsidP="00C47E3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r>
        <w:rPr>
          <w:rFonts w:ascii="Cambria" w:hAnsi="Cambria"/>
          <w:sz w:val="20"/>
          <w:szCs w:val="20"/>
          <w:lang w:val="es-VE"/>
        </w:rPr>
        <w:t xml:space="preserve"> </w:t>
      </w:r>
    </w:p>
    <w:p w14:paraId="2834797D" w14:textId="77777777" w:rsidR="003039A1" w:rsidRPr="00D52400" w:rsidRDefault="00D52400" w:rsidP="00D5240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u w:val="single"/>
          <w:lang w:val="es-VE"/>
        </w:rPr>
      </w:pPr>
      <w:r>
        <w:rPr>
          <w:rFonts w:ascii="Cambria" w:hAnsi="Cambria"/>
          <w:sz w:val="20"/>
          <w:szCs w:val="20"/>
          <w:u w:val="single"/>
          <w:lang w:val="es-VE"/>
        </w:rPr>
        <w:t xml:space="preserve">Belkis González. </w:t>
      </w:r>
      <w:r w:rsidR="0045696B">
        <w:rPr>
          <w:rFonts w:ascii="Cambria" w:hAnsi="Cambria"/>
          <w:sz w:val="20"/>
          <w:szCs w:val="20"/>
          <w:lang w:val="es-VE"/>
        </w:rPr>
        <w:t xml:space="preserve">(...) </w:t>
      </w:r>
      <w:r w:rsidR="003039A1">
        <w:rPr>
          <w:rFonts w:ascii="Cambria" w:hAnsi="Cambria"/>
          <w:sz w:val="20"/>
          <w:szCs w:val="20"/>
          <w:lang w:val="es-VE"/>
        </w:rPr>
        <w:t xml:space="preserve">el 23 de noviembre de 1998, a las tres de la madrugada, se presentó una Unidad de la PTJ </w:t>
      </w:r>
      <w:r w:rsidR="0045696B">
        <w:rPr>
          <w:rFonts w:ascii="Cambria" w:hAnsi="Cambria"/>
          <w:sz w:val="20"/>
          <w:szCs w:val="20"/>
          <w:lang w:val="es-VE"/>
        </w:rPr>
        <w:t>(...)</w:t>
      </w:r>
      <w:r w:rsidR="003039A1">
        <w:rPr>
          <w:rFonts w:ascii="Cambria" w:hAnsi="Cambria"/>
          <w:sz w:val="20"/>
          <w:szCs w:val="20"/>
          <w:lang w:val="es-VE"/>
        </w:rPr>
        <w:t xml:space="preserve"> tocaron l</w:t>
      </w:r>
      <w:r w:rsidR="0045696B">
        <w:rPr>
          <w:rFonts w:ascii="Cambria" w:hAnsi="Cambria"/>
          <w:sz w:val="20"/>
          <w:szCs w:val="20"/>
          <w:lang w:val="es-VE"/>
        </w:rPr>
        <w:t>a puerta, y yo pregunté que quié</w:t>
      </w:r>
      <w:r w:rsidR="003039A1">
        <w:rPr>
          <w:rFonts w:ascii="Cambria" w:hAnsi="Cambria"/>
          <w:sz w:val="20"/>
          <w:szCs w:val="20"/>
          <w:lang w:val="es-VE"/>
        </w:rPr>
        <w:t>n es y no me contesta y luego volví a preguntar quién</w:t>
      </w:r>
      <w:r w:rsidR="0045696B">
        <w:rPr>
          <w:rFonts w:ascii="Cambria" w:hAnsi="Cambria"/>
          <w:sz w:val="20"/>
          <w:szCs w:val="20"/>
          <w:lang w:val="es-VE"/>
        </w:rPr>
        <w:t>,</w:t>
      </w:r>
      <w:r w:rsidR="003039A1">
        <w:rPr>
          <w:rFonts w:ascii="Cambria" w:hAnsi="Cambria"/>
          <w:sz w:val="20"/>
          <w:szCs w:val="20"/>
          <w:lang w:val="es-VE"/>
        </w:rPr>
        <w:t xml:space="preserve"> no me contesta a la tercera vez me contestaron que era la PTJ, y cuando abrí </w:t>
      </w:r>
      <w:r w:rsidR="0045696B">
        <w:rPr>
          <w:rFonts w:ascii="Cambria" w:hAnsi="Cambria"/>
          <w:sz w:val="20"/>
          <w:szCs w:val="20"/>
          <w:lang w:val="es-VE"/>
        </w:rPr>
        <w:t>(...)</w:t>
      </w:r>
      <w:r w:rsidR="003039A1">
        <w:rPr>
          <w:rFonts w:ascii="Cambria" w:hAnsi="Cambria"/>
          <w:sz w:val="20"/>
          <w:szCs w:val="20"/>
          <w:lang w:val="es-VE"/>
        </w:rPr>
        <w:t xml:space="preserve"> me dice que me metiera en la Unidad, detrás de mi venía mi hermana y nos metió a las dos en la Unidad </w:t>
      </w:r>
      <w:r w:rsidR="0045696B">
        <w:rPr>
          <w:rFonts w:ascii="Cambria" w:hAnsi="Cambria"/>
          <w:sz w:val="20"/>
          <w:szCs w:val="20"/>
          <w:lang w:val="es-VE"/>
        </w:rPr>
        <w:t>(...). (...)</w:t>
      </w:r>
      <w:r w:rsidR="00CF7D80">
        <w:rPr>
          <w:rFonts w:ascii="Cambria" w:hAnsi="Cambria"/>
          <w:sz w:val="20"/>
          <w:szCs w:val="20"/>
          <w:lang w:val="es-VE"/>
        </w:rPr>
        <w:t xml:space="preserve"> </w:t>
      </w:r>
      <w:r w:rsidR="003039A1">
        <w:rPr>
          <w:rFonts w:ascii="Cambria" w:hAnsi="Cambria"/>
          <w:sz w:val="20"/>
          <w:szCs w:val="20"/>
          <w:lang w:val="es-VE"/>
        </w:rPr>
        <w:t>luego nos trasladaron a la PTJ, nos introducen en los calabozos</w:t>
      </w:r>
      <w:r w:rsidR="00CF7D80">
        <w:rPr>
          <w:rFonts w:ascii="Cambria" w:hAnsi="Cambria"/>
          <w:sz w:val="20"/>
          <w:szCs w:val="20"/>
          <w:lang w:val="es-VE"/>
        </w:rPr>
        <w:t xml:space="preserve">. (...) </w:t>
      </w:r>
      <w:r w:rsidR="003039A1">
        <w:rPr>
          <w:rFonts w:ascii="Cambria" w:hAnsi="Cambria"/>
          <w:sz w:val="20"/>
          <w:szCs w:val="20"/>
          <w:lang w:val="es-VE"/>
        </w:rPr>
        <w:t xml:space="preserve">que el día </w:t>
      </w:r>
      <w:r w:rsidR="00CF7D80">
        <w:rPr>
          <w:rFonts w:ascii="Cambria" w:hAnsi="Cambria"/>
          <w:sz w:val="20"/>
          <w:szCs w:val="20"/>
          <w:lang w:val="es-VE"/>
        </w:rPr>
        <w:t>22</w:t>
      </w:r>
      <w:r w:rsidR="003039A1">
        <w:rPr>
          <w:rFonts w:ascii="Cambria" w:hAnsi="Cambria"/>
          <w:sz w:val="20"/>
          <w:szCs w:val="20"/>
          <w:lang w:val="es-VE"/>
        </w:rPr>
        <w:t xml:space="preserve"> de noviembre de 1998 se fue con su hermana </w:t>
      </w:r>
      <w:r w:rsidR="00CF7D80">
        <w:rPr>
          <w:rFonts w:ascii="Cambria" w:hAnsi="Cambria"/>
          <w:sz w:val="20"/>
          <w:szCs w:val="20"/>
          <w:lang w:val="es-VE"/>
        </w:rPr>
        <w:t>a</w:t>
      </w:r>
      <w:r w:rsidR="003039A1">
        <w:rPr>
          <w:rFonts w:ascii="Cambria" w:hAnsi="Cambria"/>
          <w:sz w:val="20"/>
          <w:szCs w:val="20"/>
          <w:lang w:val="es-VE"/>
        </w:rPr>
        <w:t xml:space="preserve"> la costa oriental del Lago y </w:t>
      </w:r>
      <w:r w:rsidR="00CF7D80">
        <w:rPr>
          <w:rFonts w:ascii="Cambria" w:hAnsi="Cambria"/>
          <w:sz w:val="20"/>
          <w:szCs w:val="20"/>
          <w:lang w:val="es-VE"/>
        </w:rPr>
        <w:t xml:space="preserve">(...) </w:t>
      </w:r>
      <w:r w:rsidR="003039A1">
        <w:rPr>
          <w:rFonts w:ascii="Cambria" w:hAnsi="Cambria"/>
          <w:sz w:val="20"/>
          <w:szCs w:val="20"/>
          <w:lang w:val="es-VE"/>
        </w:rPr>
        <w:t>llegaron a la casa a las doce</w:t>
      </w:r>
      <w:r w:rsidR="00CF7D80">
        <w:rPr>
          <w:rFonts w:ascii="Cambria" w:hAnsi="Cambria"/>
          <w:sz w:val="20"/>
          <w:szCs w:val="20"/>
          <w:lang w:val="es-VE"/>
        </w:rPr>
        <w:t xml:space="preserve"> (de la noche)</w:t>
      </w:r>
      <w:r w:rsidR="003039A1">
        <w:rPr>
          <w:rStyle w:val="Refdenotaalpie"/>
          <w:rFonts w:ascii="Cambria" w:hAnsi="Cambria"/>
          <w:sz w:val="20"/>
          <w:szCs w:val="20"/>
          <w:lang w:val="es-VE"/>
        </w:rPr>
        <w:footnoteReference w:id="13"/>
      </w:r>
      <w:r w:rsidR="00CF7D80">
        <w:rPr>
          <w:rFonts w:ascii="Cambria" w:hAnsi="Cambria"/>
          <w:sz w:val="20"/>
          <w:szCs w:val="20"/>
          <w:lang w:val="es-VE"/>
        </w:rPr>
        <w:t xml:space="preserve"> </w:t>
      </w:r>
    </w:p>
    <w:p w14:paraId="00256B88" w14:textId="77777777" w:rsidR="003039A1" w:rsidRDefault="003039A1" w:rsidP="00D5240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lang w:val="es-VE"/>
        </w:rPr>
      </w:pPr>
    </w:p>
    <w:p w14:paraId="369AFFF2" w14:textId="77777777" w:rsidR="00CF7D80" w:rsidRPr="00D52400" w:rsidRDefault="00D52400" w:rsidP="00D5240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u w:val="single"/>
          <w:lang w:val="es-VE"/>
        </w:rPr>
      </w:pPr>
      <w:r>
        <w:rPr>
          <w:rFonts w:ascii="Cambria" w:hAnsi="Cambria"/>
          <w:sz w:val="20"/>
          <w:szCs w:val="20"/>
          <w:u w:val="single"/>
          <w:lang w:val="es-VE"/>
        </w:rPr>
        <w:t xml:space="preserve">María Angélica González. </w:t>
      </w:r>
      <w:r w:rsidR="000F5FEF">
        <w:rPr>
          <w:rFonts w:ascii="Cambria" w:hAnsi="Cambria"/>
          <w:sz w:val="20"/>
          <w:szCs w:val="20"/>
          <w:lang w:val="es-VE"/>
        </w:rPr>
        <w:t>(...) a las 3</w:t>
      </w:r>
      <w:r w:rsidR="00CF7D80">
        <w:rPr>
          <w:rFonts w:ascii="Cambria" w:hAnsi="Cambria"/>
          <w:sz w:val="20"/>
          <w:szCs w:val="20"/>
          <w:lang w:val="es-VE"/>
        </w:rPr>
        <w:t xml:space="preserve">:00 de la madrugada me fueron a buscar una Comisión de la PTJ conjuntamente con una de la Policía, desconocía el porqué de esa comisión en mi casa yo les pregunté y me dijeron un homicidio y pregunté que de quien, cuando una ciudadana que dice “ella es ella es” y nos metieron en la Unidad </w:t>
      </w:r>
      <w:r w:rsidR="000F5FEF">
        <w:rPr>
          <w:rFonts w:ascii="Cambria" w:hAnsi="Cambria"/>
          <w:sz w:val="20"/>
          <w:szCs w:val="20"/>
          <w:lang w:val="es-VE"/>
        </w:rPr>
        <w:t>(...);</w:t>
      </w:r>
      <w:r w:rsidR="00CF7D80">
        <w:rPr>
          <w:rFonts w:ascii="Cambria" w:hAnsi="Cambria"/>
          <w:sz w:val="20"/>
          <w:szCs w:val="20"/>
          <w:lang w:val="es-VE"/>
        </w:rPr>
        <w:t xml:space="preserve"> la noche anterior yo me encontraba en la Costa </w:t>
      </w:r>
      <w:r w:rsidR="00CB484D">
        <w:rPr>
          <w:rFonts w:ascii="Cambria" w:hAnsi="Cambria"/>
          <w:sz w:val="20"/>
          <w:szCs w:val="20"/>
          <w:lang w:val="es-VE"/>
        </w:rPr>
        <w:t>oriental del lago con mi hermana</w:t>
      </w:r>
      <w:r w:rsidR="00CF7D80">
        <w:rPr>
          <w:rFonts w:ascii="Cambria" w:hAnsi="Cambria"/>
          <w:sz w:val="20"/>
          <w:szCs w:val="20"/>
          <w:lang w:val="es-VE"/>
        </w:rPr>
        <w:t xml:space="preserve"> y una amiga </w:t>
      </w:r>
      <w:r w:rsidR="000F5FEF">
        <w:rPr>
          <w:rFonts w:ascii="Cambria" w:hAnsi="Cambria"/>
          <w:sz w:val="20"/>
          <w:szCs w:val="20"/>
          <w:lang w:val="es-VE"/>
        </w:rPr>
        <w:t>(...)</w:t>
      </w:r>
      <w:r w:rsidR="00CF7D80">
        <w:rPr>
          <w:rFonts w:ascii="Cambria" w:hAnsi="Cambria"/>
          <w:sz w:val="20"/>
          <w:szCs w:val="20"/>
          <w:lang w:val="es-VE"/>
        </w:rPr>
        <w:t xml:space="preserve"> hago esta aclaración porque me dijeron que el homicidio había sido el día anterior en horas de la noche</w:t>
      </w:r>
      <w:r w:rsidR="000F5FEF">
        <w:rPr>
          <w:rStyle w:val="Refdenotaalpie"/>
          <w:rFonts w:ascii="Cambria" w:hAnsi="Cambria"/>
          <w:sz w:val="20"/>
          <w:szCs w:val="20"/>
          <w:lang w:val="es-VE"/>
        </w:rPr>
        <w:footnoteReference w:id="14"/>
      </w:r>
      <w:r w:rsidR="000F5FEF">
        <w:rPr>
          <w:rFonts w:ascii="Cambria" w:hAnsi="Cambria"/>
          <w:sz w:val="20"/>
          <w:szCs w:val="20"/>
          <w:lang w:val="es-VE"/>
        </w:rPr>
        <w:t xml:space="preserve">. </w:t>
      </w:r>
    </w:p>
    <w:p w14:paraId="7359C1F3" w14:textId="77777777" w:rsidR="00CF7D80" w:rsidRDefault="00CF7D80" w:rsidP="00CF7D8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55728A1A" w14:textId="77777777" w:rsidR="00CF7D80" w:rsidRDefault="000F5FEF" w:rsidP="00CF7D8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María Angélica González agregó lo siguiente: </w:t>
      </w:r>
      <w:r w:rsidR="00CF7D80" w:rsidRPr="000F5FEF">
        <w:rPr>
          <w:rFonts w:ascii="Cambria" w:hAnsi="Cambria"/>
          <w:sz w:val="20"/>
          <w:szCs w:val="20"/>
          <w:lang w:val="es-VE"/>
        </w:rPr>
        <w:t xml:space="preserve">i) </w:t>
      </w:r>
      <w:r>
        <w:rPr>
          <w:rFonts w:ascii="Cambria" w:hAnsi="Cambria"/>
          <w:sz w:val="20"/>
          <w:szCs w:val="20"/>
          <w:lang w:val="es-VE"/>
        </w:rPr>
        <w:t>“</w:t>
      </w:r>
      <w:r w:rsidR="00CF7D80" w:rsidRPr="000F5FEF">
        <w:rPr>
          <w:rFonts w:ascii="Cambria" w:hAnsi="Cambria"/>
          <w:sz w:val="20"/>
          <w:szCs w:val="20"/>
          <w:lang w:val="es-VE"/>
        </w:rPr>
        <w:t>no conoce ni ha tratado con la familia Meneses Fernández</w:t>
      </w:r>
      <w:r>
        <w:rPr>
          <w:rFonts w:ascii="Cambria" w:hAnsi="Cambria"/>
          <w:sz w:val="20"/>
          <w:szCs w:val="20"/>
          <w:lang w:val="es-VE"/>
        </w:rPr>
        <w:t>”; ii</w:t>
      </w:r>
      <w:r w:rsidR="00CF7D80" w:rsidRPr="000F5FEF">
        <w:rPr>
          <w:rFonts w:ascii="Cambria" w:hAnsi="Cambria"/>
          <w:sz w:val="20"/>
          <w:szCs w:val="20"/>
          <w:lang w:val="es-VE"/>
        </w:rPr>
        <w:t xml:space="preserve">) </w:t>
      </w:r>
      <w:r>
        <w:rPr>
          <w:rFonts w:ascii="Cambria" w:hAnsi="Cambria"/>
          <w:sz w:val="20"/>
          <w:szCs w:val="20"/>
          <w:lang w:val="es-VE"/>
        </w:rPr>
        <w:t>manifestó</w:t>
      </w:r>
      <w:r w:rsidR="00CF7D80" w:rsidRPr="000F5FEF">
        <w:rPr>
          <w:rFonts w:ascii="Cambria" w:hAnsi="Cambria"/>
          <w:sz w:val="20"/>
          <w:szCs w:val="20"/>
          <w:lang w:val="es-VE"/>
        </w:rPr>
        <w:t xml:space="preserve"> que </w:t>
      </w:r>
      <w:r>
        <w:rPr>
          <w:rFonts w:ascii="Cambria" w:hAnsi="Cambria"/>
          <w:sz w:val="20"/>
          <w:szCs w:val="20"/>
          <w:lang w:val="es-VE"/>
        </w:rPr>
        <w:t>“</w:t>
      </w:r>
      <w:r w:rsidR="00CF7D80" w:rsidRPr="000F5FEF">
        <w:rPr>
          <w:rFonts w:ascii="Cambria" w:hAnsi="Cambria"/>
          <w:sz w:val="20"/>
          <w:szCs w:val="20"/>
          <w:lang w:val="es-VE"/>
        </w:rPr>
        <w:t>su padre no tenía problemas con Carmen Fernández</w:t>
      </w:r>
      <w:r>
        <w:rPr>
          <w:rFonts w:ascii="Cambria" w:hAnsi="Cambria"/>
          <w:sz w:val="20"/>
          <w:szCs w:val="20"/>
          <w:lang w:val="es-VE"/>
        </w:rPr>
        <w:t>”;</w:t>
      </w:r>
      <w:r w:rsidR="00CF7D80" w:rsidRPr="000F5FEF">
        <w:rPr>
          <w:rFonts w:ascii="Cambria" w:hAnsi="Cambria"/>
          <w:sz w:val="20"/>
          <w:szCs w:val="20"/>
          <w:lang w:val="es-VE"/>
        </w:rPr>
        <w:t xml:space="preserve"> </w:t>
      </w:r>
      <w:r>
        <w:rPr>
          <w:rFonts w:ascii="Cambria" w:hAnsi="Cambria"/>
          <w:sz w:val="20"/>
          <w:szCs w:val="20"/>
          <w:lang w:val="es-VE"/>
        </w:rPr>
        <w:t>iii</w:t>
      </w:r>
      <w:r w:rsidR="00CF7D80" w:rsidRPr="000F5FEF">
        <w:rPr>
          <w:rFonts w:ascii="Cambria" w:hAnsi="Cambria"/>
          <w:sz w:val="20"/>
          <w:szCs w:val="20"/>
          <w:lang w:val="es-VE"/>
        </w:rPr>
        <w:t xml:space="preserve">) </w:t>
      </w:r>
      <w:r>
        <w:rPr>
          <w:rFonts w:ascii="Cambria" w:hAnsi="Cambria"/>
          <w:sz w:val="20"/>
          <w:szCs w:val="20"/>
          <w:lang w:val="es-VE"/>
        </w:rPr>
        <w:t>señaló</w:t>
      </w:r>
      <w:r w:rsidR="00CF7D80" w:rsidRPr="000F5FEF">
        <w:rPr>
          <w:rFonts w:ascii="Cambria" w:hAnsi="Cambria"/>
          <w:sz w:val="20"/>
          <w:szCs w:val="20"/>
          <w:lang w:val="es-VE"/>
        </w:rPr>
        <w:t xml:space="preserve"> que </w:t>
      </w:r>
      <w:r>
        <w:rPr>
          <w:rFonts w:ascii="Cambria" w:hAnsi="Cambria"/>
          <w:sz w:val="20"/>
          <w:szCs w:val="20"/>
          <w:lang w:val="es-VE"/>
        </w:rPr>
        <w:t>“</w:t>
      </w:r>
      <w:r w:rsidR="00CB484D">
        <w:rPr>
          <w:rFonts w:ascii="Cambria" w:hAnsi="Cambria"/>
          <w:sz w:val="20"/>
          <w:szCs w:val="20"/>
          <w:lang w:val="es-VE"/>
        </w:rPr>
        <w:t>la escopeta le pertenecía a su</w:t>
      </w:r>
      <w:r w:rsidR="00CF7D80" w:rsidRPr="000F5FEF">
        <w:rPr>
          <w:rFonts w:ascii="Cambria" w:hAnsi="Cambria"/>
          <w:sz w:val="20"/>
          <w:szCs w:val="20"/>
          <w:lang w:val="es-VE"/>
        </w:rPr>
        <w:t xml:space="preserve"> hermano Olimpiades González quien la usa para los negocios por motivos de seguridad</w:t>
      </w:r>
      <w:r>
        <w:rPr>
          <w:rFonts w:ascii="Cambria" w:hAnsi="Cambria"/>
          <w:sz w:val="20"/>
          <w:szCs w:val="20"/>
          <w:lang w:val="es-VE"/>
        </w:rPr>
        <w:t>”</w:t>
      </w:r>
      <w:r w:rsidR="00CF7D80">
        <w:rPr>
          <w:rStyle w:val="Refdenotaalpie"/>
          <w:rFonts w:ascii="Cambria" w:hAnsi="Cambria"/>
          <w:sz w:val="20"/>
          <w:szCs w:val="20"/>
          <w:lang w:val="es-VE"/>
        </w:rPr>
        <w:footnoteReference w:id="15"/>
      </w:r>
      <w:r w:rsidR="00CF7D80" w:rsidRPr="000F5FEF">
        <w:rPr>
          <w:rFonts w:ascii="Cambria" w:hAnsi="Cambria"/>
          <w:sz w:val="20"/>
          <w:szCs w:val="20"/>
          <w:lang w:val="es-VE"/>
        </w:rPr>
        <w:t xml:space="preserve">. </w:t>
      </w:r>
    </w:p>
    <w:p w14:paraId="2628E6FB" w14:textId="77777777" w:rsidR="0034119E" w:rsidRDefault="0034119E" w:rsidP="00B125D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0A31F55E" w14:textId="77777777" w:rsidR="00BB7095" w:rsidRDefault="00186F7F" w:rsidP="00BB709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En la tarde</w:t>
      </w:r>
      <w:r w:rsidR="00925EB7">
        <w:rPr>
          <w:rFonts w:ascii="Cambria" w:hAnsi="Cambria"/>
          <w:sz w:val="20"/>
          <w:szCs w:val="20"/>
          <w:lang w:val="es-VE"/>
        </w:rPr>
        <w:t xml:space="preserve"> compareció ante</w:t>
      </w:r>
      <w:r w:rsidR="00BB7095">
        <w:rPr>
          <w:rFonts w:ascii="Cambria" w:hAnsi="Cambria"/>
          <w:sz w:val="20"/>
          <w:szCs w:val="20"/>
          <w:lang w:val="es-VE"/>
        </w:rPr>
        <w:t xml:space="preserve"> dicha</w:t>
      </w:r>
      <w:r w:rsidR="00925EB7">
        <w:rPr>
          <w:rFonts w:ascii="Cambria" w:hAnsi="Cambria"/>
          <w:sz w:val="20"/>
          <w:szCs w:val="20"/>
          <w:lang w:val="es-VE"/>
        </w:rPr>
        <w:t xml:space="preserve"> </w:t>
      </w:r>
      <w:r w:rsidR="004E4A6F">
        <w:rPr>
          <w:rFonts w:ascii="Cambria" w:hAnsi="Cambria"/>
          <w:sz w:val="20"/>
          <w:szCs w:val="20"/>
          <w:lang w:val="es-VE"/>
        </w:rPr>
        <w:t xml:space="preserve">Brigada </w:t>
      </w:r>
      <w:r w:rsidR="00BB7095">
        <w:rPr>
          <w:rFonts w:ascii="Cambria" w:hAnsi="Cambria"/>
          <w:sz w:val="20"/>
          <w:szCs w:val="20"/>
          <w:lang w:val="es-VE"/>
        </w:rPr>
        <w:t>el agente Angel Quintero quien declaró lo siguiente:</w:t>
      </w:r>
      <w:r w:rsidR="004E4A6F">
        <w:rPr>
          <w:rFonts w:ascii="Cambria" w:hAnsi="Cambria"/>
          <w:sz w:val="20"/>
          <w:szCs w:val="20"/>
          <w:lang w:val="es-VE"/>
        </w:rPr>
        <w:t xml:space="preserve"> </w:t>
      </w:r>
    </w:p>
    <w:p w14:paraId="399EC3E2" w14:textId="77777777" w:rsidR="00BB7095" w:rsidRDefault="00BB7095" w:rsidP="00BB709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1ACD7970" w14:textId="77777777" w:rsidR="0020354A" w:rsidRDefault="009D45B1" w:rsidP="00BB709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8640"/>
        </w:tabs>
        <w:ind w:left="630" w:right="720"/>
        <w:jc w:val="both"/>
        <w:rPr>
          <w:rFonts w:ascii="Cambria" w:hAnsi="Cambria"/>
          <w:sz w:val="20"/>
          <w:szCs w:val="20"/>
          <w:lang w:val="es-VE"/>
        </w:rPr>
      </w:pPr>
      <w:r>
        <w:rPr>
          <w:rFonts w:ascii="Cambria" w:hAnsi="Cambria"/>
          <w:sz w:val="20"/>
          <w:szCs w:val="20"/>
          <w:lang w:val="es-VE"/>
        </w:rPr>
        <w:t>[E]</w:t>
      </w:r>
      <w:r w:rsidR="004B574B">
        <w:rPr>
          <w:rFonts w:ascii="Cambria" w:hAnsi="Cambria"/>
          <w:sz w:val="20"/>
          <w:szCs w:val="20"/>
          <w:lang w:val="es-VE"/>
        </w:rPr>
        <w:t>ncontrándome</w:t>
      </w:r>
      <w:r w:rsidR="004E4A6F">
        <w:rPr>
          <w:rFonts w:ascii="Cambria" w:hAnsi="Cambria"/>
          <w:sz w:val="20"/>
          <w:szCs w:val="20"/>
          <w:lang w:val="es-VE"/>
        </w:rPr>
        <w:t xml:space="preserve"> en la sede de este Despacho, se presentó el ciudadano Fernando González, trayendo un vehículo marca Ford, modelo 350, 1986 color rojo, </w:t>
      </w:r>
      <w:r w:rsidR="00477555">
        <w:rPr>
          <w:rFonts w:ascii="Cambria" w:hAnsi="Cambria"/>
          <w:sz w:val="20"/>
          <w:szCs w:val="20"/>
          <w:lang w:val="es-VE"/>
        </w:rPr>
        <w:t>(...)</w:t>
      </w:r>
      <w:r w:rsidR="004E4A6F">
        <w:rPr>
          <w:rFonts w:ascii="Cambria" w:hAnsi="Cambria"/>
          <w:sz w:val="20"/>
          <w:szCs w:val="20"/>
          <w:lang w:val="es-VE"/>
        </w:rPr>
        <w:t xml:space="preserve"> el cual aparece mencionado en autos que anteceden, y según declaraciones testificales tomadas consiguientes, se acuerda </w:t>
      </w:r>
      <w:proofErr w:type="gramStart"/>
      <w:r w:rsidR="004E4A6F">
        <w:rPr>
          <w:rFonts w:ascii="Cambria" w:hAnsi="Cambria"/>
          <w:sz w:val="20"/>
          <w:szCs w:val="20"/>
          <w:lang w:val="es-VE"/>
        </w:rPr>
        <w:t>dejar dicho</w:t>
      </w:r>
      <w:proofErr w:type="gramEnd"/>
      <w:r w:rsidR="004E4A6F">
        <w:rPr>
          <w:rFonts w:ascii="Cambria" w:hAnsi="Cambria"/>
          <w:sz w:val="20"/>
          <w:szCs w:val="20"/>
          <w:lang w:val="es-VE"/>
        </w:rPr>
        <w:t xml:space="preserve"> vehículo retenido y el ciudadano en calidad de detenido a la orden de la Brigada Contra Homicidios, a fin de</w:t>
      </w:r>
      <w:r w:rsidR="00D13A64">
        <w:rPr>
          <w:rFonts w:ascii="Cambria" w:hAnsi="Cambria"/>
          <w:sz w:val="20"/>
          <w:szCs w:val="20"/>
          <w:lang w:val="es-VE"/>
        </w:rPr>
        <w:t xml:space="preserve"> </w:t>
      </w:r>
      <w:r w:rsidR="004E4A6F">
        <w:rPr>
          <w:rFonts w:ascii="Cambria" w:hAnsi="Cambria"/>
          <w:sz w:val="20"/>
          <w:szCs w:val="20"/>
          <w:lang w:val="es-VE"/>
        </w:rPr>
        <w:t>que prosigan las</w:t>
      </w:r>
      <w:r w:rsidR="00D13A64">
        <w:rPr>
          <w:rFonts w:ascii="Cambria" w:hAnsi="Cambria"/>
          <w:sz w:val="20"/>
          <w:szCs w:val="20"/>
          <w:lang w:val="es-VE"/>
        </w:rPr>
        <w:t xml:space="preserve"> averiguaciones en torno al presente hecho</w:t>
      </w:r>
      <w:r w:rsidR="00D13A64">
        <w:rPr>
          <w:rStyle w:val="Refdenotaalpie"/>
          <w:rFonts w:ascii="Cambria" w:hAnsi="Cambria"/>
          <w:sz w:val="20"/>
          <w:szCs w:val="20"/>
          <w:lang w:val="es-VE"/>
        </w:rPr>
        <w:footnoteReference w:id="16"/>
      </w:r>
      <w:r w:rsidR="00477555">
        <w:rPr>
          <w:rFonts w:ascii="Cambria" w:hAnsi="Cambria"/>
          <w:sz w:val="20"/>
          <w:szCs w:val="20"/>
          <w:lang w:val="es-VE"/>
        </w:rPr>
        <w:t>.</w:t>
      </w:r>
    </w:p>
    <w:p w14:paraId="57B88A57" w14:textId="77777777" w:rsidR="00746CB6" w:rsidRDefault="00746CB6" w:rsidP="00746C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5D9FFE7A" w14:textId="77777777" w:rsidR="00477555" w:rsidRDefault="00477555" w:rsidP="0047755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En relación con la detención de Fernando González, padre de Belkins y Maria Angélica, en su declaración judicial</w:t>
      </w:r>
      <w:r w:rsidR="00C3629D">
        <w:rPr>
          <w:rFonts w:ascii="Cambria" w:hAnsi="Cambria"/>
          <w:sz w:val="20"/>
          <w:szCs w:val="20"/>
          <w:lang w:val="es-VE"/>
        </w:rPr>
        <w:t>, dicha persona</w:t>
      </w:r>
      <w:r>
        <w:rPr>
          <w:rFonts w:ascii="Cambria" w:hAnsi="Cambria"/>
          <w:sz w:val="20"/>
          <w:szCs w:val="20"/>
          <w:lang w:val="es-VE"/>
        </w:rPr>
        <w:t xml:space="preserve"> manifestó lo siguiente:</w:t>
      </w:r>
    </w:p>
    <w:p w14:paraId="5DF2641D" w14:textId="77777777" w:rsidR="00477555" w:rsidRDefault="00477555" w:rsidP="00746CB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36F7858D" w14:textId="77777777" w:rsidR="00477555" w:rsidRDefault="00477555" w:rsidP="0047755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lang w:val="es-VE"/>
        </w:rPr>
      </w:pPr>
      <w:r>
        <w:rPr>
          <w:rFonts w:ascii="Cambria" w:hAnsi="Cambria"/>
          <w:sz w:val="20"/>
          <w:szCs w:val="20"/>
          <w:lang w:val="es-VE"/>
        </w:rPr>
        <w:t xml:space="preserve">Yo estoy allá en Mara y vengo todos los lunes para Maracaibo, y llego donde mi mamá y vinieron dos muchachos y me avisaron que en la mañana temprano del día </w:t>
      </w:r>
      <w:r w:rsidRPr="00BA5749">
        <w:rPr>
          <w:rFonts w:ascii="Cambria" w:hAnsi="Cambria"/>
          <w:sz w:val="20"/>
          <w:szCs w:val="20"/>
          <w:lang w:val="es-VE"/>
        </w:rPr>
        <w:t>22</w:t>
      </w:r>
      <w:r w:rsidR="00931921" w:rsidRPr="00BA5749">
        <w:rPr>
          <w:rFonts w:ascii="Cambria" w:hAnsi="Cambria"/>
          <w:sz w:val="20"/>
          <w:szCs w:val="20"/>
          <w:lang w:val="es-VE"/>
        </w:rPr>
        <w:t xml:space="preserve"> (sic)</w:t>
      </w:r>
      <w:r>
        <w:rPr>
          <w:rFonts w:ascii="Cambria" w:hAnsi="Cambria"/>
          <w:sz w:val="20"/>
          <w:szCs w:val="20"/>
          <w:lang w:val="es-VE"/>
        </w:rPr>
        <w:t xml:space="preserve"> de noviembre de 1998 llegaron la PTJ y la Policía y se llevaron a mis hijas y la camioneta la dejó un día miércoles porque</w:t>
      </w:r>
      <w:r w:rsidR="00540E49">
        <w:rPr>
          <w:rFonts w:ascii="Cambria" w:hAnsi="Cambria"/>
          <w:sz w:val="20"/>
          <w:szCs w:val="20"/>
          <w:lang w:val="es-VE"/>
        </w:rPr>
        <w:t xml:space="preserve"> </w:t>
      </w:r>
      <w:r>
        <w:rPr>
          <w:rFonts w:ascii="Cambria" w:hAnsi="Cambria"/>
          <w:sz w:val="20"/>
          <w:szCs w:val="20"/>
          <w:lang w:val="es-VE"/>
        </w:rPr>
        <w:t xml:space="preserve">tenía la batería echada a perder y me pongan prestar una batería para ir a ver porque estaban detenidas las muchachas y </w:t>
      </w:r>
      <w:r w:rsidR="00040B91">
        <w:rPr>
          <w:rFonts w:ascii="Cambria" w:hAnsi="Cambria"/>
          <w:sz w:val="20"/>
          <w:szCs w:val="20"/>
          <w:lang w:val="es-VE"/>
        </w:rPr>
        <w:t xml:space="preserve">(...) </w:t>
      </w:r>
      <w:r>
        <w:rPr>
          <w:rFonts w:ascii="Cambria" w:hAnsi="Cambria"/>
          <w:sz w:val="20"/>
          <w:szCs w:val="20"/>
          <w:lang w:val="es-VE"/>
        </w:rPr>
        <w:t xml:space="preserve">yo estaba esperando al funcionario que tenía el caso y </w:t>
      </w:r>
      <w:r w:rsidR="00040B91">
        <w:rPr>
          <w:rFonts w:ascii="Cambria" w:hAnsi="Cambria"/>
          <w:sz w:val="20"/>
          <w:szCs w:val="20"/>
          <w:lang w:val="es-VE"/>
        </w:rPr>
        <w:t>(...)</w:t>
      </w:r>
      <w:r>
        <w:rPr>
          <w:rFonts w:ascii="Cambria" w:hAnsi="Cambria"/>
          <w:sz w:val="20"/>
          <w:szCs w:val="20"/>
          <w:lang w:val="es-VE"/>
        </w:rPr>
        <w:t xml:space="preserve"> yo solamente fui a preguntar por mis hijas y me dejaron detenido y aquí estoy</w:t>
      </w:r>
      <w:r>
        <w:rPr>
          <w:rStyle w:val="Refdenotaalpie"/>
          <w:rFonts w:ascii="Cambria" w:hAnsi="Cambria"/>
          <w:sz w:val="20"/>
          <w:szCs w:val="20"/>
          <w:lang w:val="es-VE"/>
        </w:rPr>
        <w:footnoteReference w:id="17"/>
      </w:r>
      <w:r w:rsidR="00040B91">
        <w:rPr>
          <w:rFonts w:ascii="Cambria" w:hAnsi="Cambria"/>
          <w:sz w:val="20"/>
          <w:szCs w:val="20"/>
          <w:lang w:val="es-VE"/>
        </w:rPr>
        <w:t>.</w:t>
      </w:r>
    </w:p>
    <w:p w14:paraId="50CB43F8" w14:textId="77777777" w:rsidR="00186F7F" w:rsidRDefault="00186F7F" w:rsidP="009A413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0FB6174" w14:textId="77777777" w:rsidR="00F458FA" w:rsidRDefault="00186F7F" w:rsidP="00186F7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F458FA">
        <w:rPr>
          <w:rFonts w:ascii="Cambria" w:hAnsi="Cambria"/>
          <w:sz w:val="20"/>
          <w:szCs w:val="20"/>
          <w:lang w:val="es-VE"/>
        </w:rPr>
        <w:t>El mismo 23 de noviembre de 1998 la Brigada</w:t>
      </w:r>
      <w:r w:rsidR="006B254D" w:rsidRPr="00F458FA">
        <w:rPr>
          <w:rFonts w:ascii="Cambria" w:hAnsi="Cambria"/>
          <w:sz w:val="20"/>
          <w:szCs w:val="20"/>
          <w:lang w:val="es-VE"/>
        </w:rPr>
        <w:t xml:space="preserve"> contra Homicidios del Cuerpo Té</w:t>
      </w:r>
      <w:r w:rsidRPr="00F458FA">
        <w:rPr>
          <w:rFonts w:ascii="Cambria" w:hAnsi="Cambria"/>
          <w:sz w:val="20"/>
          <w:szCs w:val="20"/>
          <w:lang w:val="es-VE"/>
        </w:rPr>
        <w:t xml:space="preserve">cnico de </w:t>
      </w:r>
      <w:r w:rsidR="00A85163" w:rsidRPr="00F458FA">
        <w:rPr>
          <w:rFonts w:ascii="Cambria" w:hAnsi="Cambria"/>
          <w:sz w:val="20"/>
          <w:szCs w:val="20"/>
          <w:lang w:val="es-VE"/>
        </w:rPr>
        <w:t>Policía</w:t>
      </w:r>
      <w:r w:rsidRPr="00F458FA">
        <w:rPr>
          <w:rFonts w:ascii="Cambria" w:hAnsi="Cambria"/>
          <w:sz w:val="20"/>
          <w:szCs w:val="20"/>
          <w:lang w:val="es-VE"/>
        </w:rPr>
        <w:t xml:space="preserve"> Judicial de Zulia emitió una resolución</w:t>
      </w:r>
      <w:r w:rsidR="00817519">
        <w:rPr>
          <w:rFonts w:ascii="Cambria" w:hAnsi="Cambria"/>
          <w:sz w:val="20"/>
          <w:szCs w:val="20"/>
          <w:lang w:val="es-VE"/>
        </w:rPr>
        <w:t xml:space="preserve"> decretando </w:t>
      </w:r>
      <w:r w:rsidR="00F458FA">
        <w:rPr>
          <w:rFonts w:ascii="Cambria" w:hAnsi="Cambria"/>
          <w:sz w:val="20"/>
          <w:szCs w:val="20"/>
          <w:lang w:val="es-VE"/>
        </w:rPr>
        <w:t>lo siguiente:</w:t>
      </w:r>
      <w:r w:rsidR="004A6D58" w:rsidRPr="00F458FA">
        <w:rPr>
          <w:rFonts w:ascii="Cambria" w:hAnsi="Cambria"/>
          <w:sz w:val="20"/>
          <w:szCs w:val="20"/>
          <w:lang w:val="es-VE"/>
        </w:rPr>
        <w:t xml:space="preserve"> </w:t>
      </w:r>
    </w:p>
    <w:p w14:paraId="66D6693E" w14:textId="77777777" w:rsidR="00F458FA" w:rsidRDefault="00F458FA" w:rsidP="00F458F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4A906203" w14:textId="77777777" w:rsidR="00F458FA" w:rsidRDefault="00BA5749" w:rsidP="00F458F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lang w:val="es-VE"/>
        </w:rPr>
      </w:pPr>
      <w:r w:rsidRPr="00F458FA">
        <w:rPr>
          <w:rFonts w:ascii="Cambria" w:hAnsi="Cambria"/>
          <w:sz w:val="20"/>
          <w:szCs w:val="20"/>
          <w:lang w:val="es-VE"/>
        </w:rPr>
        <w:t xml:space="preserve">Por cuanto por esta Delegación cursa la averiguación sumaria </w:t>
      </w:r>
      <w:r w:rsidR="00F458FA">
        <w:rPr>
          <w:rFonts w:ascii="Cambria" w:hAnsi="Cambria"/>
          <w:sz w:val="20"/>
          <w:szCs w:val="20"/>
          <w:lang w:val="es-VE"/>
        </w:rPr>
        <w:t xml:space="preserve">(...) </w:t>
      </w:r>
      <w:r w:rsidRPr="00F458FA">
        <w:rPr>
          <w:rFonts w:ascii="Cambria" w:hAnsi="Cambria"/>
          <w:sz w:val="20"/>
          <w:szCs w:val="20"/>
          <w:lang w:val="es-VE"/>
        </w:rPr>
        <w:t xml:space="preserve">y existiendo elementos de juicio que </w:t>
      </w:r>
      <w:r w:rsidR="005D4463" w:rsidRPr="00F458FA">
        <w:rPr>
          <w:rFonts w:ascii="Cambria" w:hAnsi="Cambria"/>
          <w:sz w:val="20"/>
          <w:szCs w:val="20"/>
          <w:lang w:val="es-VE"/>
        </w:rPr>
        <w:t xml:space="preserve">hace presumir su participación en </w:t>
      </w:r>
      <w:r w:rsidR="00F458FA">
        <w:rPr>
          <w:rFonts w:ascii="Cambria" w:hAnsi="Cambria"/>
          <w:sz w:val="20"/>
          <w:szCs w:val="20"/>
          <w:lang w:val="es-VE"/>
        </w:rPr>
        <w:t>(la muerte de la señora Fernández)</w:t>
      </w:r>
      <w:r w:rsidR="005D4463" w:rsidRPr="00F458FA">
        <w:rPr>
          <w:rFonts w:ascii="Cambria" w:hAnsi="Cambria"/>
          <w:sz w:val="20"/>
          <w:szCs w:val="20"/>
          <w:lang w:val="es-VE"/>
        </w:rPr>
        <w:t>, que a criterio de este Despacho se hace necesario que debe continuar su</w:t>
      </w:r>
      <w:r w:rsidR="004A6D58" w:rsidRPr="00F458FA">
        <w:rPr>
          <w:rFonts w:ascii="Cambria" w:hAnsi="Cambria"/>
          <w:sz w:val="20"/>
          <w:szCs w:val="20"/>
          <w:lang w:val="es-VE"/>
        </w:rPr>
        <w:t xml:space="preserve"> detención preventiva</w:t>
      </w:r>
      <w:r w:rsidR="005D4463" w:rsidRPr="00F458FA">
        <w:rPr>
          <w:rFonts w:ascii="Cambria" w:hAnsi="Cambria"/>
          <w:sz w:val="20"/>
          <w:szCs w:val="20"/>
          <w:lang w:val="es-VE"/>
        </w:rPr>
        <w:t xml:space="preserve">, de conformidad a lo previsto en el artículo 45 de la Ley Orgánica de Amparo Sobre Derechos y Garantías Constitucionales, se acuerda mantenerlo detenido preventivamente </w:t>
      </w:r>
      <w:r w:rsidR="004A6D58" w:rsidRPr="00F458FA">
        <w:rPr>
          <w:rFonts w:ascii="Cambria" w:hAnsi="Cambria"/>
          <w:sz w:val="20"/>
          <w:szCs w:val="20"/>
          <w:lang w:val="es-VE"/>
        </w:rPr>
        <w:t>por el lapso que no</w:t>
      </w:r>
      <w:r w:rsidR="005D4463" w:rsidRPr="00F458FA">
        <w:rPr>
          <w:rFonts w:ascii="Cambria" w:hAnsi="Cambria"/>
          <w:sz w:val="20"/>
          <w:szCs w:val="20"/>
          <w:lang w:val="es-VE"/>
        </w:rPr>
        <w:t xml:space="preserve"> se podrá exceder de </w:t>
      </w:r>
      <w:r w:rsidR="004A6D58" w:rsidRPr="00F458FA">
        <w:rPr>
          <w:rFonts w:ascii="Cambria" w:hAnsi="Cambria"/>
          <w:sz w:val="20"/>
          <w:szCs w:val="20"/>
          <w:lang w:val="es-VE"/>
        </w:rPr>
        <w:t>ocho días</w:t>
      </w:r>
      <w:r w:rsidR="005D4463" w:rsidRPr="00F458FA">
        <w:rPr>
          <w:rFonts w:ascii="Cambria" w:hAnsi="Cambria"/>
          <w:sz w:val="20"/>
          <w:szCs w:val="20"/>
          <w:lang w:val="es-VE"/>
        </w:rPr>
        <w:t>, a tenor de lo dispuesto en el artículo 75 del Código de Enjuiciamiento Criminal</w:t>
      </w:r>
      <w:r w:rsidR="005D4463" w:rsidRPr="00F458FA">
        <w:rPr>
          <w:rStyle w:val="Refdenotaalpie"/>
          <w:rFonts w:ascii="Cambria" w:hAnsi="Cambria"/>
          <w:sz w:val="20"/>
          <w:szCs w:val="20"/>
          <w:lang w:val="es-VE"/>
        </w:rPr>
        <w:footnoteReference w:id="18"/>
      </w:r>
      <w:r w:rsidR="00D62DC9">
        <w:rPr>
          <w:rFonts w:ascii="Cambria" w:hAnsi="Cambria"/>
          <w:sz w:val="20"/>
          <w:szCs w:val="20"/>
          <w:lang w:val="es-VE"/>
        </w:rPr>
        <w:t>.</w:t>
      </w:r>
      <w:r w:rsidR="004A6D58" w:rsidRPr="00F458FA">
        <w:rPr>
          <w:rFonts w:ascii="Cambria" w:hAnsi="Cambria"/>
          <w:sz w:val="20"/>
          <w:szCs w:val="20"/>
          <w:lang w:val="es-VE"/>
        </w:rPr>
        <w:t xml:space="preserve"> </w:t>
      </w:r>
    </w:p>
    <w:p w14:paraId="200CFBE9" w14:textId="77777777" w:rsidR="00F458FA" w:rsidRDefault="00F458FA" w:rsidP="00F458F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lang w:val="es-VE"/>
        </w:rPr>
      </w:pPr>
    </w:p>
    <w:p w14:paraId="2D28E5EC" w14:textId="77777777" w:rsidR="00D84BC7" w:rsidRDefault="006B254D" w:rsidP="00D84BC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5812D5">
        <w:rPr>
          <w:rFonts w:ascii="Cambria" w:hAnsi="Cambria"/>
          <w:sz w:val="20"/>
          <w:szCs w:val="20"/>
          <w:lang w:val="es-VE"/>
        </w:rPr>
        <w:t>Dicha brigada emitió las boletas de detención en contra de Fernando González, María Angélica González y Belkis Mirelis González</w:t>
      </w:r>
      <w:r w:rsidRPr="005812D5">
        <w:rPr>
          <w:rStyle w:val="Refdenotaalpie"/>
          <w:rFonts w:ascii="Cambria" w:hAnsi="Cambria"/>
          <w:sz w:val="20"/>
          <w:szCs w:val="20"/>
          <w:lang w:val="es-VE"/>
        </w:rPr>
        <w:footnoteReference w:id="19"/>
      </w:r>
      <w:r w:rsidRPr="005812D5">
        <w:rPr>
          <w:rFonts w:ascii="Cambria" w:hAnsi="Cambria"/>
          <w:sz w:val="20"/>
          <w:szCs w:val="20"/>
          <w:lang w:val="es-VE"/>
        </w:rPr>
        <w:t>.</w:t>
      </w:r>
      <w:r w:rsidR="00F458FA" w:rsidRPr="005812D5">
        <w:rPr>
          <w:rFonts w:ascii="Cambria" w:hAnsi="Cambria"/>
          <w:sz w:val="20"/>
          <w:szCs w:val="20"/>
          <w:lang w:val="es-VE"/>
        </w:rPr>
        <w:t xml:space="preserve"> </w:t>
      </w:r>
    </w:p>
    <w:p w14:paraId="15096521" w14:textId="77777777" w:rsidR="006E18F4" w:rsidRDefault="006E18F4" w:rsidP="006E18F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4796706" w14:textId="77777777" w:rsidR="00D84BC7" w:rsidRPr="006E18F4" w:rsidRDefault="006E18F4" w:rsidP="006E18F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6E18F4">
        <w:rPr>
          <w:rFonts w:ascii="Cambria" w:hAnsi="Cambria"/>
          <w:sz w:val="20"/>
          <w:szCs w:val="20"/>
          <w:lang w:val="es-VE"/>
        </w:rPr>
        <w:t>La Comisión toma nota de que entre noviembre y diciembre de 1998 la Brigada Contra Homicidios del Cuerpo Técnico de Policía recibió declaraciones de la hermana, las hijas y la vecina de Carmen Fernández. En sus declaraciones indicaron que vieron a Fernando González, María Angélica González y Belkis Mirelis González participar en el asesinato de la señora Fernández</w:t>
      </w:r>
      <w:r w:rsidRPr="006E18F4">
        <w:rPr>
          <w:rStyle w:val="Refdenotaalpie"/>
          <w:rFonts w:ascii="Cambria" w:hAnsi="Cambria"/>
          <w:sz w:val="20"/>
          <w:szCs w:val="20"/>
          <w:lang w:val="es-VE"/>
        </w:rPr>
        <w:footnoteReference w:id="20"/>
      </w:r>
      <w:r w:rsidRPr="006E18F4">
        <w:rPr>
          <w:rFonts w:ascii="Cambria" w:hAnsi="Cambria"/>
          <w:sz w:val="20"/>
          <w:szCs w:val="20"/>
          <w:lang w:val="es-VE"/>
        </w:rPr>
        <w:t xml:space="preserve">.  </w:t>
      </w:r>
    </w:p>
    <w:p w14:paraId="60722852" w14:textId="77777777" w:rsidR="006E18F4" w:rsidRPr="006E18F4" w:rsidRDefault="006E18F4" w:rsidP="006E18F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1681B526" w14:textId="77777777" w:rsidR="004952D6" w:rsidRDefault="00561088" w:rsidP="004406B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9D45B1">
        <w:rPr>
          <w:rFonts w:ascii="Cambria" w:hAnsi="Cambria"/>
          <w:sz w:val="20"/>
          <w:szCs w:val="20"/>
          <w:lang w:val="es-VE"/>
        </w:rPr>
        <w:t>El 25</w:t>
      </w:r>
      <w:r w:rsidR="00CC5B15" w:rsidRPr="009D45B1">
        <w:rPr>
          <w:rFonts w:ascii="Cambria" w:hAnsi="Cambria"/>
          <w:sz w:val="20"/>
          <w:szCs w:val="20"/>
          <w:lang w:val="es-VE"/>
        </w:rPr>
        <w:t xml:space="preserve"> d</w:t>
      </w:r>
      <w:r w:rsidR="000D6B12" w:rsidRPr="009D45B1">
        <w:rPr>
          <w:rFonts w:ascii="Cambria" w:hAnsi="Cambria"/>
          <w:sz w:val="20"/>
          <w:szCs w:val="20"/>
          <w:lang w:val="es-VE"/>
        </w:rPr>
        <w:t>e n</w:t>
      </w:r>
      <w:r w:rsidR="00CC5B15" w:rsidRPr="009D45B1">
        <w:rPr>
          <w:rFonts w:ascii="Cambria" w:hAnsi="Cambria"/>
          <w:sz w:val="20"/>
          <w:szCs w:val="20"/>
          <w:lang w:val="es-VE"/>
        </w:rPr>
        <w:t>oviembre de 1998</w:t>
      </w:r>
      <w:r w:rsidRPr="009D45B1">
        <w:rPr>
          <w:rFonts w:ascii="Cambria" w:hAnsi="Cambria"/>
          <w:sz w:val="20"/>
          <w:szCs w:val="20"/>
          <w:lang w:val="es-VE"/>
        </w:rPr>
        <w:t xml:space="preserve"> Belkis Mirelis González, María Angélica González y Fernando González </w:t>
      </w:r>
      <w:r w:rsidR="000D6B12" w:rsidRPr="009D45B1">
        <w:rPr>
          <w:rFonts w:ascii="Cambria" w:hAnsi="Cambria"/>
          <w:sz w:val="20"/>
          <w:szCs w:val="20"/>
          <w:lang w:val="es-VE"/>
        </w:rPr>
        <w:t>f</w:t>
      </w:r>
      <w:r w:rsidR="00365B47" w:rsidRPr="009D45B1">
        <w:rPr>
          <w:rFonts w:ascii="Cambria" w:hAnsi="Cambria"/>
          <w:sz w:val="20"/>
          <w:szCs w:val="20"/>
          <w:lang w:val="es-VE"/>
        </w:rPr>
        <w:t>ueron trasladados</w:t>
      </w:r>
      <w:r w:rsidR="00365B47">
        <w:rPr>
          <w:rFonts w:ascii="Cambria" w:hAnsi="Cambria"/>
          <w:sz w:val="20"/>
          <w:szCs w:val="20"/>
          <w:lang w:val="es-VE"/>
        </w:rPr>
        <w:t xml:space="preserve"> al Ministerio</w:t>
      </w:r>
      <w:r w:rsidR="000D6B12" w:rsidRPr="004952D6">
        <w:rPr>
          <w:rFonts w:ascii="Cambria" w:hAnsi="Cambria"/>
          <w:sz w:val="20"/>
          <w:szCs w:val="20"/>
          <w:lang w:val="es-VE"/>
        </w:rPr>
        <w:t xml:space="preserve"> Público </w:t>
      </w:r>
      <w:r w:rsidRPr="004952D6">
        <w:rPr>
          <w:rFonts w:ascii="Cambria" w:hAnsi="Cambria"/>
          <w:sz w:val="20"/>
          <w:szCs w:val="20"/>
          <w:lang w:val="es-VE"/>
        </w:rPr>
        <w:t>para rendir su declaración informativa</w:t>
      </w:r>
      <w:r w:rsidR="000D6B12" w:rsidRPr="004952D6">
        <w:rPr>
          <w:rFonts w:ascii="Cambria" w:hAnsi="Cambria"/>
          <w:sz w:val="20"/>
          <w:szCs w:val="20"/>
          <w:lang w:val="es-VE"/>
        </w:rPr>
        <w:t xml:space="preserve"> ante el fiscal a cargo de la investigación</w:t>
      </w:r>
      <w:r w:rsidR="00300A6B" w:rsidRPr="004952D6">
        <w:rPr>
          <w:rFonts w:ascii="Cambria" w:hAnsi="Cambria"/>
          <w:sz w:val="20"/>
          <w:szCs w:val="20"/>
          <w:lang w:val="es-VE"/>
        </w:rPr>
        <w:t xml:space="preserve"> y sus abogados defensores</w:t>
      </w:r>
      <w:r w:rsidRPr="004952D6">
        <w:rPr>
          <w:rFonts w:ascii="Cambria" w:hAnsi="Cambria"/>
          <w:sz w:val="20"/>
          <w:szCs w:val="20"/>
          <w:lang w:val="es-VE"/>
        </w:rPr>
        <w:t>.</w:t>
      </w:r>
      <w:r w:rsidR="00CC5B15" w:rsidRPr="004952D6">
        <w:rPr>
          <w:rFonts w:ascii="Cambria" w:hAnsi="Cambria"/>
          <w:sz w:val="20"/>
          <w:szCs w:val="20"/>
          <w:lang w:val="es-VE"/>
        </w:rPr>
        <w:t xml:space="preserve"> </w:t>
      </w:r>
      <w:r w:rsidR="00AA3D85">
        <w:rPr>
          <w:rFonts w:ascii="Cambria" w:hAnsi="Cambria"/>
          <w:sz w:val="20"/>
          <w:szCs w:val="20"/>
          <w:lang w:val="es-VE"/>
        </w:rPr>
        <w:t>L</w:t>
      </w:r>
      <w:r w:rsidR="009D45B1">
        <w:rPr>
          <w:rFonts w:ascii="Cambria" w:hAnsi="Cambria"/>
          <w:sz w:val="20"/>
          <w:szCs w:val="20"/>
          <w:lang w:val="es-VE"/>
        </w:rPr>
        <w:t>as tres presuntas víctimas</w:t>
      </w:r>
      <w:r w:rsidR="004952D6" w:rsidRPr="004952D6">
        <w:rPr>
          <w:rFonts w:ascii="Cambria" w:hAnsi="Cambria"/>
          <w:sz w:val="20"/>
          <w:szCs w:val="20"/>
          <w:lang w:val="es-VE"/>
        </w:rPr>
        <w:t xml:space="preserve"> manifestaron que se les había leído sus derechos</w:t>
      </w:r>
      <w:r w:rsidR="00DA645F">
        <w:rPr>
          <w:rFonts w:ascii="Cambria" w:hAnsi="Cambria"/>
          <w:sz w:val="20"/>
          <w:szCs w:val="20"/>
          <w:lang w:val="es-VE"/>
        </w:rPr>
        <w:t xml:space="preserve"> constitucionales</w:t>
      </w:r>
      <w:r w:rsidR="004952D6" w:rsidRPr="004952D6">
        <w:rPr>
          <w:rFonts w:ascii="Cambria" w:hAnsi="Cambria"/>
          <w:sz w:val="20"/>
          <w:szCs w:val="20"/>
          <w:lang w:val="es-VE"/>
        </w:rPr>
        <w:t xml:space="preserve"> y que </w:t>
      </w:r>
      <w:r w:rsidR="00DA645F">
        <w:rPr>
          <w:rFonts w:ascii="Cambria" w:hAnsi="Cambria"/>
          <w:sz w:val="20"/>
          <w:szCs w:val="20"/>
          <w:lang w:val="es-VE"/>
        </w:rPr>
        <w:t xml:space="preserve">únicamente </w:t>
      </w:r>
      <w:r w:rsidR="009D45B1">
        <w:rPr>
          <w:rFonts w:ascii="Cambria" w:hAnsi="Cambria"/>
          <w:sz w:val="20"/>
          <w:szCs w:val="20"/>
          <w:lang w:val="es-VE"/>
        </w:rPr>
        <w:t>presentarían sus declaraciones</w:t>
      </w:r>
      <w:r w:rsidR="004952D6" w:rsidRPr="004952D6">
        <w:rPr>
          <w:rFonts w:ascii="Cambria" w:hAnsi="Cambria"/>
          <w:sz w:val="20"/>
          <w:szCs w:val="20"/>
          <w:lang w:val="es-VE"/>
        </w:rPr>
        <w:t xml:space="preserve"> ante los tribunales</w:t>
      </w:r>
      <w:r w:rsidR="009D45B1">
        <w:rPr>
          <w:rFonts w:ascii="Cambria" w:hAnsi="Cambria"/>
          <w:sz w:val="20"/>
          <w:szCs w:val="20"/>
          <w:lang w:val="es-VE"/>
        </w:rPr>
        <w:t xml:space="preserve"> judiciales</w:t>
      </w:r>
      <w:r w:rsidR="006E3301">
        <w:rPr>
          <w:rStyle w:val="Refdenotaalpie"/>
          <w:rFonts w:ascii="Cambria" w:hAnsi="Cambria"/>
          <w:sz w:val="20"/>
          <w:szCs w:val="20"/>
          <w:lang w:val="es-VE"/>
        </w:rPr>
        <w:footnoteReference w:id="21"/>
      </w:r>
      <w:r w:rsidR="000D6B12" w:rsidRPr="004952D6">
        <w:rPr>
          <w:rFonts w:ascii="Cambria" w:hAnsi="Cambria"/>
          <w:sz w:val="20"/>
          <w:szCs w:val="20"/>
          <w:lang w:val="es-VE"/>
        </w:rPr>
        <w:t xml:space="preserve">. </w:t>
      </w:r>
    </w:p>
    <w:p w14:paraId="090F20BD" w14:textId="77777777" w:rsidR="004406BC" w:rsidRPr="004406BC" w:rsidRDefault="004406BC" w:rsidP="004406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467B366" w14:textId="77777777" w:rsidR="00D4697C" w:rsidRPr="00DA645F" w:rsidRDefault="00300A6B" w:rsidP="00DA645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w:t>
      </w:r>
      <w:r w:rsidR="00215BE6">
        <w:rPr>
          <w:rFonts w:ascii="Cambria" w:hAnsi="Cambria"/>
          <w:sz w:val="20"/>
          <w:szCs w:val="20"/>
          <w:lang w:val="es-VE"/>
        </w:rPr>
        <w:t xml:space="preserve"> 25 de noviembre de 1998 se solicitó</w:t>
      </w:r>
      <w:r>
        <w:rPr>
          <w:rFonts w:ascii="Cambria" w:hAnsi="Cambria"/>
          <w:sz w:val="20"/>
          <w:szCs w:val="20"/>
          <w:lang w:val="es-VE"/>
        </w:rPr>
        <w:t xml:space="preserve"> que se realice la práctica de experticia de r</w:t>
      </w:r>
      <w:r w:rsidR="00215BE6">
        <w:rPr>
          <w:rFonts w:ascii="Cambria" w:hAnsi="Cambria"/>
          <w:sz w:val="20"/>
          <w:szCs w:val="20"/>
          <w:lang w:val="es-VE"/>
        </w:rPr>
        <w:t xml:space="preserve">econocimiento a </w:t>
      </w:r>
      <w:r>
        <w:rPr>
          <w:rFonts w:ascii="Cambria" w:hAnsi="Cambria"/>
          <w:sz w:val="20"/>
          <w:szCs w:val="20"/>
          <w:lang w:val="es-VE"/>
        </w:rPr>
        <w:t xml:space="preserve">la </w:t>
      </w:r>
      <w:r w:rsidR="00215BE6">
        <w:rPr>
          <w:rFonts w:ascii="Cambria" w:hAnsi="Cambria"/>
          <w:sz w:val="20"/>
          <w:szCs w:val="20"/>
          <w:lang w:val="es-VE"/>
        </w:rPr>
        <w:t>escopeta</w:t>
      </w:r>
      <w:r>
        <w:rPr>
          <w:rFonts w:ascii="Cambria" w:hAnsi="Cambria"/>
          <w:sz w:val="20"/>
          <w:szCs w:val="20"/>
          <w:lang w:val="es-VE"/>
        </w:rPr>
        <w:t xml:space="preserve"> decomisada</w:t>
      </w:r>
      <w:r>
        <w:rPr>
          <w:rStyle w:val="Refdenotaalpie"/>
          <w:rFonts w:ascii="Cambria" w:hAnsi="Cambria"/>
          <w:sz w:val="20"/>
          <w:szCs w:val="20"/>
          <w:lang w:val="es-VE"/>
        </w:rPr>
        <w:footnoteReference w:id="22"/>
      </w:r>
      <w:r>
        <w:rPr>
          <w:rFonts w:ascii="Cambria" w:hAnsi="Cambria"/>
          <w:sz w:val="20"/>
          <w:szCs w:val="20"/>
          <w:lang w:val="es-VE"/>
        </w:rPr>
        <w:t>. La CIDH no cuenta con los resultados</w:t>
      </w:r>
      <w:r w:rsidR="00215BE6">
        <w:rPr>
          <w:rFonts w:ascii="Cambria" w:hAnsi="Cambria"/>
          <w:sz w:val="20"/>
          <w:szCs w:val="20"/>
          <w:lang w:val="es-VE"/>
        </w:rPr>
        <w:t>.</w:t>
      </w:r>
    </w:p>
    <w:p w14:paraId="395A277F" w14:textId="77777777" w:rsidR="00540526" w:rsidRDefault="00540526" w:rsidP="0054052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right="720"/>
        <w:jc w:val="both"/>
        <w:rPr>
          <w:rFonts w:ascii="Cambria" w:hAnsi="Cambria"/>
          <w:sz w:val="20"/>
          <w:szCs w:val="20"/>
          <w:lang w:val="es-VE"/>
        </w:rPr>
      </w:pPr>
    </w:p>
    <w:p w14:paraId="52AA0C00" w14:textId="77777777" w:rsidR="00540526" w:rsidRDefault="00B5574D" w:rsidP="0054052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4 de </w:t>
      </w:r>
      <w:r w:rsidRPr="00540526">
        <w:rPr>
          <w:rFonts w:ascii="Cambria" w:hAnsi="Cambria"/>
          <w:sz w:val="20"/>
          <w:szCs w:val="20"/>
          <w:lang w:val="es-VE"/>
        </w:rPr>
        <w:t xml:space="preserve">diciembre de 1998 </w:t>
      </w:r>
      <w:r w:rsidR="00540526" w:rsidRPr="00540526">
        <w:rPr>
          <w:rFonts w:ascii="Cambria" w:hAnsi="Cambria"/>
          <w:sz w:val="20"/>
          <w:szCs w:val="20"/>
          <w:lang w:val="es-VE"/>
        </w:rPr>
        <w:t xml:space="preserve">el </w:t>
      </w:r>
      <w:r w:rsidR="00540526" w:rsidRPr="00540526">
        <w:rPr>
          <w:rFonts w:ascii="Cambria" w:hAnsi="Cambria"/>
          <w:sz w:val="20"/>
          <w:szCs w:val="20"/>
          <w:lang w:val="es-MX"/>
        </w:rPr>
        <w:t xml:space="preserve">Juzgado Primero de Primera Instancia de lo Penal </w:t>
      </w:r>
      <w:r w:rsidR="00540526">
        <w:rPr>
          <w:rFonts w:ascii="Cambria" w:hAnsi="Cambria"/>
          <w:sz w:val="20"/>
          <w:szCs w:val="20"/>
          <w:lang w:val="es-VE"/>
        </w:rPr>
        <w:t>celebró</w:t>
      </w:r>
      <w:r w:rsidRPr="00540526">
        <w:rPr>
          <w:rFonts w:ascii="Cambria" w:hAnsi="Cambria"/>
          <w:sz w:val="20"/>
          <w:szCs w:val="20"/>
          <w:lang w:val="es-VE"/>
        </w:rPr>
        <w:t xml:space="preserve"> una audiencia </w:t>
      </w:r>
      <w:r w:rsidR="00540526">
        <w:rPr>
          <w:rFonts w:ascii="Cambria" w:hAnsi="Cambria"/>
          <w:sz w:val="20"/>
          <w:szCs w:val="20"/>
          <w:lang w:val="es-VE"/>
        </w:rPr>
        <w:t>en</w:t>
      </w:r>
      <w:r w:rsidR="00350E61">
        <w:rPr>
          <w:rFonts w:ascii="Cambria" w:hAnsi="Cambria"/>
          <w:sz w:val="20"/>
          <w:szCs w:val="20"/>
          <w:lang w:val="es-VE"/>
        </w:rPr>
        <w:t xml:space="preserve"> la que </w:t>
      </w:r>
      <w:r w:rsidR="00540526" w:rsidRPr="00540526">
        <w:rPr>
          <w:rFonts w:ascii="Cambria" w:hAnsi="Cambria"/>
          <w:sz w:val="20"/>
          <w:szCs w:val="20"/>
          <w:lang w:val="es-VE"/>
        </w:rPr>
        <w:t>María Angélica, Belkis y Fernando González</w:t>
      </w:r>
      <w:r w:rsidR="00540526">
        <w:rPr>
          <w:rFonts w:ascii="Cambria" w:hAnsi="Cambria"/>
          <w:sz w:val="20"/>
          <w:szCs w:val="20"/>
          <w:lang w:val="es-VE"/>
        </w:rPr>
        <w:t xml:space="preserve"> rindieron sus declaraciones. </w:t>
      </w:r>
      <w:r w:rsidR="00ED4B02">
        <w:rPr>
          <w:rFonts w:ascii="Cambria" w:hAnsi="Cambria"/>
          <w:sz w:val="20"/>
          <w:szCs w:val="20"/>
          <w:lang w:val="es-VE"/>
        </w:rPr>
        <w:t>E</w:t>
      </w:r>
      <w:r w:rsidR="00540526">
        <w:rPr>
          <w:rFonts w:ascii="Cambria" w:hAnsi="Cambria"/>
          <w:sz w:val="20"/>
          <w:szCs w:val="20"/>
          <w:lang w:val="es-VE"/>
        </w:rPr>
        <w:t xml:space="preserve">n dichas declaraciones explicaron las circunstancias de sus </w:t>
      </w:r>
      <w:r w:rsidR="00F13C8F">
        <w:rPr>
          <w:rFonts w:ascii="Cambria" w:hAnsi="Cambria"/>
          <w:sz w:val="20"/>
          <w:szCs w:val="20"/>
          <w:lang w:val="es-VE"/>
        </w:rPr>
        <w:t>detenciones y alegaron que no participaron de la muerte de la señora Fernández.</w:t>
      </w:r>
    </w:p>
    <w:p w14:paraId="609B462C" w14:textId="77777777" w:rsidR="00686674" w:rsidRDefault="00686674" w:rsidP="006D15B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3FDFEE96" w14:textId="77777777" w:rsidR="00EF1E8A" w:rsidRDefault="00EF1E8A" w:rsidP="00EF1E8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mismo día el Juzgado ordenó realizar una rueda de reconocimiento para el 8 de diciembre de 1998</w:t>
      </w:r>
      <w:r>
        <w:rPr>
          <w:rStyle w:val="Refdenotaalpie"/>
          <w:rFonts w:ascii="Cambria" w:hAnsi="Cambria"/>
          <w:sz w:val="20"/>
          <w:szCs w:val="20"/>
          <w:lang w:val="es-VE"/>
        </w:rPr>
        <w:footnoteReference w:id="23"/>
      </w:r>
      <w:r>
        <w:rPr>
          <w:rFonts w:ascii="Cambria" w:hAnsi="Cambria"/>
          <w:sz w:val="20"/>
          <w:szCs w:val="20"/>
          <w:lang w:val="es-VE"/>
        </w:rPr>
        <w:t>. En dicha fecha Brenda Meneses participó de dos ruedas de reconocimiento</w:t>
      </w:r>
      <w:r w:rsidR="00355E4C">
        <w:rPr>
          <w:rFonts w:ascii="Cambria" w:hAnsi="Cambria"/>
          <w:sz w:val="20"/>
          <w:szCs w:val="20"/>
          <w:lang w:val="es-VE"/>
        </w:rPr>
        <w:t xml:space="preserve"> identificando</w:t>
      </w:r>
      <w:r>
        <w:rPr>
          <w:rFonts w:ascii="Cambria" w:hAnsi="Cambria"/>
          <w:sz w:val="20"/>
          <w:szCs w:val="20"/>
          <w:lang w:val="es-VE"/>
        </w:rPr>
        <w:t xml:space="preserve"> como presuntos responsables de la muerte de su madre a María Angélica González y a Fernando González</w:t>
      </w:r>
      <w:r>
        <w:rPr>
          <w:rStyle w:val="Refdenotaalpie"/>
          <w:rFonts w:ascii="Cambria" w:hAnsi="Cambria"/>
          <w:sz w:val="20"/>
          <w:szCs w:val="20"/>
          <w:lang w:val="es-VE"/>
        </w:rPr>
        <w:footnoteReference w:id="24"/>
      </w:r>
      <w:r>
        <w:rPr>
          <w:rFonts w:ascii="Cambria" w:hAnsi="Cambria"/>
          <w:sz w:val="20"/>
          <w:szCs w:val="20"/>
          <w:lang w:val="es-VE"/>
        </w:rPr>
        <w:t>. Asimismo, Betty Fernández participó de una rueda de reconocimiento</w:t>
      </w:r>
      <w:r w:rsidR="00367F94">
        <w:rPr>
          <w:rFonts w:ascii="Cambria" w:hAnsi="Cambria"/>
          <w:sz w:val="20"/>
          <w:szCs w:val="20"/>
          <w:lang w:val="es-VE"/>
        </w:rPr>
        <w:t xml:space="preserve"> identificando </w:t>
      </w:r>
      <w:r>
        <w:rPr>
          <w:rFonts w:ascii="Cambria" w:hAnsi="Cambria"/>
          <w:sz w:val="20"/>
          <w:szCs w:val="20"/>
          <w:lang w:val="es-VE"/>
        </w:rPr>
        <w:t>a Fernando González</w:t>
      </w:r>
      <w:r>
        <w:rPr>
          <w:rStyle w:val="Refdenotaalpie"/>
          <w:rFonts w:ascii="Cambria" w:hAnsi="Cambria"/>
          <w:sz w:val="20"/>
          <w:szCs w:val="20"/>
          <w:lang w:val="es-VE"/>
        </w:rPr>
        <w:footnoteReference w:id="25"/>
      </w:r>
      <w:r>
        <w:rPr>
          <w:rFonts w:ascii="Cambria" w:hAnsi="Cambria"/>
          <w:sz w:val="20"/>
          <w:szCs w:val="20"/>
          <w:lang w:val="es-VE"/>
        </w:rPr>
        <w:t>. Finalmente, Luzmila Meneses participó de dos ruedas de reconocimiento</w:t>
      </w:r>
      <w:r w:rsidR="00C31A2A">
        <w:rPr>
          <w:rFonts w:ascii="Cambria" w:hAnsi="Cambria"/>
          <w:sz w:val="20"/>
          <w:szCs w:val="20"/>
          <w:lang w:val="es-VE"/>
        </w:rPr>
        <w:t xml:space="preserve"> identificando a </w:t>
      </w:r>
      <w:r>
        <w:rPr>
          <w:rFonts w:ascii="Cambria" w:hAnsi="Cambria"/>
          <w:sz w:val="20"/>
          <w:szCs w:val="20"/>
          <w:lang w:val="es-VE"/>
        </w:rPr>
        <w:t>Belkis, Maria Angélica y Fernando González</w:t>
      </w:r>
      <w:r>
        <w:rPr>
          <w:rStyle w:val="Refdenotaalpie"/>
          <w:rFonts w:ascii="Cambria" w:hAnsi="Cambria"/>
          <w:sz w:val="20"/>
          <w:szCs w:val="20"/>
          <w:lang w:val="es-VE"/>
        </w:rPr>
        <w:footnoteReference w:id="26"/>
      </w:r>
      <w:r>
        <w:rPr>
          <w:rFonts w:ascii="Cambria" w:hAnsi="Cambria"/>
          <w:sz w:val="20"/>
          <w:szCs w:val="20"/>
          <w:lang w:val="es-VE"/>
        </w:rPr>
        <w:t xml:space="preserve">. </w:t>
      </w:r>
    </w:p>
    <w:p w14:paraId="0CD0B9DA" w14:textId="77777777" w:rsidR="000075B8" w:rsidRDefault="000075B8" w:rsidP="00AA135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3E768D01" w14:textId="77777777" w:rsidR="00F458FA" w:rsidRDefault="00692D6E" w:rsidP="0054310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10 de diciembre de 1998 el Juzgado Primero de Primera Instancia en l</w:t>
      </w:r>
      <w:r w:rsidR="004F707A">
        <w:rPr>
          <w:rFonts w:ascii="Cambria" w:hAnsi="Cambria"/>
          <w:sz w:val="20"/>
          <w:szCs w:val="20"/>
          <w:lang w:val="es-VE"/>
        </w:rPr>
        <w:t xml:space="preserve">o Penal </w:t>
      </w:r>
      <w:r w:rsidR="002124EF">
        <w:rPr>
          <w:rFonts w:ascii="Cambria" w:hAnsi="Cambria"/>
          <w:sz w:val="20"/>
          <w:szCs w:val="20"/>
          <w:lang w:val="es-VE"/>
        </w:rPr>
        <w:t xml:space="preserve">dictó </w:t>
      </w:r>
      <w:r w:rsidR="00646627">
        <w:rPr>
          <w:rFonts w:ascii="Cambria" w:hAnsi="Cambria"/>
          <w:sz w:val="20"/>
          <w:szCs w:val="20"/>
          <w:lang w:val="es-VE"/>
        </w:rPr>
        <w:t xml:space="preserve">un auto de detención. </w:t>
      </w:r>
      <w:r w:rsidR="00F458FA">
        <w:rPr>
          <w:rFonts w:ascii="Cambria" w:hAnsi="Cambria"/>
          <w:sz w:val="20"/>
          <w:szCs w:val="20"/>
          <w:lang w:val="es-VE"/>
        </w:rPr>
        <w:t>En dicho auto se indicó que</w:t>
      </w:r>
      <w:r w:rsidR="00D367EB">
        <w:rPr>
          <w:rFonts w:ascii="Cambria" w:hAnsi="Cambria"/>
          <w:sz w:val="20"/>
          <w:szCs w:val="20"/>
          <w:lang w:val="es-VE"/>
        </w:rPr>
        <w:t xml:space="preserve"> </w:t>
      </w:r>
      <w:r w:rsidR="00F458FA">
        <w:rPr>
          <w:rFonts w:ascii="Cambria" w:hAnsi="Cambria"/>
          <w:sz w:val="20"/>
          <w:szCs w:val="20"/>
          <w:lang w:val="es-VE"/>
        </w:rPr>
        <w:t>“</w:t>
      </w:r>
      <w:r w:rsidR="00D367EB">
        <w:rPr>
          <w:rFonts w:ascii="Cambria" w:hAnsi="Cambria"/>
          <w:sz w:val="20"/>
          <w:szCs w:val="20"/>
          <w:lang w:val="es-VE"/>
        </w:rPr>
        <w:t>surgen fundados y plurales indicios que comprometen la responsabilidad penal</w:t>
      </w:r>
      <w:r w:rsidR="00DF3AE6">
        <w:rPr>
          <w:rFonts w:ascii="Cambria" w:hAnsi="Cambria"/>
          <w:sz w:val="20"/>
          <w:szCs w:val="20"/>
          <w:lang w:val="es-VE"/>
        </w:rPr>
        <w:t>”</w:t>
      </w:r>
      <w:r w:rsidR="00D367EB">
        <w:rPr>
          <w:rFonts w:ascii="Cambria" w:hAnsi="Cambria"/>
          <w:sz w:val="20"/>
          <w:szCs w:val="20"/>
          <w:lang w:val="es-VE"/>
        </w:rPr>
        <w:t xml:space="preserve"> de las </w:t>
      </w:r>
      <w:r w:rsidR="00DF3AE6">
        <w:rPr>
          <w:rFonts w:ascii="Cambria" w:hAnsi="Cambria"/>
          <w:sz w:val="20"/>
          <w:szCs w:val="20"/>
          <w:lang w:val="es-VE"/>
        </w:rPr>
        <w:t>tres presuntas víctimas</w:t>
      </w:r>
      <w:r w:rsidR="00D367EB">
        <w:rPr>
          <w:rFonts w:ascii="Cambria" w:hAnsi="Cambria"/>
          <w:sz w:val="20"/>
          <w:szCs w:val="20"/>
          <w:lang w:val="es-VE"/>
        </w:rPr>
        <w:t xml:space="preserve"> en la comisión del delito </w:t>
      </w:r>
      <w:r w:rsidR="00DF3AE6">
        <w:rPr>
          <w:rFonts w:ascii="Cambria" w:hAnsi="Cambria"/>
          <w:sz w:val="20"/>
          <w:szCs w:val="20"/>
          <w:lang w:val="es-VE"/>
        </w:rPr>
        <w:t>de homicidio intencional, tipificado en el artículo 407 del Código Penal</w:t>
      </w:r>
      <w:r w:rsidR="00D367EB">
        <w:rPr>
          <w:rStyle w:val="Refdenotaalpie"/>
          <w:rFonts w:ascii="Cambria" w:hAnsi="Cambria"/>
          <w:sz w:val="20"/>
          <w:szCs w:val="20"/>
          <w:lang w:val="es-VE"/>
        </w:rPr>
        <w:footnoteReference w:id="27"/>
      </w:r>
      <w:r w:rsidR="00D367EB">
        <w:rPr>
          <w:rFonts w:ascii="Cambria" w:hAnsi="Cambria"/>
          <w:sz w:val="20"/>
          <w:szCs w:val="20"/>
          <w:lang w:val="es-VE"/>
        </w:rPr>
        <w:t>.</w:t>
      </w:r>
      <w:r w:rsidR="00F458FA">
        <w:rPr>
          <w:rFonts w:ascii="Cambria" w:hAnsi="Cambria"/>
          <w:sz w:val="20"/>
          <w:szCs w:val="20"/>
          <w:lang w:val="es-VE"/>
        </w:rPr>
        <w:t xml:space="preserve"> </w:t>
      </w:r>
      <w:r w:rsidR="00DF3AE6">
        <w:rPr>
          <w:rFonts w:ascii="Cambria" w:hAnsi="Cambria"/>
          <w:sz w:val="20"/>
          <w:szCs w:val="20"/>
          <w:lang w:val="es-VE"/>
        </w:rPr>
        <w:t xml:space="preserve"> El Juzgado tomó en cuenta las declaraciones de los familiares de la señora Fernández, así como el reconocimiento en rueda de personas. En vista de ello, y conforme al artículo 182</w:t>
      </w:r>
      <w:r w:rsidR="00D52400">
        <w:rPr>
          <w:rStyle w:val="Refdenotaalpie"/>
          <w:rFonts w:ascii="Cambria" w:hAnsi="Cambria"/>
          <w:sz w:val="20"/>
          <w:szCs w:val="20"/>
          <w:lang w:val="es-VE"/>
        </w:rPr>
        <w:footnoteReference w:id="28"/>
      </w:r>
      <w:r w:rsidR="00DF3AE6">
        <w:rPr>
          <w:rFonts w:ascii="Cambria" w:hAnsi="Cambria"/>
          <w:sz w:val="20"/>
          <w:szCs w:val="20"/>
          <w:lang w:val="es-VE"/>
        </w:rPr>
        <w:t xml:space="preserve"> del Código de Enjuiciamiento Criminal</w:t>
      </w:r>
      <w:r w:rsidR="00B3131A">
        <w:rPr>
          <w:rFonts w:ascii="Cambria" w:hAnsi="Cambria"/>
          <w:sz w:val="20"/>
          <w:szCs w:val="20"/>
          <w:lang w:val="es-VE"/>
        </w:rPr>
        <w:t>,</w:t>
      </w:r>
      <w:r w:rsidR="00DF3AE6">
        <w:rPr>
          <w:rFonts w:ascii="Cambria" w:hAnsi="Cambria"/>
          <w:sz w:val="20"/>
          <w:szCs w:val="20"/>
          <w:lang w:val="es-VE"/>
        </w:rPr>
        <w:t xml:space="preserve"> el Juzgado decretó la detención judicial de Belkis, Maria Angélica y Fernando González</w:t>
      </w:r>
      <w:r w:rsidR="00FE1D0E">
        <w:rPr>
          <w:rFonts w:ascii="Cambria" w:hAnsi="Cambria"/>
          <w:sz w:val="20"/>
          <w:szCs w:val="20"/>
          <w:lang w:val="es-VE"/>
        </w:rPr>
        <w:t xml:space="preserve"> y ordenó que sean enviados a la Cárcel Nacional de Maracaibo</w:t>
      </w:r>
      <w:r w:rsidR="00DF3AE6">
        <w:rPr>
          <w:rStyle w:val="Refdenotaalpie"/>
          <w:rFonts w:ascii="Cambria" w:hAnsi="Cambria"/>
          <w:sz w:val="20"/>
          <w:szCs w:val="20"/>
          <w:lang w:val="es-VE"/>
        </w:rPr>
        <w:footnoteReference w:id="29"/>
      </w:r>
      <w:r w:rsidR="00DF3AE6">
        <w:rPr>
          <w:rFonts w:ascii="Cambria" w:hAnsi="Cambria"/>
          <w:sz w:val="20"/>
          <w:szCs w:val="20"/>
          <w:lang w:val="es-VE"/>
        </w:rPr>
        <w:t xml:space="preserve">. </w:t>
      </w:r>
    </w:p>
    <w:p w14:paraId="650C2AAA" w14:textId="77777777" w:rsidR="00DF3AE6" w:rsidRDefault="00DF3AE6" w:rsidP="00D5240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1ECDAAA7" w14:textId="77777777" w:rsidR="00504EEF" w:rsidRDefault="003D2C42" w:rsidP="00FE1D0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FE1D0E">
        <w:rPr>
          <w:rFonts w:ascii="Cambria" w:hAnsi="Cambria"/>
          <w:sz w:val="20"/>
          <w:szCs w:val="20"/>
          <w:lang w:val="es-VE"/>
        </w:rPr>
        <w:t xml:space="preserve">El 13 de diciembre de 1998 el representante legal de Fernando, Belkis y María Angélica </w:t>
      </w:r>
      <w:r w:rsidR="00F35CDB">
        <w:rPr>
          <w:rFonts w:ascii="Cambria" w:hAnsi="Cambria"/>
          <w:sz w:val="20"/>
          <w:szCs w:val="20"/>
          <w:lang w:val="es-VE"/>
        </w:rPr>
        <w:t xml:space="preserve">González </w:t>
      </w:r>
      <w:r w:rsidRPr="00FE1D0E">
        <w:rPr>
          <w:rFonts w:ascii="Cambria" w:hAnsi="Cambria"/>
          <w:sz w:val="20"/>
          <w:szCs w:val="20"/>
          <w:lang w:val="es-VE"/>
        </w:rPr>
        <w:t>solicitó ante el Ju</w:t>
      </w:r>
      <w:r w:rsidR="00FE1D0E">
        <w:rPr>
          <w:rFonts w:ascii="Cambria" w:hAnsi="Cambria"/>
          <w:sz w:val="20"/>
          <w:szCs w:val="20"/>
          <w:lang w:val="es-VE"/>
        </w:rPr>
        <w:t>zgado</w:t>
      </w:r>
      <w:r w:rsidRPr="00FE1D0E">
        <w:rPr>
          <w:rFonts w:ascii="Cambria" w:hAnsi="Cambria"/>
          <w:sz w:val="20"/>
          <w:szCs w:val="20"/>
          <w:lang w:val="es-VE"/>
        </w:rPr>
        <w:t xml:space="preserve"> que se los transfiriera al retén de “El Marite”</w:t>
      </w:r>
      <w:r w:rsidR="00504EEF">
        <w:rPr>
          <w:rFonts w:ascii="Cambria" w:hAnsi="Cambria"/>
          <w:sz w:val="20"/>
          <w:szCs w:val="20"/>
          <w:lang w:val="es-VE"/>
        </w:rPr>
        <w:t xml:space="preserve"> e indicó:</w:t>
      </w:r>
    </w:p>
    <w:p w14:paraId="53189BEA" w14:textId="77777777" w:rsidR="00504EEF" w:rsidRDefault="00504EEF" w:rsidP="00504EE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72223247" w14:textId="77777777" w:rsidR="00504EEF" w:rsidRDefault="00504EEF" w:rsidP="00504EE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lang w:val="es-VE"/>
        </w:rPr>
      </w:pPr>
      <w:r>
        <w:rPr>
          <w:rFonts w:ascii="Cambria" w:hAnsi="Cambria"/>
          <w:sz w:val="20"/>
          <w:szCs w:val="20"/>
          <w:lang w:val="es-VE"/>
        </w:rPr>
        <w:t xml:space="preserve">Por informaciones recibidas por algunas personas allegadas a los familiares de mis defendidos, y en lo cual se corrido el comentario, que de parte de los afectados de la muerte de  (...) Carmen Fernández, se han proferido amenazas de muerte contra mis defendidos, una vez sean recluidos en la cárcel nacional de </w:t>
      </w:r>
      <w:r w:rsidR="00A85163">
        <w:rPr>
          <w:rFonts w:ascii="Cambria" w:hAnsi="Cambria"/>
          <w:sz w:val="20"/>
          <w:szCs w:val="20"/>
          <w:lang w:val="es-VE"/>
        </w:rPr>
        <w:t>Maracaibo</w:t>
      </w:r>
      <w:r>
        <w:rPr>
          <w:rFonts w:ascii="Cambria" w:hAnsi="Cambria"/>
          <w:sz w:val="20"/>
          <w:szCs w:val="20"/>
          <w:lang w:val="es-VE"/>
        </w:rPr>
        <w:t>, motivo por el cual me dirijo a usted, a fin de que para garantizar sus integridades físicas, solicito a este tribunal, le sean concedidos local ad hoc, y sean remitidos en calidad de urgencia al retén del marite</w:t>
      </w:r>
      <w:r>
        <w:rPr>
          <w:rStyle w:val="Refdenotaalpie"/>
          <w:rFonts w:ascii="Cambria" w:hAnsi="Cambria"/>
          <w:sz w:val="20"/>
          <w:szCs w:val="20"/>
          <w:lang w:val="es-VE"/>
        </w:rPr>
        <w:footnoteReference w:id="30"/>
      </w:r>
      <w:r>
        <w:rPr>
          <w:rFonts w:ascii="Cambria" w:hAnsi="Cambria"/>
          <w:sz w:val="20"/>
          <w:szCs w:val="20"/>
          <w:lang w:val="es-VE"/>
        </w:rPr>
        <w:t>.</w:t>
      </w:r>
    </w:p>
    <w:p w14:paraId="24EFB891" w14:textId="77777777" w:rsidR="00504EEF" w:rsidRDefault="00504EEF" w:rsidP="00504EE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1B886660" w14:textId="77777777" w:rsidR="00466729" w:rsidRDefault="00466729" w:rsidP="0046672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Al día siguiente</w:t>
      </w:r>
      <w:r w:rsidR="00B22CDB" w:rsidRPr="00FE1D0E">
        <w:rPr>
          <w:rFonts w:ascii="Cambria" w:hAnsi="Cambria"/>
          <w:sz w:val="20"/>
          <w:szCs w:val="20"/>
          <w:lang w:val="es-VE"/>
        </w:rPr>
        <w:t xml:space="preserve"> el Juzgado</w:t>
      </w:r>
      <w:r>
        <w:rPr>
          <w:rFonts w:ascii="Cambria" w:hAnsi="Cambria"/>
          <w:sz w:val="20"/>
          <w:szCs w:val="20"/>
          <w:lang w:val="es-VE"/>
        </w:rPr>
        <w:t xml:space="preserve"> emitió un oficio orden</w:t>
      </w:r>
      <w:r w:rsidR="00757ED7">
        <w:rPr>
          <w:rFonts w:ascii="Cambria" w:hAnsi="Cambria"/>
          <w:sz w:val="20"/>
          <w:szCs w:val="20"/>
          <w:lang w:val="es-VE"/>
        </w:rPr>
        <w:t>ando</w:t>
      </w:r>
      <w:r>
        <w:rPr>
          <w:rFonts w:ascii="Cambria" w:hAnsi="Cambria"/>
          <w:sz w:val="20"/>
          <w:szCs w:val="20"/>
          <w:lang w:val="es-VE"/>
        </w:rPr>
        <w:t xml:space="preserve"> al </w:t>
      </w:r>
      <w:proofErr w:type="gramStart"/>
      <w:r w:rsidRPr="00FE1D0E">
        <w:rPr>
          <w:rFonts w:ascii="Cambria" w:hAnsi="Cambria"/>
          <w:sz w:val="20"/>
          <w:szCs w:val="20"/>
          <w:lang w:val="es-VE"/>
        </w:rPr>
        <w:t>Director</w:t>
      </w:r>
      <w:proofErr w:type="gramEnd"/>
      <w:r w:rsidRPr="00FE1D0E">
        <w:rPr>
          <w:rFonts w:ascii="Cambria" w:hAnsi="Cambria"/>
          <w:sz w:val="20"/>
          <w:szCs w:val="20"/>
          <w:lang w:val="es-VE"/>
        </w:rPr>
        <w:t xml:space="preserve"> de la Cárcel Nacional de Maracaibo</w:t>
      </w:r>
      <w:r>
        <w:rPr>
          <w:rFonts w:ascii="Cambria" w:hAnsi="Cambria"/>
          <w:sz w:val="20"/>
          <w:szCs w:val="20"/>
          <w:lang w:val="es-VE"/>
        </w:rPr>
        <w:t xml:space="preserve"> “</w:t>
      </w:r>
      <w:r w:rsidRPr="00466729">
        <w:rPr>
          <w:rFonts w:ascii="Cambria" w:hAnsi="Cambria"/>
          <w:sz w:val="20"/>
          <w:szCs w:val="20"/>
          <w:lang w:val="es-VE"/>
        </w:rPr>
        <w:t>que designe un lugar destinado a la reclusión de los ciudadanos (...) de raza indígena, en virtud de su seguridad personal e integridad física</w:t>
      </w:r>
      <w:r>
        <w:rPr>
          <w:rFonts w:ascii="Cambria" w:hAnsi="Cambria"/>
          <w:sz w:val="20"/>
          <w:szCs w:val="20"/>
          <w:lang w:val="es-VE"/>
        </w:rPr>
        <w:t>”</w:t>
      </w:r>
      <w:r>
        <w:rPr>
          <w:rStyle w:val="Refdenotaalpie"/>
          <w:rFonts w:ascii="Cambria" w:hAnsi="Cambria"/>
          <w:sz w:val="20"/>
          <w:szCs w:val="20"/>
          <w:lang w:val="es-VE"/>
        </w:rPr>
        <w:footnoteReference w:id="31"/>
      </w:r>
      <w:r w:rsidRPr="00466729">
        <w:rPr>
          <w:rFonts w:ascii="Cambria" w:hAnsi="Cambria"/>
          <w:sz w:val="20"/>
          <w:szCs w:val="20"/>
          <w:lang w:val="es-VE"/>
        </w:rPr>
        <w:t>.</w:t>
      </w:r>
      <w:r>
        <w:rPr>
          <w:rFonts w:ascii="Cambria" w:hAnsi="Cambria"/>
          <w:sz w:val="20"/>
          <w:szCs w:val="20"/>
          <w:lang w:val="es-VE"/>
        </w:rPr>
        <w:t xml:space="preserve"> </w:t>
      </w:r>
      <w:r w:rsidR="00DE6B24" w:rsidRPr="00466729">
        <w:rPr>
          <w:rFonts w:ascii="Cambria" w:hAnsi="Cambria"/>
          <w:sz w:val="20"/>
          <w:szCs w:val="20"/>
          <w:lang w:val="es-VE"/>
        </w:rPr>
        <w:t>El</w:t>
      </w:r>
      <w:r w:rsidR="00B22CDB" w:rsidRPr="00466729">
        <w:rPr>
          <w:rFonts w:ascii="Cambria" w:hAnsi="Cambria"/>
          <w:sz w:val="20"/>
          <w:szCs w:val="20"/>
          <w:lang w:val="es-VE"/>
        </w:rPr>
        <w:t xml:space="preserve"> 18 de diciembre de 1998 </w:t>
      </w:r>
      <w:r w:rsidRPr="00466729">
        <w:rPr>
          <w:rFonts w:ascii="Cambria" w:hAnsi="Cambria"/>
          <w:sz w:val="20"/>
          <w:szCs w:val="20"/>
          <w:lang w:val="es-VE"/>
        </w:rPr>
        <w:t xml:space="preserve">dicho </w:t>
      </w:r>
      <w:r w:rsidR="00B22CDB" w:rsidRPr="00466729">
        <w:rPr>
          <w:rFonts w:ascii="Cambria" w:hAnsi="Cambria"/>
          <w:sz w:val="20"/>
          <w:szCs w:val="20"/>
          <w:lang w:val="es-VE"/>
        </w:rPr>
        <w:t>Ju</w:t>
      </w:r>
      <w:r>
        <w:rPr>
          <w:rFonts w:ascii="Cambria" w:hAnsi="Cambria"/>
          <w:sz w:val="20"/>
          <w:szCs w:val="20"/>
          <w:lang w:val="es-VE"/>
        </w:rPr>
        <w:t xml:space="preserve">zgado solicitó </w:t>
      </w:r>
      <w:r w:rsidRPr="00466729">
        <w:rPr>
          <w:rFonts w:ascii="Cambria" w:hAnsi="Cambria"/>
          <w:sz w:val="20"/>
          <w:szCs w:val="20"/>
          <w:lang w:val="es-VE"/>
        </w:rPr>
        <w:t>al</w:t>
      </w:r>
      <w:r w:rsidR="00B22CDB" w:rsidRPr="00466729">
        <w:rPr>
          <w:rFonts w:ascii="Cambria" w:hAnsi="Cambria"/>
          <w:sz w:val="20"/>
          <w:szCs w:val="20"/>
          <w:lang w:val="es-VE"/>
        </w:rPr>
        <w:t xml:space="preserve"> </w:t>
      </w:r>
      <w:proofErr w:type="gramStart"/>
      <w:r w:rsidR="00B22CDB" w:rsidRPr="00466729">
        <w:rPr>
          <w:rFonts w:ascii="Cambria" w:hAnsi="Cambria"/>
          <w:sz w:val="20"/>
          <w:szCs w:val="20"/>
          <w:lang w:val="es-VE"/>
        </w:rPr>
        <w:t>Director</w:t>
      </w:r>
      <w:proofErr w:type="gramEnd"/>
      <w:r w:rsidR="00B22CDB" w:rsidRPr="00466729">
        <w:rPr>
          <w:rFonts w:ascii="Cambria" w:hAnsi="Cambria"/>
          <w:sz w:val="20"/>
          <w:szCs w:val="20"/>
          <w:lang w:val="es-VE"/>
        </w:rPr>
        <w:t xml:space="preserve"> de</w:t>
      </w:r>
      <w:r w:rsidR="00D6050B" w:rsidRPr="00466729">
        <w:rPr>
          <w:rFonts w:ascii="Cambria" w:hAnsi="Cambria"/>
          <w:sz w:val="20"/>
          <w:szCs w:val="20"/>
          <w:lang w:val="es-VE"/>
        </w:rPr>
        <w:t xml:space="preserve"> </w:t>
      </w:r>
      <w:r w:rsidR="00B22CDB" w:rsidRPr="00466729">
        <w:rPr>
          <w:rFonts w:ascii="Cambria" w:hAnsi="Cambria"/>
          <w:sz w:val="20"/>
          <w:szCs w:val="20"/>
          <w:lang w:val="es-VE"/>
        </w:rPr>
        <w:t xml:space="preserve">la Cárcel Nacional de Maracaibo </w:t>
      </w:r>
      <w:r w:rsidR="00D55C0C" w:rsidRPr="00466729">
        <w:rPr>
          <w:rFonts w:ascii="Cambria" w:hAnsi="Cambria"/>
          <w:sz w:val="20"/>
          <w:szCs w:val="20"/>
          <w:lang w:val="es-VE"/>
        </w:rPr>
        <w:t xml:space="preserve">un informe </w:t>
      </w:r>
      <w:r>
        <w:rPr>
          <w:rFonts w:ascii="Cambria" w:hAnsi="Cambria"/>
          <w:sz w:val="20"/>
          <w:szCs w:val="20"/>
          <w:lang w:val="es-VE"/>
        </w:rPr>
        <w:t>sobre si las tres presuntas víctimas “han recibido amenazas o visitas de personas amenazándolos verbalmente contra su integridad física”</w:t>
      </w:r>
      <w:r w:rsidR="00183F7C">
        <w:rPr>
          <w:rStyle w:val="Refdenotaalpie"/>
          <w:rFonts w:ascii="Cambria" w:hAnsi="Cambria"/>
          <w:sz w:val="20"/>
          <w:szCs w:val="20"/>
          <w:lang w:val="es-VE"/>
        </w:rPr>
        <w:footnoteReference w:id="32"/>
      </w:r>
      <w:r>
        <w:rPr>
          <w:rFonts w:ascii="Cambria" w:hAnsi="Cambria"/>
          <w:sz w:val="20"/>
          <w:szCs w:val="20"/>
          <w:lang w:val="es-VE"/>
        </w:rPr>
        <w:t>.</w:t>
      </w:r>
      <w:r w:rsidR="00183F7C">
        <w:rPr>
          <w:rFonts w:ascii="Cambria" w:hAnsi="Cambria"/>
          <w:sz w:val="20"/>
          <w:szCs w:val="20"/>
          <w:lang w:val="es-VE"/>
        </w:rPr>
        <w:t xml:space="preserve"> El </w:t>
      </w:r>
      <w:proofErr w:type="gramStart"/>
      <w:r w:rsidR="00183F7C">
        <w:rPr>
          <w:rFonts w:ascii="Cambria" w:hAnsi="Cambria"/>
          <w:sz w:val="20"/>
          <w:szCs w:val="20"/>
          <w:lang w:val="es-VE"/>
        </w:rPr>
        <w:t>Director</w:t>
      </w:r>
      <w:proofErr w:type="gramEnd"/>
      <w:r w:rsidR="00183F7C">
        <w:rPr>
          <w:rFonts w:ascii="Cambria" w:hAnsi="Cambria"/>
          <w:sz w:val="20"/>
          <w:szCs w:val="20"/>
          <w:lang w:val="es-VE"/>
        </w:rPr>
        <w:t xml:space="preserve"> del centro penitenciario informó que Belkis y Maria Angélica “desde su ingreso (...) fueron ingresadas en una sección de seguridad para resguardar su integridad física”. Añadió que Fernando González “se encuentra ubicado en la Enfermería III, Sección Los Bonos”</w:t>
      </w:r>
      <w:r w:rsidR="00183F7C">
        <w:rPr>
          <w:rStyle w:val="Refdenotaalpie"/>
          <w:rFonts w:ascii="Cambria" w:hAnsi="Cambria"/>
          <w:sz w:val="20"/>
          <w:szCs w:val="20"/>
          <w:lang w:val="es-VE"/>
        </w:rPr>
        <w:footnoteReference w:id="33"/>
      </w:r>
      <w:r w:rsidR="00183F7C">
        <w:rPr>
          <w:rFonts w:ascii="Cambria" w:hAnsi="Cambria"/>
          <w:sz w:val="20"/>
          <w:szCs w:val="20"/>
          <w:lang w:val="es-VE"/>
        </w:rPr>
        <w:t>.</w:t>
      </w:r>
    </w:p>
    <w:p w14:paraId="5ACC203A" w14:textId="77777777" w:rsidR="003D2C42" w:rsidRDefault="003D2C42" w:rsidP="00ED71D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63FD497A" w14:textId="77777777" w:rsidR="00D55C0C" w:rsidRDefault="00D55C0C" w:rsidP="00CB484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21 de diciembre de 1998 el Juzgado Prim</w:t>
      </w:r>
      <w:r w:rsidR="00D06772">
        <w:rPr>
          <w:rFonts w:ascii="Cambria" w:hAnsi="Cambria"/>
          <w:sz w:val="20"/>
          <w:szCs w:val="20"/>
          <w:lang w:val="es-VE"/>
        </w:rPr>
        <w:t>ero de Primera Instancia en lo P</w:t>
      </w:r>
      <w:r>
        <w:rPr>
          <w:rFonts w:ascii="Cambria" w:hAnsi="Cambria"/>
          <w:sz w:val="20"/>
          <w:szCs w:val="20"/>
          <w:lang w:val="es-VE"/>
        </w:rPr>
        <w:t xml:space="preserve">enal </w:t>
      </w:r>
      <w:r w:rsidR="00D06772">
        <w:rPr>
          <w:rFonts w:ascii="Cambria" w:hAnsi="Cambria"/>
          <w:sz w:val="20"/>
          <w:szCs w:val="20"/>
          <w:lang w:val="es-VE"/>
        </w:rPr>
        <w:t>emitió una resolución</w:t>
      </w:r>
      <w:r w:rsidR="00506A7F">
        <w:rPr>
          <w:rFonts w:ascii="Cambria" w:hAnsi="Cambria"/>
          <w:sz w:val="20"/>
          <w:szCs w:val="20"/>
          <w:lang w:val="es-VE"/>
        </w:rPr>
        <w:t xml:space="preserve"> ordenando </w:t>
      </w:r>
      <w:r w:rsidR="00D06772">
        <w:rPr>
          <w:rFonts w:ascii="Cambria" w:hAnsi="Cambria"/>
          <w:sz w:val="20"/>
          <w:szCs w:val="20"/>
          <w:lang w:val="es-VE"/>
        </w:rPr>
        <w:t>que Fernando González sea trasladado al Centro de Arrestos y Detenciones Preventivas El Marite</w:t>
      </w:r>
      <w:r>
        <w:rPr>
          <w:rStyle w:val="Refdenotaalpie"/>
          <w:rFonts w:ascii="Cambria" w:hAnsi="Cambria"/>
          <w:sz w:val="20"/>
          <w:szCs w:val="20"/>
          <w:lang w:val="es-VE"/>
        </w:rPr>
        <w:footnoteReference w:id="34"/>
      </w:r>
      <w:r w:rsidR="00D06772">
        <w:rPr>
          <w:rFonts w:ascii="Cambria" w:hAnsi="Cambria"/>
          <w:sz w:val="20"/>
          <w:szCs w:val="20"/>
          <w:lang w:val="es-VE"/>
        </w:rPr>
        <w:t>. La CIDH no</w:t>
      </w:r>
      <w:r w:rsidR="00E821B5">
        <w:rPr>
          <w:rFonts w:ascii="Cambria" w:hAnsi="Cambria"/>
          <w:sz w:val="20"/>
          <w:szCs w:val="20"/>
          <w:lang w:val="es-VE"/>
        </w:rPr>
        <w:t xml:space="preserve"> cuenta con </w:t>
      </w:r>
      <w:r w:rsidR="00D06772">
        <w:rPr>
          <w:rFonts w:ascii="Cambria" w:hAnsi="Cambria"/>
          <w:sz w:val="20"/>
          <w:szCs w:val="20"/>
          <w:lang w:val="es-VE"/>
        </w:rPr>
        <w:t>una resolución que haga referencia a las hermanas Belkis y Maria Angélica González</w:t>
      </w:r>
      <w:r w:rsidR="001E002F">
        <w:rPr>
          <w:rFonts w:ascii="Cambria" w:hAnsi="Cambria"/>
          <w:sz w:val="20"/>
          <w:szCs w:val="20"/>
          <w:lang w:val="es-VE"/>
        </w:rPr>
        <w:t xml:space="preserve">, pero de la información disponible se desprende que permanecieron </w:t>
      </w:r>
      <w:r w:rsidR="00FE4BF6">
        <w:rPr>
          <w:rFonts w:ascii="Cambria" w:hAnsi="Cambria"/>
          <w:sz w:val="20"/>
          <w:szCs w:val="20"/>
          <w:lang w:val="es-VE"/>
        </w:rPr>
        <w:t>en la Cárcel Nacional de Maracaibo.</w:t>
      </w:r>
    </w:p>
    <w:p w14:paraId="06F8C98E" w14:textId="77777777" w:rsidR="00D55C0C" w:rsidRDefault="00D55C0C" w:rsidP="00D55C0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11590635" w14:textId="77777777" w:rsidR="00E96950" w:rsidRDefault="00AC3E5E" w:rsidP="00E9695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8 de enero de 1999 las tres presuntas víctimas </w:t>
      </w:r>
      <w:r w:rsidR="00FE4BF6">
        <w:rPr>
          <w:rFonts w:ascii="Cambria" w:hAnsi="Cambria"/>
          <w:sz w:val="20"/>
          <w:szCs w:val="20"/>
          <w:lang w:val="es-VE"/>
        </w:rPr>
        <w:t xml:space="preserve">comparecieron ante el Juzgado y </w:t>
      </w:r>
      <w:r>
        <w:rPr>
          <w:rFonts w:ascii="Cambria" w:hAnsi="Cambria"/>
          <w:sz w:val="20"/>
          <w:szCs w:val="20"/>
          <w:lang w:val="es-VE"/>
        </w:rPr>
        <w:t>presentaron recurso de apelación frente al auto de detención de 10 de diciembre de 1998</w:t>
      </w:r>
      <w:r w:rsidR="00874E33">
        <w:rPr>
          <w:rFonts w:ascii="Cambria" w:hAnsi="Cambria"/>
          <w:sz w:val="20"/>
          <w:szCs w:val="20"/>
          <w:lang w:val="es-VE"/>
        </w:rPr>
        <w:t xml:space="preserve">, alegando </w:t>
      </w:r>
      <w:r w:rsidR="00E96950">
        <w:rPr>
          <w:rFonts w:ascii="Cambria" w:hAnsi="Cambria"/>
          <w:sz w:val="20"/>
          <w:szCs w:val="20"/>
          <w:lang w:val="es-VE"/>
        </w:rPr>
        <w:t xml:space="preserve">que no se cumplió con el extremo del artículo 182 del Código de </w:t>
      </w:r>
      <w:r w:rsidR="00A85163">
        <w:rPr>
          <w:rFonts w:ascii="Cambria" w:hAnsi="Cambria"/>
          <w:sz w:val="20"/>
          <w:szCs w:val="20"/>
          <w:lang w:val="es-VE"/>
        </w:rPr>
        <w:t>Enjuiciamiento</w:t>
      </w:r>
      <w:r w:rsidR="00E96950">
        <w:rPr>
          <w:rFonts w:ascii="Cambria" w:hAnsi="Cambria"/>
          <w:sz w:val="20"/>
          <w:szCs w:val="20"/>
          <w:lang w:val="es-VE"/>
        </w:rPr>
        <w:t xml:space="preserve"> Criminal que requiere </w:t>
      </w:r>
      <w:r w:rsidR="00FE4BF6">
        <w:rPr>
          <w:rFonts w:ascii="Cambria" w:hAnsi="Cambria"/>
          <w:sz w:val="20"/>
          <w:szCs w:val="20"/>
          <w:lang w:val="es-VE"/>
        </w:rPr>
        <w:t>“</w:t>
      </w:r>
      <w:r w:rsidR="00E96950">
        <w:rPr>
          <w:rFonts w:ascii="Cambria" w:hAnsi="Cambria"/>
          <w:sz w:val="20"/>
          <w:szCs w:val="20"/>
          <w:lang w:val="es-VE"/>
        </w:rPr>
        <w:t>la existencia de plurales indicios de culpabilidad en el delito</w:t>
      </w:r>
      <w:r w:rsidR="00FE4BF6">
        <w:rPr>
          <w:rFonts w:ascii="Cambria" w:hAnsi="Cambria"/>
          <w:sz w:val="20"/>
          <w:szCs w:val="20"/>
          <w:lang w:val="es-VE"/>
        </w:rPr>
        <w:t>”</w:t>
      </w:r>
      <w:r w:rsidR="00E96950">
        <w:rPr>
          <w:rFonts w:ascii="Cambria" w:hAnsi="Cambria"/>
          <w:sz w:val="20"/>
          <w:szCs w:val="20"/>
          <w:lang w:val="es-VE"/>
        </w:rPr>
        <w:t>. Asimismo, alegaron que existen contradicciones en las declaraciones presentadas</w:t>
      </w:r>
      <w:r w:rsidR="00E96950">
        <w:rPr>
          <w:rStyle w:val="Refdenotaalpie"/>
          <w:rFonts w:ascii="Cambria" w:hAnsi="Cambria"/>
          <w:sz w:val="20"/>
          <w:szCs w:val="20"/>
          <w:lang w:val="es-VE"/>
        </w:rPr>
        <w:footnoteReference w:id="35"/>
      </w:r>
      <w:r w:rsidR="00E96950">
        <w:rPr>
          <w:rFonts w:ascii="Cambria" w:hAnsi="Cambria"/>
          <w:sz w:val="20"/>
          <w:szCs w:val="20"/>
          <w:lang w:val="es-VE"/>
        </w:rPr>
        <w:t xml:space="preserve">. </w:t>
      </w:r>
    </w:p>
    <w:p w14:paraId="1F4FECE2" w14:textId="77777777" w:rsidR="00E96950" w:rsidRDefault="00E96950" w:rsidP="00E9695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583F5478" w14:textId="77777777" w:rsidR="00E96950" w:rsidRDefault="00166301" w:rsidP="00E9695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0F1A3E">
        <w:rPr>
          <w:rFonts w:ascii="Cambria" w:hAnsi="Cambria"/>
          <w:sz w:val="20"/>
          <w:szCs w:val="20"/>
          <w:lang w:val="es-VE"/>
        </w:rPr>
        <w:t>El</w:t>
      </w:r>
      <w:r>
        <w:rPr>
          <w:rFonts w:ascii="Cambria" w:hAnsi="Cambria"/>
          <w:sz w:val="20"/>
          <w:szCs w:val="20"/>
          <w:lang w:val="es-VE"/>
        </w:rPr>
        <w:t xml:space="preserve"> 28 de enero de 1999 el Juzgado Superior Cuarto en lo Penal </w:t>
      </w:r>
      <w:r w:rsidR="003C5BFB">
        <w:rPr>
          <w:rFonts w:ascii="Cambria" w:hAnsi="Cambria"/>
          <w:sz w:val="20"/>
          <w:szCs w:val="20"/>
          <w:lang w:val="es-VE"/>
        </w:rPr>
        <w:t xml:space="preserve">confirmó la </w:t>
      </w:r>
      <w:r w:rsidR="00B95663">
        <w:rPr>
          <w:rFonts w:ascii="Cambria" w:hAnsi="Cambria"/>
          <w:sz w:val="20"/>
          <w:szCs w:val="20"/>
          <w:lang w:val="es-VE"/>
        </w:rPr>
        <w:t>decisión</w:t>
      </w:r>
      <w:r w:rsidR="003C5BFB">
        <w:rPr>
          <w:rFonts w:ascii="Cambria" w:hAnsi="Cambria"/>
          <w:sz w:val="20"/>
          <w:szCs w:val="20"/>
          <w:lang w:val="es-VE"/>
        </w:rPr>
        <w:t xml:space="preserve"> emitida por el Juzgado Primero de Primera Instancia en lo Penal</w:t>
      </w:r>
      <w:r>
        <w:rPr>
          <w:rStyle w:val="Refdenotaalpie"/>
          <w:rFonts w:ascii="Cambria" w:hAnsi="Cambria"/>
          <w:sz w:val="20"/>
          <w:szCs w:val="20"/>
          <w:lang w:val="es-VE"/>
        </w:rPr>
        <w:footnoteReference w:id="36"/>
      </w:r>
      <w:r>
        <w:rPr>
          <w:rFonts w:ascii="Cambria" w:hAnsi="Cambria"/>
          <w:sz w:val="20"/>
          <w:szCs w:val="20"/>
          <w:lang w:val="es-VE"/>
        </w:rPr>
        <w:t xml:space="preserve">. </w:t>
      </w:r>
      <w:r w:rsidR="00E96950">
        <w:rPr>
          <w:rFonts w:ascii="Cambria" w:hAnsi="Cambria"/>
          <w:sz w:val="20"/>
          <w:szCs w:val="20"/>
          <w:lang w:val="es-VE"/>
        </w:rPr>
        <w:t>El Juzgado se basó en las conclu</w:t>
      </w:r>
      <w:r w:rsidR="006861E0">
        <w:rPr>
          <w:rFonts w:ascii="Cambria" w:hAnsi="Cambria"/>
          <w:sz w:val="20"/>
          <w:szCs w:val="20"/>
          <w:lang w:val="es-VE"/>
        </w:rPr>
        <w:t>s</w:t>
      </w:r>
      <w:r w:rsidR="00E96950">
        <w:rPr>
          <w:rFonts w:ascii="Cambria" w:hAnsi="Cambria"/>
          <w:sz w:val="20"/>
          <w:szCs w:val="20"/>
          <w:lang w:val="es-VE"/>
        </w:rPr>
        <w:t>iones del tribunal de primera instancia y resaltó que de l</w:t>
      </w:r>
      <w:r w:rsidR="005F26AE">
        <w:rPr>
          <w:rFonts w:ascii="Cambria" w:hAnsi="Cambria"/>
          <w:sz w:val="20"/>
          <w:szCs w:val="20"/>
          <w:lang w:val="es-VE"/>
        </w:rPr>
        <w:t>a</w:t>
      </w:r>
      <w:r w:rsidR="00E96950">
        <w:rPr>
          <w:rFonts w:ascii="Cambria" w:hAnsi="Cambria"/>
          <w:sz w:val="20"/>
          <w:szCs w:val="20"/>
          <w:lang w:val="es-VE"/>
        </w:rPr>
        <w:t>s pruebas recogidas</w:t>
      </w:r>
      <w:r w:rsidR="00B95663">
        <w:rPr>
          <w:rFonts w:ascii="Cambria" w:hAnsi="Cambria"/>
          <w:sz w:val="20"/>
          <w:szCs w:val="20"/>
          <w:lang w:val="es-VE"/>
        </w:rPr>
        <w:t xml:space="preserve"> </w:t>
      </w:r>
      <w:r w:rsidR="00E96950">
        <w:rPr>
          <w:rFonts w:ascii="Cambria" w:hAnsi="Cambria"/>
          <w:sz w:val="20"/>
          <w:szCs w:val="20"/>
          <w:lang w:val="es-VE"/>
        </w:rPr>
        <w:t>“</w:t>
      </w:r>
      <w:r>
        <w:rPr>
          <w:rFonts w:ascii="Cambria" w:hAnsi="Cambria"/>
          <w:sz w:val="20"/>
          <w:szCs w:val="20"/>
          <w:lang w:val="es-VE"/>
        </w:rPr>
        <w:t>se desprendieron</w:t>
      </w:r>
      <w:r w:rsidR="00B95663">
        <w:rPr>
          <w:rFonts w:ascii="Cambria" w:hAnsi="Cambria"/>
          <w:sz w:val="20"/>
          <w:szCs w:val="20"/>
          <w:lang w:val="es-VE"/>
        </w:rPr>
        <w:t xml:space="preserve"> suficientes indicios de culpabilidad de los procesados</w:t>
      </w:r>
      <w:r w:rsidR="00E96950">
        <w:rPr>
          <w:rFonts w:ascii="Cambria" w:hAnsi="Cambria"/>
          <w:sz w:val="20"/>
          <w:szCs w:val="20"/>
          <w:lang w:val="es-VE"/>
        </w:rPr>
        <w:t>”</w:t>
      </w:r>
      <w:r w:rsidR="003C5BFB">
        <w:rPr>
          <w:rStyle w:val="Refdenotaalpie"/>
          <w:rFonts w:ascii="Cambria" w:hAnsi="Cambria"/>
          <w:sz w:val="20"/>
          <w:szCs w:val="20"/>
          <w:lang w:val="es-VE"/>
        </w:rPr>
        <w:footnoteReference w:id="37"/>
      </w:r>
      <w:r w:rsidR="003C5BFB">
        <w:rPr>
          <w:rFonts w:ascii="Cambria" w:hAnsi="Cambria"/>
          <w:sz w:val="20"/>
          <w:szCs w:val="20"/>
          <w:lang w:val="es-VE"/>
        </w:rPr>
        <w:t>.</w:t>
      </w:r>
      <w:r w:rsidR="00B95663">
        <w:rPr>
          <w:rFonts w:ascii="Cambria" w:hAnsi="Cambria"/>
          <w:sz w:val="20"/>
          <w:szCs w:val="20"/>
          <w:lang w:val="es-VE"/>
        </w:rPr>
        <w:t xml:space="preserve"> </w:t>
      </w:r>
    </w:p>
    <w:p w14:paraId="10986C8B" w14:textId="77777777" w:rsidR="003C5BFB" w:rsidRPr="00453E67" w:rsidRDefault="003C5BFB" w:rsidP="003C5BF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u w:val="single"/>
          <w:lang w:val="es-VE"/>
        </w:rPr>
      </w:pPr>
    </w:p>
    <w:p w14:paraId="4288C805" w14:textId="77777777" w:rsidR="009C1BD2" w:rsidRDefault="00FE4BF6" w:rsidP="00FE4BF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w:t>
      </w:r>
      <w:r w:rsidR="009C1BD2">
        <w:rPr>
          <w:rFonts w:ascii="Cambria" w:hAnsi="Cambria"/>
          <w:sz w:val="20"/>
          <w:szCs w:val="20"/>
          <w:lang w:val="es-VE"/>
        </w:rPr>
        <w:t>mismo día la División de Inteligencia de la Polic</w:t>
      </w:r>
      <w:r w:rsidR="00753B0A">
        <w:rPr>
          <w:rFonts w:ascii="Cambria" w:hAnsi="Cambria"/>
          <w:sz w:val="20"/>
          <w:szCs w:val="20"/>
          <w:lang w:val="es-VE"/>
        </w:rPr>
        <w:t>í</w:t>
      </w:r>
      <w:r w:rsidR="009C1BD2">
        <w:rPr>
          <w:rFonts w:ascii="Cambria" w:hAnsi="Cambria"/>
          <w:sz w:val="20"/>
          <w:szCs w:val="20"/>
          <w:lang w:val="es-VE"/>
        </w:rPr>
        <w:t xml:space="preserve">a </w:t>
      </w:r>
      <w:r w:rsidR="007E13D9">
        <w:rPr>
          <w:rFonts w:ascii="Cambria" w:hAnsi="Cambria"/>
          <w:sz w:val="20"/>
          <w:szCs w:val="20"/>
          <w:lang w:val="es-VE"/>
        </w:rPr>
        <w:t xml:space="preserve">emitió un acta policial </w:t>
      </w:r>
      <w:r w:rsidR="00DD2176">
        <w:rPr>
          <w:rFonts w:ascii="Cambria" w:hAnsi="Cambria"/>
          <w:sz w:val="20"/>
          <w:szCs w:val="20"/>
          <w:lang w:val="es-VE"/>
        </w:rPr>
        <w:t xml:space="preserve">dejando </w:t>
      </w:r>
      <w:r w:rsidR="007E13D9">
        <w:rPr>
          <w:rFonts w:ascii="Cambria" w:hAnsi="Cambria"/>
          <w:sz w:val="20"/>
          <w:szCs w:val="20"/>
          <w:lang w:val="es-VE"/>
        </w:rPr>
        <w:t>constancia</w:t>
      </w:r>
      <w:r w:rsidR="00DD2176">
        <w:rPr>
          <w:rFonts w:ascii="Cambria" w:hAnsi="Cambria"/>
          <w:sz w:val="20"/>
          <w:szCs w:val="20"/>
          <w:lang w:val="es-VE"/>
        </w:rPr>
        <w:t xml:space="preserve"> de</w:t>
      </w:r>
      <w:r w:rsidR="007E13D9">
        <w:rPr>
          <w:rFonts w:ascii="Cambria" w:hAnsi="Cambria"/>
          <w:sz w:val="20"/>
          <w:szCs w:val="20"/>
          <w:lang w:val="es-VE"/>
        </w:rPr>
        <w:t xml:space="preserve"> la detención de Wilmer Antonio Barliza González, Luis Guillermo González González y O</w:t>
      </w:r>
      <w:r w:rsidR="00830B6F">
        <w:rPr>
          <w:rFonts w:ascii="Cambria" w:hAnsi="Cambria"/>
          <w:sz w:val="20"/>
          <w:szCs w:val="20"/>
          <w:lang w:val="es-VE"/>
        </w:rPr>
        <w:t>limpiades González. En el acta</w:t>
      </w:r>
      <w:r w:rsidR="007E13D9">
        <w:rPr>
          <w:rFonts w:ascii="Cambria" w:hAnsi="Cambria"/>
          <w:sz w:val="20"/>
          <w:szCs w:val="20"/>
          <w:lang w:val="es-VE"/>
        </w:rPr>
        <w:t xml:space="preserve"> se indicó que Olimpiades</w:t>
      </w:r>
      <w:r w:rsidR="00232B05">
        <w:rPr>
          <w:rFonts w:ascii="Cambria" w:hAnsi="Cambria"/>
          <w:sz w:val="20"/>
          <w:szCs w:val="20"/>
          <w:lang w:val="es-VE"/>
        </w:rPr>
        <w:t xml:space="preserve"> </w:t>
      </w:r>
      <w:r w:rsidR="00830B6F">
        <w:rPr>
          <w:rFonts w:ascii="Cambria" w:hAnsi="Cambria"/>
          <w:sz w:val="20"/>
          <w:szCs w:val="20"/>
          <w:lang w:val="es-VE"/>
        </w:rPr>
        <w:t xml:space="preserve">González llamó a la Policía denunciando un tiroteo cerca de su domicilio en el barrio </w:t>
      </w:r>
      <w:r w:rsidR="00830B6F" w:rsidRPr="000504FA">
        <w:rPr>
          <w:rFonts w:ascii="Cambria" w:hAnsi="Cambria"/>
          <w:sz w:val="20"/>
          <w:szCs w:val="20"/>
          <w:lang w:val="es-VE"/>
        </w:rPr>
        <w:t>Indio Mara</w:t>
      </w:r>
      <w:r w:rsidR="00830B6F">
        <w:rPr>
          <w:rFonts w:ascii="Cambria" w:hAnsi="Cambria"/>
          <w:sz w:val="20"/>
          <w:szCs w:val="20"/>
          <w:lang w:val="es-VE"/>
        </w:rPr>
        <w:t xml:space="preserve">. Se registró que unos funcionarios policiales acudieron al lugar de los hechos y </w:t>
      </w:r>
      <w:r w:rsidR="00103D39">
        <w:rPr>
          <w:rFonts w:ascii="Cambria" w:hAnsi="Cambria"/>
          <w:sz w:val="20"/>
          <w:szCs w:val="20"/>
          <w:lang w:val="es-VE"/>
        </w:rPr>
        <w:t>Luzmila</w:t>
      </w:r>
      <w:r w:rsidR="00830B6F">
        <w:rPr>
          <w:rFonts w:ascii="Cambria" w:hAnsi="Cambria"/>
          <w:sz w:val="20"/>
          <w:szCs w:val="20"/>
          <w:lang w:val="es-VE"/>
        </w:rPr>
        <w:t xml:space="preserve"> Fernández</w:t>
      </w:r>
      <w:r w:rsidR="00103D39">
        <w:rPr>
          <w:rFonts w:ascii="Cambria" w:hAnsi="Cambria"/>
          <w:sz w:val="20"/>
          <w:szCs w:val="20"/>
          <w:lang w:val="es-VE"/>
        </w:rPr>
        <w:t>, hija de Carmen Fernández,</w:t>
      </w:r>
      <w:r w:rsidR="00830B6F">
        <w:rPr>
          <w:rFonts w:ascii="Cambria" w:hAnsi="Cambria"/>
          <w:sz w:val="20"/>
          <w:szCs w:val="20"/>
          <w:lang w:val="es-VE"/>
        </w:rPr>
        <w:t xml:space="preserve"> les indicó que la acusación de Olimpiades era falsa y </w:t>
      </w:r>
      <w:proofErr w:type="gramStart"/>
      <w:r w:rsidR="00830B6F">
        <w:rPr>
          <w:rFonts w:ascii="Cambria" w:hAnsi="Cambria"/>
          <w:sz w:val="20"/>
          <w:szCs w:val="20"/>
          <w:lang w:val="es-VE"/>
        </w:rPr>
        <w:t>que</w:t>
      </w:r>
      <w:proofErr w:type="gramEnd"/>
      <w:r w:rsidR="00830B6F">
        <w:rPr>
          <w:rFonts w:ascii="Cambria" w:hAnsi="Cambria"/>
          <w:sz w:val="20"/>
          <w:szCs w:val="20"/>
          <w:lang w:val="es-VE"/>
        </w:rPr>
        <w:t xml:space="preserve"> por el contrario, él </w:t>
      </w:r>
      <w:r w:rsidR="00FA1F8E">
        <w:rPr>
          <w:rFonts w:ascii="Cambria" w:hAnsi="Cambria"/>
          <w:sz w:val="20"/>
          <w:szCs w:val="20"/>
          <w:lang w:val="es-VE"/>
        </w:rPr>
        <w:t>junto con Wilmer y Luis le habrían disparado con armas de fuego. El acta policial indicó que los agentes acudieron al domicilio de Olimpiades y procedieron a detenerlo, junto con Wilmer y Luis. Se agregó que</w:t>
      </w:r>
      <w:r w:rsidR="00B94EB0">
        <w:rPr>
          <w:rFonts w:ascii="Cambria" w:hAnsi="Cambria"/>
          <w:sz w:val="20"/>
          <w:szCs w:val="20"/>
          <w:lang w:val="es-VE"/>
        </w:rPr>
        <w:t xml:space="preserve"> se decomisaron en el domicilio “dos armas de fuego (...) y uno de juguete plateado”. </w:t>
      </w:r>
      <w:r w:rsidR="00693542">
        <w:rPr>
          <w:rFonts w:ascii="Cambria" w:hAnsi="Cambria"/>
          <w:sz w:val="20"/>
          <w:szCs w:val="20"/>
          <w:lang w:val="es-VE"/>
        </w:rPr>
        <w:t>Se indicó que “ambas armas de fuego se encu</w:t>
      </w:r>
      <w:r w:rsidR="00F400A6">
        <w:rPr>
          <w:rFonts w:ascii="Cambria" w:hAnsi="Cambria"/>
          <w:sz w:val="20"/>
          <w:szCs w:val="20"/>
          <w:lang w:val="es-VE"/>
        </w:rPr>
        <w:t>e</w:t>
      </w:r>
      <w:r w:rsidR="00693542">
        <w:rPr>
          <w:rFonts w:ascii="Cambria" w:hAnsi="Cambria"/>
          <w:sz w:val="20"/>
          <w:szCs w:val="20"/>
          <w:lang w:val="es-VE"/>
        </w:rPr>
        <w:t xml:space="preserve">ntran presuntamente relacionadas” con el homicidio de Carmen Fernández. </w:t>
      </w:r>
      <w:r w:rsidR="00B94EB0">
        <w:rPr>
          <w:rFonts w:ascii="Cambria" w:hAnsi="Cambria"/>
          <w:sz w:val="20"/>
          <w:szCs w:val="20"/>
          <w:lang w:val="es-VE"/>
        </w:rPr>
        <w:t>D</w:t>
      </w:r>
      <w:r w:rsidR="00FA1F8E">
        <w:rPr>
          <w:rFonts w:ascii="Cambria" w:hAnsi="Cambria"/>
          <w:sz w:val="20"/>
          <w:szCs w:val="20"/>
          <w:lang w:val="es-VE"/>
        </w:rPr>
        <w:t xml:space="preserve">ichas personas fueron llevadas a la </w:t>
      </w:r>
      <w:r w:rsidR="001178C6">
        <w:rPr>
          <w:rFonts w:ascii="Cambria" w:hAnsi="Cambria"/>
          <w:sz w:val="20"/>
          <w:szCs w:val="20"/>
          <w:lang w:val="es-VE"/>
        </w:rPr>
        <w:t>Comandancia General de la</w:t>
      </w:r>
      <w:r w:rsidR="00B94EB0">
        <w:rPr>
          <w:rFonts w:ascii="Cambria" w:hAnsi="Cambria"/>
          <w:sz w:val="20"/>
          <w:szCs w:val="20"/>
          <w:lang w:val="es-VE"/>
        </w:rPr>
        <w:t xml:space="preserve"> División de Inteligencia</w:t>
      </w:r>
      <w:r w:rsidR="00B94EB0">
        <w:rPr>
          <w:rStyle w:val="Refdenotaalpie"/>
          <w:rFonts w:ascii="Cambria" w:hAnsi="Cambria"/>
          <w:sz w:val="20"/>
          <w:szCs w:val="20"/>
          <w:lang w:val="es-VE"/>
        </w:rPr>
        <w:footnoteReference w:id="38"/>
      </w:r>
      <w:r w:rsidR="00B94EB0">
        <w:rPr>
          <w:rFonts w:ascii="Cambria" w:hAnsi="Cambria"/>
          <w:sz w:val="20"/>
          <w:szCs w:val="20"/>
          <w:lang w:val="es-VE"/>
        </w:rPr>
        <w:t>.</w:t>
      </w:r>
    </w:p>
    <w:p w14:paraId="146E3226" w14:textId="77777777" w:rsidR="00103D39" w:rsidRDefault="00103D39" w:rsidP="009C1BD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62869679" w14:textId="77777777" w:rsidR="00B94EB0" w:rsidRDefault="00B94EB0" w:rsidP="00FE4BF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En relación con las detenciones de Wilmer Antonio Barliza González, Luis Guillermo González González y Olimpiades González, </w:t>
      </w:r>
      <w:r w:rsidR="009078ED">
        <w:rPr>
          <w:rFonts w:ascii="Cambria" w:hAnsi="Cambria"/>
          <w:sz w:val="20"/>
          <w:szCs w:val="20"/>
          <w:lang w:val="es-VE"/>
        </w:rPr>
        <w:t xml:space="preserve">en sus declaraciones señalaron lo siguiente: </w:t>
      </w:r>
    </w:p>
    <w:p w14:paraId="60478269" w14:textId="77777777" w:rsidR="00B94EB0" w:rsidRDefault="00B94EB0" w:rsidP="00B94EB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3262E9E9" w14:textId="77777777" w:rsidR="00103D39" w:rsidRPr="00D52400" w:rsidRDefault="00B94EB0" w:rsidP="00D52400">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left="630" w:right="720"/>
        <w:jc w:val="both"/>
        <w:rPr>
          <w:rFonts w:ascii="Cambria" w:hAnsi="Cambria"/>
          <w:sz w:val="20"/>
          <w:szCs w:val="20"/>
          <w:u w:val="single"/>
          <w:lang w:val="es-VE"/>
        </w:rPr>
      </w:pPr>
      <w:r w:rsidRPr="00B94EB0">
        <w:rPr>
          <w:rFonts w:ascii="Cambria" w:hAnsi="Cambria"/>
          <w:sz w:val="20"/>
          <w:szCs w:val="20"/>
          <w:u w:val="single"/>
          <w:lang w:val="es-VE"/>
        </w:rPr>
        <w:t>Wilm</w:t>
      </w:r>
      <w:r w:rsidR="00D52400">
        <w:rPr>
          <w:rFonts w:ascii="Cambria" w:hAnsi="Cambria"/>
          <w:sz w:val="20"/>
          <w:szCs w:val="20"/>
          <w:u w:val="single"/>
          <w:lang w:val="es-VE"/>
        </w:rPr>
        <w:t>er Barliza:</w:t>
      </w:r>
      <w:r w:rsidR="00D52400" w:rsidRPr="00D52400">
        <w:rPr>
          <w:rFonts w:ascii="Cambria" w:hAnsi="Cambria"/>
          <w:sz w:val="20"/>
          <w:szCs w:val="20"/>
          <w:lang w:val="es-VE"/>
        </w:rPr>
        <w:t xml:space="preserve"> </w:t>
      </w:r>
      <w:r>
        <w:rPr>
          <w:rFonts w:ascii="Cambria" w:hAnsi="Cambria"/>
          <w:sz w:val="20"/>
          <w:szCs w:val="20"/>
          <w:lang w:val="es-VE"/>
        </w:rPr>
        <w:t xml:space="preserve">(...) en el camino encontramos una banda de los samuros, </w:t>
      </w:r>
      <w:r w:rsidR="00103D39">
        <w:rPr>
          <w:rFonts w:ascii="Cambria" w:hAnsi="Cambria"/>
          <w:sz w:val="20"/>
          <w:szCs w:val="20"/>
          <w:lang w:val="es-VE"/>
        </w:rPr>
        <w:t>(...)</w:t>
      </w:r>
      <w:r>
        <w:rPr>
          <w:rFonts w:ascii="Cambria" w:hAnsi="Cambria"/>
          <w:sz w:val="20"/>
          <w:szCs w:val="20"/>
          <w:lang w:val="es-VE"/>
        </w:rPr>
        <w:t xml:space="preserve"> y ellos nos calleron</w:t>
      </w:r>
      <w:r w:rsidR="00F6637D">
        <w:rPr>
          <w:rFonts w:ascii="Cambria" w:hAnsi="Cambria"/>
          <w:sz w:val="20"/>
          <w:szCs w:val="20"/>
          <w:lang w:val="es-VE"/>
        </w:rPr>
        <w:t xml:space="preserve"> (sic)</w:t>
      </w:r>
      <w:r>
        <w:rPr>
          <w:rFonts w:ascii="Cambria" w:hAnsi="Cambria"/>
          <w:sz w:val="20"/>
          <w:szCs w:val="20"/>
          <w:lang w:val="es-VE"/>
        </w:rPr>
        <w:t xml:space="preserve"> a tiros, y nosotros salimos corriendo </w:t>
      </w:r>
      <w:r w:rsidR="00103D39">
        <w:rPr>
          <w:rFonts w:ascii="Cambria" w:hAnsi="Cambria"/>
          <w:sz w:val="20"/>
          <w:szCs w:val="20"/>
          <w:lang w:val="es-VE"/>
        </w:rPr>
        <w:t>(...)</w:t>
      </w:r>
      <w:r>
        <w:rPr>
          <w:rFonts w:ascii="Cambria" w:hAnsi="Cambria"/>
          <w:sz w:val="20"/>
          <w:szCs w:val="20"/>
          <w:lang w:val="es-VE"/>
        </w:rPr>
        <w:t xml:space="preserve"> para la casa de mi tía, donde nos pusimos a salvo, y en eso </w:t>
      </w:r>
      <w:r w:rsidR="00103D39">
        <w:rPr>
          <w:rFonts w:ascii="Cambria" w:hAnsi="Cambria"/>
          <w:sz w:val="20"/>
          <w:szCs w:val="20"/>
          <w:lang w:val="es-VE"/>
        </w:rPr>
        <w:t>(...) Luzmila</w:t>
      </w:r>
      <w:r>
        <w:rPr>
          <w:rFonts w:ascii="Cambria" w:hAnsi="Cambria"/>
          <w:sz w:val="20"/>
          <w:szCs w:val="20"/>
          <w:lang w:val="es-VE"/>
        </w:rPr>
        <w:t xml:space="preserve"> cargaba un bolso grande del cual sacó dos armas calibre 38, y las tiró al lado de la casa en un montecito, yo la </w:t>
      </w:r>
      <w:r w:rsidR="00A85163">
        <w:rPr>
          <w:rFonts w:ascii="Cambria" w:hAnsi="Cambria"/>
          <w:sz w:val="20"/>
          <w:szCs w:val="20"/>
          <w:lang w:val="es-VE"/>
        </w:rPr>
        <w:t>vi</w:t>
      </w:r>
      <w:r>
        <w:rPr>
          <w:rFonts w:ascii="Cambria" w:hAnsi="Cambria"/>
          <w:sz w:val="20"/>
          <w:szCs w:val="20"/>
          <w:lang w:val="es-VE"/>
        </w:rPr>
        <w:t>, y luego ella llamó a los policías, y dijo “aquí hay unas armas que son de ellos” de allí nos llev</w:t>
      </w:r>
      <w:r w:rsidR="00103D39">
        <w:rPr>
          <w:rFonts w:ascii="Cambria" w:hAnsi="Cambria"/>
          <w:sz w:val="20"/>
          <w:szCs w:val="20"/>
          <w:lang w:val="es-VE"/>
        </w:rPr>
        <w:t>aron presos para la comandancia (...)</w:t>
      </w:r>
      <w:r w:rsidR="00103D39">
        <w:rPr>
          <w:rStyle w:val="Refdenotaalpie"/>
          <w:rFonts w:ascii="Cambria" w:hAnsi="Cambria"/>
          <w:sz w:val="20"/>
          <w:szCs w:val="20"/>
          <w:lang w:val="es-VE"/>
        </w:rPr>
        <w:footnoteReference w:id="39"/>
      </w:r>
      <w:r w:rsidR="00103D39">
        <w:rPr>
          <w:rFonts w:ascii="Cambria" w:hAnsi="Cambria"/>
          <w:sz w:val="20"/>
          <w:szCs w:val="20"/>
          <w:lang w:val="es-VE"/>
        </w:rPr>
        <w:t>.</w:t>
      </w:r>
    </w:p>
    <w:p w14:paraId="17B45B7A" w14:textId="77777777" w:rsidR="00103D39" w:rsidRDefault="00103D39" w:rsidP="00D52400">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s>
        <w:ind w:right="720"/>
        <w:jc w:val="both"/>
        <w:rPr>
          <w:rFonts w:ascii="Cambria" w:hAnsi="Cambria"/>
          <w:sz w:val="20"/>
          <w:szCs w:val="20"/>
          <w:lang w:val="es-VE"/>
        </w:rPr>
      </w:pPr>
    </w:p>
    <w:p w14:paraId="7D2603E6" w14:textId="77777777" w:rsidR="00F23C2F" w:rsidRPr="00D52400" w:rsidRDefault="00103D39" w:rsidP="00D52400">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left="630" w:right="720"/>
        <w:jc w:val="both"/>
        <w:rPr>
          <w:rFonts w:ascii="Cambria" w:hAnsi="Cambria"/>
          <w:sz w:val="20"/>
          <w:szCs w:val="20"/>
          <w:u w:val="single"/>
          <w:lang w:val="es-VE"/>
        </w:rPr>
      </w:pPr>
      <w:r w:rsidRPr="007B5F10">
        <w:rPr>
          <w:rFonts w:ascii="Cambria" w:hAnsi="Cambria"/>
          <w:sz w:val="20"/>
          <w:szCs w:val="20"/>
          <w:u w:val="single"/>
          <w:lang w:val="es-VE"/>
        </w:rPr>
        <w:t>Olimpiades González</w:t>
      </w:r>
      <w:r w:rsidR="00D52400" w:rsidRPr="00D52400">
        <w:rPr>
          <w:rFonts w:ascii="Cambria" w:hAnsi="Cambria"/>
          <w:sz w:val="20"/>
          <w:szCs w:val="20"/>
          <w:lang w:val="es-VE"/>
        </w:rPr>
        <w:t xml:space="preserve">: </w:t>
      </w:r>
      <w:r>
        <w:rPr>
          <w:rFonts w:ascii="Cambria" w:hAnsi="Cambria"/>
          <w:sz w:val="20"/>
          <w:szCs w:val="20"/>
          <w:lang w:val="es-VE"/>
        </w:rPr>
        <w:t xml:space="preserve">El día jueves 28 de enero de 1999, de 10:30 a 11: 00 de la mañana, siento un tiroteo, yo estaba en mi casa, y salí al puesto policial del Mamón, y de allí a la Comandancia General de la policía, ahí hablé con el Comisario Medina de Inteligencia, (...) y se hace el primer allanamiento en el Barrio Indio Mara donde estaba la ciudadana Betty Fernández, donde los funcionarios estaban hablando bastante rato con ella, y ella sale se monta con los policías, y Luzmila con un bolso negro, y sigue el trayecto hacia mi casa en el barrio el Mamón, ahí se mete para adentro la comisión se baja Lusmila con el bolso, ella hace como que se agacha y coloca las armas en el suelo, y </w:t>
      </w:r>
      <w:r w:rsidR="00C06F18">
        <w:rPr>
          <w:rFonts w:ascii="Cambria" w:hAnsi="Cambria"/>
          <w:sz w:val="20"/>
          <w:szCs w:val="20"/>
          <w:lang w:val="es-VE"/>
        </w:rPr>
        <w:t>l</w:t>
      </w:r>
      <w:r>
        <w:rPr>
          <w:rFonts w:ascii="Cambria" w:hAnsi="Cambria"/>
          <w:sz w:val="20"/>
          <w:szCs w:val="20"/>
          <w:lang w:val="es-VE"/>
        </w:rPr>
        <w:t xml:space="preserve">lama </w:t>
      </w:r>
      <w:r w:rsidR="00C06F18">
        <w:rPr>
          <w:rFonts w:ascii="Cambria" w:hAnsi="Cambria"/>
          <w:sz w:val="20"/>
          <w:szCs w:val="20"/>
          <w:lang w:val="es-VE"/>
        </w:rPr>
        <w:t xml:space="preserve">a </w:t>
      </w:r>
      <w:r>
        <w:rPr>
          <w:rFonts w:ascii="Cambria" w:hAnsi="Cambria"/>
          <w:sz w:val="20"/>
          <w:szCs w:val="20"/>
          <w:lang w:val="es-VE"/>
        </w:rPr>
        <w:t>los funcionarios y les dice aquí están las armas, en donde la policía nos detiene, habían testigos los cuales son Ana Menguar y Nellys Vivas, que vieron lo que hizo Lusmila, el tribunal los puede citar para confirmar lo que yo estoy diciendo</w:t>
      </w:r>
      <w:r w:rsidR="00C06F18">
        <w:rPr>
          <w:rFonts w:ascii="Cambria" w:hAnsi="Cambria"/>
          <w:sz w:val="20"/>
          <w:szCs w:val="20"/>
          <w:lang w:val="es-VE"/>
        </w:rPr>
        <w:t xml:space="preserve"> (...).</w:t>
      </w:r>
    </w:p>
    <w:p w14:paraId="367091AE" w14:textId="77777777" w:rsidR="00B94EB0" w:rsidRDefault="00B94EB0" w:rsidP="00D5240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lang w:val="es-VE"/>
        </w:rPr>
      </w:pPr>
    </w:p>
    <w:p w14:paraId="17919542" w14:textId="77777777" w:rsidR="00C06F18" w:rsidRPr="00D52400" w:rsidRDefault="00C06F18" w:rsidP="00D5240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u w:val="single"/>
          <w:lang w:val="es-VE"/>
        </w:rPr>
      </w:pPr>
      <w:r w:rsidRPr="00C06F18">
        <w:rPr>
          <w:rFonts w:ascii="Cambria" w:hAnsi="Cambria"/>
          <w:sz w:val="20"/>
          <w:szCs w:val="20"/>
          <w:u w:val="single"/>
          <w:lang w:val="es-VE"/>
        </w:rPr>
        <w:t xml:space="preserve">Luis </w:t>
      </w:r>
      <w:r w:rsidR="00693542">
        <w:rPr>
          <w:rFonts w:ascii="Cambria" w:hAnsi="Cambria"/>
          <w:sz w:val="20"/>
          <w:szCs w:val="20"/>
          <w:u w:val="single"/>
          <w:lang w:val="es-VE"/>
        </w:rPr>
        <w:t xml:space="preserve">Guillermo </w:t>
      </w:r>
      <w:r w:rsidRPr="00C06F18">
        <w:rPr>
          <w:rFonts w:ascii="Cambria" w:hAnsi="Cambria"/>
          <w:sz w:val="20"/>
          <w:szCs w:val="20"/>
          <w:u w:val="single"/>
          <w:lang w:val="es-VE"/>
        </w:rPr>
        <w:t>González</w:t>
      </w:r>
      <w:r w:rsidR="00D52400">
        <w:rPr>
          <w:rFonts w:ascii="Cambria" w:hAnsi="Cambria"/>
          <w:sz w:val="20"/>
          <w:szCs w:val="20"/>
          <w:u w:val="single"/>
          <w:lang w:val="es-VE"/>
        </w:rPr>
        <w:t xml:space="preserve">: </w:t>
      </w:r>
      <w:r>
        <w:rPr>
          <w:rFonts w:ascii="Cambria" w:hAnsi="Cambria"/>
          <w:sz w:val="20"/>
          <w:szCs w:val="20"/>
          <w:lang w:val="es-VE"/>
        </w:rPr>
        <w:t xml:space="preserve">Eso fue el día 28 de enero, (...) iba saliendo para la casa de mi tía; y más adelante nos tirotearon, porque el primo mío de nombre Wilmer Barliza, conoce a esa gente, y ellos lo reconocieron, (...) y en ese momento una de las muchachas buscó la policía y cuando llegamos a la casa de mi tía vino la policía con la muchacha o sea con Lusmila, entraron a la casa de mi tía, sin orden, a lo bravo, y entraron al patio; mientras ellos estaban ahí, la tal Lusmila, cargaba una cartera y sacó dos armas, revólveres 38, y la tiró en un montecito al lado de la casa, y luego ella llamó a la policía, ella les enseñó las armas y le dijo aquí están las armas, (...) y ella les dijo que las armas eran de nosotros, pero esas armas no son de nosotros, nos llevaron a la Comandancia, y nos dejaron detenidos y nos decían que nosotros somos una banda, nosotros no somos ni ladrones, ni delincuentes, primera vez que vengo a un Tribunal, lo que pasa es que esa familia Fernández Meneses, tienen varios </w:t>
      </w:r>
      <w:r w:rsidR="001178C6">
        <w:rPr>
          <w:rFonts w:ascii="Cambria" w:hAnsi="Cambria"/>
          <w:sz w:val="20"/>
          <w:szCs w:val="20"/>
          <w:lang w:val="es-VE"/>
        </w:rPr>
        <w:t>años de enemistad con nosotros(...)</w:t>
      </w:r>
      <w:r>
        <w:rPr>
          <w:rStyle w:val="Refdenotaalpie"/>
          <w:rFonts w:ascii="Cambria" w:hAnsi="Cambria"/>
          <w:sz w:val="20"/>
          <w:szCs w:val="20"/>
          <w:lang w:val="es-VE"/>
        </w:rPr>
        <w:footnoteReference w:id="40"/>
      </w:r>
      <w:r>
        <w:rPr>
          <w:rFonts w:ascii="Cambria" w:hAnsi="Cambria"/>
          <w:sz w:val="20"/>
          <w:szCs w:val="20"/>
          <w:lang w:val="es-VE"/>
        </w:rPr>
        <w:t xml:space="preserve">. </w:t>
      </w:r>
    </w:p>
    <w:p w14:paraId="4717BEAC" w14:textId="77777777" w:rsidR="00B94EB0" w:rsidRDefault="00B94EB0" w:rsidP="001178C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74FAA113" w14:textId="77777777" w:rsidR="001178C6" w:rsidRDefault="001178C6" w:rsidP="001178C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Al día siguiente</w:t>
      </w:r>
      <w:r w:rsidRPr="001178C6">
        <w:rPr>
          <w:rFonts w:ascii="Cambria" w:hAnsi="Cambria"/>
          <w:sz w:val="20"/>
          <w:szCs w:val="20"/>
          <w:lang w:val="es-VE"/>
        </w:rPr>
        <w:t xml:space="preserve"> </w:t>
      </w:r>
      <w:r>
        <w:rPr>
          <w:rFonts w:ascii="Cambria" w:hAnsi="Cambria"/>
          <w:sz w:val="20"/>
          <w:szCs w:val="20"/>
          <w:lang w:val="es-VE"/>
        </w:rPr>
        <w:t xml:space="preserve">la División de Inteligencia de la </w:t>
      </w:r>
      <w:r w:rsidR="00A85163">
        <w:rPr>
          <w:rFonts w:ascii="Cambria" w:hAnsi="Cambria"/>
          <w:sz w:val="20"/>
          <w:szCs w:val="20"/>
          <w:lang w:val="es-VE"/>
        </w:rPr>
        <w:t>Policía</w:t>
      </w:r>
      <w:r>
        <w:rPr>
          <w:rFonts w:ascii="Cambria" w:hAnsi="Cambria"/>
          <w:sz w:val="20"/>
          <w:szCs w:val="20"/>
          <w:lang w:val="es-VE"/>
        </w:rPr>
        <w:t xml:space="preserve"> emitió una boleta de detención preventiva en contra de Wilmer Barliza, y Olimpiades y Luis González. En dicha boleta se indicó que su detención guarda relación con el proceso seguido</w:t>
      </w:r>
      <w:r w:rsidR="00693542">
        <w:rPr>
          <w:rFonts w:ascii="Cambria" w:hAnsi="Cambria"/>
          <w:sz w:val="20"/>
          <w:szCs w:val="20"/>
          <w:lang w:val="es-VE"/>
        </w:rPr>
        <w:t xml:space="preserve"> por la muerte de Carmen González y se ordenó su traslado al Centro de Arrestos y Detenciones Preventivas El Marite</w:t>
      </w:r>
      <w:r w:rsidR="00693542">
        <w:rPr>
          <w:rStyle w:val="Refdenotaalpie"/>
          <w:rFonts w:ascii="Cambria" w:hAnsi="Cambria"/>
          <w:sz w:val="20"/>
          <w:szCs w:val="20"/>
          <w:lang w:val="es-VE"/>
        </w:rPr>
        <w:footnoteReference w:id="41"/>
      </w:r>
      <w:r w:rsidR="00693542">
        <w:rPr>
          <w:rFonts w:ascii="Cambria" w:hAnsi="Cambria"/>
          <w:sz w:val="20"/>
          <w:szCs w:val="20"/>
          <w:lang w:val="es-VE"/>
        </w:rPr>
        <w:t xml:space="preserve">. </w:t>
      </w:r>
    </w:p>
    <w:p w14:paraId="4E0258E0" w14:textId="77777777" w:rsidR="004C2AA1" w:rsidRDefault="004C2AA1" w:rsidP="0069354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4B1876B2" w14:textId="77777777" w:rsidR="006240AD" w:rsidRPr="00AC0AA9" w:rsidRDefault="00B720D6" w:rsidP="00AC0AA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5 de f</w:t>
      </w:r>
      <w:r w:rsidR="00E703CE">
        <w:rPr>
          <w:rFonts w:ascii="Cambria" w:hAnsi="Cambria"/>
          <w:sz w:val="20"/>
          <w:szCs w:val="20"/>
          <w:lang w:val="es-VE"/>
        </w:rPr>
        <w:t>ebrero de 1999 Luis Guillermo González</w:t>
      </w:r>
      <w:r w:rsidR="00486AEE">
        <w:rPr>
          <w:rFonts w:ascii="Cambria" w:hAnsi="Cambria"/>
          <w:sz w:val="20"/>
          <w:szCs w:val="20"/>
          <w:lang w:val="es-VE"/>
        </w:rPr>
        <w:t>, Wilmer Antonio Barliza y Olimpiades González solicitaron</w:t>
      </w:r>
      <w:r w:rsidR="00E703CE">
        <w:rPr>
          <w:rFonts w:ascii="Cambria" w:hAnsi="Cambria"/>
          <w:sz w:val="20"/>
          <w:szCs w:val="20"/>
          <w:lang w:val="es-VE"/>
        </w:rPr>
        <w:t xml:space="preserve"> ante el Juzgado Primero de Primera</w:t>
      </w:r>
      <w:r w:rsidR="00486AEE">
        <w:rPr>
          <w:rFonts w:ascii="Cambria" w:hAnsi="Cambria"/>
          <w:sz w:val="20"/>
          <w:szCs w:val="20"/>
          <w:lang w:val="es-VE"/>
        </w:rPr>
        <w:t xml:space="preserve"> Instancia en lo Penal que se </w:t>
      </w:r>
      <w:proofErr w:type="gramStart"/>
      <w:r w:rsidR="00486AEE">
        <w:rPr>
          <w:rFonts w:ascii="Cambria" w:hAnsi="Cambria"/>
          <w:sz w:val="20"/>
          <w:szCs w:val="20"/>
          <w:lang w:val="es-VE"/>
        </w:rPr>
        <w:t>les</w:t>
      </w:r>
      <w:proofErr w:type="gramEnd"/>
      <w:r w:rsidR="00E703CE">
        <w:rPr>
          <w:rFonts w:ascii="Cambria" w:hAnsi="Cambria"/>
          <w:sz w:val="20"/>
          <w:szCs w:val="20"/>
          <w:lang w:val="es-VE"/>
        </w:rPr>
        <w:t xml:space="preserve"> someta a juicio o</w:t>
      </w:r>
      <w:r w:rsidR="00693542">
        <w:rPr>
          <w:rFonts w:ascii="Cambria" w:hAnsi="Cambria"/>
          <w:sz w:val="20"/>
          <w:szCs w:val="20"/>
          <w:lang w:val="es-VE"/>
        </w:rPr>
        <w:t xml:space="preserve"> que se le disponga</w:t>
      </w:r>
      <w:r w:rsidR="00E703CE">
        <w:rPr>
          <w:rFonts w:ascii="Cambria" w:hAnsi="Cambria"/>
          <w:sz w:val="20"/>
          <w:szCs w:val="20"/>
          <w:lang w:val="es-VE"/>
        </w:rPr>
        <w:t xml:space="preserve"> </w:t>
      </w:r>
      <w:r w:rsidR="00693542">
        <w:rPr>
          <w:rFonts w:ascii="Cambria" w:hAnsi="Cambria"/>
          <w:sz w:val="20"/>
          <w:szCs w:val="20"/>
          <w:lang w:val="es-VE"/>
        </w:rPr>
        <w:t>la</w:t>
      </w:r>
      <w:r w:rsidR="00E703CE">
        <w:rPr>
          <w:rFonts w:ascii="Cambria" w:hAnsi="Cambria"/>
          <w:sz w:val="20"/>
          <w:szCs w:val="20"/>
          <w:lang w:val="es-VE"/>
        </w:rPr>
        <w:t xml:space="preserve"> libertad provisional bajo fianza</w:t>
      </w:r>
      <w:r w:rsidR="00E703CE">
        <w:rPr>
          <w:rStyle w:val="Refdenotaalpie"/>
          <w:rFonts w:ascii="Cambria" w:hAnsi="Cambria"/>
          <w:sz w:val="20"/>
          <w:szCs w:val="20"/>
          <w:lang w:val="es-VE"/>
        </w:rPr>
        <w:footnoteReference w:id="42"/>
      </w:r>
      <w:r w:rsidR="00E703CE">
        <w:rPr>
          <w:rFonts w:ascii="Cambria" w:hAnsi="Cambria"/>
          <w:sz w:val="20"/>
          <w:szCs w:val="20"/>
          <w:lang w:val="es-VE"/>
        </w:rPr>
        <w:t xml:space="preserve">. </w:t>
      </w:r>
      <w:r w:rsidR="00486AEE" w:rsidRPr="00B162F3">
        <w:rPr>
          <w:rFonts w:ascii="Cambria" w:hAnsi="Cambria"/>
          <w:sz w:val="20"/>
          <w:szCs w:val="20"/>
          <w:lang w:val="es-VE"/>
        </w:rPr>
        <w:t xml:space="preserve">La CIDH </w:t>
      </w:r>
      <w:r w:rsidR="006805EE">
        <w:rPr>
          <w:rFonts w:ascii="Cambria" w:hAnsi="Cambria"/>
          <w:sz w:val="20"/>
          <w:szCs w:val="20"/>
          <w:lang w:val="es-VE"/>
        </w:rPr>
        <w:t xml:space="preserve">no cuenta con información sobre la </w:t>
      </w:r>
      <w:r w:rsidR="00486AEE" w:rsidRPr="00B162F3">
        <w:rPr>
          <w:rFonts w:ascii="Cambria" w:hAnsi="Cambria"/>
          <w:sz w:val="20"/>
          <w:szCs w:val="20"/>
          <w:lang w:val="es-VE"/>
        </w:rPr>
        <w:t>respuesta a dicha solicitud.</w:t>
      </w:r>
      <w:r w:rsidR="00677501" w:rsidRPr="00B162F3">
        <w:rPr>
          <w:rFonts w:ascii="Cambria" w:hAnsi="Cambria"/>
          <w:sz w:val="20"/>
          <w:szCs w:val="20"/>
          <w:lang w:val="es-VE"/>
        </w:rPr>
        <w:t xml:space="preserve"> </w:t>
      </w:r>
      <w:r w:rsidR="00AC0AA9" w:rsidRPr="00AC0AA9">
        <w:rPr>
          <w:rFonts w:ascii="Cambria" w:hAnsi="Cambria"/>
          <w:sz w:val="20"/>
          <w:szCs w:val="20"/>
          <w:lang w:val="es-VE"/>
        </w:rPr>
        <w:t>Asimismo, e</w:t>
      </w:r>
      <w:r w:rsidR="00D561BA" w:rsidRPr="00AC0AA9">
        <w:rPr>
          <w:rFonts w:ascii="Cambria" w:hAnsi="Cambria"/>
          <w:sz w:val="20"/>
          <w:szCs w:val="20"/>
          <w:lang w:val="es-VE"/>
        </w:rPr>
        <w:t xml:space="preserve">n el procedimiento se realizó una rueda de </w:t>
      </w:r>
      <w:proofErr w:type="gramStart"/>
      <w:r w:rsidR="00D561BA" w:rsidRPr="00AC0AA9">
        <w:rPr>
          <w:rFonts w:ascii="Cambria" w:hAnsi="Cambria"/>
          <w:sz w:val="20"/>
          <w:szCs w:val="20"/>
          <w:lang w:val="es-VE"/>
        </w:rPr>
        <w:t>reconocimiento</w:t>
      </w:r>
      <w:proofErr w:type="gramEnd"/>
      <w:r w:rsidR="00DA01BA">
        <w:rPr>
          <w:rFonts w:ascii="Cambria" w:hAnsi="Cambria"/>
          <w:sz w:val="20"/>
          <w:szCs w:val="20"/>
          <w:lang w:val="es-VE"/>
        </w:rPr>
        <w:t xml:space="preserve"> pero no se cuenta con </w:t>
      </w:r>
      <w:r w:rsidR="00677501" w:rsidRPr="00AC0AA9">
        <w:rPr>
          <w:rFonts w:ascii="Cambria" w:hAnsi="Cambria"/>
          <w:sz w:val="20"/>
          <w:szCs w:val="20"/>
          <w:lang w:val="es-VE"/>
        </w:rPr>
        <w:t>información detallada sobre las circunstancias de la misma.</w:t>
      </w:r>
    </w:p>
    <w:p w14:paraId="048E6508" w14:textId="77777777" w:rsidR="009A6DC3" w:rsidRDefault="009A6DC3" w:rsidP="009A6DC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65C699A1" w14:textId="77777777" w:rsidR="009A6DC3" w:rsidRPr="00D561BA" w:rsidRDefault="00486AEE" w:rsidP="0067750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561BA">
        <w:rPr>
          <w:rFonts w:ascii="Cambria" w:hAnsi="Cambria"/>
          <w:sz w:val="20"/>
          <w:szCs w:val="20"/>
          <w:lang w:val="es-VE"/>
        </w:rPr>
        <w:t xml:space="preserve">El 10 de febrero de 1999 </w:t>
      </w:r>
      <w:r w:rsidR="00EF00D0" w:rsidRPr="00D561BA">
        <w:rPr>
          <w:rFonts w:ascii="Cambria" w:hAnsi="Cambria"/>
          <w:sz w:val="20"/>
          <w:szCs w:val="20"/>
          <w:lang w:val="es-VE"/>
        </w:rPr>
        <w:t>Wilmer Antonio Barliza</w:t>
      </w:r>
      <w:r w:rsidR="0086613B" w:rsidRPr="00D561BA">
        <w:rPr>
          <w:rFonts w:ascii="Cambria" w:hAnsi="Cambria"/>
          <w:sz w:val="20"/>
          <w:szCs w:val="20"/>
          <w:lang w:val="es-VE"/>
        </w:rPr>
        <w:t xml:space="preserve">, </w:t>
      </w:r>
      <w:r w:rsidR="002974E6">
        <w:rPr>
          <w:rFonts w:ascii="Cambria" w:hAnsi="Cambria"/>
          <w:sz w:val="20"/>
          <w:szCs w:val="20"/>
          <w:lang w:val="es-VE"/>
        </w:rPr>
        <w:t xml:space="preserve">y </w:t>
      </w:r>
      <w:r w:rsidR="0086613B" w:rsidRPr="00D561BA">
        <w:rPr>
          <w:rFonts w:ascii="Cambria" w:hAnsi="Cambria"/>
          <w:sz w:val="20"/>
          <w:szCs w:val="20"/>
          <w:lang w:val="es-VE"/>
        </w:rPr>
        <w:t xml:space="preserve">Olimpiades y Luis Guillermo González rindieron sus declaraciones judiciales </w:t>
      </w:r>
      <w:r w:rsidR="008E76B3">
        <w:rPr>
          <w:rFonts w:ascii="Cambria" w:hAnsi="Cambria"/>
          <w:sz w:val="20"/>
          <w:szCs w:val="20"/>
          <w:lang w:val="es-VE"/>
        </w:rPr>
        <w:t xml:space="preserve">indicando </w:t>
      </w:r>
      <w:r w:rsidR="0086613B" w:rsidRPr="00D561BA">
        <w:rPr>
          <w:rFonts w:ascii="Cambria" w:hAnsi="Cambria"/>
          <w:sz w:val="20"/>
          <w:szCs w:val="20"/>
          <w:lang w:val="es-VE"/>
        </w:rPr>
        <w:t>que no habían tenido participación en el homicidio</w:t>
      </w:r>
      <w:r w:rsidR="009D45B1">
        <w:rPr>
          <w:rFonts w:ascii="Cambria" w:hAnsi="Cambria"/>
          <w:sz w:val="20"/>
          <w:szCs w:val="20"/>
          <w:lang w:val="es-VE"/>
        </w:rPr>
        <w:t>,</w:t>
      </w:r>
      <w:r w:rsidR="0086613B" w:rsidRPr="00D561BA">
        <w:rPr>
          <w:rFonts w:ascii="Cambria" w:hAnsi="Cambria"/>
          <w:sz w:val="20"/>
          <w:szCs w:val="20"/>
          <w:lang w:val="es-VE"/>
        </w:rPr>
        <w:t xml:space="preserve"> y que Luzmila Fernández había depositado armas en el lugar donde fueron detenidos</w:t>
      </w:r>
      <w:r w:rsidR="00D561BA" w:rsidRPr="00D561BA">
        <w:rPr>
          <w:rStyle w:val="Refdenotaalpie"/>
          <w:rFonts w:ascii="Cambria" w:hAnsi="Cambria"/>
          <w:sz w:val="20"/>
          <w:szCs w:val="20"/>
          <w:lang w:val="es-VE"/>
        </w:rPr>
        <w:footnoteReference w:id="43"/>
      </w:r>
      <w:r w:rsidR="0086613B" w:rsidRPr="00D561BA">
        <w:rPr>
          <w:rFonts w:ascii="Cambria" w:hAnsi="Cambria"/>
          <w:sz w:val="20"/>
          <w:szCs w:val="20"/>
          <w:lang w:val="es-VE"/>
        </w:rPr>
        <w:t xml:space="preserve">. </w:t>
      </w:r>
      <w:r w:rsidR="00EF00D0" w:rsidRPr="00D561BA">
        <w:rPr>
          <w:rFonts w:ascii="Cambria" w:hAnsi="Cambria"/>
          <w:sz w:val="20"/>
          <w:szCs w:val="20"/>
          <w:lang w:val="es-VE"/>
        </w:rPr>
        <w:t xml:space="preserve"> </w:t>
      </w:r>
    </w:p>
    <w:p w14:paraId="0F009866" w14:textId="77777777" w:rsidR="00D22E32" w:rsidRDefault="00D22E32" w:rsidP="00B162F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4E32B8A" w14:textId="77777777" w:rsidR="00D91911" w:rsidRDefault="00D0363C" w:rsidP="00B162F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12 de febrero de 1999 </w:t>
      </w:r>
      <w:r w:rsidR="00D91911">
        <w:rPr>
          <w:rFonts w:ascii="Cambria" w:hAnsi="Cambria"/>
          <w:sz w:val="20"/>
          <w:szCs w:val="20"/>
          <w:lang w:val="es-VE"/>
        </w:rPr>
        <w:t>Na</w:t>
      </w:r>
      <w:r>
        <w:rPr>
          <w:rFonts w:ascii="Cambria" w:hAnsi="Cambria"/>
          <w:sz w:val="20"/>
          <w:szCs w:val="20"/>
          <w:lang w:val="es-VE"/>
        </w:rPr>
        <w:t xml:space="preserve">cibis del Carmen Tovias Ruiz, testigo de la detención de 28 de enero de 1999, rindió una declaración </w:t>
      </w:r>
      <w:r w:rsidR="00DB3F77">
        <w:rPr>
          <w:rFonts w:ascii="Cambria" w:hAnsi="Cambria"/>
          <w:sz w:val="20"/>
          <w:szCs w:val="20"/>
          <w:lang w:val="es-VE"/>
        </w:rPr>
        <w:t xml:space="preserve">indicando que </w:t>
      </w:r>
      <w:r>
        <w:rPr>
          <w:rFonts w:ascii="Cambria" w:hAnsi="Cambria"/>
          <w:sz w:val="20"/>
          <w:szCs w:val="20"/>
          <w:lang w:val="es-VE"/>
        </w:rPr>
        <w:t>vio a Luzmila Meneses cuando pus</w:t>
      </w:r>
      <w:r w:rsidR="00742B54">
        <w:rPr>
          <w:rFonts w:ascii="Cambria" w:hAnsi="Cambria"/>
          <w:sz w:val="20"/>
          <w:szCs w:val="20"/>
          <w:lang w:val="es-VE"/>
        </w:rPr>
        <w:t>o</w:t>
      </w:r>
      <w:r>
        <w:rPr>
          <w:rFonts w:ascii="Cambria" w:hAnsi="Cambria"/>
          <w:sz w:val="20"/>
          <w:szCs w:val="20"/>
          <w:lang w:val="es-VE"/>
        </w:rPr>
        <w:t xml:space="preserve"> dos armas de fuego en el domicilio de Olimpiades González</w:t>
      </w:r>
      <w:r w:rsidR="00B055CB">
        <w:rPr>
          <w:rFonts w:ascii="Cambria" w:hAnsi="Cambria"/>
          <w:sz w:val="20"/>
          <w:szCs w:val="20"/>
          <w:lang w:val="es-VE"/>
        </w:rPr>
        <w:t xml:space="preserve"> y que </w:t>
      </w:r>
      <w:r>
        <w:rPr>
          <w:rFonts w:ascii="Cambria" w:hAnsi="Cambria"/>
          <w:sz w:val="20"/>
          <w:szCs w:val="20"/>
          <w:lang w:val="es-VE"/>
        </w:rPr>
        <w:t>presenció cuando Luzmila Meneses llamó a los agentes policiales y les dijo que dichas armas eran de propiedad de</w:t>
      </w:r>
      <w:r w:rsidR="00B055CB">
        <w:rPr>
          <w:rFonts w:ascii="Cambria" w:hAnsi="Cambria"/>
          <w:sz w:val="20"/>
          <w:szCs w:val="20"/>
          <w:lang w:val="es-VE"/>
        </w:rPr>
        <w:t xml:space="preserve"> aquél</w:t>
      </w:r>
      <w:r>
        <w:rPr>
          <w:rStyle w:val="Refdenotaalpie"/>
          <w:rFonts w:ascii="Cambria" w:hAnsi="Cambria"/>
          <w:sz w:val="20"/>
          <w:szCs w:val="20"/>
          <w:lang w:val="es-VE"/>
        </w:rPr>
        <w:footnoteReference w:id="44"/>
      </w:r>
      <w:r>
        <w:rPr>
          <w:rFonts w:ascii="Cambria" w:hAnsi="Cambria"/>
          <w:sz w:val="20"/>
          <w:szCs w:val="20"/>
          <w:lang w:val="es-VE"/>
        </w:rPr>
        <w:t xml:space="preserve">. </w:t>
      </w:r>
    </w:p>
    <w:p w14:paraId="3A0A2699" w14:textId="77777777" w:rsidR="00D0363C" w:rsidRDefault="00D0363C" w:rsidP="00D0363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327790C7" w14:textId="77777777" w:rsidR="009A69A0" w:rsidRDefault="00D0363C" w:rsidP="00D0363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mismo día el Juzgado </w:t>
      </w:r>
      <w:r w:rsidR="00D33643" w:rsidRPr="00D0363C">
        <w:rPr>
          <w:rFonts w:ascii="Cambria" w:hAnsi="Cambria"/>
          <w:sz w:val="20"/>
          <w:szCs w:val="20"/>
          <w:lang w:val="es-VE"/>
        </w:rPr>
        <w:t>Primero</w:t>
      </w:r>
      <w:r w:rsidR="00F02B05" w:rsidRPr="00D0363C">
        <w:rPr>
          <w:rFonts w:ascii="Cambria" w:hAnsi="Cambria"/>
          <w:sz w:val="20"/>
          <w:szCs w:val="20"/>
          <w:lang w:val="es-VE"/>
        </w:rPr>
        <w:t xml:space="preserve"> de Primer</w:t>
      </w:r>
      <w:r w:rsidR="00287D7C" w:rsidRPr="00D0363C">
        <w:rPr>
          <w:rFonts w:ascii="Cambria" w:hAnsi="Cambria"/>
          <w:sz w:val="20"/>
          <w:szCs w:val="20"/>
          <w:lang w:val="es-VE"/>
        </w:rPr>
        <w:t>a</w:t>
      </w:r>
      <w:r w:rsidR="00F02B05" w:rsidRPr="00D0363C">
        <w:rPr>
          <w:rFonts w:ascii="Cambria" w:hAnsi="Cambria"/>
          <w:sz w:val="20"/>
          <w:szCs w:val="20"/>
          <w:lang w:val="es-VE"/>
        </w:rPr>
        <w:t xml:space="preserve"> Instancia en lo Penal </w:t>
      </w:r>
      <w:r w:rsidR="00D33643" w:rsidRPr="00D0363C">
        <w:rPr>
          <w:rFonts w:ascii="Cambria" w:hAnsi="Cambria"/>
          <w:sz w:val="20"/>
          <w:szCs w:val="20"/>
          <w:lang w:val="es-VE"/>
        </w:rPr>
        <w:t xml:space="preserve">decretó un </w:t>
      </w:r>
      <w:r w:rsidR="004C2AA1" w:rsidRPr="00D0363C">
        <w:rPr>
          <w:rFonts w:ascii="Cambria" w:hAnsi="Cambria"/>
          <w:sz w:val="20"/>
          <w:szCs w:val="20"/>
          <w:lang w:val="es-VE"/>
        </w:rPr>
        <w:t>auto</w:t>
      </w:r>
      <w:r w:rsidR="00D33643" w:rsidRPr="00D0363C">
        <w:rPr>
          <w:rFonts w:ascii="Cambria" w:hAnsi="Cambria"/>
          <w:sz w:val="20"/>
          <w:szCs w:val="20"/>
          <w:lang w:val="es-VE"/>
        </w:rPr>
        <w:t xml:space="preserve"> de detención</w:t>
      </w:r>
      <w:r w:rsidR="009A69A0">
        <w:rPr>
          <w:rFonts w:ascii="Cambria" w:hAnsi="Cambria"/>
          <w:sz w:val="20"/>
          <w:szCs w:val="20"/>
          <w:lang w:val="es-VE"/>
        </w:rPr>
        <w:t xml:space="preserve"> judicial</w:t>
      </w:r>
      <w:r w:rsidR="00D33643" w:rsidRPr="00D0363C">
        <w:rPr>
          <w:rFonts w:ascii="Cambria" w:hAnsi="Cambria"/>
          <w:sz w:val="20"/>
          <w:szCs w:val="20"/>
          <w:lang w:val="es-VE"/>
        </w:rPr>
        <w:t xml:space="preserve"> por </w:t>
      </w:r>
      <w:r w:rsidR="009A69A0">
        <w:rPr>
          <w:rFonts w:ascii="Cambria" w:hAnsi="Cambria"/>
          <w:sz w:val="20"/>
          <w:szCs w:val="20"/>
          <w:lang w:val="es-VE"/>
        </w:rPr>
        <w:t xml:space="preserve">el delito de </w:t>
      </w:r>
      <w:r w:rsidR="00D33643" w:rsidRPr="00D0363C">
        <w:rPr>
          <w:rFonts w:ascii="Cambria" w:hAnsi="Cambria"/>
          <w:sz w:val="20"/>
          <w:szCs w:val="20"/>
          <w:lang w:val="es-VE"/>
        </w:rPr>
        <w:t>homicidio intencional y porte ilícito de armas</w:t>
      </w:r>
      <w:r w:rsidR="009A69A0">
        <w:rPr>
          <w:rFonts w:ascii="Cambria" w:hAnsi="Cambria"/>
          <w:sz w:val="20"/>
          <w:szCs w:val="20"/>
          <w:lang w:val="es-VE"/>
        </w:rPr>
        <w:t xml:space="preserve"> en contra de Luis Guillermo González, Wilmer Antonio Barliza y Olimpiades González</w:t>
      </w:r>
      <w:r w:rsidR="00D322C0">
        <w:rPr>
          <w:rFonts w:ascii="Cambria" w:hAnsi="Cambria"/>
          <w:sz w:val="20"/>
          <w:szCs w:val="20"/>
          <w:lang w:val="es-VE"/>
        </w:rPr>
        <w:t xml:space="preserve">, solicitando su traslado </w:t>
      </w:r>
      <w:r w:rsidR="009A69A0">
        <w:rPr>
          <w:rFonts w:ascii="Cambria" w:hAnsi="Cambria"/>
          <w:sz w:val="20"/>
          <w:szCs w:val="20"/>
          <w:lang w:val="es-VE"/>
        </w:rPr>
        <w:t xml:space="preserve">a la </w:t>
      </w:r>
      <w:r w:rsidR="00F2307D" w:rsidRPr="00D0363C">
        <w:rPr>
          <w:rFonts w:ascii="Cambria" w:hAnsi="Cambria"/>
          <w:sz w:val="20"/>
          <w:szCs w:val="20"/>
          <w:lang w:val="es-VE"/>
        </w:rPr>
        <w:t>Cárcel Nacional de Maracaibo</w:t>
      </w:r>
      <w:r w:rsidR="009A69A0">
        <w:rPr>
          <w:rFonts w:ascii="Cambria" w:hAnsi="Cambria"/>
          <w:sz w:val="20"/>
          <w:szCs w:val="20"/>
          <w:lang w:val="es-VE"/>
        </w:rPr>
        <w:t>. El Juzgado consideró que “surgen fundados y plurales indicios de culpabilidad que comprometen la responsabilidad penal de los ciudadanos”. El Juzgado tomó en cuenta el acta policial de 28 de enero de 1999, así como el reconocimiento en rueda de personas</w:t>
      </w:r>
      <w:r w:rsidR="009A69A0">
        <w:rPr>
          <w:rStyle w:val="Refdenotaalpie"/>
          <w:rFonts w:ascii="Cambria" w:hAnsi="Cambria"/>
          <w:sz w:val="20"/>
          <w:szCs w:val="20"/>
          <w:lang w:val="es-VE"/>
        </w:rPr>
        <w:footnoteReference w:id="45"/>
      </w:r>
      <w:r w:rsidR="009A69A0">
        <w:rPr>
          <w:rFonts w:ascii="Cambria" w:hAnsi="Cambria"/>
          <w:sz w:val="20"/>
          <w:szCs w:val="20"/>
          <w:lang w:val="es-VE"/>
        </w:rPr>
        <w:t xml:space="preserve">. </w:t>
      </w:r>
    </w:p>
    <w:p w14:paraId="2FF9E9ED" w14:textId="77777777" w:rsidR="003B02B5" w:rsidRDefault="003B02B5" w:rsidP="003B02B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18FF574" w14:textId="77777777" w:rsidR="00726A33" w:rsidRDefault="00222C07" w:rsidP="00726A3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E05BAF">
        <w:rPr>
          <w:rFonts w:ascii="Cambria" w:hAnsi="Cambria"/>
          <w:sz w:val="20"/>
          <w:szCs w:val="20"/>
          <w:lang w:val="es-VE"/>
        </w:rPr>
        <w:t xml:space="preserve">María Antonia González, madre de </w:t>
      </w:r>
      <w:r w:rsidR="00726A33">
        <w:rPr>
          <w:rFonts w:ascii="Cambria" w:hAnsi="Cambria"/>
          <w:sz w:val="20"/>
          <w:szCs w:val="20"/>
          <w:lang w:val="es-VE"/>
        </w:rPr>
        <w:t xml:space="preserve">Wilmer Antonio Barliza, solicitó al Juzgado que Wilmer, Olimpiades y Luis Guillermo sean transferidos al Centro de Arrestos y Detenciones Preventivas en El Marite. La señora González </w:t>
      </w:r>
      <w:r w:rsidR="00153792">
        <w:rPr>
          <w:rFonts w:ascii="Cambria" w:hAnsi="Cambria"/>
          <w:sz w:val="20"/>
          <w:szCs w:val="20"/>
          <w:lang w:val="es-VE"/>
        </w:rPr>
        <w:t xml:space="preserve">hizo referencia a la enemistad </w:t>
      </w:r>
      <w:r w:rsidR="00E103AE">
        <w:rPr>
          <w:rFonts w:ascii="Cambria" w:hAnsi="Cambria"/>
          <w:sz w:val="20"/>
          <w:szCs w:val="20"/>
          <w:lang w:val="es-VE"/>
        </w:rPr>
        <w:t xml:space="preserve">con </w:t>
      </w:r>
      <w:r w:rsidR="00726A33">
        <w:rPr>
          <w:rFonts w:ascii="Cambria" w:hAnsi="Cambria"/>
          <w:sz w:val="20"/>
          <w:szCs w:val="20"/>
          <w:lang w:val="es-VE"/>
        </w:rPr>
        <w:t>la familia Fernández</w:t>
      </w:r>
      <w:r w:rsidR="00E103AE">
        <w:rPr>
          <w:rFonts w:ascii="Cambria" w:hAnsi="Cambria"/>
          <w:sz w:val="20"/>
          <w:szCs w:val="20"/>
          <w:lang w:val="es-VE"/>
        </w:rPr>
        <w:t xml:space="preserve"> y la existencia de </w:t>
      </w:r>
      <w:r w:rsidR="00726A33">
        <w:rPr>
          <w:rFonts w:ascii="Cambria" w:hAnsi="Cambria"/>
          <w:sz w:val="20"/>
          <w:szCs w:val="20"/>
          <w:lang w:val="es-VE"/>
        </w:rPr>
        <w:t>amenazas de parte de</w:t>
      </w:r>
      <w:r w:rsidR="00E103AE">
        <w:rPr>
          <w:rFonts w:ascii="Cambria" w:hAnsi="Cambria"/>
          <w:sz w:val="20"/>
          <w:szCs w:val="20"/>
          <w:lang w:val="es-VE"/>
        </w:rPr>
        <w:t xml:space="preserve"> dicha </w:t>
      </w:r>
      <w:r w:rsidR="00726A33">
        <w:rPr>
          <w:rFonts w:ascii="Cambria" w:hAnsi="Cambria"/>
          <w:sz w:val="20"/>
          <w:szCs w:val="20"/>
          <w:lang w:val="es-VE"/>
        </w:rPr>
        <w:t>familia</w:t>
      </w:r>
      <w:r w:rsidR="00726A33" w:rsidRPr="00E05BAF">
        <w:rPr>
          <w:rStyle w:val="Refdenotaalpie"/>
          <w:rFonts w:ascii="Cambria" w:hAnsi="Cambria"/>
          <w:sz w:val="20"/>
          <w:szCs w:val="20"/>
          <w:lang w:val="es-VE"/>
        </w:rPr>
        <w:footnoteReference w:id="46"/>
      </w:r>
      <w:r w:rsidR="00726A33">
        <w:rPr>
          <w:rFonts w:ascii="Cambria" w:hAnsi="Cambria"/>
          <w:sz w:val="20"/>
          <w:szCs w:val="20"/>
          <w:lang w:val="es-VE"/>
        </w:rPr>
        <w:t xml:space="preserve">. </w:t>
      </w:r>
    </w:p>
    <w:p w14:paraId="2AC81A24" w14:textId="77777777" w:rsidR="00726A33" w:rsidRDefault="00726A33" w:rsidP="00726A3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599F96FE" w14:textId="77777777" w:rsidR="00246E1E" w:rsidRDefault="00246E1E" w:rsidP="00726A3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19 de febrero de 1999 el Juzgado solicitó </w:t>
      </w:r>
      <w:r w:rsidR="005D26D6" w:rsidRPr="00726A33">
        <w:rPr>
          <w:rFonts w:ascii="Cambria" w:hAnsi="Cambria"/>
          <w:sz w:val="20"/>
          <w:szCs w:val="20"/>
          <w:lang w:val="es-VE"/>
        </w:rPr>
        <w:t>al director de la Cárcel un informe</w:t>
      </w:r>
      <w:r>
        <w:rPr>
          <w:rFonts w:ascii="Cambria" w:hAnsi="Cambria"/>
          <w:sz w:val="20"/>
          <w:szCs w:val="20"/>
          <w:lang w:val="es-VE"/>
        </w:rPr>
        <w:t xml:space="preserve"> sobre si Olimpiades, Wilmer y Luis Guillermo “han recibido amenazas o visitas personales amenazándolos verbalmente contra su integridad física”</w:t>
      </w:r>
      <w:r>
        <w:rPr>
          <w:rStyle w:val="Refdenotaalpie"/>
          <w:rFonts w:ascii="Cambria" w:hAnsi="Cambria"/>
          <w:sz w:val="20"/>
          <w:szCs w:val="20"/>
          <w:lang w:val="es-VE"/>
        </w:rPr>
        <w:footnoteReference w:id="47"/>
      </w:r>
      <w:r>
        <w:rPr>
          <w:rFonts w:ascii="Cambria" w:hAnsi="Cambria"/>
          <w:sz w:val="20"/>
          <w:szCs w:val="20"/>
          <w:lang w:val="es-VE"/>
        </w:rPr>
        <w:t>. Cuatro días</w:t>
      </w:r>
      <w:r w:rsidR="00576C7B">
        <w:rPr>
          <w:rFonts w:ascii="Cambria" w:hAnsi="Cambria"/>
          <w:sz w:val="20"/>
          <w:szCs w:val="20"/>
          <w:lang w:val="es-VE"/>
        </w:rPr>
        <w:t xml:space="preserve"> después</w:t>
      </w:r>
      <w:r>
        <w:rPr>
          <w:rFonts w:ascii="Cambria" w:hAnsi="Cambria"/>
          <w:sz w:val="20"/>
          <w:szCs w:val="20"/>
          <w:lang w:val="es-VE"/>
        </w:rPr>
        <w:t xml:space="preserve"> </w:t>
      </w:r>
      <w:r w:rsidR="00562877">
        <w:rPr>
          <w:rFonts w:ascii="Cambria" w:hAnsi="Cambria"/>
          <w:sz w:val="20"/>
          <w:szCs w:val="20"/>
          <w:lang w:val="es-VE"/>
        </w:rPr>
        <w:t>se presentó el informe indicando:</w:t>
      </w:r>
    </w:p>
    <w:p w14:paraId="5A7065CA" w14:textId="77777777" w:rsidR="00246E1E" w:rsidRDefault="00246E1E" w:rsidP="00246E1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4FDD638" w14:textId="77777777" w:rsidR="00246E1E" w:rsidRDefault="00513B4F" w:rsidP="009F3CF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lang w:val="es-VE"/>
        </w:rPr>
      </w:pPr>
      <w:r>
        <w:rPr>
          <w:rFonts w:ascii="Cambria" w:hAnsi="Cambria"/>
          <w:sz w:val="20"/>
          <w:szCs w:val="20"/>
          <w:lang w:val="es-VE"/>
        </w:rPr>
        <w:t>Fueron entrevistados los procesados (...) donde manifestaron que sí han recibido amenazas de parte de los miembros de la banda de los Zamuros; en el momento que ingresamos fuimos visitados por uno de ellos de nombre Larry (...) quien nos señaló y nos dijo que nos estaban esperando aquí en la cárcel. En el lugar donde estamos ubicados no es una parte tan segura y por lo tanto pedimos se nos ubique en el retén el marite</w:t>
      </w:r>
      <w:r w:rsidR="009F3CF0">
        <w:rPr>
          <w:rStyle w:val="Refdenotaalpie"/>
          <w:rFonts w:ascii="Cambria" w:hAnsi="Cambria"/>
          <w:sz w:val="20"/>
          <w:szCs w:val="20"/>
          <w:lang w:val="es-VE"/>
        </w:rPr>
        <w:footnoteReference w:id="48"/>
      </w:r>
      <w:r>
        <w:rPr>
          <w:rFonts w:ascii="Cambria" w:hAnsi="Cambria"/>
          <w:sz w:val="20"/>
          <w:szCs w:val="20"/>
          <w:lang w:val="es-VE"/>
        </w:rPr>
        <w:t>.</w:t>
      </w:r>
    </w:p>
    <w:p w14:paraId="390FE209" w14:textId="77777777" w:rsidR="009F3CF0" w:rsidRDefault="009F3CF0" w:rsidP="009F3CF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right="720"/>
        <w:jc w:val="both"/>
        <w:rPr>
          <w:rFonts w:ascii="Cambria" w:hAnsi="Cambria"/>
          <w:sz w:val="20"/>
          <w:szCs w:val="20"/>
          <w:lang w:val="es-VE"/>
        </w:rPr>
      </w:pPr>
    </w:p>
    <w:p w14:paraId="315F35E2" w14:textId="77777777" w:rsidR="009F3CF0" w:rsidRDefault="009F3CF0" w:rsidP="0087099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Dicha </w:t>
      </w:r>
      <w:r w:rsidRPr="009D45B1">
        <w:rPr>
          <w:rFonts w:ascii="Cambria" w:hAnsi="Cambria"/>
          <w:sz w:val="20"/>
          <w:szCs w:val="20"/>
          <w:lang w:val="es-VE"/>
        </w:rPr>
        <w:t>solicitud</w:t>
      </w:r>
      <w:r w:rsidR="0094392B" w:rsidRPr="009D45B1">
        <w:rPr>
          <w:rFonts w:ascii="Cambria" w:hAnsi="Cambria"/>
          <w:sz w:val="20"/>
          <w:szCs w:val="20"/>
          <w:lang w:val="es-VE"/>
        </w:rPr>
        <w:t xml:space="preserve"> de traslado</w:t>
      </w:r>
      <w:r w:rsidRPr="009D45B1">
        <w:rPr>
          <w:rFonts w:ascii="Cambria" w:hAnsi="Cambria"/>
          <w:sz w:val="20"/>
          <w:szCs w:val="20"/>
          <w:lang w:val="es-VE"/>
        </w:rPr>
        <w:t xml:space="preserve"> fue reiterada el 2 de marzo de 1999</w:t>
      </w:r>
      <w:r w:rsidR="00C818DC">
        <w:rPr>
          <w:rFonts w:ascii="Cambria" w:hAnsi="Cambria"/>
          <w:sz w:val="20"/>
          <w:szCs w:val="20"/>
          <w:lang w:val="es-VE"/>
        </w:rPr>
        <w:t>, haciendo referencia a tales amenazas</w:t>
      </w:r>
      <w:r>
        <w:rPr>
          <w:rStyle w:val="Refdenotaalpie"/>
          <w:rFonts w:ascii="Cambria" w:hAnsi="Cambria"/>
          <w:sz w:val="20"/>
          <w:szCs w:val="20"/>
          <w:lang w:val="es-VE"/>
        </w:rPr>
        <w:footnoteReference w:id="49"/>
      </w:r>
      <w:r>
        <w:rPr>
          <w:rFonts w:ascii="Cambria" w:hAnsi="Cambria"/>
          <w:sz w:val="20"/>
          <w:szCs w:val="20"/>
          <w:lang w:val="es-VE"/>
        </w:rPr>
        <w:t>.</w:t>
      </w:r>
      <w:r w:rsidR="0087099A">
        <w:rPr>
          <w:rFonts w:ascii="Cambria" w:hAnsi="Cambria"/>
          <w:sz w:val="20"/>
          <w:szCs w:val="20"/>
          <w:lang w:val="es-VE"/>
        </w:rPr>
        <w:t xml:space="preserve"> El mismo día el Juzgado ordenó </w:t>
      </w:r>
      <w:r w:rsidR="00B60B7C">
        <w:rPr>
          <w:rFonts w:ascii="Cambria" w:hAnsi="Cambria"/>
          <w:sz w:val="20"/>
          <w:szCs w:val="20"/>
          <w:lang w:val="es-VE"/>
        </w:rPr>
        <w:t xml:space="preserve">la transferencia </w:t>
      </w:r>
      <w:r w:rsidR="0087099A">
        <w:rPr>
          <w:rFonts w:ascii="Cambria" w:hAnsi="Cambria"/>
          <w:sz w:val="20"/>
          <w:szCs w:val="20"/>
          <w:lang w:val="es-VE"/>
        </w:rPr>
        <w:t xml:space="preserve">al Centro de Arrestos y Detenciones Preventivas El Marite, lo cual se hizo efectivo </w:t>
      </w:r>
      <w:r w:rsidR="00A85163">
        <w:rPr>
          <w:rFonts w:ascii="Cambria" w:hAnsi="Cambria"/>
          <w:sz w:val="20"/>
          <w:szCs w:val="20"/>
          <w:lang w:val="es-VE"/>
        </w:rPr>
        <w:t>inmediatamente</w:t>
      </w:r>
      <w:r w:rsidR="0087099A">
        <w:rPr>
          <w:rStyle w:val="Refdenotaalpie"/>
          <w:rFonts w:ascii="Cambria" w:hAnsi="Cambria"/>
          <w:sz w:val="20"/>
          <w:szCs w:val="20"/>
          <w:lang w:val="es-VE"/>
        </w:rPr>
        <w:footnoteReference w:id="50"/>
      </w:r>
      <w:r w:rsidR="0087099A">
        <w:rPr>
          <w:rFonts w:ascii="Cambria" w:hAnsi="Cambria"/>
          <w:sz w:val="20"/>
          <w:szCs w:val="20"/>
          <w:lang w:val="es-VE"/>
        </w:rPr>
        <w:t>.</w:t>
      </w:r>
    </w:p>
    <w:p w14:paraId="2CA2E4F0" w14:textId="77777777" w:rsidR="0087099A" w:rsidRPr="0087099A" w:rsidRDefault="0087099A" w:rsidP="0087099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003589C2" w14:textId="77777777" w:rsidR="008B524A" w:rsidRDefault="009F3CF0" w:rsidP="008B524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70BB0">
        <w:rPr>
          <w:rFonts w:ascii="Cambria" w:hAnsi="Cambria"/>
          <w:sz w:val="20"/>
          <w:szCs w:val="20"/>
          <w:lang w:val="es-VE"/>
        </w:rPr>
        <w:t xml:space="preserve">El 5 de marzo de 1999 </w:t>
      </w:r>
      <w:r w:rsidR="0087099A" w:rsidRPr="00370BB0">
        <w:rPr>
          <w:rFonts w:ascii="Cambria" w:hAnsi="Cambria"/>
          <w:sz w:val="20"/>
          <w:szCs w:val="20"/>
          <w:lang w:val="es-VE"/>
        </w:rPr>
        <w:t>la representación legal de Olimpiades, Luis Guillermo y Wilmer presentó un recurso de apel</w:t>
      </w:r>
      <w:r w:rsidR="008B524A" w:rsidRPr="00370BB0">
        <w:rPr>
          <w:rFonts w:ascii="Cambria" w:hAnsi="Cambria"/>
          <w:sz w:val="20"/>
          <w:szCs w:val="20"/>
          <w:lang w:val="es-VE"/>
        </w:rPr>
        <w:t xml:space="preserve">ación frente a la resolución del Juzgado de 12 de febrero de 1999. Se indicó que “no existe ningún </w:t>
      </w:r>
      <w:proofErr w:type="gramStart"/>
      <w:r w:rsidR="008B524A" w:rsidRPr="00370BB0">
        <w:rPr>
          <w:rFonts w:ascii="Cambria" w:hAnsi="Cambria"/>
          <w:sz w:val="20"/>
          <w:szCs w:val="20"/>
          <w:lang w:val="es-VE"/>
        </w:rPr>
        <w:t>testigo presencial</w:t>
      </w:r>
      <w:proofErr w:type="gramEnd"/>
      <w:r w:rsidR="008B524A" w:rsidRPr="00370BB0">
        <w:rPr>
          <w:rFonts w:ascii="Cambria" w:hAnsi="Cambria"/>
          <w:sz w:val="20"/>
          <w:szCs w:val="20"/>
          <w:lang w:val="es-VE"/>
        </w:rPr>
        <w:t xml:space="preserve"> que pueda manifestar con certeza que los detenidos actuaron en el hecho”. Agregó que la rueda de reconocimiento es nula, ya que un diario </w:t>
      </w:r>
      <w:r w:rsidR="00C64BA3" w:rsidRPr="00370BB0">
        <w:rPr>
          <w:rFonts w:ascii="Cambria" w:hAnsi="Cambria"/>
          <w:sz w:val="20"/>
          <w:szCs w:val="20"/>
          <w:lang w:val="es-VE"/>
        </w:rPr>
        <w:t>local de 31 de ener</w:t>
      </w:r>
      <w:r w:rsidR="008B524A" w:rsidRPr="00370BB0">
        <w:rPr>
          <w:rFonts w:ascii="Cambria" w:hAnsi="Cambria"/>
          <w:sz w:val="20"/>
          <w:szCs w:val="20"/>
          <w:lang w:val="es-VE"/>
        </w:rPr>
        <w:t>o de 1999 se mostraron las fotos de dichas personas</w:t>
      </w:r>
      <w:r w:rsidR="008B524A">
        <w:rPr>
          <w:rStyle w:val="Refdenotaalpie"/>
          <w:rFonts w:ascii="Cambria" w:hAnsi="Cambria"/>
          <w:sz w:val="20"/>
          <w:szCs w:val="20"/>
          <w:lang w:val="es-VE"/>
        </w:rPr>
        <w:footnoteReference w:id="51"/>
      </w:r>
      <w:r w:rsidR="008B524A" w:rsidRPr="00370BB0">
        <w:rPr>
          <w:rFonts w:ascii="Cambria" w:hAnsi="Cambria"/>
          <w:sz w:val="20"/>
          <w:szCs w:val="20"/>
          <w:lang w:val="es-VE"/>
        </w:rPr>
        <w:t>.</w:t>
      </w:r>
      <w:r w:rsidR="00C64BA3" w:rsidRPr="00370BB0">
        <w:rPr>
          <w:rFonts w:ascii="Cambria" w:hAnsi="Cambria"/>
          <w:sz w:val="20"/>
          <w:szCs w:val="20"/>
          <w:lang w:val="es-VE"/>
        </w:rPr>
        <w:t xml:space="preserve"> </w:t>
      </w:r>
    </w:p>
    <w:p w14:paraId="20F27E4B" w14:textId="77777777" w:rsidR="00370BB0" w:rsidRPr="00370BB0" w:rsidRDefault="00370BB0" w:rsidP="00370BB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11E3BA2C" w14:textId="77777777" w:rsidR="004129A2" w:rsidRDefault="004129A2" w:rsidP="009F3CF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8 de abril de 1999 el juez a cargo del Juzgado Superior C</w:t>
      </w:r>
      <w:r w:rsidR="003D4646" w:rsidRPr="009F3CF0">
        <w:rPr>
          <w:rFonts w:ascii="Cambria" w:hAnsi="Cambria"/>
          <w:sz w:val="20"/>
          <w:szCs w:val="20"/>
          <w:lang w:val="es-VE"/>
        </w:rPr>
        <w:t xml:space="preserve">uarto </w:t>
      </w:r>
      <w:r>
        <w:rPr>
          <w:rFonts w:ascii="Cambria" w:hAnsi="Cambria"/>
          <w:sz w:val="20"/>
          <w:szCs w:val="20"/>
          <w:lang w:val="es-VE"/>
        </w:rPr>
        <w:t>se inhibió de conocer dicho recurso debido a que familiares de Carmen Fernández lo amenazaron</w:t>
      </w:r>
      <w:r w:rsidR="00C06DE6">
        <w:rPr>
          <w:rFonts w:ascii="Cambria" w:hAnsi="Cambria"/>
          <w:sz w:val="20"/>
          <w:szCs w:val="20"/>
          <w:lang w:val="es-VE"/>
        </w:rPr>
        <w:t xml:space="preserve"> mediante </w:t>
      </w:r>
      <w:r>
        <w:rPr>
          <w:rFonts w:ascii="Cambria" w:hAnsi="Cambria"/>
          <w:sz w:val="20"/>
          <w:szCs w:val="20"/>
          <w:lang w:val="es-VE"/>
        </w:rPr>
        <w:t>declaraciones</w:t>
      </w:r>
      <w:r w:rsidR="007B02A8">
        <w:rPr>
          <w:rFonts w:ascii="Cambria" w:hAnsi="Cambria"/>
          <w:sz w:val="20"/>
          <w:szCs w:val="20"/>
          <w:lang w:val="es-VE"/>
        </w:rPr>
        <w:t xml:space="preserve"> que</w:t>
      </w:r>
      <w:r>
        <w:rPr>
          <w:rFonts w:ascii="Cambria" w:hAnsi="Cambria"/>
          <w:sz w:val="20"/>
          <w:szCs w:val="20"/>
          <w:lang w:val="es-VE"/>
        </w:rPr>
        <w:t xml:space="preserve"> “coartan la tranquilidad de espíritu que deb</w:t>
      </w:r>
      <w:r w:rsidR="00C511B2">
        <w:rPr>
          <w:rFonts w:ascii="Cambria" w:hAnsi="Cambria"/>
          <w:sz w:val="20"/>
          <w:szCs w:val="20"/>
          <w:lang w:val="es-VE"/>
        </w:rPr>
        <w:t>e signar toda decisión judicial”</w:t>
      </w:r>
      <w:r w:rsidR="00C511B2">
        <w:rPr>
          <w:rStyle w:val="Refdenotaalpie"/>
          <w:rFonts w:ascii="Cambria" w:hAnsi="Cambria"/>
          <w:sz w:val="20"/>
          <w:szCs w:val="20"/>
          <w:lang w:val="es-VE"/>
        </w:rPr>
        <w:footnoteReference w:id="52"/>
      </w:r>
      <w:r>
        <w:rPr>
          <w:rFonts w:ascii="Cambria" w:hAnsi="Cambria"/>
          <w:sz w:val="20"/>
          <w:szCs w:val="20"/>
          <w:lang w:val="es-VE"/>
        </w:rPr>
        <w:t>.</w:t>
      </w:r>
    </w:p>
    <w:p w14:paraId="6869F150" w14:textId="77777777" w:rsidR="004129A2" w:rsidRDefault="004129A2" w:rsidP="004129A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435B8745" w14:textId="77777777" w:rsidR="005C1D24" w:rsidRPr="00C64BA3" w:rsidRDefault="005D55B0" w:rsidP="00C64BA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21 de abril de 1999</w:t>
      </w:r>
      <w:r w:rsidR="00D960BD">
        <w:rPr>
          <w:rFonts w:ascii="Cambria" w:hAnsi="Cambria"/>
          <w:sz w:val="20"/>
          <w:szCs w:val="20"/>
          <w:lang w:val="es-VE"/>
        </w:rPr>
        <w:t xml:space="preserve"> el </w:t>
      </w:r>
      <w:r w:rsidR="00852057" w:rsidRPr="009F3CF0">
        <w:rPr>
          <w:rFonts w:ascii="Cambria" w:hAnsi="Cambria"/>
          <w:sz w:val="20"/>
          <w:szCs w:val="20"/>
          <w:lang w:val="es-VE"/>
        </w:rPr>
        <w:t xml:space="preserve">Juzgado Superior Noveno en lo Penal </w:t>
      </w:r>
      <w:r w:rsidR="00D960BD">
        <w:rPr>
          <w:rFonts w:ascii="Cambria" w:hAnsi="Cambria"/>
          <w:sz w:val="20"/>
          <w:szCs w:val="20"/>
          <w:lang w:val="es-VE"/>
        </w:rPr>
        <w:t xml:space="preserve">i) </w:t>
      </w:r>
      <w:r w:rsidR="000571E3">
        <w:rPr>
          <w:rFonts w:ascii="Cambria" w:hAnsi="Cambria"/>
          <w:sz w:val="20"/>
          <w:szCs w:val="20"/>
          <w:lang w:val="es-VE"/>
        </w:rPr>
        <w:t>revocó el auto de detención</w:t>
      </w:r>
      <w:r w:rsidR="00D960BD">
        <w:rPr>
          <w:rFonts w:ascii="Cambria" w:hAnsi="Cambria"/>
          <w:sz w:val="20"/>
          <w:szCs w:val="20"/>
          <w:lang w:val="es-VE"/>
        </w:rPr>
        <w:t xml:space="preserve"> de Olimpiades González y Luis Guillermo González; y ii) ratificó la detención preventiva de Wilmer Antonio Barliza. En relación con Olimpiades y Luis Guillermo, el Juzgado indicó que</w:t>
      </w:r>
      <w:r w:rsidR="00F00F14">
        <w:rPr>
          <w:rFonts w:ascii="Cambria" w:hAnsi="Cambria"/>
          <w:sz w:val="20"/>
          <w:szCs w:val="20"/>
          <w:lang w:val="es-VE"/>
        </w:rPr>
        <w:t xml:space="preserve"> las testigos no los señalaron como las personas que portaban armas durante la muerte de Carmen Fernández</w:t>
      </w:r>
      <w:r w:rsidR="00D960BD">
        <w:rPr>
          <w:rFonts w:ascii="Cambria" w:hAnsi="Cambria"/>
          <w:sz w:val="20"/>
          <w:szCs w:val="20"/>
          <w:lang w:val="es-VE"/>
        </w:rPr>
        <w:t>. Respecto de Wilmer, el Juzgado sostuvo que</w:t>
      </w:r>
      <w:r w:rsidR="00F00F14">
        <w:rPr>
          <w:rFonts w:ascii="Cambria" w:hAnsi="Cambria"/>
          <w:sz w:val="20"/>
          <w:szCs w:val="20"/>
          <w:lang w:val="es-VE"/>
        </w:rPr>
        <w:t xml:space="preserve"> existen testigos que lo vieron en el lugar de los hechos y que lo identificaron en el reconocimiento en rueda de personas por lo que</w:t>
      </w:r>
      <w:r w:rsidR="00D960BD">
        <w:rPr>
          <w:rFonts w:ascii="Cambria" w:hAnsi="Cambria"/>
          <w:sz w:val="20"/>
          <w:szCs w:val="20"/>
          <w:lang w:val="es-VE"/>
        </w:rPr>
        <w:t xml:space="preserve"> </w:t>
      </w:r>
      <w:r w:rsidR="00F00F14">
        <w:rPr>
          <w:rFonts w:ascii="Cambria" w:hAnsi="Cambria"/>
          <w:sz w:val="20"/>
          <w:szCs w:val="20"/>
          <w:lang w:val="es-VE"/>
        </w:rPr>
        <w:t>“</w:t>
      </w:r>
      <w:r w:rsidR="00D45A1D" w:rsidRPr="00F00F14">
        <w:rPr>
          <w:rFonts w:ascii="Cambria" w:hAnsi="Cambria"/>
          <w:sz w:val="20"/>
          <w:szCs w:val="20"/>
          <w:lang w:val="es-VE"/>
        </w:rPr>
        <w:t>se encuentran llenos los extremos requeridos en el Artículo 182 del Código de Enjuiciamiento Criminal</w:t>
      </w:r>
      <w:r w:rsidR="00F00F14">
        <w:rPr>
          <w:rFonts w:ascii="Cambria" w:hAnsi="Cambria"/>
          <w:sz w:val="20"/>
          <w:szCs w:val="20"/>
          <w:lang w:val="es-VE"/>
        </w:rPr>
        <w:t>”</w:t>
      </w:r>
      <w:r w:rsidR="00550CF0">
        <w:rPr>
          <w:rStyle w:val="Refdenotaalpie"/>
          <w:rFonts w:ascii="Cambria" w:hAnsi="Cambria"/>
          <w:sz w:val="20"/>
          <w:szCs w:val="20"/>
          <w:lang w:val="es-VE"/>
        </w:rPr>
        <w:footnoteReference w:id="53"/>
      </w:r>
      <w:r w:rsidR="00335F1B" w:rsidRPr="00F00F14">
        <w:rPr>
          <w:rFonts w:ascii="Cambria" w:hAnsi="Cambria"/>
          <w:sz w:val="20"/>
          <w:szCs w:val="20"/>
          <w:lang w:val="es-VE"/>
        </w:rPr>
        <w:t>.</w:t>
      </w:r>
      <w:r w:rsidR="00C64BA3">
        <w:rPr>
          <w:rFonts w:ascii="Cambria" w:hAnsi="Cambria"/>
          <w:sz w:val="20"/>
          <w:szCs w:val="20"/>
          <w:lang w:val="es-VE"/>
        </w:rPr>
        <w:t xml:space="preserve"> El mismo día se emitieron las boletas de excarcelación de </w:t>
      </w:r>
      <w:r w:rsidR="005C1D24" w:rsidRPr="00C64BA3">
        <w:rPr>
          <w:rFonts w:ascii="Cambria" w:hAnsi="Cambria"/>
          <w:sz w:val="20"/>
          <w:szCs w:val="20"/>
          <w:lang w:val="es-VE"/>
        </w:rPr>
        <w:t>Olimpiades González</w:t>
      </w:r>
      <w:r w:rsidR="005C1D24">
        <w:rPr>
          <w:rStyle w:val="Refdenotaalpie"/>
          <w:rFonts w:ascii="Cambria" w:hAnsi="Cambria"/>
          <w:sz w:val="20"/>
          <w:szCs w:val="20"/>
          <w:lang w:val="es-VE"/>
        </w:rPr>
        <w:footnoteReference w:id="54"/>
      </w:r>
      <w:r w:rsidR="005C1D24" w:rsidRPr="00C64BA3">
        <w:rPr>
          <w:rFonts w:ascii="Cambria" w:hAnsi="Cambria"/>
          <w:sz w:val="20"/>
          <w:szCs w:val="20"/>
          <w:lang w:val="es-VE"/>
        </w:rPr>
        <w:t xml:space="preserve"> y Luis Guillermo González</w:t>
      </w:r>
      <w:r w:rsidR="005C1D24">
        <w:rPr>
          <w:rStyle w:val="Refdenotaalpie"/>
          <w:rFonts w:ascii="Cambria" w:hAnsi="Cambria"/>
          <w:sz w:val="20"/>
          <w:szCs w:val="20"/>
          <w:lang w:val="es-VE"/>
        </w:rPr>
        <w:footnoteReference w:id="55"/>
      </w:r>
      <w:r w:rsidR="005C1D24" w:rsidRPr="00C64BA3">
        <w:rPr>
          <w:rFonts w:ascii="Cambria" w:hAnsi="Cambria"/>
          <w:sz w:val="20"/>
          <w:szCs w:val="20"/>
          <w:lang w:val="es-VE"/>
        </w:rPr>
        <w:t>.</w:t>
      </w:r>
    </w:p>
    <w:p w14:paraId="2961298D" w14:textId="77777777" w:rsidR="00723C9A" w:rsidRDefault="00723C9A" w:rsidP="00723C9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0F83C4A4" w14:textId="77777777" w:rsidR="00C64BA3" w:rsidRPr="009D45B1" w:rsidRDefault="001C6C10" w:rsidP="000571E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9D45B1">
        <w:rPr>
          <w:rFonts w:ascii="Cambria" w:hAnsi="Cambria"/>
          <w:sz w:val="20"/>
          <w:szCs w:val="20"/>
          <w:lang w:val="es-VE"/>
        </w:rPr>
        <w:t xml:space="preserve">El 30 de julio de </w:t>
      </w:r>
      <w:r w:rsidR="002930E8" w:rsidRPr="009D45B1">
        <w:rPr>
          <w:rFonts w:ascii="Cambria" w:hAnsi="Cambria"/>
          <w:sz w:val="20"/>
          <w:szCs w:val="20"/>
          <w:lang w:val="es-VE"/>
        </w:rPr>
        <w:t>1999</w:t>
      </w:r>
      <w:r w:rsidR="00DE6C9C" w:rsidRPr="009D45B1">
        <w:rPr>
          <w:rFonts w:ascii="Cambria" w:hAnsi="Cambria"/>
          <w:sz w:val="20"/>
          <w:szCs w:val="20"/>
          <w:lang w:val="es-VE"/>
        </w:rPr>
        <w:t xml:space="preserve"> </w:t>
      </w:r>
      <w:r w:rsidR="00370BB0" w:rsidRPr="009D45B1">
        <w:rPr>
          <w:rFonts w:ascii="Cambria" w:hAnsi="Cambria"/>
          <w:sz w:val="20"/>
          <w:szCs w:val="20"/>
          <w:lang w:val="es-VE"/>
        </w:rPr>
        <w:t xml:space="preserve">la </w:t>
      </w:r>
      <w:r w:rsidR="00C64BA3" w:rsidRPr="009D45B1">
        <w:rPr>
          <w:rFonts w:ascii="Cambria" w:hAnsi="Cambria"/>
          <w:sz w:val="20"/>
          <w:szCs w:val="20"/>
          <w:lang w:val="es-VE"/>
        </w:rPr>
        <w:t xml:space="preserve">Fiscal Cuarta del Ministerio Público </w:t>
      </w:r>
      <w:r w:rsidRPr="009D45B1">
        <w:rPr>
          <w:rFonts w:ascii="Cambria" w:hAnsi="Cambria"/>
          <w:sz w:val="20"/>
          <w:szCs w:val="20"/>
          <w:lang w:val="es-VE"/>
        </w:rPr>
        <w:t>presentó</w:t>
      </w:r>
      <w:r w:rsidR="00C64BA3" w:rsidRPr="009D45B1">
        <w:rPr>
          <w:rFonts w:ascii="Cambria" w:hAnsi="Cambria"/>
          <w:sz w:val="20"/>
          <w:szCs w:val="20"/>
          <w:lang w:val="es-VE"/>
        </w:rPr>
        <w:t xml:space="preserve"> una</w:t>
      </w:r>
      <w:r w:rsidR="00CB2FAC" w:rsidRPr="009D45B1">
        <w:rPr>
          <w:rFonts w:ascii="Cambria" w:hAnsi="Cambria"/>
          <w:sz w:val="20"/>
          <w:szCs w:val="20"/>
          <w:lang w:val="es-VE"/>
        </w:rPr>
        <w:t xml:space="preserve"> </w:t>
      </w:r>
      <w:r w:rsidRPr="009D45B1">
        <w:rPr>
          <w:rFonts w:ascii="Cambria" w:hAnsi="Cambria"/>
          <w:sz w:val="20"/>
          <w:szCs w:val="20"/>
          <w:lang w:val="es-VE"/>
        </w:rPr>
        <w:t>acusación</w:t>
      </w:r>
      <w:r w:rsidR="00CB2FAC" w:rsidRPr="009D45B1">
        <w:rPr>
          <w:rFonts w:ascii="Cambria" w:hAnsi="Cambria"/>
          <w:sz w:val="20"/>
          <w:szCs w:val="20"/>
          <w:lang w:val="es-VE"/>
        </w:rPr>
        <w:t xml:space="preserve"> formal</w:t>
      </w:r>
      <w:r w:rsidR="00B45A99" w:rsidRPr="009D45B1">
        <w:rPr>
          <w:rFonts w:ascii="Cambria" w:hAnsi="Cambria"/>
          <w:sz w:val="20"/>
          <w:szCs w:val="20"/>
          <w:lang w:val="es-VE"/>
        </w:rPr>
        <w:t xml:space="preserve"> </w:t>
      </w:r>
      <w:r w:rsidR="00C64BA3" w:rsidRPr="009D45B1">
        <w:rPr>
          <w:rFonts w:ascii="Cambria" w:hAnsi="Cambria"/>
          <w:sz w:val="20"/>
          <w:szCs w:val="20"/>
          <w:lang w:val="es-VE"/>
        </w:rPr>
        <w:t xml:space="preserve">en contra </w:t>
      </w:r>
      <w:r w:rsidR="000571E3" w:rsidRPr="009D45B1">
        <w:rPr>
          <w:rFonts w:ascii="Cambria" w:hAnsi="Cambria"/>
          <w:sz w:val="20"/>
          <w:szCs w:val="20"/>
          <w:lang w:val="es-VE"/>
        </w:rPr>
        <w:t xml:space="preserve">de Wilmer Antonio Barliza González, Fernando González, María Angélica González y Belkis Mirelis González por los </w:t>
      </w:r>
      <w:r w:rsidR="00CE57BD">
        <w:rPr>
          <w:rFonts w:ascii="Cambria" w:hAnsi="Cambria"/>
          <w:sz w:val="20"/>
          <w:szCs w:val="20"/>
          <w:lang w:val="es-VE"/>
        </w:rPr>
        <w:t>delitos de homicidio y porte ilí</w:t>
      </w:r>
      <w:r w:rsidR="000571E3" w:rsidRPr="009D45B1">
        <w:rPr>
          <w:rFonts w:ascii="Cambria" w:hAnsi="Cambria"/>
          <w:sz w:val="20"/>
          <w:szCs w:val="20"/>
          <w:lang w:val="es-VE"/>
        </w:rPr>
        <w:t>cito de armas, conforme a los artículos 407 y 278 del Código Penal</w:t>
      </w:r>
      <w:r w:rsidR="000571E3" w:rsidRPr="009D45B1">
        <w:rPr>
          <w:rStyle w:val="Refdenotaalpie"/>
          <w:rFonts w:ascii="Cambria" w:hAnsi="Cambria"/>
          <w:sz w:val="20"/>
          <w:szCs w:val="20"/>
          <w:lang w:val="es-VE"/>
        </w:rPr>
        <w:footnoteReference w:id="56"/>
      </w:r>
      <w:r w:rsidR="000571E3" w:rsidRPr="009D45B1">
        <w:rPr>
          <w:rFonts w:ascii="Cambria" w:hAnsi="Cambria"/>
          <w:sz w:val="20"/>
          <w:szCs w:val="20"/>
          <w:lang w:val="es-VE"/>
        </w:rPr>
        <w:t>.</w:t>
      </w:r>
    </w:p>
    <w:p w14:paraId="4D1B86D1" w14:textId="77777777" w:rsidR="00961D88" w:rsidRDefault="00961D88" w:rsidP="00961D8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340FE574" w14:textId="77777777" w:rsidR="00D65D22" w:rsidRDefault="00C75101" w:rsidP="008C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2 de agosto de 1999 </w:t>
      </w:r>
      <w:r w:rsidR="000571E3">
        <w:rPr>
          <w:rFonts w:ascii="Cambria" w:hAnsi="Cambria"/>
          <w:sz w:val="20"/>
          <w:szCs w:val="20"/>
          <w:lang w:val="es-VE"/>
        </w:rPr>
        <w:t>la representación legal de las cuatro presuntas víctimas detenidas presentó</w:t>
      </w:r>
      <w:r>
        <w:rPr>
          <w:rFonts w:ascii="Cambria" w:hAnsi="Cambria"/>
          <w:sz w:val="20"/>
          <w:szCs w:val="20"/>
          <w:lang w:val="es-VE"/>
        </w:rPr>
        <w:t xml:space="preserve"> una solicitud de medida cautelar sustitutiva</w:t>
      </w:r>
      <w:r w:rsidR="004C3684">
        <w:rPr>
          <w:rFonts w:ascii="Cambria" w:hAnsi="Cambria"/>
          <w:sz w:val="20"/>
          <w:szCs w:val="20"/>
          <w:lang w:val="es-VE"/>
        </w:rPr>
        <w:t xml:space="preserve"> alegando la ausencia de </w:t>
      </w:r>
      <w:r w:rsidR="00E809B3">
        <w:rPr>
          <w:rFonts w:ascii="Cambria" w:hAnsi="Cambria"/>
          <w:sz w:val="20"/>
          <w:szCs w:val="20"/>
          <w:lang w:val="es-VE"/>
        </w:rPr>
        <w:t>peligro de fug</w:t>
      </w:r>
      <w:r w:rsidR="00370BB0">
        <w:rPr>
          <w:rFonts w:ascii="Cambria" w:hAnsi="Cambria"/>
          <w:sz w:val="20"/>
          <w:szCs w:val="20"/>
          <w:lang w:val="es-VE"/>
        </w:rPr>
        <w:t>a ni obstaculización</w:t>
      </w:r>
      <w:r w:rsidR="000571E3">
        <w:rPr>
          <w:rFonts w:ascii="Cambria" w:hAnsi="Cambria"/>
          <w:sz w:val="20"/>
          <w:szCs w:val="20"/>
          <w:lang w:val="es-VE"/>
        </w:rPr>
        <w:t xml:space="preserve"> conforme a los artículos 260 y 261 del </w:t>
      </w:r>
      <w:r w:rsidR="00563E67">
        <w:rPr>
          <w:rFonts w:ascii="Cambria" w:hAnsi="Cambria"/>
          <w:sz w:val="20"/>
          <w:szCs w:val="20"/>
          <w:lang w:val="es-VE"/>
        </w:rPr>
        <w:t xml:space="preserve">nuevo </w:t>
      </w:r>
      <w:r w:rsidR="000571E3">
        <w:rPr>
          <w:rFonts w:ascii="Cambria" w:hAnsi="Cambria"/>
          <w:sz w:val="20"/>
          <w:szCs w:val="20"/>
          <w:lang w:val="es-VE"/>
        </w:rPr>
        <w:t>Código Orgánico</w:t>
      </w:r>
      <w:r w:rsidR="00563E67">
        <w:rPr>
          <w:rFonts w:ascii="Cambria" w:hAnsi="Cambria"/>
          <w:sz w:val="20"/>
          <w:szCs w:val="20"/>
          <w:lang w:val="es-VE"/>
        </w:rPr>
        <w:t xml:space="preserve"> Procesal Penal</w:t>
      </w:r>
      <w:r w:rsidR="00DE3234">
        <w:rPr>
          <w:rStyle w:val="Refdenotaalpie"/>
          <w:rFonts w:ascii="Cambria" w:hAnsi="Cambria"/>
          <w:sz w:val="20"/>
          <w:szCs w:val="20"/>
          <w:lang w:val="es-VE"/>
        </w:rPr>
        <w:footnoteReference w:id="57"/>
      </w:r>
      <w:r w:rsidR="00DE3234">
        <w:rPr>
          <w:rFonts w:ascii="Cambria" w:hAnsi="Cambria"/>
          <w:sz w:val="20"/>
          <w:szCs w:val="20"/>
          <w:lang w:val="es-VE"/>
        </w:rPr>
        <w:t xml:space="preserve">. </w:t>
      </w:r>
      <w:r w:rsidR="000571E3" w:rsidRPr="008C0C2A">
        <w:rPr>
          <w:rFonts w:ascii="Cambria" w:hAnsi="Cambria"/>
          <w:sz w:val="20"/>
          <w:szCs w:val="20"/>
          <w:lang w:val="es-VE"/>
        </w:rPr>
        <w:t xml:space="preserve">El </w:t>
      </w:r>
      <w:r w:rsidR="00006879" w:rsidRPr="008C0C2A">
        <w:rPr>
          <w:rFonts w:ascii="Cambria" w:hAnsi="Cambria"/>
          <w:sz w:val="20"/>
          <w:szCs w:val="20"/>
          <w:lang w:val="es-VE"/>
        </w:rPr>
        <w:t xml:space="preserve">16 de agosto de 1999 </w:t>
      </w:r>
      <w:r w:rsidR="00307636" w:rsidRPr="008C0C2A">
        <w:rPr>
          <w:rFonts w:ascii="Cambria" w:hAnsi="Cambria"/>
          <w:sz w:val="20"/>
          <w:szCs w:val="20"/>
          <w:lang w:val="es-VE"/>
        </w:rPr>
        <w:t xml:space="preserve">el </w:t>
      </w:r>
      <w:r w:rsidR="00DE3234" w:rsidRPr="008C0C2A">
        <w:rPr>
          <w:rFonts w:ascii="Cambria" w:hAnsi="Cambria"/>
          <w:sz w:val="20"/>
          <w:szCs w:val="20"/>
          <w:lang w:val="es-VE"/>
        </w:rPr>
        <w:t xml:space="preserve">Juzgado </w:t>
      </w:r>
      <w:r w:rsidR="00307636" w:rsidRPr="008C0C2A">
        <w:rPr>
          <w:rFonts w:ascii="Cambria" w:hAnsi="Cambria"/>
          <w:sz w:val="20"/>
          <w:szCs w:val="20"/>
          <w:lang w:val="es-VE"/>
        </w:rPr>
        <w:t>Noveno</w:t>
      </w:r>
      <w:r w:rsidR="00DE3234" w:rsidRPr="008C0C2A">
        <w:rPr>
          <w:rFonts w:ascii="Cambria" w:hAnsi="Cambria"/>
          <w:sz w:val="20"/>
          <w:szCs w:val="20"/>
          <w:lang w:val="es-VE"/>
        </w:rPr>
        <w:t xml:space="preserve"> de Control emitió una resolución </w:t>
      </w:r>
      <w:r w:rsidR="00335CA2">
        <w:rPr>
          <w:rFonts w:ascii="Cambria" w:hAnsi="Cambria"/>
          <w:sz w:val="20"/>
          <w:szCs w:val="20"/>
          <w:lang w:val="es-VE"/>
        </w:rPr>
        <w:t xml:space="preserve">admitiendo </w:t>
      </w:r>
      <w:r w:rsidR="00DE3234" w:rsidRPr="008C0C2A">
        <w:rPr>
          <w:rFonts w:ascii="Cambria" w:hAnsi="Cambria"/>
          <w:sz w:val="20"/>
          <w:szCs w:val="20"/>
          <w:lang w:val="es-VE"/>
        </w:rPr>
        <w:t xml:space="preserve">la acusación presentada por la fiscal del Ministerio Público y </w:t>
      </w:r>
      <w:r w:rsidR="00307636" w:rsidRPr="008C0C2A">
        <w:rPr>
          <w:rFonts w:ascii="Cambria" w:hAnsi="Cambria"/>
          <w:sz w:val="20"/>
          <w:szCs w:val="20"/>
          <w:lang w:val="es-VE"/>
        </w:rPr>
        <w:t>resolvi</w:t>
      </w:r>
      <w:r w:rsidR="002D7579">
        <w:rPr>
          <w:rFonts w:ascii="Cambria" w:hAnsi="Cambria"/>
          <w:sz w:val="20"/>
          <w:szCs w:val="20"/>
          <w:lang w:val="es-VE"/>
        </w:rPr>
        <w:t>endo</w:t>
      </w:r>
      <w:r w:rsidR="00307636" w:rsidRPr="008C0C2A">
        <w:rPr>
          <w:rFonts w:ascii="Cambria" w:hAnsi="Cambria"/>
          <w:sz w:val="20"/>
          <w:szCs w:val="20"/>
          <w:lang w:val="es-VE"/>
        </w:rPr>
        <w:t xml:space="preserve"> </w:t>
      </w:r>
      <w:r w:rsidR="00DE3234" w:rsidRPr="008C0C2A">
        <w:rPr>
          <w:rFonts w:ascii="Cambria" w:hAnsi="Cambria"/>
          <w:sz w:val="20"/>
          <w:szCs w:val="20"/>
          <w:lang w:val="es-VE"/>
        </w:rPr>
        <w:t>mantener la detención preventiva de las cuatro presuntas víctimas</w:t>
      </w:r>
      <w:r w:rsidR="00D51607">
        <w:rPr>
          <w:rFonts w:ascii="Cambria" w:hAnsi="Cambria"/>
          <w:sz w:val="20"/>
          <w:szCs w:val="20"/>
          <w:lang w:val="es-VE"/>
        </w:rPr>
        <w:t xml:space="preserve"> a la luz del </w:t>
      </w:r>
      <w:r w:rsidR="00DE3234" w:rsidRPr="008C0C2A">
        <w:rPr>
          <w:rFonts w:ascii="Cambria" w:hAnsi="Cambria"/>
          <w:sz w:val="20"/>
          <w:szCs w:val="20"/>
          <w:lang w:val="es-VE"/>
        </w:rPr>
        <w:t>artículo 259</w:t>
      </w:r>
      <w:r w:rsidR="00D52400">
        <w:rPr>
          <w:rStyle w:val="Refdenotaalpie"/>
          <w:rFonts w:ascii="Cambria" w:hAnsi="Cambria"/>
          <w:sz w:val="20"/>
          <w:szCs w:val="20"/>
          <w:lang w:val="es-VE"/>
        </w:rPr>
        <w:footnoteReference w:id="58"/>
      </w:r>
      <w:r w:rsidR="00DE3234" w:rsidRPr="008C0C2A">
        <w:rPr>
          <w:rFonts w:ascii="Cambria" w:hAnsi="Cambria"/>
          <w:sz w:val="20"/>
          <w:szCs w:val="20"/>
          <w:lang w:val="es-VE"/>
        </w:rPr>
        <w:t xml:space="preserve"> del Código Orgánico de Procesamiento Penal”</w:t>
      </w:r>
      <w:r w:rsidR="00DE3234">
        <w:rPr>
          <w:rStyle w:val="Refdenotaalpie"/>
          <w:rFonts w:ascii="Cambria" w:hAnsi="Cambria"/>
          <w:sz w:val="20"/>
          <w:szCs w:val="20"/>
          <w:lang w:val="es-VE"/>
        </w:rPr>
        <w:footnoteReference w:id="59"/>
      </w:r>
      <w:r w:rsidR="00DE3234" w:rsidRPr="008C0C2A">
        <w:rPr>
          <w:rFonts w:ascii="Cambria" w:hAnsi="Cambria"/>
          <w:sz w:val="20"/>
          <w:szCs w:val="20"/>
          <w:lang w:val="es-VE"/>
        </w:rPr>
        <w:t>.</w:t>
      </w:r>
      <w:r w:rsidR="009D45B1">
        <w:rPr>
          <w:rFonts w:ascii="Cambria" w:hAnsi="Cambria"/>
          <w:sz w:val="20"/>
          <w:szCs w:val="20"/>
          <w:lang w:val="es-VE"/>
        </w:rPr>
        <w:t xml:space="preserve"> </w:t>
      </w:r>
    </w:p>
    <w:p w14:paraId="60E271B3" w14:textId="77777777" w:rsidR="00D65D22" w:rsidRPr="00D1435A" w:rsidRDefault="00D65D22" w:rsidP="00D65D2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6A30C2B5" w14:textId="77777777" w:rsidR="00E809B3" w:rsidRPr="008C0C2A" w:rsidRDefault="00FC28EE" w:rsidP="008C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1435A">
        <w:rPr>
          <w:rFonts w:ascii="Cambria" w:hAnsi="Cambria"/>
          <w:sz w:val="20"/>
          <w:szCs w:val="20"/>
          <w:lang w:val="es-VE"/>
        </w:rPr>
        <w:t xml:space="preserve">El </w:t>
      </w:r>
      <w:r w:rsidR="003A479B" w:rsidRPr="00D1435A">
        <w:rPr>
          <w:rFonts w:ascii="Cambria" w:hAnsi="Cambria"/>
          <w:sz w:val="20"/>
          <w:szCs w:val="20"/>
          <w:lang w:val="es-VE"/>
        </w:rPr>
        <w:t>29 de septiembre de</w:t>
      </w:r>
      <w:r w:rsidRPr="00D1435A">
        <w:rPr>
          <w:rFonts w:ascii="Cambria" w:hAnsi="Cambria"/>
          <w:sz w:val="20"/>
          <w:szCs w:val="20"/>
          <w:lang w:val="es-VE"/>
        </w:rPr>
        <w:t xml:space="preserve"> 1999</w:t>
      </w:r>
      <w:r w:rsidR="003A479B" w:rsidRPr="00D1435A">
        <w:rPr>
          <w:rFonts w:ascii="Cambria" w:hAnsi="Cambria"/>
          <w:sz w:val="20"/>
          <w:szCs w:val="20"/>
          <w:lang w:val="es-VE"/>
        </w:rPr>
        <w:t xml:space="preserve"> </w:t>
      </w:r>
      <w:r w:rsidR="00E42D62" w:rsidRPr="00D1435A">
        <w:rPr>
          <w:rFonts w:ascii="Cambria" w:hAnsi="Cambria"/>
          <w:sz w:val="20"/>
          <w:szCs w:val="20"/>
          <w:lang w:val="es-MX"/>
        </w:rPr>
        <w:t xml:space="preserve">el Tribunal Mixto de Juicio de Primera Instancia en lo Penal dictó </w:t>
      </w:r>
      <w:r w:rsidR="00E809B3">
        <w:rPr>
          <w:rFonts w:ascii="Cambria" w:hAnsi="Cambria"/>
          <w:sz w:val="20"/>
          <w:szCs w:val="20"/>
          <w:lang w:val="es-VE"/>
        </w:rPr>
        <w:t>sentencia a</w:t>
      </w:r>
      <w:r w:rsidR="00EB7EAC" w:rsidRPr="00D1435A">
        <w:rPr>
          <w:rFonts w:ascii="Cambria" w:hAnsi="Cambria"/>
          <w:sz w:val="20"/>
          <w:szCs w:val="20"/>
          <w:lang w:val="es-VE"/>
        </w:rPr>
        <w:t xml:space="preserve">bsolutoria </w:t>
      </w:r>
      <w:r w:rsidR="00E809B3">
        <w:rPr>
          <w:rFonts w:ascii="Cambria" w:hAnsi="Cambria"/>
          <w:sz w:val="20"/>
          <w:szCs w:val="20"/>
          <w:lang w:val="es-VE"/>
        </w:rPr>
        <w:t>a favor de</w:t>
      </w:r>
      <w:r w:rsidR="00EB7EAC" w:rsidRPr="00D1435A">
        <w:rPr>
          <w:rFonts w:ascii="Cambria" w:hAnsi="Cambria"/>
          <w:sz w:val="20"/>
          <w:szCs w:val="20"/>
          <w:lang w:val="es-VE"/>
        </w:rPr>
        <w:t xml:space="preserve"> Fernando González, María Angélica González, Belkis Mireles González y Wilmer Antonio Baliza González</w:t>
      </w:r>
      <w:r w:rsidR="00E809B3">
        <w:rPr>
          <w:rFonts w:ascii="Cambria" w:hAnsi="Cambria"/>
          <w:sz w:val="20"/>
          <w:szCs w:val="20"/>
          <w:lang w:val="es-VE"/>
        </w:rPr>
        <w:t>, y ordenó su inmediata liberación</w:t>
      </w:r>
      <w:r w:rsidR="00EB7EAC" w:rsidRPr="00D1435A">
        <w:rPr>
          <w:rFonts w:ascii="Cambria" w:hAnsi="Cambria"/>
          <w:sz w:val="20"/>
          <w:szCs w:val="20"/>
          <w:lang w:val="es-VE"/>
        </w:rPr>
        <w:t>.</w:t>
      </w:r>
      <w:r w:rsidRPr="00D1435A">
        <w:rPr>
          <w:rFonts w:ascii="Cambria" w:hAnsi="Cambria"/>
          <w:sz w:val="20"/>
          <w:szCs w:val="20"/>
          <w:lang w:val="es-VE"/>
        </w:rPr>
        <w:t xml:space="preserve"> </w:t>
      </w:r>
      <w:r w:rsidR="009D4126">
        <w:rPr>
          <w:rFonts w:ascii="Cambria" w:hAnsi="Cambria"/>
          <w:sz w:val="20"/>
          <w:szCs w:val="20"/>
          <w:lang w:val="es-VE"/>
        </w:rPr>
        <w:t>En relación con las declaraciones de testigos que acusaron a las presuntas víctimas, el Tribunal indicó que “de los mismos surgen contradicciones que inciden sobre la certeza y veracidad de tales dichos”, tales como i) la cantidad de personas que participaron del hecho; ii) si las personas iban en un auto o estaban caminando</w:t>
      </w:r>
      <w:r w:rsidR="00483238">
        <w:rPr>
          <w:rFonts w:ascii="Cambria" w:hAnsi="Cambria"/>
          <w:sz w:val="20"/>
          <w:szCs w:val="20"/>
          <w:lang w:val="es-VE"/>
        </w:rPr>
        <w:t xml:space="preserve">; iii) sobre lo que habrían dicho estas personas; y iv) la cantidad de disparos y el impacto de </w:t>
      </w:r>
      <w:proofErr w:type="gramStart"/>
      <w:r w:rsidR="00483238">
        <w:rPr>
          <w:rFonts w:ascii="Cambria" w:hAnsi="Cambria"/>
          <w:sz w:val="20"/>
          <w:szCs w:val="20"/>
          <w:lang w:val="es-VE"/>
        </w:rPr>
        <w:t>los mismos</w:t>
      </w:r>
      <w:proofErr w:type="gramEnd"/>
      <w:r w:rsidR="00483238">
        <w:rPr>
          <w:rFonts w:ascii="Cambria" w:hAnsi="Cambria"/>
          <w:sz w:val="20"/>
          <w:szCs w:val="20"/>
          <w:lang w:val="es-VE"/>
        </w:rPr>
        <w:t xml:space="preserve">. </w:t>
      </w:r>
      <w:r w:rsidR="00483238" w:rsidRPr="008C0C2A">
        <w:rPr>
          <w:rFonts w:ascii="Cambria" w:hAnsi="Cambria"/>
          <w:sz w:val="20"/>
          <w:szCs w:val="20"/>
          <w:lang w:val="es-VE"/>
        </w:rPr>
        <w:t xml:space="preserve">En relación con Fernando González, el Tribunal consideró que resulta ilógico “pensar que </w:t>
      </w:r>
      <w:proofErr w:type="gramStart"/>
      <w:r w:rsidR="00483238" w:rsidRPr="008C0C2A">
        <w:rPr>
          <w:rFonts w:ascii="Cambria" w:hAnsi="Cambria"/>
          <w:sz w:val="20"/>
          <w:szCs w:val="20"/>
          <w:lang w:val="es-VE"/>
        </w:rPr>
        <w:t>una personas</w:t>
      </w:r>
      <w:proofErr w:type="gramEnd"/>
      <w:r w:rsidR="00483238" w:rsidRPr="008C0C2A">
        <w:rPr>
          <w:rFonts w:ascii="Cambria" w:hAnsi="Cambria"/>
          <w:sz w:val="20"/>
          <w:szCs w:val="20"/>
          <w:lang w:val="es-VE"/>
        </w:rPr>
        <w:t xml:space="preserve"> involucrada en un hecho punible se va a presentar ante el organismo judicial con las evidencias materiales q</w:t>
      </w:r>
      <w:r w:rsidR="008C0C2A">
        <w:rPr>
          <w:rFonts w:ascii="Cambria" w:hAnsi="Cambria"/>
          <w:sz w:val="20"/>
          <w:szCs w:val="20"/>
          <w:lang w:val="es-VE"/>
        </w:rPr>
        <w:t xml:space="preserve">ue lo </w:t>
      </w:r>
      <w:r w:rsidR="00A85163">
        <w:rPr>
          <w:rFonts w:ascii="Cambria" w:hAnsi="Cambria"/>
          <w:sz w:val="20"/>
          <w:szCs w:val="20"/>
          <w:lang w:val="es-VE"/>
        </w:rPr>
        <w:t>involucran</w:t>
      </w:r>
      <w:r w:rsidR="008C0C2A">
        <w:rPr>
          <w:rFonts w:ascii="Cambria" w:hAnsi="Cambria"/>
          <w:sz w:val="20"/>
          <w:szCs w:val="20"/>
          <w:lang w:val="es-VE"/>
        </w:rPr>
        <w:t xml:space="preserve"> y comprometen</w:t>
      </w:r>
      <w:r w:rsidR="00483238" w:rsidRPr="008C0C2A">
        <w:rPr>
          <w:rFonts w:ascii="Cambria" w:hAnsi="Cambria"/>
          <w:sz w:val="20"/>
          <w:szCs w:val="20"/>
          <w:lang w:val="es-VE"/>
        </w:rPr>
        <w:t>”</w:t>
      </w:r>
      <w:r w:rsidR="008C0C2A" w:rsidRPr="00D1435A">
        <w:rPr>
          <w:rStyle w:val="Refdenotaalpie"/>
          <w:rFonts w:ascii="Cambria" w:hAnsi="Cambria"/>
          <w:sz w:val="20"/>
          <w:szCs w:val="20"/>
          <w:lang w:val="es-VE"/>
        </w:rPr>
        <w:footnoteReference w:id="60"/>
      </w:r>
      <w:r w:rsidR="008C0C2A">
        <w:rPr>
          <w:rFonts w:ascii="Cambria" w:hAnsi="Cambria"/>
          <w:sz w:val="20"/>
          <w:szCs w:val="20"/>
          <w:lang w:val="es-VE"/>
        </w:rPr>
        <w:t xml:space="preserve">. </w:t>
      </w:r>
      <w:r w:rsidR="00A9161B" w:rsidRPr="008C0C2A">
        <w:rPr>
          <w:rFonts w:ascii="Cambria" w:hAnsi="Cambria"/>
          <w:sz w:val="20"/>
          <w:szCs w:val="20"/>
          <w:lang w:val="es-VE"/>
        </w:rPr>
        <w:t xml:space="preserve">El </w:t>
      </w:r>
      <w:r w:rsidR="00E809B3" w:rsidRPr="008C0C2A">
        <w:rPr>
          <w:rFonts w:ascii="Cambria" w:hAnsi="Cambria"/>
          <w:sz w:val="20"/>
          <w:szCs w:val="20"/>
          <w:lang w:val="es-VE"/>
        </w:rPr>
        <w:t>mismo día el</w:t>
      </w:r>
      <w:r w:rsidR="00A9161B" w:rsidRPr="008C0C2A">
        <w:rPr>
          <w:rFonts w:ascii="Cambria" w:hAnsi="Cambria"/>
          <w:sz w:val="20"/>
          <w:szCs w:val="20"/>
          <w:lang w:val="es-VE"/>
        </w:rPr>
        <w:t xml:space="preserve"> Juzgado Segundo emitió las boletas de excarcelación</w:t>
      </w:r>
      <w:r w:rsidR="001E6CA5" w:rsidRPr="00D1435A">
        <w:rPr>
          <w:rStyle w:val="Refdenotaalpie"/>
          <w:rFonts w:ascii="Cambria" w:hAnsi="Cambria"/>
          <w:sz w:val="20"/>
          <w:szCs w:val="20"/>
          <w:lang w:val="es-VE"/>
        </w:rPr>
        <w:footnoteReference w:id="61"/>
      </w:r>
      <w:r w:rsidR="00BF5D02" w:rsidRPr="008C0C2A">
        <w:rPr>
          <w:rFonts w:ascii="Cambria" w:hAnsi="Cambria"/>
          <w:sz w:val="20"/>
          <w:szCs w:val="20"/>
          <w:lang w:val="es-VE"/>
        </w:rPr>
        <w:t xml:space="preserve">. </w:t>
      </w:r>
    </w:p>
    <w:p w14:paraId="6BAA7C0F" w14:textId="77777777" w:rsidR="00E809B3" w:rsidRDefault="00E809B3" w:rsidP="00E809B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06663148" w14:textId="77777777" w:rsidR="00FC28EE" w:rsidRPr="00E809B3" w:rsidRDefault="00E809B3" w:rsidP="00E809B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E809B3">
        <w:rPr>
          <w:rFonts w:ascii="Cambria" w:hAnsi="Cambria"/>
          <w:sz w:val="20"/>
          <w:szCs w:val="20"/>
          <w:lang w:val="es-VE"/>
        </w:rPr>
        <w:t>El 20 de octubre de 1999</w:t>
      </w:r>
      <w:r w:rsidR="005061F4" w:rsidRPr="00E809B3">
        <w:rPr>
          <w:rFonts w:ascii="Cambria" w:hAnsi="Cambria"/>
          <w:sz w:val="20"/>
          <w:szCs w:val="20"/>
          <w:lang w:val="es-VE"/>
        </w:rPr>
        <w:t xml:space="preserve"> </w:t>
      </w:r>
      <w:r w:rsidRPr="00E809B3">
        <w:rPr>
          <w:rFonts w:ascii="Cambria" w:hAnsi="Cambria"/>
          <w:sz w:val="20"/>
          <w:szCs w:val="20"/>
          <w:lang w:val="es-VE"/>
        </w:rPr>
        <w:t xml:space="preserve">el </w:t>
      </w:r>
      <w:r w:rsidRPr="00E809B3">
        <w:rPr>
          <w:rFonts w:ascii="Cambria" w:hAnsi="Cambria"/>
          <w:sz w:val="20"/>
          <w:szCs w:val="20"/>
          <w:lang w:val="es-MX"/>
        </w:rPr>
        <w:t xml:space="preserve">Juzgado Segundo de Juicio </w:t>
      </w:r>
      <w:r>
        <w:rPr>
          <w:rFonts w:ascii="Cambria" w:hAnsi="Cambria"/>
          <w:sz w:val="20"/>
          <w:szCs w:val="20"/>
          <w:lang w:val="es-MX"/>
        </w:rPr>
        <w:t xml:space="preserve">del </w:t>
      </w:r>
      <w:r w:rsidRPr="00E809B3">
        <w:rPr>
          <w:rFonts w:ascii="Cambria" w:hAnsi="Cambria"/>
          <w:sz w:val="20"/>
          <w:szCs w:val="20"/>
          <w:lang w:val="es-MX"/>
        </w:rPr>
        <w:t>Circuito Judicial Penal</w:t>
      </w:r>
      <w:r>
        <w:rPr>
          <w:rFonts w:ascii="Cambria" w:hAnsi="Cambria"/>
          <w:sz w:val="20"/>
          <w:szCs w:val="20"/>
          <w:lang w:val="es-MX"/>
        </w:rPr>
        <w:t xml:space="preserve"> emitió una resolución </w:t>
      </w:r>
      <w:r w:rsidR="009959EE">
        <w:rPr>
          <w:rFonts w:ascii="Cambria" w:hAnsi="Cambria"/>
          <w:sz w:val="20"/>
          <w:szCs w:val="20"/>
          <w:lang w:val="es-MX"/>
        </w:rPr>
        <w:t xml:space="preserve">decretando </w:t>
      </w:r>
      <w:r>
        <w:rPr>
          <w:rFonts w:ascii="Cambria" w:hAnsi="Cambria"/>
          <w:sz w:val="20"/>
          <w:szCs w:val="20"/>
          <w:lang w:val="es-MX"/>
        </w:rPr>
        <w:t xml:space="preserve">en firme la sentencia absolutoria al haberse vencido el </w:t>
      </w:r>
      <w:r>
        <w:rPr>
          <w:rFonts w:ascii="Cambria" w:hAnsi="Cambria"/>
          <w:sz w:val="20"/>
          <w:szCs w:val="20"/>
          <w:lang w:val="es-VE"/>
        </w:rPr>
        <w:t>plazo de presentación de apelación</w:t>
      </w:r>
      <w:r>
        <w:rPr>
          <w:rStyle w:val="Refdenotaalpie"/>
          <w:rFonts w:ascii="Cambria" w:hAnsi="Cambria"/>
          <w:sz w:val="20"/>
          <w:szCs w:val="20"/>
          <w:lang w:val="es-VE"/>
        </w:rPr>
        <w:footnoteReference w:id="62"/>
      </w:r>
      <w:r>
        <w:rPr>
          <w:rFonts w:ascii="Cambria" w:hAnsi="Cambria"/>
          <w:sz w:val="20"/>
          <w:szCs w:val="20"/>
          <w:lang w:val="es-VE"/>
        </w:rPr>
        <w:t>.</w:t>
      </w:r>
    </w:p>
    <w:p w14:paraId="197D44F1" w14:textId="77777777" w:rsidR="0023592D" w:rsidRDefault="0023592D" w:rsidP="0023592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75CA8459" w14:textId="77777777" w:rsidR="00E809B3" w:rsidRPr="00E809B3" w:rsidRDefault="00655F68" w:rsidP="0023592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b/>
          <w:sz w:val="20"/>
          <w:szCs w:val="20"/>
          <w:lang w:val="es-VE"/>
        </w:rPr>
      </w:pPr>
      <w:r>
        <w:rPr>
          <w:rFonts w:ascii="Cambria" w:hAnsi="Cambria"/>
          <w:b/>
          <w:sz w:val="20"/>
          <w:szCs w:val="20"/>
          <w:lang w:val="es-VE"/>
        </w:rPr>
        <w:t xml:space="preserve">C. </w:t>
      </w:r>
      <w:r>
        <w:rPr>
          <w:rFonts w:ascii="Cambria" w:hAnsi="Cambria"/>
          <w:b/>
          <w:sz w:val="20"/>
          <w:szCs w:val="20"/>
          <w:lang w:val="es-VE"/>
        </w:rPr>
        <w:tab/>
      </w:r>
      <w:r w:rsidR="00E809B3" w:rsidRPr="00E809B3">
        <w:rPr>
          <w:rFonts w:ascii="Cambria" w:hAnsi="Cambria"/>
          <w:b/>
          <w:sz w:val="20"/>
          <w:szCs w:val="20"/>
          <w:lang w:val="es-VE"/>
        </w:rPr>
        <w:t>Sobre la solicitud de indemnización</w:t>
      </w:r>
    </w:p>
    <w:p w14:paraId="75445060" w14:textId="77777777" w:rsidR="00F541FD" w:rsidRDefault="00F541FD" w:rsidP="00E809B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58CC716D" w14:textId="77777777" w:rsidR="008C0C2A" w:rsidRDefault="008C0C2A" w:rsidP="00E809B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w:t>
      </w:r>
      <w:r w:rsidR="00E45258" w:rsidRPr="00D1435A">
        <w:rPr>
          <w:rFonts w:ascii="Cambria" w:hAnsi="Cambria"/>
          <w:sz w:val="20"/>
          <w:szCs w:val="20"/>
          <w:lang w:val="es-VE"/>
        </w:rPr>
        <w:t xml:space="preserve"> 24 de mayo de 2001 </w:t>
      </w:r>
      <w:r w:rsidR="007746E1">
        <w:rPr>
          <w:rFonts w:ascii="Cambria" w:hAnsi="Cambria"/>
          <w:sz w:val="20"/>
          <w:szCs w:val="20"/>
          <w:lang w:val="es-VE"/>
        </w:rPr>
        <w:t xml:space="preserve">Fernando González, </w:t>
      </w:r>
      <w:r>
        <w:rPr>
          <w:rFonts w:ascii="Cambria" w:hAnsi="Cambria"/>
          <w:sz w:val="20"/>
          <w:szCs w:val="20"/>
          <w:lang w:val="es-VE"/>
        </w:rPr>
        <w:t>Maria Angélica González, Wilmer Barliza</w:t>
      </w:r>
      <w:r w:rsidR="00A64EFE">
        <w:rPr>
          <w:rFonts w:ascii="Cambria" w:hAnsi="Cambria"/>
          <w:sz w:val="20"/>
          <w:szCs w:val="20"/>
          <w:lang w:val="es-VE"/>
        </w:rPr>
        <w:t xml:space="preserve"> </w:t>
      </w:r>
      <w:r>
        <w:rPr>
          <w:rFonts w:ascii="Cambria" w:hAnsi="Cambria"/>
          <w:sz w:val="20"/>
          <w:szCs w:val="20"/>
          <w:lang w:val="es-VE"/>
        </w:rPr>
        <w:t>y Belkis González presentaron</w:t>
      </w:r>
      <w:r w:rsidR="00E45258" w:rsidRPr="00D1435A">
        <w:rPr>
          <w:rFonts w:ascii="Cambria" w:hAnsi="Cambria"/>
          <w:sz w:val="20"/>
          <w:szCs w:val="20"/>
          <w:lang w:val="es-VE"/>
        </w:rPr>
        <w:t xml:space="preserve"> una solicitud de indemnización</w:t>
      </w:r>
      <w:r w:rsidRPr="008C0C2A">
        <w:rPr>
          <w:rFonts w:ascii="Cambria" w:hAnsi="Cambria"/>
          <w:sz w:val="20"/>
          <w:szCs w:val="20"/>
          <w:lang w:val="es-VE"/>
        </w:rPr>
        <w:t xml:space="preserve"> </w:t>
      </w:r>
      <w:r w:rsidRPr="00D1435A">
        <w:rPr>
          <w:rFonts w:ascii="Cambria" w:hAnsi="Cambria"/>
          <w:sz w:val="20"/>
          <w:szCs w:val="20"/>
          <w:lang w:val="es-VE"/>
        </w:rPr>
        <w:t>ante el Tribunal de Juicio No. 2</w:t>
      </w:r>
      <w:r w:rsidR="001C1CE2">
        <w:rPr>
          <w:rFonts w:ascii="Cambria" w:hAnsi="Cambria"/>
          <w:sz w:val="20"/>
          <w:szCs w:val="20"/>
          <w:lang w:val="es-VE"/>
        </w:rPr>
        <w:t xml:space="preserve"> alegando </w:t>
      </w:r>
      <w:r>
        <w:rPr>
          <w:rFonts w:ascii="Cambria" w:hAnsi="Cambria"/>
          <w:sz w:val="20"/>
          <w:szCs w:val="20"/>
          <w:lang w:val="es-VE"/>
        </w:rPr>
        <w:t>la arbitraria privación de libertad que sufrieron durante el proceso penal seguido en su contra</w:t>
      </w:r>
      <w:r w:rsidRPr="00D1435A">
        <w:rPr>
          <w:rStyle w:val="Refdenotaalpie"/>
          <w:rFonts w:ascii="Cambria" w:hAnsi="Cambria"/>
          <w:sz w:val="20"/>
          <w:szCs w:val="20"/>
          <w:lang w:val="es-VE"/>
        </w:rPr>
        <w:footnoteReference w:id="63"/>
      </w:r>
      <w:r>
        <w:rPr>
          <w:rFonts w:ascii="Cambria" w:hAnsi="Cambria"/>
          <w:sz w:val="20"/>
          <w:szCs w:val="20"/>
          <w:lang w:val="es-VE"/>
        </w:rPr>
        <w:t>.</w:t>
      </w:r>
    </w:p>
    <w:p w14:paraId="36285ADC" w14:textId="77777777" w:rsidR="00693D3B" w:rsidRDefault="00693D3B" w:rsidP="00693D3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453271DA" w14:textId="77777777" w:rsidR="007746E1" w:rsidRDefault="008C0C2A" w:rsidP="008C0C2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24 de a</w:t>
      </w:r>
      <w:r w:rsidR="00C84C6F" w:rsidRPr="00693D3B">
        <w:rPr>
          <w:rFonts w:ascii="Cambria" w:hAnsi="Cambria"/>
          <w:sz w:val="20"/>
          <w:szCs w:val="20"/>
          <w:lang w:val="es-VE"/>
        </w:rPr>
        <w:t>gosto de 2001</w:t>
      </w:r>
      <w:r w:rsidR="00693D3B">
        <w:rPr>
          <w:rFonts w:ascii="Cambria" w:hAnsi="Cambria"/>
          <w:sz w:val="20"/>
          <w:szCs w:val="20"/>
          <w:lang w:val="es-VE"/>
        </w:rPr>
        <w:t xml:space="preserve"> </w:t>
      </w:r>
      <w:r w:rsidR="009D4126">
        <w:rPr>
          <w:rFonts w:ascii="Cambria" w:hAnsi="Cambria"/>
          <w:sz w:val="20"/>
          <w:szCs w:val="20"/>
          <w:lang w:val="es-VE"/>
        </w:rPr>
        <w:t xml:space="preserve">el Tribunal emitió una resolución </w:t>
      </w:r>
      <w:r w:rsidR="00693D3B">
        <w:rPr>
          <w:rFonts w:ascii="Cambria" w:hAnsi="Cambria"/>
          <w:sz w:val="20"/>
          <w:szCs w:val="20"/>
          <w:lang w:val="es-VE"/>
        </w:rPr>
        <w:t>en</w:t>
      </w:r>
      <w:r w:rsidR="0028333A" w:rsidRPr="00693D3B">
        <w:rPr>
          <w:rFonts w:ascii="Cambria" w:hAnsi="Cambria"/>
          <w:sz w:val="20"/>
          <w:szCs w:val="20"/>
          <w:lang w:val="es-VE"/>
        </w:rPr>
        <w:t xml:space="preserve"> favor de </w:t>
      </w:r>
      <w:r w:rsidR="009D4126">
        <w:rPr>
          <w:rFonts w:ascii="Cambria" w:hAnsi="Cambria"/>
          <w:sz w:val="20"/>
          <w:szCs w:val="20"/>
          <w:lang w:val="es-VE"/>
        </w:rPr>
        <w:t>las presuntas víctimas</w:t>
      </w:r>
      <w:r w:rsidR="00631F0B">
        <w:rPr>
          <w:rFonts w:ascii="Cambria" w:hAnsi="Cambria"/>
          <w:sz w:val="20"/>
          <w:szCs w:val="20"/>
          <w:lang w:val="es-VE"/>
        </w:rPr>
        <w:t xml:space="preserve"> disponiendo </w:t>
      </w:r>
      <w:r w:rsidR="009D4126">
        <w:rPr>
          <w:rFonts w:ascii="Cambria" w:hAnsi="Cambria"/>
          <w:sz w:val="20"/>
          <w:szCs w:val="20"/>
          <w:lang w:val="es-VE"/>
        </w:rPr>
        <w:t xml:space="preserve">que la Fiscalía </w:t>
      </w:r>
      <w:r w:rsidR="007746E1">
        <w:rPr>
          <w:rFonts w:ascii="Cambria" w:hAnsi="Cambria"/>
          <w:sz w:val="20"/>
          <w:szCs w:val="20"/>
          <w:lang w:val="es-VE"/>
        </w:rPr>
        <w:t xml:space="preserve">General de la Nación </w:t>
      </w:r>
      <w:r w:rsidR="009D4126">
        <w:rPr>
          <w:rFonts w:ascii="Cambria" w:hAnsi="Cambria"/>
          <w:sz w:val="20"/>
          <w:szCs w:val="20"/>
          <w:lang w:val="es-VE"/>
        </w:rPr>
        <w:t xml:space="preserve">debía pagar </w:t>
      </w:r>
      <w:r w:rsidR="00BA3262">
        <w:rPr>
          <w:rFonts w:ascii="Cambria" w:hAnsi="Cambria"/>
          <w:sz w:val="20"/>
          <w:szCs w:val="20"/>
          <w:lang w:val="es-VE"/>
        </w:rPr>
        <w:t>una suma de dinero</w:t>
      </w:r>
      <w:r w:rsidR="00631F0B">
        <w:rPr>
          <w:rFonts w:ascii="Cambria" w:hAnsi="Cambria"/>
          <w:sz w:val="20"/>
          <w:szCs w:val="20"/>
          <w:lang w:val="es-VE"/>
        </w:rPr>
        <w:t xml:space="preserve"> cuyo </w:t>
      </w:r>
      <w:r w:rsidR="009D4126">
        <w:rPr>
          <w:rFonts w:ascii="Cambria" w:hAnsi="Cambria"/>
          <w:sz w:val="20"/>
          <w:szCs w:val="20"/>
          <w:lang w:val="es-VE"/>
        </w:rPr>
        <w:t>cálculo se realizó tomando en cuenta los días de privación de libertad</w:t>
      </w:r>
      <w:r w:rsidR="00655465" w:rsidRPr="00D1435A">
        <w:rPr>
          <w:rStyle w:val="Refdenotaalpie"/>
          <w:rFonts w:ascii="Cambria" w:hAnsi="Cambria"/>
          <w:sz w:val="20"/>
          <w:szCs w:val="20"/>
          <w:lang w:val="es-VE"/>
        </w:rPr>
        <w:footnoteReference w:id="64"/>
      </w:r>
      <w:r w:rsidR="00655465" w:rsidRPr="00693D3B">
        <w:rPr>
          <w:rFonts w:ascii="Cambria" w:hAnsi="Cambria"/>
          <w:sz w:val="20"/>
          <w:szCs w:val="20"/>
          <w:lang w:val="es-VE"/>
        </w:rPr>
        <w:t xml:space="preserve">. </w:t>
      </w:r>
    </w:p>
    <w:p w14:paraId="3B46A06C" w14:textId="77777777" w:rsidR="004550CF" w:rsidRPr="00D1435A" w:rsidRDefault="004550CF" w:rsidP="00AD0D1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1F851C1D" w14:textId="77777777" w:rsidR="00492106" w:rsidRDefault="007746E1" w:rsidP="005E793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29 de octubre de 2001 la Fiscalía General de la Nación </w:t>
      </w:r>
      <w:r w:rsidR="00335AFB">
        <w:rPr>
          <w:rFonts w:ascii="Cambria" w:hAnsi="Cambria"/>
          <w:sz w:val="20"/>
          <w:szCs w:val="20"/>
          <w:lang w:val="es-VE"/>
        </w:rPr>
        <w:t xml:space="preserve">apeló alegando </w:t>
      </w:r>
      <w:r w:rsidR="00FB1D6F">
        <w:rPr>
          <w:rFonts w:ascii="Cambria" w:hAnsi="Cambria"/>
          <w:sz w:val="20"/>
          <w:szCs w:val="20"/>
          <w:lang w:val="es-VE"/>
        </w:rPr>
        <w:t>que el Tribunal tuvo una errónea interpretación de las normas y que el Ministerio Público no puede ser responsable de presuntos errores judiciales</w:t>
      </w:r>
      <w:r w:rsidR="00FB1D6F">
        <w:rPr>
          <w:rStyle w:val="Refdenotaalpie"/>
          <w:rFonts w:ascii="Cambria" w:hAnsi="Cambria"/>
          <w:sz w:val="20"/>
          <w:szCs w:val="20"/>
          <w:lang w:val="es-VE"/>
        </w:rPr>
        <w:footnoteReference w:id="65"/>
      </w:r>
      <w:r w:rsidR="00FB1D6F">
        <w:rPr>
          <w:rFonts w:ascii="Cambria" w:hAnsi="Cambria"/>
          <w:sz w:val="20"/>
          <w:szCs w:val="20"/>
          <w:lang w:val="es-VE"/>
        </w:rPr>
        <w:t xml:space="preserve">. </w:t>
      </w:r>
      <w:r w:rsidR="00492106" w:rsidRPr="005E793B">
        <w:rPr>
          <w:rFonts w:ascii="Cambria" w:hAnsi="Cambria"/>
          <w:sz w:val="20"/>
          <w:szCs w:val="20"/>
          <w:lang w:val="es-VE"/>
        </w:rPr>
        <w:t>El 26 de noviembre de 2001 la Sala No. 3 de la Corte de Apelaciones anuló la decisión del Tribunal</w:t>
      </w:r>
      <w:r w:rsidR="00F72B78">
        <w:rPr>
          <w:rFonts w:ascii="Cambria" w:hAnsi="Cambria"/>
          <w:sz w:val="20"/>
          <w:szCs w:val="20"/>
          <w:lang w:val="es-VE"/>
        </w:rPr>
        <w:t xml:space="preserve"> considerando que éste</w:t>
      </w:r>
      <w:r w:rsidR="00492106" w:rsidRPr="005E793B">
        <w:rPr>
          <w:rFonts w:ascii="Cambria" w:hAnsi="Cambria"/>
          <w:sz w:val="20"/>
          <w:szCs w:val="20"/>
          <w:lang w:val="es-VE"/>
        </w:rPr>
        <w:t xml:space="preserve"> interpretó erróneamente las normas sobre indemnización, reparación y restitución</w:t>
      </w:r>
      <w:r w:rsidR="00655F68">
        <w:rPr>
          <w:rFonts w:ascii="Cambria" w:hAnsi="Cambria"/>
          <w:sz w:val="20"/>
          <w:szCs w:val="20"/>
          <w:lang w:val="es-VE"/>
        </w:rPr>
        <w:t xml:space="preserve"> al no haber existido un “error judicial”</w:t>
      </w:r>
      <w:r w:rsidR="00492106">
        <w:rPr>
          <w:rStyle w:val="Refdenotaalpie"/>
          <w:rFonts w:ascii="Cambria" w:hAnsi="Cambria"/>
          <w:sz w:val="20"/>
          <w:szCs w:val="20"/>
          <w:lang w:val="es-VE"/>
        </w:rPr>
        <w:footnoteReference w:id="66"/>
      </w:r>
      <w:r w:rsidR="00492106" w:rsidRPr="005E793B">
        <w:rPr>
          <w:rFonts w:ascii="Cambria" w:hAnsi="Cambria"/>
          <w:sz w:val="20"/>
          <w:szCs w:val="20"/>
          <w:lang w:val="es-VE"/>
        </w:rPr>
        <w:t>.</w:t>
      </w:r>
    </w:p>
    <w:p w14:paraId="509445F2" w14:textId="77777777" w:rsidR="005E793B" w:rsidRDefault="005E793B" w:rsidP="005E793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634C44B5" w14:textId="77777777" w:rsidR="005E793B" w:rsidRPr="004F2CFC" w:rsidRDefault="005E793B" w:rsidP="004F2CF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Frente a un recurso de casación presentado por las presuntas víctimas, </w:t>
      </w:r>
      <w:r w:rsidR="000E276E">
        <w:rPr>
          <w:rFonts w:ascii="Cambria" w:hAnsi="Cambria"/>
          <w:sz w:val="20"/>
          <w:szCs w:val="20"/>
          <w:lang w:val="es-VE"/>
        </w:rPr>
        <w:t>el 13 de junio de 2002 el Tribunal Supremo de Justicia</w:t>
      </w:r>
      <w:r w:rsidR="000E276E" w:rsidRPr="000E276E">
        <w:rPr>
          <w:rFonts w:ascii="Cambria" w:hAnsi="Cambria"/>
          <w:sz w:val="20"/>
          <w:szCs w:val="20"/>
          <w:lang w:val="es-VE"/>
        </w:rPr>
        <w:t xml:space="preserve"> </w:t>
      </w:r>
      <w:r w:rsidR="000E276E">
        <w:rPr>
          <w:rFonts w:ascii="Cambria" w:hAnsi="Cambria"/>
          <w:sz w:val="20"/>
          <w:szCs w:val="20"/>
          <w:lang w:val="es-VE"/>
        </w:rPr>
        <w:t>en Sala de Casación Penal lo declaró inadmisible.</w:t>
      </w:r>
      <w:r w:rsidR="004F2CFC">
        <w:rPr>
          <w:rStyle w:val="Refdenotaalpie"/>
          <w:rFonts w:ascii="Cambria" w:hAnsi="Cambria"/>
          <w:sz w:val="20"/>
          <w:szCs w:val="20"/>
          <w:lang w:val="es-VE"/>
        </w:rPr>
        <w:footnoteReference w:id="67"/>
      </w:r>
      <w:r w:rsidR="004F2CFC">
        <w:rPr>
          <w:rFonts w:ascii="Cambria" w:hAnsi="Cambria"/>
          <w:sz w:val="20"/>
          <w:szCs w:val="20"/>
          <w:lang w:val="es-VE"/>
        </w:rPr>
        <w:t>.</w:t>
      </w:r>
    </w:p>
    <w:p w14:paraId="7FF4ADE4" w14:textId="77777777" w:rsidR="00F756C9" w:rsidRDefault="00F756C9" w:rsidP="00354A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68BFF15F" w14:textId="77777777" w:rsidR="008C1B5A" w:rsidRDefault="00301845" w:rsidP="004E097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29 d</w:t>
      </w:r>
      <w:r w:rsidR="004E0972">
        <w:rPr>
          <w:rFonts w:ascii="Cambria" w:hAnsi="Cambria"/>
          <w:sz w:val="20"/>
          <w:szCs w:val="20"/>
          <w:lang w:val="es-VE"/>
        </w:rPr>
        <w:t>e</w:t>
      </w:r>
      <w:r>
        <w:rPr>
          <w:rFonts w:ascii="Cambria" w:hAnsi="Cambria"/>
          <w:sz w:val="20"/>
          <w:szCs w:val="20"/>
          <w:lang w:val="es-VE"/>
        </w:rPr>
        <w:t xml:space="preserve"> mayo de 2003 </w:t>
      </w:r>
      <w:r w:rsidR="004E0972">
        <w:rPr>
          <w:rFonts w:ascii="Cambria" w:hAnsi="Cambria"/>
          <w:sz w:val="20"/>
          <w:szCs w:val="20"/>
          <w:lang w:val="es-VE"/>
        </w:rPr>
        <w:t>las presuntas víctimas</w:t>
      </w:r>
      <w:r w:rsidR="003D338A">
        <w:rPr>
          <w:rFonts w:ascii="Cambria" w:hAnsi="Cambria"/>
          <w:sz w:val="20"/>
          <w:szCs w:val="20"/>
          <w:lang w:val="es-VE"/>
        </w:rPr>
        <w:t xml:space="preserve"> interpusieron </w:t>
      </w:r>
      <w:r w:rsidR="001F032C">
        <w:rPr>
          <w:rFonts w:ascii="Cambria" w:hAnsi="Cambria"/>
          <w:sz w:val="20"/>
          <w:szCs w:val="20"/>
          <w:lang w:val="es-VE"/>
        </w:rPr>
        <w:t>un recurso extraordinario d</w:t>
      </w:r>
      <w:r w:rsidR="004E0972">
        <w:rPr>
          <w:rFonts w:ascii="Cambria" w:hAnsi="Cambria"/>
          <w:sz w:val="20"/>
          <w:szCs w:val="20"/>
          <w:lang w:val="es-VE"/>
        </w:rPr>
        <w:t xml:space="preserve">e revisión contra la sentencia </w:t>
      </w:r>
      <w:r w:rsidR="001F032C">
        <w:rPr>
          <w:rFonts w:ascii="Cambria" w:hAnsi="Cambria"/>
          <w:sz w:val="20"/>
          <w:szCs w:val="20"/>
          <w:lang w:val="es-VE"/>
        </w:rPr>
        <w:t>de la Sala</w:t>
      </w:r>
      <w:r w:rsidR="004E0972">
        <w:rPr>
          <w:rFonts w:ascii="Cambria" w:hAnsi="Cambria"/>
          <w:sz w:val="20"/>
          <w:szCs w:val="20"/>
          <w:lang w:val="es-VE"/>
        </w:rPr>
        <w:t xml:space="preserve"> </w:t>
      </w:r>
      <w:r w:rsidR="00F83798">
        <w:rPr>
          <w:rFonts w:ascii="Cambria" w:hAnsi="Cambria"/>
          <w:sz w:val="20"/>
          <w:szCs w:val="20"/>
          <w:lang w:val="es-VE"/>
        </w:rPr>
        <w:t>de noviembre de 2001</w:t>
      </w:r>
      <w:r w:rsidR="00F83798">
        <w:rPr>
          <w:rStyle w:val="Refdenotaalpie"/>
          <w:rFonts w:ascii="Cambria" w:hAnsi="Cambria"/>
          <w:sz w:val="20"/>
          <w:szCs w:val="20"/>
          <w:lang w:val="es-VE"/>
        </w:rPr>
        <w:footnoteReference w:id="68"/>
      </w:r>
      <w:r w:rsidR="00E454F5">
        <w:rPr>
          <w:rFonts w:ascii="Cambria" w:hAnsi="Cambria"/>
          <w:sz w:val="20"/>
          <w:szCs w:val="20"/>
          <w:lang w:val="es-VE"/>
        </w:rPr>
        <w:t xml:space="preserve">, el cual fue declarado sin lugar el </w:t>
      </w:r>
      <w:r w:rsidR="004E0972">
        <w:rPr>
          <w:rFonts w:ascii="Cambria" w:hAnsi="Cambria"/>
          <w:sz w:val="20"/>
          <w:szCs w:val="20"/>
          <w:lang w:val="es-VE"/>
        </w:rPr>
        <w:t>30 de julio de 2003</w:t>
      </w:r>
      <w:r w:rsidR="00F409B1">
        <w:rPr>
          <w:rStyle w:val="Refdenotaalpie"/>
          <w:rFonts w:ascii="Cambria" w:hAnsi="Cambria"/>
          <w:sz w:val="20"/>
          <w:szCs w:val="20"/>
          <w:lang w:val="es-VE"/>
        </w:rPr>
        <w:footnoteReference w:id="69"/>
      </w:r>
      <w:r w:rsidR="00F409B1">
        <w:rPr>
          <w:rFonts w:ascii="Cambria" w:hAnsi="Cambria"/>
          <w:sz w:val="20"/>
          <w:szCs w:val="20"/>
          <w:lang w:val="es-VE"/>
        </w:rPr>
        <w:t xml:space="preserve">. </w:t>
      </w:r>
    </w:p>
    <w:p w14:paraId="269BB8EF" w14:textId="77777777" w:rsidR="004E0972" w:rsidRPr="00301845" w:rsidRDefault="004E0972" w:rsidP="004E097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3F12601F" w14:textId="77777777" w:rsidR="00700167" w:rsidRPr="00BA3262" w:rsidRDefault="00E5260F" w:rsidP="00BA326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w:t>
      </w:r>
      <w:r w:rsidR="008F3E91">
        <w:rPr>
          <w:rFonts w:ascii="Cambria" w:hAnsi="Cambria"/>
          <w:sz w:val="20"/>
          <w:szCs w:val="20"/>
          <w:lang w:val="es-VE"/>
        </w:rPr>
        <w:t>21 de enero de 2004 las presuntas víctimas solicitaron a la Sala de Casación Penal la interpretación de diversos artículos del Código Orgánico Procesal Penal relacionados con los supuestos p</w:t>
      </w:r>
      <w:r w:rsidR="00BA3262">
        <w:rPr>
          <w:rFonts w:ascii="Cambria" w:hAnsi="Cambria"/>
          <w:sz w:val="20"/>
          <w:szCs w:val="20"/>
          <w:lang w:val="es-VE"/>
        </w:rPr>
        <w:t>revistos para la indemnización cuando i) exista una</w:t>
      </w:r>
      <w:r w:rsidR="008F3E91">
        <w:rPr>
          <w:rFonts w:ascii="Cambria" w:hAnsi="Cambria"/>
          <w:sz w:val="20"/>
          <w:szCs w:val="20"/>
          <w:lang w:val="es-VE"/>
        </w:rPr>
        <w:t xml:space="preserve"> sentencia en que </w:t>
      </w:r>
      <w:r w:rsidR="00FE0341">
        <w:rPr>
          <w:rFonts w:ascii="Cambria" w:hAnsi="Cambria"/>
          <w:sz w:val="20"/>
          <w:szCs w:val="20"/>
          <w:lang w:val="es-VE"/>
        </w:rPr>
        <w:t>la persona sea absuelta</w:t>
      </w:r>
      <w:r w:rsidR="00BA3262">
        <w:rPr>
          <w:rFonts w:ascii="Cambria" w:hAnsi="Cambria"/>
          <w:sz w:val="20"/>
          <w:szCs w:val="20"/>
          <w:lang w:val="es-VE"/>
        </w:rPr>
        <w:t>; y ii)</w:t>
      </w:r>
      <w:r w:rsidR="00FE0341">
        <w:rPr>
          <w:rFonts w:ascii="Cambria" w:hAnsi="Cambria"/>
          <w:sz w:val="20"/>
          <w:szCs w:val="20"/>
          <w:lang w:val="es-VE"/>
        </w:rPr>
        <w:t xml:space="preserve"> haya sufrido privación de libertad durante el proceso y no se compruebe su participación en el hecho</w:t>
      </w:r>
      <w:r w:rsidR="00FE0341">
        <w:rPr>
          <w:rStyle w:val="Refdenotaalpie"/>
          <w:rFonts w:ascii="Cambria" w:hAnsi="Cambria"/>
          <w:sz w:val="20"/>
          <w:szCs w:val="20"/>
          <w:lang w:val="es-VE"/>
        </w:rPr>
        <w:footnoteReference w:id="70"/>
      </w:r>
      <w:r w:rsidR="00FE0341">
        <w:rPr>
          <w:rFonts w:ascii="Cambria" w:hAnsi="Cambria"/>
          <w:sz w:val="20"/>
          <w:szCs w:val="20"/>
          <w:lang w:val="es-VE"/>
        </w:rPr>
        <w:t>.</w:t>
      </w:r>
      <w:r w:rsidR="00BA3262">
        <w:rPr>
          <w:rFonts w:ascii="Cambria" w:hAnsi="Cambria"/>
          <w:sz w:val="20"/>
          <w:szCs w:val="20"/>
          <w:lang w:val="es-VE"/>
        </w:rPr>
        <w:t xml:space="preserve"> </w:t>
      </w:r>
      <w:r w:rsidR="00FE0341" w:rsidRPr="00BA3262">
        <w:rPr>
          <w:rFonts w:ascii="Cambria" w:hAnsi="Cambria"/>
          <w:sz w:val="20"/>
          <w:szCs w:val="20"/>
          <w:lang w:val="es-VE"/>
        </w:rPr>
        <w:t xml:space="preserve">El 5 de octubre de 2004 </w:t>
      </w:r>
      <w:r w:rsidR="001E478D" w:rsidRPr="00BA3262">
        <w:rPr>
          <w:rFonts w:ascii="Cambria" w:hAnsi="Cambria"/>
          <w:sz w:val="20"/>
          <w:szCs w:val="20"/>
          <w:lang w:val="es-VE"/>
        </w:rPr>
        <w:t>la Sala</w:t>
      </w:r>
      <w:r w:rsidR="003C3445" w:rsidRPr="00BA3262">
        <w:rPr>
          <w:rFonts w:ascii="Cambria" w:hAnsi="Cambria"/>
          <w:sz w:val="20"/>
          <w:szCs w:val="20"/>
          <w:lang w:val="es-VE"/>
        </w:rPr>
        <w:t xml:space="preserve"> declaró inadmisible </w:t>
      </w:r>
      <w:r w:rsidR="001E478D" w:rsidRPr="00BA3262">
        <w:rPr>
          <w:rFonts w:ascii="Cambria" w:hAnsi="Cambria"/>
          <w:sz w:val="20"/>
          <w:szCs w:val="20"/>
          <w:lang w:val="es-VE"/>
        </w:rPr>
        <w:t>dicha</w:t>
      </w:r>
      <w:r w:rsidR="003C3445" w:rsidRPr="00BA3262">
        <w:rPr>
          <w:rFonts w:ascii="Cambria" w:hAnsi="Cambria"/>
          <w:sz w:val="20"/>
          <w:szCs w:val="20"/>
          <w:lang w:val="es-VE"/>
        </w:rPr>
        <w:t xml:space="preserve"> solicitud</w:t>
      </w:r>
      <w:r w:rsidR="001E478D" w:rsidRPr="00BA3262">
        <w:rPr>
          <w:rFonts w:ascii="Cambria" w:hAnsi="Cambria"/>
          <w:sz w:val="20"/>
          <w:szCs w:val="20"/>
          <w:lang w:val="es-VE"/>
        </w:rPr>
        <w:t>.</w:t>
      </w:r>
      <w:r w:rsidR="003C3445" w:rsidRPr="00BA3262">
        <w:rPr>
          <w:rFonts w:ascii="Cambria" w:hAnsi="Cambria"/>
          <w:sz w:val="20"/>
          <w:szCs w:val="20"/>
          <w:lang w:val="es-VE"/>
        </w:rPr>
        <w:t xml:space="preserve"> </w:t>
      </w:r>
      <w:r w:rsidR="00341CA2" w:rsidRPr="00BA3262">
        <w:rPr>
          <w:rFonts w:ascii="Cambria" w:hAnsi="Cambria"/>
          <w:sz w:val="20"/>
          <w:szCs w:val="20"/>
          <w:lang w:val="es-VE"/>
        </w:rPr>
        <w:t xml:space="preserve">La Sala consideró que las presuntas víctimas no indicaron </w:t>
      </w:r>
      <w:r w:rsidR="003C3445" w:rsidRPr="00BA3262">
        <w:rPr>
          <w:rFonts w:ascii="Cambria" w:hAnsi="Cambria"/>
          <w:sz w:val="20"/>
          <w:szCs w:val="20"/>
          <w:lang w:val="es-VE"/>
        </w:rPr>
        <w:t xml:space="preserve">la </w:t>
      </w:r>
      <w:r w:rsidR="00341CA2" w:rsidRPr="00BA3262">
        <w:rPr>
          <w:rFonts w:ascii="Cambria" w:hAnsi="Cambria"/>
          <w:sz w:val="20"/>
          <w:szCs w:val="20"/>
          <w:lang w:val="es-VE"/>
        </w:rPr>
        <w:t xml:space="preserve">presunta </w:t>
      </w:r>
      <w:r w:rsidR="003C3445" w:rsidRPr="00BA3262">
        <w:rPr>
          <w:rFonts w:ascii="Cambria" w:hAnsi="Cambria"/>
          <w:sz w:val="20"/>
          <w:szCs w:val="20"/>
          <w:lang w:val="es-VE"/>
        </w:rPr>
        <w:t xml:space="preserve">confusión o imprecisión </w:t>
      </w:r>
      <w:r w:rsidR="00341CA2" w:rsidRPr="00BA3262">
        <w:rPr>
          <w:rFonts w:ascii="Cambria" w:hAnsi="Cambria"/>
          <w:sz w:val="20"/>
          <w:szCs w:val="20"/>
          <w:lang w:val="es-VE"/>
        </w:rPr>
        <w:t>de las normas referidas “</w:t>
      </w:r>
      <w:r w:rsidR="003C3445" w:rsidRPr="00BA3262">
        <w:rPr>
          <w:rFonts w:ascii="Cambria" w:hAnsi="Cambria"/>
          <w:sz w:val="20"/>
          <w:szCs w:val="20"/>
          <w:lang w:val="es-VE"/>
        </w:rPr>
        <w:t>que implique una duda razonable sobre su inteligencia o aplicación</w:t>
      </w:r>
      <w:r w:rsidR="00341CA2" w:rsidRPr="00BA3262">
        <w:rPr>
          <w:rFonts w:ascii="Cambria" w:hAnsi="Cambria"/>
          <w:sz w:val="20"/>
          <w:szCs w:val="20"/>
          <w:lang w:val="es-VE"/>
        </w:rPr>
        <w:t>”</w:t>
      </w:r>
      <w:r w:rsidR="003C3445">
        <w:rPr>
          <w:rStyle w:val="Refdenotaalpie"/>
          <w:rFonts w:ascii="Cambria" w:hAnsi="Cambria"/>
          <w:sz w:val="20"/>
          <w:szCs w:val="20"/>
          <w:lang w:val="es-VE"/>
        </w:rPr>
        <w:footnoteReference w:id="71"/>
      </w:r>
      <w:r w:rsidR="003C3445" w:rsidRPr="00BA3262">
        <w:rPr>
          <w:rFonts w:ascii="Cambria" w:hAnsi="Cambria"/>
          <w:sz w:val="20"/>
          <w:szCs w:val="20"/>
          <w:lang w:val="es-VE"/>
        </w:rPr>
        <w:t xml:space="preserve">. </w:t>
      </w:r>
    </w:p>
    <w:p w14:paraId="3EFE610D" w14:textId="77777777" w:rsidR="005E793B" w:rsidRPr="00E16444" w:rsidRDefault="005E793B" w:rsidP="005E793B">
      <w:pPr>
        <w:rPr>
          <w:lang w:val="es-MX"/>
        </w:rPr>
      </w:pPr>
    </w:p>
    <w:p w14:paraId="3FDDF6C1" w14:textId="77777777" w:rsidR="006E79DD" w:rsidRPr="00CF5065" w:rsidRDefault="00655F68" w:rsidP="00655F68">
      <w:pPr>
        <w:pStyle w:val="Ttulo2"/>
        <w:spacing w:before="0" w:after="0"/>
        <w:ind w:left="720" w:hanging="90"/>
        <w:rPr>
          <w:rFonts w:ascii="Cambria" w:hAnsi="Cambria"/>
          <w:i w:val="0"/>
          <w:sz w:val="20"/>
          <w:szCs w:val="20"/>
          <w:lang w:val="es-ES_tradnl"/>
        </w:rPr>
      </w:pPr>
      <w:bookmarkStart w:id="7" w:name="_Toc529374050"/>
      <w:r>
        <w:rPr>
          <w:rFonts w:ascii="Cambria" w:hAnsi="Cambria"/>
          <w:i w:val="0"/>
          <w:sz w:val="20"/>
          <w:szCs w:val="20"/>
          <w:lang w:val="es-ES_tradnl"/>
        </w:rPr>
        <w:t xml:space="preserve">D. </w:t>
      </w:r>
      <w:r>
        <w:rPr>
          <w:rFonts w:ascii="Cambria" w:hAnsi="Cambria"/>
          <w:i w:val="0"/>
          <w:sz w:val="20"/>
          <w:szCs w:val="20"/>
          <w:lang w:val="es-ES_tradnl"/>
        </w:rPr>
        <w:tab/>
      </w:r>
      <w:r w:rsidR="006E79DD">
        <w:rPr>
          <w:rFonts w:ascii="Cambria" w:hAnsi="Cambria"/>
          <w:i w:val="0"/>
          <w:sz w:val="20"/>
          <w:szCs w:val="20"/>
          <w:lang w:val="es-ES_tradnl"/>
        </w:rPr>
        <w:t>Sobre Olimpiades González</w:t>
      </w:r>
      <w:bookmarkEnd w:id="7"/>
    </w:p>
    <w:p w14:paraId="41502B72" w14:textId="77777777" w:rsidR="006E79DD" w:rsidRDefault="006E79DD" w:rsidP="006E79D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3B9F8C61" w14:textId="77777777" w:rsidR="008B7EAD" w:rsidRDefault="0004646F" w:rsidP="0004646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La parte peticionaria informó que e</w:t>
      </w:r>
      <w:r w:rsidR="005F1537">
        <w:rPr>
          <w:rFonts w:ascii="Cambria" w:hAnsi="Cambria"/>
          <w:sz w:val="20"/>
          <w:szCs w:val="20"/>
          <w:lang w:val="es-VE"/>
        </w:rPr>
        <w:t>l 19 de septiembre de 2001</w:t>
      </w:r>
      <w:r w:rsidR="004E64BA">
        <w:rPr>
          <w:rFonts w:ascii="Cambria" w:hAnsi="Cambria"/>
          <w:sz w:val="20"/>
          <w:szCs w:val="20"/>
          <w:lang w:val="es-VE"/>
        </w:rPr>
        <w:t xml:space="preserve"> Olimpiades</w:t>
      </w:r>
      <w:r w:rsidR="005F1537">
        <w:rPr>
          <w:rFonts w:ascii="Cambria" w:hAnsi="Cambria"/>
          <w:sz w:val="20"/>
          <w:szCs w:val="20"/>
          <w:lang w:val="es-VE"/>
        </w:rPr>
        <w:t xml:space="preserve"> González fue víctima de un atentado contra su vida. </w:t>
      </w:r>
      <w:r w:rsidR="008B7EAD">
        <w:rPr>
          <w:rFonts w:ascii="Cambria" w:hAnsi="Cambria"/>
          <w:sz w:val="20"/>
          <w:szCs w:val="20"/>
          <w:lang w:val="es-VE"/>
        </w:rPr>
        <w:t>Indicó que</w:t>
      </w:r>
      <w:r w:rsidR="00E2600A">
        <w:rPr>
          <w:rFonts w:ascii="Cambria" w:hAnsi="Cambria"/>
          <w:sz w:val="20"/>
          <w:szCs w:val="20"/>
          <w:lang w:val="es-VE"/>
        </w:rPr>
        <w:t xml:space="preserve"> </w:t>
      </w:r>
      <w:r w:rsidR="008B7EAD">
        <w:rPr>
          <w:rFonts w:ascii="Cambria" w:hAnsi="Cambria"/>
          <w:sz w:val="20"/>
          <w:szCs w:val="20"/>
          <w:lang w:val="es-VE"/>
        </w:rPr>
        <w:t xml:space="preserve">mientras el señor González se dirigía a la Fiscalía a hacer una solicitud de indemnización, personas no identificadas le dispararon tres veces. </w:t>
      </w:r>
      <w:r w:rsidR="00740EFE">
        <w:rPr>
          <w:rFonts w:ascii="Cambria" w:hAnsi="Cambria"/>
          <w:sz w:val="20"/>
          <w:szCs w:val="20"/>
          <w:lang w:val="es-VE"/>
        </w:rPr>
        <w:t>Agregó que el señor González denunció lo sucedido ante la Fiscalía del Ministerio Público y solicitó que se otorguen medidas de protección a su favor</w:t>
      </w:r>
      <w:r w:rsidR="00740EFE">
        <w:rPr>
          <w:rStyle w:val="Refdenotaalpie"/>
          <w:rFonts w:ascii="Cambria" w:hAnsi="Cambria"/>
          <w:sz w:val="20"/>
          <w:szCs w:val="20"/>
          <w:lang w:val="es-VE"/>
        </w:rPr>
        <w:footnoteReference w:id="72"/>
      </w:r>
      <w:r w:rsidR="00740EFE">
        <w:rPr>
          <w:rFonts w:ascii="Cambria" w:hAnsi="Cambria"/>
          <w:sz w:val="20"/>
          <w:szCs w:val="20"/>
          <w:lang w:val="es-VE"/>
        </w:rPr>
        <w:t xml:space="preserve">. </w:t>
      </w:r>
      <w:r w:rsidR="00BC3469">
        <w:rPr>
          <w:rFonts w:ascii="Cambria" w:hAnsi="Cambria"/>
          <w:sz w:val="20"/>
          <w:szCs w:val="20"/>
          <w:lang w:val="es-VE"/>
        </w:rPr>
        <w:t>E</w:t>
      </w:r>
      <w:r w:rsidR="00740EFE">
        <w:rPr>
          <w:rFonts w:ascii="Cambria" w:hAnsi="Cambria"/>
          <w:sz w:val="20"/>
          <w:szCs w:val="20"/>
          <w:lang w:val="es-VE"/>
        </w:rPr>
        <w:t>l Estado no controvirtió dichos hechos.</w:t>
      </w:r>
    </w:p>
    <w:p w14:paraId="72D94884" w14:textId="77777777" w:rsidR="003348BC" w:rsidRDefault="003348BC" w:rsidP="00740EF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14BFE3A5" w14:textId="77777777" w:rsidR="00FB7EEB" w:rsidRDefault="00720C9E" w:rsidP="00FB7EE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Las partes </w:t>
      </w:r>
      <w:r w:rsidR="00655F68">
        <w:rPr>
          <w:rFonts w:ascii="Cambria" w:hAnsi="Cambria"/>
          <w:sz w:val="20"/>
          <w:szCs w:val="20"/>
          <w:lang w:val="es-VE"/>
        </w:rPr>
        <w:t>informaron</w:t>
      </w:r>
      <w:r w:rsidR="00740EFE">
        <w:rPr>
          <w:rFonts w:ascii="Cambria" w:hAnsi="Cambria"/>
          <w:sz w:val="20"/>
          <w:szCs w:val="20"/>
          <w:lang w:val="es-VE"/>
        </w:rPr>
        <w:t xml:space="preserve"> que el</w:t>
      </w:r>
      <w:r w:rsidR="00E92B4C">
        <w:rPr>
          <w:rFonts w:ascii="Cambria" w:hAnsi="Cambria"/>
          <w:sz w:val="20"/>
          <w:szCs w:val="20"/>
          <w:lang w:val="es-VE"/>
        </w:rPr>
        <w:t xml:space="preserve"> 26 de noviembre de 2001</w:t>
      </w:r>
      <w:r w:rsidR="004129B6">
        <w:rPr>
          <w:rFonts w:ascii="Cambria" w:hAnsi="Cambria"/>
          <w:sz w:val="20"/>
          <w:szCs w:val="20"/>
          <w:lang w:val="es-VE"/>
        </w:rPr>
        <w:t xml:space="preserve"> el Tribunal Quinto de Control </w:t>
      </w:r>
      <w:r w:rsidR="00740EFE">
        <w:rPr>
          <w:rFonts w:ascii="Cambria" w:hAnsi="Cambria"/>
          <w:sz w:val="20"/>
          <w:szCs w:val="20"/>
          <w:lang w:val="es-VE"/>
        </w:rPr>
        <w:t xml:space="preserve">emitió una resolución </w:t>
      </w:r>
      <w:r w:rsidR="00472F52">
        <w:rPr>
          <w:rFonts w:ascii="Cambria" w:hAnsi="Cambria"/>
          <w:sz w:val="20"/>
          <w:szCs w:val="20"/>
          <w:lang w:val="es-VE"/>
        </w:rPr>
        <w:t xml:space="preserve">ordenando </w:t>
      </w:r>
      <w:r w:rsidR="004129B6">
        <w:rPr>
          <w:rFonts w:ascii="Cambria" w:hAnsi="Cambria"/>
          <w:sz w:val="20"/>
          <w:szCs w:val="20"/>
          <w:lang w:val="es-VE"/>
        </w:rPr>
        <w:t xml:space="preserve">protección policial </w:t>
      </w:r>
      <w:r w:rsidR="00740EFE">
        <w:rPr>
          <w:rFonts w:ascii="Cambria" w:hAnsi="Cambria"/>
          <w:sz w:val="20"/>
          <w:szCs w:val="20"/>
          <w:lang w:val="es-VE"/>
        </w:rPr>
        <w:t xml:space="preserve">a favor de </w:t>
      </w:r>
      <w:r w:rsidR="004129B6">
        <w:rPr>
          <w:rFonts w:ascii="Cambria" w:hAnsi="Cambria"/>
          <w:sz w:val="20"/>
          <w:szCs w:val="20"/>
          <w:lang w:val="es-VE"/>
        </w:rPr>
        <w:t>Olimpiades González</w:t>
      </w:r>
      <w:r w:rsidR="000717AF">
        <w:rPr>
          <w:rFonts w:ascii="Cambria" w:hAnsi="Cambria"/>
          <w:sz w:val="20"/>
          <w:szCs w:val="20"/>
          <w:lang w:val="es-VE"/>
        </w:rPr>
        <w:t xml:space="preserve"> durante el lapso de dos meses</w:t>
      </w:r>
      <w:r w:rsidR="004129B6">
        <w:rPr>
          <w:rFonts w:ascii="Cambria" w:hAnsi="Cambria"/>
          <w:sz w:val="20"/>
          <w:szCs w:val="20"/>
          <w:lang w:val="es-VE"/>
        </w:rPr>
        <w:t>.</w:t>
      </w:r>
      <w:r w:rsidR="000717AF">
        <w:rPr>
          <w:rFonts w:ascii="Cambria" w:hAnsi="Cambria"/>
          <w:sz w:val="20"/>
          <w:szCs w:val="20"/>
          <w:lang w:val="es-VE"/>
        </w:rPr>
        <w:t xml:space="preserve"> </w:t>
      </w:r>
      <w:r w:rsidR="00472F52">
        <w:rPr>
          <w:rFonts w:ascii="Cambria" w:hAnsi="Cambria"/>
          <w:sz w:val="20"/>
          <w:szCs w:val="20"/>
          <w:lang w:val="es-VE"/>
        </w:rPr>
        <w:t>E</w:t>
      </w:r>
      <w:r w:rsidR="00740EFE">
        <w:rPr>
          <w:rFonts w:ascii="Cambria" w:hAnsi="Cambria"/>
          <w:sz w:val="20"/>
          <w:szCs w:val="20"/>
          <w:lang w:val="es-VE"/>
        </w:rPr>
        <w:t>l Estado indicó que dicha medida fue implementada</w:t>
      </w:r>
      <w:r w:rsidR="00424303">
        <w:rPr>
          <w:rFonts w:ascii="Cambria" w:hAnsi="Cambria"/>
          <w:sz w:val="20"/>
          <w:szCs w:val="20"/>
          <w:lang w:val="es-VE"/>
        </w:rPr>
        <w:t xml:space="preserve"> mediante la instalación de ronda</w:t>
      </w:r>
      <w:r w:rsidR="00370BB0">
        <w:rPr>
          <w:rFonts w:ascii="Cambria" w:hAnsi="Cambria"/>
          <w:sz w:val="20"/>
          <w:szCs w:val="20"/>
          <w:lang w:val="es-VE"/>
        </w:rPr>
        <w:t>s policiales alrededor del domicil</w:t>
      </w:r>
      <w:r w:rsidR="00424303">
        <w:rPr>
          <w:rFonts w:ascii="Cambria" w:hAnsi="Cambria"/>
          <w:sz w:val="20"/>
          <w:szCs w:val="20"/>
          <w:lang w:val="es-VE"/>
        </w:rPr>
        <w:t xml:space="preserve">io. </w:t>
      </w:r>
      <w:r w:rsidR="00472F52">
        <w:rPr>
          <w:rFonts w:ascii="Cambria" w:hAnsi="Cambria"/>
          <w:sz w:val="20"/>
          <w:szCs w:val="20"/>
          <w:lang w:val="es-VE"/>
        </w:rPr>
        <w:t xml:space="preserve">Sin embargo, </w:t>
      </w:r>
      <w:r w:rsidR="00FB7EEB">
        <w:rPr>
          <w:rFonts w:ascii="Cambria" w:hAnsi="Cambria"/>
          <w:sz w:val="20"/>
          <w:szCs w:val="20"/>
          <w:lang w:val="es-VE"/>
        </w:rPr>
        <w:t>la parte peticionaria indicó que dichas medidas no fueron implementadas adecuadamente debido a que los agentes policiales no cumplían con las horas asignadas de las rondas</w:t>
      </w:r>
      <w:r w:rsidR="00FB7EEB">
        <w:rPr>
          <w:rStyle w:val="Refdenotaalpie"/>
          <w:rFonts w:ascii="Cambria" w:hAnsi="Cambria"/>
          <w:sz w:val="20"/>
          <w:szCs w:val="20"/>
          <w:lang w:val="es-VE"/>
        </w:rPr>
        <w:footnoteReference w:id="73"/>
      </w:r>
      <w:r w:rsidR="00FB7EEB">
        <w:rPr>
          <w:rFonts w:ascii="Cambria" w:hAnsi="Cambria"/>
          <w:sz w:val="20"/>
          <w:szCs w:val="20"/>
          <w:lang w:val="es-VE"/>
        </w:rPr>
        <w:t>.</w:t>
      </w:r>
    </w:p>
    <w:p w14:paraId="208CF5CE" w14:textId="77777777" w:rsidR="000055D5" w:rsidRDefault="000055D5" w:rsidP="000055D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5ABE908A" w14:textId="77777777" w:rsidR="00067709" w:rsidRPr="00D329F5" w:rsidRDefault="000055D5" w:rsidP="00D329F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sz w:val="20"/>
          <w:szCs w:val="20"/>
          <w:lang w:val="es-VE"/>
        </w:rPr>
        <w:t>El 14 de dicie</w:t>
      </w:r>
      <w:r w:rsidR="00067709">
        <w:rPr>
          <w:rFonts w:ascii="Cambria" w:hAnsi="Cambria"/>
          <w:sz w:val="20"/>
          <w:szCs w:val="20"/>
          <w:lang w:val="es-VE"/>
        </w:rPr>
        <w:t>mbre de 2001 Olimpiades González</w:t>
      </w:r>
      <w:r>
        <w:rPr>
          <w:rFonts w:ascii="Cambria" w:hAnsi="Cambria"/>
          <w:sz w:val="20"/>
          <w:szCs w:val="20"/>
          <w:lang w:val="es-VE"/>
        </w:rPr>
        <w:t xml:space="preserve"> solicitó ante </w:t>
      </w:r>
      <w:r w:rsidR="00067709">
        <w:rPr>
          <w:rFonts w:ascii="Cambria" w:hAnsi="Cambria"/>
          <w:sz w:val="20"/>
          <w:szCs w:val="20"/>
          <w:lang w:val="es-VE"/>
        </w:rPr>
        <w:t xml:space="preserve">el Juzgado Quinto </w:t>
      </w:r>
      <w:r>
        <w:rPr>
          <w:rFonts w:ascii="Cambria" w:hAnsi="Cambria"/>
          <w:sz w:val="20"/>
          <w:szCs w:val="20"/>
          <w:lang w:val="es-VE"/>
        </w:rPr>
        <w:t>que se extienda la medida de protección</w:t>
      </w:r>
      <w:r w:rsidR="008C5FB3">
        <w:rPr>
          <w:rFonts w:ascii="Cambria" w:hAnsi="Cambria"/>
          <w:sz w:val="20"/>
          <w:szCs w:val="20"/>
          <w:lang w:val="es-VE"/>
        </w:rPr>
        <w:t xml:space="preserve"> </w:t>
      </w:r>
      <w:r w:rsidR="00A85163">
        <w:rPr>
          <w:rFonts w:ascii="Cambria" w:hAnsi="Cambria"/>
          <w:sz w:val="20"/>
          <w:szCs w:val="20"/>
          <w:lang w:val="es-VE"/>
        </w:rPr>
        <w:t>e informó</w:t>
      </w:r>
      <w:r w:rsidR="00067709">
        <w:rPr>
          <w:rFonts w:ascii="Cambria" w:hAnsi="Cambria"/>
          <w:sz w:val="20"/>
          <w:szCs w:val="20"/>
          <w:lang w:val="es-VE"/>
        </w:rPr>
        <w:t xml:space="preserve"> que los oficiales policiales designados no</w:t>
      </w:r>
      <w:r w:rsidR="001D5424">
        <w:rPr>
          <w:rFonts w:ascii="Cambria" w:hAnsi="Cambria"/>
          <w:sz w:val="20"/>
          <w:szCs w:val="20"/>
          <w:lang w:val="es-VE"/>
        </w:rPr>
        <w:t xml:space="preserve"> estaban </w:t>
      </w:r>
      <w:r w:rsidR="00067709">
        <w:rPr>
          <w:rFonts w:ascii="Cambria" w:hAnsi="Cambria"/>
          <w:sz w:val="20"/>
          <w:szCs w:val="20"/>
          <w:lang w:val="es-VE"/>
        </w:rPr>
        <w:t>cumpliendo con las rondas asignadas.</w:t>
      </w:r>
      <w:r>
        <w:rPr>
          <w:rFonts w:ascii="Cambria" w:hAnsi="Cambria"/>
          <w:sz w:val="20"/>
          <w:szCs w:val="20"/>
          <w:lang w:val="es-VE"/>
        </w:rPr>
        <w:t xml:space="preserve"> </w:t>
      </w:r>
      <w:r w:rsidR="00067709">
        <w:rPr>
          <w:rFonts w:ascii="Cambria" w:hAnsi="Cambria"/>
          <w:sz w:val="20"/>
          <w:szCs w:val="20"/>
          <w:lang w:val="es-VE"/>
        </w:rPr>
        <w:t xml:space="preserve">El 15 de enero de 2002 el Juzgado realizó una audiencia pública en </w:t>
      </w:r>
      <w:r w:rsidR="000271AE">
        <w:rPr>
          <w:rFonts w:ascii="Cambria" w:hAnsi="Cambria"/>
          <w:sz w:val="20"/>
          <w:szCs w:val="20"/>
          <w:lang w:val="es-VE"/>
        </w:rPr>
        <w:t xml:space="preserve">la que </w:t>
      </w:r>
      <w:r w:rsidR="00067709">
        <w:rPr>
          <w:rFonts w:ascii="Cambria" w:hAnsi="Cambria"/>
          <w:sz w:val="20"/>
          <w:szCs w:val="20"/>
          <w:lang w:val="es-VE"/>
        </w:rPr>
        <w:t xml:space="preserve">el señor </w:t>
      </w:r>
      <w:r w:rsidR="00905237">
        <w:rPr>
          <w:rFonts w:ascii="Cambria" w:hAnsi="Cambria"/>
          <w:sz w:val="20"/>
          <w:szCs w:val="20"/>
          <w:lang w:val="es-VE"/>
        </w:rPr>
        <w:t>González manifestó que</w:t>
      </w:r>
      <w:r w:rsidR="00CE57BD">
        <w:rPr>
          <w:rFonts w:ascii="Cambria" w:hAnsi="Cambria"/>
          <w:sz w:val="20"/>
          <w:szCs w:val="20"/>
          <w:lang w:val="es-VE"/>
        </w:rPr>
        <w:t xml:space="preserve"> las rondas policiales no cumplían </w:t>
      </w:r>
      <w:r w:rsidR="00EB521E">
        <w:rPr>
          <w:rFonts w:ascii="Cambria" w:hAnsi="Cambria"/>
          <w:sz w:val="20"/>
          <w:szCs w:val="20"/>
          <w:lang w:val="es-VE"/>
        </w:rPr>
        <w:t>lo establecido</w:t>
      </w:r>
      <w:r w:rsidR="00CE57BD">
        <w:rPr>
          <w:rFonts w:ascii="Cambria" w:hAnsi="Cambria"/>
          <w:sz w:val="20"/>
          <w:szCs w:val="20"/>
          <w:lang w:val="es-VE"/>
        </w:rPr>
        <w:t>, y que uno de los oficiales lo amenazó con arrestarlo si es que se quejaba</w:t>
      </w:r>
      <w:r w:rsidR="00067709" w:rsidRPr="00905237">
        <w:rPr>
          <w:rFonts w:ascii="Cambria" w:hAnsi="Cambria"/>
          <w:sz w:val="20"/>
          <w:szCs w:val="20"/>
          <w:lang w:val="es-VE"/>
        </w:rPr>
        <w:t>.</w:t>
      </w:r>
      <w:r w:rsidR="00905237" w:rsidRPr="00905237">
        <w:rPr>
          <w:rFonts w:ascii="Cambria" w:hAnsi="Cambria"/>
          <w:sz w:val="20"/>
          <w:szCs w:val="20"/>
          <w:lang w:val="es-VE"/>
        </w:rPr>
        <w:t xml:space="preserve"> </w:t>
      </w:r>
      <w:r w:rsidR="00CE57BD">
        <w:rPr>
          <w:rFonts w:ascii="Cambria" w:hAnsi="Cambria"/>
          <w:sz w:val="20"/>
          <w:szCs w:val="20"/>
          <w:lang w:val="es-VE"/>
        </w:rPr>
        <w:t>En la misma audiencia un agente policial a cargo de la protección del señor González</w:t>
      </w:r>
      <w:r w:rsidR="00905237" w:rsidRPr="00905237">
        <w:rPr>
          <w:rFonts w:ascii="Cambria" w:hAnsi="Cambria"/>
          <w:sz w:val="20"/>
          <w:szCs w:val="20"/>
          <w:lang w:val="es-VE"/>
        </w:rPr>
        <w:t xml:space="preserve"> declaró que no </w:t>
      </w:r>
      <w:r w:rsidR="00D329F5">
        <w:rPr>
          <w:rFonts w:ascii="Cambria" w:hAnsi="Cambria"/>
          <w:sz w:val="20"/>
          <w:szCs w:val="20"/>
          <w:lang w:val="es-VE"/>
        </w:rPr>
        <w:t>era</w:t>
      </w:r>
      <w:r w:rsidR="00905237" w:rsidRPr="00905237">
        <w:rPr>
          <w:rFonts w:ascii="Cambria" w:hAnsi="Cambria"/>
          <w:sz w:val="20"/>
          <w:szCs w:val="20"/>
          <w:lang w:val="es-VE"/>
        </w:rPr>
        <w:t xml:space="preserve"> posible utilizar </w:t>
      </w:r>
      <w:r w:rsidR="00D329F5">
        <w:rPr>
          <w:rFonts w:ascii="Cambria" w:hAnsi="Cambria"/>
          <w:sz w:val="20"/>
          <w:szCs w:val="20"/>
          <w:lang w:val="es-VE"/>
        </w:rPr>
        <w:t>doce</w:t>
      </w:r>
      <w:r w:rsidR="00905237" w:rsidRPr="00905237">
        <w:rPr>
          <w:rFonts w:ascii="Cambria" w:hAnsi="Cambria"/>
          <w:sz w:val="20"/>
          <w:szCs w:val="20"/>
          <w:lang w:val="es-VE"/>
        </w:rPr>
        <w:t xml:space="preserve"> efectivos para proteger a una persona</w:t>
      </w:r>
      <w:r w:rsidR="00D329F5">
        <w:rPr>
          <w:rFonts w:ascii="Cambria" w:hAnsi="Cambria"/>
          <w:sz w:val="20"/>
          <w:szCs w:val="20"/>
          <w:lang w:val="es-VE"/>
        </w:rPr>
        <w:t xml:space="preserve">. Agregó que </w:t>
      </w:r>
      <w:r w:rsidR="00D329F5">
        <w:rPr>
          <w:rFonts w:ascii="Cambria" w:hAnsi="Cambria"/>
          <w:sz w:val="20"/>
          <w:szCs w:val="20"/>
          <w:lang w:val="es-ES"/>
        </w:rPr>
        <w:t>“la función policial [no] es la de mantener una vigilancia (…) especial a una persona” puesto que “el trabajo de los policías no es ser guardaespaldas”</w:t>
      </w:r>
      <w:r w:rsidR="00067709" w:rsidRPr="00905237">
        <w:rPr>
          <w:rStyle w:val="Refdenotaalpie"/>
          <w:rFonts w:ascii="Cambria" w:hAnsi="Cambria"/>
          <w:sz w:val="20"/>
          <w:szCs w:val="20"/>
          <w:lang w:val="es-VE"/>
        </w:rPr>
        <w:footnoteReference w:id="74"/>
      </w:r>
      <w:r w:rsidR="00067709" w:rsidRPr="00D329F5">
        <w:rPr>
          <w:rFonts w:ascii="Cambria" w:hAnsi="Cambria"/>
          <w:sz w:val="20"/>
          <w:szCs w:val="20"/>
          <w:lang w:val="es-VE"/>
        </w:rPr>
        <w:t xml:space="preserve">. </w:t>
      </w:r>
    </w:p>
    <w:p w14:paraId="5BBBDA85" w14:textId="77777777" w:rsidR="0078128C" w:rsidRDefault="0078128C" w:rsidP="0078128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right="720"/>
        <w:jc w:val="both"/>
        <w:rPr>
          <w:rFonts w:ascii="Cambria" w:hAnsi="Cambria"/>
          <w:sz w:val="20"/>
          <w:szCs w:val="20"/>
          <w:lang w:val="es-VE"/>
        </w:rPr>
      </w:pPr>
    </w:p>
    <w:p w14:paraId="50BAF8BB" w14:textId="77777777" w:rsidR="00FC51C6" w:rsidRDefault="0078128C" w:rsidP="00A029E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Estado informó que el 13 de junio de 2002 se decretó el archivo de la investigación</w:t>
      </w:r>
      <w:r w:rsidR="00DE37AD">
        <w:rPr>
          <w:rFonts w:ascii="Cambria" w:hAnsi="Cambria"/>
          <w:sz w:val="20"/>
          <w:szCs w:val="20"/>
          <w:lang w:val="es-VE"/>
        </w:rPr>
        <w:t xml:space="preserve"> pues </w:t>
      </w:r>
      <w:r>
        <w:rPr>
          <w:rFonts w:ascii="Cambria" w:hAnsi="Cambria"/>
          <w:sz w:val="20"/>
          <w:szCs w:val="20"/>
          <w:lang w:val="es-VE"/>
        </w:rPr>
        <w:t>no se logró identificar al autor del presunto delito</w:t>
      </w:r>
      <w:r w:rsidR="00FC51C6">
        <w:rPr>
          <w:rStyle w:val="Refdenotaalpie"/>
          <w:rFonts w:ascii="Cambria" w:hAnsi="Cambria"/>
          <w:sz w:val="20"/>
          <w:szCs w:val="20"/>
          <w:lang w:val="es-VE"/>
        </w:rPr>
        <w:footnoteReference w:id="75"/>
      </w:r>
      <w:r w:rsidR="00FC51C6">
        <w:rPr>
          <w:rFonts w:ascii="Cambria" w:hAnsi="Cambria"/>
          <w:sz w:val="20"/>
          <w:szCs w:val="20"/>
          <w:lang w:val="es-VE"/>
        </w:rPr>
        <w:t>.</w:t>
      </w:r>
    </w:p>
    <w:p w14:paraId="2FE504A9" w14:textId="77777777" w:rsidR="00FC51C6" w:rsidRDefault="0078128C" w:rsidP="00FC51C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r>
        <w:rPr>
          <w:rFonts w:ascii="Cambria" w:hAnsi="Cambria"/>
          <w:sz w:val="20"/>
          <w:szCs w:val="20"/>
          <w:lang w:val="es-VE"/>
        </w:rPr>
        <w:t xml:space="preserve"> </w:t>
      </w:r>
    </w:p>
    <w:p w14:paraId="7FF0A25B" w14:textId="77777777" w:rsidR="00FC51C6" w:rsidRDefault="00FC51C6" w:rsidP="00A029E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12 de julio de 2002 el Juzgado Undécimo de Control declaró improcedente la solicitud del señor González</w:t>
      </w:r>
      <w:r w:rsidR="00A014D2">
        <w:rPr>
          <w:rFonts w:ascii="Cambria" w:hAnsi="Cambria"/>
          <w:sz w:val="20"/>
          <w:szCs w:val="20"/>
          <w:lang w:val="es-VE"/>
        </w:rPr>
        <w:t xml:space="preserve"> pues en </w:t>
      </w:r>
      <w:r>
        <w:rPr>
          <w:rFonts w:ascii="Cambria" w:hAnsi="Cambria"/>
          <w:sz w:val="20"/>
          <w:szCs w:val="20"/>
          <w:lang w:val="es-VE"/>
        </w:rPr>
        <w:t>la resolución judicial de noviembre de 2001</w:t>
      </w:r>
      <w:r w:rsidR="00591389">
        <w:rPr>
          <w:rFonts w:ascii="Cambria" w:hAnsi="Cambria"/>
          <w:sz w:val="20"/>
          <w:szCs w:val="20"/>
          <w:lang w:val="es-VE"/>
        </w:rPr>
        <w:t xml:space="preserve"> se</w:t>
      </w:r>
      <w:r>
        <w:rPr>
          <w:rFonts w:ascii="Cambria" w:hAnsi="Cambria"/>
          <w:sz w:val="20"/>
          <w:szCs w:val="20"/>
          <w:lang w:val="es-VE"/>
        </w:rPr>
        <w:t xml:space="preserve"> estableció que las medidas de protección tendrían una duración de dos meses. Asimismo, el Juzgado indicó que el señor González ya no era considerado como víctima en tanto la investigación por el atentado sufrido fue archivad</w:t>
      </w:r>
      <w:r w:rsidR="0003696E">
        <w:rPr>
          <w:rFonts w:ascii="Cambria" w:hAnsi="Cambria"/>
          <w:sz w:val="20"/>
          <w:szCs w:val="20"/>
          <w:lang w:val="es-VE"/>
        </w:rPr>
        <w:t>a</w:t>
      </w:r>
      <w:r>
        <w:rPr>
          <w:rStyle w:val="Refdenotaalpie"/>
          <w:rFonts w:ascii="Cambria" w:hAnsi="Cambria"/>
          <w:sz w:val="20"/>
          <w:szCs w:val="20"/>
          <w:lang w:val="es-VE"/>
        </w:rPr>
        <w:footnoteReference w:id="76"/>
      </w:r>
      <w:r>
        <w:rPr>
          <w:rFonts w:ascii="Cambria" w:hAnsi="Cambria"/>
          <w:sz w:val="20"/>
          <w:szCs w:val="20"/>
          <w:lang w:val="es-VE"/>
        </w:rPr>
        <w:t>.</w:t>
      </w:r>
      <w:r w:rsidR="00A029EB">
        <w:rPr>
          <w:rFonts w:ascii="Cambria" w:hAnsi="Cambria"/>
          <w:sz w:val="20"/>
          <w:szCs w:val="20"/>
          <w:lang w:val="es-VE"/>
        </w:rPr>
        <w:t xml:space="preserve"> </w:t>
      </w:r>
    </w:p>
    <w:p w14:paraId="4D916A87" w14:textId="77777777" w:rsidR="00FC51C6" w:rsidRDefault="00FC51C6" w:rsidP="00A029E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5EB0A56B" w14:textId="77777777" w:rsidR="00822902" w:rsidRDefault="00FC51C6" w:rsidP="0078128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El Estado s</w:t>
      </w:r>
      <w:r w:rsidR="0078128C">
        <w:rPr>
          <w:rFonts w:ascii="Cambria" w:hAnsi="Cambria"/>
          <w:sz w:val="20"/>
          <w:szCs w:val="20"/>
          <w:lang w:val="es-VE"/>
        </w:rPr>
        <w:t xml:space="preserve">ostuvo que el 30 de marzo de 2004 el señor González </w:t>
      </w:r>
      <w:r w:rsidR="00B84F95" w:rsidRPr="0078128C">
        <w:rPr>
          <w:rFonts w:ascii="Cambria" w:hAnsi="Cambria"/>
          <w:sz w:val="20"/>
          <w:szCs w:val="20"/>
          <w:lang w:val="es-VE"/>
        </w:rPr>
        <w:t>solicitó la reapertura de la</w:t>
      </w:r>
      <w:r w:rsidR="0078128C">
        <w:rPr>
          <w:rFonts w:ascii="Cambria" w:hAnsi="Cambria"/>
          <w:sz w:val="20"/>
          <w:szCs w:val="20"/>
          <w:lang w:val="es-VE"/>
        </w:rPr>
        <w:t xml:space="preserve"> investigación e indicó que una de las personas responsables de los hechos de septiemb</w:t>
      </w:r>
      <w:r w:rsidR="00822902">
        <w:rPr>
          <w:rFonts w:ascii="Cambria" w:hAnsi="Cambria"/>
          <w:sz w:val="20"/>
          <w:szCs w:val="20"/>
          <w:lang w:val="es-VE"/>
        </w:rPr>
        <w:t>re de 2001 era Roberto Meneses.</w:t>
      </w:r>
      <w:r w:rsidR="00B84F95" w:rsidRPr="0078128C">
        <w:rPr>
          <w:rFonts w:ascii="Cambria" w:hAnsi="Cambria"/>
          <w:sz w:val="20"/>
          <w:szCs w:val="20"/>
          <w:lang w:val="es-VE"/>
        </w:rPr>
        <w:t xml:space="preserve"> </w:t>
      </w:r>
      <w:r w:rsidR="00822902">
        <w:rPr>
          <w:rFonts w:ascii="Cambria" w:hAnsi="Cambria"/>
          <w:sz w:val="20"/>
          <w:szCs w:val="20"/>
          <w:lang w:val="es-VE"/>
        </w:rPr>
        <w:t>Añadió que el 28 de julio de 2004 se dictó una orden de detención en contra del señor Meneses</w:t>
      </w:r>
      <w:r w:rsidR="00A029EB">
        <w:rPr>
          <w:rFonts w:ascii="Cambria" w:hAnsi="Cambria"/>
          <w:sz w:val="20"/>
          <w:szCs w:val="20"/>
          <w:lang w:val="es-VE"/>
        </w:rPr>
        <w:t xml:space="preserve"> y que la investigación se mantiene abierta</w:t>
      </w:r>
      <w:r>
        <w:rPr>
          <w:rStyle w:val="Refdenotaalpie"/>
          <w:rFonts w:ascii="Cambria" w:hAnsi="Cambria"/>
          <w:sz w:val="20"/>
          <w:szCs w:val="20"/>
          <w:lang w:val="es-VE"/>
        </w:rPr>
        <w:footnoteReference w:id="77"/>
      </w:r>
      <w:r>
        <w:rPr>
          <w:rFonts w:ascii="Cambria" w:hAnsi="Cambria"/>
          <w:sz w:val="20"/>
          <w:szCs w:val="20"/>
          <w:lang w:val="es-VE"/>
        </w:rPr>
        <w:t>.</w:t>
      </w:r>
    </w:p>
    <w:p w14:paraId="39C6D4AF" w14:textId="77777777" w:rsidR="00EA12BC" w:rsidRPr="00EA12BC" w:rsidRDefault="00EA12BC" w:rsidP="00EA1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_tradnl"/>
        </w:rPr>
      </w:pPr>
    </w:p>
    <w:p w14:paraId="1BDA1D1C" w14:textId="77777777" w:rsidR="0030688D" w:rsidRDefault="0030688D" w:rsidP="00A029E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La CIDH no cuenta con información sobre lo sucedido a Olimpiades González entre </w:t>
      </w:r>
      <w:r w:rsidR="00A029EB">
        <w:rPr>
          <w:rFonts w:ascii="Cambria" w:hAnsi="Cambria"/>
          <w:sz w:val="20"/>
          <w:szCs w:val="20"/>
          <w:lang w:val="es-VE"/>
        </w:rPr>
        <w:t>marzo de 2004</w:t>
      </w:r>
      <w:r>
        <w:rPr>
          <w:rFonts w:ascii="Cambria" w:hAnsi="Cambria"/>
          <w:sz w:val="20"/>
          <w:szCs w:val="20"/>
          <w:lang w:val="es-VE"/>
        </w:rPr>
        <w:t xml:space="preserve"> y noviembre de 2006. </w:t>
      </w:r>
    </w:p>
    <w:p w14:paraId="199B855B" w14:textId="77777777" w:rsidR="0030688D" w:rsidRDefault="0030688D" w:rsidP="0030688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7E57A0CA" w14:textId="77777777" w:rsidR="007D3C33" w:rsidRDefault="00ED2110" w:rsidP="007D3C3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La parte peticionaria informó que e</w:t>
      </w:r>
      <w:r w:rsidR="00B44978">
        <w:rPr>
          <w:rFonts w:ascii="Cambria" w:hAnsi="Cambria"/>
          <w:sz w:val="20"/>
          <w:szCs w:val="20"/>
          <w:lang w:val="es-VE"/>
        </w:rPr>
        <w:t>l 11 de diciembre de 2006 aproximadamente a las 5:00 p</w:t>
      </w:r>
      <w:r>
        <w:rPr>
          <w:rFonts w:ascii="Cambria" w:hAnsi="Cambria"/>
          <w:sz w:val="20"/>
          <w:szCs w:val="20"/>
          <w:lang w:val="es-VE"/>
        </w:rPr>
        <w:t>.</w:t>
      </w:r>
      <w:r w:rsidR="00B44978">
        <w:rPr>
          <w:rFonts w:ascii="Cambria" w:hAnsi="Cambria"/>
          <w:sz w:val="20"/>
          <w:szCs w:val="20"/>
          <w:lang w:val="es-VE"/>
        </w:rPr>
        <w:t>m</w:t>
      </w:r>
      <w:r>
        <w:rPr>
          <w:rFonts w:ascii="Cambria" w:hAnsi="Cambria"/>
          <w:sz w:val="20"/>
          <w:szCs w:val="20"/>
          <w:lang w:val="es-VE"/>
        </w:rPr>
        <w:t>.</w:t>
      </w:r>
      <w:r w:rsidR="00B44978">
        <w:rPr>
          <w:rFonts w:ascii="Cambria" w:hAnsi="Cambria"/>
          <w:sz w:val="20"/>
          <w:szCs w:val="20"/>
          <w:lang w:val="es-VE"/>
        </w:rPr>
        <w:t xml:space="preserve"> Olimpiades Gonzále</w:t>
      </w:r>
      <w:r w:rsidR="00B53F0A">
        <w:rPr>
          <w:rFonts w:ascii="Cambria" w:hAnsi="Cambria"/>
          <w:sz w:val="20"/>
          <w:szCs w:val="20"/>
          <w:lang w:val="es-VE"/>
        </w:rPr>
        <w:t>z</w:t>
      </w:r>
      <w:r>
        <w:rPr>
          <w:rFonts w:ascii="Cambria" w:hAnsi="Cambria"/>
          <w:sz w:val="20"/>
          <w:szCs w:val="20"/>
          <w:lang w:val="es-VE"/>
        </w:rPr>
        <w:t xml:space="preserve">, luego de haber estado en el Ministerio Público realizando diversas diligencias, se encontraba en un transporte público de regreso a su casa. Sostuvo </w:t>
      </w:r>
      <w:proofErr w:type="gramStart"/>
      <w:r>
        <w:rPr>
          <w:rFonts w:ascii="Cambria" w:hAnsi="Cambria"/>
          <w:sz w:val="20"/>
          <w:szCs w:val="20"/>
          <w:lang w:val="es-VE"/>
        </w:rPr>
        <w:t>que</w:t>
      </w:r>
      <w:proofErr w:type="gramEnd"/>
      <w:r>
        <w:rPr>
          <w:rFonts w:ascii="Cambria" w:hAnsi="Cambria"/>
          <w:sz w:val="20"/>
          <w:szCs w:val="20"/>
          <w:lang w:val="es-VE"/>
        </w:rPr>
        <w:t xml:space="preserve"> al bajarse del vehículo, el señor González ingresó a un restaurante para pedir comida</w:t>
      </w:r>
      <w:r w:rsidR="00B53F0A">
        <w:rPr>
          <w:rFonts w:ascii="Cambria" w:hAnsi="Cambria"/>
          <w:sz w:val="20"/>
          <w:szCs w:val="20"/>
          <w:lang w:val="es-VE"/>
        </w:rPr>
        <w:t xml:space="preserve"> y que una persona de nombre </w:t>
      </w:r>
      <w:r>
        <w:rPr>
          <w:rFonts w:ascii="Cambria" w:hAnsi="Cambria"/>
          <w:sz w:val="20"/>
          <w:szCs w:val="20"/>
          <w:lang w:val="es-VE"/>
        </w:rPr>
        <w:t>Hilario Segundo Fernández ingresó a dicho restaurante y</w:t>
      </w:r>
      <w:r w:rsidR="000C12DB">
        <w:rPr>
          <w:rFonts w:ascii="Cambria" w:hAnsi="Cambria"/>
          <w:sz w:val="20"/>
          <w:szCs w:val="20"/>
          <w:lang w:val="es-VE"/>
        </w:rPr>
        <w:t xml:space="preserve"> le propinó </w:t>
      </w:r>
      <w:r>
        <w:rPr>
          <w:rFonts w:ascii="Cambria" w:hAnsi="Cambria"/>
          <w:sz w:val="20"/>
          <w:szCs w:val="20"/>
          <w:lang w:val="es-VE"/>
        </w:rPr>
        <w:t>tres disparos por la espalda. Agregó que el señor González fue llevado al Hospital Universitario, donde falleció</w:t>
      </w:r>
      <w:r>
        <w:rPr>
          <w:rStyle w:val="Refdenotaalpie"/>
          <w:rFonts w:ascii="Cambria" w:hAnsi="Cambria"/>
          <w:sz w:val="20"/>
          <w:szCs w:val="20"/>
          <w:lang w:val="es-VE"/>
        </w:rPr>
        <w:footnoteReference w:id="78"/>
      </w:r>
      <w:r>
        <w:rPr>
          <w:rFonts w:ascii="Cambria" w:hAnsi="Cambria"/>
          <w:sz w:val="20"/>
          <w:szCs w:val="20"/>
          <w:lang w:val="es-VE"/>
        </w:rPr>
        <w:t xml:space="preserve">. </w:t>
      </w:r>
    </w:p>
    <w:p w14:paraId="02C05016" w14:textId="77777777" w:rsidR="007D3C33" w:rsidRDefault="007D3C33" w:rsidP="007D3C3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6CD0248" w14:textId="77777777" w:rsidR="007E17AB" w:rsidRDefault="00F26CB4" w:rsidP="007D3C3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Esta información </w:t>
      </w:r>
      <w:r w:rsidR="007D3C33">
        <w:rPr>
          <w:rFonts w:ascii="Cambria" w:hAnsi="Cambria"/>
          <w:sz w:val="20"/>
          <w:szCs w:val="20"/>
          <w:lang w:val="es-VE"/>
        </w:rPr>
        <w:t xml:space="preserve">no fue controvertida por Venezuela. El Estado informó que el mismo </w:t>
      </w:r>
      <w:r>
        <w:rPr>
          <w:rFonts w:ascii="Cambria" w:hAnsi="Cambria"/>
          <w:sz w:val="20"/>
          <w:szCs w:val="20"/>
          <w:lang w:val="es-VE"/>
        </w:rPr>
        <w:t xml:space="preserve">día </w:t>
      </w:r>
      <w:r w:rsidR="007D3C33">
        <w:rPr>
          <w:rFonts w:ascii="Cambria" w:hAnsi="Cambria"/>
          <w:sz w:val="20"/>
          <w:szCs w:val="20"/>
          <w:lang w:val="es-VE"/>
        </w:rPr>
        <w:t xml:space="preserve">la </w:t>
      </w:r>
      <w:r w:rsidR="004163BD">
        <w:rPr>
          <w:rFonts w:ascii="Cambria" w:hAnsi="Cambria"/>
          <w:sz w:val="20"/>
          <w:szCs w:val="20"/>
          <w:lang w:val="es-VE"/>
        </w:rPr>
        <w:t xml:space="preserve">Fiscalía Décima Séptima a Nivel Nacional con Competencia Plena y Undécima de la Circunscripción Judicial del Estado de Zulia </w:t>
      </w:r>
      <w:r w:rsidR="007D3C33">
        <w:rPr>
          <w:rFonts w:ascii="Cambria" w:hAnsi="Cambria"/>
          <w:sz w:val="20"/>
          <w:szCs w:val="20"/>
          <w:lang w:val="es-VE"/>
        </w:rPr>
        <w:t>inició una investigación</w:t>
      </w:r>
      <w:r w:rsidR="004163BD">
        <w:rPr>
          <w:rFonts w:ascii="Cambria" w:hAnsi="Cambria"/>
          <w:sz w:val="20"/>
          <w:szCs w:val="20"/>
          <w:lang w:val="es-VE"/>
        </w:rPr>
        <w:t xml:space="preserve"> por la muerte del señor González</w:t>
      </w:r>
      <w:r w:rsidR="004163BD">
        <w:rPr>
          <w:rStyle w:val="Refdenotaalpie"/>
          <w:rFonts w:ascii="Cambria" w:hAnsi="Cambria"/>
          <w:sz w:val="20"/>
          <w:szCs w:val="20"/>
          <w:lang w:val="es-VE"/>
        </w:rPr>
        <w:footnoteReference w:id="79"/>
      </w:r>
      <w:r w:rsidR="004163BD">
        <w:rPr>
          <w:rFonts w:ascii="Cambria" w:hAnsi="Cambria"/>
          <w:sz w:val="20"/>
          <w:szCs w:val="20"/>
          <w:lang w:val="es-VE"/>
        </w:rPr>
        <w:t>. Dos días después el Cuerpo de Investigaciones Científicas Penales y Criminalísticas</w:t>
      </w:r>
      <w:r w:rsidR="003845FF">
        <w:rPr>
          <w:rFonts w:ascii="Cambria" w:hAnsi="Cambria"/>
          <w:sz w:val="20"/>
          <w:szCs w:val="20"/>
          <w:lang w:val="es-VE"/>
        </w:rPr>
        <w:t xml:space="preserve"> emitió un oficio en </w:t>
      </w:r>
      <w:r w:rsidR="00C6692B">
        <w:rPr>
          <w:rFonts w:ascii="Cambria" w:hAnsi="Cambria"/>
          <w:sz w:val="20"/>
          <w:szCs w:val="20"/>
          <w:lang w:val="es-VE"/>
        </w:rPr>
        <w:t xml:space="preserve">el cual se </w:t>
      </w:r>
      <w:r w:rsidR="003845FF">
        <w:rPr>
          <w:rFonts w:ascii="Cambria" w:hAnsi="Cambria"/>
          <w:sz w:val="20"/>
          <w:szCs w:val="20"/>
          <w:lang w:val="es-VE"/>
        </w:rPr>
        <w:t>hizo referencia a diversas diligencias realizadas</w:t>
      </w:r>
      <w:r w:rsidR="003845FF">
        <w:rPr>
          <w:rStyle w:val="Refdenotaalpie"/>
          <w:rFonts w:ascii="Cambria" w:hAnsi="Cambria"/>
          <w:sz w:val="20"/>
          <w:szCs w:val="20"/>
          <w:lang w:val="es-VE"/>
        </w:rPr>
        <w:footnoteReference w:id="80"/>
      </w:r>
      <w:r w:rsidR="003845FF">
        <w:rPr>
          <w:rFonts w:ascii="Cambria" w:hAnsi="Cambria"/>
          <w:sz w:val="20"/>
          <w:szCs w:val="20"/>
          <w:lang w:val="es-VE"/>
        </w:rPr>
        <w:t>.</w:t>
      </w:r>
    </w:p>
    <w:p w14:paraId="21DD5708" w14:textId="77777777" w:rsidR="00AB2A51" w:rsidRDefault="00AB2A51" w:rsidP="00AB2A5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43609457" w14:textId="77777777" w:rsidR="00DA065F" w:rsidRDefault="00AB2A51" w:rsidP="00DA065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El 14 de marzo de 2007 la Fiscalía ordenó </w:t>
      </w:r>
      <w:r w:rsidR="003845FF">
        <w:rPr>
          <w:rFonts w:ascii="Cambria" w:hAnsi="Cambria"/>
          <w:sz w:val="20"/>
          <w:szCs w:val="20"/>
          <w:lang w:val="es-VE"/>
        </w:rPr>
        <w:t xml:space="preserve">la realización de diversas </w:t>
      </w:r>
      <w:r>
        <w:rPr>
          <w:rFonts w:ascii="Cambria" w:hAnsi="Cambria"/>
          <w:sz w:val="20"/>
          <w:szCs w:val="20"/>
          <w:lang w:val="es-VE"/>
        </w:rPr>
        <w:t>diligencias para el esclarecimiento de los hechos</w:t>
      </w:r>
      <w:r w:rsidR="003845FF">
        <w:rPr>
          <w:rFonts w:ascii="Cambria" w:hAnsi="Cambria"/>
          <w:sz w:val="20"/>
          <w:szCs w:val="20"/>
          <w:lang w:val="es-VE"/>
        </w:rPr>
        <w:t>, tales como</w:t>
      </w:r>
      <w:r w:rsidR="00F93F74">
        <w:rPr>
          <w:rFonts w:ascii="Cambria" w:hAnsi="Cambria"/>
          <w:sz w:val="20"/>
          <w:szCs w:val="20"/>
          <w:lang w:val="es-VE"/>
        </w:rPr>
        <w:t>:</w:t>
      </w:r>
      <w:r w:rsidR="003845FF">
        <w:rPr>
          <w:rFonts w:ascii="Cambria" w:hAnsi="Cambria"/>
          <w:sz w:val="20"/>
          <w:szCs w:val="20"/>
          <w:lang w:val="es-VE"/>
        </w:rPr>
        <w:t xml:space="preserve"> i) r</w:t>
      </w:r>
      <w:r>
        <w:rPr>
          <w:rFonts w:ascii="Cambria" w:hAnsi="Cambria"/>
          <w:sz w:val="20"/>
          <w:szCs w:val="20"/>
          <w:lang w:val="es-VE"/>
        </w:rPr>
        <w:t>ecabar el p</w:t>
      </w:r>
      <w:r w:rsidR="003845FF">
        <w:rPr>
          <w:rFonts w:ascii="Cambria" w:hAnsi="Cambria"/>
          <w:sz w:val="20"/>
          <w:szCs w:val="20"/>
          <w:lang w:val="es-VE"/>
        </w:rPr>
        <w:t>rotocolo de autopsia del occiso; ii) o</w:t>
      </w:r>
      <w:r>
        <w:rPr>
          <w:rFonts w:ascii="Cambria" w:hAnsi="Cambria"/>
          <w:sz w:val="20"/>
          <w:szCs w:val="20"/>
          <w:lang w:val="es-VE"/>
        </w:rPr>
        <w:t>rdenar y recabar</w:t>
      </w:r>
      <w:r w:rsidR="003845FF">
        <w:rPr>
          <w:rFonts w:ascii="Cambria" w:hAnsi="Cambria"/>
          <w:sz w:val="20"/>
          <w:szCs w:val="20"/>
          <w:lang w:val="es-VE"/>
        </w:rPr>
        <w:t xml:space="preserve"> el reconocimiento médico legal; iii) p</w:t>
      </w:r>
      <w:r>
        <w:rPr>
          <w:rFonts w:ascii="Cambria" w:hAnsi="Cambria"/>
          <w:sz w:val="20"/>
          <w:szCs w:val="20"/>
          <w:lang w:val="es-VE"/>
        </w:rPr>
        <w:t>r</w:t>
      </w:r>
      <w:r w:rsidR="00250E4F">
        <w:rPr>
          <w:rFonts w:ascii="Cambria" w:hAnsi="Cambria"/>
          <w:sz w:val="20"/>
          <w:szCs w:val="20"/>
          <w:lang w:val="es-VE"/>
        </w:rPr>
        <w:t>acticar la experticia balística; iv)</w:t>
      </w:r>
      <w:r>
        <w:rPr>
          <w:rFonts w:ascii="Cambria" w:hAnsi="Cambria"/>
          <w:sz w:val="20"/>
          <w:szCs w:val="20"/>
          <w:lang w:val="es-VE"/>
        </w:rPr>
        <w:t xml:space="preserve"> recabar copias certif</w:t>
      </w:r>
      <w:r w:rsidR="00250E4F">
        <w:rPr>
          <w:rFonts w:ascii="Cambria" w:hAnsi="Cambria"/>
          <w:sz w:val="20"/>
          <w:szCs w:val="20"/>
          <w:lang w:val="es-VE"/>
        </w:rPr>
        <w:t>icadas de las historias médicas; v)</w:t>
      </w:r>
      <w:r>
        <w:rPr>
          <w:rFonts w:ascii="Cambria" w:hAnsi="Cambria"/>
          <w:sz w:val="20"/>
          <w:szCs w:val="20"/>
          <w:lang w:val="es-VE"/>
        </w:rPr>
        <w:t xml:space="preserve"> recab</w:t>
      </w:r>
      <w:r w:rsidR="00250E4F">
        <w:rPr>
          <w:rFonts w:ascii="Cambria" w:hAnsi="Cambria"/>
          <w:sz w:val="20"/>
          <w:szCs w:val="20"/>
          <w:lang w:val="es-VE"/>
        </w:rPr>
        <w:t>ar plomos extraídos del cadáver; y vi) realizar entrevistas a testigos</w:t>
      </w:r>
      <w:r w:rsidR="00F22BA1">
        <w:rPr>
          <w:rStyle w:val="Refdenotaalpie"/>
          <w:rFonts w:ascii="Cambria" w:hAnsi="Cambria"/>
          <w:sz w:val="20"/>
          <w:szCs w:val="20"/>
          <w:lang w:val="es-VE"/>
        </w:rPr>
        <w:footnoteReference w:id="81"/>
      </w:r>
      <w:r w:rsidR="00354FFE">
        <w:rPr>
          <w:rFonts w:ascii="Cambria" w:hAnsi="Cambria"/>
          <w:sz w:val="20"/>
          <w:szCs w:val="20"/>
          <w:lang w:val="es-VE"/>
        </w:rPr>
        <w:t>.</w:t>
      </w:r>
    </w:p>
    <w:p w14:paraId="6B279D8D" w14:textId="77777777" w:rsidR="00DA065F" w:rsidRDefault="00DA065F" w:rsidP="00DA065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69D42328" w14:textId="77777777" w:rsidR="00EE0546" w:rsidRPr="00DA065F" w:rsidRDefault="00354FFE" w:rsidP="00DA065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A065F">
        <w:rPr>
          <w:rFonts w:ascii="Cambria" w:hAnsi="Cambria"/>
          <w:sz w:val="20"/>
          <w:szCs w:val="20"/>
          <w:lang w:val="es-VE"/>
        </w:rPr>
        <w:t>E</w:t>
      </w:r>
      <w:r w:rsidR="009D45B1">
        <w:rPr>
          <w:rFonts w:ascii="Cambria" w:hAnsi="Cambria"/>
          <w:sz w:val="20"/>
          <w:szCs w:val="20"/>
          <w:lang w:val="es-VE"/>
        </w:rPr>
        <w:t>n su escrito de marzo de 2011 el</w:t>
      </w:r>
      <w:r w:rsidRPr="00DA065F">
        <w:rPr>
          <w:rFonts w:ascii="Cambria" w:hAnsi="Cambria"/>
          <w:sz w:val="20"/>
          <w:szCs w:val="20"/>
          <w:lang w:val="es-VE"/>
        </w:rPr>
        <w:t xml:space="preserve"> Estado alegó que la investigación </w:t>
      </w:r>
      <w:r w:rsidR="006A1709" w:rsidRPr="00DA065F">
        <w:rPr>
          <w:rFonts w:ascii="Cambria" w:hAnsi="Cambria"/>
          <w:sz w:val="20"/>
          <w:szCs w:val="20"/>
          <w:lang w:val="es-VE"/>
        </w:rPr>
        <w:t>“presenta condiciones particulares de complejidad”</w:t>
      </w:r>
      <w:r w:rsidRPr="00DA065F">
        <w:rPr>
          <w:rFonts w:ascii="Cambria" w:hAnsi="Cambria"/>
          <w:sz w:val="20"/>
          <w:szCs w:val="20"/>
          <w:lang w:val="es-VE"/>
        </w:rPr>
        <w:t xml:space="preserve"> debido a que el supuesto culpable</w:t>
      </w:r>
      <w:r w:rsidR="006A1709" w:rsidRPr="00DA065F">
        <w:rPr>
          <w:rFonts w:ascii="Cambria" w:hAnsi="Cambria"/>
          <w:sz w:val="20"/>
          <w:szCs w:val="20"/>
          <w:lang w:val="es-VE"/>
        </w:rPr>
        <w:t>, quien había sido condenado por otro delito de homicidio,</w:t>
      </w:r>
      <w:r w:rsidRPr="00DA065F">
        <w:rPr>
          <w:rFonts w:ascii="Cambria" w:hAnsi="Cambria"/>
          <w:sz w:val="20"/>
          <w:szCs w:val="20"/>
          <w:lang w:val="es-VE"/>
        </w:rPr>
        <w:t xml:space="preserve"> se encuentra prófugo de la justicia</w:t>
      </w:r>
      <w:r>
        <w:rPr>
          <w:rStyle w:val="Refdenotaalpie"/>
          <w:rFonts w:ascii="Cambria" w:hAnsi="Cambria"/>
          <w:sz w:val="20"/>
          <w:szCs w:val="20"/>
          <w:lang w:val="es-VE"/>
        </w:rPr>
        <w:footnoteReference w:id="82"/>
      </w:r>
      <w:r w:rsidRPr="00DA065F">
        <w:rPr>
          <w:rFonts w:ascii="Cambria" w:hAnsi="Cambria"/>
          <w:sz w:val="20"/>
          <w:szCs w:val="20"/>
          <w:lang w:val="es-VE"/>
        </w:rPr>
        <w:t xml:space="preserve">. </w:t>
      </w:r>
      <w:r w:rsidR="00A333B0" w:rsidRPr="00DA065F">
        <w:rPr>
          <w:rFonts w:ascii="Cambria" w:hAnsi="Cambria"/>
          <w:sz w:val="20"/>
          <w:szCs w:val="20"/>
          <w:lang w:val="es-VE"/>
        </w:rPr>
        <w:t xml:space="preserve">El Estado </w:t>
      </w:r>
      <w:r w:rsidR="009D45B1">
        <w:rPr>
          <w:rFonts w:ascii="Cambria" w:hAnsi="Cambria"/>
          <w:sz w:val="20"/>
          <w:szCs w:val="20"/>
          <w:lang w:val="es-VE"/>
        </w:rPr>
        <w:t>agregó</w:t>
      </w:r>
      <w:r w:rsidR="00A333B0" w:rsidRPr="00DA065F">
        <w:rPr>
          <w:rFonts w:ascii="Cambria" w:hAnsi="Cambria"/>
          <w:sz w:val="20"/>
          <w:szCs w:val="20"/>
          <w:lang w:val="es-VE"/>
        </w:rPr>
        <w:t xml:space="preserve"> que la investigación sigue su curso, es decir que la misma no ha sido objeto de archivo ni de ningún tipo de impedimento</w:t>
      </w:r>
      <w:r w:rsidR="00A333B0">
        <w:rPr>
          <w:rStyle w:val="Refdenotaalpie"/>
          <w:rFonts w:ascii="Cambria" w:hAnsi="Cambria"/>
          <w:sz w:val="20"/>
          <w:szCs w:val="20"/>
          <w:lang w:val="es-VE"/>
        </w:rPr>
        <w:footnoteReference w:id="83"/>
      </w:r>
      <w:r w:rsidR="00A333B0" w:rsidRPr="00DA065F">
        <w:rPr>
          <w:rFonts w:ascii="Cambria" w:hAnsi="Cambria"/>
          <w:sz w:val="20"/>
          <w:szCs w:val="20"/>
          <w:lang w:val="es-VE"/>
        </w:rPr>
        <w:t xml:space="preserve">. </w:t>
      </w:r>
      <w:r w:rsidR="00DA065F" w:rsidRPr="00DA065F">
        <w:rPr>
          <w:rFonts w:ascii="Cambria" w:hAnsi="Cambria"/>
          <w:sz w:val="20"/>
          <w:szCs w:val="20"/>
          <w:lang w:val="es-VE"/>
        </w:rPr>
        <w:t xml:space="preserve">La Comisión toma nota de que </w:t>
      </w:r>
      <w:r w:rsidR="00EF1E8A">
        <w:rPr>
          <w:rFonts w:ascii="Cambria" w:hAnsi="Cambria"/>
          <w:sz w:val="20"/>
          <w:szCs w:val="20"/>
          <w:lang w:val="es-VE"/>
        </w:rPr>
        <w:t>el escrito de marzo de 2011</w:t>
      </w:r>
      <w:r w:rsidR="00DA065F" w:rsidRPr="00DA065F">
        <w:rPr>
          <w:rFonts w:ascii="Cambria" w:hAnsi="Cambria"/>
          <w:sz w:val="20"/>
          <w:szCs w:val="20"/>
          <w:lang w:val="es-VE"/>
        </w:rPr>
        <w:t xml:space="preserve"> es la última información actualizada </w:t>
      </w:r>
      <w:r w:rsidR="00EF1E8A">
        <w:rPr>
          <w:rFonts w:ascii="Cambria" w:hAnsi="Cambria"/>
          <w:sz w:val="20"/>
          <w:szCs w:val="20"/>
          <w:lang w:val="es-VE"/>
        </w:rPr>
        <w:t>presentada por el Estado venezolano</w:t>
      </w:r>
      <w:r w:rsidR="00DA065F" w:rsidRPr="00DA065F">
        <w:rPr>
          <w:rFonts w:ascii="Cambria" w:hAnsi="Cambria"/>
          <w:sz w:val="20"/>
          <w:szCs w:val="20"/>
          <w:lang w:val="es-VE"/>
        </w:rPr>
        <w:t xml:space="preserve">. </w:t>
      </w:r>
    </w:p>
    <w:p w14:paraId="0A5595F8" w14:textId="77777777" w:rsidR="00EE0546" w:rsidRDefault="00EE0546" w:rsidP="00EE054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1066F5CE" w14:textId="77777777" w:rsidR="00EE0546" w:rsidRPr="00776B4C" w:rsidRDefault="00EE0546" w:rsidP="00EE0546">
      <w:pPr>
        <w:pStyle w:val="Ttulo1"/>
        <w:spacing w:before="0"/>
        <w:ind w:hanging="90"/>
        <w:rPr>
          <w:color w:val="auto"/>
          <w:sz w:val="20"/>
          <w:szCs w:val="20"/>
          <w:lang w:val="es-ES_tradnl"/>
        </w:rPr>
      </w:pPr>
      <w:bookmarkStart w:id="8" w:name="_Toc529374051"/>
      <w:r w:rsidRPr="00776B4C">
        <w:rPr>
          <w:color w:val="auto"/>
          <w:sz w:val="20"/>
          <w:szCs w:val="20"/>
          <w:lang w:val="es-ES_tradnl"/>
        </w:rPr>
        <w:t>ANÁLISIS DE DERECHO</w:t>
      </w:r>
      <w:bookmarkEnd w:id="8"/>
    </w:p>
    <w:p w14:paraId="58F0A7D7" w14:textId="77777777" w:rsidR="00EE0546" w:rsidRPr="00CF5065" w:rsidRDefault="00EE0546" w:rsidP="00EE054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363D24D" w14:textId="77777777" w:rsidR="00EE0546" w:rsidRDefault="00EE0546" w:rsidP="00EF1E8A">
      <w:pPr>
        <w:pStyle w:val="Ttulo2"/>
        <w:numPr>
          <w:ilvl w:val="0"/>
          <w:numId w:val="59"/>
        </w:numPr>
        <w:spacing w:before="0" w:after="0"/>
        <w:ind w:left="1440" w:hanging="810"/>
        <w:jc w:val="both"/>
        <w:rPr>
          <w:rFonts w:ascii="Cambria" w:hAnsi="Cambria"/>
          <w:i w:val="0"/>
          <w:sz w:val="20"/>
          <w:szCs w:val="20"/>
          <w:lang w:val="es-ES_tradnl"/>
        </w:rPr>
      </w:pPr>
      <w:bookmarkStart w:id="9" w:name="_Toc529374052"/>
      <w:r w:rsidRPr="001D5E6C">
        <w:rPr>
          <w:rFonts w:ascii="Cambria" w:hAnsi="Cambria"/>
          <w:i w:val="0"/>
          <w:sz w:val="20"/>
          <w:szCs w:val="20"/>
          <w:lang w:val="es-ES_tradnl"/>
        </w:rPr>
        <w:t xml:space="preserve">Derecho a la libertad personal </w:t>
      </w:r>
      <w:r w:rsidR="00480B6B">
        <w:rPr>
          <w:rFonts w:ascii="Cambria" w:hAnsi="Cambria"/>
          <w:i w:val="0"/>
          <w:sz w:val="20"/>
          <w:szCs w:val="20"/>
          <w:lang w:val="es-ES_tradnl"/>
        </w:rPr>
        <w:t xml:space="preserve">y a las garantías judiciales </w:t>
      </w:r>
      <w:r w:rsidRPr="001D5E6C">
        <w:rPr>
          <w:rFonts w:ascii="Cambria" w:hAnsi="Cambria"/>
          <w:i w:val="0"/>
          <w:sz w:val="20"/>
          <w:szCs w:val="20"/>
          <w:lang w:val="es-ES_tradnl"/>
        </w:rPr>
        <w:t>(artículo</w:t>
      </w:r>
      <w:r w:rsidR="0017242C">
        <w:rPr>
          <w:rFonts w:ascii="Cambria" w:hAnsi="Cambria"/>
          <w:i w:val="0"/>
          <w:sz w:val="20"/>
          <w:szCs w:val="20"/>
          <w:lang w:val="es-ES_tradnl"/>
        </w:rPr>
        <w:t>s</w:t>
      </w:r>
      <w:r w:rsidRPr="001D5E6C">
        <w:rPr>
          <w:rFonts w:ascii="Cambria" w:hAnsi="Cambria"/>
          <w:i w:val="0"/>
          <w:sz w:val="20"/>
          <w:szCs w:val="20"/>
          <w:lang w:val="es-ES_tradnl"/>
        </w:rPr>
        <w:t xml:space="preserve"> 7</w:t>
      </w:r>
      <w:r w:rsidR="009C5684">
        <w:rPr>
          <w:rStyle w:val="Refdenotaalpie"/>
          <w:rFonts w:ascii="Cambria" w:hAnsi="Cambria"/>
          <w:i w:val="0"/>
          <w:sz w:val="20"/>
          <w:szCs w:val="20"/>
          <w:lang w:val="es-ES_tradnl"/>
        </w:rPr>
        <w:footnoteReference w:id="84"/>
      </w:r>
      <w:r w:rsidR="007A4C89">
        <w:rPr>
          <w:rFonts w:ascii="Cambria" w:hAnsi="Cambria"/>
          <w:i w:val="0"/>
          <w:sz w:val="20"/>
          <w:szCs w:val="20"/>
          <w:lang w:val="es-ES_tradnl"/>
        </w:rPr>
        <w:t xml:space="preserve"> y 8</w:t>
      </w:r>
      <w:r w:rsidR="00B26282">
        <w:rPr>
          <w:rStyle w:val="Refdenotaalpie"/>
          <w:rFonts w:ascii="Cambria" w:hAnsi="Cambria"/>
          <w:i w:val="0"/>
          <w:sz w:val="20"/>
          <w:szCs w:val="20"/>
          <w:lang w:val="es-ES_tradnl"/>
        </w:rPr>
        <w:footnoteReference w:id="85"/>
      </w:r>
      <w:r w:rsidRPr="001D5E6C">
        <w:rPr>
          <w:rFonts w:ascii="Cambria" w:hAnsi="Cambria"/>
          <w:i w:val="0"/>
          <w:sz w:val="20"/>
          <w:szCs w:val="20"/>
          <w:lang w:val="es-ES_tradnl"/>
        </w:rPr>
        <w:t xml:space="preserve"> de la Convención Americana en relación con el artículo 1.1</w:t>
      </w:r>
      <w:r w:rsidR="0058214B">
        <w:rPr>
          <w:rStyle w:val="Refdenotaalpie"/>
          <w:rFonts w:ascii="Cambria" w:hAnsi="Cambria"/>
          <w:i w:val="0"/>
          <w:sz w:val="20"/>
          <w:szCs w:val="20"/>
          <w:lang w:val="es-ES_tradnl"/>
        </w:rPr>
        <w:footnoteReference w:id="86"/>
      </w:r>
      <w:r w:rsidRPr="001D5E6C">
        <w:rPr>
          <w:rFonts w:ascii="Cambria" w:hAnsi="Cambria"/>
          <w:i w:val="0"/>
          <w:sz w:val="20"/>
          <w:szCs w:val="20"/>
          <w:lang w:val="es-ES_tradnl"/>
        </w:rPr>
        <w:t xml:space="preserve"> </w:t>
      </w:r>
      <w:r w:rsidR="007A4C89">
        <w:rPr>
          <w:rFonts w:ascii="Cambria" w:hAnsi="Cambria"/>
          <w:i w:val="0"/>
          <w:sz w:val="20"/>
          <w:szCs w:val="20"/>
          <w:lang w:val="es-ES_tradnl"/>
        </w:rPr>
        <w:t>y 2</w:t>
      </w:r>
      <w:r w:rsidR="00F5151F">
        <w:rPr>
          <w:rStyle w:val="Refdenotaalpie"/>
          <w:rFonts w:ascii="Cambria" w:hAnsi="Cambria"/>
          <w:i w:val="0"/>
          <w:sz w:val="20"/>
          <w:szCs w:val="20"/>
          <w:lang w:val="es-ES_tradnl"/>
        </w:rPr>
        <w:footnoteReference w:id="87"/>
      </w:r>
      <w:r w:rsidR="007A4C89">
        <w:rPr>
          <w:rFonts w:ascii="Cambria" w:hAnsi="Cambria"/>
          <w:i w:val="0"/>
          <w:sz w:val="20"/>
          <w:szCs w:val="20"/>
          <w:lang w:val="es-ES_tradnl"/>
        </w:rPr>
        <w:t xml:space="preserve"> </w:t>
      </w:r>
      <w:r w:rsidRPr="001D5E6C">
        <w:rPr>
          <w:rFonts w:ascii="Cambria" w:hAnsi="Cambria"/>
          <w:i w:val="0"/>
          <w:sz w:val="20"/>
          <w:szCs w:val="20"/>
          <w:lang w:val="es-ES_tradnl"/>
        </w:rPr>
        <w:t>del mismo</w:t>
      </w:r>
      <w:r w:rsidR="0017242C">
        <w:rPr>
          <w:rFonts w:ascii="Cambria" w:hAnsi="Cambria"/>
          <w:i w:val="0"/>
          <w:sz w:val="20"/>
          <w:szCs w:val="20"/>
          <w:lang w:val="es-ES_tradnl"/>
        </w:rPr>
        <w:t xml:space="preserve"> instrumento)</w:t>
      </w:r>
      <w:bookmarkEnd w:id="9"/>
      <w:r w:rsidR="00480B6B">
        <w:rPr>
          <w:rFonts w:ascii="Cambria" w:hAnsi="Cambria"/>
          <w:i w:val="0"/>
          <w:sz w:val="20"/>
          <w:szCs w:val="20"/>
          <w:lang w:val="es-ES_tradnl"/>
        </w:rPr>
        <w:t xml:space="preserve"> </w:t>
      </w:r>
    </w:p>
    <w:p w14:paraId="47879CBA" w14:textId="77777777" w:rsidR="00480B6B" w:rsidRPr="00480B6B" w:rsidRDefault="00480B6B" w:rsidP="00480B6B">
      <w:pPr>
        <w:rPr>
          <w:lang w:val="es-ES_tradnl"/>
        </w:rPr>
      </w:pPr>
    </w:p>
    <w:p w14:paraId="389473B9" w14:textId="77777777" w:rsidR="008F6279" w:rsidRPr="008F6279" w:rsidRDefault="0083379C" w:rsidP="008F6279">
      <w:pPr>
        <w:pStyle w:val="Ttulo3"/>
        <w:numPr>
          <w:ilvl w:val="0"/>
          <w:numId w:val="60"/>
        </w:numPr>
        <w:spacing w:before="0" w:after="0"/>
        <w:ind w:hanging="90"/>
        <w:rPr>
          <w:rFonts w:ascii="Cambria" w:hAnsi="Cambria"/>
          <w:sz w:val="20"/>
          <w:szCs w:val="20"/>
          <w:lang w:val="es-ES"/>
        </w:rPr>
      </w:pPr>
      <w:bookmarkStart w:id="10" w:name="_Toc529373719"/>
      <w:bookmarkStart w:id="11" w:name="_Toc529374053"/>
      <w:r>
        <w:rPr>
          <w:rFonts w:ascii="Cambria" w:hAnsi="Cambria"/>
          <w:sz w:val="20"/>
          <w:szCs w:val="20"/>
          <w:lang w:val="es-ES"/>
        </w:rPr>
        <w:t>Sobre el d</w:t>
      </w:r>
      <w:r w:rsidR="0017242C">
        <w:rPr>
          <w:rFonts w:ascii="Cambria" w:hAnsi="Cambria"/>
          <w:sz w:val="20"/>
          <w:szCs w:val="20"/>
          <w:lang w:val="es-ES"/>
        </w:rPr>
        <w:t xml:space="preserve">erecho </w:t>
      </w:r>
      <w:proofErr w:type="gramStart"/>
      <w:r w:rsidR="0017242C">
        <w:rPr>
          <w:rFonts w:ascii="Cambria" w:hAnsi="Cambria"/>
          <w:sz w:val="20"/>
          <w:szCs w:val="20"/>
          <w:lang w:val="es-ES"/>
        </w:rPr>
        <w:t xml:space="preserve">a </w:t>
      </w:r>
      <w:r w:rsidR="00480B6B">
        <w:rPr>
          <w:rFonts w:ascii="Cambria" w:hAnsi="Cambria"/>
          <w:sz w:val="20"/>
          <w:szCs w:val="20"/>
          <w:lang w:val="es-ES"/>
        </w:rPr>
        <w:t xml:space="preserve"> no</w:t>
      </w:r>
      <w:proofErr w:type="gramEnd"/>
      <w:r w:rsidR="00480B6B">
        <w:rPr>
          <w:rFonts w:ascii="Cambria" w:hAnsi="Cambria"/>
          <w:sz w:val="20"/>
          <w:szCs w:val="20"/>
          <w:lang w:val="es-ES"/>
        </w:rPr>
        <w:t xml:space="preserve"> ser privado de la libe</w:t>
      </w:r>
      <w:r w:rsidR="003D143B">
        <w:rPr>
          <w:rFonts w:ascii="Cambria" w:hAnsi="Cambria"/>
          <w:sz w:val="20"/>
          <w:szCs w:val="20"/>
          <w:lang w:val="es-ES"/>
        </w:rPr>
        <w:t>rtad ilegalmente</w:t>
      </w:r>
      <w:bookmarkEnd w:id="10"/>
      <w:bookmarkEnd w:id="11"/>
      <w:r w:rsidR="007A4C89">
        <w:rPr>
          <w:rFonts w:ascii="Cambria" w:hAnsi="Cambria"/>
          <w:sz w:val="20"/>
          <w:szCs w:val="20"/>
          <w:lang w:val="es-ES"/>
        </w:rPr>
        <w:t xml:space="preserve"> </w:t>
      </w:r>
    </w:p>
    <w:p w14:paraId="3228461E" w14:textId="77777777" w:rsidR="00EE0546" w:rsidRDefault="00EE0546" w:rsidP="00EF1E8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4E16B26E" w14:textId="77777777" w:rsidR="00046C31" w:rsidRPr="00046C31" w:rsidRDefault="00EE0546" w:rsidP="00046C3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EE0546">
        <w:rPr>
          <w:rFonts w:ascii="Cambria" w:hAnsi="Cambria" w:cs="Arial"/>
          <w:sz w:val="20"/>
          <w:szCs w:val="20"/>
          <w:lang w:val="es-ES"/>
        </w:rPr>
        <w:t xml:space="preserve">En cuanto </w:t>
      </w:r>
      <w:r w:rsidRPr="00EE0546">
        <w:rPr>
          <w:rFonts w:ascii="Cambria" w:hAnsi="Cambria" w:cs="Arial"/>
          <w:sz w:val="20"/>
          <w:szCs w:val="20"/>
          <w:lang w:val="es-CO"/>
        </w:rPr>
        <w:t>al artículo 7.2 de la Convención, la Corte Interamericana ha indicado que el mismo “</w:t>
      </w:r>
      <w:r w:rsidRPr="00EE0546">
        <w:rPr>
          <w:rFonts w:ascii="Cambria" w:hAnsi="Cambria"/>
          <w:sz w:val="20"/>
          <w:szCs w:val="20"/>
          <w:lang w:val="es-CO"/>
        </w:rPr>
        <w:t>reconoce la garantía primaria del derecho a la libertad física: la reserva de ley, según la cual, únicamente a través de una ley puede afectarse el derecho a la libertad personal”</w:t>
      </w:r>
      <w:r w:rsidRPr="000165FD">
        <w:rPr>
          <w:rStyle w:val="Refdenotaalpie"/>
          <w:rFonts w:ascii="Cambria" w:hAnsi="Cambria"/>
          <w:sz w:val="20"/>
          <w:szCs w:val="20"/>
        </w:rPr>
        <w:footnoteReference w:id="88"/>
      </w:r>
      <w:r w:rsidRPr="00EE0546">
        <w:rPr>
          <w:rFonts w:ascii="Cambria" w:hAnsi="Cambria"/>
          <w:sz w:val="20"/>
          <w:szCs w:val="20"/>
          <w:lang w:val="es-CO"/>
        </w:rPr>
        <w:t>.</w:t>
      </w:r>
      <w:r w:rsidRPr="00EE0546">
        <w:rPr>
          <w:rFonts w:ascii="Cambria" w:hAnsi="Cambria"/>
          <w:b/>
          <w:sz w:val="20"/>
          <w:szCs w:val="20"/>
          <w:lang w:val="es-CO"/>
        </w:rPr>
        <w:t xml:space="preserve"> </w:t>
      </w:r>
      <w:r w:rsidRPr="00EE0546">
        <w:rPr>
          <w:rFonts w:ascii="Cambria" w:hAnsi="Cambria"/>
          <w:sz w:val="20"/>
          <w:szCs w:val="20"/>
          <w:lang w:val="es-US"/>
        </w:rPr>
        <w:t xml:space="preserve">La reserva de ley que se requiere para afectar el derecho a la </w:t>
      </w:r>
      <w:r w:rsidRPr="00EE0546">
        <w:rPr>
          <w:rFonts w:ascii="Cambria" w:hAnsi="Cambria"/>
          <w:sz w:val="20"/>
          <w:szCs w:val="20"/>
          <w:lang w:val="es-ES"/>
        </w:rPr>
        <w:t>libertad</w:t>
      </w:r>
      <w:r w:rsidRPr="00EE0546">
        <w:rPr>
          <w:rFonts w:ascii="Cambria" w:hAnsi="Cambria"/>
          <w:sz w:val="20"/>
          <w:szCs w:val="20"/>
          <w:lang w:val="es-US"/>
        </w:rPr>
        <w:t xml:space="preserve"> personal de conformidad con el artículo 7.2 de la Convención es que debe forzosamente ir acompañada del principio de tipicidad, que obliga a los Estados a establecer, tan concretamente como sea posible y “de antemano”, las “causas” y “condiciones” de la privación de la libertad física. Por ello, cualquier requisito establecido en la ley nacional que no sea cumplido al privar a una persona de su libertad, generará que tal privación sea ilegal y contraria a la Convención Americana</w:t>
      </w:r>
      <w:r w:rsidRPr="000165FD">
        <w:rPr>
          <w:rStyle w:val="Refdenotaalpie"/>
          <w:rFonts w:ascii="Cambria" w:hAnsi="Cambria"/>
          <w:sz w:val="20"/>
          <w:szCs w:val="20"/>
          <w:lang w:val="es-ES"/>
        </w:rPr>
        <w:footnoteReference w:id="89"/>
      </w:r>
      <w:r w:rsidRPr="00EE0546">
        <w:rPr>
          <w:rFonts w:ascii="Cambria" w:hAnsi="Cambria"/>
          <w:sz w:val="20"/>
          <w:szCs w:val="20"/>
          <w:lang w:val="es-US"/>
        </w:rPr>
        <w:t>.</w:t>
      </w:r>
    </w:p>
    <w:p w14:paraId="57C81561" w14:textId="77777777" w:rsidR="00046C31" w:rsidRPr="00046C31" w:rsidRDefault="00046C31" w:rsidP="00046C3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31E907E6" w14:textId="77777777" w:rsidR="0017242C" w:rsidRPr="00D329F5" w:rsidRDefault="002A30EC" w:rsidP="00EF47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17242C">
        <w:rPr>
          <w:rFonts w:ascii="Cambria" w:hAnsi="Cambria" w:cs="Arial"/>
          <w:sz w:val="20"/>
          <w:szCs w:val="20"/>
          <w:lang w:val="es-ES"/>
        </w:rPr>
        <w:t>La</w:t>
      </w:r>
      <w:r w:rsidRPr="002A30EC">
        <w:rPr>
          <w:rFonts w:ascii="Cambria" w:hAnsi="Cambria"/>
          <w:sz w:val="20"/>
          <w:szCs w:val="20"/>
          <w:lang w:val="es-VE"/>
        </w:rPr>
        <w:t xml:space="preserve"> legislaci</w:t>
      </w:r>
      <w:r w:rsidR="00C76681">
        <w:rPr>
          <w:rFonts w:ascii="Cambria" w:hAnsi="Cambria"/>
          <w:sz w:val="20"/>
          <w:szCs w:val="20"/>
          <w:lang w:val="es-VE"/>
        </w:rPr>
        <w:t>ón u</w:t>
      </w:r>
      <w:r w:rsidRPr="002A30EC">
        <w:rPr>
          <w:rFonts w:ascii="Cambria" w:hAnsi="Cambria"/>
          <w:sz w:val="20"/>
          <w:szCs w:val="20"/>
          <w:lang w:val="es-VE"/>
        </w:rPr>
        <w:t>tilizada en Venezuela para regular las detenciones dentro del marco de la investigación criminal</w:t>
      </w:r>
      <w:r w:rsidR="0017242C">
        <w:rPr>
          <w:rFonts w:ascii="Cambria" w:hAnsi="Cambria"/>
          <w:sz w:val="20"/>
          <w:szCs w:val="20"/>
          <w:lang w:val="es-VE"/>
        </w:rPr>
        <w:t xml:space="preserve"> del presente caso fue analizada por la Corte Interamericana en el</w:t>
      </w:r>
      <w:r w:rsidR="0017242C" w:rsidRPr="004F2DEE">
        <w:rPr>
          <w:rFonts w:ascii="Cambria" w:hAnsi="Cambria"/>
          <w:sz w:val="20"/>
          <w:szCs w:val="20"/>
          <w:lang w:val="es-VE"/>
        </w:rPr>
        <w:t xml:space="preserve"> </w:t>
      </w:r>
      <w:r w:rsidR="004F2DEE">
        <w:rPr>
          <w:rFonts w:ascii="Cambria" w:hAnsi="Cambria"/>
          <w:sz w:val="20"/>
          <w:szCs w:val="20"/>
          <w:lang w:val="es-VE"/>
        </w:rPr>
        <w:t>c</w:t>
      </w:r>
      <w:r w:rsidR="0017242C" w:rsidRPr="004F2DEE">
        <w:rPr>
          <w:rFonts w:ascii="Cambria" w:hAnsi="Cambria"/>
          <w:sz w:val="20"/>
          <w:szCs w:val="20"/>
          <w:lang w:val="es-VE"/>
        </w:rPr>
        <w:t>aso</w:t>
      </w:r>
      <w:r w:rsidR="0017242C" w:rsidRPr="0017242C">
        <w:rPr>
          <w:rFonts w:ascii="Cambria" w:hAnsi="Cambria"/>
          <w:i/>
          <w:sz w:val="20"/>
          <w:szCs w:val="20"/>
          <w:lang w:val="es-VE"/>
        </w:rPr>
        <w:t xml:space="preserve"> Barreto Leiva </w:t>
      </w:r>
      <w:r w:rsidR="00B959EE">
        <w:rPr>
          <w:rFonts w:ascii="Cambria" w:hAnsi="Cambria"/>
          <w:i/>
          <w:sz w:val="20"/>
          <w:szCs w:val="20"/>
          <w:lang w:val="es-VE"/>
        </w:rPr>
        <w:t>v</w:t>
      </w:r>
      <w:r w:rsidR="0017242C" w:rsidRPr="0017242C">
        <w:rPr>
          <w:rFonts w:ascii="Cambria" w:hAnsi="Cambria"/>
          <w:i/>
          <w:sz w:val="20"/>
          <w:szCs w:val="20"/>
          <w:lang w:val="es-VE"/>
        </w:rPr>
        <w:t>s. Venezuela</w:t>
      </w:r>
      <w:r w:rsidR="0017242C">
        <w:rPr>
          <w:rFonts w:ascii="Cambria" w:hAnsi="Cambria"/>
          <w:sz w:val="20"/>
          <w:szCs w:val="20"/>
          <w:lang w:val="es-VE"/>
        </w:rPr>
        <w:t xml:space="preserve">. </w:t>
      </w:r>
      <w:r w:rsidR="0017242C" w:rsidRPr="00EF4727">
        <w:rPr>
          <w:rFonts w:ascii="Cambria" w:hAnsi="Cambria"/>
          <w:sz w:val="20"/>
          <w:szCs w:val="20"/>
          <w:lang w:val="es-VE"/>
        </w:rPr>
        <w:t xml:space="preserve">Al respecto, la Corte </w:t>
      </w:r>
      <w:r w:rsidR="00EF4727">
        <w:rPr>
          <w:rFonts w:ascii="Cambria" w:hAnsi="Cambria"/>
          <w:sz w:val="20"/>
          <w:szCs w:val="20"/>
          <w:lang w:val="es-VE"/>
        </w:rPr>
        <w:t xml:space="preserve">indicó que conforme a la Constitución y el Código de Enjuiciamiento Criminal </w:t>
      </w:r>
      <w:r w:rsidR="00EF4727" w:rsidRPr="000165FD">
        <w:rPr>
          <w:rFonts w:ascii="Cambria" w:hAnsi="Cambria"/>
          <w:sz w:val="20"/>
          <w:szCs w:val="20"/>
          <w:lang w:val="es-ES"/>
        </w:rPr>
        <w:t xml:space="preserve">para que la detención fuera legal bajo la Convención Americana se requería una orden judicial, salvo que la persona hubiere </w:t>
      </w:r>
      <w:r w:rsidR="00EF4727" w:rsidRPr="00D329F5">
        <w:rPr>
          <w:rFonts w:ascii="Cambria" w:hAnsi="Cambria"/>
          <w:sz w:val="20"/>
          <w:szCs w:val="20"/>
          <w:lang w:val="es-ES"/>
        </w:rPr>
        <w:t xml:space="preserve">sido aprehendida en delito fragante. </w:t>
      </w:r>
    </w:p>
    <w:p w14:paraId="53E0DE57" w14:textId="77777777" w:rsidR="00F05949" w:rsidRPr="00D329F5" w:rsidRDefault="00F05949"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74BE9CFF" w14:textId="77777777" w:rsidR="00276651" w:rsidRPr="000165FD" w:rsidRDefault="00D020BB" w:rsidP="0027665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sz w:val="20"/>
          <w:szCs w:val="20"/>
          <w:lang w:val="es-VE"/>
        </w:rPr>
        <w:t xml:space="preserve">Conforme a los hechos establecidos, </w:t>
      </w:r>
      <w:r w:rsidR="0019275A" w:rsidRPr="00D329F5">
        <w:rPr>
          <w:rFonts w:ascii="Cambria" w:hAnsi="Cambria"/>
          <w:sz w:val="20"/>
          <w:szCs w:val="20"/>
          <w:lang w:val="es-VE"/>
        </w:rPr>
        <w:t>María Angélica, Belkis Mirelis y Fernando González fueron detenidos el 23 de noviembre de 1998</w:t>
      </w:r>
      <w:r w:rsidR="0031347F">
        <w:rPr>
          <w:rFonts w:ascii="Cambria" w:hAnsi="Cambria"/>
          <w:sz w:val="20"/>
          <w:szCs w:val="20"/>
          <w:lang w:val="es-VE"/>
        </w:rPr>
        <w:t xml:space="preserve">; mientras que </w:t>
      </w:r>
      <w:r w:rsidRPr="00EF764F">
        <w:rPr>
          <w:rFonts w:ascii="Cambria" w:hAnsi="Cambria"/>
          <w:sz w:val="20"/>
          <w:szCs w:val="20"/>
          <w:lang w:val="es-VE"/>
        </w:rPr>
        <w:t xml:space="preserve">Wilmer Antonio Barliza, Luis Guillermo y Olimpiades González </w:t>
      </w:r>
      <w:r>
        <w:rPr>
          <w:rFonts w:ascii="Cambria" w:hAnsi="Cambria"/>
          <w:sz w:val="20"/>
          <w:szCs w:val="20"/>
          <w:lang w:val="es-VE"/>
        </w:rPr>
        <w:t xml:space="preserve">fueron detenidos el </w:t>
      </w:r>
      <w:r w:rsidRPr="00EF764F">
        <w:rPr>
          <w:rFonts w:ascii="Cambria" w:hAnsi="Cambria"/>
          <w:sz w:val="20"/>
          <w:szCs w:val="20"/>
          <w:lang w:val="es-VE"/>
        </w:rPr>
        <w:t>28 de enero de 1999.</w:t>
      </w:r>
      <w:r>
        <w:rPr>
          <w:rFonts w:ascii="Cambria" w:hAnsi="Cambria"/>
          <w:sz w:val="20"/>
          <w:szCs w:val="20"/>
          <w:lang w:val="es-VE"/>
        </w:rPr>
        <w:t xml:space="preserve"> </w:t>
      </w:r>
      <w:r w:rsidR="003727A5" w:rsidRPr="000165FD">
        <w:rPr>
          <w:rFonts w:ascii="Cambria" w:hAnsi="Cambria"/>
          <w:sz w:val="20"/>
          <w:szCs w:val="20"/>
          <w:lang w:val="es-ES"/>
        </w:rPr>
        <w:t>La CIDH nota que no consta en el expediente documento alguno que acredite que al momento de dicha</w:t>
      </w:r>
      <w:r w:rsidR="009F4A86">
        <w:rPr>
          <w:rFonts w:ascii="Cambria" w:hAnsi="Cambria"/>
          <w:sz w:val="20"/>
          <w:szCs w:val="20"/>
          <w:lang w:val="es-ES"/>
        </w:rPr>
        <w:t>s</w:t>
      </w:r>
      <w:r w:rsidR="003727A5" w:rsidRPr="000165FD">
        <w:rPr>
          <w:rFonts w:ascii="Cambria" w:hAnsi="Cambria"/>
          <w:sz w:val="20"/>
          <w:szCs w:val="20"/>
          <w:lang w:val="es-ES"/>
        </w:rPr>
        <w:t xml:space="preserve"> detenci</w:t>
      </w:r>
      <w:r w:rsidR="009F4A86">
        <w:rPr>
          <w:rFonts w:ascii="Cambria" w:hAnsi="Cambria"/>
          <w:sz w:val="20"/>
          <w:szCs w:val="20"/>
          <w:lang w:val="es-ES"/>
        </w:rPr>
        <w:t>ones</w:t>
      </w:r>
      <w:r w:rsidR="003727A5" w:rsidRPr="000165FD">
        <w:rPr>
          <w:rFonts w:ascii="Cambria" w:hAnsi="Cambria"/>
          <w:sz w:val="20"/>
          <w:szCs w:val="20"/>
          <w:lang w:val="es-ES"/>
        </w:rPr>
        <w:t xml:space="preserve"> existía una</w:t>
      </w:r>
      <w:r w:rsidR="00E4338F">
        <w:rPr>
          <w:rFonts w:ascii="Cambria" w:hAnsi="Cambria"/>
          <w:sz w:val="20"/>
          <w:szCs w:val="20"/>
          <w:lang w:val="es-ES"/>
        </w:rPr>
        <w:t xml:space="preserve"> orden judicial </w:t>
      </w:r>
      <w:r w:rsidR="003727A5" w:rsidRPr="000165FD">
        <w:rPr>
          <w:rFonts w:ascii="Cambria" w:hAnsi="Cambria"/>
          <w:sz w:val="20"/>
          <w:szCs w:val="20"/>
          <w:lang w:val="es-ES"/>
        </w:rPr>
        <w:t xml:space="preserve">individualizada en </w:t>
      </w:r>
      <w:r w:rsidR="00276651">
        <w:rPr>
          <w:rFonts w:ascii="Cambria" w:hAnsi="Cambria"/>
          <w:sz w:val="20"/>
          <w:szCs w:val="20"/>
          <w:lang w:val="es-ES"/>
        </w:rPr>
        <w:t xml:space="preserve">contra de dichas personas </w:t>
      </w:r>
      <w:r w:rsidR="003727A5" w:rsidRPr="000165FD">
        <w:rPr>
          <w:rFonts w:ascii="Cambria" w:hAnsi="Cambria"/>
          <w:sz w:val="20"/>
          <w:szCs w:val="20"/>
          <w:lang w:val="es-ES"/>
        </w:rPr>
        <w:t>po</w:t>
      </w:r>
      <w:r w:rsidR="00276651">
        <w:rPr>
          <w:rFonts w:ascii="Cambria" w:hAnsi="Cambria"/>
          <w:sz w:val="20"/>
          <w:szCs w:val="20"/>
          <w:lang w:val="es-ES"/>
        </w:rPr>
        <w:t xml:space="preserve">r parte de autoridad competente. </w:t>
      </w:r>
      <w:r w:rsidR="00276651" w:rsidRPr="000165FD">
        <w:rPr>
          <w:rFonts w:ascii="Cambria" w:hAnsi="Cambria"/>
          <w:sz w:val="20"/>
          <w:szCs w:val="20"/>
          <w:lang w:val="es-ES"/>
        </w:rPr>
        <w:t xml:space="preserve">En cuanto a la posibilidad de flagrancia, el Estado no ha invocado tal causal ni existen elementos que indiquen que al momento de </w:t>
      </w:r>
      <w:r w:rsidR="00BB1E10">
        <w:rPr>
          <w:rFonts w:ascii="Cambria" w:hAnsi="Cambria"/>
          <w:sz w:val="20"/>
          <w:szCs w:val="20"/>
          <w:lang w:val="es-ES"/>
        </w:rPr>
        <w:t>las detenciones</w:t>
      </w:r>
      <w:r w:rsidR="00276651" w:rsidRPr="000165FD">
        <w:rPr>
          <w:rFonts w:ascii="Cambria" w:hAnsi="Cambria"/>
          <w:sz w:val="20"/>
          <w:szCs w:val="20"/>
          <w:lang w:val="es-ES"/>
        </w:rPr>
        <w:t xml:space="preserve"> esta causal estuviese configurada. </w:t>
      </w:r>
    </w:p>
    <w:p w14:paraId="4F99EA55" w14:textId="77777777" w:rsidR="00EF764F" w:rsidRPr="00D329F5" w:rsidRDefault="00EF764F" w:rsidP="00EF764F">
      <w:pPr>
        <w:pStyle w:val="Prrafodelista"/>
        <w:ind w:left="0"/>
        <w:rPr>
          <w:rFonts w:ascii="Cambria" w:hAnsi="Cambria"/>
          <w:sz w:val="20"/>
          <w:szCs w:val="20"/>
          <w:lang w:val="es-VE"/>
        </w:rPr>
      </w:pPr>
    </w:p>
    <w:p w14:paraId="5EBF96EB" w14:textId="77777777" w:rsidR="00EF764F" w:rsidRPr="000165FD" w:rsidRDefault="00EF764F" w:rsidP="00EF764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0165FD">
        <w:rPr>
          <w:rFonts w:ascii="Cambria" w:hAnsi="Cambria"/>
          <w:sz w:val="20"/>
          <w:szCs w:val="20"/>
          <w:lang w:val="es-ES"/>
        </w:rPr>
        <w:t xml:space="preserve">Por lo expuesto, la Comisión concluye que el Estado de </w:t>
      </w:r>
      <w:r w:rsidR="00641D9E">
        <w:rPr>
          <w:rFonts w:ascii="Cambria" w:hAnsi="Cambria"/>
          <w:sz w:val="20"/>
          <w:szCs w:val="20"/>
          <w:lang w:val="es-ES"/>
        </w:rPr>
        <w:t>Venez</w:t>
      </w:r>
      <w:r w:rsidR="003F5F64">
        <w:rPr>
          <w:rFonts w:ascii="Cambria" w:hAnsi="Cambria"/>
          <w:sz w:val="20"/>
          <w:szCs w:val="20"/>
          <w:lang w:val="es-ES"/>
        </w:rPr>
        <w:t xml:space="preserve">uela </w:t>
      </w:r>
      <w:r w:rsidRPr="000165FD">
        <w:rPr>
          <w:rFonts w:ascii="Cambria" w:hAnsi="Cambria"/>
          <w:sz w:val="20"/>
          <w:szCs w:val="20"/>
          <w:lang w:val="es-ES"/>
        </w:rPr>
        <w:t xml:space="preserve">violó los artículos 7.1 y 7.2 de la Convención en relación con las obligaciones establecidas en </w:t>
      </w:r>
      <w:r w:rsidR="00027EB9">
        <w:rPr>
          <w:rFonts w:ascii="Cambria" w:hAnsi="Cambria"/>
          <w:sz w:val="20"/>
          <w:szCs w:val="20"/>
          <w:lang w:val="es-ES"/>
        </w:rPr>
        <w:t xml:space="preserve">el </w:t>
      </w:r>
      <w:r w:rsidR="00A85163">
        <w:rPr>
          <w:rFonts w:ascii="Cambria" w:hAnsi="Cambria"/>
          <w:sz w:val="20"/>
          <w:szCs w:val="20"/>
          <w:lang w:val="es-ES"/>
        </w:rPr>
        <w:t>artículo</w:t>
      </w:r>
      <w:r w:rsidRPr="000165FD">
        <w:rPr>
          <w:rFonts w:ascii="Cambria" w:hAnsi="Cambria"/>
          <w:sz w:val="20"/>
          <w:szCs w:val="20"/>
          <w:lang w:val="es-ES"/>
        </w:rPr>
        <w:t xml:space="preserve"> 1.1 del mismo instrumento, en perjuicio de </w:t>
      </w:r>
      <w:r w:rsidRPr="00EF764F">
        <w:rPr>
          <w:rFonts w:ascii="Cambria" w:hAnsi="Cambria"/>
          <w:sz w:val="20"/>
          <w:szCs w:val="20"/>
          <w:lang w:val="es-VE"/>
        </w:rPr>
        <w:t>María Angélica</w:t>
      </w:r>
      <w:r>
        <w:rPr>
          <w:rFonts w:ascii="Cambria" w:hAnsi="Cambria"/>
          <w:sz w:val="20"/>
          <w:szCs w:val="20"/>
          <w:lang w:val="es-VE"/>
        </w:rPr>
        <w:t xml:space="preserve"> González</w:t>
      </w:r>
      <w:r w:rsidRPr="00EF764F">
        <w:rPr>
          <w:rFonts w:ascii="Cambria" w:hAnsi="Cambria"/>
          <w:sz w:val="20"/>
          <w:szCs w:val="20"/>
          <w:lang w:val="es-VE"/>
        </w:rPr>
        <w:t>, Belkis Mirelis</w:t>
      </w:r>
      <w:r>
        <w:rPr>
          <w:rFonts w:ascii="Cambria" w:hAnsi="Cambria"/>
          <w:sz w:val="20"/>
          <w:szCs w:val="20"/>
          <w:lang w:val="es-VE"/>
        </w:rPr>
        <w:t xml:space="preserve"> González,</w:t>
      </w:r>
      <w:r w:rsidRPr="00EF764F">
        <w:rPr>
          <w:rFonts w:ascii="Cambria" w:hAnsi="Cambria"/>
          <w:sz w:val="20"/>
          <w:szCs w:val="20"/>
          <w:lang w:val="es-VE"/>
        </w:rPr>
        <w:t xml:space="preserve"> Fernando González</w:t>
      </w:r>
      <w:r>
        <w:rPr>
          <w:rFonts w:ascii="Cambria" w:hAnsi="Cambria"/>
          <w:sz w:val="20"/>
          <w:szCs w:val="20"/>
          <w:lang w:val="es-VE"/>
        </w:rPr>
        <w:t xml:space="preserve">, </w:t>
      </w:r>
      <w:r w:rsidRPr="00EF764F">
        <w:rPr>
          <w:rFonts w:ascii="Cambria" w:hAnsi="Cambria"/>
          <w:sz w:val="20"/>
          <w:szCs w:val="20"/>
          <w:lang w:val="es-VE"/>
        </w:rPr>
        <w:t xml:space="preserve">Wilmer Antonio Barliza, Luis Guillermo </w:t>
      </w:r>
      <w:r>
        <w:rPr>
          <w:rFonts w:ascii="Cambria" w:hAnsi="Cambria"/>
          <w:sz w:val="20"/>
          <w:szCs w:val="20"/>
          <w:lang w:val="es-VE"/>
        </w:rPr>
        <w:t xml:space="preserve">González </w:t>
      </w:r>
      <w:r w:rsidRPr="00EF764F">
        <w:rPr>
          <w:rFonts w:ascii="Cambria" w:hAnsi="Cambria"/>
          <w:sz w:val="20"/>
          <w:szCs w:val="20"/>
          <w:lang w:val="es-VE"/>
        </w:rPr>
        <w:t>y Olimpiades González</w:t>
      </w:r>
      <w:r w:rsidRPr="000165FD">
        <w:rPr>
          <w:rFonts w:ascii="Cambria" w:hAnsi="Cambria"/>
          <w:sz w:val="20"/>
          <w:szCs w:val="20"/>
          <w:lang w:val="es-ES"/>
        </w:rPr>
        <w:t>.</w:t>
      </w:r>
    </w:p>
    <w:p w14:paraId="770D9F9E" w14:textId="77777777" w:rsidR="00632B11" w:rsidRPr="00D329F5" w:rsidRDefault="00632B11" w:rsidP="00EF4727">
      <w:pPr>
        <w:jc w:val="both"/>
        <w:rPr>
          <w:rFonts w:ascii="Cambria" w:hAnsi="Cambria"/>
          <w:b/>
          <w:sz w:val="20"/>
          <w:szCs w:val="20"/>
          <w:lang w:val="es-ES"/>
        </w:rPr>
      </w:pPr>
    </w:p>
    <w:p w14:paraId="60B15FF7" w14:textId="77777777" w:rsidR="006D1DFD" w:rsidRPr="00D329F5" w:rsidRDefault="00632B11" w:rsidP="00EF4727">
      <w:pPr>
        <w:ind w:left="1440" w:hanging="810"/>
        <w:jc w:val="both"/>
        <w:rPr>
          <w:rFonts w:ascii="Cambria" w:hAnsi="Cambria"/>
          <w:b/>
          <w:sz w:val="20"/>
          <w:szCs w:val="20"/>
          <w:lang w:val="es-ES_tradnl"/>
        </w:rPr>
      </w:pPr>
      <w:bookmarkStart w:id="12" w:name="_Toc495585549"/>
      <w:r w:rsidRPr="00D329F5">
        <w:rPr>
          <w:rFonts w:ascii="Cambria" w:hAnsi="Cambria"/>
          <w:b/>
          <w:sz w:val="20"/>
          <w:szCs w:val="20"/>
          <w:lang w:val="es-ES_tradnl"/>
        </w:rPr>
        <w:t>2.</w:t>
      </w:r>
      <w:r w:rsidRPr="00D329F5">
        <w:rPr>
          <w:rFonts w:ascii="Cambria" w:hAnsi="Cambria"/>
          <w:b/>
          <w:sz w:val="20"/>
          <w:szCs w:val="20"/>
          <w:lang w:val="es-ES_tradnl"/>
        </w:rPr>
        <w:tab/>
      </w:r>
      <w:r w:rsidR="0083379C" w:rsidRPr="00D329F5">
        <w:rPr>
          <w:rFonts w:ascii="Cambria" w:hAnsi="Cambria"/>
          <w:b/>
          <w:sz w:val="20"/>
          <w:szCs w:val="20"/>
          <w:lang w:val="es-ES_tradnl"/>
        </w:rPr>
        <w:t>Sobre el d</w:t>
      </w:r>
      <w:r w:rsidRPr="00D329F5">
        <w:rPr>
          <w:rFonts w:ascii="Cambria" w:hAnsi="Cambria"/>
          <w:b/>
          <w:sz w:val="20"/>
          <w:szCs w:val="20"/>
          <w:lang w:val="es-ES_tradnl"/>
        </w:rPr>
        <w:t>erecho a no ser priv</w:t>
      </w:r>
      <w:r w:rsidR="00DB7114" w:rsidRPr="00D329F5">
        <w:rPr>
          <w:rFonts w:ascii="Cambria" w:hAnsi="Cambria"/>
          <w:b/>
          <w:sz w:val="20"/>
          <w:szCs w:val="20"/>
          <w:lang w:val="es-ES_tradnl"/>
        </w:rPr>
        <w:t>ado de libertad arbitrariamente</w:t>
      </w:r>
      <w:r w:rsidR="000264F5" w:rsidRPr="00D329F5">
        <w:rPr>
          <w:rFonts w:ascii="Cambria" w:hAnsi="Cambria"/>
          <w:b/>
          <w:sz w:val="20"/>
          <w:szCs w:val="20"/>
          <w:lang w:val="es-ES_tradnl"/>
        </w:rPr>
        <w:t xml:space="preserve"> </w:t>
      </w:r>
      <w:bookmarkEnd w:id="12"/>
    </w:p>
    <w:p w14:paraId="0FBB7268" w14:textId="77777777" w:rsidR="000264F5" w:rsidRPr="00D329F5" w:rsidRDefault="000264F5"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520B3EF" w14:textId="77777777" w:rsidR="00F04778" w:rsidRPr="00D329F5" w:rsidRDefault="00F04778" w:rsidP="00EF47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329F5">
        <w:rPr>
          <w:rFonts w:ascii="Cambria" w:hAnsi="Cambria" w:cs="Arial"/>
          <w:sz w:val="20"/>
          <w:szCs w:val="20"/>
          <w:lang w:val="es-MX"/>
        </w:rPr>
        <w:t xml:space="preserve">La Comisión y la Corte han señalado que la detención preventiva se encuentra limitada </w:t>
      </w:r>
      <w:r w:rsidRPr="00D329F5">
        <w:rPr>
          <w:rFonts w:ascii="Cambria" w:hAnsi="Cambria"/>
          <w:sz w:val="20"/>
          <w:szCs w:val="20"/>
          <w:lang w:val="es-CO"/>
        </w:rPr>
        <w:t>por los principios de legalidad, presunción de inocencia, necesidad y proporcionalidad</w:t>
      </w:r>
      <w:r w:rsidRPr="00D329F5">
        <w:rPr>
          <w:rStyle w:val="Refdenotaalpie"/>
          <w:rFonts w:ascii="Cambria" w:hAnsi="Cambria"/>
          <w:sz w:val="20"/>
          <w:szCs w:val="20"/>
        </w:rPr>
        <w:footnoteReference w:id="90"/>
      </w:r>
      <w:r w:rsidRPr="00D329F5">
        <w:rPr>
          <w:rFonts w:ascii="Cambria" w:hAnsi="Cambria"/>
          <w:sz w:val="20"/>
          <w:szCs w:val="20"/>
          <w:lang w:val="es-CO"/>
        </w:rPr>
        <w:t>. Asimismo, se trata de una medida cautelar y no punitiva y que es la más severa que se puede imponer al imputado por lo que debe aplicarse excepcionalmente</w:t>
      </w:r>
      <w:r w:rsidR="00EF764F" w:rsidRPr="00EF764F">
        <w:rPr>
          <w:rStyle w:val="Refdenotaalpie"/>
          <w:rFonts w:ascii="Cambria" w:hAnsi="Cambria"/>
          <w:sz w:val="20"/>
          <w:szCs w:val="20"/>
        </w:rPr>
        <w:footnoteReference w:id="91"/>
      </w:r>
      <w:r w:rsidRPr="00D329F5">
        <w:rPr>
          <w:rFonts w:ascii="Cambria" w:hAnsi="Cambria"/>
          <w:sz w:val="20"/>
          <w:szCs w:val="20"/>
          <w:lang w:val="es-CO"/>
        </w:rPr>
        <w:t>. En consideración de ambos órganos del sistema interamericano, la regla debe ser la libertad del procesado mientras se resuelve acerca de su responsabilidad penal</w:t>
      </w:r>
      <w:r w:rsidRPr="00D329F5">
        <w:rPr>
          <w:rStyle w:val="Refdenotaalpie"/>
          <w:rFonts w:ascii="Cambria" w:hAnsi="Cambria"/>
          <w:sz w:val="20"/>
          <w:szCs w:val="20"/>
        </w:rPr>
        <w:footnoteReference w:id="92"/>
      </w:r>
      <w:r w:rsidRPr="00D329F5">
        <w:rPr>
          <w:rFonts w:ascii="Cambria" w:hAnsi="Cambria"/>
          <w:sz w:val="20"/>
          <w:szCs w:val="20"/>
          <w:lang w:val="es-CO"/>
        </w:rPr>
        <w:t xml:space="preserve">. </w:t>
      </w:r>
    </w:p>
    <w:p w14:paraId="72A39B7B" w14:textId="77777777" w:rsidR="00F23388" w:rsidRPr="00D329F5" w:rsidRDefault="00F23388"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0990BEB7" w14:textId="77777777" w:rsidR="00F23388" w:rsidRPr="00D329F5" w:rsidRDefault="000404A2" w:rsidP="00EF47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329F5">
        <w:rPr>
          <w:rFonts w:ascii="Cambria" w:hAnsi="Cambria"/>
          <w:sz w:val="20"/>
          <w:szCs w:val="20"/>
          <w:lang w:val="es-CO"/>
        </w:rPr>
        <w:t>R</w:t>
      </w:r>
      <w:r w:rsidR="0070205E" w:rsidRPr="00D329F5">
        <w:rPr>
          <w:rFonts w:ascii="Cambria" w:hAnsi="Cambria"/>
          <w:sz w:val="20"/>
          <w:szCs w:val="20"/>
          <w:lang w:val="es-CO"/>
        </w:rPr>
        <w:t>especto de las razones que pueden justificar la detención pr</w:t>
      </w:r>
      <w:r w:rsidR="00796479" w:rsidRPr="00D329F5">
        <w:rPr>
          <w:rFonts w:ascii="Cambria" w:hAnsi="Cambria"/>
          <w:sz w:val="20"/>
          <w:szCs w:val="20"/>
          <w:lang w:val="es-CO"/>
        </w:rPr>
        <w:t>eventiva, los órganos del sistem</w:t>
      </w:r>
      <w:r w:rsidR="0070205E" w:rsidRPr="00D329F5">
        <w:rPr>
          <w:rFonts w:ascii="Cambria" w:hAnsi="Cambria"/>
          <w:sz w:val="20"/>
          <w:szCs w:val="20"/>
          <w:lang w:val="es-CO"/>
        </w:rPr>
        <w:t xml:space="preserve">a han interpretado el artículo 7.3 de la Convención Americana en el sentido de que los indicios de responsabilidad son condición necesaria pero no suficiente para imponer tal medida. </w:t>
      </w:r>
      <w:r w:rsidRPr="00D329F5">
        <w:rPr>
          <w:rFonts w:ascii="Cambria" w:hAnsi="Cambria"/>
          <w:sz w:val="20"/>
          <w:szCs w:val="20"/>
          <w:lang w:val="es-CO"/>
        </w:rPr>
        <w:t>La CIDH ha sostenido lo siguiente:</w:t>
      </w:r>
    </w:p>
    <w:p w14:paraId="10F11DDE" w14:textId="77777777" w:rsidR="0070205E" w:rsidRPr="00D329F5" w:rsidRDefault="0070205E"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0D1387A5" w14:textId="77777777" w:rsidR="000404A2" w:rsidRDefault="000404A2" w:rsidP="000404A2">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40"/>
        </w:tabs>
        <w:ind w:left="720" w:right="720"/>
        <w:jc w:val="both"/>
        <w:rPr>
          <w:rFonts w:ascii="Cambria" w:hAnsi="Cambria"/>
          <w:sz w:val="20"/>
          <w:szCs w:val="20"/>
          <w:lang w:val="es-CO"/>
        </w:rPr>
      </w:pPr>
      <w:r w:rsidRPr="002D1F67">
        <w:rPr>
          <w:rFonts w:ascii="Cambria" w:hAnsi="Cambria"/>
          <w:sz w:val="20"/>
          <w:szCs w:val="20"/>
          <w:lang w:val="es-CO"/>
        </w:rPr>
        <w:t>[T]oda decisión por medio de la cual se restrinja el derecho a la libertad personal por medio de la aplicación de la prisión preventiva deberá contener una motivación suficiente e individualizada que permita evaluar si tal detención se ajusta a las condiciones necesarias para su aplicación, particularmente la existencia de fines procesales y las razones por las cuales no proceden medidas menos lesivas para lograr dichos fines</w:t>
      </w:r>
      <w:r w:rsidRPr="002D1F67">
        <w:rPr>
          <w:rStyle w:val="Refdenotaalpie"/>
          <w:rFonts w:ascii="Cambria" w:hAnsi="Cambria"/>
          <w:sz w:val="20"/>
          <w:szCs w:val="20"/>
          <w:lang w:val="es-CO"/>
        </w:rPr>
        <w:footnoteReference w:id="93"/>
      </w:r>
      <w:r w:rsidRPr="002D1F67">
        <w:rPr>
          <w:rFonts w:ascii="Cambria" w:hAnsi="Cambria"/>
          <w:sz w:val="20"/>
          <w:szCs w:val="20"/>
          <w:lang w:val="es-CO"/>
        </w:rPr>
        <w:t>.</w:t>
      </w:r>
    </w:p>
    <w:p w14:paraId="41478F0C" w14:textId="77777777" w:rsidR="002C2F20" w:rsidRPr="00D329F5" w:rsidRDefault="002C2F20"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CO"/>
        </w:rPr>
      </w:pPr>
    </w:p>
    <w:p w14:paraId="71478B7C" w14:textId="77777777" w:rsidR="002C2F20" w:rsidRPr="00D329F5" w:rsidRDefault="002C2F20" w:rsidP="00EF47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329F5">
        <w:rPr>
          <w:rFonts w:ascii="Cambria" w:hAnsi="Cambria" w:cs="Calibri"/>
          <w:sz w:val="20"/>
          <w:szCs w:val="20"/>
          <w:lang w:val="es-CO"/>
        </w:rPr>
        <w:t xml:space="preserve">En esta línea, toda decisión por medio de la cual se restrinja el derecho a la libertad personal por medio de la </w:t>
      </w:r>
      <w:r w:rsidRPr="00D329F5">
        <w:rPr>
          <w:rFonts w:ascii="Cambria" w:hAnsi="Cambria"/>
          <w:sz w:val="20"/>
          <w:szCs w:val="20"/>
          <w:lang w:val="es-CO"/>
        </w:rPr>
        <w:t>aplicación</w:t>
      </w:r>
      <w:r w:rsidRPr="00D329F5">
        <w:rPr>
          <w:rFonts w:ascii="Cambria" w:hAnsi="Cambria" w:cs="Calibri"/>
          <w:sz w:val="20"/>
          <w:szCs w:val="20"/>
          <w:lang w:val="es-CO"/>
        </w:rPr>
        <w:t xml:space="preserve"> de la prisión preventiva deberá contener una motivación suficiente e individualizada que permita evaluar si tal detención se ajusta a las condiciones necesarias para su aplicación</w:t>
      </w:r>
      <w:r w:rsidRPr="00D329F5">
        <w:rPr>
          <w:rStyle w:val="Refdenotaalpie"/>
          <w:rFonts w:ascii="Cambria" w:eastAsia="MS Gothic" w:hAnsi="Cambria" w:cs="Calibri"/>
          <w:sz w:val="20"/>
          <w:szCs w:val="20"/>
          <w:lang w:val="es-CO"/>
        </w:rPr>
        <w:footnoteReference w:id="94"/>
      </w:r>
      <w:r w:rsidRPr="00D329F5">
        <w:rPr>
          <w:rFonts w:ascii="Cambria" w:hAnsi="Cambria" w:cs="Calibri"/>
          <w:sz w:val="20"/>
          <w:szCs w:val="20"/>
          <w:lang w:val="es-CO"/>
        </w:rPr>
        <w:t xml:space="preserve">. </w:t>
      </w:r>
    </w:p>
    <w:p w14:paraId="60BF02DD" w14:textId="77777777" w:rsidR="002C2F20" w:rsidRPr="00D329F5" w:rsidRDefault="002C2F20"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1ADDCB01" w14:textId="77777777" w:rsidR="000404A2" w:rsidRPr="009C4179" w:rsidRDefault="000404A2" w:rsidP="000404A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9C4179">
        <w:rPr>
          <w:rFonts w:ascii="Cambria" w:hAnsi="Cambria"/>
          <w:sz w:val="20"/>
          <w:szCs w:val="20"/>
          <w:lang w:val="es-ES"/>
        </w:rPr>
        <w:t xml:space="preserve">En relación con la existencia de fines procesales, la CIDH ha sostenido </w:t>
      </w:r>
      <w:proofErr w:type="gramStart"/>
      <w:r w:rsidRPr="009C4179">
        <w:rPr>
          <w:rFonts w:ascii="Cambria" w:hAnsi="Cambria"/>
          <w:sz w:val="20"/>
          <w:szCs w:val="20"/>
          <w:lang w:val="es-ES"/>
        </w:rPr>
        <w:t>que</w:t>
      </w:r>
      <w:proofErr w:type="gramEnd"/>
      <w:r w:rsidRPr="009C4179">
        <w:rPr>
          <w:rFonts w:ascii="Cambria" w:hAnsi="Cambria"/>
          <w:sz w:val="20"/>
          <w:szCs w:val="20"/>
          <w:lang w:val="es-ES"/>
        </w:rPr>
        <w:t xml:space="preserve"> una vez establecida la relación entre el hecho investigado y la persona imputada, corresponde fijar la existencia del riesgo procesal que se pretende mitigar con la detención preventiva durante el juicio: i) el riesgo de fuga; o ii) la interferencia en las investigaciones</w:t>
      </w:r>
      <w:r w:rsidRPr="009C4179">
        <w:rPr>
          <w:rStyle w:val="Refdenotaalpie"/>
          <w:rFonts w:ascii="Cambria" w:hAnsi="Cambria"/>
          <w:sz w:val="20"/>
          <w:szCs w:val="20"/>
        </w:rPr>
        <w:footnoteReference w:id="95"/>
      </w:r>
      <w:r w:rsidRPr="009C4179">
        <w:rPr>
          <w:rFonts w:ascii="Cambria" w:hAnsi="Cambria"/>
          <w:sz w:val="20"/>
          <w:szCs w:val="20"/>
          <w:lang w:val="es-ES"/>
        </w:rPr>
        <w:t>. Dichos fines deben estar fundados en circunstancias objetivas por lo que la mera invocación o enunciación de las causales de procedencia, sin la consideración y análisis de las circunstancias del caso, no satisface este requisito</w:t>
      </w:r>
      <w:r w:rsidRPr="009C4179">
        <w:rPr>
          <w:rStyle w:val="Refdenotaalpie"/>
          <w:rFonts w:ascii="Cambria" w:hAnsi="Cambria"/>
          <w:sz w:val="20"/>
          <w:szCs w:val="20"/>
        </w:rPr>
        <w:footnoteReference w:id="96"/>
      </w:r>
      <w:r w:rsidRPr="009C4179">
        <w:rPr>
          <w:rFonts w:ascii="Cambria" w:hAnsi="Cambria"/>
          <w:sz w:val="20"/>
          <w:szCs w:val="20"/>
          <w:lang w:val="es-ES"/>
        </w:rPr>
        <w:t>.</w:t>
      </w:r>
    </w:p>
    <w:p w14:paraId="49C19C5C" w14:textId="77777777" w:rsidR="000404A2" w:rsidRDefault="000404A2" w:rsidP="000404A2">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1440"/>
        </w:tabs>
        <w:ind w:left="720"/>
        <w:jc w:val="both"/>
        <w:rPr>
          <w:rFonts w:ascii="Cambria" w:hAnsi="Cambria"/>
          <w:sz w:val="20"/>
          <w:szCs w:val="20"/>
          <w:lang w:val="es-ES"/>
        </w:rPr>
      </w:pPr>
    </w:p>
    <w:p w14:paraId="23985BB3" w14:textId="77777777" w:rsidR="000404A2" w:rsidRPr="004A0424" w:rsidRDefault="000404A2" w:rsidP="004A042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2D1F67">
        <w:rPr>
          <w:rFonts w:ascii="Cambria" w:hAnsi="Cambria"/>
          <w:sz w:val="20"/>
          <w:szCs w:val="20"/>
          <w:lang w:val="es-ES"/>
        </w:rPr>
        <w:t>Además de sus efectos en el ejercicio del derecho a la libertad personal, tanto la Comisión como la Corte han indicado que el uso indebido de la detención preventiva puede tener un impacto en el principio de presunción de inocencia contenida en el artículo</w:t>
      </w:r>
      <w:r w:rsidR="004A0424">
        <w:rPr>
          <w:rFonts w:ascii="Cambria" w:hAnsi="Cambria"/>
          <w:sz w:val="20"/>
          <w:szCs w:val="20"/>
          <w:lang w:val="es-ES"/>
        </w:rPr>
        <w:t xml:space="preserve"> 8.2 de la Convención Americana</w:t>
      </w:r>
      <w:r w:rsidRPr="002D1F67">
        <w:rPr>
          <w:rStyle w:val="Refdenotaalpie"/>
          <w:rFonts w:ascii="Cambria" w:hAnsi="Cambria" w:cs="Calibri"/>
          <w:sz w:val="20"/>
          <w:szCs w:val="20"/>
          <w:lang w:val="es-ES"/>
        </w:rPr>
        <w:footnoteReference w:id="97"/>
      </w:r>
      <w:r w:rsidRPr="002D1F67">
        <w:rPr>
          <w:rFonts w:ascii="Cambria" w:hAnsi="Cambria" w:cs="Calibri"/>
          <w:sz w:val="20"/>
          <w:szCs w:val="20"/>
          <w:lang w:val="es-ES"/>
        </w:rPr>
        <w:t xml:space="preserve">. </w:t>
      </w:r>
      <w:r w:rsidRPr="004A0424">
        <w:rPr>
          <w:rFonts w:ascii="Cambria" w:hAnsi="Cambria" w:cs="Calibri"/>
          <w:sz w:val="20"/>
          <w:szCs w:val="20"/>
          <w:lang w:val="es-ES"/>
        </w:rPr>
        <w:t>El respeto al derecho a la presunción de inocencia exige igualmente que el Estado fundamente y acredite, de manera clara y motivada, según cada caso concreto, la existencia de los requisitos válidos de procedencia de la prisión preventiva</w:t>
      </w:r>
      <w:r w:rsidRPr="002D1F67">
        <w:rPr>
          <w:rStyle w:val="Refdenotaalpie"/>
          <w:rFonts w:ascii="Cambria" w:hAnsi="Cambria" w:cs="Calibri"/>
          <w:sz w:val="20"/>
          <w:szCs w:val="20"/>
          <w:lang w:val="es-ES"/>
        </w:rPr>
        <w:footnoteReference w:id="98"/>
      </w:r>
      <w:r w:rsidRPr="004A0424">
        <w:rPr>
          <w:rFonts w:ascii="Cambria" w:hAnsi="Cambria" w:cs="Calibri"/>
          <w:sz w:val="20"/>
          <w:szCs w:val="20"/>
          <w:lang w:val="es-ES"/>
        </w:rPr>
        <w:t>. Por ende, también se viola el principio de presunción de inocencia cuando la prisión preventiva se impone arbitrariamente; o bien, cuando su aplicación está determinada esencialmente, por ejemplo, por el tipo de delito, la expectativa de la pena o la mera existencia de indicios razonables que vinculen al acusado</w:t>
      </w:r>
      <w:r w:rsidRPr="002D1F67">
        <w:rPr>
          <w:rStyle w:val="Refdenotaalpie"/>
          <w:rFonts w:ascii="Cambria" w:hAnsi="Cambria" w:cs="Calibri"/>
          <w:sz w:val="20"/>
          <w:szCs w:val="20"/>
          <w:lang w:val="es-ES"/>
        </w:rPr>
        <w:footnoteReference w:id="99"/>
      </w:r>
      <w:r w:rsidRPr="004A0424">
        <w:rPr>
          <w:rFonts w:ascii="Cambria" w:hAnsi="Cambria" w:cs="Calibri"/>
          <w:sz w:val="20"/>
          <w:szCs w:val="20"/>
          <w:lang w:val="es-ES"/>
        </w:rPr>
        <w:t>.</w:t>
      </w:r>
    </w:p>
    <w:p w14:paraId="2702B98C" w14:textId="77777777" w:rsidR="000404A2" w:rsidRPr="00D329F5" w:rsidRDefault="000404A2"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E94E955" w14:textId="77777777" w:rsidR="000404A2" w:rsidRPr="00D329F5" w:rsidRDefault="000404A2" w:rsidP="00EF47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329F5">
        <w:rPr>
          <w:rFonts w:ascii="Cambria" w:hAnsi="Cambria"/>
          <w:sz w:val="20"/>
          <w:szCs w:val="20"/>
          <w:lang w:val="es-VE"/>
        </w:rPr>
        <w:t>En el presente caso, la CIDH observa que el 10 de diciembre de 1998 y 12 de febrero de 199</w:t>
      </w:r>
      <w:r w:rsidR="0083379C" w:rsidRPr="00D329F5">
        <w:rPr>
          <w:rFonts w:ascii="Cambria" w:hAnsi="Cambria"/>
          <w:sz w:val="20"/>
          <w:szCs w:val="20"/>
          <w:lang w:val="es-VE"/>
        </w:rPr>
        <w:t>9</w:t>
      </w:r>
      <w:r w:rsidR="00E07724" w:rsidRPr="00D329F5">
        <w:rPr>
          <w:rFonts w:ascii="Cambria" w:hAnsi="Cambria"/>
          <w:sz w:val="20"/>
          <w:szCs w:val="20"/>
          <w:lang w:val="es-VE"/>
        </w:rPr>
        <w:t xml:space="preserve"> </w:t>
      </w:r>
      <w:r w:rsidR="00B31F83" w:rsidRPr="00D329F5">
        <w:rPr>
          <w:rFonts w:ascii="Cambria" w:hAnsi="Cambria"/>
          <w:sz w:val="20"/>
          <w:szCs w:val="20"/>
          <w:lang w:val="es-VE"/>
        </w:rPr>
        <w:t>el Juzgado Primero dictó</w:t>
      </w:r>
      <w:r w:rsidRPr="00D329F5">
        <w:rPr>
          <w:rFonts w:ascii="Cambria" w:hAnsi="Cambria"/>
          <w:sz w:val="20"/>
          <w:szCs w:val="20"/>
          <w:lang w:val="es-VE"/>
        </w:rPr>
        <w:t xml:space="preserve"> los</w:t>
      </w:r>
      <w:r w:rsidR="00E07724" w:rsidRPr="00D329F5">
        <w:rPr>
          <w:rFonts w:ascii="Cambria" w:hAnsi="Cambria"/>
          <w:sz w:val="20"/>
          <w:szCs w:val="20"/>
          <w:lang w:val="es-VE"/>
        </w:rPr>
        <w:t xml:space="preserve"> auto</w:t>
      </w:r>
      <w:r w:rsidRPr="00D329F5">
        <w:rPr>
          <w:rFonts w:ascii="Cambria" w:hAnsi="Cambria"/>
          <w:sz w:val="20"/>
          <w:szCs w:val="20"/>
          <w:lang w:val="es-VE"/>
        </w:rPr>
        <w:t>s</w:t>
      </w:r>
      <w:r w:rsidR="00E07724" w:rsidRPr="00D329F5">
        <w:rPr>
          <w:rFonts w:ascii="Cambria" w:hAnsi="Cambria"/>
          <w:sz w:val="20"/>
          <w:szCs w:val="20"/>
          <w:lang w:val="es-VE"/>
        </w:rPr>
        <w:t xml:space="preserve"> de detención preventiva en contra de María Angéli</w:t>
      </w:r>
      <w:r w:rsidRPr="00D329F5">
        <w:rPr>
          <w:rFonts w:ascii="Cambria" w:hAnsi="Cambria"/>
          <w:sz w:val="20"/>
          <w:szCs w:val="20"/>
          <w:lang w:val="es-VE"/>
        </w:rPr>
        <w:t>ca, Belkis y Fernando Gonzalez</w:t>
      </w:r>
      <w:r w:rsidR="007B51EF">
        <w:rPr>
          <w:rFonts w:ascii="Cambria" w:hAnsi="Cambria"/>
          <w:sz w:val="20"/>
          <w:szCs w:val="20"/>
          <w:lang w:val="es-VE"/>
        </w:rPr>
        <w:t>;</w:t>
      </w:r>
      <w:r w:rsidRPr="00D329F5">
        <w:rPr>
          <w:rFonts w:ascii="Cambria" w:hAnsi="Cambria"/>
          <w:sz w:val="20"/>
          <w:szCs w:val="20"/>
          <w:lang w:val="es-VE"/>
        </w:rPr>
        <w:t xml:space="preserve"> y </w:t>
      </w:r>
      <w:r w:rsidRPr="000404A2">
        <w:rPr>
          <w:rFonts w:ascii="Cambria" w:hAnsi="Cambria"/>
          <w:sz w:val="20"/>
          <w:szCs w:val="20"/>
          <w:lang w:val="es-VE"/>
        </w:rPr>
        <w:t>Wilmer Antonio Barliza, Olimpiades y Luis Guillermo González</w:t>
      </w:r>
      <w:r>
        <w:rPr>
          <w:rFonts w:ascii="Cambria" w:hAnsi="Cambria"/>
          <w:sz w:val="20"/>
          <w:szCs w:val="20"/>
          <w:lang w:val="es-VE"/>
        </w:rPr>
        <w:t xml:space="preserve">, respectivamente. </w:t>
      </w:r>
      <w:r w:rsidR="0083379C" w:rsidRPr="002D1F67">
        <w:rPr>
          <w:rFonts w:ascii="Cambria" w:hAnsi="Cambria"/>
          <w:sz w:val="20"/>
          <w:szCs w:val="20"/>
          <w:lang w:val="es-ES"/>
        </w:rPr>
        <w:t xml:space="preserve">En cuanto a la motivación de dicha orden, y tal como se indicó en la sección de determinaciones de hecho, la procedencia de la detención preventiva se sustentó en el artículo </w:t>
      </w:r>
      <w:r w:rsidR="0083379C">
        <w:rPr>
          <w:rFonts w:ascii="Cambria" w:hAnsi="Cambria"/>
          <w:sz w:val="20"/>
          <w:szCs w:val="20"/>
          <w:lang w:val="es-ES"/>
        </w:rPr>
        <w:t>182 del Código de Enjuiciamiento Criminal</w:t>
      </w:r>
      <w:r w:rsidR="0083379C" w:rsidRPr="002D1F67">
        <w:rPr>
          <w:rFonts w:ascii="Cambria" w:hAnsi="Cambria"/>
          <w:sz w:val="20"/>
          <w:szCs w:val="20"/>
          <w:lang w:val="es-ES"/>
        </w:rPr>
        <w:t xml:space="preserve"> entonces vigente.</w:t>
      </w:r>
    </w:p>
    <w:p w14:paraId="21C82192" w14:textId="77777777" w:rsidR="000404A2" w:rsidRPr="00D329F5" w:rsidRDefault="000404A2" w:rsidP="000404A2">
      <w:pPr>
        <w:pStyle w:val="Prrafodelista"/>
        <w:rPr>
          <w:rFonts w:ascii="Cambria" w:hAnsi="Cambria"/>
          <w:sz w:val="20"/>
          <w:szCs w:val="20"/>
          <w:lang w:val="es-VE"/>
        </w:rPr>
      </w:pPr>
    </w:p>
    <w:p w14:paraId="15BCA0A7" w14:textId="77777777" w:rsidR="0083379C" w:rsidRPr="002D1F67" w:rsidRDefault="0083379C" w:rsidP="0083379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2D1F67">
        <w:rPr>
          <w:rFonts w:ascii="Cambria" w:hAnsi="Cambria"/>
          <w:sz w:val="20"/>
          <w:szCs w:val="20"/>
          <w:lang w:val="es-ES"/>
        </w:rPr>
        <w:t xml:space="preserve">Al respecto, la Comisión observa que esta disposición no exigía la existencia de fines procesales para dictar la detención preventiva. Por el contrario, establecía como suficiente la existencia de indicios de responsabilidad de un delito que mereciera pena privativa de libertad. </w:t>
      </w:r>
      <w:r>
        <w:rPr>
          <w:rFonts w:ascii="Cambria" w:hAnsi="Cambria"/>
          <w:sz w:val="20"/>
          <w:szCs w:val="20"/>
          <w:lang w:val="es-ES"/>
        </w:rPr>
        <w:t>Dicha norma</w:t>
      </w:r>
      <w:r w:rsidRPr="002D1F67">
        <w:rPr>
          <w:rFonts w:ascii="Cambria" w:hAnsi="Cambria"/>
          <w:sz w:val="20"/>
          <w:szCs w:val="20"/>
          <w:lang w:val="es-ES"/>
        </w:rPr>
        <w:t xml:space="preserve"> invierte, en la práctica, la excepcionalidad de la prisión preventiva y la convierte en la regla en aquellos casos sancionados con pena privativa de la libertad, pues basta para dictarla que exista un delito con sanción privativa de la libertad e “indicios de responsabilidad”. </w:t>
      </w:r>
    </w:p>
    <w:p w14:paraId="006BEC81" w14:textId="77777777" w:rsidR="0083379C" w:rsidRPr="002D1F67" w:rsidRDefault="0083379C" w:rsidP="0083379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14:paraId="475CCF6E" w14:textId="77777777" w:rsidR="004000FF" w:rsidRPr="004000FF" w:rsidRDefault="0083379C" w:rsidP="0083379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b/>
          <w:sz w:val="20"/>
          <w:szCs w:val="20"/>
          <w:lang w:val="es-ES"/>
        </w:rPr>
      </w:pPr>
      <w:r w:rsidRPr="002D1F67">
        <w:rPr>
          <w:rFonts w:ascii="Cambria" w:hAnsi="Cambria"/>
          <w:sz w:val="20"/>
          <w:szCs w:val="20"/>
          <w:lang w:val="es-ES"/>
        </w:rPr>
        <w:t xml:space="preserve">En efecto, y como consecuencia directa de esta norma, las decisiones que impusieron la detención preventiva </w:t>
      </w:r>
      <w:r>
        <w:rPr>
          <w:rFonts w:ascii="Cambria" w:hAnsi="Cambria"/>
          <w:sz w:val="20"/>
          <w:szCs w:val="20"/>
          <w:lang w:val="es-ES"/>
        </w:rPr>
        <w:t xml:space="preserve">de las </w:t>
      </w:r>
      <w:r w:rsidR="00E20DA5">
        <w:rPr>
          <w:rFonts w:ascii="Cambria" w:hAnsi="Cambria"/>
          <w:sz w:val="20"/>
          <w:szCs w:val="20"/>
          <w:lang w:val="es-ES"/>
        </w:rPr>
        <w:t xml:space="preserve">presuntas </w:t>
      </w:r>
      <w:r>
        <w:rPr>
          <w:rFonts w:ascii="Cambria" w:hAnsi="Cambria"/>
          <w:sz w:val="20"/>
          <w:szCs w:val="20"/>
          <w:lang w:val="es-ES"/>
        </w:rPr>
        <w:t xml:space="preserve">víctimas </w:t>
      </w:r>
      <w:r w:rsidRPr="002D1F67">
        <w:rPr>
          <w:rFonts w:ascii="Cambria" w:hAnsi="Cambria"/>
          <w:sz w:val="20"/>
          <w:szCs w:val="20"/>
          <w:lang w:val="es-ES"/>
        </w:rPr>
        <w:t xml:space="preserve">se basan esencialmente en los elementos que </w:t>
      </w:r>
      <w:r w:rsidR="00320E99">
        <w:rPr>
          <w:rFonts w:ascii="Cambria" w:hAnsi="Cambria"/>
          <w:sz w:val="20"/>
          <w:szCs w:val="20"/>
          <w:lang w:val="es-ES"/>
        </w:rPr>
        <w:t xml:space="preserve">supuestamente </w:t>
      </w:r>
      <w:r w:rsidRPr="002D1F67">
        <w:rPr>
          <w:rFonts w:ascii="Cambria" w:hAnsi="Cambria"/>
          <w:sz w:val="20"/>
          <w:szCs w:val="20"/>
          <w:lang w:val="es-ES"/>
        </w:rPr>
        <w:t>apunta</w:t>
      </w:r>
      <w:r w:rsidR="00320E99">
        <w:rPr>
          <w:rFonts w:ascii="Cambria" w:hAnsi="Cambria"/>
          <w:sz w:val="20"/>
          <w:szCs w:val="20"/>
          <w:lang w:val="es-ES"/>
        </w:rPr>
        <w:t>ban</w:t>
      </w:r>
      <w:r w:rsidRPr="002D1F67">
        <w:rPr>
          <w:rFonts w:ascii="Cambria" w:hAnsi="Cambria"/>
          <w:sz w:val="20"/>
          <w:szCs w:val="20"/>
          <w:lang w:val="es-ES"/>
        </w:rPr>
        <w:t xml:space="preserve"> a su responsabilidad.</w:t>
      </w:r>
      <w:r>
        <w:rPr>
          <w:rFonts w:ascii="Cambria" w:hAnsi="Cambria"/>
          <w:sz w:val="20"/>
          <w:szCs w:val="20"/>
          <w:lang w:val="es-ES"/>
        </w:rPr>
        <w:t xml:space="preserve"> La CIDH toma nota de que en la documentación aportada por las partes no se indicó que existían indicios de que dichas personas podrían interferir en la investigación o que exista un riesgo de fuga.</w:t>
      </w:r>
      <w:r w:rsidRPr="002D1F67">
        <w:rPr>
          <w:rFonts w:ascii="Cambria" w:hAnsi="Cambria"/>
          <w:sz w:val="20"/>
          <w:szCs w:val="20"/>
          <w:lang w:val="es-ES"/>
        </w:rPr>
        <w:t xml:space="preserve"> En ese sentido, tanto la norma aplicable como las decisiones emitidas con base en la </w:t>
      </w:r>
      <w:proofErr w:type="gramStart"/>
      <w:r w:rsidRPr="002D1F67">
        <w:rPr>
          <w:rFonts w:ascii="Cambria" w:hAnsi="Cambria"/>
          <w:sz w:val="20"/>
          <w:szCs w:val="20"/>
          <w:lang w:val="es-ES"/>
        </w:rPr>
        <w:t>misma,</w:t>
      </w:r>
      <w:proofErr w:type="gramEnd"/>
      <w:r w:rsidRPr="002D1F67">
        <w:rPr>
          <w:rFonts w:ascii="Cambria" w:hAnsi="Cambria"/>
          <w:sz w:val="20"/>
          <w:szCs w:val="20"/>
          <w:lang w:val="es-ES"/>
        </w:rPr>
        <w:t xml:space="preserve"> dieron lugar a la imposición de la detención preventiva como regla y no como excepción, sin que se persiguiera fin procesal alguno con la misma.</w:t>
      </w:r>
    </w:p>
    <w:p w14:paraId="4E8E7C23" w14:textId="77777777" w:rsidR="004000FF" w:rsidRDefault="004000FF" w:rsidP="004000F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ES"/>
        </w:rPr>
      </w:pPr>
    </w:p>
    <w:p w14:paraId="4B3D3377" w14:textId="77777777" w:rsidR="004000FF" w:rsidRPr="004000FF" w:rsidRDefault="004000FF" w:rsidP="004000F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4000FF">
        <w:rPr>
          <w:rFonts w:ascii="Cambria" w:hAnsi="Cambria"/>
          <w:sz w:val="20"/>
          <w:szCs w:val="20"/>
          <w:lang w:val="es-ES"/>
        </w:rPr>
        <w:t>En línea con lo anterior y respecto de la violación del artículo 2 de la Convención, en el caso</w:t>
      </w:r>
      <w:r w:rsidRPr="004000FF">
        <w:rPr>
          <w:rFonts w:ascii="Cambria" w:hAnsi="Cambria"/>
          <w:i/>
          <w:sz w:val="20"/>
          <w:szCs w:val="20"/>
          <w:lang w:val="es-VE"/>
        </w:rPr>
        <w:t xml:space="preserve"> Barreto Leiva Vs. Venezuela</w:t>
      </w:r>
      <w:r w:rsidRPr="004000FF">
        <w:rPr>
          <w:rFonts w:ascii="Cambria" w:hAnsi="Cambria"/>
          <w:sz w:val="20"/>
          <w:szCs w:val="20"/>
          <w:lang w:val="es-ES"/>
        </w:rPr>
        <w:t xml:space="preserve"> la Corte sostuvo que </w:t>
      </w:r>
      <w:r w:rsidRPr="004000FF">
        <w:rPr>
          <w:rFonts w:ascii="Cambria" w:hAnsi="Cambria"/>
          <w:sz w:val="20"/>
          <w:szCs w:val="20"/>
          <w:lang w:val="es-VE"/>
        </w:rPr>
        <w:t>el Código de Enjuiciamiento Criminal no establecía “garantías suficientes al derecho a la libertad personal, ya que permitía el encarcelamiento de comprobarse únicamente “indicios de culpabilidad”, sin establecer que, además, es necesario que la medida busque un fin legítimo”</w:t>
      </w:r>
      <w:r w:rsidRPr="004000FF">
        <w:rPr>
          <w:rStyle w:val="Refdenotaalpie"/>
          <w:rFonts w:ascii="Cambria" w:hAnsi="Cambria"/>
          <w:sz w:val="20"/>
          <w:szCs w:val="20"/>
          <w:lang w:val="es-VE"/>
        </w:rPr>
        <w:footnoteReference w:id="100"/>
      </w:r>
      <w:r w:rsidRPr="004000FF">
        <w:rPr>
          <w:rFonts w:ascii="Cambria" w:hAnsi="Cambria"/>
          <w:sz w:val="20"/>
          <w:szCs w:val="20"/>
          <w:lang w:val="es-VE"/>
        </w:rPr>
        <w:t>.</w:t>
      </w:r>
    </w:p>
    <w:p w14:paraId="05EC3387" w14:textId="77777777" w:rsidR="0083379C" w:rsidRPr="002D1F67" w:rsidRDefault="0083379C" w:rsidP="004000F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b/>
          <w:sz w:val="20"/>
          <w:szCs w:val="20"/>
          <w:lang w:val="es-ES"/>
        </w:rPr>
      </w:pPr>
      <w:r w:rsidRPr="002D1F67">
        <w:rPr>
          <w:rFonts w:ascii="Cambria" w:hAnsi="Cambria"/>
          <w:sz w:val="20"/>
          <w:szCs w:val="20"/>
          <w:lang w:val="es-ES"/>
        </w:rPr>
        <w:t xml:space="preserve"> </w:t>
      </w:r>
    </w:p>
    <w:p w14:paraId="5181669B" w14:textId="77777777" w:rsidR="0083379C" w:rsidRPr="006C7C24" w:rsidRDefault="0083379C" w:rsidP="0083379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b/>
          <w:sz w:val="20"/>
          <w:szCs w:val="20"/>
          <w:lang w:val="es-ES"/>
        </w:rPr>
      </w:pPr>
      <w:r w:rsidRPr="002D1F67">
        <w:rPr>
          <w:rFonts w:ascii="Cambria" w:hAnsi="Cambria"/>
          <w:sz w:val="20"/>
          <w:szCs w:val="20"/>
          <w:lang w:val="es-ES"/>
        </w:rPr>
        <w:t xml:space="preserve">En consecuencia, desde su inicio la detención preventiva resultó arbitraria y, conforme a los estándares citados anteriormente, se constituyó en una medida de carácter punitivo y no cautelar, en violación tanto del derecho a la libertad personal como al principio de presunción de inocencia. Por lo tanto, la Comisión </w:t>
      </w:r>
      <w:r w:rsidRPr="006C7C24">
        <w:rPr>
          <w:rFonts w:ascii="Cambria" w:hAnsi="Cambria"/>
          <w:sz w:val="20"/>
          <w:szCs w:val="20"/>
          <w:lang w:val="es-ES"/>
        </w:rPr>
        <w:t>concluye que el Estado de</w:t>
      </w:r>
      <w:r w:rsidR="00CE0D8F">
        <w:rPr>
          <w:rFonts w:ascii="Cambria" w:hAnsi="Cambria"/>
          <w:sz w:val="20"/>
          <w:szCs w:val="20"/>
          <w:lang w:val="es-ES"/>
        </w:rPr>
        <w:t xml:space="preserve"> </w:t>
      </w:r>
      <w:r w:rsidR="005753F7">
        <w:rPr>
          <w:rFonts w:ascii="Cambria" w:hAnsi="Cambria"/>
          <w:sz w:val="20"/>
          <w:szCs w:val="20"/>
          <w:lang w:val="es-ES"/>
        </w:rPr>
        <w:t>Venezuela</w:t>
      </w:r>
      <w:r w:rsidRPr="006C7C24">
        <w:rPr>
          <w:rFonts w:ascii="Cambria" w:hAnsi="Cambria"/>
          <w:sz w:val="20"/>
          <w:szCs w:val="20"/>
          <w:lang w:val="es-ES"/>
        </w:rPr>
        <w:t xml:space="preserve"> es responsable por la violación de los artículos 7.1, 7.3 y 8.2 de la Convención Americana en relación con las obligaciones establecidas en los artículos 1.1 y 2 del mismo instrumento, en perjuicio de </w:t>
      </w:r>
      <w:r w:rsidRPr="00EF764F">
        <w:rPr>
          <w:rFonts w:ascii="Cambria" w:hAnsi="Cambria"/>
          <w:sz w:val="20"/>
          <w:szCs w:val="20"/>
          <w:lang w:val="es-VE"/>
        </w:rPr>
        <w:t>María Angélica</w:t>
      </w:r>
      <w:r>
        <w:rPr>
          <w:rFonts w:ascii="Cambria" w:hAnsi="Cambria"/>
          <w:sz w:val="20"/>
          <w:szCs w:val="20"/>
          <w:lang w:val="es-VE"/>
        </w:rPr>
        <w:t xml:space="preserve"> González</w:t>
      </w:r>
      <w:r w:rsidRPr="00EF764F">
        <w:rPr>
          <w:rFonts w:ascii="Cambria" w:hAnsi="Cambria"/>
          <w:sz w:val="20"/>
          <w:szCs w:val="20"/>
          <w:lang w:val="es-VE"/>
        </w:rPr>
        <w:t>, Belkis Mirelis</w:t>
      </w:r>
      <w:r>
        <w:rPr>
          <w:rFonts w:ascii="Cambria" w:hAnsi="Cambria"/>
          <w:sz w:val="20"/>
          <w:szCs w:val="20"/>
          <w:lang w:val="es-VE"/>
        </w:rPr>
        <w:t xml:space="preserve"> González,</w:t>
      </w:r>
      <w:r w:rsidRPr="00EF764F">
        <w:rPr>
          <w:rFonts w:ascii="Cambria" w:hAnsi="Cambria"/>
          <w:sz w:val="20"/>
          <w:szCs w:val="20"/>
          <w:lang w:val="es-VE"/>
        </w:rPr>
        <w:t xml:space="preserve"> Fernando González</w:t>
      </w:r>
      <w:r>
        <w:rPr>
          <w:rFonts w:ascii="Cambria" w:hAnsi="Cambria"/>
          <w:sz w:val="20"/>
          <w:szCs w:val="20"/>
          <w:lang w:val="es-VE"/>
        </w:rPr>
        <w:t xml:space="preserve">, </w:t>
      </w:r>
      <w:r w:rsidRPr="00EF764F">
        <w:rPr>
          <w:rFonts w:ascii="Cambria" w:hAnsi="Cambria"/>
          <w:sz w:val="20"/>
          <w:szCs w:val="20"/>
          <w:lang w:val="es-VE"/>
        </w:rPr>
        <w:t xml:space="preserve">Wilmer Antonio Barliza, Luis Guillermo </w:t>
      </w:r>
      <w:r>
        <w:rPr>
          <w:rFonts w:ascii="Cambria" w:hAnsi="Cambria"/>
          <w:sz w:val="20"/>
          <w:szCs w:val="20"/>
          <w:lang w:val="es-VE"/>
        </w:rPr>
        <w:t xml:space="preserve">González </w:t>
      </w:r>
      <w:r w:rsidRPr="00EF764F">
        <w:rPr>
          <w:rFonts w:ascii="Cambria" w:hAnsi="Cambria"/>
          <w:sz w:val="20"/>
          <w:szCs w:val="20"/>
          <w:lang w:val="es-VE"/>
        </w:rPr>
        <w:t>y Olimpiades González</w:t>
      </w:r>
      <w:r w:rsidRPr="000165FD">
        <w:rPr>
          <w:rFonts w:ascii="Cambria" w:hAnsi="Cambria"/>
          <w:sz w:val="20"/>
          <w:szCs w:val="20"/>
          <w:lang w:val="es-ES"/>
        </w:rPr>
        <w:t>.</w:t>
      </w:r>
    </w:p>
    <w:p w14:paraId="6C4A3AB9" w14:textId="77777777" w:rsidR="00D107F4" w:rsidRPr="00D329F5" w:rsidRDefault="00D107F4" w:rsidP="0083379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76BBB30E" w14:textId="77777777" w:rsidR="005C78ED" w:rsidRPr="00D329F5" w:rsidRDefault="00790062"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r w:rsidRPr="00D329F5">
        <w:rPr>
          <w:rFonts w:ascii="Cambria" w:hAnsi="Cambria"/>
          <w:b/>
          <w:sz w:val="20"/>
          <w:szCs w:val="20"/>
          <w:lang w:val="es-ES_tradnl"/>
        </w:rPr>
        <w:tab/>
      </w:r>
      <w:r w:rsidR="006D1DFD" w:rsidRPr="00D329F5">
        <w:rPr>
          <w:rFonts w:ascii="Cambria" w:hAnsi="Cambria"/>
          <w:b/>
          <w:sz w:val="20"/>
          <w:szCs w:val="20"/>
          <w:lang w:val="es-ES_tradnl"/>
        </w:rPr>
        <w:t xml:space="preserve">3. </w:t>
      </w:r>
      <w:r w:rsidR="006D1DFD" w:rsidRPr="00D329F5">
        <w:rPr>
          <w:rFonts w:ascii="Cambria" w:hAnsi="Cambria"/>
          <w:b/>
          <w:sz w:val="20"/>
          <w:szCs w:val="20"/>
          <w:lang w:val="es-ES_tradnl"/>
        </w:rPr>
        <w:tab/>
      </w:r>
      <w:r w:rsidR="0083379C" w:rsidRPr="00D329F5">
        <w:rPr>
          <w:rFonts w:ascii="Cambria" w:hAnsi="Cambria"/>
          <w:b/>
          <w:sz w:val="20"/>
          <w:szCs w:val="20"/>
          <w:lang w:val="es-ES_tradnl"/>
        </w:rPr>
        <w:t>Sobre la duración de la prisión preventiva</w:t>
      </w:r>
      <w:r w:rsidR="006D1DFD" w:rsidRPr="00D329F5">
        <w:rPr>
          <w:rFonts w:ascii="Cambria" w:hAnsi="Cambria"/>
          <w:sz w:val="20"/>
          <w:szCs w:val="20"/>
          <w:lang w:val="es-ES_tradnl"/>
        </w:rPr>
        <w:t xml:space="preserve">      </w:t>
      </w:r>
      <w:r w:rsidR="00AE4BA9" w:rsidRPr="00D329F5">
        <w:rPr>
          <w:rFonts w:ascii="Cambria" w:hAnsi="Cambria"/>
          <w:sz w:val="20"/>
          <w:szCs w:val="20"/>
          <w:lang w:val="es-VE"/>
        </w:rPr>
        <w:t xml:space="preserve"> </w:t>
      </w:r>
    </w:p>
    <w:p w14:paraId="19D11700" w14:textId="77777777" w:rsidR="00D107F4" w:rsidRPr="00D329F5" w:rsidRDefault="00D107F4"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056C18AB" w14:textId="77777777" w:rsidR="00774BE4" w:rsidRPr="00774BE4" w:rsidRDefault="00E26942" w:rsidP="00E2694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5E758C">
        <w:rPr>
          <w:rFonts w:ascii="Cambria" w:hAnsi="Cambria"/>
          <w:sz w:val="20"/>
          <w:szCs w:val="20"/>
          <w:lang w:val="es-ES"/>
        </w:rPr>
        <w:t>E</w:t>
      </w:r>
      <w:r w:rsidRPr="005E758C">
        <w:rPr>
          <w:rFonts w:ascii="Cambria" w:hAnsi="Cambria"/>
          <w:sz w:val="20"/>
          <w:szCs w:val="20"/>
          <w:lang w:val="es-VE"/>
        </w:rPr>
        <w:t>l artículo 7.5 de la Convención Americana impone límites temporales a la duración de la prisión preventiva y, en consecuencia, a las facultades del Estado para proteger los fines del proceso mediante este tipo de medida cautelar.</w:t>
      </w:r>
      <w:r>
        <w:rPr>
          <w:rFonts w:ascii="Cambria" w:hAnsi="Cambria"/>
          <w:sz w:val="20"/>
          <w:szCs w:val="20"/>
          <w:lang w:val="es-VE"/>
        </w:rPr>
        <w:t xml:space="preserve"> Asimismo, conforme al criterio de razonabilidad, </w:t>
      </w:r>
      <w:r w:rsidRPr="00701D56">
        <w:rPr>
          <w:rFonts w:ascii="Cambria" w:hAnsi="Cambria"/>
          <w:sz w:val="20"/>
          <w:szCs w:val="20"/>
          <w:lang w:val="es-ES_tradnl"/>
        </w:rPr>
        <w:t>el mantener privada de libertad a una persona más allá de un periodo de tiempo razonable equivaldría, en los hechos, a una pena anticipada</w:t>
      </w:r>
      <w:r w:rsidRPr="00701D56">
        <w:rPr>
          <w:rStyle w:val="Refdenotaalpie"/>
          <w:rFonts w:ascii="Cambria" w:hAnsi="Cambria"/>
          <w:sz w:val="20"/>
          <w:szCs w:val="20"/>
        </w:rPr>
        <w:footnoteReference w:id="101"/>
      </w:r>
      <w:r w:rsidRPr="00701D56">
        <w:rPr>
          <w:rFonts w:ascii="Cambria" w:hAnsi="Cambria"/>
          <w:sz w:val="20"/>
          <w:szCs w:val="20"/>
          <w:lang w:val="es-ES_tradnl"/>
        </w:rPr>
        <w:t>.</w:t>
      </w:r>
      <w:r w:rsidRPr="00701D56">
        <w:rPr>
          <w:rFonts w:ascii="Cambria" w:hAnsi="Cambria"/>
          <w:sz w:val="20"/>
          <w:szCs w:val="20"/>
          <w:lang w:val="es-ES"/>
        </w:rPr>
        <w:t xml:space="preserve"> </w:t>
      </w:r>
      <w:r>
        <w:rPr>
          <w:rFonts w:ascii="Cambria" w:hAnsi="Cambria"/>
          <w:sz w:val="20"/>
          <w:szCs w:val="20"/>
          <w:lang w:val="es-ES"/>
        </w:rPr>
        <w:t xml:space="preserve">Es por ello </w:t>
      </w:r>
      <w:proofErr w:type="gramStart"/>
      <w:r>
        <w:rPr>
          <w:rFonts w:ascii="Cambria" w:hAnsi="Cambria"/>
          <w:sz w:val="20"/>
          <w:szCs w:val="20"/>
          <w:lang w:val="es-ES"/>
        </w:rPr>
        <w:t>que</w:t>
      </w:r>
      <w:proofErr w:type="gramEnd"/>
      <w:r>
        <w:rPr>
          <w:rFonts w:ascii="Cambria" w:hAnsi="Cambria"/>
          <w:sz w:val="20"/>
          <w:szCs w:val="20"/>
          <w:lang w:val="es-ES"/>
        </w:rPr>
        <w:t xml:space="preserve"> </w:t>
      </w:r>
      <w:r>
        <w:rPr>
          <w:rFonts w:ascii="Cambria" w:hAnsi="Cambria"/>
          <w:sz w:val="20"/>
          <w:szCs w:val="20"/>
          <w:lang w:val="es-ES_tradnl"/>
        </w:rPr>
        <w:t>c</w:t>
      </w:r>
      <w:r w:rsidRPr="00701D56">
        <w:rPr>
          <w:rFonts w:ascii="Cambria" w:hAnsi="Cambria"/>
          <w:sz w:val="20"/>
          <w:szCs w:val="20"/>
          <w:lang w:val="es-ES_tradnl"/>
        </w:rPr>
        <w:t>orresponde pues al Estado aportar elementos que justifiquen la prolongación de esta medida</w:t>
      </w:r>
      <w:r w:rsidRPr="00701D56">
        <w:rPr>
          <w:rStyle w:val="Refdenotaalpie"/>
          <w:rFonts w:ascii="Cambria" w:hAnsi="Cambria"/>
          <w:sz w:val="20"/>
          <w:szCs w:val="20"/>
        </w:rPr>
        <w:footnoteReference w:id="102"/>
      </w:r>
      <w:r w:rsidRPr="00701D56">
        <w:rPr>
          <w:rFonts w:ascii="Cambria" w:hAnsi="Cambria"/>
          <w:sz w:val="20"/>
          <w:szCs w:val="20"/>
          <w:lang w:val="es-ES_tradnl"/>
        </w:rPr>
        <w:t>.</w:t>
      </w:r>
      <w:r>
        <w:rPr>
          <w:rFonts w:ascii="Cambria" w:hAnsi="Cambria"/>
          <w:sz w:val="20"/>
          <w:szCs w:val="20"/>
          <w:lang w:val="es-ES_tradnl"/>
        </w:rPr>
        <w:t xml:space="preserve"> </w:t>
      </w:r>
      <w:r>
        <w:rPr>
          <w:rFonts w:ascii="Cambria" w:hAnsi="Cambria"/>
          <w:sz w:val="20"/>
          <w:szCs w:val="20"/>
          <w:lang w:val="es-CO"/>
        </w:rPr>
        <w:t>Asimismo</w:t>
      </w:r>
      <w:r w:rsidRPr="002D1F67">
        <w:rPr>
          <w:rFonts w:ascii="Cambria" w:hAnsi="Cambria"/>
          <w:sz w:val="20"/>
          <w:szCs w:val="20"/>
          <w:lang w:val="es-CO"/>
        </w:rPr>
        <w:t xml:space="preserve">, la CIDH ha sostenido que </w:t>
      </w:r>
      <w:r w:rsidRPr="002D1F67">
        <w:rPr>
          <w:rFonts w:ascii="Cambria" w:hAnsi="Cambria"/>
          <w:sz w:val="20"/>
          <w:szCs w:val="20"/>
          <w:lang w:val="es-VE"/>
        </w:rPr>
        <w:t>cuando el plazo de la prisión preventiva sobrepasa lo razonable, el Estado podrá limitar la libertad del imputado con otras medidas menos lesivas que aseguren su comparecencia al juicio, distintas de la privación de libertad”</w:t>
      </w:r>
      <w:r w:rsidRPr="002D1F67">
        <w:rPr>
          <w:rStyle w:val="Refdenotaalpie"/>
          <w:rFonts w:ascii="Cambria" w:hAnsi="Cambria"/>
          <w:sz w:val="20"/>
          <w:szCs w:val="20"/>
          <w:lang w:val="es-VE"/>
        </w:rPr>
        <w:footnoteReference w:id="103"/>
      </w:r>
      <w:r w:rsidRPr="002D1F67">
        <w:rPr>
          <w:rFonts w:ascii="Cambria" w:hAnsi="Cambria"/>
          <w:sz w:val="20"/>
          <w:szCs w:val="20"/>
          <w:lang w:val="es-VE"/>
        </w:rPr>
        <w:t xml:space="preserve">. </w:t>
      </w:r>
    </w:p>
    <w:p w14:paraId="1EFB1E68" w14:textId="77777777" w:rsidR="00774BE4" w:rsidRDefault="00774BE4" w:rsidP="00774BE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CO"/>
        </w:rPr>
      </w:pPr>
    </w:p>
    <w:p w14:paraId="22CA3DCC" w14:textId="77777777" w:rsidR="0034006D" w:rsidRPr="00774BE4" w:rsidRDefault="008772BD" w:rsidP="00774BE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774BE4">
        <w:rPr>
          <w:rFonts w:ascii="Cambria" w:hAnsi="Cambria"/>
          <w:sz w:val="20"/>
          <w:szCs w:val="20"/>
          <w:lang w:val="es-ES"/>
        </w:rPr>
        <w:t xml:space="preserve">En </w:t>
      </w:r>
      <w:r w:rsidRPr="00774BE4">
        <w:rPr>
          <w:rFonts w:ascii="Cambria" w:hAnsi="Cambria"/>
          <w:sz w:val="20"/>
          <w:szCs w:val="20"/>
          <w:lang w:val="es-VE"/>
        </w:rPr>
        <w:t>cuanto</w:t>
      </w:r>
      <w:r w:rsidRPr="00774BE4">
        <w:rPr>
          <w:rFonts w:ascii="Cambria" w:hAnsi="Cambria"/>
          <w:sz w:val="20"/>
          <w:szCs w:val="20"/>
          <w:lang w:val="es-ES"/>
        </w:rPr>
        <w:t xml:space="preserve"> a la necesidad de una revisión periódica de los fundamentos de la detención preventiva y de su tiempo de duración, la Corte ha indicado </w:t>
      </w:r>
      <w:r w:rsidR="006F6A9E" w:rsidRPr="00774BE4">
        <w:rPr>
          <w:rFonts w:ascii="Cambria" w:hAnsi="Cambria"/>
          <w:sz w:val="20"/>
          <w:szCs w:val="20"/>
          <w:lang w:val="es-ES"/>
        </w:rPr>
        <w:t>lo siguiente</w:t>
      </w:r>
      <w:r w:rsidRPr="00774BE4">
        <w:rPr>
          <w:rFonts w:ascii="Cambria" w:hAnsi="Cambria"/>
          <w:sz w:val="20"/>
          <w:szCs w:val="20"/>
          <w:lang w:val="es-ES"/>
        </w:rPr>
        <w:t xml:space="preserve">: </w:t>
      </w:r>
    </w:p>
    <w:p w14:paraId="43B16F8F" w14:textId="77777777" w:rsidR="008772BD" w:rsidRPr="00D329F5" w:rsidRDefault="008772BD"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ES"/>
        </w:rPr>
      </w:pPr>
    </w:p>
    <w:p w14:paraId="0911A07D" w14:textId="77777777" w:rsidR="008772BD" w:rsidRPr="00D329F5" w:rsidRDefault="008772BD" w:rsidP="00EF4727">
      <w:pPr>
        <w:tabs>
          <w:tab w:val="left" w:pos="1440"/>
        </w:tabs>
        <w:ind w:left="720" w:right="720"/>
        <w:jc w:val="both"/>
        <w:rPr>
          <w:rFonts w:ascii="Cambria" w:hAnsi="Cambria"/>
          <w:sz w:val="20"/>
          <w:szCs w:val="20"/>
          <w:lang w:val="es-ES"/>
        </w:rPr>
      </w:pPr>
      <w:r w:rsidRPr="00D329F5">
        <w:rPr>
          <w:rFonts w:ascii="Cambria" w:hAnsi="Cambria"/>
          <w:sz w:val="20"/>
          <w:szCs w:val="20"/>
          <w:lang w:val="es-ES"/>
        </w:rPr>
        <w:t>(…) una detención o prisión preventiva debe estar sometida a revisión periódica, de tal forma que no se prolongue cuando no subsistan las razones que motivaron su adopción (…). En cualquier momento en que aparezca que la prisión preventiva no satisface estas condiciones, deberá decretarse la libertad, sin perjuicio de que el proceso respectivo continúe</w:t>
      </w:r>
      <w:r w:rsidRPr="00D329F5">
        <w:rPr>
          <w:rStyle w:val="Refdenotaalpie"/>
          <w:rFonts w:ascii="Cambria" w:hAnsi="Cambria"/>
          <w:sz w:val="20"/>
          <w:szCs w:val="20"/>
          <w:lang w:val="es-ES"/>
        </w:rPr>
        <w:footnoteReference w:id="104"/>
      </w:r>
      <w:r w:rsidRPr="00D329F5">
        <w:rPr>
          <w:rFonts w:ascii="Cambria" w:hAnsi="Cambria"/>
          <w:sz w:val="20"/>
          <w:szCs w:val="20"/>
          <w:lang w:val="es-ES"/>
        </w:rPr>
        <w:t xml:space="preserve">. </w:t>
      </w:r>
    </w:p>
    <w:p w14:paraId="04467F3B" w14:textId="77777777" w:rsidR="00693C04" w:rsidRPr="00D329F5" w:rsidRDefault="00693C04" w:rsidP="00E2694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1F8BA72B" w14:textId="77777777" w:rsidR="005657A6" w:rsidRPr="005657A6" w:rsidRDefault="00E65694" w:rsidP="004B0DC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329F5">
        <w:rPr>
          <w:rFonts w:ascii="Cambria" w:hAnsi="Cambria"/>
          <w:sz w:val="20"/>
          <w:szCs w:val="20"/>
          <w:lang w:val="es-VE"/>
        </w:rPr>
        <w:t>En el presente caso</w:t>
      </w:r>
      <w:r w:rsidR="004B0DCF" w:rsidRPr="00D329F5">
        <w:rPr>
          <w:rFonts w:ascii="Cambria" w:hAnsi="Cambria"/>
          <w:sz w:val="20"/>
          <w:szCs w:val="20"/>
          <w:lang w:val="es-VE"/>
        </w:rPr>
        <w:t>, la Comisión observa que</w:t>
      </w:r>
      <w:r w:rsidRPr="00D329F5">
        <w:rPr>
          <w:rFonts w:ascii="Cambria" w:hAnsi="Cambria"/>
          <w:sz w:val="20"/>
          <w:szCs w:val="20"/>
          <w:lang w:val="es-VE"/>
        </w:rPr>
        <w:t xml:space="preserve"> </w:t>
      </w:r>
      <w:r w:rsidR="00BD02BB" w:rsidRPr="00D329F5">
        <w:rPr>
          <w:rFonts w:ascii="Cambria" w:hAnsi="Cambria"/>
          <w:sz w:val="20"/>
          <w:szCs w:val="20"/>
          <w:lang w:val="es-VE"/>
        </w:rPr>
        <w:t>Belkis Mirelis, María Angélica y Fernando González</w:t>
      </w:r>
      <w:r w:rsidR="00277CAA" w:rsidRPr="00D329F5">
        <w:rPr>
          <w:rFonts w:ascii="Cambria" w:hAnsi="Cambria"/>
          <w:sz w:val="20"/>
          <w:szCs w:val="20"/>
          <w:lang w:val="es-VE"/>
        </w:rPr>
        <w:t xml:space="preserve"> estuvieron</w:t>
      </w:r>
      <w:r w:rsidR="00BD02BB" w:rsidRPr="00D329F5">
        <w:rPr>
          <w:rFonts w:ascii="Cambria" w:hAnsi="Cambria"/>
          <w:sz w:val="20"/>
          <w:szCs w:val="20"/>
          <w:lang w:val="es-VE"/>
        </w:rPr>
        <w:t xml:space="preserve"> </w:t>
      </w:r>
      <w:r w:rsidR="004B0DCF" w:rsidRPr="00D329F5">
        <w:rPr>
          <w:rFonts w:ascii="Cambria" w:hAnsi="Cambria"/>
          <w:sz w:val="20"/>
          <w:szCs w:val="20"/>
          <w:lang w:val="es-VE"/>
        </w:rPr>
        <w:t xml:space="preserve">bajo detención preventiva hasta la sentencia </w:t>
      </w:r>
      <w:r w:rsidR="005379A3" w:rsidRPr="00D329F5">
        <w:rPr>
          <w:rFonts w:ascii="Cambria" w:hAnsi="Cambria"/>
          <w:sz w:val="20"/>
          <w:szCs w:val="20"/>
          <w:lang w:val="es-VE"/>
        </w:rPr>
        <w:t>absolutoria</w:t>
      </w:r>
      <w:r w:rsidR="00B0346B" w:rsidRPr="00D329F5">
        <w:rPr>
          <w:rFonts w:ascii="Cambria" w:hAnsi="Cambria"/>
          <w:sz w:val="20"/>
          <w:szCs w:val="20"/>
          <w:lang w:val="es-VE"/>
        </w:rPr>
        <w:t xml:space="preserve"> </w:t>
      </w:r>
      <w:r w:rsidR="00277CAA" w:rsidRPr="00D329F5">
        <w:rPr>
          <w:rFonts w:ascii="Cambria" w:hAnsi="Cambria"/>
          <w:sz w:val="20"/>
          <w:szCs w:val="20"/>
          <w:lang w:val="es-VE"/>
        </w:rPr>
        <w:t>durante diez</w:t>
      </w:r>
      <w:r w:rsidR="00435B27" w:rsidRPr="00D329F5">
        <w:rPr>
          <w:rFonts w:ascii="Cambria" w:hAnsi="Cambria"/>
          <w:sz w:val="20"/>
          <w:szCs w:val="20"/>
          <w:lang w:val="es-VE"/>
        </w:rPr>
        <w:t xml:space="preserve"> meses</w:t>
      </w:r>
      <w:r w:rsidR="00277CAA" w:rsidRPr="00D329F5">
        <w:rPr>
          <w:rFonts w:ascii="Cambria" w:hAnsi="Cambria"/>
          <w:sz w:val="20"/>
          <w:szCs w:val="20"/>
          <w:lang w:val="es-VE"/>
        </w:rPr>
        <w:t>, mientras que</w:t>
      </w:r>
      <w:r w:rsidR="00435B27" w:rsidRPr="00D329F5">
        <w:rPr>
          <w:rFonts w:ascii="Cambria" w:hAnsi="Cambria"/>
          <w:sz w:val="20"/>
          <w:szCs w:val="20"/>
          <w:lang w:val="es-VE"/>
        </w:rPr>
        <w:t xml:space="preserve"> Wilmer Antonio Barliza </w:t>
      </w:r>
      <w:r w:rsidR="00277CAA" w:rsidRPr="00D329F5">
        <w:rPr>
          <w:rFonts w:ascii="Cambria" w:hAnsi="Cambria"/>
          <w:sz w:val="20"/>
          <w:szCs w:val="20"/>
          <w:lang w:val="es-VE"/>
        </w:rPr>
        <w:t>estuvo bajo detención preventiva por ocho</w:t>
      </w:r>
      <w:r w:rsidR="00435B27" w:rsidRPr="00D329F5">
        <w:rPr>
          <w:rFonts w:ascii="Cambria" w:hAnsi="Cambria"/>
          <w:sz w:val="20"/>
          <w:szCs w:val="20"/>
          <w:lang w:val="es-VE"/>
        </w:rPr>
        <w:t xml:space="preserve"> meses. </w:t>
      </w:r>
      <w:r w:rsidR="00BF1D7E">
        <w:rPr>
          <w:rFonts w:ascii="Cambria" w:hAnsi="Cambria"/>
          <w:sz w:val="20"/>
          <w:szCs w:val="20"/>
          <w:lang w:val="es-ES"/>
        </w:rPr>
        <w:t>L</w:t>
      </w:r>
      <w:r w:rsidR="00E26942" w:rsidRPr="004B0DCF">
        <w:rPr>
          <w:rFonts w:ascii="Cambria" w:hAnsi="Cambria"/>
          <w:sz w:val="20"/>
          <w:szCs w:val="20"/>
          <w:lang w:val="es-ES"/>
        </w:rPr>
        <w:t xml:space="preserve">a CIDH considera que el tiempo en que </w:t>
      </w:r>
      <w:r w:rsidR="00277CAA" w:rsidRPr="004B0DCF">
        <w:rPr>
          <w:rFonts w:ascii="Cambria" w:hAnsi="Cambria"/>
          <w:sz w:val="20"/>
          <w:szCs w:val="20"/>
          <w:lang w:val="es-ES"/>
        </w:rPr>
        <w:t>las cuatro víctimas estuvieron</w:t>
      </w:r>
      <w:r w:rsidR="00E26942" w:rsidRPr="004B0DCF">
        <w:rPr>
          <w:rFonts w:ascii="Cambria" w:hAnsi="Cambria"/>
          <w:sz w:val="20"/>
          <w:szCs w:val="20"/>
          <w:lang w:val="es-ES"/>
        </w:rPr>
        <w:t xml:space="preserve"> detenida</w:t>
      </w:r>
      <w:r w:rsidR="00277CAA" w:rsidRPr="004B0DCF">
        <w:rPr>
          <w:rFonts w:ascii="Cambria" w:hAnsi="Cambria"/>
          <w:sz w:val="20"/>
          <w:szCs w:val="20"/>
          <w:lang w:val="es-ES"/>
        </w:rPr>
        <w:t>s</w:t>
      </w:r>
      <w:r w:rsidR="00E26942" w:rsidRPr="004B0DCF">
        <w:rPr>
          <w:rFonts w:ascii="Cambria" w:hAnsi="Cambria"/>
          <w:sz w:val="20"/>
          <w:szCs w:val="20"/>
          <w:lang w:val="es-ES"/>
        </w:rPr>
        <w:t xml:space="preserve"> sin una sentencia judicial en firme, </w:t>
      </w:r>
      <w:r w:rsidR="00277CAA" w:rsidRPr="004B0DCF">
        <w:rPr>
          <w:rFonts w:ascii="Cambria" w:hAnsi="Cambria"/>
          <w:sz w:val="20"/>
          <w:szCs w:val="20"/>
          <w:lang w:val="es-ES"/>
        </w:rPr>
        <w:t>bajo la</w:t>
      </w:r>
      <w:r w:rsidR="00E26942" w:rsidRPr="004B0DCF">
        <w:rPr>
          <w:rFonts w:ascii="Cambria" w:hAnsi="Cambria"/>
          <w:sz w:val="20"/>
          <w:szCs w:val="20"/>
          <w:lang w:val="es-ES"/>
        </w:rPr>
        <w:t xml:space="preserve"> figura de la detención preventiva, resultó irrazonable</w:t>
      </w:r>
      <w:r w:rsidR="004E4F8A">
        <w:rPr>
          <w:rFonts w:ascii="Cambria" w:hAnsi="Cambria"/>
          <w:sz w:val="20"/>
          <w:szCs w:val="20"/>
          <w:lang w:val="es-ES"/>
        </w:rPr>
        <w:t xml:space="preserve"> en la medida en que </w:t>
      </w:r>
      <w:r w:rsidR="00AE5BD7">
        <w:rPr>
          <w:rFonts w:ascii="Cambria" w:hAnsi="Cambria"/>
          <w:sz w:val="20"/>
          <w:szCs w:val="20"/>
          <w:lang w:val="es-ES"/>
        </w:rPr>
        <w:t>su duración no estuvo acompañada de una revisión periódica de la subsistencia de las razones convencionalmente válidas para mantenerla durante dicho periodo, lo cual resulta evidente en la medida en que, como se analizó en la sección anterior, la propia normativa interna no exigía fines procesales. En ese sentido, el sistema normativo estaba diseñado para que la duración de la detención preventiva se mantuviera a lo largo de todo el proceso sin verificación alguna sobre su necesidad, como efectivamente ocurrió en el presente cas</w:t>
      </w:r>
      <w:r w:rsidR="00955FF9">
        <w:rPr>
          <w:rFonts w:ascii="Cambria" w:hAnsi="Cambria"/>
          <w:sz w:val="20"/>
          <w:szCs w:val="20"/>
          <w:lang w:val="es-ES"/>
        </w:rPr>
        <w:t>o</w:t>
      </w:r>
      <w:r w:rsidR="00AE5BD7">
        <w:rPr>
          <w:rFonts w:ascii="Cambria" w:hAnsi="Cambria"/>
          <w:sz w:val="20"/>
          <w:szCs w:val="20"/>
          <w:lang w:val="es-ES"/>
        </w:rPr>
        <w:t xml:space="preserve">. </w:t>
      </w:r>
    </w:p>
    <w:p w14:paraId="4B98E0F5" w14:textId="77777777" w:rsidR="005657A6" w:rsidRPr="005657A6" w:rsidRDefault="005657A6" w:rsidP="005657A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42FAE3A8" w14:textId="77777777" w:rsidR="00E26942" w:rsidRPr="00D329F5" w:rsidRDefault="00E26942" w:rsidP="004B0DC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4B0DCF">
        <w:rPr>
          <w:rFonts w:ascii="Cambria" w:hAnsi="Cambria"/>
          <w:sz w:val="20"/>
          <w:szCs w:val="20"/>
          <w:lang w:val="es-ES"/>
        </w:rPr>
        <w:t xml:space="preserve">En consecuencia, la Comisión concluye que el Estado </w:t>
      </w:r>
      <w:r w:rsidR="00277CAA" w:rsidRPr="004B0DCF">
        <w:rPr>
          <w:rFonts w:ascii="Cambria" w:hAnsi="Cambria"/>
          <w:sz w:val="20"/>
          <w:szCs w:val="20"/>
          <w:lang w:val="es-ES"/>
        </w:rPr>
        <w:t xml:space="preserve">venezolano </w:t>
      </w:r>
      <w:r w:rsidRPr="004B0DCF">
        <w:rPr>
          <w:rFonts w:ascii="Cambria" w:hAnsi="Cambria"/>
          <w:sz w:val="20"/>
          <w:szCs w:val="20"/>
          <w:lang w:val="es-ES"/>
        </w:rPr>
        <w:t>vulneró los derechos establecidos en los artículos 7.1</w:t>
      </w:r>
      <w:r w:rsidR="00134754">
        <w:rPr>
          <w:rFonts w:ascii="Cambria" w:hAnsi="Cambria"/>
          <w:sz w:val="20"/>
          <w:szCs w:val="20"/>
          <w:lang w:val="es-ES"/>
        </w:rPr>
        <w:t>,</w:t>
      </w:r>
      <w:r w:rsidR="00A85163">
        <w:rPr>
          <w:rFonts w:ascii="Cambria" w:hAnsi="Cambria"/>
          <w:sz w:val="20"/>
          <w:szCs w:val="20"/>
          <w:lang w:val="es-ES"/>
        </w:rPr>
        <w:t xml:space="preserve"> </w:t>
      </w:r>
      <w:r w:rsidRPr="004B0DCF">
        <w:rPr>
          <w:rFonts w:ascii="Cambria" w:hAnsi="Cambria"/>
          <w:sz w:val="20"/>
          <w:szCs w:val="20"/>
          <w:lang w:val="es-ES"/>
        </w:rPr>
        <w:t>7.5</w:t>
      </w:r>
      <w:r w:rsidR="00134754">
        <w:rPr>
          <w:rFonts w:ascii="Cambria" w:hAnsi="Cambria"/>
          <w:sz w:val="20"/>
          <w:szCs w:val="20"/>
          <w:lang w:val="es-ES"/>
        </w:rPr>
        <w:t xml:space="preserve"> y 8.2</w:t>
      </w:r>
      <w:r w:rsidRPr="004B0DCF">
        <w:rPr>
          <w:rFonts w:ascii="Cambria" w:hAnsi="Cambria"/>
          <w:sz w:val="20"/>
          <w:szCs w:val="20"/>
          <w:lang w:val="es-ES"/>
        </w:rPr>
        <w:t xml:space="preserve"> de la Convención Americana, en relación con los artículos 1.1 y 2 del mismo instrumento</w:t>
      </w:r>
      <w:r w:rsidR="006F1237">
        <w:rPr>
          <w:rFonts w:ascii="Cambria" w:hAnsi="Cambria"/>
          <w:sz w:val="20"/>
          <w:szCs w:val="20"/>
          <w:lang w:val="es-ES"/>
        </w:rPr>
        <w:t xml:space="preserve"> en perjuicio de</w:t>
      </w:r>
      <w:r w:rsidR="00AF3BA9">
        <w:rPr>
          <w:rFonts w:ascii="Cambria" w:hAnsi="Cambria"/>
          <w:sz w:val="20"/>
          <w:szCs w:val="20"/>
          <w:lang w:val="es-ES"/>
        </w:rPr>
        <w:t xml:space="preserve"> </w:t>
      </w:r>
      <w:r w:rsidR="00AF3BA9" w:rsidRPr="00EF764F">
        <w:rPr>
          <w:rFonts w:ascii="Cambria" w:hAnsi="Cambria"/>
          <w:sz w:val="20"/>
          <w:szCs w:val="20"/>
          <w:lang w:val="es-VE"/>
        </w:rPr>
        <w:t>María Angélica</w:t>
      </w:r>
      <w:r w:rsidR="00AF3BA9">
        <w:rPr>
          <w:rFonts w:ascii="Cambria" w:hAnsi="Cambria"/>
          <w:sz w:val="20"/>
          <w:szCs w:val="20"/>
          <w:lang w:val="es-VE"/>
        </w:rPr>
        <w:t xml:space="preserve"> González</w:t>
      </w:r>
      <w:r w:rsidR="00AF3BA9" w:rsidRPr="00EF764F">
        <w:rPr>
          <w:rFonts w:ascii="Cambria" w:hAnsi="Cambria"/>
          <w:sz w:val="20"/>
          <w:szCs w:val="20"/>
          <w:lang w:val="es-VE"/>
        </w:rPr>
        <w:t>, Belkis Mirelis</w:t>
      </w:r>
      <w:r w:rsidR="00AF3BA9">
        <w:rPr>
          <w:rFonts w:ascii="Cambria" w:hAnsi="Cambria"/>
          <w:sz w:val="20"/>
          <w:szCs w:val="20"/>
          <w:lang w:val="es-VE"/>
        </w:rPr>
        <w:t xml:space="preserve"> González,</w:t>
      </w:r>
      <w:r w:rsidR="00AF3BA9" w:rsidRPr="00EF764F">
        <w:rPr>
          <w:rFonts w:ascii="Cambria" w:hAnsi="Cambria"/>
          <w:sz w:val="20"/>
          <w:szCs w:val="20"/>
          <w:lang w:val="es-VE"/>
        </w:rPr>
        <w:t xml:space="preserve"> Fernando González</w:t>
      </w:r>
      <w:r w:rsidR="00AF3BA9">
        <w:rPr>
          <w:rFonts w:ascii="Cambria" w:hAnsi="Cambria"/>
          <w:sz w:val="20"/>
          <w:szCs w:val="20"/>
          <w:lang w:val="es-VE"/>
        </w:rPr>
        <w:t xml:space="preserve">, </w:t>
      </w:r>
      <w:r w:rsidR="00AF3BA9" w:rsidRPr="00EF764F">
        <w:rPr>
          <w:rFonts w:ascii="Cambria" w:hAnsi="Cambria"/>
          <w:sz w:val="20"/>
          <w:szCs w:val="20"/>
          <w:lang w:val="es-VE"/>
        </w:rPr>
        <w:t>Wilmer Antonio Barliza</w:t>
      </w:r>
      <w:r w:rsidR="00A942AB">
        <w:rPr>
          <w:rFonts w:ascii="Cambria" w:hAnsi="Cambria"/>
          <w:sz w:val="20"/>
          <w:szCs w:val="20"/>
          <w:lang w:val="es-VE"/>
        </w:rPr>
        <w:t xml:space="preserve">. </w:t>
      </w:r>
    </w:p>
    <w:p w14:paraId="2DFC76E7" w14:textId="77777777" w:rsidR="005C78ED" w:rsidRPr="00D329F5" w:rsidRDefault="005C78ED"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496A51B6" w14:textId="77777777" w:rsidR="005C78ED" w:rsidRPr="00D329F5" w:rsidRDefault="00790062"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sz w:val="20"/>
          <w:szCs w:val="20"/>
          <w:lang w:val="es-ES_tradnl"/>
        </w:rPr>
      </w:pPr>
      <w:r w:rsidRPr="00D329F5">
        <w:rPr>
          <w:rFonts w:ascii="Cambria" w:hAnsi="Cambria"/>
          <w:b/>
          <w:sz w:val="20"/>
          <w:szCs w:val="20"/>
          <w:lang w:val="es-ES_tradnl"/>
        </w:rPr>
        <w:tab/>
      </w:r>
      <w:r w:rsidR="005C78ED" w:rsidRPr="00D329F5">
        <w:rPr>
          <w:rFonts w:ascii="Cambria" w:hAnsi="Cambria"/>
          <w:b/>
          <w:sz w:val="20"/>
          <w:szCs w:val="20"/>
          <w:lang w:val="es-ES_tradnl"/>
        </w:rPr>
        <w:t xml:space="preserve">4. </w:t>
      </w:r>
      <w:r w:rsidR="005C78ED" w:rsidRPr="00D329F5">
        <w:rPr>
          <w:rFonts w:ascii="Cambria" w:hAnsi="Cambria"/>
          <w:b/>
          <w:sz w:val="20"/>
          <w:szCs w:val="20"/>
          <w:lang w:val="es-ES_tradnl"/>
        </w:rPr>
        <w:tab/>
      </w:r>
      <w:r w:rsidR="00E26942" w:rsidRPr="00D329F5">
        <w:rPr>
          <w:rFonts w:ascii="Cambria" w:hAnsi="Cambria"/>
          <w:b/>
          <w:sz w:val="20"/>
          <w:szCs w:val="20"/>
          <w:lang w:val="es-ES_tradnl"/>
        </w:rPr>
        <w:t>Sobre el derecho a recurrir la detención</w:t>
      </w:r>
      <w:r w:rsidR="00E10A1B" w:rsidRPr="00D329F5">
        <w:rPr>
          <w:rFonts w:ascii="Cambria" w:hAnsi="Cambria"/>
          <w:b/>
          <w:sz w:val="20"/>
          <w:szCs w:val="20"/>
          <w:lang w:val="es-ES_tradnl"/>
        </w:rPr>
        <w:t xml:space="preserve"> </w:t>
      </w:r>
    </w:p>
    <w:p w14:paraId="0ECD8C23" w14:textId="77777777" w:rsidR="00E10A1B" w:rsidRPr="00D329F5" w:rsidRDefault="00E10A1B"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7E85C618" w14:textId="77777777" w:rsidR="00AC0AA9" w:rsidRPr="00D329F5" w:rsidRDefault="00AC0AA9" w:rsidP="00AC0AA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329F5">
        <w:rPr>
          <w:rFonts w:ascii="Cambria" w:hAnsi="Cambria"/>
          <w:sz w:val="20"/>
          <w:szCs w:val="20"/>
          <w:lang w:val="es-VE"/>
        </w:rPr>
        <w:t>Conforme</w:t>
      </w:r>
      <w:r>
        <w:rPr>
          <w:rFonts w:ascii="Cambria" w:hAnsi="Cambria"/>
          <w:sz w:val="20"/>
          <w:szCs w:val="20"/>
          <w:lang w:val="es-VE"/>
        </w:rPr>
        <w:t xml:space="preserve"> al </w:t>
      </w:r>
      <w:r w:rsidRPr="007B54F1">
        <w:rPr>
          <w:rFonts w:ascii="Cambria" w:hAnsi="Cambria"/>
          <w:sz w:val="20"/>
          <w:szCs w:val="20"/>
          <w:lang w:val="es-VE"/>
        </w:rPr>
        <w:t>artículo 25.1 de la Convención Americana, no basta con que los recursos judiciales existan formalmente, sino que es preciso que sean efectivos, es decir que deben brindar a la persona la posibilidad real de interponer un recurso sencillo y rápido que permita alcanzar la protección judicial requerida</w:t>
      </w:r>
      <w:r w:rsidRPr="007B54F1">
        <w:rPr>
          <w:rStyle w:val="Refdenotaalpie"/>
          <w:rFonts w:ascii="Cambria" w:hAnsi="Cambria"/>
          <w:sz w:val="20"/>
          <w:szCs w:val="20"/>
          <w:lang w:val="es-VE"/>
        </w:rPr>
        <w:footnoteReference w:id="105"/>
      </w:r>
      <w:r w:rsidRPr="007B54F1">
        <w:rPr>
          <w:rFonts w:ascii="Cambria" w:hAnsi="Cambria"/>
          <w:sz w:val="20"/>
          <w:szCs w:val="20"/>
          <w:lang w:val="es-VE"/>
        </w:rPr>
        <w:t>. Por su parte, el artículo 7.6 de la Convención Americana protege el derecho de toda persona privada de la libertad a recurrir la legalidad de su detención ante un juez o tribunal competente, a fin de que éste decida, sin demora, sobre la legalidad de la privación de libertad, y, en su caso, decrete su libertad.</w:t>
      </w:r>
      <w:r w:rsidRPr="007B54F1">
        <w:rPr>
          <w:rFonts w:ascii="Cambria" w:hAnsi="Cambria"/>
          <w:b/>
          <w:sz w:val="20"/>
          <w:szCs w:val="20"/>
          <w:lang w:val="es-ES"/>
        </w:rPr>
        <w:t xml:space="preserve"> </w:t>
      </w:r>
      <w:r w:rsidRPr="007B54F1">
        <w:rPr>
          <w:rFonts w:ascii="Cambria" w:hAnsi="Cambria"/>
          <w:sz w:val="20"/>
          <w:szCs w:val="20"/>
          <w:lang w:val="es-ES"/>
        </w:rPr>
        <w:t>E</w:t>
      </w:r>
      <w:r w:rsidRPr="007B54F1">
        <w:rPr>
          <w:rFonts w:ascii="Cambria" w:hAnsi="Cambria"/>
          <w:sz w:val="20"/>
          <w:szCs w:val="20"/>
          <w:lang w:val="es-VE"/>
        </w:rPr>
        <w:t xml:space="preserve">n el caso de un recurso que controvierte la privación de libertad, el análisis por la autoridad competente no puede reducirse a una mera formalidad, sino debe examinar las razones invocadas por el demandante y manifestarse expresamente sobre ellas, </w:t>
      </w:r>
      <w:proofErr w:type="gramStart"/>
      <w:r w:rsidRPr="007B54F1">
        <w:rPr>
          <w:rFonts w:ascii="Cambria" w:hAnsi="Cambria"/>
          <w:sz w:val="20"/>
          <w:szCs w:val="20"/>
          <w:lang w:val="es-VE"/>
        </w:rPr>
        <w:t>de acuerdo a</w:t>
      </w:r>
      <w:proofErr w:type="gramEnd"/>
      <w:r w:rsidRPr="007B54F1">
        <w:rPr>
          <w:rFonts w:ascii="Cambria" w:hAnsi="Cambria"/>
          <w:sz w:val="20"/>
          <w:szCs w:val="20"/>
          <w:lang w:val="es-VE"/>
        </w:rPr>
        <w:t xml:space="preserve"> los parámetros establecidos por la Convención Americana</w:t>
      </w:r>
      <w:r w:rsidRPr="007B54F1">
        <w:rPr>
          <w:rStyle w:val="Refdenotaalpie"/>
          <w:rFonts w:ascii="Cambria" w:hAnsi="Cambria"/>
          <w:sz w:val="20"/>
          <w:szCs w:val="20"/>
          <w:lang w:val="es-VE"/>
        </w:rPr>
        <w:footnoteReference w:id="106"/>
      </w:r>
      <w:r w:rsidRPr="007B54F1">
        <w:rPr>
          <w:rFonts w:ascii="Cambria" w:hAnsi="Cambria"/>
          <w:sz w:val="20"/>
          <w:szCs w:val="20"/>
          <w:lang w:val="es-VE"/>
        </w:rPr>
        <w:t>.</w:t>
      </w:r>
    </w:p>
    <w:p w14:paraId="6D0D8D70" w14:textId="77777777" w:rsidR="00480BEF" w:rsidRPr="00D329F5" w:rsidRDefault="00480BEF" w:rsidP="00AC0AA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3BF7F24E" w14:textId="77777777" w:rsidR="00AC0AA9" w:rsidRPr="00B97972" w:rsidRDefault="00A6753F" w:rsidP="00B9797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329F5">
        <w:rPr>
          <w:rFonts w:ascii="Cambria" w:hAnsi="Cambria"/>
          <w:sz w:val="20"/>
          <w:szCs w:val="20"/>
          <w:lang w:val="es-VE"/>
        </w:rPr>
        <w:t>En el presente caso</w:t>
      </w:r>
      <w:r w:rsidR="00AC0AA9" w:rsidRPr="00D329F5">
        <w:rPr>
          <w:rFonts w:ascii="Cambria" w:hAnsi="Cambria"/>
          <w:sz w:val="20"/>
          <w:szCs w:val="20"/>
          <w:lang w:val="es-VE"/>
        </w:rPr>
        <w:t xml:space="preserve">, la CIDH toma nota de que </w:t>
      </w:r>
      <w:r w:rsidR="00230D5E" w:rsidRPr="00D329F5">
        <w:rPr>
          <w:rFonts w:ascii="Cambria" w:hAnsi="Cambria"/>
          <w:sz w:val="20"/>
          <w:szCs w:val="20"/>
          <w:lang w:val="es-VE"/>
        </w:rPr>
        <w:t xml:space="preserve">las presuntas víctimas presentaron </w:t>
      </w:r>
      <w:proofErr w:type="gramStart"/>
      <w:r w:rsidR="00230D5E" w:rsidRPr="00D329F5">
        <w:rPr>
          <w:rFonts w:ascii="Cambria" w:hAnsi="Cambria"/>
          <w:sz w:val="20"/>
          <w:szCs w:val="20"/>
          <w:lang w:val="es-VE"/>
        </w:rPr>
        <w:t xml:space="preserve">una </w:t>
      </w:r>
      <w:r w:rsidR="00AC0AA9" w:rsidRPr="00D329F5">
        <w:rPr>
          <w:rFonts w:ascii="Cambria" w:hAnsi="Cambria"/>
          <w:sz w:val="20"/>
          <w:szCs w:val="20"/>
          <w:lang w:val="es-VE"/>
        </w:rPr>
        <w:t xml:space="preserve"> </w:t>
      </w:r>
      <w:r w:rsidR="00230D5E" w:rsidRPr="00230D5E">
        <w:rPr>
          <w:rFonts w:ascii="Cambria" w:hAnsi="Cambria"/>
          <w:sz w:val="20"/>
          <w:szCs w:val="20"/>
          <w:lang w:val="es-VE"/>
        </w:rPr>
        <w:t>solicitud</w:t>
      </w:r>
      <w:proofErr w:type="gramEnd"/>
      <w:r w:rsidR="00230D5E" w:rsidRPr="00230D5E">
        <w:rPr>
          <w:rFonts w:ascii="Cambria" w:hAnsi="Cambria"/>
          <w:sz w:val="20"/>
          <w:szCs w:val="20"/>
          <w:lang w:val="es-VE"/>
        </w:rPr>
        <w:t xml:space="preserve"> de medidas alternativas a la prisión preventiva</w:t>
      </w:r>
      <w:r w:rsidR="00230D5E">
        <w:rPr>
          <w:rFonts w:ascii="Cambria" w:hAnsi="Cambria"/>
          <w:sz w:val="20"/>
          <w:szCs w:val="20"/>
          <w:lang w:val="es-VE"/>
        </w:rPr>
        <w:t xml:space="preserve"> y una </w:t>
      </w:r>
      <w:r w:rsidR="00230D5E" w:rsidRPr="00230D5E">
        <w:rPr>
          <w:rFonts w:ascii="Cambria" w:hAnsi="Cambria"/>
          <w:sz w:val="20"/>
          <w:szCs w:val="20"/>
          <w:lang w:val="es-VE"/>
        </w:rPr>
        <w:t>solicitud de medida cautelar sustitutiva</w:t>
      </w:r>
      <w:r w:rsidR="00230D5E">
        <w:rPr>
          <w:rFonts w:ascii="Cambria" w:hAnsi="Cambria"/>
          <w:sz w:val="20"/>
          <w:szCs w:val="20"/>
          <w:lang w:val="es-VE"/>
        </w:rPr>
        <w:t xml:space="preserve"> a efectos de cuestionar las resoluciones de detención preventiva en su contra. En relación con la primera </w:t>
      </w:r>
      <w:r w:rsidR="00B97972">
        <w:rPr>
          <w:rFonts w:ascii="Cambria" w:hAnsi="Cambria"/>
          <w:sz w:val="20"/>
          <w:szCs w:val="20"/>
          <w:lang w:val="es-VE"/>
        </w:rPr>
        <w:t>solicitud, la parte peticionaria alegó que la misma nunca fue respondida</w:t>
      </w:r>
      <w:r w:rsidR="00DD2475">
        <w:rPr>
          <w:rFonts w:ascii="Cambria" w:hAnsi="Cambria"/>
          <w:sz w:val="20"/>
          <w:szCs w:val="20"/>
          <w:lang w:val="es-VE"/>
        </w:rPr>
        <w:t xml:space="preserve">, lo cual no fue controvertido por el Estado </w:t>
      </w:r>
      <w:r w:rsidR="00B97972">
        <w:rPr>
          <w:rFonts w:ascii="Cambria" w:hAnsi="Cambria"/>
          <w:sz w:val="20"/>
          <w:szCs w:val="20"/>
          <w:lang w:val="es-VE"/>
        </w:rPr>
        <w:t xml:space="preserve">Respecto de la segunda solicitud, ésta fue rechazada por el </w:t>
      </w:r>
      <w:r w:rsidR="00B97972" w:rsidRPr="00B97972">
        <w:rPr>
          <w:rFonts w:ascii="Cambria" w:hAnsi="Cambria"/>
          <w:sz w:val="20"/>
          <w:szCs w:val="20"/>
          <w:lang w:val="es-VE"/>
        </w:rPr>
        <w:t xml:space="preserve">Juzgado Noveno de Control, el cual </w:t>
      </w:r>
      <w:r w:rsidR="00B97972">
        <w:rPr>
          <w:rFonts w:ascii="Cambria" w:hAnsi="Cambria"/>
          <w:sz w:val="20"/>
          <w:szCs w:val="20"/>
          <w:lang w:val="es-VE"/>
        </w:rPr>
        <w:t xml:space="preserve">se limitó a indicar </w:t>
      </w:r>
      <w:r w:rsidR="00B97972" w:rsidRPr="00B97972">
        <w:rPr>
          <w:rFonts w:ascii="Cambria" w:hAnsi="Cambria"/>
          <w:sz w:val="20"/>
          <w:szCs w:val="20"/>
          <w:lang w:val="es-VE"/>
        </w:rPr>
        <w:t xml:space="preserve">que se encontraban </w:t>
      </w:r>
      <w:r w:rsidR="00B97972">
        <w:rPr>
          <w:rFonts w:ascii="Cambria" w:hAnsi="Cambria"/>
          <w:sz w:val="20"/>
          <w:szCs w:val="20"/>
          <w:lang w:val="es-VE"/>
        </w:rPr>
        <w:t>cumplidos</w:t>
      </w:r>
      <w:r w:rsidR="00B97972" w:rsidRPr="00B97972">
        <w:rPr>
          <w:rFonts w:ascii="Cambria" w:hAnsi="Cambria"/>
          <w:sz w:val="20"/>
          <w:szCs w:val="20"/>
          <w:lang w:val="es-VE"/>
        </w:rPr>
        <w:t xml:space="preserve"> los extremos del artículo 259 del </w:t>
      </w:r>
      <w:r w:rsidR="00744BD4">
        <w:rPr>
          <w:rFonts w:ascii="Cambria" w:hAnsi="Cambria"/>
          <w:sz w:val="20"/>
          <w:szCs w:val="20"/>
          <w:lang w:val="es-VE"/>
        </w:rPr>
        <w:t xml:space="preserve">nuevo </w:t>
      </w:r>
      <w:r w:rsidR="00B97972" w:rsidRPr="00B97972">
        <w:rPr>
          <w:rFonts w:ascii="Cambria" w:hAnsi="Cambria"/>
          <w:sz w:val="20"/>
          <w:szCs w:val="20"/>
          <w:lang w:val="es-VE"/>
        </w:rPr>
        <w:t>Código</w:t>
      </w:r>
      <w:r w:rsidR="00FF70D7">
        <w:rPr>
          <w:rFonts w:ascii="Cambria" w:hAnsi="Cambria"/>
          <w:sz w:val="20"/>
          <w:szCs w:val="20"/>
          <w:lang w:val="es-VE"/>
        </w:rPr>
        <w:t xml:space="preserve"> Orgánico Procesal Penal</w:t>
      </w:r>
      <w:r w:rsidR="00744BD4">
        <w:rPr>
          <w:rFonts w:ascii="Cambria" w:hAnsi="Cambria"/>
          <w:sz w:val="20"/>
          <w:szCs w:val="20"/>
          <w:lang w:val="es-VE"/>
        </w:rPr>
        <w:t xml:space="preserve"> que </w:t>
      </w:r>
      <w:proofErr w:type="gramStart"/>
      <w:r w:rsidR="00744BD4">
        <w:rPr>
          <w:rFonts w:ascii="Cambria" w:hAnsi="Cambria"/>
          <w:sz w:val="20"/>
          <w:szCs w:val="20"/>
          <w:lang w:val="es-VE"/>
        </w:rPr>
        <w:t>entró en vigencia</w:t>
      </w:r>
      <w:proofErr w:type="gramEnd"/>
      <w:r w:rsidR="00744BD4">
        <w:rPr>
          <w:rFonts w:ascii="Cambria" w:hAnsi="Cambria"/>
          <w:sz w:val="20"/>
          <w:szCs w:val="20"/>
          <w:lang w:val="es-VE"/>
        </w:rPr>
        <w:t xml:space="preserve"> cuando las presuntas víctimas estaban privadas de libertad. </w:t>
      </w:r>
      <w:r w:rsidR="00B97972">
        <w:rPr>
          <w:rFonts w:ascii="Cambria" w:hAnsi="Cambria"/>
          <w:sz w:val="20"/>
          <w:szCs w:val="20"/>
          <w:lang w:val="es-VE"/>
        </w:rPr>
        <w:t xml:space="preserve">La CIDH </w:t>
      </w:r>
      <w:r w:rsidR="00A73D49">
        <w:rPr>
          <w:rFonts w:ascii="Cambria" w:hAnsi="Cambria"/>
          <w:sz w:val="20"/>
          <w:szCs w:val="20"/>
          <w:lang w:val="es-VE"/>
        </w:rPr>
        <w:t xml:space="preserve">destaca </w:t>
      </w:r>
      <w:r w:rsidR="00B97972">
        <w:rPr>
          <w:rFonts w:ascii="Cambria" w:hAnsi="Cambria"/>
          <w:sz w:val="20"/>
          <w:szCs w:val="20"/>
          <w:lang w:val="es-VE"/>
        </w:rPr>
        <w:t>que</w:t>
      </w:r>
      <w:r w:rsidR="00A73D49">
        <w:rPr>
          <w:rFonts w:ascii="Cambria" w:hAnsi="Cambria"/>
          <w:sz w:val="20"/>
          <w:szCs w:val="20"/>
          <w:lang w:val="es-VE"/>
        </w:rPr>
        <w:t xml:space="preserve"> en</w:t>
      </w:r>
      <w:r w:rsidR="00B97972">
        <w:rPr>
          <w:rFonts w:ascii="Cambria" w:hAnsi="Cambria"/>
          <w:sz w:val="20"/>
          <w:szCs w:val="20"/>
          <w:lang w:val="es-VE"/>
        </w:rPr>
        <w:t xml:space="preserve"> dicha decisión no</w:t>
      </w:r>
      <w:r w:rsidR="00A73D49">
        <w:rPr>
          <w:rFonts w:ascii="Cambria" w:hAnsi="Cambria"/>
          <w:sz w:val="20"/>
          <w:szCs w:val="20"/>
          <w:lang w:val="es-VE"/>
        </w:rPr>
        <w:t xml:space="preserve"> se</w:t>
      </w:r>
      <w:r w:rsidR="00B97972">
        <w:rPr>
          <w:rFonts w:ascii="Cambria" w:hAnsi="Cambria"/>
          <w:sz w:val="20"/>
          <w:szCs w:val="20"/>
          <w:lang w:val="es-VE"/>
        </w:rPr>
        <w:t xml:space="preserve"> anali</w:t>
      </w:r>
      <w:r w:rsidR="00A73D49">
        <w:rPr>
          <w:rFonts w:ascii="Cambria" w:hAnsi="Cambria"/>
          <w:sz w:val="20"/>
          <w:szCs w:val="20"/>
          <w:lang w:val="es-VE"/>
        </w:rPr>
        <w:t>zaron</w:t>
      </w:r>
      <w:r w:rsidR="00B97972">
        <w:rPr>
          <w:rFonts w:ascii="Cambria" w:hAnsi="Cambria"/>
          <w:sz w:val="20"/>
          <w:szCs w:val="20"/>
          <w:lang w:val="es-VE"/>
        </w:rPr>
        <w:t xml:space="preserve"> los alegatos presentados por la parte peticionaria respecto de la falta de prueba sobre un posible peligro de fuga u obstaculización en las investigaciones.</w:t>
      </w:r>
    </w:p>
    <w:p w14:paraId="3217747A" w14:textId="77777777" w:rsidR="00AC0AA9" w:rsidRPr="00D329F5" w:rsidRDefault="00AC0AA9" w:rsidP="00AC0AA9">
      <w:pPr>
        <w:pStyle w:val="Prrafodelista"/>
        <w:rPr>
          <w:rFonts w:ascii="Cambria" w:hAnsi="Cambria"/>
          <w:sz w:val="20"/>
          <w:szCs w:val="20"/>
          <w:lang w:val="es-VE"/>
        </w:rPr>
      </w:pPr>
    </w:p>
    <w:p w14:paraId="48DC3381" w14:textId="77777777" w:rsidR="00E20DA5" w:rsidRPr="007B54F1" w:rsidRDefault="00E20DA5" w:rsidP="00E20DA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num" w:pos="2040"/>
        </w:tabs>
        <w:ind w:left="0" w:firstLine="630"/>
        <w:jc w:val="both"/>
        <w:rPr>
          <w:rFonts w:ascii="Cambria" w:hAnsi="Cambria"/>
          <w:sz w:val="20"/>
          <w:szCs w:val="20"/>
          <w:lang w:val="es-ES"/>
        </w:rPr>
      </w:pPr>
      <w:proofErr w:type="gramStart"/>
      <w:r w:rsidRPr="007B54F1">
        <w:rPr>
          <w:rFonts w:ascii="Cambria" w:hAnsi="Cambria"/>
          <w:sz w:val="20"/>
          <w:szCs w:val="20"/>
          <w:lang w:val="es-ES"/>
        </w:rPr>
        <w:t>Un factor adicional a tomar</w:t>
      </w:r>
      <w:proofErr w:type="gramEnd"/>
      <w:r w:rsidRPr="007B54F1">
        <w:rPr>
          <w:rFonts w:ascii="Cambria" w:hAnsi="Cambria"/>
          <w:sz w:val="20"/>
          <w:szCs w:val="20"/>
          <w:lang w:val="es-ES"/>
        </w:rPr>
        <w:t xml:space="preserve"> en cuenta es que, como fue analizado en el presente informe, </w:t>
      </w:r>
      <w:r w:rsidR="00230D5E">
        <w:rPr>
          <w:rFonts w:ascii="Cambria" w:hAnsi="Cambria"/>
          <w:sz w:val="20"/>
          <w:szCs w:val="20"/>
          <w:lang w:val="es-ES"/>
        </w:rPr>
        <w:t>las</w:t>
      </w:r>
      <w:r w:rsidRPr="007B54F1">
        <w:rPr>
          <w:rFonts w:ascii="Cambria" w:hAnsi="Cambria"/>
          <w:sz w:val="20"/>
          <w:szCs w:val="20"/>
          <w:lang w:val="es-ES"/>
        </w:rPr>
        <w:t xml:space="preserve"> propias resoluciones que declararon la detención de las presuntas víctimas tampoco estuvieron debidamente motivadas, lo cual generó un obstáculo para las presuntas víctimas al momento de presentar sus alegatos para cuestionar la detención. Ello en tanto </w:t>
      </w:r>
      <w:r w:rsidRPr="007B54F1" w:rsidDel="000A05C8">
        <w:rPr>
          <w:rFonts w:ascii="Cambria" w:hAnsi="Cambria"/>
          <w:sz w:val="20"/>
          <w:szCs w:val="20"/>
          <w:lang w:val="es-ES"/>
        </w:rPr>
        <w:t>existe una relación intrínseca entre la existencia de una motivación suficiente y la posibilidad de cuestionar las resoluciones y formular una defensa adecuada en el marco de los recursos subsiguientes</w:t>
      </w:r>
      <w:r w:rsidRPr="007B54F1">
        <w:rPr>
          <w:rFonts w:ascii="Cambria" w:hAnsi="Cambria"/>
          <w:sz w:val="20"/>
          <w:szCs w:val="20"/>
          <w:vertAlign w:val="superscript"/>
        </w:rPr>
        <w:footnoteReference w:id="107"/>
      </w:r>
      <w:r w:rsidRPr="007B54F1" w:rsidDel="000A05C8">
        <w:rPr>
          <w:rFonts w:ascii="Cambria" w:hAnsi="Cambria"/>
          <w:sz w:val="20"/>
          <w:szCs w:val="20"/>
          <w:lang w:val="es-ES"/>
        </w:rPr>
        <w:t>.</w:t>
      </w:r>
      <w:r w:rsidRPr="007B54F1">
        <w:rPr>
          <w:rFonts w:ascii="Cambria" w:hAnsi="Cambria"/>
          <w:sz w:val="20"/>
          <w:szCs w:val="20"/>
          <w:lang w:val="es-ES"/>
        </w:rPr>
        <w:t xml:space="preserve"> </w:t>
      </w:r>
    </w:p>
    <w:p w14:paraId="42B0A4C5" w14:textId="77777777" w:rsidR="00E20DA5" w:rsidRPr="00D329F5" w:rsidRDefault="00E20DA5" w:rsidP="00AC0AA9">
      <w:pPr>
        <w:pStyle w:val="Prrafodelista"/>
        <w:rPr>
          <w:rFonts w:ascii="Cambria" w:hAnsi="Cambria"/>
          <w:sz w:val="20"/>
          <w:szCs w:val="20"/>
          <w:lang w:val="es-ES"/>
        </w:rPr>
      </w:pPr>
    </w:p>
    <w:p w14:paraId="0DADE94B" w14:textId="77777777" w:rsidR="00E20DA5" w:rsidRPr="007B54F1" w:rsidRDefault="00E20DA5" w:rsidP="00E20DA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num" w:pos="2040"/>
        </w:tabs>
        <w:ind w:left="0" w:firstLine="630"/>
        <w:jc w:val="both"/>
        <w:rPr>
          <w:rFonts w:ascii="Cambria" w:hAnsi="Cambria"/>
          <w:sz w:val="20"/>
          <w:szCs w:val="20"/>
          <w:lang w:val="es-ES"/>
        </w:rPr>
      </w:pPr>
      <w:r w:rsidRPr="007B54F1">
        <w:rPr>
          <w:rFonts w:ascii="Cambria" w:hAnsi="Cambria"/>
          <w:sz w:val="20"/>
          <w:szCs w:val="20"/>
          <w:lang w:val="es-ES"/>
        </w:rPr>
        <w:t xml:space="preserve">Por lo señalado, la Comisión considera que los recursos presentados por las presuntas víctimas a efectos de cuestionar su detención no fueron idóneos ni efectivos para obtener una debida protección judicial. </w:t>
      </w:r>
      <w:r w:rsidR="00211525">
        <w:rPr>
          <w:rFonts w:ascii="Cambria" w:hAnsi="Cambria"/>
          <w:sz w:val="20"/>
          <w:szCs w:val="20"/>
          <w:lang w:val="es-ES"/>
        </w:rPr>
        <w:t xml:space="preserve">Puntualmente </w:t>
      </w:r>
      <w:r w:rsidR="00907281">
        <w:rPr>
          <w:rFonts w:ascii="Cambria" w:hAnsi="Cambria"/>
          <w:sz w:val="20"/>
          <w:szCs w:val="20"/>
          <w:lang w:val="es-ES"/>
        </w:rPr>
        <w:t>en cuanto a Olimpiades y Luis</w:t>
      </w:r>
      <w:r w:rsidR="00331CB0">
        <w:rPr>
          <w:rFonts w:ascii="Cambria" w:hAnsi="Cambria"/>
          <w:sz w:val="20"/>
          <w:szCs w:val="20"/>
          <w:lang w:val="es-ES"/>
        </w:rPr>
        <w:t xml:space="preserve"> Guillermo González, la CIDH destaca que fueron puestos en libertad cuando el Ministerio Público decidió no acusarlos por falta de indicios de responsabilidad, y no como consecuencia de la efectividad de los recursos interpuestos por ellos a efectos de cuestionar la procedencia de la detención preventiva a la luz de la ausencia de fines procesales</w:t>
      </w:r>
      <w:r w:rsidR="00211525">
        <w:rPr>
          <w:rFonts w:ascii="Cambria" w:hAnsi="Cambria"/>
          <w:sz w:val="20"/>
          <w:szCs w:val="20"/>
          <w:lang w:val="es-ES"/>
        </w:rPr>
        <w:t xml:space="preserve"> </w:t>
      </w:r>
      <w:r w:rsidRPr="007B54F1">
        <w:rPr>
          <w:rFonts w:ascii="Cambria" w:hAnsi="Cambria"/>
          <w:sz w:val="20"/>
          <w:szCs w:val="20"/>
          <w:lang w:val="es-ES"/>
        </w:rPr>
        <w:t xml:space="preserve">En consecuencia, la CIDH considera que el Estado </w:t>
      </w:r>
      <w:r w:rsidR="00B97972">
        <w:rPr>
          <w:rFonts w:ascii="Cambria" w:hAnsi="Cambria"/>
          <w:sz w:val="20"/>
          <w:szCs w:val="20"/>
          <w:lang w:val="es-ES"/>
        </w:rPr>
        <w:t>venezolano</w:t>
      </w:r>
      <w:r w:rsidRPr="007B54F1">
        <w:rPr>
          <w:rFonts w:ascii="Cambria" w:hAnsi="Cambria"/>
          <w:sz w:val="20"/>
          <w:szCs w:val="20"/>
          <w:lang w:val="es-ES"/>
        </w:rPr>
        <w:t xml:space="preserve"> es responsable por la violación de los derechos establecidos en los artículos 7.6 y 25.1 de la Convención Americana, en relación con el artículo 1.1 del mismo instrumento, en perjuicio de </w:t>
      </w:r>
      <w:r w:rsidRPr="00E20DA5">
        <w:rPr>
          <w:rFonts w:ascii="Cambria" w:hAnsi="Cambria"/>
          <w:sz w:val="20"/>
          <w:szCs w:val="20"/>
          <w:lang w:val="es-VE"/>
        </w:rPr>
        <w:t xml:space="preserve">Wilmer Antonio Barliza, Belkis González, María Angélica González, Fernando González, Olimpiades González y Luis </w:t>
      </w:r>
      <w:r w:rsidR="00907281">
        <w:rPr>
          <w:rFonts w:ascii="Cambria" w:hAnsi="Cambria"/>
          <w:sz w:val="20"/>
          <w:szCs w:val="20"/>
          <w:lang w:val="es-VE"/>
        </w:rPr>
        <w:t xml:space="preserve">Guillermo </w:t>
      </w:r>
      <w:r w:rsidRPr="00E20DA5">
        <w:rPr>
          <w:rFonts w:ascii="Cambria" w:hAnsi="Cambria"/>
          <w:sz w:val="20"/>
          <w:szCs w:val="20"/>
          <w:lang w:val="es-VE"/>
        </w:rPr>
        <w:t xml:space="preserve">González.  </w:t>
      </w:r>
    </w:p>
    <w:p w14:paraId="63DB9FE9" w14:textId="77777777" w:rsidR="00790062" w:rsidRPr="00550A9A" w:rsidRDefault="00790062" w:rsidP="00B9797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7B929A4A" w14:textId="77777777" w:rsidR="006A7649" w:rsidRPr="00D329F5" w:rsidRDefault="00790062" w:rsidP="00EF4727">
      <w:pPr>
        <w:pStyle w:val="Ttulo2"/>
        <w:numPr>
          <w:ilvl w:val="0"/>
          <w:numId w:val="59"/>
        </w:numPr>
        <w:spacing w:before="0" w:after="0"/>
        <w:ind w:left="1440" w:hanging="810"/>
        <w:jc w:val="both"/>
        <w:rPr>
          <w:rFonts w:ascii="Cambria" w:hAnsi="Cambria"/>
          <w:i w:val="0"/>
          <w:sz w:val="20"/>
          <w:szCs w:val="20"/>
          <w:lang w:val="es-ES_tradnl"/>
        </w:rPr>
      </w:pPr>
      <w:bookmarkStart w:id="13" w:name="_Toc529374054"/>
      <w:r w:rsidRPr="00D329F5">
        <w:rPr>
          <w:rFonts w:ascii="Cambria" w:hAnsi="Cambria"/>
          <w:i w:val="0"/>
          <w:sz w:val="20"/>
          <w:szCs w:val="20"/>
          <w:lang w:val="es-ES_tradnl"/>
        </w:rPr>
        <w:t>Derecho a la integridad personal (artículo 5</w:t>
      </w:r>
      <w:r w:rsidR="00277CAA" w:rsidRPr="00D329F5">
        <w:rPr>
          <w:rFonts w:ascii="Cambria" w:hAnsi="Cambria"/>
          <w:i w:val="0"/>
          <w:sz w:val="20"/>
          <w:szCs w:val="20"/>
          <w:lang w:val="es-ES_tradnl"/>
        </w:rPr>
        <w:t>.4</w:t>
      </w:r>
      <w:r w:rsidR="00BD46B1">
        <w:rPr>
          <w:rStyle w:val="Refdenotaalpie"/>
          <w:rFonts w:ascii="Cambria" w:hAnsi="Cambria"/>
          <w:i w:val="0"/>
          <w:sz w:val="20"/>
          <w:szCs w:val="20"/>
          <w:lang w:val="es-ES_tradnl"/>
        </w:rPr>
        <w:footnoteReference w:id="108"/>
      </w:r>
      <w:r w:rsidRPr="00D329F5">
        <w:rPr>
          <w:rFonts w:ascii="Cambria" w:hAnsi="Cambria"/>
          <w:i w:val="0"/>
          <w:sz w:val="20"/>
          <w:szCs w:val="20"/>
          <w:lang w:val="es-ES_tradnl"/>
        </w:rPr>
        <w:t xml:space="preserve"> de la Convención Americana en relación con el artículo 1.1 del mismo instrumento</w:t>
      </w:r>
      <w:r w:rsidR="00F56B83" w:rsidRPr="00D329F5">
        <w:rPr>
          <w:rFonts w:ascii="Cambria" w:hAnsi="Cambria"/>
          <w:i w:val="0"/>
          <w:sz w:val="20"/>
          <w:szCs w:val="20"/>
          <w:lang w:val="es-ES_tradnl"/>
        </w:rPr>
        <w:t>)</w:t>
      </w:r>
      <w:bookmarkEnd w:id="13"/>
    </w:p>
    <w:p w14:paraId="4235F142" w14:textId="77777777" w:rsidR="00790062" w:rsidRPr="00D329F5" w:rsidRDefault="00790062"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2A754BDE" w14:textId="77777777" w:rsidR="00790062" w:rsidRPr="00D329F5" w:rsidRDefault="00184AFE" w:rsidP="00EF47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329F5">
        <w:rPr>
          <w:rFonts w:ascii="Cambria" w:hAnsi="Cambria"/>
          <w:sz w:val="20"/>
          <w:szCs w:val="20"/>
          <w:lang w:val="es-VE"/>
        </w:rPr>
        <w:t xml:space="preserve">La Corte Interamericana ha considerado que el artículo 5.4 de la Convención Americana impone a los Estados la obligación de establecer un sistema de clasificación de los reclusos en los centros penitenciarios, de manera que se garantice </w:t>
      </w:r>
      <w:r w:rsidR="000836F4" w:rsidRPr="00D329F5">
        <w:rPr>
          <w:rFonts w:ascii="Cambria" w:hAnsi="Cambria"/>
          <w:sz w:val="20"/>
          <w:szCs w:val="20"/>
          <w:lang w:val="es-VE"/>
        </w:rPr>
        <w:t>que los procesados sean separados los condenados y que reciban un tratamiento adecuado a s</w:t>
      </w:r>
      <w:r w:rsidR="00277CAA" w:rsidRPr="00D329F5">
        <w:rPr>
          <w:rFonts w:ascii="Cambria" w:hAnsi="Cambria"/>
          <w:sz w:val="20"/>
          <w:szCs w:val="20"/>
          <w:lang w:val="es-VE"/>
        </w:rPr>
        <w:t>u</w:t>
      </w:r>
      <w:r w:rsidR="000836F4" w:rsidRPr="00D329F5">
        <w:rPr>
          <w:rFonts w:ascii="Cambria" w:hAnsi="Cambria"/>
          <w:sz w:val="20"/>
          <w:szCs w:val="20"/>
          <w:lang w:val="es-VE"/>
        </w:rPr>
        <w:t xml:space="preserve"> condición de personas no condenadas. </w:t>
      </w:r>
      <w:r w:rsidR="00A45928" w:rsidRPr="00D329F5">
        <w:rPr>
          <w:rFonts w:ascii="Cambria" w:hAnsi="Cambria"/>
          <w:sz w:val="20"/>
          <w:szCs w:val="20"/>
          <w:lang w:val="es-VE"/>
        </w:rPr>
        <w:t>Es así como c</w:t>
      </w:r>
      <w:r w:rsidR="002C02E7" w:rsidRPr="00D329F5">
        <w:rPr>
          <w:rFonts w:ascii="Cambria" w:hAnsi="Cambria"/>
          <w:sz w:val="20"/>
          <w:szCs w:val="20"/>
          <w:lang w:val="es-VE"/>
        </w:rPr>
        <w:t xml:space="preserve">orresponde al Estado demostrar la existencia y funcionamiento de un sistema de clasificación que respete las garantías </w:t>
      </w:r>
      <w:r w:rsidR="00C541FE" w:rsidRPr="00D329F5">
        <w:rPr>
          <w:rFonts w:ascii="Cambria" w:hAnsi="Cambria"/>
          <w:sz w:val="20"/>
          <w:szCs w:val="20"/>
          <w:lang w:val="es-VE"/>
        </w:rPr>
        <w:t xml:space="preserve">establecidas </w:t>
      </w:r>
      <w:r w:rsidR="00E270A2" w:rsidRPr="00D329F5">
        <w:rPr>
          <w:rFonts w:ascii="Cambria" w:hAnsi="Cambria"/>
          <w:sz w:val="20"/>
          <w:szCs w:val="20"/>
          <w:lang w:val="es-VE"/>
        </w:rPr>
        <w:t>en dicha disposición</w:t>
      </w:r>
      <w:r w:rsidR="00C541FE" w:rsidRPr="00D329F5">
        <w:rPr>
          <w:rFonts w:ascii="Cambria" w:hAnsi="Cambria"/>
          <w:sz w:val="20"/>
          <w:szCs w:val="20"/>
          <w:lang w:val="es-VE"/>
        </w:rPr>
        <w:t>, así como la existencia de clasificación de circunstancias excepcionales en caso de no separar l</w:t>
      </w:r>
      <w:r w:rsidR="00E270A2" w:rsidRPr="00D329F5">
        <w:rPr>
          <w:rFonts w:ascii="Cambria" w:hAnsi="Cambria"/>
          <w:sz w:val="20"/>
          <w:szCs w:val="20"/>
          <w:lang w:val="es-VE"/>
        </w:rPr>
        <w:t>o</w:t>
      </w:r>
      <w:r w:rsidR="00C541FE" w:rsidRPr="00D329F5">
        <w:rPr>
          <w:rFonts w:ascii="Cambria" w:hAnsi="Cambria"/>
          <w:sz w:val="20"/>
          <w:szCs w:val="20"/>
          <w:lang w:val="es-VE"/>
        </w:rPr>
        <w:t>s procesados de los condenados</w:t>
      </w:r>
      <w:r w:rsidR="00C541FE" w:rsidRPr="00D329F5">
        <w:rPr>
          <w:rStyle w:val="Refdenotaalpie"/>
          <w:rFonts w:ascii="Cambria" w:hAnsi="Cambria"/>
          <w:sz w:val="20"/>
          <w:szCs w:val="20"/>
          <w:lang w:val="es-VE"/>
        </w:rPr>
        <w:footnoteReference w:id="109"/>
      </w:r>
      <w:r w:rsidR="00C541FE" w:rsidRPr="00D329F5">
        <w:rPr>
          <w:rFonts w:ascii="Cambria" w:hAnsi="Cambria"/>
          <w:sz w:val="20"/>
          <w:szCs w:val="20"/>
          <w:lang w:val="es-VE"/>
        </w:rPr>
        <w:t xml:space="preserve">. </w:t>
      </w:r>
      <w:r w:rsidR="00E270A2" w:rsidRPr="00D329F5">
        <w:rPr>
          <w:rFonts w:ascii="Cambria" w:hAnsi="Cambria"/>
          <w:sz w:val="20"/>
          <w:szCs w:val="20"/>
          <w:lang w:val="es-VE"/>
        </w:rPr>
        <w:t>Adicionalmente,</w:t>
      </w:r>
      <w:r w:rsidR="008E7BC6" w:rsidRPr="00D329F5">
        <w:rPr>
          <w:rFonts w:ascii="Cambria" w:hAnsi="Cambria"/>
          <w:sz w:val="20"/>
          <w:szCs w:val="20"/>
          <w:lang w:val="es-VE"/>
        </w:rPr>
        <w:t xml:space="preserve"> la separación de los procesados y de los condenados requiere no solamente mantenerlos en diferentes celdas, sino también que estas celdas estén ubicadas en diferentes secciones</w:t>
      </w:r>
      <w:r w:rsidR="00D162F8" w:rsidRPr="00D329F5">
        <w:rPr>
          <w:rFonts w:ascii="Cambria" w:hAnsi="Cambria"/>
          <w:sz w:val="20"/>
          <w:szCs w:val="20"/>
          <w:lang w:val="es-VE"/>
        </w:rPr>
        <w:t xml:space="preserve"> dentro de un determinado centro de detención, o en diferentes establecimientos si resultara posible</w:t>
      </w:r>
      <w:r w:rsidR="00D162F8" w:rsidRPr="00D329F5">
        <w:rPr>
          <w:rStyle w:val="Refdenotaalpie"/>
          <w:rFonts w:ascii="Cambria" w:hAnsi="Cambria"/>
          <w:sz w:val="20"/>
          <w:szCs w:val="20"/>
          <w:lang w:val="es-VE"/>
        </w:rPr>
        <w:footnoteReference w:id="110"/>
      </w:r>
      <w:r w:rsidR="00D162F8" w:rsidRPr="00D329F5">
        <w:rPr>
          <w:rFonts w:ascii="Cambria" w:hAnsi="Cambria"/>
          <w:sz w:val="20"/>
          <w:szCs w:val="20"/>
          <w:lang w:val="es-VE"/>
        </w:rPr>
        <w:t>.</w:t>
      </w:r>
      <w:r w:rsidR="008E7BC6" w:rsidRPr="00D329F5">
        <w:rPr>
          <w:rFonts w:ascii="Cambria" w:hAnsi="Cambria"/>
          <w:sz w:val="20"/>
          <w:szCs w:val="20"/>
          <w:lang w:val="es-VE"/>
        </w:rPr>
        <w:t xml:space="preserve"> </w:t>
      </w:r>
    </w:p>
    <w:p w14:paraId="70EC43C9" w14:textId="77777777" w:rsidR="00C541FE" w:rsidRPr="00D329F5" w:rsidRDefault="00C541FE"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32F16271" w14:textId="77777777" w:rsidR="008261C4" w:rsidRPr="00D329F5" w:rsidRDefault="00BB501F" w:rsidP="008261C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329F5">
        <w:rPr>
          <w:rFonts w:ascii="Cambria" w:hAnsi="Cambria"/>
          <w:sz w:val="20"/>
          <w:szCs w:val="20"/>
          <w:lang w:val="es-VE"/>
        </w:rPr>
        <w:t xml:space="preserve">En el presente caso </w:t>
      </w:r>
      <w:r w:rsidR="00E270A2" w:rsidRPr="00D329F5">
        <w:rPr>
          <w:rFonts w:ascii="Cambria" w:hAnsi="Cambria"/>
          <w:sz w:val="20"/>
          <w:szCs w:val="20"/>
          <w:lang w:val="es-VE"/>
        </w:rPr>
        <w:t>la parte peticionaria alegó</w:t>
      </w:r>
      <w:r w:rsidRPr="00D329F5">
        <w:rPr>
          <w:rFonts w:ascii="Cambria" w:hAnsi="Cambria"/>
          <w:sz w:val="20"/>
          <w:szCs w:val="20"/>
          <w:lang w:val="es-VE"/>
        </w:rPr>
        <w:t xml:space="preserve"> que </w:t>
      </w:r>
      <w:r w:rsidR="008261C4" w:rsidRPr="00D329F5">
        <w:rPr>
          <w:rFonts w:ascii="Cambria" w:hAnsi="Cambria"/>
          <w:sz w:val="20"/>
          <w:szCs w:val="20"/>
          <w:lang w:val="es-VE"/>
        </w:rPr>
        <w:t>Wilmer Antonio Barliza, María Angélica, Belkis Mirelis González, Fernando González, Luis Guillermo González y Olimpiades Gonzáles, mientras se encontraban bajo detención preventiva en la Cárcel Nacional de Maracaibo, estaban junto a personas condenadas. La CIDH toma nota de que el Estado no aportó documentación que controvierta dicha información ni que sustente</w:t>
      </w:r>
      <w:r w:rsidR="008261C4" w:rsidRPr="00D329F5">
        <w:rPr>
          <w:rFonts w:ascii="Cambria" w:hAnsi="Cambria"/>
          <w:sz w:val="20"/>
          <w:szCs w:val="20"/>
          <w:lang w:val="es-ES"/>
        </w:rPr>
        <w:t xml:space="preserve"> </w:t>
      </w:r>
      <w:r w:rsidR="008261C4" w:rsidRPr="00D329F5">
        <w:rPr>
          <w:rFonts w:ascii="Cambria" w:hAnsi="Cambria"/>
          <w:sz w:val="20"/>
          <w:szCs w:val="20"/>
          <w:lang w:val="es-VE"/>
        </w:rPr>
        <w:t>que existía un sistema de clasificación de los reclusos separando los procesados de los condenados en la Cárcel Nacional de Maracaibo durante dicha época. La Comisión observa que el Estado tampoco i</w:t>
      </w:r>
      <w:r w:rsidR="008261C4" w:rsidRPr="00D329F5">
        <w:rPr>
          <w:rFonts w:ascii="Cambria" w:hAnsi="Cambria"/>
          <w:sz w:val="20"/>
          <w:szCs w:val="20"/>
          <w:lang w:val="es-ES"/>
        </w:rPr>
        <w:t xml:space="preserve">nvocó la existencia de circunstancias excepcionales que justificaran la no separación temporal entre procesados y condenados. Por lo expuesto, la CIDH concluye que el Estado </w:t>
      </w:r>
      <w:r w:rsidR="008261C4" w:rsidRPr="00D329F5">
        <w:rPr>
          <w:rFonts w:ascii="Cambria" w:hAnsi="Cambria"/>
          <w:sz w:val="20"/>
          <w:szCs w:val="20"/>
          <w:lang w:val="es-VE"/>
        </w:rPr>
        <w:t xml:space="preserve">es responsable por la violación del artículo 5.4 de la Convención Americana en relación con el artículo 1.1 del mismo instrumento con relación a Wilmer Antonio Barliza, María Angélica, Belkis Mirelis González, Fernando González, Luis Guillermo González y Olimpiades Gonzáles. </w:t>
      </w:r>
    </w:p>
    <w:p w14:paraId="715A5C98" w14:textId="77777777" w:rsidR="00BB501F" w:rsidRPr="00D329F5" w:rsidRDefault="00BB501F" w:rsidP="008261C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329F215D" w14:textId="77777777" w:rsidR="00464017" w:rsidRPr="00A85163" w:rsidRDefault="00464017" w:rsidP="00A85163">
      <w:pPr>
        <w:pStyle w:val="Ttulo2"/>
        <w:numPr>
          <w:ilvl w:val="0"/>
          <w:numId w:val="59"/>
        </w:numPr>
        <w:spacing w:before="0" w:after="0"/>
        <w:ind w:left="1440" w:hanging="810"/>
        <w:jc w:val="both"/>
        <w:rPr>
          <w:rFonts w:ascii="Cambria" w:hAnsi="Cambria"/>
          <w:i w:val="0"/>
          <w:sz w:val="20"/>
          <w:szCs w:val="20"/>
          <w:lang w:val="es-VE"/>
        </w:rPr>
      </w:pPr>
      <w:bookmarkStart w:id="14" w:name="_Toc529374055"/>
      <w:r w:rsidRPr="00A85163">
        <w:rPr>
          <w:rFonts w:ascii="Cambria" w:hAnsi="Cambria"/>
          <w:i w:val="0"/>
          <w:sz w:val="20"/>
          <w:szCs w:val="20"/>
          <w:lang w:val="es-VE"/>
        </w:rPr>
        <w:t>Derecho a la protección judicial (artículo 25.1 de la Convención Americana en relación con el artículo 1.1 del mismo instrumento)</w:t>
      </w:r>
      <w:bookmarkEnd w:id="14"/>
    </w:p>
    <w:p w14:paraId="1DCFC73A" w14:textId="77777777" w:rsidR="00464017" w:rsidRPr="00D329F5" w:rsidRDefault="00464017" w:rsidP="00326B3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hanging="810"/>
        <w:jc w:val="both"/>
        <w:rPr>
          <w:rFonts w:ascii="Cambria" w:hAnsi="Cambria"/>
          <w:b/>
          <w:sz w:val="20"/>
          <w:szCs w:val="20"/>
          <w:lang w:val="es-VE"/>
        </w:rPr>
      </w:pPr>
    </w:p>
    <w:p w14:paraId="471AB8C3" w14:textId="77777777" w:rsidR="00464017" w:rsidRPr="00464017" w:rsidRDefault="00464017" w:rsidP="0046401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464017">
        <w:rPr>
          <w:rFonts w:ascii="Cambria" w:hAnsi="Cambria"/>
          <w:sz w:val="20"/>
          <w:szCs w:val="20"/>
          <w:lang w:val="es-MX"/>
        </w:rPr>
        <w:t>La Corte ha considerado que el artículo 25 contempla la obligación de los Estados Parte de garantizar, a todas las personas bajo su jurisdicción, un recurso judicial efectivo contra actos violatorios de sus derechos fundamentales. Dicha efectividad supone que, además de la existencia formal de los recursos, éstos den resultados o respuestas a las violaciones de derechos contemplados ya sea en la Convención, en la Constitución o en las leyes. En ese sentido, no pueden considerarse efectivos aquellos recursos que, por las condiciones generales del país o incluso por las circunstancias particulares de un caso dado, resulten ilusorios. Ello puede ocurrir, por ejemplo, cuando su inutilidad haya quedado demostrada por la práctica, porque falten los medios para ejecutar sus decisiones o por cualquier otra situación que configure un cuadro de denegación de justicia. Así, el proceso debe tender a la materialización de la protección del derecho reconocido en el pronunciamiento judicial mediante la aplicación idónea de dicho pronunciamiento</w:t>
      </w:r>
      <w:r w:rsidRPr="00464017">
        <w:rPr>
          <w:rStyle w:val="Refdenotaalpie"/>
          <w:rFonts w:ascii="Cambria" w:hAnsi="Cambria"/>
          <w:sz w:val="20"/>
          <w:szCs w:val="20"/>
          <w:lang w:val="es-MX"/>
        </w:rPr>
        <w:footnoteReference w:id="111"/>
      </w:r>
      <w:r w:rsidRPr="00464017">
        <w:rPr>
          <w:rFonts w:ascii="Cambria" w:hAnsi="Cambria"/>
          <w:sz w:val="20"/>
          <w:szCs w:val="20"/>
          <w:lang w:val="es-MX"/>
        </w:rPr>
        <w:t>.</w:t>
      </w:r>
    </w:p>
    <w:p w14:paraId="672EEF9F" w14:textId="77777777" w:rsidR="00464017" w:rsidRPr="00464017" w:rsidRDefault="00464017" w:rsidP="0046401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0EAB9E5A" w14:textId="77777777" w:rsidR="00A85B37" w:rsidRDefault="00261048" w:rsidP="0046401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En el presente caso, la Comisión toma nota de</w:t>
      </w:r>
      <w:r w:rsidR="00A85B37">
        <w:rPr>
          <w:rFonts w:ascii="Cambria" w:hAnsi="Cambria"/>
          <w:sz w:val="20"/>
          <w:szCs w:val="20"/>
          <w:lang w:val="es-VE"/>
        </w:rPr>
        <w:t xml:space="preserve"> la solicitud de indemnización presentada por las presuntas víctimas</w:t>
      </w:r>
      <w:r w:rsidR="003F7072">
        <w:rPr>
          <w:rFonts w:ascii="Cambria" w:hAnsi="Cambria"/>
          <w:sz w:val="20"/>
          <w:szCs w:val="20"/>
          <w:lang w:val="es-VE"/>
        </w:rPr>
        <w:t xml:space="preserve"> en mayo de 2001 por la arbitraria detención en su contra</w:t>
      </w:r>
      <w:r w:rsidR="00A85B37">
        <w:rPr>
          <w:rFonts w:ascii="Cambria" w:hAnsi="Cambria"/>
          <w:sz w:val="20"/>
          <w:szCs w:val="20"/>
          <w:lang w:val="es-VE"/>
        </w:rPr>
        <w:t>.</w:t>
      </w:r>
      <w:r w:rsidR="003F7072">
        <w:rPr>
          <w:rFonts w:ascii="Cambria" w:hAnsi="Cambria"/>
          <w:sz w:val="20"/>
          <w:szCs w:val="20"/>
          <w:lang w:val="es-VE"/>
        </w:rPr>
        <w:t xml:space="preserve"> La CIDH observa que en primera instancia el juzgado ordenó que la Fiscalía General de la Nación pague una indemnización a favor de las presuntas víctimas. No obstante, dicha decisión fue anulada en segunda instancia. La Comisión nota</w:t>
      </w:r>
      <w:r w:rsidR="00422A55">
        <w:rPr>
          <w:rFonts w:ascii="Cambria" w:hAnsi="Cambria"/>
          <w:sz w:val="20"/>
          <w:szCs w:val="20"/>
          <w:lang w:val="es-VE"/>
        </w:rPr>
        <w:t xml:space="preserve"> que dicha decisión se limitó a reiterar los argumentos presentados por la Fiscalía en su recurso de apelación. En particular, el tribunal sostuvo que el Ministerio Público no podía ser responsable de “presuntos errores judiciales”.</w:t>
      </w:r>
      <w:r w:rsidR="00DB2192">
        <w:rPr>
          <w:rFonts w:ascii="Cambria" w:hAnsi="Cambria"/>
          <w:sz w:val="20"/>
          <w:szCs w:val="20"/>
          <w:lang w:val="es-VE"/>
        </w:rPr>
        <w:t xml:space="preserve"> </w:t>
      </w:r>
      <w:r w:rsidR="00422A55">
        <w:rPr>
          <w:rFonts w:ascii="Cambria" w:hAnsi="Cambria"/>
          <w:sz w:val="20"/>
          <w:szCs w:val="20"/>
          <w:lang w:val="es-VE"/>
        </w:rPr>
        <w:t xml:space="preserve"> </w:t>
      </w:r>
      <w:r w:rsidR="00764728">
        <w:rPr>
          <w:rFonts w:ascii="Cambria" w:hAnsi="Cambria"/>
          <w:sz w:val="20"/>
          <w:szCs w:val="20"/>
          <w:lang w:val="es-VE"/>
        </w:rPr>
        <w:t xml:space="preserve">Si bien no le corresponde a la CIDH determinar si los hechos del presente caso calificaban dentro de la noción de “error judicial” conforme al ordenamiento jurídico interno, </w:t>
      </w:r>
      <w:r w:rsidR="00526DA6">
        <w:rPr>
          <w:rFonts w:ascii="Cambria" w:hAnsi="Cambria"/>
          <w:sz w:val="20"/>
          <w:szCs w:val="20"/>
          <w:lang w:val="es-VE"/>
        </w:rPr>
        <w:t xml:space="preserve">sí se observa que al parecer esta era la única vía con que contaban las víctimas del presente caso para obtener alguna reparación por las afectaciones derivadas de las violaciones ya establecidas en el presente informe. Así, la Comisión nota que </w:t>
      </w:r>
      <w:r w:rsidR="00422A55">
        <w:rPr>
          <w:rFonts w:ascii="Cambria" w:hAnsi="Cambria"/>
          <w:sz w:val="20"/>
          <w:szCs w:val="20"/>
          <w:lang w:val="es-VE"/>
        </w:rPr>
        <w:t>el tribunal no indicó a qué otra institución pública podía presentarse la solicitud de indemnización por estos hechos</w:t>
      </w:r>
      <w:r w:rsidR="00EE5B43">
        <w:rPr>
          <w:rFonts w:ascii="Cambria" w:hAnsi="Cambria"/>
          <w:sz w:val="20"/>
          <w:szCs w:val="20"/>
          <w:lang w:val="es-VE"/>
        </w:rPr>
        <w:t>. En ese sentido, l</w:t>
      </w:r>
      <w:r w:rsidR="00422A55">
        <w:rPr>
          <w:rFonts w:ascii="Cambria" w:hAnsi="Cambria"/>
          <w:sz w:val="20"/>
          <w:szCs w:val="20"/>
          <w:lang w:val="es-VE"/>
        </w:rPr>
        <w:t>a Comisión considera que dicha decisión generó una situación de indefensión en perjuicio de las presuntas víctimas. Asimismo, la CIDH toma nota de</w:t>
      </w:r>
      <w:r w:rsidR="003F7072">
        <w:rPr>
          <w:rFonts w:ascii="Cambria" w:hAnsi="Cambria"/>
          <w:sz w:val="20"/>
          <w:szCs w:val="20"/>
          <w:lang w:val="es-VE"/>
        </w:rPr>
        <w:t xml:space="preserve"> que los posteriores recursos de casación y de revisión fueron declarados </w:t>
      </w:r>
      <w:r w:rsidR="00422A55">
        <w:rPr>
          <w:rFonts w:ascii="Cambria" w:hAnsi="Cambria"/>
          <w:sz w:val="20"/>
          <w:szCs w:val="20"/>
          <w:lang w:val="es-VE"/>
        </w:rPr>
        <w:t>inadmisibles sin que los tribunales se pronuncia</w:t>
      </w:r>
      <w:r w:rsidR="003709FF">
        <w:rPr>
          <w:rFonts w:ascii="Cambria" w:hAnsi="Cambria"/>
          <w:sz w:val="20"/>
          <w:szCs w:val="20"/>
          <w:lang w:val="es-VE"/>
        </w:rPr>
        <w:t>ran</w:t>
      </w:r>
      <w:r w:rsidR="00422A55">
        <w:rPr>
          <w:rFonts w:ascii="Cambria" w:hAnsi="Cambria"/>
          <w:sz w:val="20"/>
          <w:szCs w:val="20"/>
          <w:lang w:val="es-VE"/>
        </w:rPr>
        <w:t xml:space="preserve"> sobre el fondo del asunto.</w:t>
      </w:r>
      <w:r w:rsidR="003F7072">
        <w:rPr>
          <w:rFonts w:ascii="Cambria" w:hAnsi="Cambria"/>
          <w:sz w:val="20"/>
          <w:szCs w:val="20"/>
          <w:lang w:val="es-VE"/>
        </w:rPr>
        <w:t xml:space="preserve"> </w:t>
      </w:r>
    </w:p>
    <w:p w14:paraId="68E69246" w14:textId="77777777" w:rsidR="00464017" w:rsidRPr="00464017" w:rsidRDefault="00464017" w:rsidP="00422A5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70866E61" w14:textId="77777777" w:rsidR="00464017" w:rsidRPr="00464017" w:rsidRDefault="00464017" w:rsidP="00FD655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464017">
        <w:rPr>
          <w:rFonts w:ascii="Cambria" w:hAnsi="Cambria"/>
          <w:sz w:val="20"/>
          <w:szCs w:val="20"/>
          <w:lang w:val="es-VE"/>
        </w:rPr>
        <w:t xml:space="preserve">Por lo expuesto previamente la Comisión considera que no los recursos presentados no fueron efectivos </w:t>
      </w:r>
      <w:r w:rsidR="00DE6707">
        <w:rPr>
          <w:rFonts w:ascii="Cambria" w:hAnsi="Cambria"/>
          <w:sz w:val="20"/>
          <w:szCs w:val="20"/>
          <w:lang w:val="es-VE"/>
        </w:rPr>
        <w:t>para que las víctimas pudieran contar con una reparación por las violaciones a sus derechos humanos</w:t>
      </w:r>
      <w:r w:rsidR="00F9407C">
        <w:rPr>
          <w:rFonts w:ascii="Cambria" w:hAnsi="Cambria"/>
          <w:sz w:val="20"/>
          <w:szCs w:val="20"/>
          <w:lang w:val="es-VE"/>
        </w:rPr>
        <w:t xml:space="preserve"> </w:t>
      </w:r>
      <w:r w:rsidR="00DE6707">
        <w:rPr>
          <w:rFonts w:ascii="Cambria" w:hAnsi="Cambria"/>
          <w:sz w:val="20"/>
          <w:szCs w:val="20"/>
          <w:lang w:val="es-VE"/>
        </w:rPr>
        <w:t xml:space="preserve">En consecuencia, </w:t>
      </w:r>
      <w:r w:rsidR="00664FD0">
        <w:rPr>
          <w:rFonts w:ascii="Cambria" w:hAnsi="Cambria"/>
          <w:sz w:val="20"/>
          <w:szCs w:val="20"/>
          <w:lang w:val="es-VE"/>
        </w:rPr>
        <w:t>l</w:t>
      </w:r>
      <w:r w:rsidRPr="00464017">
        <w:rPr>
          <w:rFonts w:ascii="Cambria" w:hAnsi="Cambria"/>
          <w:sz w:val="20"/>
          <w:szCs w:val="20"/>
          <w:lang w:val="es-VE"/>
        </w:rPr>
        <w:t xml:space="preserve">a Comisión considera que el Estado de Venezuela es responsable de la violación de artículo 25.1 de la Convención Americana en relación al artículo 1.1 del mismo instrumento en </w:t>
      </w:r>
      <w:r w:rsidR="00FD6554">
        <w:rPr>
          <w:rFonts w:ascii="Cambria" w:hAnsi="Cambria"/>
          <w:sz w:val="20"/>
          <w:szCs w:val="20"/>
          <w:lang w:val="es-VE"/>
        </w:rPr>
        <w:t xml:space="preserve">perjuicio de </w:t>
      </w:r>
      <w:r w:rsidR="00FD6554" w:rsidRPr="00FD6554">
        <w:rPr>
          <w:rFonts w:ascii="Cambria" w:hAnsi="Cambria"/>
          <w:sz w:val="20"/>
          <w:szCs w:val="20"/>
          <w:lang w:val="es-VE"/>
        </w:rPr>
        <w:t>Wilmer Antonio Barliza, María Angélica, Belkis Mirelis González, Fernando González, Luis Guillermo González y Olimpiades Gonzále</w:t>
      </w:r>
      <w:r w:rsidR="00E849CB">
        <w:rPr>
          <w:rFonts w:ascii="Cambria" w:hAnsi="Cambria"/>
          <w:sz w:val="20"/>
          <w:szCs w:val="20"/>
          <w:lang w:val="es-VE"/>
        </w:rPr>
        <w:t>z</w:t>
      </w:r>
      <w:r w:rsidR="00FD6554" w:rsidRPr="00FD6554">
        <w:rPr>
          <w:rFonts w:ascii="Cambria" w:hAnsi="Cambria"/>
          <w:sz w:val="20"/>
          <w:szCs w:val="20"/>
          <w:lang w:val="es-VE"/>
        </w:rPr>
        <w:t xml:space="preserve">. </w:t>
      </w:r>
      <w:r w:rsidRPr="00464017">
        <w:rPr>
          <w:rFonts w:ascii="Cambria" w:hAnsi="Cambria"/>
          <w:sz w:val="20"/>
          <w:szCs w:val="20"/>
          <w:lang w:val="es-VE"/>
        </w:rPr>
        <w:t xml:space="preserve"> </w:t>
      </w:r>
    </w:p>
    <w:p w14:paraId="70456F1B" w14:textId="77777777" w:rsidR="00464017" w:rsidRPr="00D329F5" w:rsidRDefault="00464017" w:rsidP="00FD655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sz w:val="20"/>
          <w:szCs w:val="20"/>
          <w:lang w:val="es-VE"/>
        </w:rPr>
      </w:pPr>
    </w:p>
    <w:p w14:paraId="32C43FFE" w14:textId="77777777" w:rsidR="00412A92" w:rsidRPr="00A85163" w:rsidRDefault="00412A92" w:rsidP="00A85163">
      <w:pPr>
        <w:pStyle w:val="Ttulo2"/>
        <w:numPr>
          <w:ilvl w:val="0"/>
          <w:numId w:val="59"/>
        </w:numPr>
        <w:spacing w:before="0" w:after="0"/>
        <w:ind w:left="1440" w:hanging="810"/>
        <w:jc w:val="both"/>
        <w:rPr>
          <w:rFonts w:ascii="Cambria" w:hAnsi="Cambria"/>
          <w:i w:val="0"/>
          <w:sz w:val="20"/>
          <w:szCs w:val="20"/>
          <w:lang w:val="es-VE"/>
        </w:rPr>
      </w:pPr>
      <w:bookmarkStart w:id="15" w:name="_Toc529374056"/>
      <w:r w:rsidRPr="00A85163">
        <w:rPr>
          <w:rFonts w:ascii="Cambria" w:hAnsi="Cambria"/>
          <w:i w:val="0"/>
          <w:sz w:val="20"/>
          <w:szCs w:val="20"/>
          <w:lang w:val="es-VE"/>
        </w:rPr>
        <w:t>Derecho</w:t>
      </w:r>
      <w:r w:rsidR="00A45928" w:rsidRPr="00A85163">
        <w:rPr>
          <w:rFonts w:ascii="Cambria" w:hAnsi="Cambria"/>
          <w:i w:val="0"/>
          <w:sz w:val="20"/>
          <w:szCs w:val="20"/>
          <w:lang w:val="es-VE"/>
        </w:rPr>
        <w:t>s</w:t>
      </w:r>
      <w:r w:rsidRPr="00A85163">
        <w:rPr>
          <w:rFonts w:ascii="Cambria" w:hAnsi="Cambria"/>
          <w:i w:val="0"/>
          <w:sz w:val="20"/>
          <w:szCs w:val="20"/>
          <w:lang w:val="es-VE"/>
        </w:rPr>
        <w:t xml:space="preserve"> a la</w:t>
      </w:r>
      <w:r w:rsidR="00A45928" w:rsidRPr="00A85163">
        <w:rPr>
          <w:rFonts w:ascii="Cambria" w:hAnsi="Cambria"/>
          <w:i w:val="0"/>
          <w:sz w:val="20"/>
          <w:szCs w:val="20"/>
          <w:lang w:val="es-VE"/>
        </w:rPr>
        <w:t xml:space="preserve"> vida</w:t>
      </w:r>
      <w:r w:rsidR="00326B3F" w:rsidRPr="00A85163">
        <w:rPr>
          <w:rFonts w:ascii="Cambria" w:hAnsi="Cambria"/>
          <w:i w:val="0"/>
          <w:sz w:val="20"/>
          <w:szCs w:val="20"/>
          <w:lang w:val="es-VE"/>
        </w:rPr>
        <w:t>,</w:t>
      </w:r>
      <w:r w:rsidRPr="00A85163">
        <w:rPr>
          <w:rFonts w:ascii="Cambria" w:hAnsi="Cambria"/>
          <w:i w:val="0"/>
          <w:sz w:val="20"/>
          <w:szCs w:val="20"/>
          <w:lang w:val="es-VE"/>
        </w:rPr>
        <w:t xml:space="preserve"> </w:t>
      </w:r>
      <w:r w:rsidR="00A45928" w:rsidRPr="00A85163">
        <w:rPr>
          <w:rFonts w:ascii="Cambria" w:hAnsi="Cambria"/>
          <w:i w:val="0"/>
          <w:sz w:val="20"/>
          <w:szCs w:val="20"/>
          <w:lang w:val="es-VE"/>
        </w:rPr>
        <w:t>integridad personal</w:t>
      </w:r>
      <w:r w:rsidR="00326B3F" w:rsidRPr="00A85163">
        <w:rPr>
          <w:rFonts w:ascii="Cambria" w:hAnsi="Cambria"/>
          <w:i w:val="0"/>
          <w:sz w:val="20"/>
          <w:szCs w:val="20"/>
          <w:lang w:val="es-VE"/>
        </w:rPr>
        <w:t xml:space="preserve">, </w:t>
      </w:r>
      <w:proofErr w:type="gramStart"/>
      <w:r w:rsidR="00326B3F" w:rsidRPr="00A85163">
        <w:rPr>
          <w:rFonts w:ascii="Cambria" w:hAnsi="Cambria"/>
          <w:i w:val="0"/>
          <w:sz w:val="20"/>
          <w:szCs w:val="20"/>
          <w:lang w:val="es-VE"/>
        </w:rPr>
        <w:t>garantías judiciales y protección judicial</w:t>
      </w:r>
      <w:proofErr w:type="gramEnd"/>
      <w:r w:rsidR="00A45928" w:rsidRPr="00A85163">
        <w:rPr>
          <w:rFonts w:ascii="Cambria" w:hAnsi="Cambria"/>
          <w:i w:val="0"/>
          <w:sz w:val="20"/>
          <w:szCs w:val="20"/>
          <w:lang w:val="es-VE"/>
        </w:rPr>
        <w:t xml:space="preserve"> </w:t>
      </w:r>
      <w:r w:rsidRPr="00A85163">
        <w:rPr>
          <w:rFonts w:ascii="Cambria" w:hAnsi="Cambria"/>
          <w:i w:val="0"/>
          <w:sz w:val="20"/>
          <w:szCs w:val="20"/>
          <w:lang w:val="es-VE"/>
        </w:rPr>
        <w:t>(artículo</w:t>
      </w:r>
      <w:r w:rsidR="00A45928" w:rsidRPr="00A85163">
        <w:rPr>
          <w:rFonts w:ascii="Cambria" w:hAnsi="Cambria"/>
          <w:i w:val="0"/>
          <w:sz w:val="20"/>
          <w:szCs w:val="20"/>
          <w:lang w:val="es-VE"/>
        </w:rPr>
        <w:t>s 4.1</w:t>
      </w:r>
      <w:r w:rsidR="00F74D0E" w:rsidRPr="00A85163">
        <w:rPr>
          <w:rStyle w:val="Refdenotaalpie"/>
          <w:rFonts w:ascii="Cambria" w:hAnsi="Cambria"/>
          <w:i w:val="0"/>
          <w:sz w:val="20"/>
          <w:szCs w:val="20"/>
          <w:lang w:val="es-ES"/>
        </w:rPr>
        <w:footnoteReference w:id="112"/>
      </w:r>
      <w:r w:rsidR="00326B3F" w:rsidRPr="00A85163">
        <w:rPr>
          <w:rFonts w:ascii="Cambria" w:hAnsi="Cambria"/>
          <w:i w:val="0"/>
          <w:sz w:val="20"/>
          <w:szCs w:val="20"/>
          <w:lang w:val="es-VE"/>
        </w:rPr>
        <w:t>,</w:t>
      </w:r>
      <w:r w:rsidR="00A45928" w:rsidRPr="00A85163">
        <w:rPr>
          <w:rFonts w:ascii="Cambria" w:hAnsi="Cambria"/>
          <w:i w:val="0"/>
          <w:sz w:val="20"/>
          <w:szCs w:val="20"/>
          <w:lang w:val="es-VE"/>
        </w:rPr>
        <w:t xml:space="preserve"> 5.1</w:t>
      </w:r>
      <w:r w:rsidR="00F74D0E" w:rsidRPr="00A85163">
        <w:rPr>
          <w:rStyle w:val="Refdenotaalpie"/>
          <w:rFonts w:ascii="Cambria" w:hAnsi="Cambria"/>
          <w:i w:val="0"/>
          <w:sz w:val="20"/>
          <w:szCs w:val="20"/>
          <w:lang w:val="es-ES"/>
        </w:rPr>
        <w:footnoteReference w:id="113"/>
      </w:r>
      <w:r w:rsidR="00326B3F" w:rsidRPr="00A85163">
        <w:rPr>
          <w:rFonts w:ascii="Cambria" w:hAnsi="Cambria"/>
          <w:i w:val="0"/>
          <w:sz w:val="20"/>
          <w:szCs w:val="20"/>
          <w:lang w:val="es-VE"/>
        </w:rPr>
        <w:t>, 8.1</w:t>
      </w:r>
      <w:r w:rsidR="00F74D0E" w:rsidRPr="00A85163">
        <w:rPr>
          <w:rStyle w:val="Refdenotaalpie"/>
          <w:rFonts w:ascii="Cambria" w:hAnsi="Cambria"/>
          <w:i w:val="0"/>
          <w:sz w:val="20"/>
          <w:szCs w:val="20"/>
          <w:lang w:val="es-ES"/>
        </w:rPr>
        <w:footnoteReference w:id="114"/>
      </w:r>
      <w:r w:rsidR="00326B3F" w:rsidRPr="00A85163">
        <w:rPr>
          <w:rFonts w:ascii="Cambria" w:hAnsi="Cambria"/>
          <w:i w:val="0"/>
          <w:sz w:val="20"/>
          <w:szCs w:val="20"/>
          <w:lang w:val="es-VE"/>
        </w:rPr>
        <w:t xml:space="preserve"> y 25.1</w:t>
      </w:r>
      <w:r w:rsidR="00F74D0E" w:rsidRPr="00A85163">
        <w:rPr>
          <w:rStyle w:val="Refdenotaalpie"/>
          <w:rFonts w:ascii="Cambria" w:hAnsi="Cambria"/>
          <w:i w:val="0"/>
          <w:sz w:val="20"/>
          <w:szCs w:val="20"/>
          <w:lang w:val="es-ES"/>
        </w:rPr>
        <w:footnoteReference w:id="115"/>
      </w:r>
      <w:r w:rsidR="00F74D0E" w:rsidRPr="00A85163">
        <w:rPr>
          <w:rFonts w:ascii="Cambria" w:hAnsi="Cambria"/>
          <w:i w:val="0"/>
          <w:sz w:val="20"/>
          <w:szCs w:val="20"/>
          <w:lang w:val="es-CO"/>
        </w:rPr>
        <w:t xml:space="preserve"> </w:t>
      </w:r>
      <w:r w:rsidRPr="00A85163">
        <w:rPr>
          <w:rFonts w:ascii="Cambria" w:hAnsi="Cambria"/>
          <w:i w:val="0"/>
          <w:sz w:val="20"/>
          <w:szCs w:val="20"/>
          <w:lang w:val="es-VE"/>
        </w:rPr>
        <w:t>de la Convención Amer</w:t>
      </w:r>
      <w:r w:rsidR="00464017" w:rsidRPr="00A85163">
        <w:rPr>
          <w:rFonts w:ascii="Cambria" w:hAnsi="Cambria"/>
          <w:i w:val="0"/>
          <w:sz w:val="20"/>
          <w:szCs w:val="20"/>
          <w:lang w:val="es-VE"/>
        </w:rPr>
        <w:t>icana en relación al artículo 1.</w:t>
      </w:r>
      <w:r w:rsidRPr="00A85163">
        <w:rPr>
          <w:rFonts w:ascii="Cambria" w:hAnsi="Cambria"/>
          <w:i w:val="0"/>
          <w:sz w:val="20"/>
          <w:szCs w:val="20"/>
          <w:lang w:val="es-VE"/>
        </w:rPr>
        <w:t>1 del mismo</w:t>
      </w:r>
      <w:r w:rsidR="005E1BB7" w:rsidRPr="00A85163">
        <w:rPr>
          <w:rFonts w:ascii="Cambria" w:hAnsi="Cambria"/>
          <w:i w:val="0"/>
          <w:sz w:val="20"/>
          <w:szCs w:val="20"/>
          <w:lang w:val="es-VE"/>
        </w:rPr>
        <w:t xml:space="preserve"> instrumento)</w:t>
      </w:r>
      <w:bookmarkEnd w:id="15"/>
    </w:p>
    <w:p w14:paraId="2DD7BD61" w14:textId="77777777" w:rsidR="006A7649" w:rsidRPr="00D329F5" w:rsidRDefault="006A7649" w:rsidP="000E281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sz w:val="20"/>
          <w:szCs w:val="20"/>
          <w:lang w:val="es-VE"/>
        </w:rPr>
      </w:pPr>
    </w:p>
    <w:p w14:paraId="4888FE5D" w14:textId="77777777" w:rsidR="00464017" w:rsidRPr="00D329F5" w:rsidRDefault="00464017" w:rsidP="00754EE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D329F5">
        <w:rPr>
          <w:rFonts w:ascii="Cambria" w:hAnsi="Cambria"/>
          <w:sz w:val="20"/>
          <w:szCs w:val="20"/>
          <w:lang w:val="es-VE"/>
        </w:rPr>
        <w:t>A continuación, la Comisión se pronunciará sobre la situación particular de Olimpiades González.</w:t>
      </w:r>
    </w:p>
    <w:p w14:paraId="4A93249B" w14:textId="77777777" w:rsidR="00464017" w:rsidRPr="00D329F5" w:rsidRDefault="00464017" w:rsidP="0046401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09F01A97" w14:textId="77777777" w:rsidR="001243C8" w:rsidRDefault="001243C8" w:rsidP="001243C8">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sz w:val="20"/>
          <w:szCs w:val="20"/>
          <w:lang w:val="es-VE"/>
        </w:rPr>
      </w:pPr>
      <w:r w:rsidRPr="001243C8">
        <w:rPr>
          <w:rFonts w:ascii="Cambria" w:hAnsi="Cambria"/>
          <w:b/>
          <w:sz w:val="20"/>
          <w:szCs w:val="20"/>
          <w:lang w:val="es-VE"/>
        </w:rPr>
        <w:t>El deber de respeto y garantía de los derechos a la vida y a la integridad personal</w:t>
      </w:r>
    </w:p>
    <w:p w14:paraId="5B38C2E2" w14:textId="77777777" w:rsidR="001243C8" w:rsidRPr="00D329F5" w:rsidRDefault="001243C8" w:rsidP="001243C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jc w:val="both"/>
        <w:rPr>
          <w:rFonts w:ascii="Cambria" w:hAnsi="Cambria"/>
          <w:sz w:val="20"/>
          <w:szCs w:val="20"/>
          <w:lang w:val="es-VE"/>
        </w:rPr>
      </w:pPr>
    </w:p>
    <w:p w14:paraId="2B994280" w14:textId="77777777" w:rsidR="001243C8" w:rsidRPr="00CD530B" w:rsidRDefault="001243C8" w:rsidP="001243C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Batang" w:hAnsi="Cambria"/>
          <w:sz w:val="20"/>
          <w:szCs w:val="20"/>
          <w:bdr w:val="none" w:sz="0" w:space="0" w:color="auto"/>
          <w:lang w:val="es-ES"/>
        </w:rPr>
      </w:pPr>
      <w:r w:rsidRPr="00682194">
        <w:rPr>
          <w:rFonts w:ascii="Cambria" w:hAnsi="Cambria"/>
          <w:sz w:val="20"/>
          <w:szCs w:val="20"/>
          <w:lang w:val="es-CO"/>
        </w:rPr>
        <w:t xml:space="preserve">La Comisión recuerda que el derecho a la vida es prerrequisito del disfrute de todos los demás derechos humanos y sin </w:t>
      </w:r>
      <w:r w:rsidRPr="00A64328">
        <w:rPr>
          <w:rFonts w:ascii="Cambria" w:eastAsia="Batang" w:hAnsi="Cambria"/>
          <w:sz w:val="20"/>
          <w:szCs w:val="20"/>
          <w:bdr w:val="none" w:sz="0" w:space="0" w:color="auto"/>
          <w:lang w:val="es-UY"/>
        </w:rPr>
        <w:t>cuyo</w:t>
      </w:r>
      <w:r w:rsidRPr="00682194">
        <w:rPr>
          <w:rFonts w:ascii="Cambria" w:hAnsi="Cambria"/>
          <w:sz w:val="20"/>
          <w:szCs w:val="20"/>
          <w:lang w:val="es-CO"/>
        </w:rPr>
        <w:t xml:space="preserve"> respeto todos los demás carecen de sentido</w:t>
      </w:r>
      <w:r w:rsidRPr="00A64328">
        <w:rPr>
          <w:rFonts w:ascii="Cambria" w:hAnsi="Cambria"/>
          <w:sz w:val="20"/>
          <w:szCs w:val="20"/>
          <w:vertAlign w:val="superscript"/>
        </w:rPr>
        <w:footnoteReference w:id="116"/>
      </w:r>
      <w:r w:rsidRPr="00682194">
        <w:rPr>
          <w:rFonts w:ascii="Cambria" w:hAnsi="Cambria"/>
          <w:sz w:val="20"/>
          <w:szCs w:val="20"/>
          <w:lang w:val="es-CO"/>
        </w:rPr>
        <w:t>. El cumplimiento del artículo 4 en relación con el artículo 1.1 de la Convención Americana no sólo presupone que ninguna persona sea privada de su vida arbitrariamente, sino que además requiere que los Estados tomen todas las medidas apropiadas para proteger y preservar el derecho a la vida, bajo su deber de garantizar el pleno y libre ejercicio de los derechos de todas las personas bajo su jurisdicción</w:t>
      </w:r>
      <w:r w:rsidRPr="00A64328">
        <w:rPr>
          <w:rFonts w:ascii="Cambria" w:hAnsi="Cambria"/>
          <w:sz w:val="20"/>
          <w:szCs w:val="20"/>
          <w:vertAlign w:val="superscript"/>
        </w:rPr>
        <w:footnoteReference w:id="117"/>
      </w:r>
      <w:r w:rsidRPr="00682194">
        <w:rPr>
          <w:rFonts w:ascii="Cambria" w:hAnsi="Cambria"/>
          <w:sz w:val="20"/>
          <w:szCs w:val="20"/>
          <w:lang w:val="es-CO"/>
        </w:rPr>
        <w:t xml:space="preserve">. </w:t>
      </w:r>
      <w:r w:rsidRPr="001243C8">
        <w:rPr>
          <w:rFonts w:ascii="Cambria" w:hAnsi="Cambria"/>
          <w:sz w:val="20"/>
          <w:szCs w:val="20"/>
          <w:lang w:val="es-ES"/>
        </w:rPr>
        <w:t>Estas obligaciones resultan igualmente aplicables al derecho a la integridad personal</w:t>
      </w:r>
      <w:r>
        <w:rPr>
          <w:rStyle w:val="Refdenotaalpie"/>
          <w:rFonts w:ascii="Cambria" w:hAnsi="Cambria"/>
          <w:sz w:val="20"/>
          <w:szCs w:val="20"/>
        </w:rPr>
        <w:footnoteReference w:id="118"/>
      </w:r>
      <w:r w:rsidRPr="001243C8">
        <w:rPr>
          <w:rFonts w:ascii="Cambria" w:hAnsi="Cambria"/>
          <w:sz w:val="20"/>
          <w:szCs w:val="20"/>
          <w:lang w:val="es-ES"/>
        </w:rPr>
        <w:t xml:space="preserve">.  </w:t>
      </w:r>
    </w:p>
    <w:p w14:paraId="3198FFA5" w14:textId="77777777" w:rsidR="00CD530B" w:rsidRPr="00CD530B" w:rsidRDefault="00CD530B" w:rsidP="00CD530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eastAsia="Batang" w:hAnsi="Cambria"/>
          <w:sz w:val="20"/>
          <w:szCs w:val="20"/>
          <w:bdr w:val="none" w:sz="0" w:space="0" w:color="auto"/>
          <w:lang w:val="es-ES"/>
        </w:rPr>
      </w:pPr>
    </w:p>
    <w:p w14:paraId="559419EF" w14:textId="77777777" w:rsidR="00CD530B" w:rsidRPr="00CD530B" w:rsidRDefault="00CD530B" w:rsidP="00CD530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bdr w:val="none" w:sz="0" w:space="0" w:color="auto"/>
          <w:lang w:val="es-US"/>
        </w:rPr>
      </w:pPr>
      <w:bookmarkStart w:id="16" w:name="_Toc512957432"/>
      <w:bookmarkStart w:id="17" w:name="_Toc506224634"/>
      <w:bookmarkStart w:id="18" w:name="_Toc506225839"/>
      <w:bookmarkStart w:id="19" w:name="_Toc529373721"/>
      <w:bookmarkStart w:id="20" w:name="_Toc529374057"/>
      <w:r w:rsidRPr="00A64328">
        <w:rPr>
          <w:rStyle w:val="Ttulo1Car"/>
          <w:rFonts w:eastAsia="Cambria"/>
          <w:b w:val="0"/>
          <w:color w:val="auto"/>
          <w:sz w:val="20"/>
          <w:szCs w:val="20"/>
          <w:lang w:val="es-US"/>
        </w:rPr>
        <w:t>A lo largo del trabajo de la Comisión y la Corte, se han definido los contenidos de las obligaciones de</w:t>
      </w:r>
      <w:bookmarkEnd w:id="16"/>
      <w:bookmarkEnd w:id="19"/>
      <w:bookmarkEnd w:id="20"/>
      <w:r w:rsidRPr="00A64328">
        <w:rPr>
          <w:rStyle w:val="Ttulo1Car"/>
          <w:rFonts w:eastAsia="Cambria"/>
          <w:b w:val="0"/>
          <w:color w:val="auto"/>
          <w:sz w:val="20"/>
          <w:szCs w:val="20"/>
          <w:lang w:val="es-US"/>
        </w:rPr>
        <w:t xml:space="preserve"> </w:t>
      </w:r>
      <w:r w:rsidRPr="00682194">
        <w:rPr>
          <w:rFonts w:ascii="Cambria" w:hAnsi="Cambria" w:cs="Arial"/>
          <w:bCs/>
          <w:sz w:val="20"/>
          <w:szCs w:val="20"/>
          <w:lang w:val="es-CO"/>
        </w:rPr>
        <w:t>respeto</w:t>
      </w:r>
      <w:r w:rsidRPr="00A64328">
        <w:rPr>
          <w:rStyle w:val="Ttulo1Car"/>
          <w:rFonts w:eastAsia="Cambria"/>
          <w:b w:val="0"/>
          <w:color w:val="auto"/>
          <w:sz w:val="20"/>
          <w:szCs w:val="20"/>
          <w:lang w:val="es-US"/>
        </w:rPr>
        <w:t xml:space="preserve"> y de garantía conforme al artículo 1.1 de la Convención. Sobre la obligación de respeto, la Corte indicó que “c</w:t>
      </w:r>
      <w:bookmarkEnd w:id="17"/>
      <w:bookmarkEnd w:id="18"/>
      <w:r w:rsidRPr="00A64328">
        <w:rPr>
          <w:rFonts w:ascii="Cambria" w:hAnsi="Cambria" w:cs="Verdana"/>
          <w:sz w:val="20"/>
          <w:szCs w:val="20"/>
          <w:lang w:val="es-US"/>
        </w:rPr>
        <w:t xml:space="preserve">onforme al artículo 1.1 es ilícita toda forma de ejercicio del poder público </w:t>
      </w:r>
      <w:r w:rsidRPr="00A64328">
        <w:rPr>
          <w:rStyle w:val="Ttulo1Car"/>
          <w:rFonts w:eastAsia="Cambria"/>
          <w:b w:val="0"/>
          <w:color w:val="auto"/>
          <w:sz w:val="20"/>
          <w:szCs w:val="20"/>
          <w:lang w:val="es-US"/>
        </w:rPr>
        <w:t>que</w:t>
      </w:r>
      <w:r w:rsidRPr="00A64328">
        <w:rPr>
          <w:rFonts w:ascii="Cambria" w:hAnsi="Cambria" w:cs="Verdana"/>
          <w:sz w:val="20"/>
          <w:szCs w:val="20"/>
          <w:lang w:val="es-US"/>
        </w:rPr>
        <w:t xml:space="preserve"> viole los derechos reconocidos por la Convención. En tal sentido, en toda circunstancia en la cual un órgano o funcionario del Estado o de una institución de carácter público lesione indebidamente uno de tales derechos, se está ante un supuesto de inobservancia del deber de respeto consagrado en ese artículo”</w:t>
      </w:r>
      <w:r w:rsidRPr="00A64328">
        <w:rPr>
          <w:rStyle w:val="Refdenotaalpie"/>
          <w:rFonts w:ascii="Cambria" w:hAnsi="Cambria"/>
          <w:sz w:val="20"/>
          <w:szCs w:val="20"/>
          <w:lang w:val="es-US"/>
        </w:rPr>
        <w:footnoteReference w:id="119"/>
      </w:r>
      <w:r w:rsidRPr="00A64328">
        <w:rPr>
          <w:rFonts w:ascii="Cambria" w:hAnsi="Cambria" w:cs="Verdana"/>
          <w:sz w:val="20"/>
          <w:szCs w:val="20"/>
          <w:lang w:val="es-US"/>
        </w:rPr>
        <w:t xml:space="preserve">. </w:t>
      </w:r>
    </w:p>
    <w:p w14:paraId="2DB3BA1F" w14:textId="77777777" w:rsidR="00CD530B" w:rsidRDefault="00CD530B" w:rsidP="00CD530B">
      <w:pPr>
        <w:pStyle w:val="Prrafodelista"/>
        <w:rPr>
          <w:rFonts w:ascii="Cambria" w:hAnsi="Cambria"/>
          <w:sz w:val="20"/>
          <w:szCs w:val="20"/>
          <w:bdr w:val="none" w:sz="0" w:space="0" w:color="auto"/>
          <w:lang w:val="es-US"/>
        </w:rPr>
      </w:pPr>
    </w:p>
    <w:p w14:paraId="62F7F7FF" w14:textId="77777777" w:rsidR="00CD530B" w:rsidRPr="00A64328" w:rsidRDefault="00CD530B" w:rsidP="00CD530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US"/>
        </w:rPr>
      </w:pPr>
      <w:r w:rsidRPr="00A64328">
        <w:rPr>
          <w:rFonts w:ascii="Cambria" w:hAnsi="Cambria" w:cs="Verdana"/>
          <w:sz w:val="20"/>
          <w:szCs w:val="20"/>
          <w:lang w:val="es-US"/>
        </w:rPr>
        <w:t xml:space="preserve">En cuanto a la obligación de garantía, la Corte señaló que la </w:t>
      </w:r>
      <w:proofErr w:type="gramStart"/>
      <w:r w:rsidRPr="00A64328">
        <w:rPr>
          <w:rFonts w:ascii="Cambria" w:hAnsi="Cambria" w:cs="Verdana"/>
          <w:sz w:val="20"/>
          <w:szCs w:val="20"/>
          <w:lang w:val="es-US"/>
        </w:rPr>
        <w:t>misma  implica</w:t>
      </w:r>
      <w:proofErr w:type="gramEnd"/>
      <w:r w:rsidRPr="00A64328">
        <w:rPr>
          <w:rFonts w:ascii="Cambria" w:hAnsi="Cambria" w:cs="Verdana"/>
          <w:sz w:val="20"/>
          <w:szCs w:val="20"/>
          <w:lang w:val="es-US"/>
        </w:rPr>
        <w:t xml:space="preserve"> el deber de los Estados Partes de organizar todo el aparato gubernamental de manera tal que sean capaces de asegurar jurídicamente el libre y pleno ejercicio de los derechos humanos. Como consecuencia de esta obligación los Estados deben prevenir, investigar y sancionar toda violación de los derechos reconocidos por la Convención y procurar, además, el restablecimiento, si es posible, del derecho conculcado y, en su caso, la reparación de los daños producidos por la violación de los derechos humanos</w:t>
      </w:r>
      <w:r w:rsidRPr="00A64328">
        <w:rPr>
          <w:rStyle w:val="Refdenotaalpie"/>
          <w:rFonts w:ascii="Cambria" w:hAnsi="Cambria"/>
          <w:sz w:val="20"/>
          <w:szCs w:val="20"/>
          <w:lang w:val="es-US"/>
        </w:rPr>
        <w:footnoteReference w:id="120"/>
      </w:r>
      <w:r w:rsidRPr="00A64328">
        <w:rPr>
          <w:rFonts w:ascii="Cambria" w:hAnsi="Cambria" w:cs="Verdana"/>
          <w:sz w:val="20"/>
          <w:szCs w:val="20"/>
          <w:lang w:val="es-US"/>
        </w:rPr>
        <w:t xml:space="preserve">. </w:t>
      </w:r>
    </w:p>
    <w:p w14:paraId="5DF1EF71" w14:textId="77777777" w:rsidR="00CD530B" w:rsidRDefault="00CD530B" w:rsidP="00CD530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bdr w:val="none" w:sz="0" w:space="0" w:color="auto"/>
          <w:lang w:val="es-US"/>
        </w:rPr>
      </w:pPr>
    </w:p>
    <w:p w14:paraId="257B9AEB" w14:textId="77777777" w:rsidR="00CD530B" w:rsidRDefault="00CD530B" w:rsidP="00CD530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US"/>
        </w:rPr>
      </w:pPr>
      <w:r w:rsidRPr="00682194">
        <w:rPr>
          <w:rFonts w:ascii="Cambria" w:hAnsi="Cambria"/>
          <w:sz w:val="20"/>
          <w:szCs w:val="20"/>
          <w:lang w:val="es-CO"/>
        </w:rPr>
        <w:t xml:space="preserve">Específicamente, sobre el deber de prevenir la Corte ha indicado que “un Estado no puede ser responsable por cualquier violación de derechos humanos cometida entre particulares dentro de su jurisdicción. </w:t>
      </w:r>
      <w:r w:rsidRPr="00CD530B">
        <w:rPr>
          <w:rFonts w:ascii="Cambria" w:hAnsi="Cambria"/>
          <w:sz w:val="20"/>
          <w:szCs w:val="20"/>
          <w:lang w:val="es-ES"/>
        </w:rPr>
        <w:t xml:space="preserve">Las </w:t>
      </w:r>
      <w:r w:rsidRPr="00A64328">
        <w:rPr>
          <w:rFonts w:ascii="Cambria" w:hAnsi="Cambria" w:cs="Verdana"/>
          <w:sz w:val="20"/>
          <w:szCs w:val="20"/>
          <w:lang w:val="es-US"/>
        </w:rPr>
        <w:t>obligaciones</w:t>
      </w:r>
      <w:r w:rsidRPr="00CD530B">
        <w:rPr>
          <w:rFonts w:ascii="Cambria" w:hAnsi="Cambria"/>
          <w:sz w:val="20"/>
          <w:szCs w:val="20"/>
          <w:lang w:val="es-ES"/>
        </w:rPr>
        <w:t xml:space="preserve"> convencionales de garantía a cargo de los Estados no implica una responsabilidad ilimitada de los Estados frente a cualquier acto o hecho de particulares</w:t>
      </w:r>
      <w:r w:rsidRPr="00A64328">
        <w:rPr>
          <w:rStyle w:val="Refdenotaalpie"/>
          <w:rFonts w:ascii="Cambria" w:hAnsi="Cambria"/>
          <w:sz w:val="20"/>
          <w:szCs w:val="20"/>
          <w:lang w:val="es-ES"/>
        </w:rPr>
        <w:footnoteReference w:id="121"/>
      </w:r>
      <w:r w:rsidRPr="00CD530B">
        <w:rPr>
          <w:rFonts w:ascii="Cambria" w:hAnsi="Cambria"/>
          <w:sz w:val="20"/>
          <w:szCs w:val="20"/>
          <w:lang w:val="es-ES"/>
        </w:rPr>
        <w:t>, pues sus deberes de adoptar medidas de prevención y protección en sus relaciones entre sí</w:t>
      </w:r>
      <w:r w:rsidRPr="00CD530B">
        <w:rPr>
          <w:rFonts w:ascii="Cambria" w:hAnsi="Cambria"/>
          <w:b/>
          <w:sz w:val="20"/>
          <w:szCs w:val="20"/>
          <w:lang w:val="es-ES"/>
        </w:rPr>
        <w:t xml:space="preserve"> </w:t>
      </w:r>
      <w:r w:rsidRPr="00CD530B">
        <w:rPr>
          <w:rFonts w:ascii="Cambria" w:hAnsi="Cambria"/>
          <w:sz w:val="20"/>
          <w:szCs w:val="20"/>
          <w:lang w:val="es-ES"/>
        </w:rPr>
        <w:t xml:space="preserve">se encuentran condicionados a </w:t>
      </w:r>
      <w:r w:rsidRPr="00A64328">
        <w:rPr>
          <w:rFonts w:ascii="Cambria" w:hAnsi="Cambria"/>
          <w:sz w:val="20"/>
          <w:szCs w:val="20"/>
          <w:lang w:val="es-US"/>
        </w:rPr>
        <w:t>i) si el Estado tenía o debía tener conocimiento de una situación de riesgo; ii) si dicho riesgo era real e inmediato; y iii) si el Estado adoptó las medidas que razonablemente se esperaban para evitar que dicho riesgo se verificara</w:t>
      </w:r>
      <w:r w:rsidRPr="00A64328">
        <w:rPr>
          <w:rStyle w:val="Refdenotaalpie"/>
          <w:rFonts w:ascii="Cambria" w:hAnsi="Cambria" w:cs="Arial"/>
          <w:sz w:val="20"/>
          <w:szCs w:val="20"/>
          <w:lang w:val="es-CR"/>
        </w:rPr>
        <w:footnoteReference w:id="122"/>
      </w:r>
      <w:r w:rsidRPr="00A64328">
        <w:rPr>
          <w:rFonts w:ascii="Cambria" w:hAnsi="Cambria"/>
          <w:sz w:val="20"/>
          <w:szCs w:val="20"/>
          <w:lang w:val="es-US"/>
        </w:rPr>
        <w:t>.</w:t>
      </w:r>
      <w:r w:rsidR="007206AA">
        <w:rPr>
          <w:rFonts w:ascii="Cambria" w:hAnsi="Cambria"/>
          <w:sz w:val="20"/>
          <w:szCs w:val="20"/>
          <w:lang w:val="es-US"/>
        </w:rPr>
        <w:t xml:space="preserve"> </w:t>
      </w:r>
      <w:r w:rsidR="007206AA">
        <w:rPr>
          <w:rFonts w:ascii="Cambria" w:hAnsi="Cambria"/>
          <w:sz w:val="20"/>
          <w:szCs w:val="20"/>
          <w:lang w:val="es-PE"/>
        </w:rPr>
        <w:t>La CIDH resalta</w:t>
      </w:r>
      <w:r w:rsidR="007206AA" w:rsidRPr="00A64328">
        <w:rPr>
          <w:rFonts w:ascii="Cambria" w:hAnsi="Cambria"/>
          <w:sz w:val="20"/>
          <w:szCs w:val="20"/>
          <w:lang w:val="es-PE"/>
        </w:rPr>
        <w:t xml:space="preserve"> que las medidas de prevención </w:t>
      </w:r>
      <w:proofErr w:type="gramStart"/>
      <w:r w:rsidR="007206AA" w:rsidRPr="00A64328">
        <w:rPr>
          <w:rFonts w:ascii="Cambria" w:hAnsi="Cambria"/>
          <w:sz w:val="20"/>
          <w:szCs w:val="20"/>
          <w:lang w:val="es-PE"/>
        </w:rPr>
        <w:t>exigibles,</w:t>
      </w:r>
      <w:proofErr w:type="gramEnd"/>
      <w:r w:rsidR="007206AA" w:rsidRPr="00A64328">
        <w:rPr>
          <w:rFonts w:ascii="Cambria" w:hAnsi="Cambria"/>
          <w:sz w:val="20"/>
          <w:szCs w:val="20"/>
          <w:lang w:val="es-PE"/>
        </w:rPr>
        <w:t xml:space="preserve"> deberán ser determinadas a la luz de las características y las circunstancias de cada caso concreto</w:t>
      </w:r>
      <w:bookmarkStart w:id="21" w:name="_Ref248140230"/>
      <w:r w:rsidR="007D1D75" w:rsidRPr="00AD78EA">
        <w:rPr>
          <w:rStyle w:val="Refdenotaalpie"/>
          <w:sz w:val="20"/>
          <w:szCs w:val="20"/>
          <w:lang w:val="es-EC"/>
        </w:rPr>
        <w:footnoteReference w:id="123"/>
      </w:r>
      <w:bookmarkEnd w:id="21"/>
      <w:r w:rsidR="007206AA" w:rsidRPr="00A64328">
        <w:rPr>
          <w:rFonts w:ascii="Cambria" w:hAnsi="Cambria"/>
          <w:sz w:val="20"/>
          <w:szCs w:val="20"/>
          <w:lang w:val="es-PE"/>
        </w:rPr>
        <w:t>.</w:t>
      </w:r>
    </w:p>
    <w:p w14:paraId="11F2ED2F" w14:textId="77777777" w:rsidR="00CD530B" w:rsidRDefault="00CD530B" w:rsidP="00CD530B">
      <w:pPr>
        <w:pStyle w:val="Prrafodelista"/>
        <w:rPr>
          <w:rFonts w:ascii="Cambria" w:hAnsi="Cambria"/>
          <w:sz w:val="20"/>
          <w:szCs w:val="20"/>
          <w:lang w:val="es-US"/>
        </w:rPr>
      </w:pPr>
    </w:p>
    <w:p w14:paraId="2F81E650" w14:textId="77777777" w:rsidR="0003469C" w:rsidRDefault="00CD530B" w:rsidP="00CD530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US"/>
        </w:rPr>
      </w:pPr>
      <w:r>
        <w:rPr>
          <w:rFonts w:ascii="Cambria" w:hAnsi="Cambria"/>
          <w:sz w:val="20"/>
          <w:szCs w:val="20"/>
          <w:lang w:val="es-US"/>
        </w:rPr>
        <w:t xml:space="preserve">En el presente caso, </w:t>
      </w:r>
      <w:r w:rsidR="00967EBF">
        <w:rPr>
          <w:rFonts w:ascii="Cambria" w:hAnsi="Cambria"/>
          <w:sz w:val="20"/>
          <w:szCs w:val="20"/>
          <w:lang w:val="es-US"/>
        </w:rPr>
        <w:t>no existe controversia respecto del atentado contra la vida de Olimpiades González en septiembre de 2001</w:t>
      </w:r>
      <w:r w:rsidR="0003469C">
        <w:rPr>
          <w:rFonts w:ascii="Cambria" w:hAnsi="Cambria"/>
          <w:sz w:val="20"/>
          <w:szCs w:val="20"/>
          <w:lang w:val="es-US"/>
        </w:rPr>
        <w:t>, en el marco del proceso de indemnización mencionado en la sección de Determinaciones de Hecho del presente informe. Al respecto, la CIDH nota que el señor González denunció este hecho ante la Fiscalía del Ministerio P</w:t>
      </w:r>
      <w:r w:rsidR="00BB48EA">
        <w:rPr>
          <w:rFonts w:ascii="Cambria" w:hAnsi="Cambria"/>
          <w:sz w:val="20"/>
          <w:szCs w:val="20"/>
          <w:lang w:val="es-US"/>
        </w:rPr>
        <w:t>úblico.</w:t>
      </w:r>
      <w:r w:rsidR="00BB3DC9">
        <w:rPr>
          <w:rFonts w:ascii="Cambria" w:hAnsi="Cambria"/>
          <w:sz w:val="20"/>
          <w:szCs w:val="20"/>
          <w:lang w:val="es-US"/>
        </w:rPr>
        <w:t xml:space="preserve"> </w:t>
      </w:r>
    </w:p>
    <w:p w14:paraId="256D546B" w14:textId="77777777" w:rsidR="0003469C" w:rsidRDefault="0003469C" w:rsidP="0003469C">
      <w:pPr>
        <w:pStyle w:val="Prrafodelista"/>
        <w:rPr>
          <w:rFonts w:ascii="Cambria" w:hAnsi="Cambria"/>
          <w:sz w:val="20"/>
          <w:szCs w:val="20"/>
          <w:lang w:val="es-US"/>
        </w:rPr>
      </w:pPr>
    </w:p>
    <w:p w14:paraId="6E4C600A" w14:textId="77777777" w:rsidR="00CD530B" w:rsidRDefault="0003469C" w:rsidP="00BB48E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sz w:val="20"/>
          <w:szCs w:val="20"/>
          <w:lang w:val="es-US"/>
        </w:rPr>
        <w:t xml:space="preserve"> </w:t>
      </w:r>
      <w:r w:rsidR="00BB48EA">
        <w:rPr>
          <w:rFonts w:ascii="Cambria" w:hAnsi="Cambria"/>
          <w:sz w:val="20"/>
          <w:szCs w:val="20"/>
          <w:lang w:val="es-US"/>
        </w:rPr>
        <w:t>Frente a este tipo de denuncias, la Comisión resalta la obligación del Estado de realizar una debida investigación</w:t>
      </w:r>
      <w:r w:rsidR="00BB48EA" w:rsidRPr="00BB48EA">
        <w:rPr>
          <w:rFonts w:ascii="Cambria" w:hAnsi="Cambria"/>
          <w:sz w:val="20"/>
          <w:szCs w:val="20"/>
          <w:lang w:val="es-ES"/>
        </w:rPr>
        <w:t xml:space="preserve"> </w:t>
      </w:r>
      <w:r w:rsidR="00BB48EA" w:rsidRPr="00C53579">
        <w:rPr>
          <w:rFonts w:ascii="Cambria" w:hAnsi="Cambria"/>
          <w:sz w:val="20"/>
          <w:szCs w:val="20"/>
          <w:lang w:val="es-ES"/>
        </w:rPr>
        <w:t>con la finalidad de identificar las fuentes de riesgo, contribuir a erradicarlas, individualizar a los responsables e imponer las sanciones correspondientes</w:t>
      </w:r>
      <w:r w:rsidR="00BB3DC9">
        <w:rPr>
          <w:rStyle w:val="Refdenotaalpie"/>
          <w:rFonts w:ascii="Cambria" w:hAnsi="Cambria"/>
          <w:sz w:val="20"/>
          <w:szCs w:val="20"/>
          <w:lang w:val="es-ES"/>
        </w:rPr>
        <w:footnoteReference w:id="124"/>
      </w:r>
      <w:r w:rsidR="00BB48EA" w:rsidRPr="00C53579">
        <w:rPr>
          <w:rFonts w:ascii="Cambria" w:hAnsi="Cambria"/>
          <w:sz w:val="20"/>
          <w:szCs w:val="20"/>
          <w:lang w:val="es-ES"/>
        </w:rPr>
        <w:t xml:space="preserve">. </w:t>
      </w:r>
      <w:r w:rsidR="00BB48EA">
        <w:rPr>
          <w:rFonts w:ascii="Cambria" w:hAnsi="Cambria"/>
          <w:sz w:val="20"/>
          <w:szCs w:val="20"/>
          <w:lang w:val="es-ES"/>
        </w:rPr>
        <w:t xml:space="preserve">No obstante, en este asunto </w:t>
      </w:r>
      <w:r w:rsidR="00BB48EA" w:rsidRPr="00BB48EA">
        <w:rPr>
          <w:rFonts w:ascii="Cambria" w:hAnsi="Cambria"/>
          <w:sz w:val="20"/>
          <w:szCs w:val="20"/>
          <w:lang w:val="es-ES"/>
        </w:rPr>
        <w:t>la CIDH no cuenta con información alguna que indique que se hayan realizado diligencias en las investigaciones.</w:t>
      </w:r>
      <w:r w:rsidR="00BB48EA">
        <w:rPr>
          <w:rFonts w:ascii="Cambria" w:hAnsi="Cambria"/>
          <w:sz w:val="20"/>
          <w:szCs w:val="20"/>
          <w:lang w:val="es-ES"/>
        </w:rPr>
        <w:t xml:space="preserve"> Por el contrario, la investigación fue archivada en junio de 2002 por no haberse identificado al autor del atentado contra la vida del señor González.</w:t>
      </w:r>
      <w:r w:rsidR="00BB48EA" w:rsidRPr="00BB48EA">
        <w:rPr>
          <w:rFonts w:ascii="Cambria" w:hAnsi="Cambria"/>
          <w:sz w:val="20"/>
          <w:szCs w:val="20"/>
          <w:lang w:val="es-ES"/>
        </w:rPr>
        <w:t xml:space="preserve"> </w:t>
      </w:r>
    </w:p>
    <w:p w14:paraId="030D514E" w14:textId="77777777" w:rsidR="00BB48EA" w:rsidRDefault="00BB48EA" w:rsidP="00BB48EA">
      <w:pPr>
        <w:pStyle w:val="Prrafodelista"/>
        <w:rPr>
          <w:rFonts w:ascii="Cambria" w:hAnsi="Cambria"/>
          <w:sz w:val="20"/>
          <w:szCs w:val="20"/>
          <w:lang w:val="es-ES"/>
        </w:rPr>
      </w:pPr>
    </w:p>
    <w:p w14:paraId="30F4BF94" w14:textId="77777777" w:rsidR="00CD530B" w:rsidRDefault="00BB48EA" w:rsidP="00CD530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C53579">
        <w:rPr>
          <w:rFonts w:ascii="Cambria" w:hAnsi="Cambria"/>
          <w:sz w:val="20"/>
          <w:szCs w:val="20"/>
          <w:lang w:val="es-ES"/>
        </w:rPr>
        <w:t xml:space="preserve">La CIDH considera que la falta de una respuesta investigativa efectiva </w:t>
      </w:r>
      <w:r w:rsidR="00BB3DC9">
        <w:rPr>
          <w:rFonts w:ascii="Cambria" w:hAnsi="Cambria"/>
          <w:sz w:val="20"/>
          <w:szCs w:val="20"/>
          <w:lang w:val="es-ES"/>
        </w:rPr>
        <w:t xml:space="preserve">y el archivo de </w:t>
      </w:r>
      <w:proofErr w:type="gramStart"/>
      <w:r w:rsidR="00BB3DC9">
        <w:rPr>
          <w:rFonts w:ascii="Cambria" w:hAnsi="Cambria"/>
          <w:sz w:val="20"/>
          <w:szCs w:val="20"/>
          <w:lang w:val="es-ES"/>
        </w:rPr>
        <w:t>la misma</w:t>
      </w:r>
      <w:proofErr w:type="gramEnd"/>
      <w:r w:rsidR="00BB3DC9">
        <w:rPr>
          <w:rFonts w:ascii="Cambria" w:hAnsi="Cambria"/>
          <w:sz w:val="20"/>
          <w:szCs w:val="20"/>
          <w:lang w:val="es-ES"/>
        </w:rPr>
        <w:t xml:space="preserve"> </w:t>
      </w:r>
      <w:r w:rsidRPr="00C53579">
        <w:rPr>
          <w:rFonts w:ascii="Cambria" w:hAnsi="Cambria"/>
          <w:sz w:val="20"/>
          <w:szCs w:val="20"/>
          <w:lang w:val="es-ES"/>
        </w:rPr>
        <w:t>se ve agravada tomando en cuenta</w:t>
      </w:r>
      <w:r w:rsidR="00BB3DC9">
        <w:rPr>
          <w:rFonts w:ascii="Cambria" w:hAnsi="Cambria"/>
          <w:sz w:val="20"/>
          <w:szCs w:val="20"/>
          <w:lang w:val="es-ES"/>
        </w:rPr>
        <w:t xml:space="preserve"> que ello </w:t>
      </w:r>
      <w:r w:rsidR="00D24FE5">
        <w:rPr>
          <w:rFonts w:ascii="Cambria" w:hAnsi="Cambria"/>
          <w:sz w:val="20"/>
          <w:szCs w:val="20"/>
          <w:lang w:val="es-ES"/>
        </w:rPr>
        <w:t xml:space="preserve">tuvo como consecuencia automática la denegatoria de la </w:t>
      </w:r>
      <w:r w:rsidR="001B6865">
        <w:rPr>
          <w:rFonts w:ascii="Cambria" w:hAnsi="Cambria"/>
          <w:sz w:val="20"/>
          <w:szCs w:val="20"/>
          <w:lang w:val="es-ES"/>
        </w:rPr>
        <w:t>solicitud de extender</w:t>
      </w:r>
      <w:r w:rsidR="00BB3DC9">
        <w:rPr>
          <w:rFonts w:ascii="Cambria" w:hAnsi="Cambria"/>
          <w:sz w:val="20"/>
          <w:szCs w:val="20"/>
          <w:lang w:val="es-ES"/>
        </w:rPr>
        <w:t xml:space="preserve"> la orden de protección policial a favor del señor González otorgada por el tribunal a cargo</w:t>
      </w:r>
      <w:r w:rsidR="001B6865">
        <w:rPr>
          <w:rFonts w:ascii="Cambria" w:hAnsi="Cambria"/>
          <w:sz w:val="20"/>
          <w:szCs w:val="20"/>
          <w:lang w:val="es-ES"/>
        </w:rPr>
        <w:t xml:space="preserve"> del asunto. Sobre este punto, la Comisión toma nota de las falencias </w:t>
      </w:r>
      <w:r w:rsidR="0089461E">
        <w:rPr>
          <w:rFonts w:ascii="Cambria" w:hAnsi="Cambria"/>
          <w:sz w:val="20"/>
          <w:szCs w:val="20"/>
          <w:lang w:val="es-ES"/>
        </w:rPr>
        <w:t xml:space="preserve">de </w:t>
      </w:r>
      <w:r w:rsidR="00D329F5">
        <w:rPr>
          <w:rFonts w:ascii="Cambria" w:hAnsi="Cambria"/>
          <w:sz w:val="20"/>
          <w:szCs w:val="20"/>
          <w:lang w:val="es-ES"/>
        </w:rPr>
        <w:t>dicha medida</w:t>
      </w:r>
      <w:r w:rsidR="0089461E">
        <w:rPr>
          <w:rFonts w:ascii="Cambria" w:hAnsi="Cambria"/>
          <w:sz w:val="20"/>
          <w:szCs w:val="20"/>
          <w:lang w:val="es-ES"/>
        </w:rPr>
        <w:t xml:space="preserve"> en tanto los oficiales policiales no </w:t>
      </w:r>
      <w:r w:rsidR="00D329F5">
        <w:rPr>
          <w:rFonts w:ascii="Cambria" w:hAnsi="Cambria"/>
          <w:sz w:val="20"/>
          <w:szCs w:val="20"/>
          <w:lang w:val="es-ES"/>
        </w:rPr>
        <w:t xml:space="preserve">habrían </w:t>
      </w:r>
      <w:r w:rsidR="0089461E">
        <w:rPr>
          <w:rFonts w:ascii="Cambria" w:hAnsi="Cambria"/>
          <w:sz w:val="20"/>
          <w:szCs w:val="20"/>
          <w:lang w:val="es-ES"/>
        </w:rPr>
        <w:t>realiza</w:t>
      </w:r>
      <w:r w:rsidR="00D329F5">
        <w:rPr>
          <w:rFonts w:ascii="Cambria" w:hAnsi="Cambria"/>
          <w:sz w:val="20"/>
          <w:szCs w:val="20"/>
          <w:lang w:val="es-ES"/>
        </w:rPr>
        <w:t>do</w:t>
      </w:r>
      <w:r w:rsidR="0089461E">
        <w:rPr>
          <w:rFonts w:ascii="Cambria" w:hAnsi="Cambria"/>
          <w:sz w:val="20"/>
          <w:szCs w:val="20"/>
          <w:lang w:val="es-ES"/>
        </w:rPr>
        <w:t xml:space="preserve"> las rondas correspondientes </w:t>
      </w:r>
      <w:r w:rsidR="00D329F5">
        <w:rPr>
          <w:rFonts w:ascii="Cambria" w:hAnsi="Cambria"/>
          <w:sz w:val="20"/>
          <w:szCs w:val="20"/>
          <w:lang w:val="es-ES"/>
        </w:rPr>
        <w:t>al</w:t>
      </w:r>
      <w:r w:rsidR="0089461E">
        <w:rPr>
          <w:rFonts w:ascii="Cambria" w:hAnsi="Cambria"/>
          <w:sz w:val="20"/>
          <w:szCs w:val="20"/>
          <w:lang w:val="es-ES"/>
        </w:rPr>
        <w:t xml:space="preserve"> domicilio</w:t>
      </w:r>
      <w:r w:rsidR="00D329F5">
        <w:rPr>
          <w:rFonts w:ascii="Cambria" w:hAnsi="Cambria"/>
          <w:sz w:val="20"/>
          <w:szCs w:val="20"/>
          <w:lang w:val="es-ES"/>
        </w:rPr>
        <w:t xml:space="preserve"> del señor González</w:t>
      </w:r>
      <w:r w:rsidR="0089461E">
        <w:rPr>
          <w:rFonts w:ascii="Cambria" w:hAnsi="Cambria"/>
          <w:sz w:val="20"/>
          <w:szCs w:val="20"/>
          <w:lang w:val="es-ES"/>
        </w:rPr>
        <w:t xml:space="preserve">. La CIDH observa que el Estado no controvirtió dicha información. </w:t>
      </w:r>
      <w:r w:rsidR="00D329F5">
        <w:rPr>
          <w:rFonts w:ascii="Cambria" w:hAnsi="Cambria"/>
          <w:sz w:val="20"/>
          <w:szCs w:val="20"/>
          <w:lang w:val="es-ES"/>
        </w:rPr>
        <w:t>Por el contrario, la Comisión observa que en el expediente se evidencia que uno de los agentes policiales asignados a esta medida declaró que “la función policial [no] es la de mantener una vigilancia (…) especial a una persona” puesto que “el trabajo de los policías no es ser guardaespaldas”.</w:t>
      </w:r>
    </w:p>
    <w:p w14:paraId="38666AFB" w14:textId="77777777" w:rsidR="00D329F5" w:rsidRPr="00D329F5" w:rsidRDefault="00D329F5" w:rsidP="00D329F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4C230456" w14:textId="77777777" w:rsidR="00CD7308" w:rsidRDefault="001B6865" w:rsidP="00CD730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C53579">
        <w:rPr>
          <w:rFonts w:ascii="Cambria" w:hAnsi="Cambria"/>
          <w:sz w:val="20"/>
          <w:szCs w:val="20"/>
          <w:lang w:val="es-ES"/>
        </w:rPr>
        <w:t xml:space="preserve">La Comisión considera que de haber realizado una investigación efectiva desde </w:t>
      </w:r>
      <w:r w:rsidR="00CD7308">
        <w:rPr>
          <w:rFonts w:ascii="Cambria" w:hAnsi="Cambria"/>
          <w:sz w:val="20"/>
          <w:szCs w:val="20"/>
          <w:lang w:val="es-ES"/>
        </w:rPr>
        <w:t>la denuncia del señor González</w:t>
      </w:r>
      <w:r w:rsidRPr="00C53579">
        <w:rPr>
          <w:rFonts w:ascii="Cambria" w:hAnsi="Cambria"/>
          <w:sz w:val="20"/>
          <w:szCs w:val="20"/>
          <w:lang w:val="es-ES"/>
        </w:rPr>
        <w:t>, el Estado hubiera podido diseñar medidas de protección a su integridad personal, acordes con las fuentes específicas de riesgo.</w:t>
      </w:r>
    </w:p>
    <w:p w14:paraId="766A3952" w14:textId="77777777" w:rsidR="00CD7308" w:rsidRDefault="00CD7308" w:rsidP="00CD7308">
      <w:pPr>
        <w:pStyle w:val="Prrafodelista"/>
        <w:rPr>
          <w:rFonts w:ascii="Cambria" w:hAnsi="Cambria"/>
          <w:sz w:val="20"/>
          <w:szCs w:val="20"/>
          <w:lang w:val="es-ES"/>
        </w:rPr>
      </w:pPr>
    </w:p>
    <w:p w14:paraId="6425F613" w14:textId="77777777" w:rsidR="00CD7308" w:rsidRDefault="00D03535" w:rsidP="00CD730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sz w:val="20"/>
          <w:szCs w:val="20"/>
          <w:lang w:val="es-ES"/>
        </w:rPr>
        <w:t>Adicionalmente, la CIDH</w:t>
      </w:r>
      <w:r w:rsidR="00CD7308" w:rsidRPr="00CD7308">
        <w:rPr>
          <w:rFonts w:ascii="Cambria" w:hAnsi="Cambria"/>
          <w:sz w:val="20"/>
          <w:szCs w:val="20"/>
          <w:lang w:val="es-ES"/>
        </w:rPr>
        <w:t xml:space="preserve"> </w:t>
      </w:r>
      <w:r w:rsidR="00CD7308">
        <w:rPr>
          <w:rFonts w:ascii="Cambria" w:hAnsi="Cambria"/>
          <w:sz w:val="20"/>
          <w:szCs w:val="20"/>
          <w:lang w:val="es-ES"/>
        </w:rPr>
        <w:t xml:space="preserve">resalta que </w:t>
      </w:r>
      <w:r>
        <w:rPr>
          <w:rFonts w:ascii="Cambria" w:hAnsi="Cambria"/>
          <w:sz w:val="20"/>
          <w:szCs w:val="20"/>
          <w:lang w:val="es-ES"/>
        </w:rPr>
        <w:t>incluso antes d</w:t>
      </w:r>
      <w:r w:rsidR="00CD7308">
        <w:rPr>
          <w:rFonts w:ascii="Cambria" w:hAnsi="Cambria"/>
          <w:sz w:val="20"/>
          <w:szCs w:val="20"/>
          <w:lang w:val="es-ES"/>
        </w:rPr>
        <w:t xml:space="preserve">el año 2001, fecha de la denuncia del señor González, el Estado </w:t>
      </w:r>
      <w:r>
        <w:rPr>
          <w:rFonts w:ascii="Cambria" w:hAnsi="Cambria"/>
          <w:sz w:val="20"/>
          <w:szCs w:val="20"/>
          <w:lang w:val="es-ES"/>
        </w:rPr>
        <w:t xml:space="preserve">ya </w:t>
      </w:r>
      <w:r w:rsidR="00CD7308">
        <w:rPr>
          <w:rFonts w:ascii="Cambria" w:hAnsi="Cambria"/>
          <w:sz w:val="20"/>
          <w:szCs w:val="20"/>
          <w:lang w:val="es-ES"/>
        </w:rPr>
        <w:t>tenía conocimiento</w:t>
      </w:r>
      <w:r>
        <w:rPr>
          <w:rFonts w:ascii="Cambria" w:hAnsi="Cambria"/>
          <w:sz w:val="20"/>
          <w:szCs w:val="20"/>
          <w:lang w:val="es-ES"/>
        </w:rPr>
        <w:t xml:space="preserve"> sobre la situación de conflictividad entre las familias González y Meneses. La Comisión nota que el propio Estado venezolano en uno de sus escritos ante este órgano reconoció que “durante varios años se registraron enfrentamientos” entre las familias ya mencionados. A ello se suma que en marzo de 2004 el señor González presentó información actualizada sobre el atentado contra su vida al señalar que la persona que le habría disparado era un miembro de la familia Meneses.</w:t>
      </w:r>
    </w:p>
    <w:p w14:paraId="1F5E1756" w14:textId="77777777" w:rsidR="00CD7308" w:rsidRDefault="00CD7308" w:rsidP="00D03535">
      <w:pPr>
        <w:pStyle w:val="Prrafodelista"/>
        <w:rPr>
          <w:rFonts w:ascii="Cambria" w:hAnsi="Cambria"/>
          <w:sz w:val="20"/>
          <w:szCs w:val="20"/>
          <w:lang w:val="es-ES"/>
        </w:rPr>
      </w:pPr>
    </w:p>
    <w:p w14:paraId="77B20F50" w14:textId="77777777" w:rsidR="00CD7308" w:rsidRDefault="00D03535" w:rsidP="00CD730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sz w:val="20"/>
          <w:szCs w:val="20"/>
          <w:lang w:val="es-ES"/>
        </w:rPr>
        <w:t xml:space="preserve">Frente a dicha situación, la CIDH observa que el Estado no presentó ninguna información respecto de la adopción de </w:t>
      </w:r>
      <w:r w:rsidR="006D4B6F">
        <w:rPr>
          <w:rFonts w:ascii="Cambria" w:hAnsi="Cambria"/>
          <w:sz w:val="20"/>
          <w:szCs w:val="20"/>
          <w:lang w:val="es-ES"/>
        </w:rPr>
        <w:t xml:space="preserve">i) </w:t>
      </w:r>
      <w:r>
        <w:rPr>
          <w:rFonts w:ascii="Cambria" w:hAnsi="Cambria"/>
          <w:sz w:val="20"/>
          <w:szCs w:val="20"/>
          <w:lang w:val="es-ES"/>
        </w:rPr>
        <w:t>diligencias en el marco de la nueva investigación</w:t>
      </w:r>
      <w:r w:rsidR="006D4B6F">
        <w:rPr>
          <w:rFonts w:ascii="Cambria" w:hAnsi="Cambria"/>
          <w:sz w:val="20"/>
          <w:szCs w:val="20"/>
          <w:lang w:val="es-ES"/>
        </w:rPr>
        <w:t>; ii) un estudio de riesgo para conocer la situación actual del señor González; y iii) las</w:t>
      </w:r>
      <w:r>
        <w:rPr>
          <w:rFonts w:ascii="Cambria" w:hAnsi="Cambria"/>
          <w:sz w:val="20"/>
          <w:szCs w:val="20"/>
          <w:lang w:val="es-ES"/>
        </w:rPr>
        <w:t xml:space="preserve"> medidas de protección a </w:t>
      </w:r>
      <w:r w:rsidR="006D4B6F">
        <w:rPr>
          <w:rFonts w:ascii="Cambria" w:hAnsi="Cambria"/>
          <w:sz w:val="20"/>
          <w:szCs w:val="20"/>
          <w:lang w:val="es-ES"/>
        </w:rPr>
        <w:t xml:space="preserve">su </w:t>
      </w:r>
      <w:r>
        <w:rPr>
          <w:rFonts w:ascii="Cambria" w:hAnsi="Cambria"/>
          <w:sz w:val="20"/>
          <w:szCs w:val="20"/>
          <w:lang w:val="es-ES"/>
        </w:rPr>
        <w:t>favor. La Comisión nota que el Estado venezolano se limitó a indicar que se dictó una orden de detención en contra de dicha persona</w:t>
      </w:r>
      <w:r w:rsidR="006D4B6F">
        <w:rPr>
          <w:rFonts w:ascii="Cambria" w:hAnsi="Cambria"/>
          <w:sz w:val="20"/>
          <w:szCs w:val="20"/>
          <w:lang w:val="es-ES"/>
        </w:rPr>
        <w:t>. Sin embargo, el Estado tampoco presentó información sobre las acciones adoptadas para ejecutar dicha orden de detención.</w:t>
      </w:r>
    </w:p>
    <w:p w14:paraId="05025E70" w14:textId="77777777" w:rsidR="006D4B6F" w:rsidRDefault="006D4B6F" w:rsidP="006D4B6F">
      <w:pPr>
        <w:pStyle w:val="Prrafodelista"/>
        <w:rPr>
          <w:rFonts w:ascii="Cambria" w:hAnsi="Cambria"/>
          <w:sz w:val="20"/>
          <w:szCs w:val="20"/>
          <w:lang w:val="es-ES"/>
        </w:rPr>
      </w:pPr>
    </w:p>
    <w:p w14:paraId="46ED913B" w14:textId="77777777" w:rsidR="006D4B6F" w:rsidRDefault="006D4B6F" w:rsidP="00CD730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sz w:val="20"/>
          <w:szCs w:val="20"/>
          <w:lang w:val="es-ES"/>
        </w:rPr>
        <w:t xml:space="preserve">La Comisión considera que estos elementos </w:t>
      </w:r>
      <w:r w:rsidRPr="006D4B6F">
        <w:rPr>
          <w:rFonts w:ascii="Cambria" w:hAnsi="Cambria"/>
          <w:sz w:val="20"/>
          <w:szCs w:val="20"/>
          <w:lang w:val="es-ES"/>
        </w:rPr>
        <w:t>impact</w:t>
      </w:r>
      <w:r>
        <w:rPr>
          <w:rFonts w:ascii="Cambria" w:hAnsi="Cambria"/>
          <w:sz w:val="20"/>
          <w:szCs w:val="20"/>
          <w:lang w:val="es-ES"/>
        </w:rPr>
        <w:t>aron</w:t>
      </w:r>
      <w:r w:rsidRPr="006D4B6F">
        <w:rPr>
          <w:rFonts w:ascii="Cambria" w:hAnsi="Cambria"/>
          <w:sz w:val="20"/>
          <w:szCs w:val="20"/>
          <w:lang w:val="es-ES"/>
        </w:rPr>
        <w:t xml:space="preserve"> de manera significativa en la posibilidad de analizar la situación de riesgo específica y determinar la naturaleza de las medidas de protección que podía adoptar para proteger la vida e integridad del </w:t>
      </w:r>
      <w:r>
        <w:rPr>
          <w:rFonts w:ascii="Cambria" w:hAnsi="Cambria"/>
          <w:sz w:val="20"/>
          <w:szCs w:val="20"/>
          <w:lang w:val="es-ES"/>
        </w:rPr>
        <w:t>señor González</w:t>
      </w:r>
      <w:r w:rsidRPr="006D4B6F">
        <w:rPr>
          <w:rFonts w:ascii="Cambria" w:hAnsi="Cambria"/>
          <w:sz w:val="20"/>
          <w:szCs w:val="20"/>
          <w:lang w:val="es-ES"/>
        </w:rPr>
        <w:t>.</w:t>
      </w:r>
      <w:r>
        <w:rPr>
          <w:rFonts w:ascii="Cambria" w:hAnsi="Cambria"/>
          <w:sz w:val="20"/>
          <w:szCs w:val="20"/>
          <w:lang w:val="es-ES"/>
        </w:rPr>
        <w:t xml:space="preserve"> En ese sentido, l</w:t>
      </w:r>
      <w:r w:rsidRPr="006D4B6F">
        <w:rPr>
          <w:rFonts w:ascii="Cambria" w:hAnsi="Cambria"/>
          <w:sz w:val="20"/>
          <w:szCs w:val="20"/>
          <w:lang w:val="es-ES"/>
        </w:rPr>
        <w:t>a Comisión advierte que</w:t>
      </w:r>
      <w:r w:rsidR="00682194">
        <w:rPr>
          <w:rFonts w:ascii="Cambria" w:hAnsi="Cambria"/>
          <w:sz w:val="20"/>
          <w:szCs w:val="20"/>
          <w:lang w:val="es-ES"/>
        </w:rPr>
        <w:t xml:space="preserve"> </w:t>
      </w:r>
      <w:r w:rsidRPr="006D4B6F">
        <w:rPr>
          <w:rFonts w:ascii="Cambria" w:hAnsi="Cambria"/>
          <w:sz w:val="20"/>
          <w:szCs w:val="20"/>
          <w:lang w:val="es-ES"/>
        </w:rPr>
        <w:t>la falta de protección puede darse cuando el Estado deja a una persona en situación de indefensión y, por lo tanto, facilita la ocurrencia de violaciones de derechos humanos en su perjuicio, en abierto desconocimiento del deber de prevención</w:t>
      </w:r>
      <w:r w:rsidRPr="00751214">
        <w:rPr>
          <w:rStyle w:val="Refdenotaalpie"/>
          <w:rFonts w:ascii="Cambria" w:hAnsi="Cambria"/>
          <w:sz w:val="20"/>
          <w:szCs w:val="20"/>
        </w:rPr>
        <w:footnoteReference w:id="125"/>
      </w:r>
      <w:r w:rsidRPr="006D4B6F">
        <w:rPr>
          <w:rFonts w:ascii="Cambria" w:hAnsi="Cambria"/>
          <w:sz w:val="20"/>
          <w:szCs w:val="20"/>
          <w:lang w:val="es-ES"/>
        </w:rPr>
        <w:t>.</w:t>
      </w:r>
      <w:r>
        <w:rPr>
          <w:rFonts w:ascii="Cambria" w:hAnsi="Cambria"/>
          <w:sz w:val="20"/>
          <w:szCs w:val="20"/>
          <w:lang w:val="es-ES"/>
        </w:rPr>
        <w:t xml:space="preserve"> Precisamente, la Comisión considera que </w:t>
      </w:r>
      <w:r w:rsidR="00DC76C7">
        <w:rPr>
          <w:rFonts w:ascii="Cambria" w:hAnsi="Cambria"/>
          <w:sz w:val="20"/>
          <w:szCs w:val="20"/>
          <w:lang w:val="es-ES"/>
        </w:rPr>
        <w:t xml:space="preserve">en </w:t>
      </w:r>
      <w:r>
        <w:rPr>
          <w:rFonts w:ascii="Cambria" w:hAnsi="Cambria"/>
          <w:sz w:val="20"/>
          <w:szCs w:val="20"/>
          <w:lang w:val="es-ES"/>
        </w:rPr>
        <w:t xml:space="preserve">este marco de indefensión el señor González </w:t>
      </w:r>
      <w:r w:rsidR="00DC76C7">
        <w:rPr>
          <w:rFonts w:ascii="Cambria" w:hAnsi="Cambria"/>
          <w:sz w:val="20"/>
          <w:szCs w:val="20"/>
          <w:lang w:val="es-ES"/>
        </w:rPr>
        <w:t>fue</w:t>
      </w:r>
      <w:r>
        <w:rPr>
          <w:rFonts w:ascii="Cambria" w:hAnsi="Cambria"/>
          <w:sz w:val="20"/>
          <w:szCs w:val="20"/>
          <w:lang w:val="es-ES"/>
        </w:rPr>
        <w:t xml:space="preserve"> asesinado en diciembre de 2006</w:t>
      </w:r>
      <w:r w:rsidR="004B794F">
        <w:rPr>
          <w:rFonts w:ascii="Cambria" w:hAnsi="Cambria"/>
          <w:sz w:val="20"/>
          <w:szCs w:val="20"/>
          <w:lang w:val="es-ES"/>
        </w:rPr>
        <w:t xml:space="preserve">, presuntamente </w:t>
      </w:r>
      <w:r>
        <w:rPr>
          <w:rFonts w:ascii="Cambria" w:hAnsi="Cambria"/>
          <w:sz w:val="20"/>
          <w:szCs w:val="20"/>
          <w:lang w:val="es-ES"/>
        </w:rPr>
        <w:t>por parte de</w:t>
      </w:r>
      <w:r w:rsidR="009628CF">
        <w:rPr>
          <w:rFonts w:ascii="Cambria" w:hAnsi="Cambria"/>
          <w:sz w:val="20"/>
          <w:szCs w:val="20"/>
          <w:lang w:val="es-ES"/>
        </w:rPr>
        <w:t xml:space="preserve"> alguien vinculado a las fuentes de riesgo denunciadas por él. </w:t>
      </w:r>
    </w:p>
    <w:p w14:paraId="22E95429" w14:textId="77777777" w:rsidR="00D03535" w:rsidRPr="00C53579" w:rsidRDefault="00D03535" w:rsidP="00D0353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6C4E668F" w14:textId="77777777" w:rsidR="001B6865" w:rsidRPr="00C53579" w:rsidRDefault="006D4B6F" w:rsidP="001B686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sz w:val="20"/>
          <w:szCs w:val="20"/>
          <w:lang w:val="es-ES"/>
        </w:rPr>
        <w:t xml:space="preserve">Por lo expuesto, la </w:t>
      </w:r>
      <w:r w:rsidRPr="00751214">
        <w:rPr>
          <w:rFonts w:ascii="Cambria" w:hAnsi="Cambria"/>
          <w:sz w:val="20"/>
          <w:szCs w:val="20"/>
          <w:lang w:val="es-ES"/>
        </w:rPr>
        <w:t xml:space="preserve">Comisión considera que el Estado es responsable por la </w:t>
      </w:r>
      <w:r w:rsidRPr="006D4B6F">
        <w:rPr>
          <w:rFonts w:ascii="Cambria" w:hAnsi="Cambria"/>
          <w:sz w:val="20"/>
          <w:szCs w:val="20"/>
          <w:lang w:val="es-ES"/>
        </w:rPr>
        <w:t xml:space="preserve">violación </w:t>
      </w:r>
      <w:r>
        <w:rPr>
          <w:rFonts w:ascii="Cambria" w:hAnsi="Cambria"/>
          <w:sz w:val="20"/>
          <w:szCs w:val="20"/>
          <w:lang w:val="es-ES"/>
        </w:rPr>
        <w:t>de los derechos a la vida e integridad personal, establecidos en los artículos 4.1 y 5.1 de la Convención Americana, en relación con</w:t>
      </w:r>
      <w:r w:rsidR="00DE51EF">
        <w:rPr>
          <w:rFonts w:ascii="Cambria" w:hAnsi="Cambria"/>
          <w:sz w:val="20"/>
          <w:szCs w:val="20"/>
          <w:lang w:val="es-ES"/>
        </w:rPr>
        <w:t xml:space="preserve"> el deber de garantía en su componente de </w:t>
      </w:r>
      <w:r w:rsidR="009D4C61">
        <w:rPr>
          <w:rFonts w:ascii="Cambria" w:hAnsi="Cambria"/>
          <w:sz w:val="20"/>
          <w:szCs w:val="20"/>
          <w:lang w:val="es-ES"/>
        </w:rPr>
        <w:t>prevención establecido en</w:t>
      </w:r>
      <w:r>
        <w:rPr>
          <w:rFonts w:ascii="Cambria" w:hAnsi="Cambria"/>
          <w:sz w:val="20"/>
          <w:szCs w:val="20"/>
          <w:lang w:val="es-ES"/>
        </w:rPr>
        <w:t xml:space="preserve"> el artículo 1.1 del mismo instrumento, en perjuicio de Olimpiades González</w:t>
      </w:r>
      <w:r w:rsidRPr="006D4B6F">
        <w:rPr>
          <w:rFonts w:ascii="Cambria" w:hAnsi="Cambria"/>
          <w:sz w:val="20"/>
          <w:szCs w:val="20"/>
          <w:lang w:val="es-ES"/>
        </w:rPr>
        <w:t>.</w:t>
      </w:r>
    </w:p>
    <w:p w14:paraId="16C16899" w14:textId="77777777" w:rsidR="00A45928" w:rsidRPr="00D329F5" w:rsidRDefault="00A45928" w:rsidP="000E281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sz w:val="20"/>
          <w:szCs w:val="20"/>
          <w:lang w:val="es-VE"/>
        </w:rPr>
      </w:pPr>
    </w:p>
    <w:p w14:paraId="14D677BF" w14:textId="77777777" w:rsidR="00412A92" w:rsidRPr="00D329F5" w:rsidRDefault="00412A92"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hanging="630"/>
        <w:jc w:val="both"/>
        <w:rPr>
          <w:rFonts w:ascii="Cambria" w:hAnsi="Cambria"/>
          <w:b/>
          <w:sz w:val="20"/>
          <w:szCs w:val="20"/>
          <w:lang w:val="es-VE"/>
        </w:rPr>
      </w:pPr>
      <w:r w:rsidRPr="00D329F5">
        <w:rPr>
          <w:rFonts w:ascii="Cambria" w:hAnsi="Cambria"/>
          <w:b/>
          <w:sz w:val="20"/>
          <w:szCs w:val="20"/>
          <w:lang w:val="es-VE"/>
        </w:rPr>
        <w:tab/>
      </w:r>
      <w:r w:rsidR="006D4B6F">
        <w:rPr>
          <w:rFonts w:ascii="Cambria" w:hAnsi="Cambria"/>
          <w:b/>
          <w:sz w:val="20"/>
          <w:szCs w:val="20"/>
          <w:lang w:val="es-VE"/>
        </w:rPr>
        <w:t>2</w:t>
      </w:r>
      <w:r w:rsidRPr="00D329F5">
        <w:rPr>
          <w:rFonts w:ascii="Cambria" w:hAnsi="Cambria"/>
          <w:b/>
          <w:sz w:val="20"/>
          <w:szCs w:val="20"/>
          <w:lang w:val="es-VE"/>
        </w:rPr>
        <w:t xml:space="preserve">. </w:t>
      </w:r>
      <w:r w:rsidRPr="00D329F5">
        <w:rPr>
          <w:rFonts w:ascii="Cambria" w:hAnsi="Cambria"/>
          <w:b/>
          <w:sz w:val="20"/>
          <w:szCs w:val="20"/>
          <w:lang w:val="es-VE"/>
        </w:rPr>
        <w:tab/>
      </w:r>
      <w:r w:rsidR="006D4B6F">
        <w:rPr>
          <w:rFonts w:ascii="Cambria" w:hAnsi="Cambria"/>
          <w:b/>
          <w:sz w:val="20"/>
          <w:szCs w:val="20"/>
          <w:lang w:val="es-VE"/>
        </w:rPr>
        <w:t xml:space="preserve">Sobre el </w:t>
      </w:r>
      <w:r w:rsidRPr="00D329F5">
        <w:rPr>
          <w:rFonts w:ascii="Cambria" w:hAnsi="Cambria"/>
          <w:b/>
          <w:sz w:val="20"/>
          <w:szCs w:val="20"/>
          <w:lang w:val="es-VE"/>
        </w:rPr>
        <w:t>plazo razonable</w:t>
      </w:r>
      <w:r w:rsidR="007655B8">
        <w:rPr>
          <w:rFonts w:ascii="Cambria" w:hAnsi="Cambria"/>
          <w:b/>
          <w:sz w:val="20"/>
          <w:szCs w:val="20"/>
          <w:lang w:val="es-VE"/>
        </w:rPr>
        <w:t xml:space="preserve"> de la investigación</w:t>
      </w:r>
    </w:p>
    <w:p w14:paraId="02BC9CC7" w14:textId="77777777" w:rsidR="00F536CF" w:rsidRDefault="00F536CF" w:rsidP="00EF472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18D72F39" w14:textId="77777777" w:rsidR="00677FB0" w:rsidRDefault="007655B8" w:rsidP="00677FB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Cambria" w:hAnsi="Cambria"/>
          <w:sz w:val="20"/>
          <w:szCs w:val="20"/>
          <w:lang w:val="es-ES"/>
        </w:rPr>
      </w:pPr>
      <w:r w:rsidRPr="007A5CCB">
        <w:rPr>
          <w:rFonts w:ascii="Cambria" w:hAnsi="Cambria"/>
          <w:sz w:val="20"/>
          <w:szCs w:val="20"/>
          <w:lang w:val="es-ES"/>
        </w:rPr>
        <w:t xml:space="preserve">El artículo 8.1 de la Convención Americana establece como uno de los elementos del debido proceso que </w:t>
      </w:r>
      <w:r w:rsidRPr="007A5CCB">
        <w:rPr>
          <w:rFonts w:ascii="Cambria" w:hAnsi="Cambria"/>
          <w:sz w:val="20"/>
          <w:szCs w:val="20"/>
          <w:lang w:val="es-SV"/>
        </w:rPr>
        <w:t>los</w:t>
      </w:r>
      <w:r w:rsidRPr="007A5CCB">
        <w:rPr>
          <w:rFonts w:ascii="Cambria" w:hAnsi="Cambria"/>
          <w:sz w:val="20"/>
          <w:szCs w:val="20"/>
          <w:lang w:val="es-ES"/>
        </w:rPr>
        <w:t xml:space="preserve"> tribunales decidan los casos sometidos a su conocimiento en un plazo razonable. En este sentido, una demora prolongada puede </w:t>
      </w:r>
      <w:r w:rsidRPr="007A5CCB">
        <w:rPr>
          <w:rFonts w:ascii="Cambria" w:hAnsi="Cambria"/>
          <w:w w:val="95"/>
          <w:sz w:val="20"/>
          <w:szCs w:val="20"/>
          <w:lang w:val="es-CR"/>
        </w:rPr>
        <w:t>llegar</w:t>
      </w:r>
      <w:r w:rsidRPr="007A5CCB">
        <w:rPr>
          <w:rFonts w:ascii="Cambria" w:hAnsi="Cambria"/>
          <w:sz w:val="20"/>
          <w:szCs w:val="20"/>
          <w:lang w:val="es-ES"/>
        </w:rPr>
        <w:t xml:space="preserve"> a constituir, por sí misma, una violación de las garantías judiciales</w:t>
      </w:r>
      <w:r w:rsidRPr="007A5CCB">
        <w:rPr>
          <w:rStyle w:val="Refdenotaalpie"/>
          <w:rFonts w:ascii="Cambria" w:hAnsi="Cambria"/>
          <w:sz w:val="20"/>
          <w:szCs w:val="20"/>
          <w:lang w:val="es-ES_tradnl"/>
        </w:rPr>
        <w:footnoteReference w:id="126"/>
      </w:r>
      <w:r w:rsidRPr="007A5CCB">
        <w:rPr>
          <w:rFonts w:ascii="Cambria" w:hAnsi="Cambria"/>
          <w:sz w:val="20"/>
          <w:szCs w:val="20"/>
          <w:lang w:val="es-ES"/>
        </w:rPr>
        <w:t xml:space="preserve">. </w:t>
      </w:r>
      <w:r w:rsidRPr="00677FB0">
        <w:rPr>
          <w:rFonts w:ascii="Cambria" w:hAnsi="Cambria"/>
          <w:sz w:val="20"/>
          <w:szCs w:val="20"/>
          <w:lang w:val="es-ES"/>
        </w:rPr>
        <w:t>En ese sentido, la razonabilidad del plazo se debe apreciar en relación con la duración total del procedimiento penal</w:t>
      </w:r>
      <w:r w:rsidRPr="007A5CCB">
        <w:rPr>
          <w:rStyle w:val="Refdenotaalpie"/>
          <w:rFonts w:ascii="Cambria" w:hAnsi="Cambria"/>
          <w:sz w:val="20"/>
          <w:szCs w:val="20"/>
          <w:lang w:val="es-ES_tradnl"/>
        </w:rPr>
        <w:footnoteReference w:id="127"/>
      </w:r>
      <w:r w:rsidR="00677FB0">
        <w:rPr>
          <w:rFonts w:ascii="Cambria" w:hAnsi="Cambria"/>
          <w:sz w:val="20"/>
          <w:szCs w:val="20"/>
          <w:lang w:val="es-ES"/>
        </w:rPr>
        <w:t>. En el presente caso la CIDH constata que el caso permanece en etapa de investigación desde hace más de diez años desde la muerte del señor González. Por lo tanto, y tomando en cuenta reciente jurisprudencia de la Corte</w:t>
      </w:r>
      <w:r w:rsidR="00677FB0">
        <w:rPr>
          <w:rStyle w:val="Refdenotaalpie"/>
          <w:rFonts w:ascii="Cambria" w:hAnsi="Cambria"/>
          <w:sz w:val="20"/>
          <w:szCs w:val="20"/>
          <w:lang w:val="es-ES"/>
        </w:rPr>
        <w:footnoteReference w:id="128"/>
      </w:r>
      <w:r w:rsidR="00677FB0">
        <w:rPr>
          <w:rFonts w:ascii="Cambria" w:hAnsi="Cambria"/>
          <w:sz w:val="20"/>
          <w:szCs w:val="20"/>
          <w:lang w:val="es-ES"/>
        </w:rPr>
        <w:t xml:space="preserve">, la Comisión considera que </w:t>
      </w:r>
      <w:r w:rsidR="00AE05FD">
        <w:rPr>
          <w:rFonts w:ascii="Cambria" w:hAnsi="Cambria"/>
          <w:sz w:val="20"/>
          <w:szCs w:val="20"/>
          <w:lang w:val="es-ES"/>
        </w:rPr>
        <w:t xml:space="preserve">en circunstancias en las cuales la demora resulta patente y el Estado no ha aportado justificación adecuada sobre la misma, </w:t>
      </w:r>
      <w:r w:rsidR="00677FB0">
        <w:rPr>
          <w:rFonts w:ascii="Cambria" w:hAnsi="Cambria"/>
          <w:sz w:val="20"/>
          <w:szCs w:val="20"/>
          <w:lang w:val="es-ES"/>
        </w:rPr>
        <w:t xml:space="preserve">no es necesario analizar los cuatro elementos para determinar la </w:t>
      </w:r>
      <w:r w:rsidR="003A60ED">
        <w:rPr>
          <w:rFonts w:ascii="Cambria" w:hAnsi="Cambria"/>
          <w:sz w:val="20"/>
          <w:szCs w:val="20"/>
          <w:lang w:val="es-ES"/>
        </w:rPr>
        <w:t>i</w:t>
      </w:r>
      <w:r w:rsidR="00677FB0">
        <w:rPr>
          <w:rFonts w:ascii="Cambria" w:hAnsi="Cambria"/>
          <w:sz w:val="20"/>
          <w:szCs w:val="20"/>
          <w:lang w:val="es-ES"/>
        </w:rPr>
        <w:t>r</w:t>
      </w:r>
      <w:r w:rsidR="006672BF">
        <w:rPr>
          <w:rFonts w:ascii="Cambria" w:hAnsi="Cambria"/>
          <w:sz w:val="20"/>
          <w:szCs w:val="20"/>
          <w:lang w:val="es-ES"/>
        </w:rPr>
        <w:t>r</w:t>
      </w:r>
      <w:r w:rsidR="00677FB0">
        <w:rPr>
          <w:rFonts w:ascii="Cambria" w:hAnsi="Cambria"/>
          <w:sz w:val="20"/>
          <w:szCs w:val="20"/>
          <w:lang w:val="es-ES"/>
        </w:rPr>
        <w:t>azonabilidad del plazo. Ello en tanto</w:t>
      </w:r>
      <w:r w:rsidR="00E150A7">
        <w:rPr>
          <w:rFonts w:ascii="Cambria" w:hAnsi="Cambria"/>
          <w:sz w:val="20"/>
          <w:szCs w:val="20"/>
          <w:lang w:val="es-ES"/>
        </w:rPr>
        <w:t xml:space="preserve"> de la información disponible resulta</w:t>
      </w:r>
      <w:r w:rsidR="00677FB0">
        <w:rPr>
          <w:rFonts w:ascii="Cambria" w:hAnsi="Cambria"/>
          <w:sz w:val="20"/>
          <w:szCs w:val="20"/>
          <w:lang w:val="es-ES"/>
        </w:rPr>
        <w:t xml:space="preserve"> evidente que el Estado no ha cumplido con el deber de investigar</w:t>
      </w:r>
      <w:r w:rsidR="00690A56">
        <w:rPr>
          <w:rFonts w:ascii="Cambria" w:hAnsi="Cambria"/>
          <w:sz w:val="20"/>
          <w:szCs w:val="20"/>
          <w:lang w:val="es-ES"/>
        </w:rPr>
        <w:t xml:space="preserve"> con la debida diligencia y</w:t>
      </w:r>
      <w:r w:rsidR="00677FB0">
        <w:rPr>
          <w:rFonts w:ascii="Cambria" w:hAnsi="Cambria"/>
          <w:sz w:val="20"/>
          <w:szCs w:val="20"/>
          <w:lang w:val="es-ES"/>
        </w:rPr>
        <w:t xml:space="preserve"> en un plazo razonable.</w:t>
      </w:r>
    </w:p>
    <w:p w14:paraId="123B68A4" w14:textId="77777777" w:rsidR="007D6B9C" w:rsidRPr="00CF5065" w:rsidRDefault="007D6B9C" w:rsidP="007D6B9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0C2A1846" w14:textId="77777777" w:rsidR="007D6B9C" w:rsidRPr="00776B4C" w:rsidRDefault="007D6B9C" w:rsidP="007D6B9C">
      <w:pPr>
        <w:pStyle w:val="Ttulo1"/>
        <w:spacing w:before="0"/>
        <w:ind w:hanging="90"/>
        <w:rPr>
          <w:color w:val="auto"/>
          <w:sz w:val="20"/>
          <w:szCs w:val="20"/>
          <w:lang w:val="es-ES_tradnl"/>
        </w:rPr>
      </w:pPr>
      <w:bookmarkStart w:id="22" w:name="_Toc529374058"/>
      <w:r>
        <w:rPr>
          <w:color w:val="auto"/>
          <w:sz w:val="20"/>
          <w:szCs w:val="20"/>
          <w:lang w:val="es-ES_tradnl"/>
        </w:rPr>
        <w:t>CONCLUSIONES Y RECOMENDACIONES</w:t>
      </w:r>
      <w:bookmarkEnd w:id="22"/>
    </w:p>
    <w:p w14:paraId="45F1EDDA" w14:textId="77777777" w:rsidR="007D6B9C" w:rsidRPr="00CF5065" w:rsidRDefault="007D6B9C" w:rsidP="007D6B9C">
      <w:pPr>
        <w:suppressAutoHyphens/>
        <w:rPr>
          <w:rFonts w:ascii="Cambria" w:hAnsi="Cambria"/>
          <w:b/>
          <w:sz w:val="20"/>
          <w:szCs w:val="20"/>
          <w:lang w:val="es-ES_tradnl"/>
        </w:rPr>
      </w:pPr>
    </w:p>
    <w:p w14:paraId="6D3E956A" w14:textId="77777777" w:rsidR="00326B3F" w:rsidRPr="00435C7B" w:rsidRDefault="00326B3F" w:rsidP="007C262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Cambria" w:hAnsi="Cambria"/>
          <w:color w:val="000000"/>
          <w:sz w:val="20"/>
          <w:szCs w:val="20"/>
          <w:lang w:val="es-VE"/>
        </w:rPr>
      </w:pPr>
      <w:r>
        <w:rPr>
          <w:rFonts w:ascii="Cambria" w:hAnsi="Cambria"/>
          <w:color w:val="000000"/>
          <w:sz w:val="20"/>
          <w:szCs w:val="20"/>
          <w:lang w:val="es-VE"/>
        </w:rPr>
        <w:t>En virtud de las anteriores conclusiones, la Comisión concluye</w:t>
      </w:r>
      <w:r w:rsidRPr="00435C7B">
        <w:rPr>
          <w:rFonts w:ascii="Cambria" w:hAnsi="Cambria"/>
          <w:color w:val="000000"/>
          <w:sz w:val="20"/>
          <w:szCs w:val="20"/>
          <w:lang w:val="es-VE"/>
        </w:rPr>
        <w:t xml:space="preserve"> que el Estado es responsable por la violación de los artículos </w:t>
      </w:r>
      <w:r>
        <w:rPr>
          <w:rFonts w:ascii="Cambria" w:hAnsi="Cambria"/>
          <w:color w:val="000000"/>
          <w:sz w:val="20"/>
          <w:szCs w:val="20"/>
          <w:lang w:val="es-VE"/>
        </w:rPr>
        <w:t>4.1</w:t>
      </w:r>
      <w:r w:rsidRPr="00435C7B">
        <w:rPr>
          <w:rFonts w:ascii="Cambria" w:hAnsi="Cambria"/>
          <w:color w:val="000000"/>
          <w:sz w:val="20"/>
          <w:szCs w:val="20"/>
          <w:lang w:val="es-VE"/>
        </w:rPr>
        <w:t xml:space="preserve"> (</w:t>
      </w:r>
      <w:r>
        <w:rPr>
          <w:rFonts w:ascii="Cambria" w:hAnsi="Cambria"/>
          <w:color w:val="000000"/>
          <w:sz w:val="20"/>
          <w:szCs w:val="20"/>
          <w:lang w:val="es-VE"/>
        </w:rPr>
        <w:t>derecho a la vida</w:t>
      </w:r>
      <w:r w:rsidRPr="00435C7B">
        <w:rPr>
          <w:rFonts w:ascii="Cambria" w:hAnsi="Cambria"/>
          <w:color w:val="000000"/>
          <w:sz w:val="20"/>
          <w:szCs w:val="20"/>
          <w:lang w:val="es-VE"/>
        </w:rPr>
        <w:t>)</w:t>
      </w:r>
      <w:r>
        <w:rPr>
          <w:rFonts w:ascii="Cambria" w:hAnsi="Cambria"/>
          <w:color w:val="000000"/>
          <w:sz w:val="20"/>
          <w:szCs w:val="20"/>
          <w:lang w:val="es-VE"/>
        </w:rPr>
        <w:t xml:space="preserve">; 5.1 y 5.4 (derecho a la integridad personal); 7.1, 7.2, 7.3. 7.5 y 7.6 (derecho a la libertad personal); 8.1 y 8.2 (garantías judiciales); y 25.1 (protección judicial) </w:t>
      </w:r>
      <w:r w:rsidRPr="00435C7B">
        <w:rPr>
          <w:rFonts w:ascii="Cambria" w:hAnsi="Cambria"/>
          <w:color w:val="000000"/>
          <w:sz w:val="20"/>
          <w:szCs w:val="20"/>
          <w:lang w:val="es-VE"/>
        </w:rPr>
        <w:t>de la Convención Americana sobre</w:t>
      </w:r>
      <w:r>
        <w:rPr>
          <w:rFonts w:ascii="Cambria" w:hAnsi="Cambria"/>
          <w:color w:val="000000"/>
          <w:sz w:val="20"/>
          <w:szCs w:val="20"/>
          <w:lang w:val="es-VE"/>
        </w:rPr>
        <w:t xml:space="preserve"> Derechos Humanos (en adelante “la Convención Americana”</w:t>
      </w:r>
      <w:r w:rsidRPr="00435C7B">
        <w:rPr>
          <w:rFonts w:ascii="Cambria" w:hAnsi="Cambria"/>
          <w:color w:val="000000"/>
          <w:sz w:val="20"/>
          <w:szCs w:val="20"/>
          <w:lang w:val="es-VE"/>
        </w:rPr>
        <w:t xml:space="preserve"> o “la Convención”), en relación con las </w:t>
      </w:r>
      <w:r>
        <w:rPr>
          <w:rFonts w:ascii="Cambria" w:hAnsi="Cambria"/>
          <w:color w:val="000000"/>
          <w:sz w:val="20"/>
          <w:szCs w:val="20"/>
          <w:lang w:val="es-VE"/>
        </w:rPr>
        <w:t xml:space="preserve">obligaciones establecidas en </w:t>
      </w:r>
      <w:r w:rsidRPr="00435C7B">
        <w:rPr>
          <w:rFonts w:ascii="Cambria" w:hAnsi="Cambria"/>
          <w:color w:val="000000"/>
          <w:sz w:val="20"/>
          <w:szCs w:val="20"/>
          <w:lang w:val="es-VE"/>
        </w:rPr>
        <w:t>los artícu</w:t>
      </w:r>
      <w:r w:rsidRPr="00435C7B">
        <w:rPr>
          <w:rFonts w:ascii="Cambria" w:hAnsi="Cambria"/>
          <w:sz w:val="20"/>
          <w:szCs w:val="20"/>
          <w:lang w:val="es-VE"/>
        </w:rPr>
        <w:t xml:space="preserve">los 1.1 y 2 </w:t>
      </w:r>
      <w:r w:rsidRPr="00435C7B">
        <w:rPr>
          <w:rFonts w:ascii="Cambria" w:hAnsi="Cambria"/>
          <w:color w:val="000000"/>
          <w:sz w:val="20"/>
          <w:szCs w:val="20"/>
          <w:lang w:val="es-VE"/>
        </w:rPr>
        <w:t>del mismo instrumento</w:t>
      </w:r>
      <w:r w:rsidR="00677FB0">
        <w:rPr>
          <w:rFonts w:ascii="Cambria" w:hAnsi="Cambria"/>
          <w:color w:val="000000"/>
          <w:sz w:val="20"/>
          <w:szCs w:val="20"/>
          <w:lang w:val="es-VE"/>
        </w:rPr>
        <w:t>, en perjuicio de las personas indicadas en el presente informe</w:t>
      </w:r>
      <w:r w:rsidRPr="00435C7B">
        <w:rPr>
          <w:rFonts w:ascii="Cambria" w:hAnsi="Cambria"/>
          <w:color w:val="000000"/>
          <w:sz w:val="20"/>
          <w:szCs w:val="20"/>
          <w:lang w:val="es-VE"/>
        </w:rPr>
        <w:t xml:space="preserve">. </w:t>
      </w:r>
    </w:p>
    <w:p w14:paraId="14F6FFD1" w14:textId="77777777" w:rsidR="007D6B9C" w:rsidRDefault="007D6B9C" w:rsidP="007D6B9C">
      <w:pPr>
        <w:suppressAutoHyphens/>
        <w:jc w:val="both"/>
        <w:rPr>
          <w:rFonts w:ascii="Cambria" w:hAnsi="Cambria"/>
          <w:sz w:val="20"/>
          <w:szCs w:val="20"/>
          <w:lang w:val="es-ES_tradnl"/>
        </w:rPr>
      </w:pPr>
    </w:p>
    <w:p w14:paraId="62C0B596" w14:textId="77777777" w:rsidR="009A6A59" w:rsidRDefault="009A6A59" w:rsidP="007D6B9C">
      <w:pPr>
        <w:suppressAutoHyphens/>
        <w:jc w:val="both"/>
        <w:rPr>
          <w:rFonts w:ascii="Cambria" w:hAnsi="Cambria"/>
          <w:sz w:val="20"/>
          <w:szCs w:val="20"/>
          <w:lang w:val="es-ES_tradnl"/>
        </w:rPr>
      </w:pPr>
    </w:p>
    <w:p w14:paraId="16033255" w14:textId="77777777" w:rsidR="007D6B9C" w:rsidRPr="00BA3262" w:rsidRDefault="007D6B9C" w:rsidP="007C2622">
      <w:pPr>
        <w:jc w:val="center"/>
        <w:rPr>
          <w:rFonts w:ascii="Cambria" w:hAnsi="Cambria"/>
          <w:b/>
          <w:sz w:val="20"/>
          <w:szCs w:val="20"/>
          <w:lang w:val="es-ES_tradnl"/>
        </w:rPr>
      </w:pPr>
      <w:r w:rsidRPr="00BA3262">
        <w:rPr>
          <w:rFonts w:ascii="Cambria" w:hAnsi="Cambria"/>
          <w:b/>
          <w:sz w:val="20"/>
          <w:szCs w:val="20"/>
          <w:lang w:val="es-ES_tradnl"/>
        </w:rPr>
        <w:t>LA COMISIÓN INTERAMERICANA DE DERECHOS HUMANOS</w:t>
      </w:r>
    </w:p>
    <w:p w14:paraId="13AE9D81" w14:textId="77777777" w:rsidR="007D6B9C" w:rsidRPr="00BA3262" w:rsidRDefault="007D6B9C" w:rsidP="007C2622">
      <w:pPr>
        <w:jc w:val="center"/>
        <w:rPr>
          <w:rFonts w:ascii="Cambria" w:hAnsi="Cambria"/>
          <w:b/>
          <w:sz w:val="20"/>
          <w:szCs w:val="20"/>
          <w:lang w:val="es-ES_tradnl"/>
        </w:rPr>
      </w:pPr>
      <w:r w:rsidRPr="00BA3262">
        <w:rPr>
          <w:rFonts w:ascii="Cambria" w:hAnsi="Cambria"/>
          <w:b/>
          <w:sz w:val="20"/>
          <w:szCs w:val="20"/>
          <w:lang w:val="es-ES_tradnl"/>
        </w:rPr>
        <w:t xml:space="preserve">RECOMIENDA AL ESTADO DE </w:t>
      </w:r>
      <w:r w:rsidR="00326B3F" w:rsidRPr="00BA3262">
        <w:rPr>
          <w:rFonts w:ascii="Cambria" w:hAnsi="Cambria"/>
          <w:b/>
          <w:sz w:val="20"/>
          <w:szCs w:val="20"/>
          <w:lang w:val="es-ES_tradnl"/>
        </w:rPr>
        <w:t>VENEZUELA</w:t>
      </w:r>
      <w:r w:rsidRPr="00BA3262">
        <w:rPr>
          <w:rFonts w:ascii="Cambria" w:hAnsi="Cambria"/>
          <w:b/>
          <w:sz w:val="20"/>
          <w:szCs w:val="20"/>
          <w:lang w:val="es-ES_tradnl"/>
        </w:rPr>
        <w:t>,</w:t>
      </w:r>
    </w:p>
    <w:p w14:paraId="2CDD214D" w14:textId="77777777" w:rsidR="007D6B9C" w:rsidRPr="00BA3262" w:rsidRDefault="007D6B9C" w:rsidP="007C262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olor w:val="666666"/>
          <w:sz w:val="20"/>
          <w:szCs w:val="20"/>
          <w:bdr w:val="none" w:sz="0" w:space="0" w:color="auto"/>
          <w:lang w:val="es-US"/>
        </w:rPr>
      </w:pPr>
    </w:p>
    <w:p w14:paraId="3A534CBB" w14:textId="77777777" w:rsidR="007D6B9C" w:rsidRPr="00BA3262" w:rsidRDefault="007C2622" w:rsidP="007C2622">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right="720" w:hanging="810"/>
        <w:jc w:val="both"/>
        <w:rPr>
          <w:rFonts w:ascii="Cambria" w:hAnsi="Cambria"/>
          <w:sz w:val="20"/>
          <w:szCs w:val="20"/>
          <w:lang w:val="es-VE"/>
        </w:rPr>
      </w:pPr>
      <w:r w:rsidRPr="00BA3262">
        <w:rPr>
          <w:rFonts w:ascii="Cambria" w:hAnsi="Cambria"/>
          <w:spacing w:val="-2"/>
          <w:sz w:val="20"/>
          <w:szCs w:val="20"/>
          <w:lang w:val="es-CO"/>
        </w:rPr>
        <w:t>Reparar integralmente las consecuencias de las violaciones declaradas en el presente informe, incluyendo las medidas de satisfacción y compensación del daño material e inmaterial.</w:t>
      </w:r>
    </w:p>
    <w:p w14:paraId="28B37FE5" w14:textId="77777777" w:rsidR="007D6B9C" w:rsidRPr="00BA3262" w:rsidRDefault="007D6B9C" w:rsidP="007C262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VE"/>
        </w:rPr>
      </w:pPr>
    </w:p>
    <w:p w14:paraId="093E457E" w14:textId="77777777" w:rsidR="007C2622" w:rsidRDefault="007C2622" w:rsidP="007C2622">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right="720" w:hanging="810"/>
        <w:jc w:val="both"/>
        <w:rPr>
          <w:rFonts w:ascii="Cambria" w:hAnsi="Cambria"/>
          <w:sz w:val="20"/>
          <w:szCs w:val="20"/>
          <w:lang w:val="es-ES"/>
        </w:rPr>
      </w:pPr>
      <w:r w:rsidRPr="00BA3262">
        <w:rPr>
          <w:rFonts w:ascii="Cambria" w:hAnsi="Cambria"/>
          <w:sz w:val="20"/>
          <w:szCs w:val="20"/>
          <w:lang w:val="es-ES"/>
        </w:rPr>
        <w:t xml:space="preserve">Disponer las medidas necesarias para investigar de manera exhaustiva, diligente y en un plazo razonable, todas las responsabilidades derivadas de </w:t>
      </w:r>
      <w:r w:rsidR="00E63AF7">
        <w:rPr>
          <w:rFonts w:ascii="Cambria" w:hAnsi="Cambria"/>
          <w:sz w:val="20"/>
          <w:szCs w:val="20"/>
          <w:lang w:val="es-ES"/>
        </w:rPr>
        <w:t>la muerte de Olimpiades González</w:t>
      </w:r>
      <w:r w:rsidR="002B36FA">
        <w:rPr>
          <w:rFonts w:ascii="Cambria" w:hAnsi="Cambria"/>
          <w:sz w:val="20"/>
          <w:szCs w:val="20"/>
          <w:lang w:val="es-ES"/>
        </w:rPr>
        <w:t>, a fin de esclarecer los hechos e imponer las sanciones que correspondan.</w:t>
      </w:r>
      <w:r w:rsidR="00E63AF7">
        <w:rPr>
          <w:rFonts w:ascii="Cambria" w:hAnsi="Cambria"/>
          <w:sz w:val="20"/>
          <w:szCs w:val="20"/>
          <w:lang w:val="es-ES"/>
        </w:rPr>
        <w:t xml:space="preserve"> </w:t>
      </w:r>
    </w:p>
    <w:p w14:paraId="34FCA952" w14:textId="77777777" w:rsidR="007C3746" w:rsidRDefault="007C3746" w:rsidP="00016223">
      <w:pPr>
        <w:pStyle w:val="Prrafodelista"/>
        <w:rPr>
          <w:rFonts w:ascii="Cambria" w:hAnsi="Cambria"/>
          <w:sz w:val="20"/>
          <w:szCs w:val="20"/>
          <w:lang w:val="es-ES"/>
        </w:rPr>
      </w:pPr>
    </w:p>
    <w:p w14:paraId="5BF8919E" w14:textId="77777777" w:rsidR="007C3746" w:rsidRDefault="003A2911" w:rsidP="007C2622">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right="720" w:hanging="810"/>
        <w:jc w:val="both"/>
        <w:rPr>
          <w:rFonts w:ascii="Cambria" w:hAnsi="Cambria"/>
          <w:sz w:val="20"/>
          <w:szCs w:val="20"/>
          <w:lang w:val="es-ES"/>
        </w:rPr>
      </w:pPr>
      <w:r>
        <w:rPr>
          <w:rFonts w:ascii="Cambria" w:hAnsi="Cambria"/>
          <w:sz w:val="20"/>
          <w:szCs w:val="20"/>
          <w:lang w:val="es-ES"/>
        </w:rPr>
        <w:t>Disponer medidas de no repetición que incluyan: i) las medidas necesarias para que la figura de la detención preventiva, en la práctica, sea la excepción y no la regla y se aplique de manera consistente con los estándares desarrollados en el presente informe;</w:t>
      </w:r>
      <w:r w:rsidR="00CD4D57">
        <w:rPr>
          <w:rFonts w:ascii="Cambria" w:hAnsi="Cambria"/>
          <w:sz w:val="20"/>
          <w:szCs w:val="20"/>
          <w:lang w:val="es-ES"/>
        </w:rPr>
        <w:t xml:space="preserve"> y</w:t>
      </w:r>
      <w:r>
        <w:rPr>
          <w:rFonts w:ascii="Cambria" w:hAnsi="Cambria"/>
          <w:sz w:val="20"/>
          <w:szCs w:val="20"/>
          <w:lang w:val="es-ES"/>
        </w:rPr>
        <w:t xml:space="preserve"> ii) las medidas necesarias para que existan recursos idóneos y efectivos para obtener reparación por violaciones de derechos humanos derivadas del uso indebido de la detención preventiva. </w:t>
      </w:r>
    </w:p>
    <w:p w14:paraId="69F74AA4" w14:textId="77777777" w:rsidR="009A6A59" w:rsidRDefault="009A6A59" w:rsidP="009A6A59">
      <w:pPr>
        <w:pStyle w:val="Prrafodelista"/>
        <w:rPr>
          <w:rFonts w:ascii="Cambria" w:hAnsi="Cambria"/>
          <w:sz w:val="20"/>
          <w:szCs w:val="20"/>
          <w:lang w:val="es-ES"/>
        </w:rPr>
      </w:pPr>
    </w:p>
    <w:p w14:paraId="4EF7532A" w14:textId="77777777" w:rsidR="009A6A59" w:rsidRDefault="009A6A59" w:rsidP="009A6A59">
      <w:pPr>
        <w:ind w:firstLine="720"/>
        <w:jc w:val="both"/>
        <w:rPr>
          <w:rFonts w:ascii="Cambria" w:hAnsi="Cambria"/>
          <w:spacing w:val="-2"/>
          <w:sz w:val="20"/>
          <w:szCs w:val="20"/>
          <w:lang w:val="es-CL"/>
        </w:rPr>
      </w:pPr>
      <w:r>
        <w:rPr>
          <w:rFonts w:ascii="Cambria" w:hAnsi="Cambria"/>
          <w:spacing w:val="-2"/>
          <w:sz w:val="20"/>
          <w:szCs w:val="20"/>
          <w:lang w:val="es-CL"/>
        </w:rPr>
        <w:t xml:space="preserve">Aprobado por la Comisión Interamericana de Derechos Humanos en la ciudad de Boulder, Colorado, a los 5 días del mes de octubre de 2018.  (Firmado): </w:t>
      </w:r>
      <w:proofErr w:type="spellStart"/>
      <w:r>
        <w:rPr>
          <w:rFonts w:ascii="Cambria" w:hAnsi="Cambria"/>
          <w:spacing w:val="-2"/>
          <w:sz w:val="20"/>
          <w:szCs w:val="20"/>
          <w:lang w:val="es-CL"/>
        </w:rPr>
        <w:t>Margarette</w:t>
      </w:r>
      <w:proofErr w:type="spellEnd"/>
      <w:r>
        <w:rPr>
          <w:rFonts w:ascii="Cambria" w:hAnsi="Cambria"/>
          <w:spacing w:val="-2"/>
          <w:sz w:val="20"/>
          <w:szCs w:val="20"/>
          <w:lang w:val="es-CL"/>
        </w:rPr>
        <w:t xml:space="preserve"> May </w:t>
      </w:r>
      <w:proofErr w:type="spellStart"/>
      <w:r>
        <w:rPr>
          <w:rFonts w:ascii="Cambria" w:hAnsi="Cambria"/>
          <w:spacing w:val="-2"/>
          <w:sz w:val="20"/>
          <w:szCs w:val="20"/>
          <w:lang w:val="es-CL"/>
        </w:rPr>
        <w:t>Macaulay</w:t>
      </w:r>
      <w:proofErr w:type="spellEnd"/>
      <w:r>
        <w:rPr>
          <w:rFonts w:ascii="Cambria" w:hAnsi="Cambria"/>
          <w:spacing w:val="-2"/>
          <w:sz w:val="20"/>
          <w:szCs w:val="20"/>
          <w:lang w:val="es-CL"/>
        </w:rPr>
        <w:t xml:space="preserve">, </w:t>
      </w:r>
      <w:proofErr w:type="gramStart"/>
      <w:r>
        <w:rPr>
          <w:rFonts w:ascii="Cambria" w:hAnsi="Cambria"/>
          <w:spacing w:val="-2"/>
          <w:sz w:val="20"/>
          <w:szCs w:val="20"/>
          <w:lang w:val="es-CL"/>
        </w:rPr>
        <w:t>Presidenta</w:t>
      </w:r>
      <w:proofErr w:type="gramEnd"/>
      <w:r>
        <w:rPr>
          <w:rFonts w:ascii="Cambria" w:hAnsi="Cambria"/>
          <w:spacing w:val="-2"/>
          <w:sz w:val="20"/>
          <w:szCs w:val="20"/>
          <w:lang w:val="es-CL"/>
        </w:rPr>
        <w:t xml:space="preserve">; Esmeralda Arosemena de </w:t>
      </w:r>
      <w:proofErr w:type="spellStart"/>
      <w:r>
        <w:rPr>
          <w:rFonts w:ascii="Cambria" w:hAnsi="Cambria"/>
          <w:spacing w:val="-2"/>
          <w:sz w:val="20"/>
          <w:szCs w:val="20"/>
          <w:lang w:val="es-CL"/>
        </w:rPr>
        <w:t>Troitiño</w:t>
      </w:r>
      <w:proofErr w:type="spellEnd"/>
      <w:r>
        <w:rPr>
          <w:rFonts w:ascii="Cambria" w:hAnsi="Cambria"/>
          <w:spacing w:val="-2"/>
          <w:sz w:val="20"/>
          <w:szCs w:val="20"/>
          <w:lang w:val="es-CL"/>
        </w:rPr>
        <w:t xml:space="preserve">, Primera Vicepresidenta; Francisco José Eguiguren </w:t>
      </w:r>
      <w:proofErr w:type="spellStart"/>
      <w:r>
        <w:rPr>
          <w:rFonts w:ascii="Cambria" w:hAnsi="Cambria"/>
          <w:spacing w:val="-2"/>
          <w:sz w:val="20"/>
          <w:szCs w:val="20"/>
          <w:lang w:val="es-CL"/>
        </w:rPr>
        <w:t>Praeli</w:t>
      </w:r>
      <w:proofErr w:type="spellEnd"/>
      <w:r>
        <w:rPr>
          <w:rFonts w:ascii="Cambria" w:hAnsi="Cambria"/>
          <w:spacing w:val="-2"/>
          <w:sz w:val="20"/>
          <w:szCs w:val="20"/>
          <w:lang w:val="es-CL"/>
        </w:rPr>
        <w:t xml:space="preserve">; Joel Hernández García, Antonia Urrejola y Flavia </w:t>
      </w:r>
      <w:proofErr w:type="spellStart"/>
      <w:r>
        <w:rPr>
          <w:rFonts w:ascii="Cambria" w:hAnsi="Cambria"/>
          <w:spacing w:val="-2"/>
          <w:sz w:val="20"/>
          <w:szCs w:val="20"/>
          <w:lang w:val="es-CL"/>
        </w:rPr>
        <w:t>Piovesan</w:t>
      </w:r>
      <w:proofErr w:type="spellEnd"/>
      <w:r>
        <w:rPr>
          <w:rFonts w:ascii="Cambria" w:hAnsi="Cambria"/>
          <w:spacing w:val="-2"/>
          <w:sz w:val="20"/>
          <w:szCs w:val="20"/>
          <w:lang w:val="es-CL"/>
        </w:rPr>
        <w:t>, Miembros de la Comisión.</w:t>
      </w:r>
      <w:r>
        <w:rPr>
          <w:rFonts w:ascii="Cambria" w:hAnsi="Cambria"/>
          <w:sz w:val="20"/>
          <w:szCs w:val="20"/>
          <w:lang w:val="es-CL"/>
        </w:rPr>
        <w:t xml:space="preserve"> </w:t>
      </w:r>
    </w:p>
    <w:p w14:paraId="013E4715" w14:textId="77777777" w:rsidR="009A6A59" w:rsidRPr="009A6A59" w:rsidRDefault="009A6A59" w:rsidP="009A6A59">
      <w:pPr>
        <w:ind w:firstLine="720"/>
        <w:jc w:val="both"/>
        <w:rPr>
          <w:rFonts w:ascii="Cambria" w:hAnsi="Cambria"/>
          <w:spacing w:val="-2"/>
          <w:sz w:val="20"/>
          <w:szCs w:val="20"/>
          <w:lang w:val="es-CL"/>
        </w:rPr>
      </w:pPr>
    </w:p>
    <w:p w14:paraId="4D39956B" w14:textId="77777777" w:rsidR="009A6A59" w:rsidRDefault="009A6A59" w:rsidP="009A6A59">
      <w:pPr>
        <w:ind w:firstLine="720"/>
        <w:jc w:val="both"/>
        <w:rPr>
          <w:rFonts w:ascii="Cambria" w:hAnsi="Cambria"/>
          <w:sz w:val="20"/>
          <w:szCs w:val="20"/>
          <w:lang w:val="es-CL"/>
        </w:rPr>
      </w:pPr>
      <w:r>
        <w:rPr>
          <w:rFonts w:ascii="Cambria" w:hAnsi="Cambria"/>
          <w:sz w:val="20"/>
          <w:szCs w:val="20"/>
          <w:lang w:val="es-CL"/>
        </w:rPr>
        <w:t xml:space="preserve">El que suscribe, </w:t>
      </w:r>
      <w:r w:rsidRPr="00A95E6B">
        <w:rPr>
          <w:rFonts w:ascii="Cambria" w:hAnsi="Cambria" w:cs="Arial"/>
          <w:sz w:val="20"/>
          <w:szCs w:val="20"/>
          <w:lang w:val="es-PE"/>
        </w:rPr>
        <w:t>Mario López-</w:t>
      </w:r>
      <w:proofErr w:type="spellStart"/>
      <w:r w:rsidRPr="00A95E6B">
        <w:rPr>
          <w:rFonts w:ascii="Cambria" w:hAnsi="Cambria" w:cs="Arial"/>
          <w:sz w:val="20"/>
          <w:szCs w:val="20"/>
          <w:lang w:val="es-PE"/>
        </w:rPr>
        <w:t>Garelli</w:t>
      </w:r>
      <w:proofErr w:type="spellEnd"/>
      <w:r>
        <w:rPr>
          <w:rFonts w:ascii="Cambria" w:hAnsi="Cambria"/>
          <w:sz w:val="20"/>
          <w:szCs w:val="20"/>
          <w:lang w:val="es-CL"/>
        </w:rPr>
        <w:t>, por autorización del Secretario Ejecutivo de la Comisión Interamericana de Derechos Humanos, de conformidad con el artículo 49 del Reglamento de la Comisión, certifica que es copia fiel del original depositado en los archivos de la Secretaría de la CIDH.</w:t>
      </w:r>
    </w:p>
    <w:p w14:paraId="35260AD5" w14:textId="77777777" w:rsidR="009A6A59" w:rsidRDefault="009A6A59" w:rsidP="009A6A59">
      <w:pPr>
        <w:rPr>
          <w:rFonts w:ascii="Cambria" w:hAnsi="Cambria"/>
          <w:sz w:val="20"/>
          <w:szCs w:val="20"/>
          <w:lang w:val="es-PE"/>
        </w:rPr>
      </w:pPr>
    </w:p>
    <w:p w14:paraId="0F7A4DF8" w14:textId="77777777" w:rsidR="009A6A59" w:rsidRDefault="009A6A59" w:rsidP="009A6A59">
      <w:pPr>
        <w:rPr>
          <w:rFonts w:ascii="Cambria" w:hAnsi="Cambria"/>
          <w:sz w:val="20"/>
          <w:szCs w:val="20"/>
          <w:lang w:val="es-PE"/>
        </w:rPr>
      </w:pPr>
    </w:p>
    <w:p w14:paraId="620DEC99" w14:textId="77777777" w:rsidR="009A6A59" w:rsidRDefault="009A6A59" w:rsidP="009A6A59">
      <w:pPr>
        <w:rPr>
          <w:rFonts w:ascii="Cambria" w:hAnsi="Cambria"/>
          <w:sz w:val="20"/>
          <w:szCs w:val="20"/>
          <w:lang w:val="es-PE"/>
        </w:rPr>
      </w:pPr>
    </w:p>
    <w:p w14:paraId="4B3A8AB0" w14:textId="77777777" w:rsidR="009A6A59" w:rsidRDefault="009A6A59" w:rsidP="009A6A59">
      <w:pPr>
        <w:rPr>
          <w:rFonts w:ascii="Cambria" w:hAnsi="Cambria"/>
          <w:sz w:val="20"/>
          <w:szCs w:val="20"/>
          <w:lang w:val="es-PE"/>
        </w:rPr>
      </w:pPr>
    </w:p>
    <w:p w14:paraId="1FE76B5D" w14:textId="77777777" w:rsidR="009A6A59" w:rsidRPr="00A95E6B" w:rsidRDefault="009A6A59" w:rsidP="009A6A59">
      <w:pPr>
        <w:rPr>
          <w:rFonts w:ascii="Cambria" w:hAnsi="Cambria"/>
          <w:sz w:val="20"/>
          <w:szCs w:val="20"/>
          <w:lang w:val="es-PE"/>
        </w:rPr>
      </w:pPr>
    </w:p>
    <w:p w14:paraId="0C0E9812" w14:textId="77777777" w:rsidR="009A6A59" w:rsidRPr="00A95E6B" w:rsidRDefault="009A6A59" w:rsidP="009A6A59">
      <w:pPr>
        <w:ind w:left="2160" w:firstLine="720"/>
        <w:jc w:val="center"/>
        <w:rPr>
          <w:rFonts w:ascii="Cambria" w:hAnsi="Cambria"/>
          <w:sz w:val="20"/>
          <w:szCs w:val="20"/>
          <w:lang w:val="es-PE"/>
        </w:rPr>
      </w:pPr>
      <w:r w:rsidRPr="00A95E6B">
        <w:rPr>
          <w:rFonts w:ascii="Cambria" w:hAnsi="Cambria" w:cs="Arial"/>
          <w:sz w:val="20"/>
          <w:szCs w:val="20"/>
          <w:lang w:val="es-PE"/>
        </w:rPr>
        <w:t>Mario López-</w:t>
      </w:r>
      <w:proofErr w:type="spellStart"/>
      <w:r w:rsidRPr="00A95E6B">
        <w:rPr>
          <w:rFonts w:ascii="Cambria" w:hAnsi="Cambria" w:cs="Arial"/>
          <w:sz w:val="20"/>
          <w:szCs w:val="20"/>
          <w:lang w:val="es-PE"/>
        </w:rPr>
        <w:t>Garelli</w:t>
      </w:r>
      <w:proofErr w:type="spellEnd"/>
    </w:p>
    <w:p w14:paraId="26EC9061" w14:textId="77777777" w:rsidR="009A6A59" w:rsidRPr="00A95E6B" w:rsidRDefault="009A6A59" w:rsidP="009A6A59">
      <w:pPr>
        <w:ind w:left="2160" w:firstLine="720"/>
        <w:jc w:val="center"/>
        <w:rPr>
          <w:rFonts w:ascii="Cambria" w:hAnsi="Cambria"/>
          <w:sz w:val="20"/>
          <w:szCs w:val="20"/>
          <w:lang w:val="es-PE"/>
        </w:rPr>
      </w:pPr>
      <w:r>
        <w:rPr>
          <w:rFonts w:ascii="Cambria" w:hAnsi="Cambria"/>
          <w:sz w:val="20"/>
          <w:szCs w:val="20"/>
          <w:lang w:val="es-CL"/>
        </w:rPr>
        <w:t>Por autorización del Secretario Ejecutivo</w:t>
      </w:r>
    </w:p>
    <w:p w14:paraId="5C6BA8A9" w14:textId="77777777" w:rsidR="009A6A59" w:rsidRPr="00A54FC1" w:rsidRDefault="009A6A59" w:rsidP="009A6A59">
      <w:p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jc w:val="both"/>
        <w:rPr>
          <w:rFonts w:ascii="Cambria" w:eastAsia="Times New Roman" w:hAnsi="Cambria"/>
          <w:sz w:val="20"/>
          <w:szCs w:val="20"/>
          <w:bdr w:val="none" w:sz="0" w:space="0" w:color="auto"/>
          <w:lang w:val="es-PE"/>
        </w:rPr>
      </w:pPr>
    </w:p>
    <w:p w14:paraId="293249EA" w14:textId="77777777" w:rsidR="009A6A59" w:rsidRPr="009A6A59" w:rsidRDefault="009A6A59" w:rsidP="009A6A5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right="720"/>
        <w:jc w:val="both"/>
        <w:rPr>
          <w:rFonts w:ascii="Cambria" w:hAnsi="Cambria"/>
          <w:sz w:val="20"/>
          <w:szCs w:val="20"/>
          <w:lang w:val="es-PE"/>
        </w:rPr>
      </w:pPr>
    </w:p>
    <w:sectPr w:rsidR="009A6A59" w:rsidRPr="009A6A59" w:rsidSect="00AC1705">
      <w:footerReference w:type="default" r:id="rId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B80D2" w14:textId="77777777" w:rsidR="007574CB" w:rsidRDefault="007574CB">
      <w:r>
        <w:separator/>
      </w:r>
    </w:p>
  </w:endnote>
  <w:endnote w:type="continuationSeparator" w:id="0">
    <w:p w14:paraId="61965D7E" w14:textId="77777777" w:rsidR="007574CB" w:rsidRDefault="00757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Italic">
    <w:charset w:val="00"/>
    <w:family w:val="auto"/>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A3936" w14:textId="77777777" w:rsidR="00BA3262" w:rsidRPr="00BA3262" w:rsidRDefault="00BA3262">
    <w:pPr>
      <w:pStyle w:val="Piedepgina"/>
      <w:jc w:val="center"/>
      <w:rPr>
        <w:sz w:val="16"/>
        <w:szCs w:val="16"/>
      </w:rPr>
    </w:pPr>
    <w:r w:rsidRPr="00BA3262">
      <w:rPr>
        <w:sz w:val="16"/>
        <w:szCs w:val="16"/>
      </w:rPr>
      <w:fldChar w:fldCharType="begin"/>
    </w:r>
    <w:r w:rsidRPr="00BA3262">
      <w:rPr>
        <w:sz w:val="16"/>
        <w:szCs w:val="16"/>
      </w:rPr>
      <w:instrText xml:space="preserve"> PAGE   \* MERGEFORMAT </w:instrText>
    </w:r>
    <w:r w:rsidRPr="00BA3262">
      <w:rPr>
        <w:sz w:val="16"/>
        <w:szCs w:val="16"/>
      </w:rPr>
      <w:fldChar w:fldCharType="separate"/>
    </w:r>
    <w:r w:rsidR="00E30B50">
      <w:rPr>
        <w:noProof/>
        <w:sz w:val="16"/>
        <w:szCs w:val="16"/>
      </w:rPr>
      <w:t>2</w:t>
    </w:r>
    <w:r w:rsidRPr="00BA3262">
      <w:rPr>
        <w:noProof/>
        <w:sz w:val="16"/>
        <w:szCs w:val="16"/>
      </w:rPr>
      <w:fldChar w:fldCharType="end"/>
    </w:r>
  </w:p>
  <w:p w14:paraId="73E1B045" w14:textId="77777777" w:rsidR="00D329F5" w:rsidRPr="00D329F5" w:rsidRDefault="00D329F5">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6356B" w14:textId="77777777" w:rsidR="007574CB" w:rsidRPr="00CF5065" w:rsidRDefault="007574CB">
      <w:pPr>
        <w:rPr>
          <w:rFonts w:ascii="Cambria" w:hAnsi="Cambria"/>
          <w:sz w:val="16"/>
          <w:szCs w:val="16"/>
        </w:rPr>
      </w:pPr>
      <w:r w:rsidRPr="00CF5065">
        <w:rPr>
          <w:rFonts w:ascii="Cambria" w:hAnsi="Cambria"/>
          <w:sz w:val="16"/>
          <w:szCs w:val="16"/>
        </w:rPr>
        <w:separator/>
      </w:r>
    </w:p>
  </w:footnote>
  <w:footnote w:type="continuationSeparator" w:id="0">
    <w:p w14:paraId="32383783" w14:textId="77777777" w:rsidR="007574CB" w:rsidRPr="00CF5065" w:rsidRDefault="007574CB" w:rsidP="000F35ED">
      <w:pPr>
        <w:rPr>
          <w:rFonts w:ascii="Cambria" w:hAnsi="Cambria"/>
          <w:sz w:val="16"/>
          <w:szCs w:val="16"/>
        </w:rPr>
      </w:pPr>
      <w:r w:rsidRPr="00CF5065">
        <w:rPr>
          <w:rFonts w:ascii="Cambria" w:hAnsi="Cambria"/>
          <w:sz w:val="16"/>
          <w:szCs w:val="16"/>
        </w:rPr>
        <w:separator/>
      </w:r>
    </w:p>
    <w:p w14:paraId="31B66918" w14:textId="77777777" w:rsidR="007574CB" w:rsidRPr="00CF5065" w:rsidRDefault="007574CB" w:rsidP="000F35ED">
      <w:pPr>
        <w:pStyle w:val="Piedepgina"/>
        <w:rPr>
          <w:sz w:val="16"/>
          <w:szCs w:val="16"/>
        </w:rPr>
      </w:pPr>
      <w:r w:rsidRPr="00CF5065">
        <w:rPr>
          <w:sz w:val="16"/>
          <w:szCs w:val="16"/>
        </w:rPr>
        <w:t>[… continuación]</w:t>
      </w:r>
    </w:p>
  </w:footnote>
  <w:footnote w:type="continuationNotice" w:id="1">
    <w:p w14:paraId="68A31EB3" w14:textId="77777777" w:rsidR="007574CB" w:rsidRPr="00CF5065" w:rsidRDefault="007574CB" w:rsidP="000F35ED">
      <w:pPr>
        <w:jc w:val="right"/>
        <w:rPr>
          <w:rFonts w:ascii="Cambria" w:hAnsi="Cambria"/>
          <w:sz w:val="16"/>
          <w:szCs w:val="16"/>
          <w:lang w:val="es-ES"/>
        </w:rPr>
      </w:pPr>
      <w:r w:rsidRPr="00CF5065">
        <w:rPr>
          <w:rFonts w:ascii="Cambria" w:hAnsi="Cambria"/>
          <w:sz w:val="16"/>
          <w:szCs w:val="16"/>
          <w:lang w:val="es-ES"/>
        </w:rPr>
        <w:t>[continúa…]</w:t>
      </w:r>
    </w:p>
  </w:footnote>
  <w:footnote w:id="2">
    <w:p w14:paraId="43A78845" w14:textId="77777777" w:rsidR="00D329F5" w:rsidRPr="00256467" w:rsidRDefault="00D329F5" w:rsidP="00B26282">
      <w:pPr>
        <w:pStyle w:val="Textonotapie"/>
        <w:jc w:val="both"/>
        <w:rPr>
          <w:rFonts w:ascii="Cambria" w:hAnsi="Cambria"/>
          <w:sz w:val="16"/>
          <w:szCs w:val="16"/>
          <w:lang w:val="es-US"/>
        </w:rPr>
      </w:pPr>
      <w:r w:rsidRPr="00256467">
        <w:rPr>
          <w:rStyle w:val="Refdenotaalpie"/>
          <w:rFonts w:ascii="Cambria" w:hAnsi="Cambria"/>
          <w:sz w:val="16"/>
          <w:szCs w:val="16"/>
        </w:rPr>
        <w:footnoteRef/>
      </w:r>
      <w:r w:rsidRPr="00256467">
        <w:rPr>
          <w:rFonts w:ascii="Cambria" w:hAnsi="Cambria"/>
          <w:sz w:val="16"/>
          <w:szCs w:val="16"/>
          <w:lang w:val="es-US"/>
        </w:rPr>
        <w:t xml:space="preserve"> Con posterioridad Maria Antonia </w:t>
      </w:r>
      <w:proofErr w:type="gramStart"/>
      <w:r w:rsidRPr="00256467">
        <w:rPr>
          <w:rFonts w:ascii="Cambria" w:hAnsi="Cambria"/>
          <w:sz w:val="16"/>
          <w:szCs w:val="16"/>
          <w:lang w:val="es-US"/>
        </w:rPr>
        <w:t>González  y</w:t>
      </w:r>
      <w:proofErr w:type="gramEnd"/>
      <w:r w:rsidRPr="00256467">
        <w:rPr>
          <w:rFonts w:ascii="Cambria" w:hAnsi="Cambria"/>
          <w:sz w:val="16"/>
          <w:szCs w:val="16"/>
          <w:lang w:val="es-US"/>
        </w:rPr>
        <w:t xml:space="preserve"> Dan William Barliza González se incorporaron como parte </w:t>
      </w:r>
      <w:r w:rsidR="00862E47" w:rsidRPr="00256467">
        <w:rPr>
          <w:rFonts w:ascii="Cambria" w:hAnsi="Cambria"/>
          <w:sz w:val="16"/>
          <w:szCs w:val="16"/>
          <w:lang w:val="es-US"/>
        </w:rPr>
        <w:t>peticionaria</w:t>
      </w:r>
      <w:r w:rsidRPr="00256467">
        <w:rPr>
          <w:rFonts w:ascii="Cambria" w:hAnsi="Cambria"/>
          <w:sz w:val="16"/>
          <w:szCs w:val="16"/>
          <w:lang w:val="es-US"/>
        </w:rPr>
        <w:t>.</w:t>
      </w:r>
    </w:p>
  </w:footnote>
  <w:footnote w:id="3">
    <w:p w14:paraId="0D238547" w14:textId="77777777" w:rsidR="00D329F5" w:rsidRPr="00256467" w:rsidRDefault="00D329F5" w:rsidP="00B26282">
      <w:pPr>
        <w:pStyle w:val="Textonotapie"/>
        <w:jc w:val="both"/>
        <w:rPr>
          <w:rFonts w:ascii="Cambria" w:hAnsi="Cambria"/>
          <w:color w:val="auto"/>
          <w:sz w:val="16"/>
          <w:szCs w:val="16"/>
          <w:lang w:val="es-US"/>
        </w:rPr>
      </w:pPr>
      <w:r w:rsidRPr="00256467">
        <w:rPr>
          <w:rStyle w:val="Refdenotaalpie"/>
          <w:rFonts w:ascii="Cambria" w:hAnsi="Cambria"/>
          <w:sz w:val="16"/>
          <w:szCs w:val="16"/>
        </w:rPr>
        <w:footnoteRef/>
      </w:r>
      <w:r w:rsidRPr="00256467">
        <w:rPr>
          <w:rFonts w:ascii="Cambria" w:hAnsi="Cambria"/>
          <w:sz w:val="16"/>
          <w:szCs w:val="16"/>
          <w:lang w:val="es-MX"/>
        </w:rPr>
        <w:t xml:space="preserve"> </w:t>
      </w:r>
      <w:r w:rsidRPr="00256467">
        <w:rPr>
          <w:rFonts w:ascii="Cambria" w:hAnsi="Cambria"/>
          <w:color w:val="auto"/>
          <w:sz w:val="16"/>
          <w:szCs w:val="16"/>
          <w:lang w:val="es-MX"/>
        </w:rPr>
        <w:t xml:space="preserve">CIDH. Informe No. 121/11. </w:t>
      </w:r>
      <w:r w:rsidRPr="00256467">
        <w:rPr>
          <w:rFonts w:ascii="Cambria" w:hAnsi="Cambria"/>
          <w:color w:val="auto"/>
          <w:sz w:val="16"/>
          <w:szCs w:val="16"/>
          <w:lang w:val="es-US"/>
        </w:rPr>
        <w:t xml:space="preserve">Caso 12.829. Admisibilidad. María Angélica González, Olimpiades González y Familia. Venezuela. 19 de octubre de 2011. En dicho informe se admitieron los artículos 4, 5, 7, 8 y 25 de la Convención Americana en relación con los artículos 1.1 y 2 del mismo instrumento. Asimismo, se inadmitió el artículo 10 de la Convención Americana.   </w:t>
      </w:r>
    </w:p>
  </w:footnote>
  <w:footnote w:id="4">
    <w:p w14:paraId="26BCAFD7"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w:t>
      </w:r>
      <w:r w:rsidRPr="00256467">
        <w:rPr>
          <w:rFonts w:ascii="Cambria" w:hAnsi="Cambria"/>
          <w:sz w:val="16"/>
          <w:szCs w:val="16"/>
          <w:lang w:val="es-MX"/>
        </w:rPr>
        <w:t xml:space="preserve">. Comunicación de la parte </w:t>
      </w:r>
      <w:r w:rsidR="00862E47" w:rsidRPr="00256467">
        <w:rPr>
          <w:rFonts w:ascii="Cambria" w:hAnsi="Cambria"/>
          <w:sz w:val="16"/>
          <w:szCs w:val="16"/>
          <w:lang w:val="es-MX"/>
        </w:rPr>
        <w:t>peticionaria</w:t>
      </w:r>
      <w:r w:rsidRPr="00256467">
        <w:rPr>
          <w:rFonts w:ascii="Cambria" w:hAnsi="Cambria"/>
          <w:sz w:val="16"/>
          <w:szCs w:val="16"/>
          <w:lang w:val="es-MX"/>
        </w:rPr>
        <w:t xml:space="preserve"> de 22 de junio de 2006. Anexo a la comunicación del Estado de 11 de mayo de 2012. </w:t>
      </w:r>
    </w:p>
  </w:footnote>
  <w:footnote w:id="5">
    <w:p w14:paraId="2FB283AD"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2</w:t>
      </w:r>
      <w:r w:rsidRPr="00256467">
        <w:rPr>
          <w:rFonts w:ascii="Cambria" w:hAnsi="Cambria"/>
          <w:sz w:val="16"/>
          <w:szCs w:val="16"/>
          <w:lang w:val="es-MX"/>
        </w:rPr>
        <w:t xml:space="preserve">. Resoluciones No. 075 y 916 del Juzgado Primero de Primera Instancia en lo Penal Circunscripción Judicial </w:t>
      </w:r>
      <w:proofErr w:type="gramStart"/>
      <w:r w:rsidRPr="00256467">
        <w:rPr>
          <w:rFonts w:ascii="Cambria" w:hAnsi="Cambria"/>
          <w:sz w:val="16"/>
          <w:szCs w:val="16"/>
          <w:lang w:val="es-MX"/>
        </w:rPr>
        <w:t>del  Estado</w:t>
      </w:r>
      <w:proofErr w:type="gramEnd"/>
      <w:r w:rsidRPr="00256467">
        <w:rPr>
          <w:rFonts w:ascii="Cambria" w:hAnsi="Cambria"/>
          <w:sz w:val="16"/>
          <w:szCs w:val="16"/>
          <w:lang w:val="es-MX"/>
        </w:rPr>
        <w:t xml:space="preserve"> Zulia Maracaibo  del 10 de diciembre de 1998. Anexo a la comunicación de la parte </w:t>
      </w:r>
      <w:r w:rsidR="00862E47" w:rsidRPr="00256467">
        <w:rPr>
          <w:rFonts w:ascii="Cambria" w:hAnsi="Cambria"/>
          <w:sz w:val="16"/>
          <w:szCs w:val="16"/>
          <w:lang w:val="es-MX"/>
        </w:rPr>
        <w:t>peticionaria</w:t>
      </w:r>
      <w:r w:rsidRPr="00256467">
        <w:rPr>
          <w:rFonts w:ascii="Cambria" w:hAnsi="Cambria"/>
          <w:sz w:val="16"/>
          <w:szCs w:val="16"/>
          <w:lang w:val="es-MX"/>
        </w:rPr>
        <w:t xml:space="preserve"> de 22 de agosto de 2008. </w:t>
      </w:r>
    </w:p>
  </w:footnote>
  <w:footnote w:id="6">
    <w:p w14:paraId="6E726301"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3</w:t>
      </w:r>
      <w:r w:rsidRPr="00256467">
        <w:rPr>
          <w:rFonts w:ascii="Cambria" w:hAnsi="Cambria"/>
          <w:sz w:val="16"/>
          <w:szCs w:val="16"/>
          <w:lang w:val="es-MX"/>
        </w:rPr>
        <w:t xml:space="preserve">. Comunicación de la parte </w:t>
      </w:r>
      <w:r w:rsidR="00862E47" w:rsidRPr="00256467">
        <w:rPr>
          <w:rFonts w:ascii="Cambria" w:hAnsi="Cambria"/>
          <w:sz w:val="16"/>
          <w:szCs w:val="16"/>
          <w:lang w:val="es-MX"/>
        </w:rPr>
        <w:t>peticionaria</w:t>
      </w:r>
      <w:r w:rsidRPr="00256467">
        <w:rPr>
          <w:rFonts w:ascii="Cambria" w:hAnsi="Cambria"/>
          <w:sz w:val="16"/>
          <w:szCs w:val="16"/>
          <w:lang w:val="es-MX"/>
        </w:rPr>
        <w:t xml:space="preserve"> de 22 de junio de 2006. Comunicación del Estado de 11 de mayo de 2012. </w:t>
      </w:r>
    </w:p>
  </w:footnote>
  <w:footnote w:id="7">
    <w:p w14:paraId="354D116E"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w:t>
      </w:r>
      <w:r w:rsidRPr="00256467">
        <w:rPr>
          <w:rFonts w:ascii="Cambria" w:hAnsi="Cambria"/>
          <w:sz w:val="16"/>
          <w:szCs w:val="16"/>
          <w:lang w:val="es-MX"/>
        </w:rPr>
        <w:t>. Comunicación del Estado del 11 de mayo de 2012.</w:t>
      </w:r>
    </w:p>
  </w:footnote>
  <w:footnote w:id="8">
    <w:p w14:paraId="68A26A5F"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w:t>
      </w:r>
      <w:r w:rsidRPr="00256467">
        <w:rPr>
          <w:rFonts w:ascii="Cambria" w:hAnsi="Cambria"/>
          <w:sz w:val="16"/>
          <w:szCs w:val="16"/>
          <w:lang w:val="es-MX"/>
        </w:rPr>
        <w:t>. Comunicación del Estado del 11 de mayo de 2012.</w:t>
      </w:r>
    </w:p>
  </w:footnote>
  <w:footnote w:id="9">
    <w:p w14:paraId="39D7AE4E"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w:t>
      </w:r>
      <w:r w:rsidRPr="00256467">
        <w:rPr>
          <w:rFonts w:ascii="Cambria" w:hAnsi="Cambria"/>
          <w:sz w:val="16"/>
          <w:szCs w:val="16"/>
          <w:lang w:val="es-MX"/>
        </w:rPr>
        <w:t>. Comunicación del Estado del 11 de mayo de 2012.</w:t>
      </w:r>
    </w:p>
  </w:footnote>
  <w:footnote w:id="10">
    <w:p w14:paraId="2246C07A"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Acta de Inspección Ocular del Cuerpo Técnico de Policía Judicial Delegación de Zulia Brigada de Criminalística de 23 de noviembre de 1998. Anexo a la comunicación del</w:t>
      </w:r>
      <w:r w:rsidR="0089537D" w:rsidRPr="00256467">
        <w:rPr>
          <w:rFonts w:ascii="Cambria" w:hAnsi="Cambria"/>
          <w:sz w:val="16"/>
          <w:szCs w:val="16"/>
          <w:lang w:val="es-MX"/>
        </w:rPr>
        <w:t xml:space="preserve"> Estado de 17 de mayo de 2012. </w:t>
      </w:r>
      <w:r w:rsidRPr="00256467">
        <w:rPr>
          <w:rFonts w:ascii="Cambria" w:hAnsi="Cambria"/>
          <w:sz w:val="16"/>
          <w:szCs w:val="16"/>
          <w:lang w:val="es-MX"/>
        </w:rPr>
        <w:t>CD, anexo 5, pág.10.</w:t>
      </w:r>
    </w:p>
  </w:footnote>
  <w:footnote w:id="11">
    <w:p w14:paraId="0F52CF81"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Acta de Competencia del Juzgado Cuarto de Primera Instancia en lo Penal Circunscripción Judicial del Estado de Zulia de 23 de noviembre de 1998. Anexo a la comunicación del</w:t>
      </w:r>
      <w:r w:rsidR="0089537D" w:rsidRPr="00256467">
        <w:rPr>
          <w:rFonts w:ascii="Cambria" w:hAnsi="Cambria"/>
          <w:sz w:val="16"/>
          <w:szCs w:val="16"/>
          <w:lang w:val="es-MX"/>
        </w:rPr>
        <w:t xml:space="preserve"> Estado de 17 de mayo de 2012. </w:t>
      </w:r>
      <w:r w:rsidRPr="00256467">
        <w:rPr>
          <w:rFonts w:ascii="Cambria" w:hAnsi="Cambria"/>
          <w:sz w:val="16"/>
          <w:szCs w:val="16"/>
          <w:lang w:val="es-MX"/>
        </w:rPr>
        <w:t>CD, anexo 5, pág. 4.</w:t>
      </w:r>
    </w:p>
  </w:footnote>
  <w:footnote w:id="12">
    <w:p w14:paraId="76EF50C4"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Acta Policial del Cuerpo Técnico de Policía Judicial Delegación de Zulia Brigada Contra Homicidios de 23 de noviembre de 1998. Anexo a la comunicación del Estado de 17 de mayo de 2012.  CD, anexo 5, págs. 6-7.</w:t>
      </w:r>
    </w:p>
  </w:footnote>
  <w:footnote w:id="13">
    <w:p w14:paraId="55FA654A"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Acta de audiencia y declaraciones del Juzgado Primero de Primera Instancia de lo Penal Circunscripción Judicial del Estado de Zulia de 4 de diciembre de 1998. Anexo a la comunicación del Estado de 17 de mayo de 2012. CD. Anexo 5, pág. 64.</w:t>
      </w:r>
    </w:p>
  </w:footnote>
  <w:footnote w:id="14">
    <w:p w14:paraId="020CABEB"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Acta de audiencia y declaraciones del Juzgado Primero de Primera Instancia de lo Penal Circunscripción Judicial del Estado de Zulia de 4 de diciembre de 1998. Anexo a la comunicación del Estado de 17 de mayo de 2012. CD. Anexo 5, pág. 63.</w:t>
      </w:r>
    </w:p>
  </w:footnote>
  <w:footnote w:id="15">
    <w:p w14:paraId="3B2BF64B"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Acta de audiencia y declaraciones del Juzgado Primero de Primera Instancia de lo Penal Circunscripción Judicial del Estado de Zulia de 4 de diciembre de 1998. Anexo a la comunicación del Estado de 17 de mayo de 2012. CD. Anexo 5, pág. 63.</w:t>
      </w:r>
    </w:p>
  </w:footnote>
  <w:footnote w:id="16">
    <w:p w14:paraId="20945D43"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Acta Policial de la Brigada Contra Homicidios del Cuerpo Técnico de Policía Judicial delegación de Zulia de 23 de noviembre de 1999. Anexo a la comunicación del Estado de 17</w:t>
      </w:r>
      <w:r w:rsidR="0089537D" w:rsidRPr="00256467">
        <w:rPr>
          <w:rFonts w:ascii="Cambria" w:hAnsi="Cambria"/>
          <w:sz w:val="16"/>
          <w:szCs w:val="16"/>
          <w:lang w:val="es-MX"/>
        </w:rPr>
        <w:t xml:space="preserve"> de mayo de 2012.CD, anexo 5, pá</w:t>
      </w:r>
      <w:r w:rsidRPr="00256467">
        <w:rPr>
          <w:rFonts w:ascii="Cambria" w:hAnsi="Cambria"/>
          <w:sz w:val="16"/>
          <w:szCs w:val="16"/>
          <w:lang w:val="es-MX"/>
        </w:rPr>
        <w:t>g.</w:t>
      </w:r>
      <w:r w:rsidR="0089537D" w:rsidRPr="00256467">
        <w:rPr>
          <w:rFonts w:ascii="Cambria" w:hAnsi="Cambria"/>
          <w:sz w:val="16"/>
          <w:szCs w:val="16"/>
          <w:lang w:val="es-MX"/>
        </w:rPr>
        <w:t xml:space="preserve"> </w:t>
      </w:r>
      <w:r w:rsidRPr="00256467">
        <w:rPr>
          <w:rFonts w:ascii="Cambria" w:hAnsi="Cambria"/>
          <w:sz w:val="16"/>
          <w:szCs w:val="16"/>
          <w:lang w:val="es-MX"/>
        </w:rPr>
        <w:t>19.</w:t>
      </w:r>
    </w:p>
  </w:footnote>
  <w:footnote w:id="17">
    <w:p w14:paraId="76CA9ECA"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Acta de audiencia y declaraciones del Juzgado Primero de Primera Instancia de lo Penal Circunscripción Judicial del Estado de Zulia de 4 de diciembre de 1998. Anexo a la comunicación del Estado de 17 de mayo de 2012. CD. Anexo 5, pág. 66.</w:t>
      </w:r>
    </w:p>
  </w:footnote>
  <w:footnote w:id="18">
    <w:p w14:paraId="563AA836"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xml:space="preserve">. Resolución del Cuerpo Técnico de Zulia de 23 de noviembre de 1998. Anexo a la comunicación del Estado de 17 de mayo de 2012. CD. Anexo 5, pág. 20. </w:t>
      </w:r>
    </w:p>
  </w:footnote>
  <w:footnote w:id="19">
    <w:p w14:paraId="23541123" w14:textId="77777777" w:rsidR="00D329F5" w:rsidRPr="00256467" w:rsidRDefault="00D329F5" w:rsidP="00B26282">
      <w:pPr>
        <w:pStyle w:val="Textonotapie"/>
        <w:jc w:val="both"/>
        <w:rPr>
          <w:rFonts w:ascii="Cambria" w:hAnsi="Cambria"/>
          <w:sz w:val="16"/>
          <w:szCs w:val="16"/>
          <w:highlight w:val="yellow"/>
          <w:lang w:val="es-ES"/>
        </w:rPr>
      </w:pPr>
      <w:r w:rsidRPr="00256467">
        <w:rPr>
          <w:rStyle w:val="Refdenotaalpie"/>
          <w:rFonts w:ascii="Cambria" w:hAnsi="Cambria"/>
          <w:sz w:val="16"/>
          <w:szCs w:val="16"/>
        </w:rPr>
        <w:footnoteRef/>
      </w:r>
      <w:r w:rsidRPr="00256467">
        <w:rPr>
          <w:rFonts w:ascii="Cambria" w:hAnsi="Cambria"/>
          <w:sz w:val="16"/>
          <w:szCs w:val="16"/>
          <w:lang w:val="es-MX"/>
        </w:rPr>
        <w:t xml:space="preserve"> </w:t>
      </w:r>
      <w:r w:rsidRPr="00256467">
        <w:rPr>
          <w:rFonts w:ascii="Cambria" w:hAnsi="Cambria"/>
          <w:sz w:val="16"/>
          <w:szCs w:val="16"/>
          <w:lang w:val="es-ES"/>
        </w:rPr>
        <w:t xml:space="preserve">Anexo </w:t>
      </w:r>
      <w:r w:rsidR="00862E47" w:rsidRPr="00862E47">
        <w:rPr>
          <w:rFonts w:ascii="Cambria" w:hAnsi="Cambria"/>
          <w:sz w:val="16"/>
          <w:szCs w:val="16"/>
          <w:lang w:val="es-MX"/>
        </w:rPr>
        <w:t>5</w:t>
      </w:r>
      <w:r w:rsidRPr="00256467">
        <w:rPr>
          <w:rFonts w:ascii="Cambria" w:hAnsi="Cambria"/>
          <w:sz w:val="16"/>
          <w:szCs w:val="16"/>
          <w:lang w:val="es-ES"/>
        </w:rPr>
        <w:t xml:space="preserve">. Boleta de detención del Cuerpo Técnico de Policía Judicial Delegación de Zulia Brigada de Homicidios de 23 de noviembre de 1998. Anexo </w:t>
      </w:r>
      <w:r w:rsidRPr="00256467">
        <w:rPr>
          <w:rFonts w:ascii="Cambria" w:hAnsi="Cambria"/>
          <w:sz w:val="16"/>
          <w:szCs w:val="16"/>
          <w:lang w:val="es-MX"/>
        </w:rPr>
        <w:t>a la comunicación</w:t>
      </w:r>
      <w:r w:rsidRPr="00256467">
        <w:rPr>
          <w:rFonts w:ascii="Cambria" w:hAnsi="Cambria"/>
          <w:sz w:val="16"/>
          <w:szCs w:val="16"/>
          <w:lang w:val="es-ES"/>
        </w:rPr>
        <w:t xml:space="preserve"> del Estado de 17 de mayo de 2012. CD. Anexo 5, pág. 21. </w:t>
      </w:r>
    </w:p>
  </w:footnote>
  <w:footnote w:id="20">
    <w:p w14:paraId="6B22264E"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xml:space="preserve">. Actas de declaración de la Brigada Contra Homicidios del Cuerpo Técnico de Policía Judicial delegación del Estado de Zulia. Anexo a la comunicación del Estado de 17 de mayo de 2012.  CD, anexo 5, págs.15, 28, 56 y 92. </w:t>
      </w:r>
    </w:p>
  </w:footnote>
  <w:footnote w:id="21">
    <w:p w14:paraId="18248030"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xml:space="preserve">. Acta de Declaración del Cuerpo Técnico de Policía </w:t>
      </w:r>
      <w:proofErr w:type="gramStart"/>
      <w:r w:rsidRPr="00256467">
        <w:rPr>
          <w:rFonts w:ascii="Cambria" w:hAnsi="Cambria"/>
          <w:sz w:val="16"/>
          <w:szCs w:val="16"/>
          <w:lang w:val="es-MX"/>
        </w:rPr>
        <w:t>Judicial  Delegación</w:t>
      </w:r>
      <w:proofErr w:type="gramEnd"/>
      <w:r w:rsidRPr="00256467">
        <w:rPr>
          <w:rFonts w:ascii="Cambria" w:hAnsi="Cambria"/>
          <w:sz w:val="16"/>
          <w:szCs w:val="16"/>
          <w:lang w:val="es-MX"/>
        </w:rPr>
        <w:t xml:space="preserve"> de Zulia de 25 de noviembre de 1998. Anexo a la comunicación del Estado de 17 de mayo de 2012. CD. Anexo 5, pág</w:t>
      </w:r>
      <w:r w:rsidR="0089537D" w:rsidRPr="00256467">
        <w:rPr>
          <w:rFonts w:ascii="Cambria" w:hAnsi="Cambria"/>
          <w:sz w:val="16"/>
          <w:szCs w:val="16"/>
          <w:lang w:val="es-MX"/>
        </w:rPr>
        <w:t>s</w:t>
      </w:r>
      <w:r w:rsidRPr="00256467">
        <w:rPr>
          <w:rFonts w:ascii="Cambria" w:hAnsi="Cambria"/>
          <w:sz w:val="16"/>
          <w:szCs w:val="16"/>
          <w:lang w:val="es-MX"/>
        </w:rPr>
        <w:t xml:space="preserve">. 36, 38 y 40. </w:t>
      </w:r>
    </w:p>
  </w:footnote>
  <w:footnote w:id="22">
    <w:p w14:paraId="4B568309"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862E47">
        <w:rPr>
          <w:rFonts w:ascii="Cambria" w:hAnsi="Cambria"/>
          <w:sz w:val="16"/>
          <w:szCs w:val="16"/>
          <w:lang w:val="es-MX"/>
        </w:rPr>
        <w:t>5</w:t>
      </w:r>
      <w:r w:rsidRPr="00256467">
        <w:rPr>
          <w:rFonts w:ascii="Cambria" w:hAnsi="Cambria"/>
          <w:sz w:val="16"/>
          <w:szCs w:val="16"/>
          <w:lang w:val="es-MX"/>
        </w:rPr>
        <w:t>. Solicitud de experticia de reconocimiento del Cuerpo Técnico de Policía Judicial Delegación de Zulia de 25 de noviembre de 1998. Anexo a la comunicación del Estado de 17 de mayo de 2012. CD. An</w:t>
      </w:r>
      <w:r w:rsidR="00862E47" w:rsidRPr="00256467">
        <w:rPr>
          <w:rFonts w:ascii="Cambria" w:hAnsi="Cambria"/>
          <w:sz w:val="16"/>
          <w:szCs w:val="16"/>
          <w:lang w:val="es-MX"/>
        </w:rPr>
        <w:t>exo 5, p</w:t>
      </w:r>
      <w:r w:rsidRPr="00256467">
        <w:rPr>
          <w:rFonts w:ascii="Cambria" w:hAnsi="Cambria"/>
          <w:sz w:val="16"/>
          <w:szCs w:val="16"/>
          <w:lang w:val="es-MX"/>
        </w:rPr>
        <w:t>ág</w:t>
      </w:r>
      <w:r w:rsidR="00862E47" w:rsidRPr="00256467">
        <w:rPr>
          <w:rFonts w:ascii="Cambria" w:hAnsi="Cambria"/>
          <w:sz w:val="16"/>
          <w:szCs w:val="16"/>
          <w:lang w:val="es-MX"/>
        </w:rPr>
        <w:t>.</w:t>
      </w:r>
      <w:r w:rsidRPr="00256467">
        <w:rPr>
          <w:rFonts w:ascii="Cambria" w:hAnsi="Cambria"/>
          <w:sz w:val="16"/>
          <w:szCs w:val="16"/>
          <w:lang w:val="es-MX"/>
        </w:rPr>
        <w:t xml:space="preserve"> 40. </w:t>
      </w:r>
    </w:p>
  </w:footnote>
  <w:footnote w:id="23">
    <w:p w14:paraId="50EDC2B1"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Escrito del Juzgado de Primera Instancia en lo Penal Circunscripción del Estado de Zulia de 4 de diciembre de 1998. Anexo a la comunicación del Estado de 17 de mayo de 2012. CD. Anexo 5, pág. 70.</w:t>
      </w:r>
    </w:p>
  </w:footnote>
  <w:footnote w:id="24">
    <w:p w14:paraId="4C52D2A6"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Acta de reconocimiento en rueda de detenidos del Juzgado Primero de Primera Instancia en lo Penal de Circunscripción Judicial del Estado de Zulia de 8 de diciembre de 1998. Anexo a la comunicación del Estado de 17 de mayo de 2012. CD. Anexo 5, pág. 79.</w:t>
      </w:r>
    </w:p>
  </w:footnote>
  <w:footnote w:id="25">
    <w:p w14:paraId="2067F5AF"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Acta de reconocimiento en rueda de detenidos del Juzgado Primero de Primera Instancia en lo Penal de Circunscripción Judicial del Estado de Zulia de 8 de diciembre de 1998. Anexo a la comunicación del Estado de 17 de mayo de 2012. CD. Anexo 5, pág. 76.</w:t>
      </w:r>
    </w:p>
  </w:footnote>
  <w:footnote w:id="26">
    <w:p w14:paraId="4F490A13"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Acta de reconocimiento en rueda de detenidos del Juzgado Primero de Primera Instancia en lo Penal de Circunscripción Judicial del Estado de Zulia de 8 de diciembre de 1998. Anexo a la comunicación del Estado de 17 de mayo de 2012. CD. Anexo 5, pág. 79.</w:t>
      </w:r>
    </w:p>
  </w:footnote>
  <w:footnote w:id="27">
    <w:p w14:paraId="40144A07"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6</w:t>
      </w:r>
      <w:r w:rsidRPr="00256467">
        <w:rPr>
          <w:rFonts w:ascii="Cambria" w:hAnsi="Cambria"/>
          <w:sz w:val="16"/>
          <w:szCs w:val="16"/>
          <w:lang w:val="es-MX"/>
        </w:rPr>
        <w:t>. Resolución No.</w:t>
      </w:r>
      <w:r w:rsidR="00862E47" w:rsidRPr="00256467">
        <w:rPr>
          <w:rFonts w:ascii="Cambria" w:hAnsi="Cambria"/>
          <w:sz w:val="16"/>
          <w:szCs w:val="16"/>
          <w:lang w:val="es-MX"/>
        </w:rPr>
        <w:t xml:space="preserve"> </w:t>
      </w:r>
      <w:r w:rsidRPr="00256467">
        <w:rPr>
          <w:rFonts w:ascii="Cambria" w:hAnsi="Cambria"/>
          <w:sz w:val="16"/>
          <w:szCs w:val="16"/>
          <w:lang w:val="es-MX"/>
        </w:rPr>
        <w:t xml:space="preserve">916 del </w:t>
      </w:r>
      <w:r w:rsidRPr="00256467">
        <w:rPr>
          <w:rFonts w:ascii="Cambria" w:hAnsi="Cambria"/>
          <w:sz w:val="16"/>
          <w:szCs w:val="16"/>
          <w:lang w:val="es-VE"/>
        </w:rPr>
        <w:t xml:space="preserve">Juzgado Primero de Primera Instancia en lo Penal Circunscripción Judicial del Estado de Zulia Maracaibo de 10 de diciembre de 1998. Anexo </w:t>
      </w:r>
      <w:r w:rsidRPr="00256467">
        <w:rPr>
          <w:rFonts w:ascii="Cambria" w:hAnsi="Cambria"/>
          <w:sz w:val="16"/>
          <w:szCs w:val="16"/>
          <w:lang w:val="es-MX"/>
        </w:rPr>
        <w:t>a la comunicación</w:t>
      </w:r>
      <w:r w:rsidRPr="00256467">
        <w:rPr>
          <w:rFonts w:ascii="Cambria" w:hAnsi="Cambria"/>
          <w:sz w:val="16"/>
          <w:szCs w:val="16"/>
          <w:lang w:val="es-VE"/>
        </w:rPr>
        <w:t xml:space="preserve"> de la parte </w:t>
      </w:r>
      <w:r w:rsidR="00862E47" w:rsidRPr="00256467">
        <w:rPr>
          <w:rFonts w:ascii="Cambria" w:hAnsi="Cambria"/>
          <w:sz w:val="16"/>
          <w:szCs w:val="16"/>
          <w:lang w:val="es-VE"/>
        </w:rPr>
        <w:t>peticionaria</w:t>
      </w:r>
      <w:r w:rsidRPr="00256467">
        <w:rPr>
          <w:rFonts w:ascii="Cambria" w:hAnsi="Cambria"/>
          <w:sz w:val="16"/>
          <w:szCs w:val="16"/>
          <w:lang w:val="es-VE"/>
        </w:rPr>
        <w:t xml:space="preserve"> de 22 de agosto de 2008.</w:t>
      </w:r>
    </w:p>
  </w:footnote>
  <w:footnote w:id="28">
    <w:p w14:paraId="6568C130" w14:textId="77777777" w:rsidR="00D52400" w:rsidRPr="00256467" w:rsidRDefault="00D52400" w:rsidP="00B26282">
      <w:pPr>
        <w:pStyle w:val="NormalWeb"/>
        <w:tabs>
          <w:tab w:val="left" w:pos="9270"/>
          <w:tab w:val="left" w:pos="9360"/>
        </w:tabs>
        <w:spacing w:before="0" w:beforeAutospacing="0" w:after="0" w:afterAutospacing="0"/>
        <w:jc w:val="both"/>
        <w:rPr>
          <w:rFonts w:ascii="Cambria" w:eastAsia="Arial Unicode MS" w:hAnsi="Cambria"/>
          <w:color w:val="000000"/>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ES"/>
        </w:rPr>
        <w:t xml:space="preserve"> </w:t>
      </w:r>
      <w:r w:rsidRPr="00256467">
        <w:rPr>
          <w:rFonts w:ascii="Cambria" w:eastAsia="Arial Unicode MS" w:hAnsi="Cambria"/>
          <w:bCs/>
          <w:color w:val="000000"/>
          <w:sz w:val="16"/>
          <w:szCs w:val="16"/>
          <w:lang w:val="es-MX"/>
        </w:rPr>
        <w:t>Artículo </w:t>
      </w:r>
      <w:r w:rsidRPr="00256467">
        <w:rPr>
          <w:rFonts w:ascii="Cambria" w:eastAsia="Arial Unicode MS" w:hAnsi="Cambria"/>
          <w:color w:val="000000"/>
          <w:sz w:val="16"/>
          <w:szCs w:val="16"/>
          <w:lang w:val="es-MX"/>
        </w:rPr>
        <w:t>182.</w:t>
      </w:r>
      <w:r w:rsidRPr="00256467">
        <w:rPr>
          <w:rFonts w:ascii="Cambria" w:eastAsia="Arial Unicode MS" w:hAnsi="Cambria" w:cs="Arial Unicode MS"/>
          <w:color w:val="000000"/>
          <w:sz w:val="16"/>
          <w:szCs w:val="16"/>
          <w:lang w:val="es-MX"/>
        </w:rPr>
        <w:t xml:space="preserve"> </w:t>
      </w:r>
      <w:r w:rsidRPr="00256467">
        <w:rPr>
          <w:rFonts w:ascii="Cambria" w:eastAsia="Arial Unicode MS" w:hAnsi="Cambria"/>
          <w:color w:val="000000"/>
          <w:sz w:val="16"/>
          <w:szCs w:val="16"/>
          <w:lang w:val="es-MX"/>
        </w:rPr>
        <w:t xml:space="preserve">Siempre que resulte plenamente comprobado que se ha cometido un hecho punible que merezca pena corporal, sin estar evidentemente prescrita la acción penal correspondiente, y aparezcan fundados indicios de la culpabilidad de alguna persona, </w:t>
      </w:r>
      <w:proofErr w:type="gramStart"/>
      <w:r w:rsidRPr="00256467">
        <w:rPr>
          <w:rFonts w:ascii="Cambria" w:eastAsia="Arial Unicode MS" w:hAnsi="Cambria"/>
          <w:color w:val="000000"/>
          <w:sz w:val="16"/>
          <w:szCs w:val="16"/>
          <w:lang w:val="es-MX"/>
        </w:rPr>
        <w:t>el  Tribunal</w:t>
      </w:r>
      <w:proofErr w:type="gramEnd"/>
      <w:r w:rsidRPr="00256467">
        <w:rPr>
          <w:rFonts w:ascii="Cambria" w:eastAsia="Arial Unicode MS" w:hAnsi="Cambria"/>
          <w:color w:val="000000"/>
          <w:sz w:val="16"/>
          <w:szCs w:val="16"/>
          <w:lang w:val="es-MX"/>
        </w:rPr>
        <w:t xml:space="preserve"> Instructor decretará la detención del indiciado, por auto razonado, que contendrá:</w:t>
      </w:r>
    </w:p>
    <w:p w14:paraId="7EC835AF" w14:textId="77777777" w:rsidR="00D52400" w:rsidRPr="00256467" w:rsidRDefault="00D52400" w:rsidP="00B26282">
      <w:pPr>
        <w:pStyle w:val="NormalWeb"/>
        <w:tabs>
          <w:tab w:val="left" w:pos="9270"/>
          <w:tab w:val="left" w:pos="9360"/>
        </w:tabs>
        <w:spacing w:before="0" w:beforeAutospacing="0" w:after="0" w:afterAutospacing="0"/>
        <w:jc w:val="both"/>
        <w:rPr>
          <w:rFonts w:ascii="Cambria" w:eastAsia="Arial Unicode MS" w:hAnsi="Cambria" w:cs="Arial Unicode MS"/>
          <w:color w:val="000000"/>
          <w:sz w:val="16"/>
          <w:szCs w:val="16"/>
          <w:lang w:val="es-MX"/>
        </w:rPr>
      </w:pPr>
      <w:r w:rsidRPr="00256467">
        <w:rPr>
          <w:rFonts w:ascii="Cambria" w:eastAsia="Arial Unicode MS" w:hAnsi="Cambria"/>
          <w:color w:val="000000"/>
          <w:sz w:val="16"/>
          <w:szCs w:val="16"/>
          <w:lang w:val="es-MX"/>
        </w:rPr>
        <w:t>1. El nombre y apellido del indiciado y cualesquiera otros datos que sirvan para su identificación;</w:t>
      </w:r>
    </w:p>
    <w:p w14:paraId="61C08650" w14:textId="77777777" w:rsidR="00D52400" w:rsidRPr="00256467" w:rsidRDefault="00D52400" w:rsidP="00B26282">
      <w:pPr>
        <w:pStyle w:val="NormalWeb"/>
        <w:tabs>
          <w:tab w:val="left" w:pos="9270"/>
          <w:tab w:val="left" w:pos="9360"/>
        </w:tabs>
        <w:spacing w:before="0" w:beforeAutospacing="0" w:after="0" w:afterAutospacing="0"/>
        <w:jc w:val="both"/>
        <w:rPr>
          <w:rFonts w:ascii="Cambria" w:eastAsia="Arial Unicode MS" w:hAnsi="Cambria"/>
          <w:color w:val="000000"/>
          <w:sz w:val="16"/>
          <w:szCs w:val="16"/>
          <w:lang w:val="es-MX"/>
        </w:rPr>
      </w:pPr>
      <w:r w:rsidRPr="00256467">
        <w:rPr>
          <w:rFonts w:ascii="Cambria" w:eastAsia="Arial Unicode MS" w:hAnsi="Cambria"/>
          <w:color w:val="000000"/>
          <w:sz w:val="16"/>
          <w:szCs w:val="16"/>
          <w:lang w:val="es-MX"/>
        </w:rPr>
        <w:t xml:space="preserve">2. Una relación sucinta de los fundamentos de hecho y de derecho del auto de detención y la calificación provisional del delito.   El Tribunal Instructor, si el procesado estuviere a su disposición, librara boleta de encarcelaron que remitirá al funcionario que tenga a su cargo la dirección </w:t>
      </w:r>
      <w:proofErr w:type="gramStart"/>
      <w:r w:rsidRPr="00256467">
        <w:rPr>
          <w:rFonts w:ascii="Cambria" w:eastAsia="Arial Unicode MS" w:hAnsi="Cambria"/>
          <w:color w:val="000000"/>
          <w:sz w:val="16"/>
          <w:szCs w:val="16"/>
          <w:lang w:val="es-MX"/>
        </w:rPr>
        <w:t>del  establecimiento</w:t>
      </w:r>
      <w:proofErr w:type="gramEnd"/>
      <w:r w:rsidRPr="00256467">
        <w:rPr>
          <w:rFonts w:ascii="Cambria" w:eastAsia="Arial Unicode MS" w:hAnsi="Cambria"/>
          <w:color w:val="000000"/>
          <w:sz w:val="16"/>
          <w:szCs w:val="16"/>
          <w:lang w:val="es-MX"/>
        </w:rPr>
        <w:t xml:space="preserve"> penal correspondiente. Dicha boleta contendrá:</w:t>
      </w:r>
    </w:p>
    <w:p w14:paraId="31EDA220" w14:textId="77777777" w:rsidR="00D52400" w:rsidRPr="00256467" w:rsidRDefault="00D52400" w:rsidP="00B26282">
      <w:pPr>
        <w:pStyle w:val="NormalWeb"/>
        <w:tabs>
          <w:tab w:val="left" w:pos="9270"/>
          <w:tab w:val="left" w:pos="9360"/>
        </w:tabs>
        <w:spacing w:before="0" w:beforeAutospacing="0" w:after="0" w:afterAutospacing="0"/>
        <w:jc w:val="both"/>
        <w:rPr>
          <w:rFonts w:ascii="Cambria" w:eastAsia="Arial Unicode MS" w:hAnsi="Cambria" w:cs="Arial Unicode MS"/>
          <w:color w:val="000000"/>
          <w:sz w:val="16"/>
          <w:szCs w:val="16"/>
          <w:lang w:val="es-MX"/>
        </w:rPr>
      </w:pPr>
      <w:r w:rsidRPr="00256467">
        <w:rPr>
          <w:rFonts w:ascii="Cambria" w:eastAsia="Arial Unicode MS" w:hAnsi="Cambria"/>
          <w:color w:val="000000"/>
          <w:sz w:val="16"/>
          <w:szCs w:val="16"/>
          <w:lang w:val="es-MX"/>
        </w:rPr>
        <w:t>a) Señalamiento del Tribunal que lo expide.</w:t>
      </w:r>
    </w:p>
    <w:p w14:paraId="04717128" w14:textId="77777777" w:rsidR="00D52400" w:rsidRPr="00256467" w:rsidRDefault="00D52400" w:rsidP="00B26282">
      <w:pPr>
        <w:pStyle w:val="NormalWeb"/>
        <w:tabs>
          <w:tab w:val="left" w:pos="9270"/>
          <w:tab w:val="left" w:pos="9360"/>
        </w:tabs>
        <w:spacing w:before="0" w:beforeAutospacing="0" w:after="0" w:afterAutospacing="0"/>
        <w:jc w:val="both"/>
        <w:rPr>
          <w:rFonts w:ascii="Cambria" w:eastAsia="Arial Unicode MS" w:hAnsi="Cambria" w:cs="Arial Unicode MS"/>
          <w:color w:val="000000"/>
          <w:sz w:val="16"/>
          <w:szCs w:val="16"/>
          <w:lang w:val="es-MX"/>
        </w:rPr>
      </w:pPr>
      <w:r w:rsidRPr="00256467">
        <w:rPr>
          <w:rFonts w:ascii="Cambria" w:eastAsia="Arial Unicode MS" w:hAnsi="Cambria"/>
          <w:color w:val="000000"/>
          <w:sz w:val="16"/>
          <w:szCs w:val="16"/>
          <w:lang w:val="es-MX"/>
        </w:rPr>
        <w:t>b) Los datos de identidad del procesado.</w:t>
      </w:r>
    </w:p>
    <w:p w14:paraId="0F0EC29B" w14:textId="77777777" w:rsidR="00D52400" w:rsidRPr="00256467" w:rsidRDefault="00D52400" w:rsidP="00B26282">
      <w:pPr>
        <w:pStyle w:val="NormalWeb"/>
        <w:tabs>
          <w:tab w:val="left" w:pos="9270"/>
          <w:tab w:val="left" w:pos="9360"/>
        </w:tabs>
        <w:spacing w:before="0" w:beforeAutospacing="0" w:after="0" w:afterAutospacing="0"/>
        <w:jc w:val="both"/>
        <w:rPr>
          <w:rFonts w:ascii="Cambria" w:eastAsia="Arial Unicode MS" w:hAnsi="Cambria" w:cs="Arial Unicode MS"/>
          <w:color w:val="000000"/>
          <w:sz w:val="16"/>
          <w:szCs w:val="16"/>
          <w:lang w:val="es-MX"/>
        </w:rPr>
      </w:pPr>
      <w:r w:rsidRPr="00256467">
        <w:rPr>
          <w:rFonts w:ascii="Cambria" w:eastAsia="Arial Unicode MS" w:hAnsi="Cambria"/>
          <w:color w:val="000000"/>
          <w:sz w:val="16"/>
          <w:szCs w:val="16"/>
          <w:lang w:val="es-MX"/>
        </w:rPr>
        <w:t>c) La calificación que se hubiere dado en el auto de detención.</w:t>
      </w:r>
    </w:p>
    <w:p w14:paraId="444C7B31" w14:textId="77777777" w:rsidR="00D52400" w:rsidRPr="00256467" w:rsidRDefault="00D52400" w:rsidP="00B26282">
      <w:pPr>
        <w:pStyle w:val="NormalWeb"/>
        <w:tabs>
          <w:tab w:val="left" w:pos="9270"/>
          <w:tab w:val="left" w:pos="9360"/>
        </w:tabs>
        <w:spacing w:before="0" w:beforeAutospacing="0" w:after="0" w:afterAutospacing="0"/>
        <w:jc w:val="both"/>
        <w:rPr>
          <w:rFonts w:ascii="Cambria" w:eastAsia="Arial Unicode MS" w:hAnsi="Cambria"/>
          <w:color w:val="000000"/>
          <w:sz w:val="16"/>
          <w:szCs w:val="16"/>
          <w:lang w:val="es-MX"/>
        </w:rPr>
      </w:pPr>
      <w:r w:rsidRPr="00256467">
        <w:rPr>
          <w:rFonts w:ascii="Cambria" w:eastAsia="Arial Unicode MS" w:hAnsi="Cambria"/>
          <w:color w:val="000000"/>
          <w:sz w:val="16"/>
          <w:szCs w:val="16"/>
          <w:lang w:val="es-MX"/>
        </w:rPr>
        <w:t xml:space="preserve">d) La fecha de expedición y la firma del Juez y del </w:t>
      </w:r>
      <w:proofErr w:type="gramStart"/>
      <w:r w:rsidRPr="00256467">
        <w:rPr>
          <w:rFonts w:ascii="Cambria" w:eastAsia="Arial Unicode MS" w:hAnsi="Cambria"/>
          <w:color w:val="000000"/>
          <w:sz w:val="16"/>
          <w:szCs w:val="16"/>
          <w:lang w:val="es-MX"/>
        </w:rPr>
        <w:t>Secretario</w:t>
      </w:r>
      <w:proofErr w:type="gramEnd"/>
      <w:r w:rsidRPr="00256467">
        <w:rPr>
          <w:rFonts w:ascii="Cambria" w:eastAsia="Arial Unicode MS" w:hAnsi="Cambria"/>
          <w:color w:val="000000"/>
          <w:sz w:val="16"/>
          <w:szCs w:val="16"/>
          <w:lang w:val="es-MX"/>
        </w:rPr>
        <w:t>.</w:t>
      </w:r>
    </w:p>
    <w:p w14:paraId="451EDA32" w14:textId="77777777" w:rsidR="00D52400" w:rsidRPr="00256467" w:rsidRDefault="00D52400" w:rsidP="00B26282">
      <w:pPr>
        <w:pStyle w:val="NormalWeb"/>
        <w:tabs>
          <w:tab w:val="left" w:pos="9270"/>
          <w:tab w:val="left" w:pos="9360"/>
        </w:tabs>
        <w:spacing w:before="0" w:beforeAutospacing="0" w:after="0" w:afterAutospacing="0"/>
        <w:jc w:val="both"/>
        <w:rPr>
          <w:rFonts w:ascii="Cambria" w:eastAsia="Arial Unicode MS" w:hAnsi="Cambria"/>
          <w:color w:val="000000"/>
          <w:sz w:val="16"/>
          <w:szCs w:val="16"/>
          <w:lang w:val="es-MX"/>
        </w:rPr>
      </w:pPr>
      <w:r w:rsidRPr="00256467">
        <w:rPr>
          <w:rFonts w:ascii="Cambria" w:eastAsia="Arial Unicode MS" w:hAnsi="Cambria"/>
          <w:color w:val="000000"/>
          <w:sz w:val="16"/>
          <w:szCs w:val="16"/>
          <w:lang w:val="es-MX"/>
        </w:rPr>
        <w:t xml:space="preserve">Cuando el procesado no estuviere detenido, se </w:t>
      </w:r>
      <w:proofErr w:type="gramStart"/>
      <w:r w:rsidRPr="00256467">
        <w:rPr>
          <w:rFonts w:ascii="Cambria" w:eastAsia="Arial Unicode MS" w:hAnsi="Cambria"/>
          <w:color w:val="000000"/>
          <w:sz w:val="16"/>
          <w:szCs w:val="16"/>
          <w:lang w:val="es-MX"/>
        </w:rPr>
        <w:t>librara</w:t>
      </w:r>
      <w:proofErr w:type="gramEnd"/>
      <w:r w:rsidRPr="00256467">
        <w:rPr>
          <w:rFonts w:ascii="Cambria" w:eastAsia="Arial Unicode MS" w:hAnsi="Cambria"/>
          <w:color w:val="000000"/>
          <w:sz w:val="16"/>
          <w:szCs w:val="16"/>
          <w:lang w:val="es-MX"/>
        </w:rPr>
        <w:t xml:space="preserve"> por el Tribunal orden de aprehensión a las autoridades del policía, con señalamiento de la identidad del indiciado y del lugar donde se encuentra, si se supiere. Si no se conociere, se </w:t>
      </w:r>
      <w:proofErr w:type="gramStart"/>
      <w:r w:rsidRPr="00256467">
        <w:rPr>
          <w:rFonts w:ascii="Cambria" w:eastAsia="Arial Unicode MS" w:hAnsi="Cambria"/>
          <w:color w:val="000000"/>
          <w:sz w:val="16"/>
          <w:szCs w:val="16"/>
          <w:lang w:val="es-MX"/>
        </w:rPr>
        <w:t>librara</w:t>
      </w:r>
      <w:proofErr w:type="gramEnd"/>
      <w:r w:rsidRPr="00256467">
        <w:rPr>
          <w:rFonts w:ascii="Cambria" w:eastAsia="Arial Unicode MS" w:hAnsi="Cambria"/>
          <w:color w:val="000000"/>
          <w:sz w:val="16"/>
          <w:szCs w:val="16"/>
          <w:lang w:val="es-MX"/>
        </w:rPr>
        <w:t xml:space="preserve"> requisitoria. La orden de detención será notificada al enjuiciado en el momento de ejecutarse o inmediatamente después. Cuando el delito fuere de los que no merecen pena corporal, el Tribunal Instructor dictará auto declarando sometido a juicio al indiciado y ordenándole comparecer para que rinda declaración indagatoria.</w:t>
      </w:r>
    </w:p>
  </w:footnote>
  <w:footnote w:id="29">
    <w:p w14:paraId="4BA5905F"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6</w:t>
      </w:r>
      <w:r w:rsidRPr="00256467">
        <w:rPr>
          <w:rFonts w:ascii="Cambria" w:hAnsi="Cambria"/>
          <w:sz w:val="16"/>
          <w:szCs w:val="16"/>
          <w:lang w:val="es-MX"/>
        </w:rPr>
        <w:t>. Resolución No.</w:t>
      </w:r>
      <w:r w:rsidR="00862E47" w:rsidRPr="00256467">
        <w:rPr>
          <w:rFonts w:ascii="Cambria" w:hAnsi="Cambria"/>
          <w:sz w:val="16"/>
          <w:szCs w:val="16"/>
          <w:lang w:val="es-MX"/>
        </w:rPr>
        <w:t xml:space="preserve"> </w:t>
      </w:r>
      <w:r w:rsidRPr="00256467">
        <w:rPr>
          <w:rFonts w:ascii="Cambria" w:hAnsi="Cambria"/>
          <w:sz w:val="16"/>
          <w:szCs w:val="16"/>
          <w:lang w:val="es-MX"/>
        </w:rPr>
        <w:t xml:space="preserve">916 del </w:t>
      </w:r>
      <w:r w:rsidRPr="00256467">
        <w:rPr>
          <w:rFonts w:ascii="Cambria" w:hAnsi="Cambria"/>
          <w:sz w:val="16"/>
          <w:szCs w:val="16"/>
          <w:lang w:val="es-VE"/>
        </w:rPr>
        <w:t xml:space="preserve">Juzgado Primero de Primera Instancia en lo Penal Circunscripción Judicial del Estado de Zulia Maracaibo de 10 de diciembre de 1998. Anexo </w:t>
      </w:r>
      <w:r w:rsidRPr="00256467">
        <w:rPr>
          <w:rFonts w:ascii="Cambria" w:hAnsi="Cambria"/>
          <w:sz w:val="16"/>
          <w:szCs w:val="16"/>
          <w:lang w:val="es-MX"/>
        </w:rPr>
        <w:t>a la comunicación</w:t>
      </w:r>
      <w:r w:rsidRPr="00256467">
        <w:rPr>
          <w:rFonts w:ascii="Cambria" w:hAnsi="Cambria"/>
          <w:sz w:val="16"/>
          <w:szCs w:val="16"/>
          <w:lang w:val="es-VE"/>
        </w:rPr>
        <w:t xml:space="preserve"> de la parte </w:t>
      </w:r>
      <w:r w:rsidR="0089537D" w:rsidRPr="00256467">
        <w:rPr>
          <w:rFonts w:ascii="Cambria" w:hAnsi="Cambria"/>
          <w:sz w:val="16"/>
          <w:szCs w:val="16"/>
          <w:lang w:val="es-VE"/>
        </w:rPr>
        <w:t>p</w:t>
      </w:r>
      <w:r w:rsidR="00862E47" w:rsidRPr="00256467">
        <w:rPr>
          <w:rFonts w:ascii="Cambria" w:hAnsi="Cambria"/>
          <w:sz w:val="16"/>
          <w:szCs w:val="16"/>
          <w:lang w:val="es-VE"/>
        </w:rPr>
        <w:t>eticionaria</w:t>
      </w:r>
      <w:r w:rsidRPr="00256467">
        <w:rPr>
          <w:rFonts w:ascii="Cambria" w:hAnsi="Cambria"/>
          <w:sz w:val="16"/>
          <w:szCs w:val="16"/>
          <w:lang w:val="es-VE"/>
        </w:rPr>
        <w:t xml:space="preserve"> de 22 de agosto de 2008. </w:t>
      </w:r>
    </w:p>
  </w:footnote>
  <w:footnote w:id="30">
    <w:p w14:paraId="29A06F0B"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Escrito de los procesados de 13 de diciembre de 1998. Anexo a la comunicación del Estado de 17 de mayo de 2012. CD. Anexo 5, pág. 97. </w:t>
      </w:r>
    </w:p>
  </w:footnote>
  <w:footnote w:id="31">
    <w:p w14:paraId="0AD0CD5E"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Resolución del Juzgado Primero de Primera Instancia en lo Penal de 14 de diciembre de 1998. Anexo a la comunicación del Estado de 17 de mayo de 2012. CD. Anexo 5, pág. 103.</w:t>
      </w:r>
    </w:p>
  </w:footnote>
  <w:footnote w:id="32">
    <w:p w14:paraId="076356DC"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Resolución del Juzgado Primero de Primera Instancia en lo Penal de 14 de diciembre de 1998. Anexo a la comunicación del Estado de 17 de mayo de 2012. CD. Anexo 5, pág. 110.</w:t>
      </w:r>
    </w:p>
  </w:footnote>
  <w:footnote w:id="33">
    <w:p w14:paraId="0907E2E2"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Escrito del </w:t>
      </w:r>
      <w:proofErr w:type="gramStart"/>
      <w:r w:rsidRPr="00256467">
        <w:rPr>
          <w:rFonts w:ascii="Cambria" w:hAnsi="Cambria"/>
          <w:sz w:val="16"/>
          <w:szCs w:val="16"/>
          <w:lang w:val="es-MX"/>
        </w:rPr>
        <w:t>Director</w:t>
      </w:r>
      <w:proofErr w:type="gramEnd"/>
      <w:r w:rsidRPr="00256467">
        <w:rPr>
          <w:rFonts w:ascii="Cambria" w:hAnsi="Cambria"/>
          <w:sz w:val="16"/>
          <w:szCs w:val="16"/>
          <w:lang w:val="es-MX"/>
        </w:rPr>
        <w:t xml:space="preserve"> de la Cárcel Nacional de Maracaibo de 16 de diciembre de 1998. Anexo a la comunicación del Estado de 17 de mayo de 2012. CD. Anexo 5, pág. 118. </w:t>
      </w:r>
    </w:p>
  </w:footnote>
  <w:footnote w:id="34">
    <w:p w14:paraId="0E97AAFB"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Resolución 931 del Juzgado Primero de Primera Instancia en lo Penal Circunscripción Judicial del Estado de Zulia de 21 de diciembre de 1998. Anexo a la comunicación del Estado de 17 de mayo de 2012. CD. Anexo 5, pág. 114. </w:t>
      </w:r>
    </w:p>
  </w:footnote>
  <w:footnote w:id="35">
    <w:p w14:paraId="6B871F78"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w:t>
      </w:r>
      <w:r w:rsidRPr="00256467">
        <w:rPr>
          <w:rFonts w:ascii="Cambria" w:hAnsi="Cambria"/>
          <w:color w:val="auto"/>
          <w:sz w:val="16"/>
          <w:szCs w:val="16"/>
          <w:lang w:val="es-MX"/>
        </w:rPr>
        <w:t xml:space="preserve">Anexo </w:t>
      </w:r>
      <w:r w:rsidR="00862E47" w:rsidRPr="00256467">
        <w:rPr>
          <w:rFonts w:ascii="Cambria" w:hAnsi="Cambria"/>
          <w:color w:val="auto"/>
          <w:sz w:val="16"/>
          <w:szCs w:val="16"/>
          <w:lang w:val="es-MX"/>
        </w:rPr>
        <w:t>5</w:t>
      </w:r>
      <w:r w:rsidRPr="00256467">
        <w:rPr>
          <w:rFonts w:ascii="Cambria" w:hAnsi="Cambria"/>
          <w:color w:val="auto"/>
          <w:sz w:val="16"/>
          <w:szCs w:val="16"/>
          <w:lang w:val="es-MX"/>
        </w:rPr>
        <w:t>. Acta de declaración del</w:t>
      </w:r>
      <w:r w:rsidRPr="00256467">
        <w:rPr>
          <w:rFonts w:ascii="Cambria" w:hAnsi="Cambria"/>
          <w:sz w:val="16"/>
          <w:szCs w:val="16"/>
          <w:lang w:val="es-MX"/>
        </w:rPr>
        <w:t xml:space="preserve"> </w:t>
      </w:r>
      <w:r w:rsidRPr="00256467">
        <w:rPr>
          <w:rFonts w:ascii="Cambria" w:hAnsi="Cambria"/>
          <w:sz w:val="16"/>
          <w:szCs w:val="16"/>
          <w:lang w:val="es-VE"/>
        </w:rPr>
        <w:t>Juzgado Superior en lo Penal Circunscripción Judicial del Estado de Zulia Maracaibo de 8 de enero de 1999. Anexo a la comunicación del Estado de 17 de mayo de 2012. CD. Anexo</w:t>
      </w:r>
      <w:r w:rsidR="00862E47" w:rsidRPr="00256467">
        <w:rPr>
          <w:rFonts w:ascii="Cambria" w:hAnsi="Cambria"/>
          <w:sz w:val="16"/>
          <w:szCs w:val="16"/>
          <w:lang w:val="es-VE"/>
        </w:rPr>
        <w:t xml:space="preserve"> </w:t>
      </w:r>
      <w:r w:rsidRPr="00256467">
        <w:rPr>
          <w:rFonts w:ascii="Cambria" w:hAnsi="Cambria"/>
          <w:sz w:val="16"/>
          <w:szCs w:val="16"/>
          <w:lang w:val="es-VE"/>
        </w:rPr>
        <w:t xml:space="preserve">5, pág. 123. </w:t>
      </w:r>
    </w:p>
  </w:footnote>
  <w:footnote w:id="36">
    <w:p w14:paraId="39CF38F4"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w:t>
      </w:r>
      <w:r w:rsidRPr="00256467">
        <w:rPr>
          <w:rFonts w:ascii="Cambria" w:hAnsi="Cambria"/>
          <w:color w:val="auto"/>
          <w:sz w:val="16"/>
          <w:szCs w:val="16"/>
          <w:lang w:val="es-MX"/>
        </w:rPr>
        <w:t xml:space="preserve">Anexo </w:t>
      </w:r>
      <w:r w:rsidR="00862E47" w:rsidRPr="00256467">
        <w:rPr>
          <w:rFonts w:ascii="Cambria" w:hAnsi="Cambria"/>
          <w:color w:val="auto"/>
          <w:sz w:val="16"/>
          <w:szCs w:val="16"/>
          <w:lang w:val="es-MX"/>
        </w:rPr>
        <w:t>7</w:t>
      </w:r>
      <w:r w:rsidRPr="00256467">
        <w:rPr>
          <w:rFonts w:ascii="Cambria" w:hAnsi="Cambria"/>
          <w:color w:val="auto"/>
          <w:sz w:val="16"/>
          <w:szCs w:val="16"/>
          <w:lang w:val="es-MX"/>
        </w:rPr>
        <w:t>. Resolución</w:t>
      </w:r>
      <w:r w:rsidRPr="00256467">
        <w:rPr>
          <w:rFonts w:ascii="Cambria" w:hAnsi="Cambria"/>
          <w:sz w:val="16"/>
          <w:szCs w:val="16"/>
          <w:lang w:val="es-MX"/>
        </w:rPr>
        <w:t xml:space="preserve"> No.110 del </w:t>
      </w:r>
      <w:r w:rsidRPr="00256467">
        <w:rPr>
          <w:rFonts w:ascii="Cambria" w:hAnsi="Cambria"/>
          <w:sz w:val="16"/>
          <w:szCs w:val="16"/>
          <w:lang w:val="es-VE"/>
        </w:rPr>
        <w:t xml:space="preserve">Juzgado Superior en lo Penal Circunscripción Judicial del Estado de Zulia Maracaibo de 28 de enero de 1999. Anexo </w:t>
      </w:r>
      <w:r w:rsidRPr="00256467">
        <w:rPr>
          <w:rFonts w:ascii="Cambria" w:hAnsi="Cambria"/>
          <w:sz w:val="16"/>
          <w:szCs w:val="16"/>
          <w:lang w:val="es-MX"/>
        </w:rPr>
        <w:t xml:space="preserve">a la comunicación </w:t>
      </w:r>
      <w:r w:rsidRPr="00256467">
        <w:rPr>
          <w:rFonts w:ascii="Cambria" w:hAnsi="Cambria"/>
          <w:sz w:val="16"/>
          <w:szCs w:val="16"/>
          <w:lang w:val="es-VE"/>
        </w:rPr>
        <w:t xml:space="preserve">de la parte </w:t>
      </w:r>
      <w:r w:rsidR="00862E47" w:rsidRPr="00256467">
        <w:rPr>
          <w:rFonts w:ascii="Cambria" w:hAnsi="Cambria"/>
          <w:sz w:val="16"/>
          <w:szCs w:val="16"/>
          <w:lang w:val="es-VE"/>
        </w:rPr>
        <w:t>peticionaria</w:t>
      </w:r>
      <w:r w:rsidRPr="00256467">
        <w:rPr>
          <w:rFonts w:ascii="Cambria" w:hAnsi="Cambria"/>
          <w:sz w:val="16"/>
          <w:szCs w:val="16"/>
          <w:lang w:val="es-VE"/>
        </w:rPr>
        <w:t xml:space="preserve"> de 22 de agosto de 2008.</w:t>
      </w:r>
    </w:p>
  </w:footnote>
  <w:footnote w:id="37">
    <w:p w14:paraId="5DC8B3F1"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Anexo </w:t>
      </w:r>
      <w:r w:rsidR="00862E47" w:rsidRPr="00256467">
        <w:rPr>
          <w:rFonts w:ascii="Cambria" w:hAnsi="Cambria"/>
          <w:sz w:val="16"/>
          <w:szCs w:val="16"/>
          <w:lang w:val="es-MX"/>
        </w:rPr>
        <w:t>7</w:t>
      </w:r>
      <w:r w:rsidRPr="00256467">
        <w:rPr>
          <w:rFonts w:ascii="Cambria" w:hAnsi="Cambria"/>
          <w:sz w:val="16"/>
          <w:szCs w:val="16"/>
          <w:lang w:val="es-MX"/>
        </w:rPr>
        <w:t xml:space="preserve">. Resolución No.110 del </w:t>
      </w:r>
      <w:r w:rsidRPr="00256467">
        <w:rPr>
          <w:rFonts w:ascii="Cambria" w:hAnsi="Cambria"/>
          <w:sz w:val="16"/>
          <w:szCs w:val="16"/>
          <w:lang w:val="es-VE"/>
        </w:rPr>
        <w:t xml:space="preserve">Juzgado Superior en lo Penal Circunscripción Judicial del Estado de Zulia Maracaibo de 28 de enero de 1999. Anexo </w:t>
      </w:r>
      <w:r w:rsidRPr="00256467">
        <w:rPr>
          <w:rFonts w:ascii="Cambria" w:hAnsi="Cambria"/>
          <w:sz w:val="16"/>
          <w:szCs w:val="16"/>
          <w:lang w:val="es-MX"/>
        </w:rPr>
        <w:t xml:space="preserve">a la comunicación </w:t>
      </w:r>
      <w:r w:rsidRPr="00256467">
        <w:rPr>
          <w:rFonts w:ascii="Cambria" w:hAnsi="Cambria"/>
          <w:sz w:val="16"/>
          <w:szCs w:val="16"/>
          <w:lang w:val="es-VE"/>
        </w:rPr>
        <w:t xml:space="preserve">de la parte </w:t>
      </w:r>
      <w:r w:rsidR="00862E47" w:rsidRPr="00256467">
        <w:rPr>
          <w:rFonts w:ascii="Cambria" w:hAnsi="Cambria"/>
          <w:sz w:val="16"/>
          <w:szCs w:val="16"/>
          <w:lang w:val="es-VE"/>
        </w:rPr>
        <w:t>peticionaria</w:t>
      </w:r>
      <w:r w:rsidRPr="00256467">
        <w:rPr>
          <w:rFonts w:ascii="Cambria" w:hAnsi="Cambria"/>
          <w:sz w:val="16"/>
          <w:szCs w:val="16"/>
          <w:lang w:val="es-VE"/>
        </w:rPr>
        <w:t xml:space="preserve"> de 22 de agosto de 2008.</w:t>
      </w:r>
    </w:p>
  </w:footnote>
  <w:footnote w:id="38">
    <w:p w14:paraId="77AC1371"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Acta policial de la División de la Inteligencia de 28 de enero de 1999. Anexo a la comunicación del Estado de 17 de mayo de 2012. CD. Anexo 5, pág. 132. </w:t>
      </w:r>
    </w:p>
  </w:footnote>
  <w:footnote w:id="39">
    <w:p w14:paraId="1F72CFA9"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Acta de declaración de 10 de enero de 1999. Anexo a la comunicación del Estado de 17 de mayo de 2012. CD. Anexo 5, pág. 158. </w:t>
      </w:r>
    </w:p>
  </w:footnote>
  <w:footnote w:id="40">
    <w:p w14:paraId="129558BE"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Acta de declaración de 10 de enero de 1999. Anexo a la comunicación del Estado de 17 de mayo de 2012. CD. Anexo 5, pág. 167. </w:t>
      </w:r>
    </w:p>
  </w:footnote>
  <w:footnote w:id="41">
    <w:p w14:paraId="067A3C68"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Boleta de Detención Preventiva del Cuerpo Técnico de la Policía Judicial Delegación de Zulia Brigada Contra Homicidios de 29 de enero de 1999. Anexo a la comunicación del Estado de 17 de mayo de 2012. CD. Anexo 5, pág. 136 </w:t>
      </w:r>
    </w:p>
  </w:footnote>
  <w:footnote w:id="42">
    <w:p w14:paraId="1A6C0AEB"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w:t>
      </w:r>
      <w:r w:rsidR="00862E47" w:rsidRPr="00256467">
        <w:rPr>
          <w:rFonts w:ascii="Cambria" w:hAnsi="Cambria"/>
          <w:sz w:val="16"/>
          <w:szCs w:val="16"/>
          <w:lang w:val="es-MX"/>
        </w:rPr>
        <w:t xml:space="preserve"> 5</w:t>
      </w:r>
      <w:r w:rsidRPr="00256467">
        <w:rPr>
          <w:rFonts w:ascii="Cambria" w:hAnsi="Cambria"/>
          <w:sz w:val="16"/>
          <w:szCs w:val="16"/>
          <w:lang w:val="es-MX"/>
        </w:rPr>
        <w:t>. Escrito de Luis Guillermo González ante el Juzgado Primero de Primera Instancia en lo Penal de 5 de febrero de 1999. Anexo a la comunicación del Estado de 17 de mayo de 2012. CD. Anexo 5, pág. 150. Escrito de Olimpiades González ante el Juzgado Primero de Primera Instancia en lo Penal de 5 de febrero de 1999. Anexo a la comunicación del Estado de 17 de mayo de 2012. CD. Anexo 5, pág. 151. Escrito de Wilmer Antonio Barliza González ante el Juzgado Primero de Primera Instancia en lo Penal de 5 de febrero de 1999. Anexo a la comunicación del Estado de 17 de mayo de 2012. CD. Anexo 5, pág. 152.</w:t>
      </w:r>
    </w:p>
  </w:footnote>
  <w:footnote w:id="43">
    <w:p w14:paraId="3DEBA87F"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Acta de declaración de 10 de enero de 1999. Anexo a la comunicación del Estado de 17 de mayo de 2012. CD. Anexo 5, págs. 157,</w:t>
      </w:r>
      <w:r w:rsidR="0089537D" w:rsidRPr="00256467">
        <w:rPr>
          <w:rFonts w:ascii="Cambria" w:hAnsi="Cambria"/>
          <w:sz w:val="16"/>
          <w:szCs w:val="16"/>
          <w:lang w:val="es-MX"/>
        </w:rPr>
        <w:t xml:space="preserve"> </w:t>
      </w:r>
      <w:r w:rsidRPr="00256467">
        <w:rPr>
          <w:rFonts w:ascii="Cambria" w:hAnsi="Cambria"/>
          <w:sz w:val="16"/>
          <w:szCs w:val="16"/>
          <w:lang w:val="es-MX"/>
        </w:rPr>
        <w:t>162 y 170.</w:t>
      </w:r>
    </w:p>
  </w:footnote>
  <w:footnote w:id="44">
    <w:p w14:paraId="14ABE2C9"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Anexo </w:t>
      </w:r>
      <w:r w:rsidR="00862E47" w:rsidRPr="00256467">
        <w:rPr>
          <w:rFonts w:ascii="Cambria" w:hAnsi="Cambria"/>
          <w:sz w:val="16"/>
          <w:szCs w:val="16"/>
          <w:lang w:val="es-MX"/>
        </w:rPr>
        <w:t>5</w:t>
      </w:r>
      <w:r w:rsidRPr="00256467">
        <w:rPr>
          <w:rFonts w:ascii="Cambria" w:hAnsi="Cambria"/>
          <w:sz w:val="16"/>
          <w:szCs w:val="16"/>
          <w:lang w:val="es-MX"/>
        </w:rPr>
        <w:t>. Acta de declaración de 10 de enero de 1999. Anexo a la comunicación del Estado de 17 de mayo de 2012. CD. Anexo 5, pág. 170.</w:t>
      </w:r>
    </w:p>
  </w:footnote>
  <w:footnote w:id="45">
    <w:p w14:paraId="2127F9E9" w14:textId="77777777" w:rsidR="00D329F5" w:rsidRPr="00256467" w:rsidRDefault="00D329F5" w:rsidP="00B26282">
      <w:pPr>
        <w:pStyle w:val="Textonotapie"/>
        <w:jc w:val="both"/>
        <w:rPr>
          <w:rFonts w:ascii="Cambria" w:hAnsi="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8</w:t>
      </w:r>
      <w:r w:rsidRPr="00256467">
        <w:rPr>
          <w:rFonts w:ascii="Cambria" w:hAnsi="Cambria"/>
          <w:sz w:val="16"/>
          <w:szCs w:val="16"/>
          <w:lang w:val="es-MX"/>
        </w:rPr>
        <w:t xml:space="preserve">. Resolución No. 075 del </w:t>
      </w:r>
      <w:r w:rsidRPr="00256467">
        <w:rPr>
          <w:rFonts w:ascii="Cambria" w:hAnsi="Cambria"/>
          <w:sz w:val="16"/>
          <w:szCs w:val="16"/>
          <w:lang w:val="es-VE"/>
        </w:rPr>
        <w:t>Juzgado de lo Primero de Primer Instancia en lo Penal Circunscripción judicial del Estado de Zulia Maracaibo</w:t>
      </w:r>
      <w:r w:rsidRPr="00256467">
        <w:rPr>
          <w:rFonts w:ascii="Cambria" w:hAnsi="Cambria"/>
          <w:sz w:val="16"/>
          <w:szCs w:val="16"/>
          <w:lang w:val="es-MX"/>
        </w:rPr>
        <w:t xml:space="preserve"> de 12 de febrero de 1999</w:t>
      </w:r>
      <w:r w:rsidRPr="00256467">
        <w:rPr>
          <w:rFonts w:ascii="Cambria" w:hAnsi="Cambria"/>
          <w:sz w:val="16"/>
          <w:szCs w:val="16"/>
          <w:lang w:val="es-ES"/>
        </w:rPr>
        <w:t xml:space="preserve">. Anexo a la comunicación de la parte </w:t>
      </w:r>
      <w:r w:rsidR="0089537D" w:rsidRPr="00256467">
        <w:rPr>
          <w:rFonts w:ascii="Cambria" w:hAnsi="Cambria"/>
          <w:sz w:val="16"/>
          <w:szCs w:val="16"/>
          <w:lang w:val="es-ES"/>
        </w:rPr>
        <w:t>p</w:t>
      </w:r>
      <w:r w:rsidR="00862E47" w:rsidRPr="00256467">
        <w:rPr>
          <w:rFonts w:ascii="Cambria" w:hAnsi="Cambria"/>
          <w:sz w:val="16"/>
          <w:szCs w:val="16"/>
          <w:lang w:val="es-ES"/>
        </w:rPr>
        <w:t>eticionaria</w:t>
      </w:r>
      <w:r w:rsidRPr="00256467">
        <w:rPr>
          <w:rFonts w:ascii="Cambria" w:hAnsi="Cambria"/>
          <w:sz w:val="16"/>
          <w:szCs w:val="16"/>
          <w:lang w:val="es-ES"/>
        </w:rPr>
        <w:t xml:space="preserve"> de 22 de agosto de 2008.</w:t>
      </w:r>
    </w:p>
  </w:footnote>
  <w:footnote w:id="46">
    <w:p w14:paraId="15AB1EAA"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Escrito en nombre de los detenidos ante el Juzgado Primero de Primera Instancia en lo penal. Anexo a la comunicación del Estado de 17 de mayo de 2012. CD. Anexo 5, pág. 174. </w:t>
      </w:r>
    </w:p>
  </w:footnote>
  <w:footnote w:id="47">
    <w:p w14:paraId="60C40A04"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Escrito del Juzgado Primero de Primera Instancia de lo Penal de 19 de febrero de 1999. Anexo a la comunicación del Estado de 17 de mayo de 2012. CD. Anexo 5, pág. 183. </w:t>
      </w:r>
    </w:p>
  </w:footnote>
  <w:footnote w:id="48">
    <w:p w14:paraId="5BC12660"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Informe del </w:t>
      </w:r>
      <w:proofErr w:type="gramStart"/>
      <w:r w:rsidRPr="00256467">
        <w:rPr>
          <w:rFonts w:ascii="Cambria" w:hAnsi="Cambria"/>
          <w:sz w:val="16"/>
          <w:szCs w:val="16"/>
          <w:lang w:val="es-MX"/>
        </w:rPr>
        <w:t>Director</w:t>
      </w:r>
      <w:proofErr w:type="gramEnd"/>
      <w:r w:rsidRPr="00256467">
        <w:rPr>
          <w:rFonts w:ascii="Cambria" w:hAnsi="Cambria"/>
          <w:sz w:val="16"/>
          <w:szCs w:val="16"/>
          <w:lang w:val="es-MX"/>
        </w:rPr>
        <w:t xml:space="preserve"> de la Cárcel Nacional de Maracaibo de 23 de febrero de 1999. Anexo a la comunicación del Estado de 17 de mayo de 2012. CD. Anexo 5, pág. 187.</w:t>
      </w:r>
    </w:p>
  </w:footnote>
  <w:footnote w:id="49">
    <w:p w14:paraId="1BEA126F" w14:textId="77777777" w:rsidR="00D329F5" w:rsidRPr="00256467" w:rsidRDefault="00D329F5" w:rsidP="00B26282">
      <w:pPr>
        <w:pStyle w:val="Textonotapie"/>
        <w:jc w:val="both"/>
        <w:rPr>
          <w:rFonts w:ascii="Cambria" w:hAnsi="Cambria"/>
          <w:sz w:val="16"/>
          <w:szCs w:val="16"/>
          <w:lang w:val="es-ES_tradnl"/>
        </w:rPr>
      </w:pPr>
      <w:r w:rsidRPr="00256467">
        <w:rPr>
          <w:rStyle w:val="Refdenotaalpie"/>
          <w:rFonts w:ascii="Cambria" w:hAnsi="Cambria"/>
          <w:sz w:val="16"/>
          <w:szCs w:val="16"/>
        </w:rPr>
        <w:footnoteRef/>
      </w:r>
      <w:r w:rsidRPr="00256467">
        <w:rPr>
          <w:rFonts w:ascii="Cambria" w:hAnsi="Cambria"/>
          <w:sz w:val="16"/>
          <w:szCs w:val="16"/>
          <w:lang w:val="es-MX"/>
        </w:rPr>
        <w:t xml:space="preserve"> </w:t>
      </w:r>
      <w:r w:rsidRPr="00256467">
        <w:rPr>
          <w:rFonts w:ascii="Cambria" w:hAnsi="Cambria"/>
          <w:sz w:val="16"/>
          <w:szCs w:val="16"/>
          <w:lang w:val="es-ES_tradnl"/>
        </w:rPr>
        <w:t xml:space="preserve">Anexo </w:t>
      </w:r>
      <w:r w:rsidR="00862E47" w:rsidRPr="00256467">
        <w:rPr>
          <w:rFonts w:ascii="Cambria" w:hAnsi="Cambria"/>
          <w:sz w:val="16"/>
          <w:szCs w:val="16"/>
          <w:lang w:val="es-ES_tradnl"/>
        </w:rPr>
        <w:t>5</w:t>
      </w:r>
      <w:r w:rsidRPr="00256467">
        <w:rPr>
          <w:rFonts w:ascii="Cambria" w:hAnsi="Cambria"/>
          <w:sz w:val="16"/>
          <w:szCs w:val="16"/>
          <w:lang w:val="es-ES_tradnl"/>
        </w:rPr>
        <w:t xml:space="preserve">. Escrito de las representantes legales de 2 de marzo de 1999. </w:t>
      </w:r>
      <w:r w:rsidRPr="00256467">
        <w:rPr>
          <w:rFonts w:ascii="Cambria" w:hAnsi="Cambria"/>
          <w:sz w:val="16"/>
          <w:szCs w:val="16"/>
          <w:lang w:val="es-MX"/>
        </w:rPr>
        <w:t>Anexo a la comunicación del Estado de 17 de mayo de 2012. CD. Anexo 5, pág. 189.</w:t>
      </w:r>
    </w:p>
  </w:footnote>
  <w:footnote w:id="50">
    <w:p w14:paraId="7DD1F2D4" w14:textId="77777777" w:rsidR="00D329F5" w:rsidRPr="00256467" w:rsidRDefault="00D329F5" w:rsidP="00B26282">
      <w:pPr>
        <w:pStyle w:val="Textonotapie"/>
        <w:jc w:val="both"/>
        <w:rPr>
          <w:rFonts w:ascii="Cambria" w:hAnsi="Cambria"/>
          <w:sz w:val="16"/>
          <w:szCs w:val="16"/>
          <w:lang w:val="es-ES_tradnl"/>
        </w:rPr>
      </w:pPr>
      <w:r w:rsidRPr="00256467">
        <w:rPr>
          <w:rStyle w:val="Refdenotaalpie"/>
          <w:rFonts w:ascii="Cambria" w:hAnsi="Cambria"/>
          <w:sz w:val="16"/>
          <w:szCs w:val="16"/>
        </w:rPr>
        <w:footnoteRef/>
      </w:r>
      <w:r w:rsidRPr="00256467">
        <w:rPr>
          <w:rFonts w:ascii="Cambria" w:hAnsi="Cambria"/>
          <w:sz w:val="16"/>
          <w:szCs w:val="16"/>
          <w:lang w:val="es-MX"/>
        </w:rPr>
        <w:t xml:space="preserve"> </w:t>
      </w:r>
      <w:r w:rsidRPr="00256467">
        <w:rPr>
          <w:rFonts w:ascii="Cambria" w:hAnsi="Cambria"/>
          <w:sz w:val="16"/>
          <w:szCs w:val="16"/>
          <w:lang w:val="es-ES_tradnl"/>
        </w:rPr>
        <w:t xml:space="preserve">Anexo </w:t>
      </w:r>
      <w:r w:rsidR="00862E47" w:rsidRPr="00256467">
        <w:rPr>
          <w:rFonts w:ascii="Cambria" w:hAnsi="Cambria"/>
          <w:sz w:val="16"/>
          <w:szCs w:val="16"/>
          <w:lang w:val="es-ES_tradnl"/>
        </w:rPr>
        <w:t>5</w:t>
      </w:r>
      <w:r w:rsidRPr="00256467">
        <w:rPr>
          <w:rFonts w:ascii="Cambria" w:hAnsi="Cambria"/>
          <w:sz w:val="16"/>
          <w:szCs w:val="16"/>
          <w:lang w:val="es-ES_tradnl"/>
        </w:rPr>
        <w:t xml:space="preserve">. Oficio del Centro de Arrestos y Detenciones Preventivas El Marite de 3 de marzo de 1999. </w:t>
      </w:r>
      <w:r w:rsidRPr="00256467">
        <w:rPr>
          <w:rFonts w:ascii="Cambria" w:hAnsi="Cambria"/>
          <w:sz w:val="16"/>
          <w:szCs w:val="16"/>
          <w:lang w:val="es-MX"/>
        </w:rPr>
        <w:t>Anexo a la comunicación del Estado de 17 de mayo de 2012. CD. Anexo 5, pág. 190.</w:t>
      </w:r>
    </w:p>
  </w:footnote>
  <w:footnote w:id="51">
    <w:p w14:paraId="7A5DAC4B"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w:t>
      </w:r>
      <w:r w:rsidRPr="00256467">
        <w:rPr>
          <w:rFonts w:ascii="Cambria" w:hAnsi="Cambria"/>
          <w:sz w:val="16"/>
          <w:szCs w:val="16"/>
          <w:lang w:val="es-ES"/>
        </w:rPr>
        <w:t xml:space="preserve"> Escrito de los detenidos ante el Juez Primero de Primera Instancia en lo Penal de 5 de marzo de 1999. Anexo a la comunicación del Estado de 17 de mayo de 2012. CD. Anexo 5, pág</w:t>
      </w:r>
      <w:r w:rsidR="0089537D" w:rsidRPr="00256467">
        <w:rPr>
          <w:rFonts w:ascii="Cambria" w:hAnsi="Cambria"/>
          <w:sz w:val="16"/>
          <w:szCs w:val="16"/>
          <w:lang w:val="es-ES"/>
        </w:rPr>
        <w:t>s</w:t>
      </w:r>
      <w:r w:rsidRPr="00256467">
        <w:rPr>
          <w:rFonts w:ascii="Cambria" w:hAnsi="Cambria"/>
          <w:sz w:val="16"/>
          <w:szCs w:val="16"/>
          <w:lang w:val="es-ES"/>
        </w:rPr>
        <w:t xml:space="preserve">. 193, 194. </w:t>
      </w:r>
    </w:p>
  </w:footnote>
  <w:footnote w:id="52">
    <w:p w14:paraId="76A7AE0E"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Resolución del Juzgado Superior Cuarto de 8 de abril de 1999. Anexo a la comunicación del Estado de 17 de mayo de 2012. CD. Anexo 5, pág. 204.</w:t>
      </w:r>
    </w:p>
  </w:footnote>
  <w:footnote w:id="53">
    <w:p w14:paraId="19CD562F"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9</w:t>
      </w:r>
      <w:r w:rsidRPr="00256467">
        <w:rPr>
          <w:rFonts w:ascii="Cambria" w:hAnsi="Cambria"/>
          <w:sz w:val="16"/>
          <w:szCs w:val="16"/>
          <w:lang w:val="es-MX"/>
        </w:rPr>
        <w:t xml:space="preserve">. Resolución del </w:t>
      </w:r>
      <w:r w:rsidRPr="00256467">
        <w:rPr>
          <w:rFonts w:ascii="Cambria" w:hAnsi="Cambria"/>
          <w:sz w:val="16"/>
          <w:szCs w:val="16"/>
          <w:lang w:val="es-VE"/>
        </w:rPr>
        <w:t>el Juzgado Superior Noveno en lo Penal de la Circunscripción Judicial del Estado de Zulia Maracaibo</w:t>
      </w:r>
      <w:r w:rsidRPr="00256467">
        <w:rPr>
          <w:rFonts w:ascii="Cambria" w:hAnsi="Cambria"/>
          <w:sz w:val="16"/>
          <w:szCs w:val="16"/>
          <w:lang w:val="es-MX"/>
        </w:rPr>
        <w:t xml:space="preserve"> de 21de abril de 1999. Anexo a la comunicación de la parte </w:t>
      </w:r>
      <w:r w:rsidR="0089537D" w:rsidRPr="00256467">
        <w:rPr>
          <w:rFonts w:ascii="Cambria" w:hAnsi="Cambria"/>
          <w:sz w:val="16"/>
          <w:szCs w:val="16"/>
          <w:lang w:val="es-MX"/>
        </w:rPr>
        <w:t>p</w:t>
      </w:r>
      <w:r w:rsidR="00862E47" w:rsidRPr="00256467">
        <w:rPr>
          <w:rFonts w:ascii="Cambria" w:hAnsi="Cambria"/>
          <w:sz w:val="16"/>
          <w:szCs w:val="16"/>
          <w:lang w:val="es-MX"/>
        </w:rPr>
        <w:t>eticionaria</w:t>
      </w:r>
      <w:r w:rsidRPr="00256467">
        <w:rPr>
          <w:rFonts w:ascii="Cambria" w:hAnsi="Cambria"/>
          <w:sz w:val="16"/>
          <w:szCs w:val="16"/>
          <w:lang w:val="es-MX"/>
        </w:rPr>
        <w:t xml:space="preserve"> de22 de agosto de 2008.</w:t>
      </w:r>
    </w:p>
  </w:footnote>
  <w:footnote w:id="54">
    <w:p w14:paraId="75700FBB"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Boleta de Excarcelación del Juzgado Superior Noveno en lo Penal de 21 de abril de 1999. Anexo a la comunicación del Estado de 17 de mayo de 2012. CD. Anexo 5, pág. 214.</w:t>
      </w:r>
    </w:p>
  </w:footnote>
  <w:footnote w:id="55">
    <w:p w14:paraId="67185DC9"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Boleta de Excarcelación del Juzgado Superior Noveno en lo Penal de 21 de abril de 1999. Anexo a la comunicación del Estado de 17 de mayo de 2012. CD. Anexo 5, pág. 215.</w:t>
      </w:r>
    </w:p>
  </w:footnote>
  <w:footnote w:id="56">
    <w:p w14:paraId="2CD2D4BE"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00862E47" w:rsidRPr="00256467">
        <w:rPr>
          <w:rFonts w:ascii="Cambria" w:hAnsi="Cambria"/>
          <w:sz w:val="16"/>
          <w:szCs w:val="16"/>
          <w:lang w:val="es-MX"/>
        </w:rPr>
        <w:t xml:space="preserve"> Anexo 5</w:t>
      </w:r>
      <w:r w:rsidRPr="00256467">
        <w:rPr>
          <w:rFonts w:ascii="Cambria" w:hAnsi="Cambria"/>
          <w:sz w:val="16"/>
          <w:szCs w:val="16"/>
          <w:lang w:val="es-MX"/>
        </w:rPr>
        <w:t>. Acusación de la Fiscalía Cuarta del Ministerio Público del Circuito Judicial Penal del Estado de Zulia de 30 de julio de 1999. Anexo a la comunicación del Estado de 17 de mayo de 2012. CD. Anexo 6, pág. 13-17.</w:t>
      </w:r>
    </w:p>
  </w:footnote>
  <w:footnote w:id="57">
    <w:p w14:paraId="2F384601" w14:textId="77777777" w:rsidR="00D329F5" w:rsidRPr="00256467" w:rsidRDefault="00D329F5" w:rsidP="00B26282">
      <w:pPr>
        <w:pStyle w:val="Textonotapie"/>
        <w:jc w:val="both"/>
        <w:rPr>
          <w:rFonts w:ascii="Cambria" w:hAnsi="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MX"/>
        </w:rPr>
        <w:t xml:space="preserve"> </w:t>
      </w:r>
      <w:r w:rsidRPr="00256467">
        <w:rPr>
          <w:rFonts w:ascii="Cambria" w:hAnsi="Cambria"/>
          <w:sz w:val="16"/>
          <w:szCs w:val="16"/>
          <w:lang w:val="es-ES"/>
        </w:rPr>
        <w:t xml:space="preserve">Anexo </w:t>
      </w:r>
      <w:r w:rsidR="00862E47" w:rsidRPr="00256467">
        <w:rPr>
          <w:rFonts w:ascii="Cambria" w:hAnsi="Cambria"/>
          <w:sz w:val="16"/>
          <w:szCs w:val="16"/>
          <w:lang w:val="es-ES"/>
        </w:rPr>
        <w:t>5</w:t>
      </w:r>
      <w:r w:rsidRPr="00256467">
        <w:rPr>
          <w:rFonts w:ascii="Cambria" w:hAnsi="Cambria"/>
          <w:sz w:val="16"/>
          <w:szCs w:val="16"/>
          <w:lang w:val="es-ES"/>
        </w:rPr>
        <w:t xml:space="preserve">. Escrito de los detenidos de 2 de </w:t>
      </w:r>
      <w:proofErr w:type="gramStart"/>
      <w:r w:rsidRPr="00256467">
        <w:rPr>
          <w:rFonts w:ascii="Cambria" w:hAnsi="Cambria"/>
          <w:sz w:val="16"/>
          <w:szCs w:val="16"/>
          <w:lang w:val="es-ES"/>
        </w:rPr>
        <w:t>Agosto</w:t>
      </w:r>
      <w:proofErr w:type="gramEnd"/>
      <w:r w:rsidRPr="00256467">
        <w:rPr>
          <w:rFonts w:ascii="Cambria" w:hAnsi="Cambria"/>
          <w:sz w:val="16"/>
          <w:szCs w:val="16"/>
          <w:lang w:val="es-ES"/>
        </w:rPr>
        <w:t xml:space="preserve"> de 1999. Anexo a la comunicación del Estado de 17 de mayo de 2012.CD. Anexo 6, pág. 20; Anexo </w:t>
      </w:r>
      <w:r w:rsidR="00862E47" w:rsidRPr="00256467">
        <w:rPr>
          <w:rFonts w:ascii="Cambria" w:hAnsi="Cambria"/>
          <w:sz w:val="16"/>
          <w:szCs w:val="16"/>
          <w:lang w:val="es-ES"/>
        </w:rPr>
        <w:t>10</w:t>
      </w:r>
      <w:r w:rsidRPr="00256467">
        <w:rPr>
          <w:rFonts w:ascii="Cambria" w:hAnsi="Cambria"/>
          <w:sz w:val="16"/>
          <w:szCs w:val="16"/>
          <w:lang w:val="es-ES"/>
        </w:rPr>
        <w:t xml:space="preserve">. Acta de Recepción del Circuito Judicial Penal del Estado de Zulia de 2 de agosto de 1999.  </w:t>
      </w:r>
    </w:p>
  </w:footnote>
  <w:footnote w:id="58">
    <w:p w14:paraId="1CE26B0F" w14:textId="77777777" w:rsidR="00D52400" w:rsidRPr="00256467" w:rsidRDefault="00D52400" w:rsidP="00B2628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16"/>
          <w:szCs w:val="16"/>
          <w:lang w:val="es-VE"/>
        </w:rPr>
      </w:pPr>
      <w:r w:rsidRPr="00256467">
        <w:rPr>
          <w:rStyle w:val="Refdenotaalpie"/>
          <w:rFonts w:ascii="Cambria" w:hAnsi="Cambria"/>
          <w:sz w:val="16"/>
          <w:szCs w:val="16"/>
        </w:rPr>
        <w:footnoteRef/>
      </w:r>
      <w:r w:rsidRPr="00256467">
        <w:rPr>
          <w:rFonts w:ascii="Cambria" w:hAnsi="Cambria"/>
          <w:sz w:val="16"/>
          <w:szCs w:val="16"/>
          <w:lang w:val="es-ES"/>
        </w:rPr>
        <w:t xml:space="preserve"> </w:t>
      </w:r>
      <w:r w:rsidRPr="00256467">
        <w:rPr>
          <w:rFonts w:ascii="Cambria" w:hAnsi="Cambria"/>
          <w:sz w:val="16"/>
          <w:szCs w:val="16"/>
          <w:lang w:val="es-VE"/>
        </w:rPr>
        <w:t>Artículo 259. Procedencia. El juez de control, a solicitud del Ministerio Público, podrá decretar ña privación preventiva de libertad del imputado siempre que se acredite la existencia de:</w:t>
      </w:r>
    </w:p>
    <w:p w14:paraId="3531D7FF" w14:textId="77777777" w:rsidR="00D52400" w:rsidRPr="00256467" w:rsidRDefault="00D52400" w:rsidP="00B2628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16"/>
          <w:szCs w:val="16"/>
          <w:lang w:val="es-VE"/>
        </w:rPr>
      </w:pPr>
      <w:r w:rsidRPr="00256467">
        <w:rPr>
          <w:rFonts w:ascii="Cambria" w:hAnsi="Cambria"/>
          <w:sz w:val="16"/>
          <w:szCs w:val="16"/>
          <w:lang w:val="es-VE"/>
        </w:rPr>
        <w:t>1. Un hecho punible que merezca pena privativa de libertad y cuya acción penal no se encuentre evidentemente prescrita;</w:t>
      </w:r>
    </w:p>
    <w:p w14:paraId="5438184B" w14:textId="77777777" w:rsidR="00D52400" w:rsidRPr="00256467" w:rsidRDefault="00D52400" w:rsidP="00B2628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16"/>
          <w:szCs w:val="16"/>
          <w:lang w:val="es-VE"/>
        </w:rPr>
      </w:pPr>
      <w:r w:rsidRPr="00256467">
        <w:rPr>
          <w:rFonts w:ascii="Cambria" w:hAnsi="Cambria"/>
          <w:sz w:val="16"/>
          <w:szCs w:val="16"/>
          <w:lang w:val="es-VE"/>
        </w:rPr>
        <w:t>2. Fundados elementos de convicción para estimar que el imputado ha sido autor o participe la comisión de un hecho punible;</w:t>
      </w:r>
    </w:p>
    <w:p w14:paraId="0708DA1A" w14:textId="77777777" w:rsidR="00D52400" w:rsidRPr="00256467" w:rsidRDefault="00D52400" w:rsidP="00B2628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16"/>
          <w:szCs w:val="16"/>
          <w:lang w:val="es-VE"/>
        </w:rPr>
      </w:pPr>
      <w:r w:rsidRPr="00256467">
        <w:rPr>
          <w:rFonts w:ascii="Cambria" w:hAnsi="Cambria"/>
          <w:sz w:val="16"/>
          <w:szCs w:val="16"/>
          <w:lang w:val="es-VE"/>
        </w:rPr>
        <w:t xml:space="preserve">3. Una presunción razonable, por la apreciación de las circunstancias del caso particular, de peligro de fuga o de obstaculización en la búsqueda de la verdad respecto de un acto concreto de investigación. </w:t>
      </w:r>
    </w:p>
    <w:p w14:paraId="79A3DDA6" w14:textId="77777777" w:rsidR="00D52400" w:rsidRPr="00256467" w:rsidRDefault="00D52400" w:rsidP="00B2628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16"/>
          <w:szCs w:val="16"/>
          <w:lang w:val="es-VE"/>
        </w:rPr>
      </w:pPr>
      <w:r w:rsidRPr="00256467">
        <w:rPr>
          <w:rFonts w:ascii="Cambria" w:hAnsi="Cambria"/>
          <w:sz w:val="16"/>
          <w:szCs w:val="16"/>
          <w:lang w:val="es-VE"/>
        </w:rPr>
        <w:t xml:space="preserve">En todo caso que el imputado sea aprehendido, deberá ser puesto a la orden del juez para que éste decida, después de oírlo, dentro de las cuarenta y ocho horas siguientes, sobre la libertad o la privación preventiva de ella, cuando el Ministerio Público solicite la aplicación de esta medida. </w:t>
      </w:r>
    </w:p>
    <w:p w14:paraId="1E7B3114" w14:textId="77777777" w:rsidR="00D52400" w:rsidRPr="00256467" w:rsidRDefault="00D52400" w:rsidP="00B2628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16"/>
          <w:szCs w:val="16"/>
          <w:lang w:val="es-VE"/>
        </w:rPr>
      </w:pPr>
      <w:r w:rsidRPr="00256467">
        <w:rPr>
          <w:rFonts w:ascii="Cambria" w:hAnsi="Cambria"/>
          <w:sz w:val="16"/>
          <w:szCs w:val="16"/>
          <w:lang w:val="es-VE"/>
        </w:rPr>
        <w:t xml:space="preserve">Decretada la privación preventiva judicial de libertad durante la fase preparatoria, el fiscal deberá presentar la acusación, solicitar el sobreseimiento o, en su caso, archivar las actuaciones, a más tardar dentro de los veinte días siguientes a la decisión judicial. </w:t>
      </w:r>
    </w:p>
    <w:p w14:paraId="771684D5" w14:textId="77777777" w:rsidR="00D52400" w:rsidRPr="00256467" w:rsidRDefault="00D52400" w:rsidP="00B2628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16"/>
          <w:szCs w:val="16"/>
          <w:lang w:val="es-VE"/>
        </w:rPr>
      </w:pPr>
      <w:r w:rsidRPr="00256467">
        <w:rPr>
          <w:rFonts w:ascii="Cambria" w:hAnsi="Cambria"/>
          <w:sz w:val="16"/>
          <w:szCs w:val="16"/>
          <w:lang w:val="es-VE"/>
        </w:rPr>
        <w:t xml:space="preserve">Vencido este lapso sin que el fiscal haya presentado la acusación, el detenido quedará en libertad, mediante decisión del juez de control, quien podrá aplicarle una medida sustitutiva. </w:t>
      </w:r>
    </w:p>
  </w:footnote>
  <w:footnote w:id="59">
    <w:p w14:paraId="35F2E4E7"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Resolución del Juez Noveno de lo Penal de 16 de agosto de 1999. Anexo a la comunicación del Estado de 17 de mayo de 2012.</w:t>
      </w:r>
      <w:r w:rsidR="00862E47" w:rsidRPr="00256467">
        <w:rPr>
          <w:rFonts w:ascii="Cambria" w:hAnsi="Cambria"/>
          <w:sz w:val="16"/>
          <w:szCs w:val="16"/>
          <w:lang w:val="es-MX"/>
        </w:rPr>
        <w:t xml:space="preserve"> CD</w:t>
      </w:r>
      <w:r w:rsidRPr="00256467">
        <w:rPr>
          <w:rFonts w:ascii="Cambria" w:hAnsi="Cambria"/>
          <w:sz w:val="16"/>
          <w:szCs w:val="16"/>
          <w:lang w:val="es-MX"/>
        </w:rPr>
        <w:t>. Anexo 6, pág. 48.</w:t>
      </w:r>
    </w:p>
  </w:footnote>
  <w:footnote w:id="60">
    <w:p w14:paraId="42443FC5"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11</w:t>
      </w:r>
      <w:r w:rsidRPr="00256467">
        <w:rPr>
          <w:rFonts w:ascii="Cambria" w:hAnsi="Cambria"/>
          <w:sz w:val="16"/>
          <w:szCs w:val="16"/>
          <w:lang w:val="es-MX"/>
        </w:rPr>
        <w:t xml:space="preserve">. Acta de debate del Tribunal Mixto de Juicio de Primera Instancia en lo Penal del Circuito Judicial del Estado de Zulia de 28 y 29 de septiembre de 1999. Anexo a la comunicación de la parte </w:t>
      </w:r>
      <w:r w:rsidR="0089537D" w:rsidRPr="00256467">
        <w:rPr>
          <w:rFonts w:ascii="Cambria" w:hAnsi="Cambria"/>
          <w:sz w:val="16"/>
          <w:szCs w:val="16"/>
          <w:lang w:val="es-MX"/>
        </w:rPr>
        <w:t>p</w:t>
      </w:r>
      <w:r w:rsidR="00862E47" w:rsidRPr="00256467">
        <w:rPr>
          <w:rFonts w:ascii="Cambria" w:hAnsi="Cambria"/>
          <w:sz w:val="16"/>
          <w:szCs w:val="16"/>
          <w:lang w:val="es-MX"/>
        </w:rPr>
        <w:t>eticionaria</w:t>
      </w:r>
      <w:r w:rsidRPr="00256467">
        <w:rPr>
          <w:rFonts w:ascii="Cambria" w:hAnsi="Cambria"/>
          <w:sz w:val="16"/>
          <w:szCs w:val="16"/>
          <w:lang w:val="es-MX"/>
        </w:rPr>
        <w:t xml:space="preserve"> del 22 de agosto de 2008.</w:t>
      </w:r>
    </w:p>
  </w:footnote>
  <w:footnote w:id="61">
    <w:p w14:paraId="4F4F37D7"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Boleta de Excarcelación </w:t>
      </w:r>
      <w:proofErr w:type="gramStart"/>
      <w:r w:rsidRPr="00256467">
        <w:rPr>
          <w:rFonts w:ascii="Cambria" w:hAnsi="Cambria"/>
          <w:sz w:val="16"/>
          <w:szCs w:val="16"/>
          <w:lang w:val="es-MX"/>
        </w:rPr>
        <w:t>del  Juzgado</w:t>
      </w:r>
      <w:proofErr w:type="gramEnd"/>
      <w:r w:rsidRPr="00256467">
        <w:rPr>
          <w:rFonts w:ascii="Cambria" w:hAnsi="Cambria"/>
          <w:sz w:val="16"/>
          <w:szCs w:val="16"/>
          <w:lang w:val="es-MX"/>
        </w:rPr>
        <w:t xml:space="preserve"> Segundo de Juicio Circuito Judicial Penal del Estado de Zulia de 29 de septiembre de 1999. Anexo </w:t>
      </w:r>
      <w:r w:rsidRPr="00256467">
        <w:rPr>
          <w:rFonts w:ascii="Cambria" w:hAnsi="Cambria"/>
          <w:sz w:val="16"/>
          <w:szCs w:val="16"/>
          <w:lang w:val="es-VE"/>
        </w:rPr>
        <w:t xml:space="preserve">a la comunicación </w:t>
      </w:r>
      <w:r w:rsidRPr="00256467">
        <w:rPr>
          <w:rFonts w:ascii="Cambria" w:hAnsi="Cambria"/>
          <w:sz w:val="16"/>
          <w:szCs w:val="16"/>
          <w:lang w:val="es-MX"/>
        </w:rPr>
        <w:t>del Estado de 17 de mayo de 2012. CD. Anexo 6, págs. 124-128.</w:t>
      </w:r>
    </w:p>
  </w:footnote>
  <w:footnote w:id="62">
    <w:p w14:paraId="2D1E13B1"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5</w:t>
      </w:r>
      <w:r w:rsidRPr="00256467">
        <w:rPr>
          <w:rFonts w:ascii="Cambria" w:hAnsi="Cambria"/>
          <w:sz w:val="16"/>
          <w:szCs w:val="16"/>
          <w:lang w:val="es-MX"/>
        </w:rPr>
        <w:t xml:space="preserve">. Resolución del Juzgado Segundo de Juicio Circuito Judicial Penal de 20 de octubre de 1999. Anexo a la comunicación del Estado de 17 de mayo de 2012. CD. Anexo 6, pág. 129. </w:t>
      </w:r>
    </w:p>
  </w:footnote>
  <w:footnote w:id="63">
    <w:p w14:paraId="75E625F2"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12</w:t>
      </w:r>
      <w:r w:rsidRPr="00256467">
        <w:rPr>
          <w:rFonts w:ascii="Cambria" w:hAnsi="Cambria"/>
          <w:sz w:val="16"/>
          <w:szCs w:val="16"/>
          <w:lang w:val="es-MX"/>
        </w:rPr>
        <w:t xml:space="preserve">. Resolución No.024-01 </w:t>
      </w:r>
      <w:proofErr w:type="gramStart"/>
      <w:r w:rsidRPr="00256467">
        <w:rPr>
          <w:rFonts w:ascii="Cambria" w:hAnsi="Cambria"/>
          <w:sz w:val="16"/>
          <w:szCs w:val="16"/>
          <w:lang w:val="es-MX"/>
        </w:rPr>
        <w:t xml:space="preserve">de </w:t>
      </w:r>
      <w:r w:rsidRPr="00256467">
        <w:rPr>
          <w:rFonts w:ascii="Cambria" w:hAnsi="Cambria"/>
          <w:sz w:val="16"/>
          <w:szCs w:val="16"/>
          <w:lang w:val="es-VE"/>
        </w:rPr>
        <w:t xml:space="preserve"> Tribunal</w:t>
      </w:r>
      <w:proofErr w:type="gramEnd"/>
      <w:r w:rsidRPr="00256467">
        <w:rPr>
          <w:rFonts w:ascii="Cambria" w:hAnsi="Cambria"/>
          <w:sz w:val="16"/>
          <w:szCs w:val="16"/>
          <w:lang w:val="es-VE"/>
        </w:rPr>
        <w:t xml:space="preserve"> de Juicio No. 2 Circuito Judicial Penal del Estado de Zulia Maracaibo de 24 de agosto de 2001. Anexo a la comunicación de la parte </w:t>
      </w:r>
      <w:r w:rsidR="0089537D" w:rsidRPr="00256467">
        <w:rPr>
          <w:rFonts w:ascii="Cambria" w:hAnsi="Cambria"/>
          <w:sz w:val="16"/>
          <w:szCs w:val="16"/>
          <w:lang w:val="es-VE"/>
        </w:rPr>
        <w:t>p</w:t>
      </w:r>
      <w:r w:rsidR="00862E47" w:rsidRPr="00256467">
        <w:rPr>
          <w:rFonts w:ascii="Cambria" w:hAnsi="Cambria"/>
          <w:sz w:val="16"/>
          <w:szCs w:val="16"/>
          <w:lang w:val="es-VE"/>
        </w:rPr>
        <w:t>eticionaria</w:t>
      </w:r>
      <w:r w:rsidRPr="00256467">
        <w:rPr>
          <w:rFonts w:ascii="Cambria" w:hAnsi="Cambria"/>
          <w:sz w:val="16"/>
          <w:szCs w:val="16"/>
          <w:lang w:val="es-VE"/>
        </w:rPr>
        <w:t xml:space="preserve"> de 22 de </w:t>
      </w:r>
      <w:proofErr w:type="gramStart"/>
      <w:r w:rsidRPr="00256467">
        <w:rPr>
          <w:rFonts w:ascii="Cambria" w:hAnsi="Cambria"/>
          <w:sz w:val="16"/>
          <w:szCs w:val="16"/>
          <w:lang w:val="es-VE"/>
        </w:rPr>
        <w:t>Enero</w:t>
      </w:r>
      <w:proofErr w:type="gramEnd"/>
      <w:r w:rsidRPr="00256467">
        <w:rPr>
          <w:rFonts w:ascii="Cambria" w:hAnsi="Cambria"/>
          <w:sz w:val="16"/>
          <w:szCs w:val="16"/>
          <w:lang w:val="es-VE"/>
        </w:rPr>
        <w:t xml:space="preserve"> de 2004. </w:t>
      </w:r>
    </w:p>
  </w:footnote>
  <w:footnote w:id="64">
    <w:p w14:paraId="194A9B0B"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12</w:t>
      </w:r>
      <w:r w:rsidRPr="00256467">
        <w:rPr>
          <w:rFonts w:ascii="Cambria" w:hAnsi="Cambria"/>
          <w:sz w:val="16"/>
          <w:szCs w:val="16"/>
          <w:lang w:val="es-MX"/>
        </w:rPr>
        <w:t xml:space="preserve">. Resolución No.024-01 </w:t>
      </w:r>
      <w:proofErr w:type="gramStart"/>
      <w:r w:rsidRPr="00256467">
        <w:rPr>
          <w:rFonts w:ascii="Cambria" w:hAnsi="Cambria"/>
          <w:sz w:val="16"/>
          <w:szCs w:val="16"/>
          <w:lang w:val="es-MX"/>
        </w:rPr>
        <w:t xml:space="preserve">de </w:t>
      </w:r>
      <w:r w:rsidRPr="00256467">
        <w:rPr>
          <w:rFonts w:ascii="Cambria" w:hAnsi="Cambria"/>
          <w:sz w:val="16"/>
          <w:szCs w:val="16"/>
          <w:lang w:val="es-VE"/>
        </w:rPr>
        <w:t xml:space="preserve"> Tribunal</w:t>
      </w:r>
      <w:proofErr w:type="gramEnd"/>
      <w:r w:rsidRPr="00256467">
        <w:rPr>
          <w:rFonts w:ascii="Cambria" w:hAnsi="Cambria"/>
          <w:sz w:val="16"/>
          <w:szCs w:val="16"/>
          <w:lang w:val="es-VE"/>
        </w:rPr>
        <w:t xml:space="preserve"> de Juicio No. 2 Circuito Judicial Penal del Estado de Zulia Maracaibo de 24 de Agosto de 2001. Anexo a la comunicación de la parte </w:t>
      </w:r>
      <w:r w:rsidR="0089537D" w:rsidRPr="00256467">
        <w:rPr>
          <w:rFonts w:ascii="Cambria" w:hAnsi="Cambria"/>
          <w:sz w:val="16"/>
          <w:szCs w:val="16"/>
          <w:lang w:val="es-VE"/>
        </w:rPr>
        <w:t>p</w:t>
      </w:r>
      <w:r w:rsidR="00862E47" w:rsidRPr="00256467">
        <w:rPr>
          <w:rFonts w:ascii="Cambria" w:hAnsi="Cambria"/>
          <w:sz w:val="16"/>
          <w:szCs w:val="16"/>
          <w:lang w:val="es-VE"/>
        </w:rPr>
        <w:t>eticionaria</w:t>
      </w:r>
      <w:r w:rsidRPr="00256467">
        <w:rPr>
          <w:rFonts w:ascii="Cambria" w:hAnsi="Cambria"/>
          <w:sz w:val="16"/>
          <w:szCs w:val="16"/>
          <w:lang w:val="es-VE"/>
        </w:rPr>
        <w:t xml:space="preserve"> de 22 de </w:t>
      </w:r>
      <w:proofErr w:type="gramStart"/>
      <w:r w:rsidRPr="00256467">
        <w:rPr>
          <w:rFonts w:ascii="Cambria" w:hAnsi="Cambria"/>
          <w:sz w:val="16"/>
          <w:szCs w:val="16"/>
          <w:lang w:val="es-VE"/>
        </w:rPr>
        <w:t>Enero</w:t>
      </w:r>
      <w:proofErr w:type="gramEnd"/>
      <w:r w:rsidRPr="00256467">
        <w:rPr>
          <w:rFonts w:ascii="Cambria" w:hAnsi="Cambria"/>
          <w:sz w:val="16"/>
          <w:szCs w:val="16"/>
          <w:lang w:val="es-VE"/>
        </w:rPr>
        <w:t xml:space="preserve"> de 2004.</w:t>
      </w:r>
    </w:p>
  </w:footnote>
  <w:footnote w:id="65">
    <w:p w14:paraId="5E2ABEA6" w14:textId="77777777" w:rsidR="00D329F5" w:rsidRPr="00256467" w:rsidRDefault="00D329F5" w:rsidP="00B26282">
      <w:pPr>
        <w:pStyle w:val="Textonotapie"/>
        <w:jc w:val="both"/>
        <w:rPr>
          <w:rFonts w:ascii="Cambria" w:hAnsi="Cambria"/>
          <w:sz w:val="16"/>
          <w:szCs w:val="16"/>
          <w:lang w:val="es-VE"/>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12</w:t>
      </w:r>
      <w:r w:rsidRPr="00256467">
        <w:rPr>
          <w:rFonts w:ascii="Cambria" w:hAnsi="Cambria"/>
          <w:sz w:val="16"/>
          <w:szCs w:val="16"/>
          <w:lang w:val="es-MX"/>
        </w:rPr>
        <w:t xml:space="preserve">. Resolución No. 440 de la </w:t>
      </w:r>
      <w:r w:rsidRPr="00256467">
        <w:rPr>
          <w:rFonts w:ascii="Cambria" w:hAnsi="Cambria"/>
          <w:sz w:val="16"/>
          <w:szCs w:val="16"/>
          <w:lang w:val="es-VE"/>
        </w:rPr>
        <w:t xml:space="preserve">Sala No. 3 de la Corte de Apelaciones del Circuito Judicial Penal del Estado de Zulia de 26 de noviembre de 2001. Anexo </w:t>
      </w:r>
      <w:r w:rsidRPr="00256467">
        <w:rPr>
          <w:rFonts w:ascii="Cambria" w:hAnsi="Cambria"/>
          <w:sz w:val="16"/>
          <w:szCs w:val="16"/>
          <w:lang w:val="es-MX"/>
        </w:rPr>
        <w:t>a la comunicación</w:t>
      </w:r>
      <w:r w:rsidRPr="00256467">
        <w:rPr>
          <w:rFonts w:ascii="Cambria" w:hAnsi="Cambria"/>
          <w:sz w:val="16"/>
          <w:szCs w:val="16"/>
          <w:lang w:val="es-VE"/>
        </w:rPr>
        <w:t xml:space="preserve"> de la parte </w:t>
      </w:r>
      <w:r w:rsidR="0089537D" w:rsidRPr="00256467">
        <w:rPr>
          <w:rFonts w:ascii="Cambria" w:hAnsi="Cambria"/>
          <w:sz w:val="16"/>
          <w:szCs w:val="16"/>
          <w:lang w:val="es-VE"/>
        </w:rPr>
        <w:t>p</w:t>
      </w:r>
      <w:r w:rsidR="00862E47" w:rsidRPr="00256467">
        <w:rPr>
          <w:rFonts w:ascii="Cambria" w:hAnsi="Cambria"/>
          <w:sz w:val="16"/>
          <w:szCs w:val="16"/>
          <w:lang w:val="es-VE"/>
        </w:rPr>
        <w:t>eticionaria</w:t>
      </w:r>
      <w:r w:rsidRPr="00256467">
        <w:rPr>
          <w:rFonts w:ascii="Cambria" w:hAnsi="Cambria"/>
          <w:sz w:val="16"/>
          <w:szCs w:val="16"/>
          <w:lang w:val="es-VE"/>
        </w:rPr>
        <w:t xml:space="preserve"> de 22 de enero de 2004.</w:t>
      </w:r>
    </w:p>
  </w:footnote>
  <w:footnote w:id="66">
    <w:p w14:paraId="28E0D55A"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12</w:t>
      </w:r>
      <w:r w:rsidRPr="00256467">
        <w:rPr>
          <w:rFonts w:ascii="Cambria" w:hAnsi="Cambria"/>
          <w:sz w:val="16"/>
          <w:szCs w:val="16"/>
          <w:lang w:val="es-MX"/>
        </w:rPr>
        <w:t xml:space="preserve"> Resolución No. 440 de la </w:t>
      </w:r>
      <w:r w:rsidRPr="00256467">
        <w:rPr>
          <w:rFonts w:ascii="Cambria" w:hAnsi="Cambria"/>
          <w:sz w:val="16"/>
          <w:szCs w:val="16"/>
          <w:lang w:val="es-VE"/>
        </w:rPr>
        <w:t xml:space="preserve">Sala No. 3 de la Corte de Apelaciones del Circuito Judicial Penal del Estado de Zulia de 26 de noviembre de 2001. Anexo </w:t>
      </w:r>
      <w:r w:rsidRPr="00256467">
        <w:rPr>
          <w:rFonts w:ascii="Cambria" w:hAnsi="Cambria"/>
          <w:sz w:val="16"/>
          <w:szCs w:val="16"/>
          <w:lang w:val="es-MX"/>
        </w:rPr>
        <w:t>a la comunicación</w:t>
      </w:r>
      <w:r w:rsidRPr="00256467">
        <w:rPr>
          <w:rFonts w:ascii="Cambria" w:hAnsi="Cambria"/>
          <w:sz w:val="16"/>
          <w:szCs w:val="16"/>
          <w:lang w:val="es-VE"/>
        </w:rPr>
        <w:t xml:space="preserve"> de la parte </w:t>
      </w:r>
      <w:r w:rsidR="0089537D" w:rsidRPr="00256467">
        <w:rPr>
          <w:rFonts w:ascii="Cambria" w:hAnsi="Cambria"/>
          <w:sz w:val="16"/>
          <w:szCs w:val="16"/>
          <w:lang w:val="es-VE"/>
        </w:rPr>
        <w:t>p</w:t>
      </w:r>
      <w:r w:rsidR="00862E47" w:rsidRPr="00256467">
        <w:rPr>
          <w:rFonts w:ascii="Cambria" w:hAnsi="Cambria"/>
          <w:sz w:val="16"/>
          <w:szCs w:val="16"/>
          <w:lang w:val="es-VE"/>
        </w:rPr>
        <w:t>eticionaria</w:t>
      </w:r>
      <w:r w:rsidRPr="00256467">
        <w:rPr>
          <w:rFonts w:ascii="Cambria" w:hAnsi="Cambria"/>
          <w:sz w:val="16"/>
          <w:szCs w:val="16"/>
          <w:lang w:val="es-VE"/>
        </w:rPr>
        <w:t xml:space="preserve"> de 22 de enero de 2004.</w:t>
      </w:r>
    </w:p>
  </w:footnote>
  <w:footnote w:id="67">
    <w:p w14:paraId="54659883"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13</w:t>
      </w:r>
      <w:r w:rsidRPr="00256467">
        <w:rPr>
          <w:rFonts w:ascii="Cambria" w:hAnsi="Cambria"/>
          <w:sz w:val="16"/>
          <w:szCs w:val="16"/>
          <w:lang w:val="es-MX"/>
        </w:rPr>
        <w:t xml:space="preserve">. Sentencia del Tribunal Supremo de Justicia en Sala de Casación Penal de 13 de junio de 2002. Anexo a la comunicación de la Parte </w:t>
      </w:r>
      <w:r w:rsidR="0089537D" w:rsidRPr="00256467">
        <w:rPr>
          <w:rFonts w:ascii="Cambria" w:hAnsi="Cambria"/>
          <w:sz w:val="16"/>
          <w:szCs w:val="16"/>
          <w:lang w:val="es-MX"/>
        </w:rPr>
        <w:t>p</w:t>
      </w:r>
      <w:r w:rsidR="00862E47" w:rsidRPr="00256467">
        <w:rPr>
          <w:rFonts w:ascii="Cambria" w:hAnsi="Cambria"/>
          <w:sz w:val="16"/>
          <w:szCs w:val="16"/>
          <w:lang w:val="es-MX"/>
        </w:rPr>
        <w:t>eticionaria</w:t>
      </w:r>
      <w:r w:rsidRPr="00256467">
        <w:rPr>
          <w:rFonts w:ascii="Cambria" w:hAnsi="Cambria"/>
          <w:sz w:val="16"/>
          <w:szCs w:val="16"/>
          <w:lang w:val="es-MX"/>
        </w:rPr>
        <w:t xml:space="preserve"> de 18 de mayo de 2005.</w:t>
      </w:r>
    </w:p>
  </w:footnote>
  <w:footnote w:id="68">
    <w:p w14:paraId="5898C9FB"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13</w:t>
      </w:r>
      <w:r w:rsidRPr="00256467">
        <w:rPr>
          <w:rFonts w:ascii="Cambria" w:hAnsi="Cambria"/>
          <w:sz w:val="16"/>
          <w:szCs w:val="16"/>
          <w:lang w:val="es-MX"/>
        </w:rPr>
        <w:t xml:space="preserve">. Sentencia del Tribunal Supremo de Justicia de la Sala Constitucional de 30 de julio de 2003. Anexo a la comunicación de la parte </w:t>
      </w:r>
      <w:r w:rsidR="0089537D" w:rsidRPr="00256467">
        <w:rPr>
          <w:rFonts w:ascii="Cambria" w:hAnsi="Cambria"/>
          <w:sz w:val="16"/>
          <w:szCs w:val="16"/>
          <w:lang w:val="es-MX"/>
        </w:rPr>
        <w:t>p</w:t>
      </w:r>
      <w:r w:rsidR="00862E47" w:rsidRPr="00256467">
        <w:rPr>
          <w:rFonts w:ascii="Cambria" w:hAnsi="Cambria"/>
          <w:sz w:val="16"/>
          <w:szCs w:val="16"/>
          <w:lang w:val="es-MX"/>
        </w:rPr>
        <w:t>eticionaria</w:t>
      </w:r>
      <w:r w:rsidRPr="00256467">
        <w:rPr>
          <w:rFonts w:ascii="Cambria" w:hAnsi="Cambria"/>
          <w:sz w:val="16"/>
          <w:szCs w:val="16"/>
          <w:lang w:val="es-MX"/>
        </w:rPr>
        <w:t xml:space="preserve"> de 18 de mayo de 2005.</w:t>
      </w:r>
    </w:p>
  </w:footnote>
  <w:footnote w:id="69">
    <w:p w14:paraId="78898DB4"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13</w:t>
      </w:r>
      <w:r w:rsidRPr="00256467">
        <w:rPr>
          <w:rFonts w:ascii="Cambria" w:hAnsi="Cambria"/>
          <w:sz w:val="16"/>
          <w:szCs w:val="16"/>
          <w:lang w:val="es-MX"/>
        </w:rPr>
        <w:t xml:space="preserve">. Sentencia del Tribunal Supremo de Justicia de la Sala Constitucional de 30 de julio de 2003. Anexo a la comunicación de la parte </w:t>
      </w:r>
      <w:r w:rsidR="0089537D" w:rsidRPr="00256467">
        <w:rPr>
          <w:rFonts w:ascii="Cambria" w:hAnsi="Cambria"/>
          <w:sz w:val="16"/>
          <w:szCs w:val="16"/>
          <w:lang w:val="es-MX"/>
        </w:rPr>
        <w:t>p</w:t>
      </w:r>
      <w:r w:rsidR="00862E47" w:rsidRPr="00256467">
        <w:rPr>
          <w:rFonts w:ascii="Cambria" w:hAnsi="Cambria"/>
          <w:sz w:val="16"/>
          <w:szCs w:val="16"/>
          <w:lang w:val="es-MX"/>
        </w:rPr>
        <w:t>eticionaria</w:t>
      </w:r>
      <w:r w:rsidRPr="00256467">
        <w:rPr>
          <w:rFonts w:ascii="Cambria" w:hAnsi="Cambria"/>
          <w:sz w:val="16"/>
          <w:szCs w:val="16"/>
          <w:lang w:val="es-MX"/>
        </w:rPr>
        <w:t xml:space="preserve"> de 18 de mayo de 2005.</w:t>
      </w:r>
    </w:p>
  </w:footnote>
  <w:footnote w:id="70">
    <w:p w14:paraId="500E2554" w14:textId="77777777" w:rsidR="00D329F5" w:rsidRPr="00256467" w:rsidRDefault="00D329F5" w:rsidP="00B26282">
      <w:pPr>
        <w:pStyle w:val="Textonotapie"/>
        <w:jc w:val="both"/>
        <w:rPr>
          <w:rFonts w:ascii="Cambria" w:hAnsi="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ES"/>
        </w:rPr>
        <w:t xml:space="preserve"> Anexo </w:t>
      </w:r>
      <w:r w:rsidR="00862E47" w:rsidRPr="00256467">
        <w:rPr>
          <w:rFonts w:ascii="Cambria" w:hAnsi="Cambria"/>
          <w:sz w:val="16"/>
          <w:szCs w:val="16"/>
          <w:lang w:val="es-ES"/>
        </w:rPr>
        <w:t>14</w:t>
      </w:r>
      <w:r w:rsidRPr="00256467">
        <w:rPr>
          <w:rFonts w:ascii="Cambria" w:hAnsi="Cambria"/>
          <w:sz w:val="16"/>
          <w:szCs w:val="16"/>
          <w:lang w:val="es-ES"/>
        </w:rPr>
        <w:t>. Sentencia del Tribunal Supremo de Justicia Sala de Casación Penal de 5 de octubre de 2004</w:t>
      </w:r>
      <w:proofErr w:type="gramStart"/>
      <w:r w:rsidRPr="00256467">
        <w:rPr>
          <w:rFonts w:ascii="Cambria" w:hAnsi="Cambria"/>
          <w:sz w:val="16"/>
          <w:szCs w:val="16"/>
          <w:lang w:val="es-ES"/>
        </w:rPr>
        <w:t>. .</w:t>
      </w:r>
      <w:proofErr w:type="gramEnd"/>
      <w:r w:rsidRPr="00256467">
        <w:rPr>
          <w:rFonts w:ascii="Cambria" w:hAnsi="Cambria"/>
          <w:sz w:val="16"/>
          <w:szCs w:val="16"/>
          <w:lang w:val="es-ES"/>
        </w:rPr>
        <w:t xml:space="preserve"> Anexo </w:t>
      </w:r>
      <w:r w:rsidRPr="00256467">
        <w:rPr>
          <w:rFonts w:ascii="Cambria" w:hAnsi="Cambria"/>
          <w:sz w:val="16"/>
          <w:szCs w:val="16"/>
          <w:lang w:val="es-MX"/>
        </w:rPr>
        <w:t>a la comunicación</w:t>
      </w:r>
      <w:r w:rsidRPr="00256467">
        <w:rPr>
          <w:rFonts w:ascii="Cambria" w:hAnsi="Cambria"/>
          <w:sz w:val="16"/>
          <w:szCs w:val="16"/>
          <w:lang w:val="es-ES"/>
        </w:rPr>
        <w:t xml:space="preserve"> de la parte </w:t>
      </w:r>
      <w:r w:rsidR="0089537D" w:rsidRPr="00256467">
        <w:rPr>
          <w:rFonts w:ascii="Cambria" w:hAnsi="Cambria"/>
          <w:sz w:val="16"/>
          <w:szCs w:val="16"/>
          <w:lang w:val="es-ES"/>
        </w:rPr>
        <w:t>p</w:t>
      </w:r>
      <w:r w:rsidR="00862E47" w:rsidRPr="00256467">
        <w:rPr>
          <w:rFonts w:ascii="Cambria" w:hAnsi="Cambria"/>
          <w:sz w:val="16"/>
          <w:szCs w:val="16"/>
          <w:lang w:val="es-ES"/>
        </w:rPr>
        <w:t>eticionaria</w:t>
      </w:r>
      <w:r w:rsidRPr="00256467">
        <w:rPr>
          <w:rFonts w:ascii="Cambria" w:hAnsi="Cambria"/>
          <w:sz w:val="16"/>
          <w:szCs w:val="16"/>
          <w:lang w:val="es-ES"/>
        </w:rPr>
        <w:t xml:space="preserve"> de 18 de mayo de 2005.</w:t>
      </w:r>
    </w:p>
  </w:footnote>
  <w:footnote w:id="71">
    <w:p w14:paraId="49BAF9EE" w14:textId="77777777" w:rsidR="00D329F5" w:rsidRPr="00256467" w:rsidRDefault="00D329F5" w:rsidP="00B26282">
      <w:pPr>
        <w:pStyle w:val="Textonotapie"/>
        <w:jc w:val="both"/>
        <w:rPr>
          <w:rFonts w:ascii="Cambria" w:hAnsi="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ES"/>
        </w:rPr>
        <w:t xml:space="preserve"> Anexo </w:t>
      </w:r>
      <w:r w:rsidR="00862E47" w:rsidRPr="00256467">
        <w:rPr>
          <w:rFonts w:ascii="Cambria" w:hAnsi="Cambria"/>
          <w:sz w:val="16"/>
          <w:szCs w:val="16"/>
          <w:lang w:val="es-ES"/>
        </w:rPr>
        <w:t>14</w:t>
      </w:r>
      <w:r w:rsidRPr="00256467">
        <w:rPr>
          <w:rFonts w:ascii="Cambria" w:hAnsi="Cambria"/>
          <w:sz w:val="16"/>
          <w:szCs w:val="16"/>
          <w:lang w:val="es-ES"/>
        </w:rPr>
        <w:t>. Sentencia del Tribunal Supremo de Justicia Sala de Casación Penal de 5 de octubre de 2004</w:t>
      </w:r>
      <w:proofErr w:type="gramStart"/>
      <w:r w:rsidRPr="00256467">
        <w:rPr>
          <w:rFonts w:ascii="Cambria" w:hAnsi="Cambria"/>
          <w:sz w:val="16"/>
          <w:szCs w:val="16"/>
          <w:lang w:val="es-ES"/>
        </w:rPr>
        <w:t>. .</w:t>
      </w:r>
      <w:proofErr w:type="gramEnd"/>
      <w:r w:rsidRPr="00256467">
        <w:rPr>
          <w:rFonts w:ascii="Cambria" w:hAnsi="Cambria"/>
          <w:sz w:val="16"/>
          <w:szCs w:val="16"/>
          <w:lang w:val="es-ES"/>
        </w:rPr>
        <w:t xml:space="preserve"> Anexo </w:t>
      </w:r>
      <w:r w:rsidRPr="00256467">
        <w:rPr>
          <w:rFonts w:ascii="Cambria" w:hAnsi="Cambria"/>
          <w:sz w:val="16"/>
          <w:szCs w:val="16"/>
          <w:lang w:val="es-MX"/>
        </w:rPr>
        <w:t>a la comunicación</w:t>
      </w:r>
      <w:r w:rsidRPr="00256467">
        <w:rPr>
          <w:rFonts w:ascii="Cambria" w:hAnsi="Cambria"/>
          <w:sz w:val="16"/>
          <w:szCs w:val="16"/>
          <w:lang w:val="es-ES"/>
        </w:rPr>
        <w:t xml:space="preserve"> de la parte </w:t>
      </w:r>
      <w:r w:rsidR="0089537D" w:rsidRPr="00256467">
        <w:rPr>
          <w:rFonts w:ascii="Cambria" w:hAnsi="Cambria"/>
          <w:sz w:val="16"/>
          <w:szCs w:val="16"/>
          <w:lang w:val="es-ES"/>
        </w:rPr>
        <w:t>p</w:t>
      </w:r>
      <w:r w:rsidR="00862E47" w:rsidRPr="00256467">
        <w:rPr>
          <w:rFonts w:ascii="Cambria" w:hAnsi="Cambria"/>
          <w:sz w:val="16"/>
          <w:szCs w:val="16"/>
          <w:lang w:val="es-ES"/>
        </w:rPr>
        <w:t>eticionaria</w:t>
      </w:r>
      <w:r w:rsidRPr="00256467">
        <w:rPr>
          <w:rFonts w:ascii="Cambria" w:hAnsi="Cambria"/>
          <w:sz w:val="16"/>
          <w:szCs w:val="16"/>
          <w:lang w:val="es-ES"/>
        </w:rPr>
        <w:t xml:space="preserve"> de 18 de mayo de 2005.  </w:t>
      </w:r>
    </w:p>
  </w:footnote>
  <w:footnote w:id="72">
    <w:p w14:paraId="25130750"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15</w:t>
      </w:r>
      <w:r w:rsidRPr="00256467">
        <w:rPr>
          <w:rFonts w:ascii="Cambria" w:hAnsi="Cambria"/>
          <w:sz w:val="16"/>
          <w:szCs w:val="16"/>
          <w:lang w:val="es-MX"/>
        </w:rPr>
        <w:t xml:space="preserve">. Comunicación de la parte </w:t>
      </w:r>
      <w:r w:rsidR="0089537D" w:rsidRPr="00256467">
        <w:rPr>
          <w:rFonts w:ascii="Cambria" w:hAnsi="Cambria"/>
          <w:sz w:val="16"/>
          <w:szCs w:val="16"/>
          <w:lang w:val="es-MX"/>
        </w:rPr>
        <w:t>p</w:t>
      </w:r>
      <w:r w:rsidR="00862E47" w:rsidRPr="00256467">
        <w:rPr>
          <w:rFonts w:ascii="Cambria" w:hAnsi="Cambria"/>
          <w:sz w:val="16"/>
          <w:szCs w:val="16"/>
          <w:lang w:val="es-MX"/>
        </w:rPr>
        <w:t>eticionaria</w:t>
      </w:r>
      <w:r w:rsidRPr="00256467">
        <w:rPr>
          <w:rFonts w:ascii="Cambria" w:hAnsi="Cambria"/>
          <w:sz w:val="16"/>
          <w:szCs w:val="16"/>
          <w:lang w:val="es-MX"/>
        </w:rPr>
        <w:t xml:space="preserve"> de 22 de enero de 2004. </w:t>
      </w:r>
    </w:p>
  </w:footnote>
  <w:footnote w:id="73">
    <w:p w14:paraId="660C5875"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15</w:t>
      </w:r>
      <w:r w:rsidRPr="00256467">
        <w:rPr>
          <w:rFonts w:ascii="Cambria" w:hAnsi="Cambria"/>
          <w:sz w:val="16"/>
          <w:szCs w:val="16"/>
          <w:lang w:val="es-MX"/>
        </w:rPr>
        <w:t xml:space="preserve">. Comunicación de la parte </w:t>
      </w:r>
      <w:r w:rsidR="0089537D" w:rsidRPr="00256467">
        <w:rPr>
          <w:rFonts w:ascii="Cambria" w:hAnsi="Cambria"/>
          <w:sz w:val="16"/>
          <w:szCs w:val="16"/>
          <w:lang w:val="es-MX"/>
        </w:rPr>
        <w:t>p</w:t>
      </w:r>
      <w:r w:rsidR="00862E47" w:rsidRPr="00256467">
        <w:rPr>
          <w:rFonts w:ascii="Cambria" w:hAnsi="Cambria"/>
          <w:sz w:val="16"/>
          <w:szCs w:val="16"/>
          <w:lang w:val="es-MX"/>
        </w:rPr>
        <w:t>eticionaria</w:t>
      </w:r>
      <w:r w:rsidRPr="00256467">
        <w:rPr>
          <w:rFonts w:ascii="Cambria" w:hAnsi="Cambria"/>
          <w:sz w:val="16"/>
          <w:szCs w:val="16"/>
          <w:lang w:val="es-MX"/>
        </w:rPr>
        <w:t xml:space="preserve"> de 22 de enero de 2004. Comunicación del E</w:t>
      </w:r>
      <w:r w:rsidR="00862E47" w:rsidRPr="00256467">
        <w:rPr>
          <w:rFonts w:ascii="Cambria" w:hAnsi="Cambria"/>
          <w:sz w:val="16"/>
          <w:szCs w:val="16"/>
          <w:lang w:val="es-MX"/>
        </w:rPr>
        <w:t>stado de 17 de febrero de 2015.</w:t>
      </w:r>
    </w:p>
  </w:footnote>
  <w:footnote w:id="74">
    <w:p w14:paraId="02AA7CE4"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w:t>
      </w:r>
      <w:r w:rsidR="00862E47" w:rsidRPr="00256467">
        <w:rPr>
          <w:rFonts w:ascii="Cambria" w:hAnsi="Cambria"/>
          <w:sz w:val="16"/>
          <w:szCs w:val="16"/>
          <w:lang w:val="es-MX"/>
        </w:rPr>
        <w:t xml:space="preserve"> 16</w:t>
      </w:r>
      <w:r w:rsidRPr="00256467">
        <w:rPr>
          <w:rFonts w:ascii="Cambria" w:hAnsi="Cambria"/>
          <w:sz w:val="16"/>
          <w:szCs w:val="16"/>
          <w:lang w:val="es-MX"/>
        </w:rPr>
        <w:t xml:space="preserve">. Acta de Audiencia del Circuito Judicial Penal del Estado de Zulia Juzgado Quinto de Control de 15 de enero de 2002. Anexo a la comunicación de la parte </w:t>
      </w:r>
      <w:r w:rsidR="00862E47" w:rsidRPr="00256467">
        <w:rPr>
          <w:rFonts w:ascii="Cambria" w:hAnsi="Cambria"/>
          <w:sz w:val="16"/>
          <w:szCs w:val="16"/>
          <w:lang w:val="es-MX"/>
        </w:rPr>
        <w:t>peticionaria</w:t>
      </w:r>
      <w:r w:rsidRPr="00256467">
        <w:rPr>
          <w:rFonts w:ascii="Cambria" w:hAnsi="Cambria"/>
          <w:sz w:val="16"/>
          <w:szCs w:val="16"/>
          <w:lang w:val="es-MX"/>
        </w:rPr>
        <w:t xml:space="preserve"> de 18 de mayo de 2005.</w:t>
      </w:r>
    </w:p>
  </w:footnote>
  <w:footnote w:id="75">
    <w:p w14:paraId="6185D805"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15</w:t>
      </w:r>
      <w:r w:rsidRPr="00256467">
        <w:rPr>
          <w:rFonts w:ascii="Cambria" w:hAnsi="Cambria"/>
          <w:sz w:val="16"/>
          <w:szCs w:val="16"/>
          <w:lang w:val="es-MX"/>
        </w:rPr>
        <w:t>. Comunicación del Estado de 17 de febrero de 2015.</w:t>
      </w:r>
    </w:p>
  </w:footnote>
  <w:footnote w:id="76">
    <w:p w14:paraId="66BD2390"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16</w:t>
      </w:r>
      <w:r w:rsidRPr="00256467">
        <w:rPr>
          <w:rFonts w:ascii="Cambria" w:hAnsi="Cambria"/>
          <w:sz w:val="16"/>
          <w:szCs w:val="16"/>
          <w:lang w:val="es-MX"/>
        </w:rPr>
        <w:t xml:space="preserve">. Resolución 468-02 del Juzgado Undécimo de Control de Circuito Judicial Penal del Estado de Zulia de 12 de julio de 2002. Anexo a la comunicación de la parte </w:t>
      </w:r>
      <w:r w:rsidR="00862E47" w:rsidRPr="00256467">
        <w:rPr>
          <w:rFonts w:ascii="Cambria" w:hAnsi="Cambria"/>
          <w:sz w:val="16"/>
          <w:szCs w:val="16"/>
          <w:lang w:val="es-MX"/>
        </w:rPr>
        <w:t>peticionaria</w:t>
      </w:r>
      <w:r w:rsidRPr="00256467">
        <w:rPr>
          <w:rFonts w:ascii="Cambria" w:hAnsi="Cambria"/>
          <w:sz w:val="16"/>
          <w:szCs w:val="16"/>
          <w:lang w:val="es-MX"/>
        </w:rPr>
        <w:t xml:space="preserve"> de 18 de mayo de 2005.</w:t>
      </w:r>
    </w:p>
  </w:footnote>
  <w:footnote w:id="77">
    <w:p w14:paraId="010A43CD"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15</w:t>
      </w:r>
      <w:r w:rsidRPr="00256467">
        <w:rPr>
          <w:rFonts w:ascii="Cambria" w:hAnsi="Cambria"/>
          <w:sz w:val="16"/>
          <w:szCs w:val="16"/>
          <w:lang w:val="es-MX"/>
        </w:rPr>
        <w:t>. Comunicación del Estado de 17 de febrero de 2015.</w:t>
      </w:r>
    </w:p>
  </w:footnote>
  <w:footnote w:id="78">
    <w:p w14:paraId="01D7C5F3"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00862E47" w:rsidRPr="00256467">
        <w:rPr>
          <w:rFonts w:ascii="Cambria" w:hAnsi="Cambria"/>
          <w:sz w:val="16"/>
          <w:szCs w:val="16"/>
          <w:lang w:val="es-MX"/>
        </w:rPr>
        <w:t xml:space="preserve"> Anexo 17. Comunicación de la p</w:t>
      </w:r>
      <w:r w:rsidRPr="00256467">
        <w:rPr>
          <w:rFonts w:ascii="Cambria" w:hAnsi="Cambria"/>
          <w:sz w:val="16"/>
          <w:szCs w:val="16"/>
          <w:lang w:val="es-MX"/>
        </w:rPr>
        <w:t xml:space="preserve">arte </w:t>
      </w:r>
      <w:r w:rsidR="00862E47" w:rsidRPr="00256467">
        <w:rPr>
          <w:rFonts w:ascii="Cambria" w:hAnsi="Cambria"/>
          <w:sz w:val="16"/>
          <w:szCs w:val="16"/>
          <w:lang w:val="es-MX"/>
        </w:rPr>
        <w:t>peticionaria</w:t>
      </w:r>
      <w:r w:rsidRPr="00256467">
        <w:rPr>
          <w:rFonts w:ascii="Cambria" w:hAnsi="Cambria"/>
          <w:sz w:val="16"/>
          <w:szCs w:val="16"/>
          <w:lang w:val="es-MX"/>
        </w:rPr>
        <w:t xml:space="preserve"> de 25 de marzo de 2011.</w:t>
      </w:r>
    </w:p>
  </w:footnote>
  <w:footnote w:id="79">
    <w:p w14:paraId="4DD1B0C7"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w:t>
      </w:r>
      <w:r w:rsidR="00741DF9" w:rsidRPr="00256467">
        <w:rPr>
          <w:rFonts w:ascii="Cambria" w:hAnsi="Cambria"/>
          <w:sz w:val="16"/>
          <w:szCs w:val="16"/>
          <w:lang w:val="es-MX"/>
        </w:rPr>
        <w:t>8</w:t>
      </w:r>
      <w:r w:rsidRPr="00256467">
        <w:rPr>
          <w:rFonts w:ascii="Cambria" w:hAnsi="Cambria"/>
          <w:sz w:val="16"/>
          <w:szCs w:val="16"/>
          <w:lang w:val="es-MX"/>
        </w:rPr>
        <w:t>. Comunicación del Estado de 17 de mayo de 2012.</w:t>
      </w:r>
    </w:p>
  </w:footnote>
  <w:footnote w:id="80">
    <w:p w14:paraId="00779BCC"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862E47" w:rsidRPr="00256467">
        <w:rPr>
          <w:rFonts w:ascii="Cambria" w:hAnsi="Cambria"/>
          <w:sz w:val="16"/>
          <w:szCs w:val="16"/>
          <w:lang w:val="es-MX"/>
        </w:rPr>
        <w:t>1</w:t>
      </w:r>
      <w:r w:rsidR="00741DF9" w:rsidRPr="00256467">
        <w:rPr>
          <w:rFonts w:ascii="Cambria" w:hAnsi="Cambria"/>
          <w:sz w:val="16"/>
          <w:szCs w:val="16"/>
          <w:lang w:val="es-MX"/>
        </w:rPr>
        <w:t>9</w:t>
      </w:r>
      <w:r w:rsidRPr="00256467">
        <w:rPr>
          <w:rFonts w:ascii="Cambria" w:hAnsi="Cambria"/>
          <w:sz w:val="16"/>
          <w:szCs w:val="16"/>
          <w:lang w:val="es-MX"/>
        </w:rPr>
        <w:t>. Información de la Fiscalía General de la República Bolivariana de Venezuela. Dirección de Derechos Fundamentales de 29 de febrero de 2012.</w:t>
      </w:r>
      <w:r w:rsidR="00862E47" w:rsidRPr="00256467">
        <w:rPr>
          <w:rFonts w:ascii="Cambria" w:hAnsi="Cambria"/>
          <w:sz w:val="16"/>
          <w:szCs w:val="16"/>
          <w:lang w:val="es-MX"/>
        </w:rPr>
        <w:t xml:space="preserve"> </w:t>
      </w:r>
      <w:r w:rsidRPr="00256467">
        <w:rPr>
          <w:rFonts w:ascii="Cambria" w:hAnsi="Cambria"/>
          <w:sz w:val="16"/>
          <w:szCs w:val="16"/>
          <w:lang w:val="es-MX"/>
        </w:rPr>
        <w:t xml:space="preserve">Anexo a la comunicación del Estado de 11 de mayo de 2012. </w:t>
      </w:r>
    </w:p>
  </w:footnote>
  <w:footnote w:id="81">
    <w:p w14:paraId="07A08FA5"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741DF9" w:rsidRPr="00256467">
        <w:rPr>
          <w:rFonts w:ascii="Cambria" w:hAnsi="Cambria"/>
          <w:sz w:val="16"/>
          <w:szCs w:val="16"/>
          <w:lang w:val="es-MX"/>
        </w:rPr>
        <w:t>20</w:t>
      </w:r>
      <w:r w:rsidRPr="00256467">
        <w:rPr>
          <w:rFonts w:ascii="Cambria" w:hAnsi="Cambria"/>
          <w:sz w:val="16"/>
          <w:szCs w:val="16"/>
          <w:lang w:val="es-MX"/>
        </w:rPr>
        <w:t>. Oficio No 24-F11-0656-2012 de Información de la Fiscalía General de la República Bolivariana de Venezuela. Dirección de Derechos Fundamentales de 29 de febrero de 2012.</w:t>
      </w:r>
      <w:r w:rsidR="00862E47" w:rsidRPr="00256467">
        <w:rPr>
          <w:rFonts w:ascii="Cambria" w:hAnsi="Cambria"/>
          <w:sz w:val="16"/>
          <w:szCs w:val="16"/>
          <w:lang w:val="es-MX"/>
        </w:rPr>
        <w:t xml:space="preserve"> </w:t>
      </w:r>
      <w:r w:rsidRPr="00256467">
        <w:rPr>
          <w:rFonts w:ascii="Cambria" w:hAnsi="Cambria"/>
          <w:sz w:val="16"/>
          <w:szCs w:val="16"/>
          <w:lang w:val="es-MX"/>
        </w:rPr>
        <w:t xml:space="preserve">Anexo a la comunicación del Estado de 11 de mayo de 2012. </w:t>
      </w:r>
    </w:p>
  </w:footnote>
  <w:footnote w:id="82">
    <w:p w14:paraId="35B358B4"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741DF9" w:rsidRPr="00256467">
        <w:rPr>
          <w:rFonts w:ascii="Cambria" w:hAnsi="Cambria"/>
          <w:sz w:val="16"/>
          <w:szCs w:val="16"/>
          <w:lang w:val="es-MX"/>
        </w:rPr>
        <w:t>17</w:t>
      </w:r>
      <w:r w:rsidRPr="00256467">
        <w:rPr>
          <w:rFonts w:ascii="Cambria" w:hAnsi="Cambria"/>
          <w:sz w:val="16"/>
          <w:szCs w:val="16"/>
          <w:lang w:val="es-MX"/>
        </w:rPr>
        <w:t>. Escrito de</w:t>
      </w:r>
      <w:r w:rsidR="009849C2" w:rsidRPr="00256467">
        <w:rPr>
          <w:rFonts w:ascii="Cambria" w:hAnsi="Cambria"/>
          <w:sz w:val="16"/>
          <w:szCs w:val="16"/>
          <w:lang w:val="es-MX"/>
        </w:rPr>
        <w:t xml:space="preserve">l Estado </w:t>
      </w:r>
      <w:r w:rsidRPr="00256467">
        <w:rPr>
          <w:rFonts w:ascii="Cambria" w:hAnsi="Cambria"/>
          <w:sz w:val="16"/>
          <w:szCs w:val="16"/>
          <w:lang w:val="es-MX"/>
        </w:rPr>
        <w:t xml:space="preserve">de 25 de marzo de 2011. </w:t>
      </w:r>
    </w:p>
  </w:footnote>
  <w:footnote w:id="83">
    <w:p w14:paraId="3C5EB35E"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Anexo </w:t>
      </w:r>
      <w:r w:rsidR="00741DF9" w:rsidRPr="00256467">
        <w:rPr>
          <w:rFonts w:ascii="Cambria" w:hAnsi="Cambria"/>
          <w:sz w:val="16"/>
          <w:szCs w:val="16"/>
          <w:lang w:val="es-MX"/>
        </w:rPr>
        <w:t>17</w:t>
      </w:r>
      <w:r w:rsidRPr="00256467">
        <w:rPr>
          <w:rFonts w:ascii="Cambria" w:hAnsi="Cambria"/>
          <w:sz w:val="16"/>
          <w:szCs w:val="16"/>
          <w:lang w:val="es-MX"/>
        </w:rPr>
        <w:t xml:space="preserve">. Escrito de la Parte </w:t>
      </w:r>
      <w:r w:rsidR="00862E47" w:rsidRPr="00256467">
        <w:rPr>
          <w:rFonts w:ascii="Cambria" w:hAnsi="Cambria"/>
          <w:sz w:val="16"/>
          <w:szCs w:val="16"/>
          <w:lang w:val="es-MX"/>
        </w:rPr>
        <w:t>Peticionaria</w:t>
      </w:r>
      <w:r w:rsidRPr="00256467">
        <w:rPr>
          <w:rFonts w:ascii="Cambria" w:hAnsi="Cambria"/>
          <w:sz w:val="16"/>
          <w:szCs w:val="16"/>
          <w:lang w:val="es-MX"/>
        </w:rPr>
        <w:t xml:space="preserve"> de 25 de marzo de 2011.</w:t>
      </w:r>
    </w:p>
  </w:footnote>
  <w:footnote w:id="84">
    <w:p w14:paraId="1813E156" w14:textId="77777777" w:rsidR="009C5684" w:rsidRPr="00256467" w:rsidRDefault="009C5684" w:rsidP="00B26282">
      <w:pPr>
        <w:tabs>
          <w:tab w:val="left" w:pos="360"/>
        </w:tabs>
        <w:suppressAutoHyphens/>
        <w:jc w:val="both"/>
        <w:rPr>
          <w:rFonts w:ascii="Cambria" w:hAnsi="Cambria"/>
          <w:spacing w:val="-3"/>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CO"/>
        </w:rPr>
        <w:t xml:space="preserve"> El artículo </w:t>
      </w:r>
      <w:r w:rsidR="00B23943" w:rsidRPr="00256467">
        <w:rPr>
          <w:rFonts w:ascii="Cambria" w:hAnsi="Cambria"/>
          <w:sz w:val="16"/>
          <w:szCs w:val="16"/>
          <w:lang w:val="es-CO"/>
        </w:rPr>
        <w:t xml:space="preserve">7 </w:t>
      </w:r>
      <w:r w:rsidRPr="00256467">
        <w:rPr>
          <w:rFonts w:ascii="Cambria" w:hAnsi="Cambria"/>
          <w:sz w:val="16"/>
          <w:szCs w:val="16"/>
          <w:lang w:val="es-CO"/>
        </w:rPr>
        <w:t>de la Convención establece, en lo pertinente: “</w:t>
      </w:r>
      <w:proofErr w:type="gramStart"/>
      <w:r w:rsidRPr="00256467">
        <w:rPr>
          <w:rFonts w:ascii="Cambria" w:hAnsi="Cambria"/>
          <w:sz w:val="16"/>
          <w:szCs w:val="16"/>
          <w:lang w:val="es-CO"/>
        </w:rPr>
        <w:t>1.</w:t>
      </w:r>
      <w:r w:rsidRPr="00256467">
        <w:rPr>
          <w:rFonts w:ascii="Cambria" w:hAnsi="Cambria"/>
          <w:spacing w:val="-3"/>
          <w:sz w:val="16"/>
          <w:szCs w:val="16"/>
          <w:lang w:val="es-ES"/>
        </w:rPr>
        <w:t>Toda</w:t>
      </w:r>
      <w:proofErr w:type="gramEnd"/>
      <w:r w:rsidRPr="00256467">
        <w:rPr>
          <w:rFonts w:ascii="Cambria" w:hAnsi="Cambria"/>
          <w:spacing w:val="-3"/>
          <w:sz w:val="16"/>
          <w:szCs w:val="16"/>
          <w:lang w:val="es-ES"/>
        </w:rPr>
        <w:t xml:space="preserve"> persona tiene derecho a la libertad y a la seguridad personales. 2. Nadie puede ser privado de su libertad física, salvo por las causas y en las condiciones fijadas de antemano por las Constituciones Políticas de los </w:t>
      </w:r>
      <w:proofErr w:type="gramStart"/>
      <w:r w:rsidRPr="00256467">
        <w:rPr>
          <w:rFonts w:ascii="Cambria" w:hAnsi="Cambria"/>
          <w:spacing w:val="-3"/>
          <w:sz w:val="16"/>
          <w:szCs w:val="16"/>
          <w:lang w:val="es-ES"/>
        </w:rPr>
        <w:t>Estados partes</w:t>
      </w:r>
      <w:proofErr w:type="gramEnd"/>
      <w:r w:rsidRPr="00256467">
        <w:rPr>
          <w:rFonts w:ascii="Cambria" w:hAnsi="Cambria"/>
          <w:spacing w:val="-3"/>
          <w:sz w:val="16"/>
          <w:szCs w:val="16"/>
          <w:lang w:val="es-ES"/>
        </w:rPr>
        <w:t xml:space="preserve"> o por las leyes dictadas conforme a ellas. 3.</w:t>
      </w:r>
      <w:r w:rsidR="00D437B5" w:rsidRPr="00256467">
        <w:rPr>
          <w:rFonts w:ascii="Cambria" w:hAnsi="Cambria"/>
          <w:spacing w:val="-3"/>
          <w:sz w:val="16"/>
          <w:szCs w:val="16"/>
          <w:lang w:val="es-ES"/>
        </w:rPr>
        <w:t xml:space="preserve"> </w:t>
      </w:r>
      <w:r w:rsidRPr="00256467">
        <w:rPr>
          <w:rFonts w:ascii="Cambria" w:hAnsi="Cambria"/>
          <w:spacing w:val="-3"/>
          <w:sz w:val="16"/>
          <w:szCs w:val="16"/>
          <w:lang w:val="es-ES"/>
        </w:rPr>
        <w:t xml:space="preserve">Nadie puede ser sometido a detención o encarcelamiento arbitrarios. (…) </w:t>
      </w:r>
      <w:r w:rsidR="00D437B5" w:rsidRPr="00256467">
        <w:rPr>
          <w:rFonts w:ascii="Cambria" w:hAnsi="Cambria"/>
          <w:spacing w:val="-3"/>
          <w:sz w:val="16"/>
          <w:szCs w:val="16"/>
          <w:lang w:val="es-ES"/>
        </w:rPr>
        <w:t>5.</w:t>
      </w:r>
      <w:r w:rsidR="002A454E" w:rsidRPr="00256467">
        <w:rPr>
          <w:rFonts w:ascii="Cambria" w:hAnsi="Cambria"/>
          <w:spacing w:val="-3"/>
          <w:sz w:val="16"/>
          <w:szCs w:val="16"/>
          <w:lang w:val="es-ES"/>
        </w:rPr>
        <w:t xml:space="preserve"> </w:t>
      </w:r>
      <w:r w:rsidRPr="00256467">
        <w:rPr>
          <w:rFonts w:ascii="Cambria" w:hAnsi="Cambria"/>
          <w:spacing w:val="-3"/>
          <w:sz w:val="16"/>
          <w:szCs w:val="16"/>
          <w:lang w:val="es-ES"/>
        </w:rPr>
        <w:t xml:space="preserve">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 6. Toda persona privada de libertad tiene derecho a recurrir ante un juez o tribunal competente, a fin de que éste decida, sin demora, sobre la legalidad de su arresto o detención y ordene su libertad si el arresto o la detención fueran ilegales. En los </w:t>
      </w:r>
      <w:proofErr w:type="gramStart"/>
      <w:r w:rsidRPr="00256467">
        <w:rPr>
          <w:rFonts w:ascii="Cambria" w:hAnsi="Cambria"/>
          <w:spacing w:val="-3"/>
          <w:sz w:val="16"/>
          <w:szCs w:val="16"/>
          <w:lang w:val="es-ES"/>
        </w:rPr>
        <w:t>Estados partes</w:t>
      </w:r>
      <w:proofErr w:type="gramEnd"/>
      <w:r w:rsidRPr="00256467">
        <w:rPr>
          <w:rFonts w:ascii="Cambria" w:hAnsi="Cambria"/>
          <w:spacing w:val="-3"/>
          <w:sz w:val="16"/>
          <w:szCs w:val="16"/>
          <w:lang w:val="es-ES"/>
        </w:rPr>
        <w:t xml:space="preserve">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w:t>
      </w:r>
      <w:r w:rsidR="00D437B5" w:rsidRPr="00256467">
        <w:rPr>
          <w:rFonts w:ascii="Cambria" w:hAnsi="Cambria"/>
          <w:spacing w:val="-3"/>
          <w:sz w:val="16"/>
          <w:szCs w:val="16"/>
          <w:lang w:val="es-ES"/>
        </w:rPr>
        <w:t>erse por sí o por otra persona.</w:t>
      </w:r>
    </w:p>
  </w:footnote>
  <w:footnote w:id="85">
    <w:p w14:paraId="4DB85EF5" w14:textId="77777777" w:rsidR="00B26282" w:rsidRPr="00256467" w:rsidRDefault="00B26282" w:rsidP="0058214B">
      <w:pPr>
        <w:tabs>
          <w:tab w:val="left" w:pos="360"/>
        </w:tabs>
        <w:suppressAutoHyphens/>
        <w:jc w:val="both"/>
        <w:rPr>
          <w:rFonts w:ascii="Cambria" w:hAnsi="Cambria"/>
          <w:spacing w:val="-3"/>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CO"/>
        </w:rPr>
        <w:t xml:space="preserve"> El artículo 8 de la Convención establece, en lo pertinente: “(..) </w:t>
      </w:r>
      <w:r w:rsidRPr="00256467">
        <w:rPr>
          <w:rFonts w:ascii="Cambria" w:hAnsi="Cambria"/>
          <w:spacing w:val="-3"/>
          <w:sz w:val="16"/>
          <w:szCs w:val="16"/>
          <w:lang w:val="es-ES"/>
        </w:rPr>
        <w:t>2. Toda persona inculpada de delito tiene derecho a que se presuma su inocencia mientras no se establezca legalmente su culpabilidad”</w:t>
      </w:r>
      <w:r w:rsidR="002B5753" w:rsidRPr="00256467">
        <w:rPr>
          <w:rFonts w:ascii="Cambria" w:hAnsi="Cambria"/>
          <w:spacing w:val="-3"/>
          <w:sz w:val="16"/>
          <w:szCs w:val="16"/>
          <w:lang w:val="es-ES"/>
        </w:rPr>
        <w:t xml:space="preserve">. </w:t>
      </w:r>
      <w:r w:rsidRPr="00256467">
        <w:rPr>
          <w:rFonts w:ascii="Cambria" w:hAnsi="Cambria"/>
          <w:spacing w:val="-3"/>
          <w:sz w:val="16"/>
          <w:szCs w:val="16"/>
          <w:lang w:val="es-ES"/>
        </w:rPr>
        <w:t xml:space="preserve">  </w:t>
      </w:r>
    </w:p>
  </w:footnote>
  <w:footnote w:id="86">
    <w:p w14:paraId="351FB81E" w14:textId="77777777" w:rsidR="0058214B" w:rsidRPr="00256467" w:rsidRDefault="0058214B" w:rsidP="0058214B">
      <w:pPr>
        <w:pStyle w:val="Textonotapie"/>
        <w:jc w:val="both"/>
        <w:rPr>
          <w:rFonts w:ascii="Cambria" w:hAnsi="Cambria"/>
          <w:sz w:val="16"/>
          <w:szCs w:val="16"/>
          <w:lang w:val="es-CO"/>
        </w:rPr>
      </w:pPr>
      <w:r w:rsidRPr="00256467">
        <w:rPr>
          <w:rStyle w:val="Refdenotaalpie"/>
          <w:rFonts w:ascii="Cambria" w:hAnsi="Cambria"/>
          <w:sz w:val="16"/>
          <w:szCs w:val="16"/>
        </w:rPr>
        <w:footnoteRef/>
      </w:r>
      <w:r w:rsidRPr="00256467">
        <w:rPr>
          <w:rFonts w:ascii="Cambria" w:hAnsi="Cambria"/>
          <w:sz w:val="16"/>
          <w:szCs w:val="16"/>
          <w:lang w:val="es-CO"/>
        </w:rPr>
        <w:t xml:space="preserve"> El artículo 1.1 de la Convención señala, en lo pertinente: “</w:t>
      </w:r>
      <w:r w:rsidRPr="00256467">
        <w:rPr>
          <w:rFonts w:ascii="Cambria" w:hAnsi="Cambria"/>
          <w:spacing w:val="-3"/>
          <w:sz w:val="16"/>
          <w:szCs w:val="16"/>
          <w:lang w:val="es-ES"/>
        </w:rPr>
        <w:t xml:space="preserve">Los </w:t>
      </w:r>
      <w:proofErr w:type="gramStart"/>
      <w:r w:rsidRPr="00256467">
        <w:rPr>
          <w:rFonts w:ascii="Cambria" w:hAnsi="Cambria"/>
          <w:spacing w:val="-3"/>
          <w:sz w:val="16"/>
          <w:szCs w:val="16"/>
          <w:lang w:val="es-ES"/>
        </w:rPr>
        <w:t>Estados partes</w:t>
      </w:r>
      <w:proofErr w:type="gramEnd"/>
      <w:r w:rsidRPr="00256467">
        <w:rPr>
          <w:rFonts w:ascii="Cambria" w:hAnsi="Cambria"/>
          <w:spacing w:val="-3"/>
          <w:sz w:val="16"/>
          <w:szCs w:val="16"/>
          <w:lang w:val="es-ES"/>
        </w:rPr>
        <w:t xml:space="preserve"> en esta Convención se comprometen a respetar los derechos y libertades reconocidos en ella y a garantizar su libre y pleno ejercicio a toda persona que esté sujeta a su jurisdicción”.</w:t>
      </w:r>
    </w:p>
  </w:footnote>
  <w:footnote w:id="87">
    <w:p w14:paraId="1CE72BF2" w14:textId="77777777" w:rsidR="00F5151F" w:rsidRPr="00256467" w:rsidRDefault="00F5151F" w:rsidP="00F5151F">
      <w:pPr>
        <w:tabs>
          <w:tab w:val="left" w:pos="360"/>
        </w:tabs>
        <w:suppressAutoHyphens/>
        <w:jc w:val="both"/>
        <w:rPr>
          <w:rFonts w:ascii="Cambria" w:hAnsi="Cambria"/>
          <w:b/>
          <w:spacing w:val="-3"/>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CO"/>
        </w:rPr>
        <w:t xml:space="preserve"> El artículo 2 de la Convención señala, en lo pertinente: “</w:t>
      </w:r>
      <w:r w:rsidRPr="00256467">
        <w:rPr>
          <w:rFonts w:ascii="Cambria" w:hAnsi="Cambria"/>
          <w:spacing w:val="-3"/>
          <w:sz w:val="16"/>
          <w:szCs w:val="16"/>
          <w:lang w:val="es-ES"/>
        </w:rPr>
        <w:t xml:space="preserve">Si en el ejercicio de los derechos y libertades mencionados en el artículo 1 no estuviere ya garantizado por disposiciones legislativas o de otro carácter, los </w:t>
      </w:r>
      <w:proofErr w:type="gramStart"/>
      <w:r w:rsidRPr="00256467">
        <w:rPr>
          <w:rFonts w:ascii="Cambria" w:hAnsi="Cambria"/>
          <w:spacing w:val="-3"/>
          <w:sz w:val="16"/>
          <w:szCs w:val="16"/>
          <w:lang w:val="es-ES"/>
        </w:rPr>
        <w:t>Estados partes</w:t>
      </w:r>
      <w:proofErr w:type="gramEnd"/>
      <w:r w:rsidRPr="00256467">
        <w:rPr>
          <w:rFonts w:ascii="Cambria" w:hAnsi="Cambria"/>
          <w:spacing w:val="-3"/>
          <w:sz w:val="16"/>
          <w:szCs w:val="16"/>
          <w:lang w:val="es-ES"/>
        </w:rPr>
        <w:t xml:space="preserve"> se comprometen a adoptar, con arreglo a sus procedimientos constitucionales y a las disposiciones de esta Convención, las medidas legislativas o de otro carácter que fueren necesarias para hacer efectivos tales derechos y libertades”.</w:t>
      </w:r>
    </w:p>
  </w:footnote>
  <w:footnote w:id="88">
    <w:p w14:paraId="6B8D9C9B" w14:textId="77777777" w:rsidR="00D329F5" w:rsidRPr="00256467" w:rsidRDefault="00D329F5" w:rsidP="00B26282">
      <w:pPr>
        <w:pStyle w:val="Textonotapie"/>
        <w:tabs>
          <w:tab w:val="left" w:pos="720"/>
          <w:tab w:val="left" w:pos="1080"/>
        </w:tabs>
        <w:jc w:val="both"/>
        <w:rPr>
          <w:rFonts w:ascii="Cambria" w:hAnsi="Cambria"/>
          <w:color w:val="auto"/>
          <w:sz w:val="16"/>
          <w:szCs w:val="16"/>
          <w:lang w:val="es-ES_tradnl"/>
        </w:rPr>
      </w:pPr>
      <w:r w:rsidRPr="00256467">
        <w:rPr>
          <w:rStyle w:val="Refdenotaalpie"/>
          <w:rFonts w:ascii="Cambria" w:hAnsi="Cambria"/>
          <w:color w:val="auto"/>
          <w:sz w:val="16"/>
          <w:szCs w:val="16"/>
        </w:rPr>
        <w:footnoteRef/>
      </w:r>
      <w:r w:rsidRPr="00256467">
        <w:rPr>
          <w:rFonts w:ascii="Cambria" w:hAnsi="Cambria"/>
          <w:color w:val="auto"/>
          <w:sz w:val="16"/>
          <w:szCs w:val="16"/>
          <w:lang w:val="es-ES_tradnl"/>
        </w:rPr>
        <w:t xml:space="preserve"> Corte IDH. </w:t>
      </w:r>
      <w:r w:rsidRPr="00256467">
        <w:rPr>
          <w:rFonts w:ascii="Cambria" w:hAnsi="Cambria"/>
          <w:bCs/>
          <w:i/>
          <w:color w:val="auto"/>
          <w:sz w:val="16"/>
          <w:szCs w:val="16"/>
          <w:lang w:val="es-ES_tradnl"/>
        </w:rPr>
        <w:t>Caso Chaparro Álvarez y Lapo Íñiguez. Vs. Ecuador</w:t>
      </w:r>
      <w:r w:rsidRPr="00256467">
        <w:rPr>
          <w:rFonts w:ascii="Cambria" w:hAnsi="Cambria"/>
          <w:bCs/>
          <w:color w:val="auto"/>
          <w:sz w:val="16"/>
          <w:szCs w:val="16"/>
          <w:lang w:val="es-ES_tradnl"/>
        </w:rPr>
        <w:t xml:space="preserve">. </w:t>
      </w:r>
      <w:r w:rsidRPr="00256467">
        <w:rPr>
          <w:rFonts w:ascii="Cambria" w:hAnsi="Cambria"/>
          <w:color w:val="auto"/>
          <w:sz w:val="16"/>
          <w:szCs w:val="16"/>
          <w:lang w:val="es-ES_tradnl"/>
        </w:rPr>
        <w:t xml:space="preserve">Excepciones Preliminares, Fondo, Reparaciones y Costas. Sentencia de 21 de noviembre de 2007. Serie C No. 170, párr. 56. </w:t>
      </w:r>
      <w:r w:rsidRPr="00256467">
        <w:rPr>
          <w:rFonts w:ascii="Cambria" w:hAnsi="Cambria"/>
          <w:sz w:val="16"/>
          <w:szCs w:val="16"/>
          <w:lang w:val="es-ES"/>
        </w:rPr>
        <w:t xml:space="preserve">Ver también: CIDH. </w:t>
      </w:r>
      <w:hyperlink r:id="rId1" w:history="1">
        <w:r w:rsidRPr="00256467">
          <w:rPr>
            <w:rStyle w:val="Hipervnculo"/>
            <w:rFonts w:ascii="Cambria" w:hAnsi="Cambria"/>
            <w:i/>
            <w:sz w:val="16"/>
            <w:szCs w:val="16"/>
            <w:u w:val="none"/>
            <w:lang w:val="es-ES"/>
          </w:rPr>
          <w:t>Informe sobre seguridad ciudadana y derechos humanos</w:t>
        </w:r>
      </w:hyperlink>
      <w:r w:rsidRPr="00256467">
        <w:rPr>
          <w:rFonts w:ascii="Cambria" w:hAnsi="Cambria"/>
          <w:sz w:val="16"/>
          <w:szCs w:val="16"/>
          <w:lang w:val="es-ES"/>
        </w:rPr>
        <w:t xml:space="preserve">. 31 de </w:t>
      </w:r>
      <w:r w:rsidRPr="00256467">
        <w:rPr>
          <w:rFonts w:ascii="Cambria" w:hAnsi="Cambria"/>
          <w:color w:val="auto"/>
          <w:sz w:val="16"/>
          <w:szCs w:val="16"/>
          <w:lang w:val="es-ES"/>
        </w:rPr>
        <w:t>diciembre de 2009, párrs. 144-146.</w:t>
      </w:r>
    </w:p>
  </w:footnote>
  <w:footnote w:id="89">
    <w:p w14:paraId="32BDE144" w14:textId="77777777" w:rsidR="00D329F5" w:rsidRPr="00256467" w:rsidRDefault="00D329F5" w:rsidP="00B26282">
      <w:pPr>
        <w:jc w:val="both"/>
        <w:rPr>
          <w:rFonts w:ascii="Cambria" w:hAnsi="Cambria"/>
          <w:sz w:val="16"/>
          <w:szCs w:val="16"/>
          <w:lang w:val="es-ES"/>
        </w:rPr>
      </w:pPr>
      <w:r w:rsidRPr="00256467">
        <w:rPr>
          <w:rStyle w:val="Refdenotaalpie"/>
          <w:rFonts w:ascii="Cambria" w:hAnsi="Cambria"/>
          <w:sz w:val="16"/>
          <w:szCs w:val="16"/>
          <w:lang w:val="es-ES"/>
        </w:rPr>
        <w:footnoteRef/>
      </w:r>
      <w:r w:rsidRPr="00256467">
        <w:rPr>
          <w:rFonts w:ascii="Cambria" w:hAnsi="Cambria"/>
          <w:sz w:val="16"/>
          <w:szCs w:val="16"/>
          <w:lang w:val="es-ES"/>
        </w:rPr>
        <w:t xml:space="preserve"> CIDH. Caso 11.678. Informe No. 131/17. Admisibilidad y Fondo. </w:t>
      </w:r>
      <w:r w:rsidRPr="00256467">
        <w:rPr>
          <w:rFonts w:ascii="Cambria" w:hAnsi="Cambria"/>
          <w:sz w:val="16"/>
          <w:szCs w:val="16"/>
          <w:lang w:val="es-MX"/>
        </w:rPr>
        <w:t>Mario Montesinos Mejía</w:t>
      </w:r>
      <w:r w:rsidRPr="00256467">
        <w:rPr>
          <w:rFonts w:ascii="Cambria" w:hAnsi="Cambria"/>
          <w:i/>
          <w:sz w:val="16"/>
          <w:szCs w:val="16"/>
          <w:lang w:val="es-MX"/>
        </w:rPr>
        <w:t>.</w:t>
      </w:r>
      <w:r w:rsidRPr="00256467">
        <w:rPr>
          <w:rFonts w:ascii="Cambria" w:hAnsi="Cambria"/>
          <w:sz w:val="16"/>
          <w:szCs w:val="16"/>
          <w:lang w:val="es-MX"/>
        </w:rPr>
        <w:t xml:space="preserve"> Ecuador. 25 de octubre de 2017, párr. 64. </w:t>
      </w:r>
      <w:r w:rsidRPr="00256467">
        <w:rPr>
          <w:rFonts w:ascii="Cambria" w:hAnsi="Cambria" w:cs="Arial"/>
          <w:sz w:val="16"/>
          <w:szCs w:val="16"/>
          <w:shd w:val="clear" w:color="auto" w:fill="FFFFFF"/>
          <w:lang w:val="es-MX"/>
        </w:rPr>
        <w:t xml:space="preserve">Corte IDH. </w:t>
      </w:r>
      <w:r w:rsidRPr="00256467">
        <w:rPr>
          <w:rFonts w:ascii="Cambria" w:hAnsi="Cambria" w:cs="Arial"/>
          <w:i/>
          <w:sz w:val="16"/>
          <w:szCs w:val="16"/>
          <w:shd w:val="clear" w:color="auto" w:fill="FFFFFF"/>
          <w:lang w:val="es-ES"/>
        </w:rPr>
        <w:t>Caso Chaparro Álvarez y Lapo Íñiguez. Vs. Ecuador</w:t>
      </w:r>
      <w:r w:rsidRPr="00256467">
        <w:rPr>
          <w:rFonts w:ascii="Cambria" w:hAnsi="Cambria" w:cs="Arial"/>
          <w:sz w:val="16"/>
          <w:szCs w:val="16"/>
          <w:shd w:val="clear" w:color="auto" w:fill="FFFFFF"/>
          <w:lang w:val="es-ES"/>
        </w:rPr>
        <w:t>. Excepciones Preliminares, Fondo, Reparaciones y Costas. Sentencia de 21 de noviembre de 2007. Serie C No. 170</w:t>
      </w:r>
      <w:r w:rsidRPr="00256467">
        <w:rPr>
          <w:rFonts w:ascii="Cambria" w:hAnsi="Cambria"/>
          <w:sz w:val="16"/>
          <w:szCs w:val="16"/>
          <w:lang w:val="es-ES"/>
        </w:rPr>
        <w:t xml:space="preserve">, párr. 55. </w:t>
      </w:r>
    </w:p>
  </w:footnote>
  <w:footnote w:id="90">
    <w:p w14:paraId="3977CA64" w14:textId="77777777" w:rsidR="00D329F5" w:rsidRPr="00256467" w:rsidRDefault="00D329F5" w:rsidP="00B26282">
      <w:pPr>
        <w:jc w:val="both"/>
        <w:rPr>
          <w:rFonts w:ascii="Cambria" w:hAnsi="Cambria" w:cs="Times"/>
          <w:sz w:val="16"/>
          <w:szCs w:val="16"/>
          <w:lang w:val="es-CO"/>
        </w:rPr>
      </w:pPr>
      <w:r w:rsidRPr="00256467">
        <w:rPr>
          <w:rStyle w:val="Refdenotaalpie"/>
          <w:rFonts w:ascii="Cambria" w:hAnsi="Cambria"/>
          <w:sz w:val="16"/>
          <w:szCs w:val="16"/>
        </w:rPr>
        <w:footnoteRef/>
      </w:r>
      <w:r w:rsidRPr="00256467">
        <w:rPr>
          <w:rFonts w:ascii="Cambria" w:hAnsi="Cambria"/>
          <w:sz w:val="16"/>
          <w:szCs w:val="16"/>
          <w:lang w:val="es-CO"/>
        </w:rPr>
        <w:t xml:space="preserve"> CIDH. </w:t>
      </w:r>
      <w:hyperlink r:id="rId2" w:history="1">
        <w:r w:rsidRPr="00256467">
          <w:rPr>
            <w:rStyle w:val="Hipervnculo"/>
            <w:rFonts w:ascii="Cambria" w:hAnsi="Cambria"/>
            <w:i/>
            <w:sz w:val="16"/>
            <w:szCs w:val="16"/>
            <w:u w:val="none"/>
            <w:lang w:val="es-CO"/>
          </w:rPr>
          <w:t>Informe sobre el uso de la prisión preventiva en las Américas</w:t>
        </w:r>
      </w:hyperlink>
      <w:r w:rsidRPr="00256467">
        <w:rPr>
          <w:rFonts w:ascii="Cambria" w:hAnsi="Cambria"/>
          <w:sz w:val="16"/>
          <w:szCs w:val="16"/>
          <w:lang w:val="es-CO"/>
        </w:rPr>
        <w:t xml:space="preserve">. OEA/Ser.L/V/II. 30 de diciembre de 2013, párr. 20; </w:t>
      </w:r>
      <w:r w:rsidRPr="00256467">
        <w:rPr>
          <w:rFonts w:ascii="Cambria" w:hAnsi="Cambria" w:cs="Times"/>
          <w:sz w:val="16"/>
          <w:szCs w:val="16"/>
          <w:lang w:val="it-IT"/>
        </w:rPr>
        <w:t xml:space="preserve">Corte IDH. </w:t>
      </w:r>
      <w:r w:rsidRPr="00256467">
        <w:rPr>
          <w:rFonts w:ascii="Cambria" w:hAnsi="Cambria" w:cs="Times"/>
          <w:i/>
          <w:iCs/>
          <w:sz w:val="16"/>
          <w:szCs w:val="16"/>
          <w:lang w:val="it-IT"/>
        </w:rPr>
        <w:t>Caso</w:t>
      </w:r>
      <w:r w:rsidRPr="00256467">
        <w:rPr>
          <w:rFonts w:ascii="Cambria" w:hAnsi="Cambria" w:cs="Times"/>
          <w:i/>
          <w:sz w:val="16"/>
          <w:szCs w:val="16"/>
          <w:lang w:val="it-IT"/>
        </w:rPr>
        <w:t xml:space="preserve"> </w:t>
      </w:r>
      <w:r w:rsidRPr="00256467">
        <w:rPr>
          <w:rFonts w:ascii="Cambria" w:hAnsi="Cambria" w:cs="Times"/>
          <w:i/>
          <w:iCs/>
          <w:sz w:val="16"/>
          <w:szCs w:val="16"/>
          <w:lang w:val="it-IT"/>
        </w:rPr>
        <w:t>López Álvarez</w:t>
      </w:r>
      <w:r w:rsidRPr="00256467">
        <w:rPr>
          <w:rFonts w:ascii="Cambria" w:hAnsi="Cambria" w:cs="Times"/>
          <w:sz w:val="16"/>
          <w:szCs w:val="16"/>
          <w:lang w:val="it-IT"/>
        </w:rPr>
        <w:t xml:space="preserve"> </w:t>
      </w:r>
      <w:r w:rsidRPr="00256467">
        <w:rPr>
          <w:rFonts w:ascii="Cambria" w:hAnsi="Cambria" w:cs="Times"/>
          <w:i/>
          <w:sz w:val="16"/>
          <w:szCs w:val="16"/>
          <w:lang w:val="it-IT"/>
        </w:rPr>
        <w:t>Vs. Honduras</w:t>
      </w:r>
      <w:r w:rsidRPr="00256467">
        <w:rPr>
          <w:rFonts w:ascii="Cambria" w:hAnsi="Cambria" w:cs="Times"/>
          <w:sz w:val="16"/>
          <w:szCs w:val="16"/>
          <w:lang w:val="it-IT"/>
        </w:rPr>
        <w:t xml:space="preserve">. </w:t>
      </w:r>
      <w:r w:rsidR="0089537D" w:rsidRPr="00256467">
        <w:rPr>
          <w:rFonts w:ascii="Cambria" w:hAnsi="Cambria" w:cs="Times"/>
          <w:sz w:val="16"/>
          <w:szCs w:val="16"/>
          <w:lang w:val="es-CO"/>
        </w:rPr>
        <w:t>Sentencia de 1</w:t>
      </w:r>
      <w:r w:rsidRPr="00256467">
        <w:rPr>
          <w:rFonts w:ascii="Cambria" w:hAnsi="Cambria" w:cs="Times"/>
          <w:sz w:val="16"/>
          <w:szCs w:val="16"/>
          <w:lang w:val="es-CO"/>
        </w:rPr>
        <w:t xml:space="preserve"> de febrero de 2006. Serie C No. 141, </w:t>
      </w:r>
      <w:r w:rsidRPr="00256467">
        <w:rPr>
          <w:rFonts w:ascii="Cambria" w:hAnsi="Cambria"/>
          <w:sz w:val="16"/>
          <w:szCs w:val="16"/>
          <w:lang w:val="es-CO"/>
        </w:rPr>
        <w:t xml:space="preserve">párr. 67; </w:t>
      </w:r>
      <w:r w:rsidRPr="00256467">
        <w:rPr>
          <w:rFonts w:ascii="Cambria" w:hAnsi="Cambria" w:cs="Times"/>
          <w:i/>
          <w:iCs/>
          <w:sz w:val="16"/>
          <w:szCs w:val="16"/>
          <w:lang w:val="es-CO"/>
        </w:rPr>
        <w:t>Caso García Asto y Ramírez Rojas Vs. Rojas</w:t>
      </w:r>
      <w:r w:rsidRPr="00256467">
        <w:rPr>
          <w:rFonts w:ascii="Cambria" w:hAnsi="Cambria" w:cs="Times"/>
          <w:sz w:val="16"/>
          <w:szCs w:val="16"/>
          <w:lang w:val="es-CO"/>
        </w:rPr>
        <w:t xml:space="preserve">. Sentencia de 25 de noviembre de 2005. Serie C No. 137, </w:t>
      </w:r>
      <w:r w:rsidRPr="00256467">
        <w:rPr>
          <w:rFonts w:ascii="Cambria" w:hAnsi="Cambria"/>
          <w:sz w:val="16"/>
          <w:szCs w:val="16"/>
          <w:lang w:val="es-CO"/>
        </w:rPr>
        <w:t xml:space="preserve">párr. 106; </w:t>
      </w:r>
      <w:r w:rsidRPr="00256467">
        <w:rPr>
          <w:rFonts w:ascii="Cambria" w:hAnsi="Cambria" w:cs="Times"/>
          <w:i/>
          <w:iCs/>
          <w:sz w:val="16"/>
          <w:szCs w:val="16"/>
          <w:lang w:val="es-CO"/>
        </w:rPr>
        <w:t>Caso Palamara Iribarne Vs. Chile</w:t>
      </w:r>
      <w:r w:rsidRPr="00256467">
        <w:rPr>
          <w:rFonts w:ascii="Cambria" w:hAnsi="Cambria" w:cs="Times"/>
          <w:sz w:val="16"/>
          <w:szCs w:val="16"/>
          <w:lang w:val="es-CO"/>
        </w:rPr>
        <w:t xml:space="preserve">. Sentencia de 22 de noviembre de 2005. Serie C No. 135, </w:t>
      </w:r>
      <w:r w:rsidRPr="00256467">
        <w:rPr>
          <w:rFonts w:ascii="Cambria" w:hAnsi="Cambria"/>
          <w:sz w:val="16"/>
          <w:szCs w:val="16"/>
          <w:lang w:val="es-CO"/>
        </w:rPr>
        <w:t>párr</w:t>
      </w:r>
      <w:r w:rsidRPr="00256467">
        <w:rPr>
          <w:rFonts w:ascii="Cambria" w:hAnsi="Cambria"/>
          <w:color w:val="000000"/>
          <w:sz w:val="16"/>
          <w:szCs w:val="16"/>
          <w:lang w:val="es-CO"/>
        </w:rPr>
        <w:t xml:space="preserve">. 197; y </w:t>
      </w:r>
      <w:r w:rsidRPr="00256467">
        <w:rPr>
          <w:rFonts w:ascii="Cambria" w:hAnsi="Cambria" w:cs="Times"/>
          <w:i/>
          <w:iCs/>
          <w:sz w:val="16"/>
          <w:szCs w:val="16"/>
          <w:lang w:val="es-CO"/>
        </w:rPr>
        <w:t>Caso Acosta Calderón</w:t>
      </w:r>
      <w:r w:rsidRPr="00256467">
        <w:rPr>
          <w:rFonts w:ascii="Cambria" w:hAnsi="Cambria" w:cs="Times"/>
          <w:i/>
          <w:sz w:val="16"/>
          <w:szCs w:val="16"/>
          <w:lang w:val="es-CO"/>
        </w:rPr>
        <w:t xml:space="preserve"> Vs. Ecuador</w:t>
      </w:r>
      <w:r w:rsidRPr="00256467">
        <w:rPr>
          <w:rFonts w:ascii="Cambria" w:hAnsi="Cambria" w:cs="Times"/>
          <w:sz w:val="16"/>
          <w:szCs w:val="16"/>
          <w:lang w:val="es-CO"/>
        </w:rPr>
        <w:t>.  Sentencia de 24 de junio de 2005.  Serie C No. 129, p</w:t>
      </w:r>
      <w:r w:rsidRPr="00256467">
        <w:rPr>
          <w:rFonts w:ascii="Cambria" w:hAnsi="Cambria"/>
          <w:sz w:val="16"/>
          <w:szCs w:val="16"/>
          <w:lang w:val="es-CO"/>
        </w:rPr>
        <w:t>árr</w:t>
      </w:r>
      <w:r w:rsidRPr="00256467">
        <w:rPr>
          <w:rFonts w:ascii="Cambria" w:hAnsi="Cambria"/>
          <w:color w:val="000000"/>
          <w:sz w:val="16"/>
          <w:szCs w:val="16"/>
          <w:lang w:val="es-CO"/>
        </w:rPr>
        <w:t>. 74.</w:t>
      </w:r>
    </w:p>
  </w:footnote>
  <w:footnote w:id="91">
    <w:p w14:paraId="439C2C41" w14:textId="77777777" w:rsidR="00D329F5" w:rsidRPr="00256467" w:rsidRDefault="00D329F5" w:rsidP="00B26282">
      <w:pPr>
        <w:jc w:val="both"/>
        <w:rPr>
          <w:rFonts w:ascii="Cambria" w:hAnsi="Cambria"/>
          <w:sz w:val="16"/>
          <w:szCs w:val="16"/>
          <w:lang w:val="es-CO"/>
        </w:rPr>
      </w:pPr>
      <w:r w:rsidRPr="00256467">
        <w:rPr>
          <w:rStyle w:val="Refdenotaalpie"/>
          <w:rFonts w:ascii="Cambria" w:hAnsi="Cambria"/>
          <w:sz w:val="16"/>
          <w:szCs w:val="16"/>
        </w:rPr>
        <w:footnoteRef/>
      </w:r>
      <w:r w:rsidRPr="00256467">
        <w:rPr>
          <w:rFonts w:ascii="Cambria" w:hAnsi="Cambria"/>
          <w:sz w:val="16"/>
          <w:szCs w:val="16"/>
          <w:lang w:val="es-CO"/>
        </w:rPr>
        <w:t xml:space="preserve"> </w:t>
      </w:r>
      <w:r w:rsidRPr="00256467">
        <w:rPr>
          <w:rFonts w:ascii="Cambria" w:hAnsi="Cambria"/>
          <w:sz w:val="16"/>
          <w:szCs w:val="16"/>
          <w:lang w:val="es-ES"/>
        </w:rPr>
        <w:t xml:space="preserve">CIDH. Caso 11.678. Informe No. 131/17. Admisibilidad y Fondo. </w:t>
      </w:r>
      <w:r w:rsidRPr="00256467">
        <w:rPr>
          <w:rFonts w:ascii="Cambria" w:hAnsi="Cambria"/>
          <w:sz w:val="16"/>
          <w:szCs w:val="16"/>
          <w:lang w:val="es-MX"/>
        </w:rPr>
        <w:t>Mario Montesinos Mejía</w:t>
      </w:r>
      <w:r w:rsidRPr="00256467">
        <w:rPr>
          <w:rFonts w:ascii="Cambria" w:hAnsi="Cambria"/>
          <w:i/>
          <w:sz w:val="16"/>
          <w:szCs w:val="16"/>
          <w:lang w:val="es-MX"/>
        </w:rPr>
        <w:t>.</w:t>
      </w:r>
      <w:r w:rsidRPr="00256467">
        <w:rPr>
          <w:rFonts w:ascii="Cambria" w:hAnsi="Cambria"/>
          <w:sz w:val="16"/>
          <w:szCs w:val="16"/>
          <w:lang w:val="es-MX"/>
        </w:rPr>
        <w:t xml:space="preserve"> Ecuador. 25 de octubre de 2017, párr. 77.</w:t>
      </w:r>
    </w:p>
  </w:footnote>
  <w:footnote w:id="92">
    <w:p w14:paraId="595A8FDB" w14:textId="77777777" w:rsidR="00D329F5" w:rsidRPr="00256467" w:rsidRDefault="00D329F5" w:rsidP="00B26282">
      <w:pPr>
        <w:jc w:val="both"/>
        <w:rPr>
          <w:rFonts w:ascii="Cambria" w:hAnsi="Cambria"/>
          <w:sz w:val="16"/>
          <w:szCs w:val="16"/>
          <w:lang w:val="es-CO"/>
        </w:rPr>
      </w:pPr>
      <w:r w:rsidRPr="00256467">
        <w:rPr>
          <w:rStyle w:val="Refdenotaalpie"/>
          <w:rFonts w:ascii="Cambria" w:hAnsi="Cambria"/>
          <w:sz w:val="16"/>
          <w:szCs w:val="16"/>
        </w:rPr>
        <w:footnoteRef/>
      </w:r>
      <w:r w:rsidRPr="00256467">
        <w:rPr>
          <w:rFonts w:ascii="Cambria" w:hAnsi="Cambria"/>
          <w:sz w:val="16"/>
          <w:szCs w:val="16"/>
          <w:lang w:val="es-CO"/>
        </w:rPr>
        <w:t xml:space="preserve"> CIDH. </w:t>
      </w:r>
      <w:hyperlink r:id="rId3" w:history="1">
        <w:r w:rsidRPr="00256467">
          <w:rPr>
            <w:rStyle w:val="Hipervnculo"/>
            <w:rFonts w:ascii="Cambria" w:hAnsi="Cambria"/>
            <w:i/>
            <w:sz w:val="16"/>
            <w:szCs w:val="16"/>
            <w:u w:val="none"/>
            <w:lang w:val="es-CO"/>
          </w:rPr>
          <w:t>Informe sobre el uso de la prisión preventiva en las Américas</w:t>
        </w:r>
      </w:hyperlink>
      <w:r w:rsidRPr="00256467">
        <w:rPr>
          <w:rFonts w:ascii="Cambria" w:hAnsi="Cambria"/>
          <w:sz w:val="16"/>
          <w:szCs w:val="16"/>
          <w:lang w:val="es-CO"/>
        </w:rPr>
        <w:t>. OEA/Ser.L/V/II. 30 de diciembre de 2013, p</w:t>
      </w:r>
      <w:r w:rsidR="0089537D" w:rsidRPr="00256467">
        <w:rPr>
          <w:rFonts w:ascii="Cambria" w:hAnsi="Cambria"/>
          <w:sz w:val="16"/>
          <w:szCs w:val="16"/>
          <w:lang w:val="es-CO"/>
        </w:rPr>
        <w:t>árr. 21.</w:t>
      </w:r>
      <w:r w:rsidRPr="00256467">
        <w:rPr>
          <w:rFonts w:ascii="Cambria" w:hAnsi="Cambria"/>
          <w:sz w:val="16"/>
          <w:szCs w:val="16"/>
          <w:lang w:val="es-CO"/>
        </w:rPr>
        <w:t xml:space="preserve"> </w:t>
      </w:r>
      <w:r w:rsidRPr="00256467">
        <w:rPr>
          <w:rFonts w:ascii="Cambria" w:hAnsi="Cambria" w:cs="Times"/>
          <w:sz w:val="16"/>
          <w:szCs w:val="16"/>
          <w:lang w:val="it-IT"/>
        </w:rPr>
        <w:t xml:space="preserve">Corte IDH. </w:t>
      </w:r>
      <w:r w:rsidRPr="00256467">
        <w:rPr>
          <w:rFonts w:ascii="Cambria" w:hAnsi="Cambria" w:cs="Times"/>
          <w:i/>
          <w:iCs/>
          <w:sz w:val="16"/>
          <w:szCs w:val="16"/>
          <w:lang w:val="it-IT"/>
        </w:rPr>
        <w:t>Caso</w:t>
      </w:r>
      <w:r w:rsidRPr="00256467">
        <w:rPr>
          <w:rFonts w:ascii="Cambria" w:hAnsi="Cambria" w:cs="Times"/>
          <w:i/>
          <w:sz w:val="16"/>
          <w:szCs w:val="16"/>
          <w:lang w:val="it-IT"/>
        </w:rPr>
        <w:t xml:space="preserve"> </w:t>
      </w:r>
      <w:r w:rsidRPr="00256467">
        <w:rPr>
          <w:rFonts w:ascii="Cambria" w:hAnsi="Cambria" w:cs="Times"/>
          <w:i/>
          <w:iCs/>
          <w:sz w:val="16"/>
          <w:szCs w:val="16"/>
          <w:lang w:val="it-IT"/>
        </w:rPr>
        <w:t>López Álvarez Vs. Honduras</w:t>
      </w:r>
      <w:r w:rsidRPr="00256467">
        <w:rPr>
          <w:rFonts w:ascii="Cambria" w:hAnsi="Cambria" w:cs="Times"/>
          <w:sz w:val="16"/>
          <w:szCs w:val="16"/>
          <w:lang w:val="it-IT"/>
        </w:rPr>
        <w:t xml:space="preserve">. </w:t>
      </w:r>
      <w:r w:rsidRPr="00256467">
        <w:rPr>
          <w:rFonts w:ascii="Cambria" w:hAnsi="Cambria" w:cs="Times"/>
          <w:sz w:val="16"/>
          <w:szCs w:val="16"/>
          <w:lang w:val="es-CO"/>
        </w:rPr>
        <w:t xml:space="preserve">Sentencia de 1º de febrero de 2006. </w:t>
      </w:r>
      <w:r w:rsidRPr="00256467">
        <w:rPr>
          <w:rFonts w:ascii="Cambria" w:hAnsi="Cambria" w:cs="Times"/>
          <w:sz w:val="16"/>
          <w:szCs w:val="16"/>
          <w:lang w:val="pt-BR"/>
        </w:rPr>
        <w:t xml:space="preserve">Serie C No. 141, </w:t>
      </w:r>
      <w:r w:rsidRPr="00256467">
        <w:rPr>
          <w:rFonts w:ascii="Cambria" w:hAnsi="Cambria"/>
          <w:sz w:val="16"/>
          <w:szCs w:val="16"/>
          <w:lang w:val="pt-BR"/>
        </w:rPr>
        <w:t xml:space="preserve">párr. 67; Corte IDH. </w:t>
      </w:r>
      <w:r w:rsidRPr="00256467">
        <w:rPr>
          <w:rFonts w:ascii="Cambria" w:hAnsi="Cambria"/>
          <w:i/>
          <w:sz w:val="16"/>
          <w:szCs w:val="16"/>
          <w:lang w:val="pt-BR"/>
        </w:rPr>
        <w:t xml:space="preserve">Caso Palamara Iribarne Vs. </w:t>
      </w:r>
      <w:r w:rsidRPr="00256467">
        <w:rPr>
          <w:rFonts w:ascii="Cambria" w:hAnsi="Cambria"/>
          <w:i/>
          <w:sz w:val="16"/>
          <w:szCs w:val="16"/>
          <w:lang w:val="es-CO"/>
        </w:rPr>
        <w:t>Chile</w:t>
      </w:r>
      <w:r w:rsidRPr="00256467">
        <w:rPr>
          <w:rFonts w:ascii="Cambria" w:hAnsi="Cambria"/>
          <w:sz w:val="16"/>
          <w:szCs w:val="16"/>
          <w:lang w:val="es-CO"/>
        </w:rPr>
        <w:t xml:space="preserve">. Sentencia de 22 de noviembre de 2005. Serie C No. 135, párr. 196; y </w:t>
      </w:r>
      <w:r w:rsidRPr="00256467">
        <w:rPr>
          <w:rFonts w:ascii="Cambria" w:hAnsi="Cambria"/>
          <w:i/>
          <w:sz w:val="16"/>
          <w:szCs w:val="16"/>
          <w:lang w:val="es-CO"/>
        </w:rPr>
        <w:t>Caso Acosta Calderón Vs. Ecuador</w:t>
      </w:r>
      <w:r w:rsidRPr="00256467">
        <w:rPr>
          <w:rFonts w:ascii="Cambria" w:hAnsi="Cambria"/>
          <w:sz w:val="16"/>
          <w:szCs w:val="16"/>
          <w:lang w:val="es-CO"/>
        </w:rPr>
        <w:t>. Sentencia de 24 de junio de 2005. Serie C No. 129, párr. 74.</w:t>
      </w:r>
    </w:p>
  </w:footnote>
  <w:footnote w:id="93">
    <w:p w14:paraId="024DA106" w14:textId="77777777" w:rsidR="00D329F5" w:rsidRPr="00256467" w:rsidRDefault="00D329F5" w:rsidP="00B26282">
      <w:pPr>
        <w:pStyle w:val="Textonotapie"/>
        <w:jc w:val="both"/>
        <w:rPr>
          <w:rFonts w:ascii="Cambria" w:hAnsi="Cambria"/>
          <w:color w:val="auto"/>
          <w:sz w:val="16"/>
          <w:szCs w:val="16"/>
          <w:lang w:val="es-CO"/>
        </w:rPr>
      </w:pPr>
      <w:r w:rsidRPr="00256467">
        <w:rPr>
          <w:rStyle w:val="Refdenotaalpie"/>
          <w:rFonts w:ascii="Cambria" w:hAnsi="Cambria"/>
          <w:color w:val="auto"/>
          <w:sz w:val="16"/>
          <w:szCs w:val="16"/>
        </w:rPr>
        <w:footnoteRef/>
      </w:r>
      <w:r w:rsidRPr="00256467">
        <w:rPr>
          <w:rFonts w:ascii="Cambria" w:hAnsi="Cambria"/>
          <w:color w:val="auto"/>
          <w:sz w:val="16"/>
          <w:szCs w:val="16"/>
          <w:lang w:val="es-CO"/>
        </w:rPr>
        <w:t xml:space="preserve"> CIDH. Informe 42/17. Caso 12.031. Fondo. Jorge Rosadio Villavicencio. Perú. 23 de mayo de 2017, párr. 195.</w:t>
      </w:r>
    </w:p>
  </w:footnote>
  <w:footnote w:id="94">
    <w:p w14:paraId="77271C32" w14:textId="77777777" w:rsidR="00D329F5" w:rsidRPr="00256467" w:rsidRDefault="00D329F5" w:rsidP="00B26282">
      <w:pPr>
        <w:jc w:val="both"/>
        <w:outlineLvl w:val="0"/>
        <w:rPr>
          <w:rFonts w:ascii="Cambria" w:hAnsi="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CO"/>
        </w:rPr>
        <w:t xml:space="preserve"> </w:t>
      </w:r>
      <w:r w:rsidRPr="00256467">
        <w:rPr>
          <w:rFonts w:ascii="Cambria" w:hAnsi="Cambria"/>
          <w:sz w:val="16"/>
          <w:szCs w:val="16"/>
          <w:lang w:val="es-ES"/>
        </w:rPr>
        <w:t xml:space="preserve">CIDH. Caso 11.678. Informe No. 131/17. Admisibilidad y Fondo. </w:t>
      </w:r>
      <w:r w:rsidRPr="00256467">
        <w:rPr>
          <w:rFonts w:ascii="Cambria" w:hAnsi="Cambria"/>
          <w:sz w:val="16"/>
          <w:szCs w:val="16"/>
          <w:lang w:val="es-MX"/>
        </w:rPr>
        <w:t>Mario Montesinos Mejía</w:t>
      </w:r>
      <w:r w:rsidRPr="00256467">
        <w:rPr>
          <w:rFonts w:ascii="Cambria" w:hAnsi="Cambria"/>
          <w:i/>
          <w:sz w:val="16"/>
          <w:szCs w:val="16"/>
          <w:lang w:val="es-MX"/>
        </w:rPr>
        <w:t>.</w:t>
      </w:r>
      <w:r w:rsidRPr="00256467">
        <w:rPr>
          <w:rFonts w:ascii="Cambria" w:hAnsi="Cambria"/>
          <w:sz w:val="16"/>
          <w:szCs w:val="16"/>
          <w:lang w:val="es-MX"/>
        </w:rPr>
        <w:t xml:space="preserve"> Ecuador. 25 de octubre de 2017, párr. 79.</w:t>
      </w:r>
      <w:r w:rsidRPr="00256467">
        <w:rPr>
          <w:rFonts w:ascii="Cambria" w:hAnsi="Cambria"/>
          <w:sz w:val="16"/>
          <w:szCs w:val="16"/>
          <w:lang w:val="es-CO"/>
        </w:rPr>
        <w:t xml:space="preserve"> </w:t>
      </w:r>
    </w:p>
  </w:footnote>
  <w:footnote w:id="95">
    <w:p w14:paraId="3271B323" w14:textId="77777777" w:rsidR="00D329F5" w:rsidRPr="00256467" w:rsidRDefault="00D329F5" w:rsidP="00B26282">
      <w:pPr>
        <w:jc w:val="both"/>
        <w:rPr>
          <w:rFonts w:ascii="Cambria" w:hAnsi="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ES"/>
        </w:rPr>
        <w:t xml:space="preserve"> CIDH. Informe sobre el uso de la prisión preventiva en las Américas. 30 de diciembre de 2013, párr. 185.</w:t>
      </w:r>
    </w:p>
  </w:footnote>
  <w:footnote w:id="96">
    <w:p w14:paraId="4EF211C4" w14:textId="77777777" w:rsidR="00D329F5" w:rsidRPr="00256467" w:rsidRDefault="00D329F5" w:rsidP="00B26282">
      <w:pPr>
        <w:pStyle w:val="Textonotapie"/>
        <w:jc w:val="both"/>
        <w:rPr>
          <w:rFonts w:ascii="Cambria" w:hAnsi="Cambria"/>
          <w:color w:val="auto"/>
          <w:sz w:val="16"/>
          <w:szCs w:val="16"/>
          <w:lang w:val="es-ES"/>
        </w:rPr>
      </w:pPr>
      <w:r w:rsidRPr="00256467">
        <w:rPr>
          <w:rStyle w:val="Refdenotaalpie"/>
          <w:rFonts w:ascii="Cambria" w:hAnsi="Cambria"/>
          <w:color w:val="auto"/>
          <w:sz w:val="16"/>
          <w:szCs w:val="16"/>
        </w:rPr>
        <w:footnoteRef/>
      </w:r>
      <w:r w:rsidRPr="00256467">
        <w:rPr>
          <w:rFonts w:ascii="Cambria" w:hAnsi="Cambria"/>
          <w:color w:val="auto"/>
          <w:sz w:val="16"/>
          <w:szCs w:val="16"/>
          <w:lang w:val="es-ES_tradnl"/>
        </w:rPr>
        <w:t xml:space="preserve"> CIDH. Informe No. 86/09, Caso 12.553, Fondo, José, Jorge y Dante Peirano Basso, Uruguay, 6 de agosto de 2009, párrs. 80 y 85.</w:t>
      </w:r>
    </w:p>
  </w:footnote>
  <w:footnote w:id="97">
    <w:p w14:paraId="37A0740E" w14:textId="77777777" w:rsidR="00D329F5" w:rsidRPr="00256467" w:rsidRDefault="00D329F5" w:rsidP="00B2628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sz w:val="16"/>
          <w:szCs w:val="16"/>
          <w:lang w:val="es-CO"/>
        </w:rPr>
      </w:pPr>
      <w:r w:rsidRPr="00256467">
        <w:rPr>
          <w:rStyle w:val="Refdenotaalpie"/>
          <w:rFonts w:ascii="Cambria" w:hAnsi="Cambria"/>
          <w:sz w:val="16"/>
          <w:szCs w:val="16"/>
        </w:rPr>
        <w:footnoteRef/>
      </w:r>
      <w:r w:rsidRPr="00256467">
        <w:rPr>
          <w:rFonts w:ascii="Cambria" w:hAnsi="Cambria"/>
          <w:sz w:val="16"/>
          <w:szCs w:val="16"/>
          <w:lang w:val="es-VE"/>
        </w:rPr>
        <w:t xml:space="preserve"> </w:t>
      </w:r>
      <w:r w:rsidRPr="00256467">
        <w:rPr>
          <w:rFonts w:ascii="Cambria" w:hAnsi="Cambria" w:cs="Calibri"/>
          <w:sz w:val="16"/>
          <w:szCs w:val="16"/>
          <w:lang w:val="es-CO" w:eastAsia="es-ES"/>
        </w:rPr>
        <w:t xml:space="preserve">CIDH. Informe No. 2/97. Caso 11.205. Fondo. Jorge Luis Bronstein y otros, Argentina. 11 de marzo de 1997, párr. 12; </w:t>
      </w:r>
      <w:r w:rsidRPr="00256467">
        <w:rPr>
          <w:rFonts w:ascii="Cambria" w:hAnsi="Cambria" w:cs="Calibri-Italic"/>
          <w:iCs/>
          <w:sz w:val="16"/>
          <w:szCs w:val="16"/>
          <w:lang w:val="es-CO" w:eastAsia="es-ES"/>
        </w:rPr>
        <w:t>Tercer informe sobre la situación de los derechos humanos en Paraguay</w:t>
      </w:r>
      <w:r w:rsidRPr="00256467">
        <w:rPr>
          <w:rFonts w:ascii="Cambria" w:hAnsi="Cambria" w:cs="Calibri"/>
          <w:sz w:val="16"/>
          <w:szCs w:val="16"/>
          <w:lang w:val="es-CO" w:eastAsia="es-ES"/>
        </w:rPr>
        <w:t>, OEA/</w:t>
      </w:r>
      <w:proofErr w:type="gramStart"/>
      <w:r w:rsidRPr="00256467">
        <w:rPr>
          <w:rFonts w:ascii="Cambria" w:hAnsi="Cambria" w:cs="Calibri"/>
          <w:sz w:val="16"/>
          <w:szCs w:val="16"/>
          <w:lang w:val="es-CO" w:eastAsia="es-ES"/>
        </w:rPr>
        <w:t>Ser./</w:t>
      </w:r>
      <w:proofErr w:type="gramEnd"/>
      <w:r w:rsidRPr="00256467">
        <w:rPr>
          <w:rFonts w:ascii="Cambria" w:hAnsi="Cambria" w:cs="Calibri"/>
          <w:sz w:val="16"/>
          <w:szCs w:val="16"/>
          <w:lang w:val="es-CO" w:eastAsia="es-ES"/>
        </w:rPr>
        <w:t>L/VII.110. Doc. 52, adoptado el 9 de marzo de 2001. Cap. IV, párr. 34. Ver también: Corte IDH.</w:t>
      </w:r>
      <w:r w:rsidRPr="00256467">
        <w:rPr>
          <w:rFonts w:ascii="Cambria" w:hAnsi="Cambria" w:cs="Calibri"/>
          <w:i/>
          <w:sz w:val="16"/>
          <w:szCs w:val="16"/>
          <w:lang w:val="es-CO" w:eastAsia="es-ES"/>
        </w:rPr>
        <w:t xml:space="preserve"> </w:t>
      </w:r>
      <w:r w:rsidRPr="00256467">
        <w:rPr>
          <w:rFonts w:ascii="Cambria" w:hAnsi="Cambria" w:cs="Calibri-Italic"/>
          <w:i/>
          <w:iCs/>
          <w:sz w:val="16"/>
          <w:szCs w:val="16"/>
          <w:lang w:val="es-CO" w:eastAsia="es-ES"/>
        </w:rPr>
        <w:t>Caso López Álvarez Vs. Honduras</w:t>
      </w:r>
      <w:r w:rsidRPr="00256467">
        <w:rPr>
          <w:rFonts w:ascii="Cambria" w:hAnsi="Cambria" w:cs="Calibri"/>
          <w:sz w:val="16"/>
          <w:szCs w:val="16"/>
          <w:lang w:val="es-CO" w:eastAsia="es-ES"/>
        </w:rPr>
        <w:t xml:space="preserve">. Sentencia de 1 de febrero de 2006. Serie C No. 141, párr. 69; </w:t>
      </w:r>
      <w:r w:rsidRPr="00256467">
        <w:rPr>
          <w:rFonts w:ascii="Cambria" w:hAnsi="Cambria" w:cs="Calibri-Italic"/>
          <w:i/>
          <w:iCs/>
          <w:sz w:val="16"/>
          <w:szCs w:val="16"/>
          <w:lang w:val="es-CO" w:eastAsia="es-ES"/>
        </w:rPr>
        <w:t>Caso Acosta Calderón Vs. Ecuador</w:t>
      </w:r>
      <w:r w:rsidRPr="00256467">
        <w:rPr>
          <w:rFonts w:ascii="Cambria" w:hAnsi="Cambria" w:cs="Calibri"/>
          <w:sz w:val="16"/>
          <w:szCs w:val="16"/>
          <w:lang w:val="es-CO" w:eastAsia="es-ES"/>
        </w:rPr>
        <w:t xml:space="preserve">. Sentencia de 24 de junio de 2005. Serie C No. 129, párr. 111; </w:t>
      </w:r>
      <w:r w:rsidRPr="00256467">
        <w:rPr>
          <w:rFonts w:ascii="Cambria" w:hAnsi="Cambria" w:cs="Calibri-Italic"/>
          <w:i/>
          <w:iCs/>
          <w:sz w:val="16"/>
          <w:szCs w:val="16"/>
          <w:lang w:val="es-CO" w:eastAsia="es-ES"/>
        </w:rPr>
        <w:t>Caso Tibi Vs. Ecuador</w:t>
      </w:r>
      <w:r w:rsidRPr="00256467">
        <w:rPr>
          <w:rFonts w:ascii="Cambria" w:hAnsi="Cambria" w:cs="Calibri"/>
          <w:sz w:val="16"/>
          <w:szCs w:val="16"/>
          <w:lang w:val="es-CO" w:eastAsia="es-ES"/>
        </w:rPr>
        <w:t xml:space="preserve">. Sentencia de 7 de septiembre de 2004. Serie C No. 114, párr. 180; </w:t>
      </w:r>
      <w:r w:rsidRPr="00256467">
        <w:rPr>
          <w:rFonts w:ascii="Cambria" w:hAnsi="Cambria" w:cs="Calibri-Italic"/>
          <w:i/>
          <w:iCs/>
          <w:sz w:val="16"/>
          <w:szCs w:val="16"/>
          <w:lang w:val="es-CO" w:eastAsia="es-ES"/>
        </w:rPr>
        <w:t>Caso “Instituto de Reeducación del Menor” Vs. Paraguay</w:t>
      </w:r>
      <w:r w:rsidRPr="00256467">
        <w:rPr>
          <w:rFonts w:ascii="Cambria" w:hAnsi="Cambria" w:cs="Calibri"/>
          <w:sz w:val="16"/>
          <w:szCs w:val="16"/>
          <w:lang w:val="es-CO" w:eastAsia="es-ES"/>
        </w:rPr>
        <w:t>. Sentencia de 2 de septiembre de 2004. Serie C No. 112, párr. 229; y</w:t>
      </w:r>
      <w:r w:rsidRPr="00256467">
        <w:rPr>
          <w:rFonts w:ascii="Cambria" w:hAnsi="Cambria" w:cs="Calibri"/>
          <w:i/>
          <w:sz w:val="16"/>
          <w:szCs w:val="16"/>
          <w:lang w:val="es-CO" w:eastAsia="es-ES"/>
        </w:rPr>
        <w:t xml:space="preserve"> </w:t>
      </w:r>
      <w:r w:rsidRPr="00256467">
        <w:rPr>
          <w:rFonts w:ascii="Cambria" w:hAnsi="Cambria" w:cs="Calibri-Italic"/>
          <w:i/>
          <w:iCs/>
          <w:sz w:val="16"/>
          <w:szCs w:val="16"/>
          <w:lang w:val="es-CO" w:eastAsia="es-ES"/>
        </w:rPr>
        <w:t>Caso Suárez Rosero Vs. Ecuador</w:t>
      </w:r>
      <w:r w:rsidRPr="00256467">
        <w:rPr>
          <w:rFonts w:ascii="Cambria" w:hAnsi="Cambria" w:cs="Calibri"/>
          <w:sz w:val="16"/>
          <w:szCs w:val="16"/>
          <w:lang w:val="es-CO" w:eastAsia="es-ES"/>
        </w:rPr>
        <w:t>. Sentencia de 12 de noviembre de 1997. Serie C No. 35, párr. 77.</w:t>
      </w:r>
    </w:p>
  </w:footnote>
  <w:footnote w:id="98">
    <w:p w14:paraId="21910D7C" w14:textId="77777777" w:rsidR="00D329F5" w:rsidRPr="00256467" w:rsidRDefault="00D329F5" w:rsidP="00B2628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cs="Calibri"/>
          <w:sz w:val="16"/>
          <w:szCs w:val="16"/>
          <w:lang w:val="es-CO" w:eastAsia="es-ES"/>
        </w:rPr>
      </w:pPr>
      <w:r w:rsidRPr="00256467">
        <w:rPr>
          <w:rStyle w:val="Refdenotaalpie"/>
          <w:rFonts w:ascii="Cambria" w:hAnsi="Cambria"/>
          <w:sz w:val="16"/>
          <w:szCs w:val="16"/>
        </w:rPr>
        <w:footnoteRef/>
      </w:r>
      <w:r w:rsidRPr="00256467">
        <w:rPr>
          <w:rFonts w:ascii="Cambria" w:hAnsi="Cambria"/>
          <w:sz w:val="16"/>
          <w:szCs w:val="16"/>
          <w:lang w:val="es-CO"/>
        </w:rPr>
        <w:t xml:space="preserve"> </w:t>
      </w:r>
      <w:r w:rsidRPr="00256467">
        <w:rPr>
          <w:rFonts w:ascii="Cambria" w:hAnsi="Cambria" w:cs="Calibri"/>
          <w:sz w:val="16"/>
          <w:szCs w:val="16"/>
          <w:lang w:val="es-CO" w:eastAsia="es-ES"/>
        </w:rPr>
        <w:t xml:space="preserve">Corte IDH. </w:t>
      </w:r>
      <w:r w:rsidRPr="00256467">
        <w:rPr>
          <w:rFonts w:ascii="Cambria" w:hAnsi="Cambria" w:cs="Calibri-Italic"/>
          <w:i/>
          <w:iCs/>
          <w:sz w:val="16"/>
          <w:szCs w:val="16"/>
          <w:lang w:val="es-CO" w:eastAsia="es-ES"/>
        </w:rPr>
        <w:t>Caso Usón Ramírez Vs. Venezuela</w:t>
      </w:r>
      <w:r w:rsidRPr="00256467">
        <w:rPr>
          <w:rFonts w:ascii="Cambria" w:hAnsi="Cambria" w:cs="Calibri-Italic"/>
          <w:iCs/>
          <w:sz w:val="16"/>
          <w:szCs w:val="16"/>
          <w:lang w:val="es-CO" w:eastAsia="es-ES"/>
        </w:rPr>
        <w:t xml:space="preserve">. </w:t>
      </w:r>
      <w:r w:rsidRPr="00256467">
        <w:rPr>
          <w:rFonts w:ascii="Cambria" w:hAnsi="Cambria" w:cs="Calibri"/>
          <w:sz w:val="16"/>
          <w:szCs w:val="16"/>
          <w:lang w:val="es-CO" w:eastAsia="es-ES"/>
        </w:rPr>
        <w:t>Excepción Preliminar, Fondo, Reparaciones y Costas. Sentencia de 20 de noviembre de 2009. Serie C No. 207, párr. 144.</w:t>
      </w:r>
    </w:p>
  </w:footnote>
  <w:footnote w:id="99">
    <w:p w14:paraId="54BF2410" w14:textId="77777777" w:rsidR="00D329F5" w:rsidRPr="00256467" w:rsidRDefault="00D329F5" w:rsidP="00B26282">
      <w:pPr>
        <w:pStyle w:val="Textonotapie"/>
        <w:jc w:val="both"/>
        <w:rPr>
          <w:rFonts w:ascii="Cambria" w:hAnsi="Cambria"/>
          <w:color w:val="auto"/>
          <w:sz w:val="16"/>
          <w:szCs w:val="16"/>
          <w:lang w:val="es-CO"/>
        </w:rPr>
      </w:pPr>
      <w:r w:rsidRPr="00256467">
        <w:rPr>
          <w:rStyle w:val="Refdenotaalpie"/>
          <w:rFonts w:ascii="Cambria" w:eastAsia="Arial Unicode MS" w:hAnsi="Cambria" w:cs="Times New Roman"/>
          <w:color w:val="auto"/>
          <w:sz w:val="16"/>
          <w:szCs w:val="16"/>
        </w:rPr>
        <w:footnoteRef/>
      </w:r>
      <w:r w:rsidRPr="00256467">
        <w:rPr>
          <w:rFonts w:ascii="Cambria" w:hAnsi="Cambria"/>
          <w:color w:val="auto"/>
          <w:sz w:val="16"/>
          <w:szCs w:val="16"/>
          <w:lang w:val="es-CO"/>
        </w:rPr>
        <w:t xml:space="preserve"> CIDH. </w:t>
      </w:r>
      <w:hyperlink r:id="rId4" w:history="1">
        <w:r w:rsidRPr="00256467">
          <w:rPr>
            <w:rStyle w:val="Hipervnculo"/>
            <w:rFonts w:ascii="Cambria" w:hAnsi="Cambria"/>
            <w:color w:val="auto"/>
            <w:sz w:val="16"/>
            <w:szCs w:val="16"/>
            <w:u w:val="none"/>
            <w:lang w:val="es-CO"/>
          </w:rPr>
          <w:t>Informe sobre el uso de la prisión preventiva en las Américas</w:t>
        </w:r>
      </w:hyperlink>
      <w:r w:rsidRPr="00256467">
        <w:rPr>
          <w:rFonts w:ascii="Cambria" w:hAnsi="Cambria"/>
          <w:color w:val="auto"/>
          <w:sz w:val="16"/>
          <w:szCs w:val="16"/>
          <w:lang w:val="es-CO"/>
        </w:rPr>
        <w:t>. OEA/Ser.L/V/II. 30 de diciembre de 2013, párr. 137.</w:t>
      </w:r>
    </w:p>
  </w:footnote>
  <w:footnote w:id="100">
    <w:p w14:paraId="43D767BB" w14:textId="77777777" w:rsidR="00F33FB4" w:rsidRDefault="00F33FB4"/>
    <w:p w14:paraId="39B35CAE" w14:textId="77777777" w:rsidR="00F33FB4" w:rsidRDefault="00F33FB4"/>
  </w:footnote>
  <w:footnote w:id="101">
    <w:p w14:paraId="30F760B2" w14:textId="77777777" w:rsidR="00D329F5" w:rsidRPr="00256467" w:rsidRDefault="00D329F5" w:rsidP="00B26282">
      <w:pPr>
        <w:jc w:val="both"/>
        <w:rPr>
          <w:rFonts w:ascii="Cambria" w:hAnsi="Cambria"/>
          <w:sz w:val="16"/>
          <w:szCs w:val="16"/>
          <w:lang w:val="pt-BR"/>
        </w:rPr>
      </w:pPr>
      <w:r w:rsidRPr="00256467">
        <w:rPr>
          <w:rStyle w:val="Refdenotaalpie"/>
          <w:rFonts w:ascii="Cambria" w:hAnsi="Cambria"/>
          <w:sz w:val="16"/>
          <w:szCs w:val="16"/>
        </w:rPr>
        <w:footnoteRef/>
      </w:r>
      <w:r w:rsidRPr="00256467">
        <w:rPr>
          <w:rFonts w:ascii="Cambria" w:hAnsi="Cambria"/>
          <w:sz w:val="16"/>
          <w:szCs w:val="16"/>
          <w:lang w:val="es-CO"/>
        </w:rPr>
        <w:t xml:space="preserve"> CIDH. </w:t>
      </w:r>
      <w:r w:rsidRPr="00256467">
        <w:rPr>
          <w:rFonts w:ascii="Cambria" w:hAnsi="Cambria"/>
          <w:sz w:val="16"/>
          <w:szCs w:val="16"/>
          <w:lang w:val="pt-BR"/>
        </w:rPr>
        <w:t>Informe No. 86/09, Caso 12.553. Fondo, José, Jorge y Dante Peirano Basso. Uruguay. 6 de agosto de 2009, párr. 133.</w:t>
      </w:r>
    </w:p>
  </w:footnote>
  <w:footnote w:id="102">
    <w:p w14:paraId="1D454C35" w14:textId="77777777" w:rsidR="00D329F5" w:rsidRPr="00256467" w:rsidRDefault="00D329F5" w:rsidP="00B26282">
      <w:pPr>
        <w:pStyle w:val="Textonotapie"/>
        <w:jc w:val="both"/>
        <w:rPr>
          <w:rFonts w:ascii="Cambria" w:hAnsi="Cambria"/>
          <w:color w:val="auto"/>
          <w:sz w:val="16"/>
          <w:szCs w:val="16"/>
          <w:lang w:val="pt-BR"/>
        </w:rPr>
      </w:pPr>
      <w:r w:rsidRPr="00256467">
        <w:rPr>
          <w:rStyle w:val="Refdenotaalpie"/>
          <w:rFonts w:ascii="Cambria" w:hAnsi="Cambria"/>
          <w:color w:val="auto"/>
          <w:sz w:val="16"/>
          <w:szCs w:val="16"/>
        </w:rPr>
        <w:footnoteRef/>
      </w:r>
      <w:r w:rsidRPr="00256467">
        <w:rPr>
          <w:rFonts w:ascii="Cambria" w:hAnsi="Cambria"/>
          <w:color w:val="auto"/>
          <w:sz w:val="16"/>
          <w:szCs w:val="16"/>
          <w:lang w:val="pt-BR"/>
        </w:rPr>
        <w:t xml:space="preserve"> </w:t>
      </w:r>
      <w:r w:rsidRPr="00256467">
        <w:rPr>
          <w:rFonts w:ascii="Cambria" w:hAnsi="Cambria"/>
          <w:color w:val="auto"/>
          <w:sz w:val="16"/>
          <w:szCs w:val="16"/>
          <w:lang w:val="pt-BR"/>
        </w:rPr>
        <w:t>CIDH. Informe No. 66/01. Caso 11.992, Fondo, Dayra María Levoyer Jiménez, Ecuador, 14 de junio de 2001, párr. 48.</w:t>
      </w:r>
    </w:p>
  </w:footnote>
  <w:footnote w:id="103">
    <w:p w14:paraId="068941EF" w14:textId="77777777" w:rsidR="00D329F5" w:rsidRPr="00256467" w:rsidRDefault="00D329F5" w:rsidP="00B26282">
      <w:pPr>
        <w:pStyle w:val="Textonotapie"/>
        <w:jc w:val="both"/>
        <w:rPr>
          <w:rFonts w:ascii="Cambria" w:hAnsi="Cambria"/>
          <w:color w:val="auto"/>
          <w:sz w:val="16"/>
          <w:szCs w:val="16"/>
          <w:lang w:val="es-VE"/>
        </w:rPr>
      </w:pPr>
      <w:r w:rsidRPr="00256467">
        <w:rPr>
          <w:rStyle w:val="Refdenotaalpie"/>
          <w:rFonts w:ascii="Cambria" w:hAnsi="Cambria"/>
          <w:color w:val="auto"/>
          <w:sz w:val="16"/>
          <w:szCs w:val="16"/>
        </w:rPr>
        <w:footnoteRef/>
      </w:r>
      <w:r w:rsidRPr="00256467">
        <w:rPr>
          <w:rFonts w:ascii="Cambria" w:hAnsi="Cambria"/>
          <w:color w:val="auto"/>
          <w:sz w:val="16"/>
          <w:szCs w:val="16"/>
          <w:lang w:val="pt-BR"/>
        </w:rPr>
        <w:t xml:space="preserve"> </w:t>
      </w:r>
      <w:r w:rsidRPr="00256467">
        <w:rPr>
          <w:rFonts w:ascii="Cambria" w:hAnsi="Cambria"/>
          <w:color w:val="auto"/>
          <w:sz w:val="16"/>
          <w:szCs w:val="16"/>
          <w:lang w:val="pt-BR"/>
        </w:rPr>
        <w:t xml:space="preserve">CIDH. Informe No. 53/16. Caso 12.056. Gabriel Oscar Jenkins. </w:t>
      </w:r>
      <w:r w:rsidRPr="00256467">
        <w:rPr>
          <w:rFonts w:ascii="Cambria" w:hAnsi="Cambria"/>
          <w:color w:val="auto"/>
          <w:sz w:val="16"/>
          <w:szCs w:val="16"/>
          <w:lang w:val="es-CO"/>
        </w:rPr>
        <w:t xml:space="preserve">Argentina. 6 de diciembre de 2016, párr. 116. Corte IDH. </w:t>
      </w:r>
      <w:r w:rsidRPr="00256467">
        <w:rPr>
          <w:rFonts w:ascii="Cambria" w:hAnsi="Cambria"/>
          <w:i/>
          <w:color w:val="auto"/>
          <w:sz w:val="16"/>
          <w:szCs w:val="16"/>
          <w:lang w:val="es-CO"/>
        </w:rPr>
        <w:t>Caso Barreto Leiva Vs. Venezuela</w:t>
      </w:r>
      <w:r w:rsidRPr="00256467">
        <w:rPr>
          <w:rFonts w:ascii="Cambria" w:hAnsi="Cambria"/>
          <w:color w:val="auto"/>
          <w:sz w:val="16"/>
          <w:szCs w:val="16"/>
          <w:lang w:val="es-CO"/>
        </w:rPr>
        <w:t xml:space="preserve">. </w:t>
      </w:r>
      <w:r w:rsidRPr="00256467">
        <w:rPr>
          <w:rFonts w:ascii="Cambria" w:hAnsi="Cambria"/>
          <w:color w:val="auto"/>
          <w:sz w:val="16"/>
          <w:szCs w:val="16"/>
          <w:lang w:val="es-VE"/>
        </w:rPr>
        <w:t>Fondo, Reparaciones y Costas. Sentencia de 17 de noviembre de2009. Serie C No. 206, párr.120.</w:t>
      </w:r>
    </w:p>
  </w:footnote>
  <w:footnote w:id="104">
    <w:p w14:paraId="5AB31589" w14:textId="77777777" w:rsidR="00D329F5" w:rsidRPr="00256467" w:rsidRDefault="00D329F5" w:rsidP="00B26282">
      <w:pPr>
        <w:pStyle w:val="Textonotapie"/>
        <w:jc w:val="both"/>
        <w:rPr>
          <w:rFonts w:ascii="Cambria" w:hAnsi="Cambria"/>
          <w:sz w:val="16"/>
          <w:szCs w:val="16"/>
          <w:lang w:val="es-VE"/>
        </w:rPr>
      </w:pPr>
      <w:r w:rsidRPr="00256467">
        <w:rPr>
          <w:rStyle w:val="Refdenotaalpie"/>
          <w:rFonts w:ascii="Cambria" w:hAnsi="Cambria"/>
          <w:sz w:val="16"/>
          <w:szCs w:val="16"/>
        </w:rPr>
        <w:footnoteRef/>
      </w:r>
      <w:r w:rsidRPr="00256467">
        <w:rPr>
          <w:rFonts w:ascii="Cambria" w:hAnsi="Cambria"/>
          <w:sz w:val="16"/>
          <w:szCs w:val="16"/>
          <w:lang w:val="es-VE"/>
        </w:rPr>
        <w:t xml:space="preserve"> Corte IDH. </w:t>
      </w:r>
      <w:r w:rsidRPr="00256467">
        <w:rPr>
          <w:rFonts w:ascii="Cambria" w:hAnsi="Cambria"/>
          <w:i/>
          <w:sz w:val="16"/>
          <w:szCs w:val="16"/>
          <w:lang w:val="es-VE"/>
        </w:rPr>
        <w:t>Caso Arguelles y otros Vs. Argentina</w:t>
      </w:r>
      <w:r w:rsidRPr="00256467">
        <w:rPr>
          <w:rFonts w:ascii="Cambria" w:hAnsi="Cambria"/>
          <w:sz w:val="16"/>
          <w:szCs w:val="16"/>
          <w:lang w:val="es-VE"/>
        </w:rPr>
        <w:t>. Excepciones Preliminares, Fondo, Reparaciones y Costas. Sentencia de 20 de noviembre de 2014. Serie C No. 288, párr. 121.</w:t>
      </w:r>
    </w:p>
  </w:footnote>
  <w:footnote w:id="105">
    <w:p w14:paraId="234E0CF3" w14:textId="77777777" w:rsidR="00D329F5" w:rsidRPr="00256467" w:rsidRDefault="00D329F5" w:rsidP="00B26282">
      <w:pPr>
        <w:autoSpaceDE w:val="0"/>
        <w:autoSpaceDN w:val="0"/>
        <w:adjustRightInd w:val="0"/>
        <w:jc w:val="both"/>
        <w:rPr>
          <w:rFonts w:ascii="Cambria" w:hAnsi="Cambria" w:cs="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VE"/>
        </w:rPr>
        <w:t xml:space="preserve"> </w:t>
      </w:r>
      <w:r w:rsidRPr="00256467">
        <w:rPr>
          <w:rFonts w:ascii="Cambria" w:hAnsi="Cambria" w:cs="Cambria"/>
          <w:sz w:val="16"/>
          <w:szCs w:val="16"/>
          <w:lang w:val="es-VE"/>
        </w:rPr>
        <w:t xml:space="preserve">CIDH. Informe No. 42/17, fondo, Caso No. 12.031. Jorge Rosadio Villavicencio. </w:t>
      </w:r>
      <w:r w:rsidRPr="00256467">
        <w:rPr>
          <w:rFonts w:ascii="Cambria" w:hAnsi="Cambria" w:cs="Cambria"/>
          <w:sz w:val="16"/>
          <w:szCs w:val="16"/>
          <w:lang w:val="es-PE"/>
        </w:rPr>
        <w:t>Per</w:t>
      </w:r>
      <w:r w:rsidRPr="00256467">
        <w:rPr>
          <w:rFonts w:ascii="Cambria" w:hAnsi="Cambria" w:cs="Cambria"/>
          <w:sz w:val="16"/>
          <w:szCs w:val="16"/>
          <w:lang w:val="es-VE"/>
        </w:rPr>
        <w:t>ú</w:t>
      </w:r>
      <w:r w:rsidRPr="00256467">
        <w:rPr>
          <w:rFonts w:ascii="Cambria" w:hAnsi="Cambria" w:cs="Cambria"/>
          <w:sz w:val="16"/>
          <w:szCs w:val="16"/>
          <w:lang w:val="es-PE"/>
        </w:rPr>
        <w:t xml:space="preserve">. 23 de mayo de 2017, </w:t>
      </w:r>
      <w:r w:rsidRPr="00256467">
        <w:rPr>
          <w:rFonts w:ascii="Cambria" w:hAnsi="Cambria" w:cs="Cambria"/>
          <w:sz w:val="16"/>
          <w:szCs w:val="16"/>
          <w:lang w:val="es-ES"/>
        </w:rPr>
        <w:t xml:space="preserve">párr. 200. </w:t>
      </w:r>
      <w:r w:rsidRPr="00256467">
        <w:rPr>
          <w:rFonts w:ascii="Cambria" w:hAnsi="Cambria"/>
          <w:sz w:val="16"/>
          <w:szCs w:val="16"/>
          <w:lang w:val="es-VE"/>
        </w:rPr>
        <w:t xml:space="preserve">Corte IDH. </w:t>
      </w:r>
      <w:r w:rsidRPr="00256467">
        <w:rPr>
          <w:rFonts w:ascii="Cambria" w:hAnsi="Cambria"/>
          <w:i/>
          <w:sz w:val="16"/>
          <w:szCs w:val="16"/>
          <w:lang w:val="es-VE"/>
        </w:rPr>
        <w:t>Caso Acosta Calderón vs. Ecuador</w:t>
      </w:r>
      <w:r w:rsidRPr="00256467">
        <w:rPr>
          <w:rFonts w:ascii="Cambria" w:hAnsi="Cambria"/>
          <w:sz w:val="16"/>
          <w:szCs w:val="16"/>
          <w:lang w:val="es-VE"/>
        </w:rPr>
        <w:t xml:space="preserve">. Fondo, Reparaciones y Costas.  Serie C No. 129, párr. 93. </w:t>
      </w:r>
    </w:p>
  </w:footnote>
  <w:footnote w:id="106">
    <w:p w14:paraId="04539A80" w14:textId="77777777" w:rsidR="00D329F5" w:rsidRPr="00256467" w:rsidRDefault="00D329F5" w:rsidP="00B26282">
      <w:pPr>
        <w:jc w:val="both"/>
        <w:rPr>
          <w:rFonts w:ascii="Cambria" w:hAnsi="Cambria"/>
          <w:sz w:val="16"/>
          <w:szCs w:val="16"/>
          <w:lang w:val="es-VE"/>
        </w:rPr>
      </w:pPr>
      <w:r w:rsidRPr="00256467">
        <w:rPr>
          <w:rStyle w:val="Refdenotaalpie"/>
          <w:rFonts w:ascii="Cambria" w:hAnsi="Cambria"/>
          <w:sz w:val="16"/>
          <w:szCs w:val="16"/>
        </w:rPr>
        <w:footnoteRef/>
      </w:r>
      <w:r w:rsidRPr="00256467">
        <w:rPr>
          <w:rFonts w:ascii="Cambria" w:hAnsi="Cambria"/>
          <w:sz w:val="16"/>
          <w:szCs w:val="16"/>
          <w:lang w:val="es-ES"/>
        </w:rPr>
        <w:t xml:space="preserve"> </w:t>
      </w:r>
      <w:r w:rsidRPr="00256467">
        <w:rPr>
          <w:rFonts w:ascii="Cambria" w:hAnsi="Cambria"/>
          <w:sz w:val="16"/>
          <w:szCs w:val="16"/>
          <w:lang w:val="es-VE"/>
        </w:rPr>
        <w:t>CIDH, Informe No. 67/11, Caso 11.157, Admisibilidad y Fondo, Gladys Carol Espinoza Gonzales, Perú, 31 de marzo de 2011 párr.165.</w:t>
      </w:r>
    </w:p>
  </w:footnote>
  <w:footnote w:id="107">
    <w:p w14:paraId="165ADA46" w14:textId="77777777" w:rsidR="00D329F5" w:rsidRPr="00256467" w:rsidRDefault="00D329F5" w:rsidP="00B26282">
      <w:pPr>
        <w:jc w:val="both"/>
        <w:rPr>
          <w:rFonts w:ascii="Cambria" w:hAnsi="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ES"/>
        </w:rPr>
        <w:t xml:space="preserve"> CIDH, Informe No. 42/14, Caso 12.453, Fondo, Olga Yolanda Maldonado Ordóñez, Guatemala, 17 de julio de </w:t>
      </w:r>
      <w:proofErr w:type="gramStart"/>
      <w:r w:rsidRPr="00256467">
        <w:rPr>
          <w:rFonts w:ascii="Cambria" w:hAnsi="Cambria"/>
          <w:sz w:val="16"/>
          <w:szCs w:val="16"/>
          <w:lang w:val="es-ES"/>
        </w:rPr>
        <w:t>2014,  párr.</w:t>
      </w:r>
      <w:proofErr w:type="gramEnd"/>
      <w:r w:rsidRPr="00256467">
        <w:rPr>
          <w:rFonts w:ascii="Cambria" w:hAnsi="Cambria"/>
          <w:sz w:val="16"/>
          <w:szCs w:val="16"/>
          <w:lang w:val="es-ES"/>
        </w:rPr>
        <w:t xml:space="preserve"> 98.</w:t>
      </w:r>
    </w:p>
  </w:footnote>
  <w:footnote w:id="108">
    <w:p w14:paraId="367464A1" w14:textId="77777777" w:rsidR="00BD46B1" w:rsidRPr="00256467" w:rsidRDefault="00BD46B1" w:rsidP="00BD46B1">
      <w:pPr>
        <w:pStyle w:val="Textonotapie"/>
        <w:jc w:val="both"/>
        <w:rPr>
          <w:rFonts w:ascii="Cambria" w:hAnsi="Cambria"/>
          <w:sz w:val="16"/>
          <w:szCs w:val="16"/>
          <w:lang w:val="es-CO"/>
        </w:rPr>
      </w:pPr>
      <w:r w:rsidRPr="00256467">
        <w:rPr>
          <w:rStyle w:val="Refdenotaalpie"/>
          <w:rFonts w:ascii="Cambria" w:hAnsi="Cambria"/>
          <w:sz w:val="16"/>
          <w:szCs w:val="16"/>
        </w:rPr>
        <w:footnoteRef/>
      </w:r>
      <w:r w:rsidRPr="00256467">
        <w:rPr>
          <w:rFonts w:ascii="Cambria" w:hAnsi="Cambria"/>
          <w:sz w:val="16"/>
          <w:szCs w:val="16"/>
          <w:lang w:val="es-CO"/>
        </w:rPr>
        <w:t xml:space="preserve"> El artículo 5.4 de la Convención señala que: </w:t>
      </w:r>
      <w:r w:rsidR="008923DC" w:rsidRPr="00256467">
        <w:rPr>
          <w:rFonts w:ascii="Cambria" w:hAnsi="Cambria"/>
          <w:sz w:val="16"/>
          <w:szCs w:val="16"/>
          <w:lang w:val="es-CO"/>
        </w:rPr>
        <w:t>“</w:t>
      </w:r>
      <w:r w:rsidRPr="00256467">
        <w:rPr>
          <w:rFonts w:ascii="Cambria" w:hAnsi="Cambria"/>
          <w:spacing w:val="-3"/>
          <w:sz w:val="16"/>
          <w:szCs w:val="16"/>
          <w:lang w:val="es-ES"/>
        </w:rPr>
        <w:t>Los procesados deben estar separados de los condenados, salvo en circunstancias excepcionales, y serán sometidos a un tratamiento adecuado a su condición de personas no condenadas</w:t>
      </w:r>
      <w:r w:rsidR="008923DC" w:rsidRPr="00256467">
        <w:rPr>
          <w:rFonts w:ascii="Cambria" w:hAnsi="Cambria"/>
          <w:spacing w:val="-3"/>
          <w:sz w:val="16"/>
          <w:szCs w:val="16"/>
          <w:lang w:val="es-ES"/>
        </w:rPr>
        <w:t>”</w:t>
      </w:r>
      <w:r w:rsidRPr="00256467">
        <w:rPr>
          <w:rFonts w:ascii="Cambria" w:hAnsi="Cambria"/>
          <w:spacing w:val="-3"/>
          <w:sz w:val="16"/>
          <w:szCs w:val="16"/>
          <w:lang w:val="es-ES"/>
        </w:rPr>
        <w:t>.</w:t>
      </w:r>
    </w:p>
  </w:footnote>
  <w:footnote w:id="109">
    <w:p w14:paraId="2A454CFB" w14:textId="77777777" w:rsidR="00D329F5" w:rsidRPr="00256467" w:rsidRDefault="00D329F5" w:rsidP="00B26282">
      <w:pPr>
        <w:pStyle w:val="Textonotapie"/>
        <w:jc w:val="both"/>
        <w:rPr>
          <w:rFonts w:ascii="Cambria" w:hAnsi="Cambria"/>
          <w:color w:val="auto"/>
          <w:sz w:val="16"/>
          <w:szCs w:val="16"/>
          <w:lang w:val="es-MX"/>
        </w:rPr>
      </w:pPr>
      <w:r w:rsidRPr="00256467">
        <w:rPr>
          <w:rStyle w:val="Refdenotaalpie"/>
          <w:rFonts w:ascii="Cambria" w:hAnsi="Cambria"/>
          <w:color w:val="auto"/>
          <w:sz w:val="16"/>
          <w:szCs w:val="16"/>
        </w:rPr>
        <w:footnoteRef/>
      </w:r>
      <w:r w:rsidRPr="00256467">
        <w:rPr>
          <w:rFonts w:ascii="Cambria" w:hAnsi="Cambria"/>
          <w:color w:val="auto"/>
          <w:sz w:val="16"/>
          <w:szCs w:val="16"/>
          <w:lang w:val="pt-BR"/>
        </w:rPr>
        <w:t xml:space="preserve"> </w:t>
      </w:r>
      <w:hyperlink r:id="rId5" w:history="1">
        <w:r w:rsidRPr="00256467">
          <w:rPr>
            <w:rFonts w:ascii="Cambria" w:eastAsia="Times New Roman" w:hAnsi="Cambria" w:cs="Arial"/>
            <w:color w:val="auto"/>
            <w:sz w:val="16"/>
            <w:szCs w:val="16"/>
            <w:lang w:val="pt-BR"/>
          </w:rPr>
          <w:t xml:space="preserve">Corte IDH. </w:t>
        </w:r>
        <w:r w:rsidRPr="00256467">
          <w:rPr>
            <w:rFonts w:ascii="Cambria" w:eastAsia="Times New Roman" w:hAnsi="Cambria" w:cs="Arial"/>
            <w:i/>
            <w:color w:val="auto"/>
            <w:sz w:val="16"/>
            <w:szCs w:val="16"/>
            <w:lang w:val="pt-BR"/>
          </w:rPr>
          <w:t xml:space="preserve">Caso J. Vs. </w:t>
        </w:r>
        <w:r w:rsidRPr="00256467">
          <w:rPr>
            <w:rFonts w:ascii="Cambria" w:eastAsia="Times New Roman" w:hAnsi="Cambria" w:cs="Arial"/>
            <w:i/>
            <w:color w:val="auto"/>
            <w:sz w:val="16"/>
            <w:szCs w:val="16"/>
            <w:lang w:val="es-MX"/>
          </w:rPr>
          <w:t>Perú</w:t>
        </w:r>
        <w:r w:rsidRPr="00256467">
          <w:rPr>
            <w:rFonts w:ascii="Cambria" w:eastAsia="Times New Roman" w:hAnsi="Cambria" w:cs="Arial"/>
            <w:color w:val="auto"/>
            <w:sz w:val="16"/>
            <w:szCs w:val="16"/>
            <w:lang w:val="es-MX"/>
          </w:rPr>
          <w:t>. Excepción Preliminar, Fondo, Reparaciones y Costas. Sentencia de 27 de noviembre de 2013. Serie C No. 275, párr. 380</w:t>
        </w:r>
      </w:hyperlink>
      <w:r w:rsidRPr="00256467">
        <w:rPr>
          <w:rFonts w:ascii="Cambria" w:eastAsia="Times New Roman" w:hAnsi="Cambria" w:cs="Arial"/>
          <w:color w:val="auto"/>
          <w:sz w:val="16"/>
          <w:szCs w:val="16"/>
          <w:lang w:val="es-MX"/>
        </w:rPr>
        <w:t>.</w:t>
      </w:r>
      <w:r w:rsidRPr="00256467">
        <w:rPr>
          <w:rFonts w:ascii="Cambria" w:eastAsia="Times New Roman" w:hAnsi="Cambria" w:cs="Arial"/>
          <w:i/>
          <w:iCs/>
          <w:color w:val="auto"/>
          <w:sz w:val="16"/>
          <w:szCs w:val="16"/>
          <w:lang w:val="es-MX"/>
        </w:rPr>
        <w:t xml:space="preserve"> </w:t>
      </w:r>
    </w:p>
  </w:footnote>
  <w:footnote w:id="110">
    <w:p w14:paraId="3FA70084" w14:textId="77777777" w:rsidR="00D329F5" w:rsidRPr="00256467" w:rsidRDefault="00D329F5" w:rsidP="00B26282">
      <w:pPr>
        <w:pStyle w:val="Textonotapie"/>
        <w:jc w:val="both"/>
        <w:rPr>
          <w:rFonts w:ascii="Cambria" w:hAnsi="Cambria"/>
          <w:sz w:val="16"/>
          <w:szCs w:val="16"/>
          <w:lang w:val="es-CO"/>
        </w:rPr>
      </w:pPr>
      <w:r w:rsidRPr="00256467">
        <w:rPr>
          <w:rStyle w:val="Refdenotaalpie"/>
          <w:rFonts w:ascii="Cambria" w:hAnsi="Cambria"/>
          <w:color w:val="auto"/>
          <w:sz w:val="16"/>
          <w:szCs w:val="16"/>
        </w:rPr>
        <w:footnoteRef/>
      </w:r>
      <w:r w:rsidRPr="00256467">
        <w:rPr>
          <w:rFonts w:ascii="Cambria" w:hAnsi="Cambria"/>
          <w:color w:val="auto"/>
          <w:sz w:val="16"/>
          <w:szCs w:val="16"/>
          <w:lang w:val="es-CO"/>
        </w:rPr>
        <w:t xml:space="preserve"> Corte IDH. </w:t>
      </w:r>
      <w:r w:rsidRPr="00256467">
        <w:rPr>
          <w:rFonts w:ascii="Cambria" w:hAnsi="Cambria"/>
          <w:i/>
          <w:color w:val="auto"/>
          <w:sz w:val="16"/>
          <w:szCs w:val="16"/>
          <w:lang w:val="es-CO"/>
        </w:rPr>
        <w:t xml:space="preserve">Caso Yvon Neptune Vs. </w:t>
      </w:r>
      <w:r w:rsidRPr="00256467">
        <w:rPr>
          <w:rFonts w:ascii="Cambria" w:hAnsi="Cambria"/>
          <w:i/>
          <w:color w:val="auto"/>
          <w:sz w:val="16"/>
          <w:szCs w:val="16"/>
          <w:lang w:val="es-ES"/>
        </w:rPr>
        <w:t>Haití</w:t>
      </w:r>
      <w:r w:rsidRPr="00256467">
        <w:rPr>
          <w:rFonts w:ascii="Cambria" w:hAnsi="Cambria"/>
          <w:color w:val="auto"/>
          <w:sz w:val="16"/>
          <w:szCs w:val="16"/>
          <w:lang w:val="es-ES"/>
        </w:rPr>
        <w:t xml:space="preserve">. Fondo, Reparaciones y Costas. Sentencia de 6 de mayo de 2008. Serie C No. 180, </w:t>
      </w:r>
      <w:r w:rsidRPr="00256467">
        <w:rPr>
          <w:rFonts w:ascii="Cambria" w:eastAsia="Times New Roman" w:hAnsi="Cambria" w:cs="Arial"/>
          <w:color w:val="auto"/>
          <w:sz w:val="16"/>
          <w:szCs w:val="16"/>
          <w:lang w:val="es-CO"/>
        </w:rPr>
        <w:t>párr. 147.</w:t>
      </w:r>
    </w:p>
  </w:footnote>
  <w:footnote w:id="111">
    <w:p w14:paraId="04CB9ECD" w14:textId="77777777" w:rsidR="00D329F5" w:rsidRPr="00256467" w:rsidRDefault="00D329F5" w:rsidP="00B26282">
      <w:pPr>
        <w:pStyle w:val="Textonotapie"/>
        <w:jc w:val="both"/>
        <w:rPr>
          <w:rFonts w:ascii="Cambria" w:hAnsi="Cambria"/>
          <w:sz w:val="16"/>
          <w:szCs w:val="16"/>
          <w:lang w:val="es-MX"/>
        </w:rPr>
      </w:pPr>
      <w:r w:rsidRPr="00256467">
        <w:rPr>
          <w:rStyle w:val="Refdenotaalpie"/>
          <w:rFonts w:ascii="Cambria" w:hAnsi="Cambria"/>
          <w:sz w:val="16"/>
          <w:szCs w:val="16"/>
        </w:rPr>
        <w:footnoteRef/>
      </w:r>
      <w:r w:rsidRPr="00256467">
        <w:rPr>
          <w:rFonts w:ascii="Cambria" w:hAnsi="Cambria"/>
          <w:sz w:val="16"/>
          <w:szCs w:val="16"/>
          <w:lang w:val="es-MX"/>
        </w:rPr>
        <w:t xml:space="preserve"> </w:t>
      </w:r>
      <w:r w:rsidRPr="00256467">
        <w:rPr>
          <w:rStyle w:val="Textoennegrita"/>
          <w:rFonts w:ascii="Cambria" w:hAnsi="Cambria"/>
          <w:b w:val="0"/>
          <w:sz w:val="16"/>
          <w:szCs w:val="16"/>
          <w:shd w:val="clear" w:color="auto" w:fill="FFFFFF"/>
          <w:lang w:val="es-MX"/>
        </w:rPr>
        <w:t xml:space="preserve">Corte IDH. </w:t>
      </w:r>
      <w:r w:rsidRPr="00256467">
        <w:rPr>
          <w:rStyle w:val="Textoennegrita"/>
          <w:rFonts w:ascii="Cambria" w:hAnsi="Cambria"/>
          <w:b w:val="0"/>
          <w:i/>
          <w:sz w:val="16"/>
          <w:szCs w:val="16"/>
          <w:shd w:val="clear" w:color="auto" w:fill="FFFFFF"/>
          <w:lang w:val="es-MX"/>
        </w:rPr>
        <w:t>Caso Trabajadores Cesados de Petroperú y otros Vs. Perú</w:t>
      </w:r>
      <w:r w:rsidRPr="00256467">
        <w:rPr>
          <w:rStyle w:val="Textoennegrita"/>
          <w:rFonts w:ascii="Cambria" w:hAnsi="Cambria"/>
          <w:b w:val="0"/>
          <w:sz w:val="16"/>
          <w:szCs w:val="16"/>
          <w:shd w:val="clear" w:color="auto" w:fill="FFFFFF"/>
          <w:lang w:val="es-MX"/>
        </w:rPr>
        <w:t>. Excepciones Preliminares, Fondo, Reparaciones y Costas. Sentencia de 23 de noviembre de</w:t>
      </w:r>
      <w:r w:rsidR="00A85163" w:rsidRPr="00256467">
        <w:rPr>
          <w:rStyle w:val="Textoennegrita"/>
          <w:rFonts w:ascii="Cambria" w:hAnsi="Cambria"/>
          <w:b w:val="0"/>
          <w:sz w:val="16"/>
          <w:szCs w:val="16"/>
          <w:shd w:val="clear" w:color="auto" w:fill="FFFFFF"/>
          <w:lang w:val="es-MX"/>
        </w:rPr>
        <w:t xml:space="preserve"> 2017. Serie C No. 344, p</w:t>
      </w:r>
      <w:r w:rsidRPr="00256467">
        <w:rPr>
          <w:rStyle w:val="Textoennegrita"/>
          <w:rFonts w:ascii="Cambria" w:hAnsi="Cambria"/>
          <w:b w:val="0"/>
          <w:sz w:val="16"/>
          <w:szCs w:val="16"/>
          <w:shd w:val="clear" w:color="auto" w:fill="FFFFFF"/>
          <w:lang w:val="es-MX"/>
        </w:rPr>
        <w:t>árr. 154</w:t>
      </w:r>
      <w:r w:rsidR="00A85163" w:rsidRPr="00256467">
        <w:rPr>
          <w:rStyle w:val="Textoennegrita"/>
          <w:rFonts w:ascii="Cambria" w:hAnsi="Cambria"/>
          <w:b w:val="0"/>
          <w:sz w:val="16"/>
          <w:szCs w:val="16"/>
          <w:shd w:val="clear" w:color="auto" w:fill="FFFFFF"/>
          <w:lang w:val="es-MX"/>
        </w:rPr>
        <w:t xml:space="preserve">; y </w:t>
      </w:r>
      <w:r w:rsidRPr="00256467">
        <w:rPr>
          <w:rFonts w:ascii="Cambria" w:hAnsi="Cambria"/>
          <w:i/>
          <w:sz w:val="16"/>
          <w:szCs w:val="16"/>
          <w:lang w:val="es-MX"/>
        </w:rPr>
        <w:t>Caso Abrill Alosilla y otros Vs. Perú</w:t>
      </w:r>
      <w:r w:rsidRPr="00256467">
        <w:rPr>
          <w:rFonts w:ascii="Cambria" w:hAnsi="Cambria"/>
          <w:sz w:val="16"/>
          <w:szCs w:val="16"/>
          <w:lang w:val="es-MX"/>
        </w:rPr>
        <w:t xml:space="preserve">. Fondo, Reparaciones y Costas. Sentencia de 4 de marzo de </w:t>
      </w:r>
      <w:r w:rsidR="00A85163" w:rsidRPr="00256467">
        <w:rPr>
          <w:rFonts w:ascii="Cambria" w:hAnsi="Cambria"/>
          <w:sz w:val="16"/>
          <w:szCs w:val="16"/>
          <w:lang w:val="es-MX"/>
        </w:rPr>
        <w:t>2011. Serie C No. 223, párr. 75</w:t>
      </w:r>
      <w:r w:rsidRPr="00256467">
        <w:rPr>
          <w:rFonts w:ascii="Cambria" w:hAnsi="Cambria"/>
          <w:sz w:val="16"/>
          <w:szCs w:val="16"/>
          <w:lang w:val="es-ES"/>
        </w:rPr>
        <w:t>.</w:t>
      </w:r>
    </w:p>
  </w:footnote>
  <w:footnote w:id="112">
    <w:p w14:paraId="1297BF98" w14:textId="77777777" w:rsidR="00F74D0E" w:rsidRPr="00256467" w:rsidRDefault="00F74D0E" w:rsidP="00F74D0E">
      <w:pPr>
        <w:shd w:val="clear" w:color="auto" w:fill="FFFFFF"/>
        <w:tabs>
          <w:tab w:val="num" w:pos="720"/>
          <w:tab w:val="left" w:pos="1440"/>
          <w:tab w:val="num" w:pos="2040"/>
        </w:tabs>
        <w:jc w:val="both"/>
        <w:rPr>
          <w:rFonts w:ascii="Cambria" w:hAnsi="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VE"/>
        </w:rPr>
        <w:t xml:space="preserve"> El artículo 4.1 establece:</w:t>
      </w:r>
      <w:r w:rsidRPr="00256467">
        <w:rPr>
          <w:rFonts w:ascii="Cambria" w:hAnsi="Cambria"/>
          <w:sz w:val="16"/>
          <w:szCs w:val="16"/>
          <w:lang w:val="es-US"/>
        </w:rPr>
        <w:t> 1. “Toda persona tiene derecho a que se respete su vida. […] Nadie puede ser privado de la vida arbitrariamente”.</w:t>
      </w:r>
    </w:p>
  </w:footnote>
  <w:footnote w:id="113">
    <w:p w14:paraId="629DE8A2" w14:textId="77777777" w:rsidR="00F74D0E" w:rsidRPr="00256467" w:rsidRDefault="00F74D0E" w:rsidP="00F74D0E">
      <w:pPr>
        <w:shd w:val="clear" w:color="auto" w:fill="FFFFFF"/>
        <w:tabs>
          <w:tab w:val="num" w:pos="720"/>
          <w:tab w:val="left" w:pos="1440"/>
          <w:tab w:val="num" w:pos="2040"/>
        </w:tabs>
        <w:jc w:val="both"/>
        <w:rPr>
          <w:rFonts w:ascii="Cambria" w:hAnsi="Cambria"/>
          <w:sz w:val="16"/>
          <w:szCs w:val="16"/>
          <w:lang w:val="es-US"/>
        </w:rPr>
      </w:pPr>
      <w:r w:rsidRPr="00256467">
        <w:rPr>
          <w:rStyle w:val="Refdenotaalpie"/>
          <w:rFonts w:ascii="Cambria" w:hAnsi="Cambria"/>
          <w:sz w:val="16"/>
          <w:szCs w:val="16"/>
        </w:rPr>
        <w:footnoteRef/>
      </w:r>
      <w:r w:rsidRPr="00256467">
        <w:rPr>
          <w:rFonts w:ascii="Cambria" w:hAnsi="Cambria"/>
          <w:sz w:val="16"/>
          <w:szCs w:val="16"/>
          <w:lang w:val="es-VE"/>
        </w:rPr>
        <w:t xml:space="preserve"> El artículo 5 establece en lo pertinente: “</w:t>
      </w:r>
      <w:r w:rsidRPr="00256467">
        <w:rPr>
          <w:rFonts w:ascii="Cambria" w:hAnsi="Cambria"/>
          <w:sz w:val="16"/>
          <w:szCs w:val="16"/>
          <w:lang w:val="es-US"/>
        </w:rPr>
        <w:t>1. Toda persona tiene derecho a que se respete su integridad física, psíquica y moral. […] 4. Los procesados deben estar separados de los condenados, salvo en circunstancias excepcionales, y serán sometidos a un tratamiento adecuado a su condición de personas no condenadas. 5. Cuando los menores puedan ser procesados, deben ser separados de los adultos y llevados ante tribunales especializados, con la mayor celeridad posible, para su tratamiento. 6. Las penas privativas de la libertad tendrán como finalidad esencial la reforma y la readaptación social de los condenados”.</w:t>
      </w:r>
    </w:p>
  </w:footnote>
  <w:footnote w:id="114">
    <w:p w14:paraId="5EF27474" w14:textId="77777777" w:rsidR="00F74D0E" w:rsidRPr="00256467" w:rsidRDefault="00F74D0E" w:rsidP="00F74D0E">
      <w:pPr>
        <w:shd w:val="clear" w:color="auto" w:fill="FFFFFF"/>
        <w:tabs>
          <w:tab w:val="num" w:pos="720"/>
          <w:tab w:val="left" w:pos="1440"/>
          <w:tab w:val="num" w:pos="2040"/>
        </w:tabs>
        <w:jc w:val="both"/>
        <w:rPr>
          <w:rFonts w:ascii="Cambria" w:hAnsi="Cambria"/>
          <w:sz w:val="16"/>
          <w:szCs w:val="16"/>
          <w:lang w:val="es-US"/>
        </w:rPr>
      </w:pPr>
      <w:r w:rsidRPr="00256467">
        <w:rPr>
          <w:rStyle w:val="Refdenotaalpie"/>
          <w:rFonts w:ascii="Cambria" w:hAnsi="Cambria"/>
          <w:sz w:val="16"/>
          <w:szCs w:val="16"/>
        </w:rPr>
        <w:footnoteRef/>
      </w:r>
      <w:r w:rsidRPr="00256467">
        <w:rPr>
          <w:rFonts w:ascii="Cambria" w:hAnsi="Cambria"/>
          <w:sz w:val="16"/>
          <w:szCs w:val="16"/>
          <w:lang w:val="es-VE"/>
        </w:rPr>
        <w:t xml:space="preserve"> El artículo 8.1 de la Convención Americana establece: </w:t>
      </w:r>
      <w:r w:rsidRPr="00256467">
        <w:rPr>
          <w:rFonts w:ascii="Cambria" w:hAnsi="Cambria"/>
          <w:sz w:val="16"/>
          <w:szCs w:val="16"/>
          <w:lang w:val="es-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15">
    <w:p w14:paraId="166A6BAC" w14:textId="77777777" w:rsidR="00F74D0E" w:rsidRPr="00256467" w:rsidRDefault="00F74D0E" w:rsidP="00F74D0E">
      <w:pPr>
        <w:shd w:val="clear" w:color="auto" w:fill="FFFFFF"/>
        <w:tabs>
          <w:tab w:val="num" w:pos="720"/>
          <w:tab w:val="left" w:pos="1440"/>
          <w:tab w:val="num" w:pos="2040"/>
        </w:tabs>
        <w:jc w:val="both"/>
        <w:rPr>
          <w:rFonts w:ascii="Cambria" w:hAnsi="Cambria"/>
          <w:sz w:val="16"/>
          <w:szCs w:val="16"/>
          <w:lang w:val="es-US"/>
        </w:rPr>
      </w:pPr>
      <w:r w:rsidRPr="00256467">
        <w:rPr>
          <w:rStyle w:val="Refdenotaalpie"/>
          <w:rFonts w:ascii="Cambria" w:hAnsi="Cambria"/>
          <w:sz w:val="16"/>
          <w:szCs w:val="16"/>
        </w:rPr>
        <w:footnoteRef/>
      </w:r>
      <w:r w:rsidRPr="00256467">
        <w:rPr>
          <w:rFonts w:ascii="Cambria" w:hAnsi="Cambria"/>
          <w:sz w:val="16"/>
          <w:szCs w:val="16"/>
          <w:lang w:val="es-VE"/>
        </w:rPr>
        <w:t xml:space="preserve"> El artículo 25 de la Convención Americana establece, en lo pertinente: </w:t>
      </w:r>
      <w:r w:rsidRPr="00256467">
        <w:rPr>
          <w:rFonts w:ascii="Cambria" w:hAnsi="Cambria"/>
          <w:sz w:val="16"/>
          <w:szCs w:val="16"/>
          <w:lang w:val="es-US"/>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16">
    <w:p w14:paraId="0BB15DAF" w14:textId="77777777" w:rsidR="00D329F5" w:rsidRPr="00256467" w:rsidRDefault="00D329F5" w:rsidP="00B26282">
      <w:pPr>
        <w:pStyle w:val="Textonotapie"/>
        <w:tabs>
          <w:tab w:val="left" w:pos="720"/>
          <w:tab w:val="left" w:pos="900"/>
          <w:tab w:val="left" w:pos="1080"/>
        </w:tabs>
        <w:jc w:val="both"/>
        <w:rPr>
          <w:rFonts w:ascii="Cambria" w:hAnsi="Cambria"/>
          <w:color w:val="auto"/>
          <w:sz w:val="16"/>
          <w:szCs w:val="16"/>
          <w:lang w:val="es-ES"/>
        </w:rPr>
      </w:pPr>
      <w:r w:rsidRPr="00256467">
        <w:rPr>
          <w:rStyle w:val="Refdenotaalpie"/>
          <w:rFonts w:ascii="Cambria" w:hAnsi="Cambria"/>
          <w:color w:val="auto"/>
          <w:sz w:val="16"/>
          <w:szCs w:val="16"/>
          <w:lang w:val="es-ES"/>
        </w:rPr>
        <w:footnoteRef/>
      </w:r>
      <w:r w:rsidRPr="00256467">
        <w:rPr>
          <w:rFonts w:ascii="Cambria" w:hAnsi="Cambria"/>
          <w:color w:val="auto"/>
          <w:sz w:val="16"/>
          <w:szCs w:val="16"/>
          <w:lang w:val="es-ES"/>
        </w:rPr>
        <w:t xml:space="preserve"> CIDH. Caso 12.270. Informe No. 2/15. Fondo. Johan Alexis Ortiz Hernández. Venezuela. 29 de enero de 2015, párr. 185.</w:t>
      </w:r>
    </w:p>
  </w:footnote>
  <w:footnote w:id="117">
    <w:p w14:paraId="2E63BEE5" w14:textId="77777777" w:rsidR="00D329F5" w:rsidRPr="00256467" w:rsidRDefault="00D329F5" w:rsidP="00B26282">
      <w:pPr>
        <w:pStyle w:val="Textonotapie"/>
        <w:tabs>
          <w:tab w:val="left" w:pos="720"/>
          <w:tab w:val="left" w:pos="900"/>
          <w:tab w:val="left" w:pos="1080"/>
        </w:tabs>
        <w:jc w:val="both"/>
        <w:rPr>
          <w:rFonts w:ascii="Cambria" w:hAnsi="Cambria"/>
          <w:color w:val="auto"/>
          <w:sz w:val="16"/>
          <w:szCs w:val="16"/>
          <w:lang w:val="es-CO"/>
        </w:rPr>
      </w:pPr>
      <w:r w:rsidRPr="00256467">
        <w:rPr>
          <w:rStyle w:val="Refdenotaalpie"/>
          <w:rFonts w:ascii="Cambria" w:hAnsi="Cambria"/>
          <w:color w:val="auto"/>
          <w:sz w:val="16"/>
          <w:szCs w:val="16"/>
        </w:rPr>
        <w:footnoteRef/>
      </w:r>
      <w:r w:rsidRPr="00256467">
        <w:rPr>
          <w:rFonts w:ascii="Cambria" w:hAnsi="Cambria"/>
          <w:color w:val="auto"/>
          <w:sz w:val="16"/>
          <w:szCs w:val="16"/>
          <w:lang w:val="es-ES_tradnl"/>
        </w:rPr>
        <w:t xml:space="preserve"> Corte IDH. </w:t>
      </w:r>
      <w:r w:rsidRPr="00256467">
        <w:rPr>
          <w:rFonts w:ascii="Cambria" w:hAnsi="Cambria"/>
          <w:bCs/>
          <w:i/>
          <w:color w:val="auto"/>
          <w:sz w:val="16"/>
          <w:szCs w:val="16"/>
          <w:lang w:val="es-ES_tradnl"/>
        </w:rPr>
        <w:t>Caso Zambrano Vélez y otros vs. Ecuador</w:t>
      </w:r>
      <w:r w:rsidRPr="00256467">
        <w:rPr>
          <w:rFonts w:ascii="Cambria" w:hAnsi="Cambria"/>
          <w:bCs/>
          <w:color w:val="auto"/>
          <w:sz w:val="16"/>
          <w:szCs w:val="16"/>
          <w:lang w:val="es-ES_tradnl"/>
        </w:rPr>
        <w:t xml:space="preserve">. </w:t>
      </w:r>
      <w:r w:rsidRPr="00256467">
        <w:rPr>
          <w:rFonts w:ascii="Cambria" w:hAnsi="Cambria"/>
          <w:color w:val="auto"/>
          <w:sz w:val="16"/>
          <w:szCs w:val="16"/>
          <w:lang w:val="es-ES_tradnl"/>
        </w:rPr>
        <w:t xml:space="preserve">Fondo, Reparaciones y Costas. Sentencia de 4 de julio de 2007. Serie C No. 166, párr. 80. </w:t>
      </w:r>
    </w:p>
  </w:footnote>
  <w:footnote w:id="118">
    <w:p w14:paraId="439F1322" w14:textId="77777777" w:rsidR="00D329F5" w:rsidRPr="00256467" w:rsidRDefault="00D329F5" w:rsidP="00B26282">
      <w:pPr>
        <w:pStyle w:val="Textonotapie"/>
        <w:jc w:val="both"/>
        <w:rPr>
          <w:rFonts w:ascii="Cambria" w:hAnsi="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ES_tradnl"/>
        </w:rPr>
        <w:t xml:space="preserve"> CIDH. Caso 12.738. Informe No. 64/18. Fondo. Opario Lemoth Morris y otros (Buzos Miskitos). Honduras. 8 de mayo de 2018, párr. 188.</w:t>
      </w:r>
    </w:p>
  </w:footnote>
  <w:footnote w:id="119">
    <w:p w14:paraId="48ADE52E" w14:textId="77777777" w:rsidR="00D329F5" w:rsidRPr="00256467" w:rsidRDefault="00D329F5" w:rsidP="00B26282">
      <w:pPr>
        <w:jc w:val="both"/>
        <w:rPr>
          <w:rFonts w:ascii="Cambria" w:hAnsi="Cambria"/>
          <w:sz w:val="16"/>
          <w:szCs w:val="16"/>
          <w:lang w:val="es-US"/>
        </w:rPr>
      </w:pPr>
      <w:r w:rsidRPr="00256467">
        <w:rPr>
          <w:rStyle w:val="Refdenotaalpie"/>
          <w:rFonts w:ascii="Cambria" w:hAnsi="Cambria"/>
          <w:sz w:val="16"/>
          <w:szCs w:val="16"/>
        </w:rPr>
        <w:footnoteRef/>
      </w:r>
      <w:r w:rsidRPr="00256467">
        <w:rPr>
          <w:rFonts w:ascii="Cambria" w:hAnsi="Cambria"/>
          <w:sz w:val="16"/>
          <w:szCs w:val="16"/>
          <w:lang w:val="es-US"/>
        </w:rPr>
        <w:t xml:space="preserve"> </w:t>
      </w:r>
      <w:r w:rsidRPr="00256467">
        <w:rPr>
          <w:rStyle w:val="Hipervnculo"/>
          <w:rFonts w:ascii="Cambria" w:hAnsi="Cambria" w:cs="Arial"/>
          <w:sz w:val="16"/>
          <w:szCs w:val="16"/>
          <w:u w:val="none"/>
          <w:shd w:val="clear" w:color="auto" w:fill="FFFFFF"/>
          <w:lang w:val="es-US"/>
        </w:rPr>
        <w:t>CIDH, Informe No. 11/10, Caso 12.488, Fondo, Miembros de la Familia Barrios, Venezuela, 16 de marzo de 2010, párr.</w:t>
      </w:r>
      <w:r w:rsidR="0089537D" w:rsidRPr="00256467">
        <w:rPr>
          <w:rStyle w:val="Hipervnculo"/>
          <w:rFonts w:ascii="Cambria" w:hAnsi="Cambria" w:cs="Arial"/>
          <w:sz w:val="16"/>
          <w:szCs w:val="16"/>
          <w:u w:val="none"/>
          <w:shd w:val="clear" w:color="auto" w:fill="FFFFFF"/>
          <w:lang w:val="es-US"/>
        </w:rPr>
        <w:t xml:space="preserve"> </w:t>
      </w:r>
      <w:r w:rsidRPr="00256467">
        <w:rPr>
          <w:rStyle w:val="Hipervnculo"/>
          <w:rFonts w:ascii="Cambria" w:hAnsi="Cambria" w:cs="Arial"/>
          <w:sz w:val="16"/>
          <w:szCs w:val="16"/>
          <w:u w:val="none"/>
          <w:shd w:val="clear" w:color="auto" w:fill="FFFFFF"/>
          <w:lang w:val="es-US"/>
        </w:rPr>
        <w:t xml:space="preserve">91. </w:t>
      </w:r>
      <w:r w:rsidRPr="00256467">
        <w:rPr>
          <w:rFonts w:ascii="Cambria" w:hAnsi="Cambria"/>
          <w:sz w:val="16"/>
          <w:szCs w:val="16"/>
          <w:lang w:val="es-ES_tradnl"/>
        </w:rPr>
        <w:t xml:space="preserve">Corte IDH. </w:t>
      </w:r>
      <w:r w:rsidRPr="00256467">
        <w:rPr>
          <w:rFonts w:ascii="Cambria" w:hAnsi="Cambria"/>
          <w:i/>
          <w:sz w:val="16"/>
          <w:szCs w:val="16"/>
          <w:lang w:val="es-ES_tradnl"/>
        </w:rPr>
        <w:t>Caso Velásquez Rodríguez Vs. Honduras</w:t>
      </w:r>
      <w:r w:rsidRPr="00256467">
        <w:rPr>
          <w:rFonts w:ascii="Cambria" w:hAnsi="Cambria"/>
          <w:sz w:val="16"/>
          <w:szCs w:val="16"/>
          <w:lang w:val="es-ES_tradnl"/>
        </w:rPr>
        <w:t xml:space="preserve">. </w:t>
      </w:r>
      <w:hyperlink r:id="rId6" w:history="1">
        <w:r w:rsidRPr="00256467">
          <w:rPr>
            <w:rStyle w:val="Hipervnculo"/>
            <w:rFonts w:ascii="Cambria" w:hAnsi="Cambria" w:cs="Arial"/>
            <w:sz w:val="16"/>
            <w:szCs w:val="16"/>
            <w:u w:val="none"/>
            <w:shd w:val="clear" w:color="auto" w:fill="FFFFFF"/>
            <w:lang w:val="es-ES_tradnl"/>
          </w:rPr>
          <w:t xml:space="preserve">Fondo. Sentencia de 29 de julio de 1988. </w:t>
        </w:r>
        <w:r w:rsidRPr="00256467">
          <w:rPr>
            <w:rStyle w:val="Hipervnculo"/>
            <w:rFonts w:ascii="Cambria" w:hAnsi="Cambria" w:cs="Arial"/>
            <w:sz w:val="16"/>
            <w:szCs w:val="16"/>
            <w:u w:val="none"/>
            <w:shd w:val="clear" w:color="auto" w:fill="FFFFFF"/>
            <w:lang w:val="es-US"/>
          </w:rPr>
          <w:t>Serie C No. 4</w:t>
        </w:r>
      </w:hyperlink>
      <w:r w:rsidR="0089537D" w:rsidRPr="00256467">
        <w:rPr>
          <w:rStyle w:val="Hipervnculo"/>
          <w:rFonts w:ascii="Cambria" w:hAnsi="Cambria" w:cs="Arial"/>
          <w:sz w:val="16"/>
          <w:szCs w:val="16"/>
          <w:u w:val="none"/>
          <w:shd w:val="clear" w:color="auto" w:fill="FFFFFF"/>
          <w:lang w:val="es-US"/>
        </w:rPr>
        <w:t>, p</w:t>
      </w:r>
      <w:r w:rsidRPr="00256467">
        <w:rPr>
          <w:rStyle w:val="Hipervnculo"/>
          <w:rFonts w:ascii="Cambria" w:hAnsi="Cambria" w:cs="Arial"/>
          <w:sz w:val="16"/>
          <w:szCs w:val="16"/>
          <w:u w:val="none"/>
          <w:shd w:val="clear" w:color="auto" w:fill="FFFFFF"/>
          <w:lang w:val="es-US"/>
        </w:rPr>
        <w:t xml:space="preserve">árr. 169.  </w:t>
      </w:r>
    </w:p>
  </w:footnote>
  <w:footnote w:id="120">
    <w:p w14:paraId="523DE9C8" w14:textId="77777777" w:rsidR="00D329F5" w:rsidRPr="00256467" w:rsidRDefault="00D329F5" w:rsidP="00B26282">
      <w:pPr>
        <w:jc w:val="both"/>
        <w:rPr>
          <w:rFonts w:ascii="Cambria" w:hAnsi="Cambria"/>
          <w:sz w:val="16"/>
          <w:szCs w:val="16"/>
          <w:lang w:val="es-US"/>
        </w:rPr>
      </w:pPr>
      <w:r w:rsidRPr="00256467">
        <w:rPr>
          <w:rStyle w:val="Refdenotaalpie"/>
          <w:rFonts w:ascii="Cambria" w:hAnsi="Cambria"/>
          <w:sz w:val="16"/>
          <w:szCs w:val="16"/>
        </w:rPr>
        <w:footnoteRef/>
      </w:r>
      <w:r w:rsidRPr="00256467">
        <w:rPr>
          <w:rFonts w:ascii="Cambria" w:hAnsi="Cambria"/>
          <w:sz w:val="16"/>
          <w:szCs w:val="16"/>
          <w:lang w:val="es-US"/>
        </w:rPr>
        <w:t xml:space="preserve"> </w:t>
      </w:r>
      <w:r w:rsidRPr="00256467">
        <w:rPr>
          <w:rFonts w:ascii="Cambria" w:hAnsi="Cambria"/>
          <w:sz w:val="16"/>
          <w:szCs w:val="16"/>
          <w:lang w:val="es-ES_tradnl"/>
        </w:rPr>
        <w:t xml:space="preserve">Corte IDH. </w:t>
      </w:r>
      <w:r w:rsidRPr="00256467">
        <w:rPr>
          <w:rFonts w:ascii="Cambria" w:hAnsi="Cambria"/>
          <w:i/>
          <w:sz w:val="16"/>
          <w:szCs w:val="16"/>
          <w:lang w:val="es-ES_tradnl"/>
        </w:rPr>
        <w:t>Caso Velásquez Rodríguez Vs. Honduras</w:t>
      </w:r>
      <w:r w:rsidRPr="00256467">
        <w:rPr>
          <w:rFonts w:ascii="Cambria" w:hAnsi="Cambria"/>
          <w:sz w:val="16"/>
          <w:szCs w:val="16"/>
          <w:lang w:val="es-ES_tradnl"/>
        </w:rPr>
        <w:t xml:space="preserve">. </w:t>
      </w:r>
      <w:hyperlink r:id="rId7" w:history="1">
        <w:r w:rsidRPr="00256467">
          <w:rPr>
            <w:rStyle w:val="Hipervnculo"/>
            <w:rFonts w:ascii="Cambria" w:hAnsi="Cambria" w:cs="Arial"/>
            <w:sz w:val="16"/>
            <w:szCs w:val="16"/>
            <w:u w:val="none"/>
            <w:shd w:val="clear" w:color="auto" w:fill="FFFFFF"/>
            <w:lang w:val="es-ES_tradnl"/>
          </w:rPr>
          <w:t xml:space="preserve">Fondo. Sentencia de 29 de julio de 1988. </w:t>
        </w:r>
        <w:r w:rsidRPr="00256467">
          <w:rPr>
            <w:rStyle w:val="Hipervnculo"/>
            <w:rFonts w:ascii="Cambria" w:hAnsi="Cambria" w:cs="Arial"/>
            <w:sz w:val="16"/>
            <w:szCs w:val="16"/>
            <w:u w:val="none"/>
            <w:shd w:val="clear" w:color="auto" w:fill="FFFFFF"/>
            <w:lang w:val="es-US"/>
          </w:rPr>
          <w:t>Serie C No. 4</w:t>
        </w:r>
      </w:hyperlink>
      <w:r w:rsidR="0089537D" w:rsidRPr="00256467">
        <w:rPr>
          <w:rStyle w:val="Hipervnculo"/>
          <w:rFonts w:ascii="Cambria" w:hAnsi="Cambria" w:cs="Arial"/>
          <w:sz w:val="16"/>
          <w:szCs w:val="16"/>
          <w:u w:val="none"/>
          <w:shd w:val="clear" w:color="auto" w:fill="FFFFFF"/>
          <w:lang w:val="es-US"/>
        </w:rPr>
        <w:t>, p</w:t>
      </w:r>
      <w:r w:rsidRPr="00256467">
        <w:rPr>
          <w:rStyle w:val="Hipervnculo"/>
          <w:rFonts w:ascii="Cambria" w:hAnsi="Cambria" w:cs="Arial"/>
          <w:sz w:val="16"/>
          <w:szCs w:val="16"/>
          <w:u w:val="none"/>
          <w:shd w:val="clear" w:color="auto" w:fill="FFFFFF"/>
          <w:lang w:val="es-US"/>
        </w:rPr>
        <w:t xml:space="preserve">árr. 166. </w:t>
      </w:r>
    </w:p>
  </w:footnote>
  <w:footnote w:id="121">
    <w:p w14:paraId="2C3E6FDB" w14:textId="77777777" w:rsidR="00D329F5" w:rsidRPr="00256467" w:rsidRDefault="00D329F5" w:rsidP="00B26282">
      <w:pPr>
        <w:pStyle w:val="Textonotapie"/>
        <w:tabs>
          <w:tab w:val="left" w:pos="720"/>
        </w:tabs>
        <w:jc w:val="both"/>
        <w:rPr>
          <w:rFonts w:ascii="Cambria" w:hAnsi="Cambria"/>
          <w:color w:val="auto"/>
          <w:sz w:val="16"/>
          <w:szCs w:val="16"/>
          <w:lang w:val="es-US"/>
        </w:rPr>
      </w:pPr>
      <w:r w:rsidRPr="00256467">
        <w:rPr>
          <w:rStyle w:val="Refdenotaalpie"/>
          <w:rFonts w:ascii="Cambria" w:hAnsi="Cambria"/>
          <w:color w:val="auto"/>
          <w:sz w:val="16"/>
          <w:szCs w:val="16"/>
        </w:rPr>
        <w:footnoteRef/>
      </w:r>
      <w:r w:rsidRPr="00256467">
        <w:rPr>
          <w:rFonts w:ascii="Cambria" w:hAnsi="Cambria"/>
          <w:color w:val="auto"/>
          <w:sz w:val="16"/>
          <w:szCs w:val="16"/>
          <w:lang w:val="es-PE"/>
        </w:rPr>
        <w:t xml:space="preserve"> Corte IDH. </w:t>
      </w:r>
      <w:r w:rsidRPr="00256467">
        <w:rPr>
          <w:rFonts w:ascii="Cambria" w:hAnsi="Cambria"/>
          <w:i/>
          <w:iCs/>
          <w:color w:val="auto"/>
          <w:sz w:val="16"/>
          <w:szCs w:val="16"/>
          <w:lang w:val="es-ES_tradnl"/>
        </w:rPr>
        <w:t>Caso</w:t>
      </w:r>
      <w:r w:rsidRPr="00256467">
        <w:rPr>
          <w:rFonts w:ascii="Cambria" w:hAnsi="Cambria"/>
          <w:i/>
          <w:color w:val="auto"/>
          <w:sz w:val="16"/>
          <w:szCs w:val="16"/>
          <w:lang w:val="es-ES_tradnl"/>
        </w:rPr>
        <w:t xml:space="preserve"> </w:t>
      </w:r>
      <w:r w:rsidRPr="00256467">
        <w:rPr>
          <w:rFonts w:ascii="Cambria" w:hAnsi="Cambria"/>
          <w:i/>
          <w:iCs/>
          <w:color w:val="auto"/>
          <w:sz w:val="16"/>
          <w:szCs w:val="16"/>
          <w:lang w:val="es-ES_tradnl"/>
        </w:rPr>
        <w:t>de la Masacre de Pueblo Bello vs. Colombia</w:t>
      </w:r>
      <w:r w:rsidRPr="00256467">
        <w:rPr>
          <w:rFonts w:ascii="Cambria" w:hAnsi="Cambria"/>
          <w:iCs/>
          <w:color w:val="auto"/>
          <w:sz w:val="16"/>
          <w:szCs w:val="16"/>
          <w:lang w:val="es-ES_tradnl"/>
        </w:rPr>
        <w:t xml:space="preserve">. </w:t>
      </w:r>
      <w:r w:rsidRPr="00256467">
        <w:rPr>
          <w:rFonts w:ascii="Cambria" w:hAnsi="Cambria" w:cs="Arial"/>
          <w:color w:val="auto"/>
          <w:sz w:val="16"/>
          <w:szCs w:val="16"/>
          <w:lang w:val="es-ES_tradnl"/>
        </w:rPr>
        <w:t>Sentencia de 31 de enero de 2006, Serie C No. 140,</w:t>
      </w:r>
      <w:r w:rsidRPr="00256467">
        <w:rPr>
          <w:rFonts w:ascii="Cambria" w:hAnsi="Cambria"/>
          <w:color w:val="auto"/>
          <w:sz w:val="16"/>
          <w:szCs w:val="16"/>
          <w:lang w:val="es-ES_tradnl"/>
        </w:rPr>
        <w:t xml:space="preserve"> p</w:t>
      </w:r>
      <w:r w:rsidRPr="00256467">
        <w:rPr>
          <w:rFonts w:ascii="Cambria" w:hAnsi="Cambria"/>
          <w:color w:val="auto"/>
          <w:sz w:val="16"/>
          <w:szCs w:val="16"/>
          <w:lang w:val="es-US"/>
        </w:rPr>
        <w:t>árr. 117.</w:t>
      </w:r>
    </w:p>
  </w:footnote>
  <w:footnote w:id="122">
    <w:p w14:paraId="7255E1FF" w14:textId="77777777" w:rsidR="00D329F5" w:rsidRPr="00256467" w:rsidRDefault="00D329F5" w:rsidP="00B26282">
      <w:pPr>
        <w:jc w:val="both"/>
        <w:rPr>
          <w:rFonts w:ascii="Cambria" w:eastAsia="Times New Roman" w:hAnsi="Cambria"/>
          <w:sz w:val="16"/>
          <w:szCs w:val="16"/>
          <w:lang w:val="es-US"/>
        </w:rPr>
      </w:pPr>
      <w:r w:rsidRPr="00256467">
        <w:rPr>
          <w:rStyle w:val="Refdenotaalpie"/>
          <w:rFonts w:ascii="Cambria" w:hAnsi="Cambria"/>
          <w:sz w:val="16"/>
          <w:szCs w:val="16"/>
        </w:rPr>
        <w:footnoteRef/>
      </w:r>
      <w:r w:rsidRPr="00256467">
        <w:rPr>
          <w:rFonts w:ascii="Cambria" w:hAnsi="Cambria" w:cs="Arial"/>
          <w:sz w:val="16"/>
          <w:szCs w:val="16"/>
          <w:lang w:val="es-CR"/>
        </w:rPr>
        <w:t xml:space="preserve"> La jurisprudencia de la Corte Europea respecto de los elementos señalando en el deber de prevención ha sido retomada por la Corte Interamericana en varias de sus sentencias. En este sentido ver: </w:t>
      </w:r>
      <w:r w:rsidRPr="00256467">
        <w:rPr>
          <w:rFonts w:ascii="Cambria" w:eastAsia="Times New Roman" w:hAnsi="Cambria"/>
          <w:bCs/>
          <w:sz w:val="16"/>
          <w:szCs w:val="16"/>
          <w:shd w:val="clear" w:color="auto" w:fill="FFFFFF"/>
          <w:lang w:val="es-US"/>
        </w:rPr>
        <w:t xml:space="preserve">Corte IDH. </w:t>
      </w:r>
      <w:r w:rsidRPr="00256467">
        <w:rPr>
          <w:rFonts w:ascii="Cambria" w:eastAsia="Times New Roman" w:hAnsi="Cambria"/>
          <w:bCs/>
          <w:i/>
          <w:sz w:val="16"/>
          <w:szCs w:val="16"/>
          <w:shd w:val="clear" w:color="auto" w:fill="FFFFFF"/>
          <w:lang w:val="es-US"/>
        </w:rPr>
        <w:t>Caso Luna López Vs. Honduras</w:t>
      </w:r>
      <w:r w:rsidRPr="00256467">
        <w:rPr>
          <w:rFonts w:ascii="Cambria" w:eastAsia="Times New Roman" w:hAnsi="Cambria"/>
          <w:bCs/>
          <w:sz w:val="16"/>
          <w:szCs w:val="16"/>
          <w:shd w:val="clear" w:color="auto" w:fill="FFFFFF"/>
          <w:lang w:val="es-US"/>
        </w:rPr>
        <w:t>. Fondo, Reparaciones y Costas. Sentencia de 10 de octubre de 2013. Serie C No. 269, párr. 124.</w:t>
      </w:r>
    </w:p>
  </w:footnote>
  <w:footnote w:id="123">
    <w:p w14:paraId="63CBF1BD" w14:textId="77777777" w:rsidR="007D1D75" w:rsidRPr="00256467" w:rsidRDefault="007D1D75" w:rsidP="007D1D75">
      <w:pPr>
        <w:jc w:val="both"/>
        <w:rPr>
          <w:rFonts w:ascii="Cambria" w:hAnsi="Cambria"/>
          <w:i/>
          <w:color w:val="000000"/>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ES"/>
        </w:rPr>
        <w:t xml:space="preserve"> </w:t>
      </w:r>
      <w:r w:rsidRPr="00256467">
        <w:rPr>
          <w:rFonts w:ascii="Cambria" w:hAnsi="Cambria"/>
          <w:sz w:val="16"/>
          <w:szCs w:val="16"/>
          <w:lang w:val="es-CO"/>
        </w:rPr>
        <w:t>CIDH. Informe No. 35/17. Caso 12.713. Informe de Fondo (Publicación). José Rusbel Lara y otros.</w:t>
      </w:r>
      <w:r w:rsidR="0089537D" w:rsidRPr="00256467">
        <w:rPr>
          <w:rFonts w:ascii="Cambria" w:hAnsi="Cambria"/>
          <w:sz w:val="16"/>
          <w:szCs w:val="16"/>
          <w:lang w:val="es-CO"/>
        </w:rPr>
        <w:t xml:space="preserve"> Colombia. 21 de marzo de 2017, p</w:t>
      </w:r>
      <w:r w:rsidRPr="00256467">
        <w:rPr>
          <w:rFonts w:ascii="Cambria" w:hAnsi="Cambria"/>
          <w:sz w:val="16"/>
          <w:szCs w:val="16"/>
          <w:lang w:val="es-CO"/>
        </w:rPr>
        <w:t xml:space="preserve">árr. 149. Citando. </w:t>
      </w:r>
      <w:r w:rsidRPr="00256467">
        <w:rPr>
          <w:rFonts w:ascii="Cambria" w:hAnsi="Cambria"/>
          <w:sz w:val="16"/>
          <w:szCs w:val="16"/>
          <w:lang w:val="es-ES"/>
        </w:rPr>
        <w:t xml:space="preserve">Corte IDH, </w:t>
      </w:r>
      <w:r w:rsidRPr="00256467">
        <w:rPr>
          <w:rFonts w:ascii="Cambria" w:hAnsi="Cambria"/>
          <w:bCs/>
          <w:i/>
          <w:sz w:val="16"/>
          <w:szCs w:val="16"/>
          <w:lang w:val="es-ES"/>
        </w:rPr>
        <w:t>Caso González y otras (“Campo Algodonero”) Vs. México</w:t>
      </w:r>
      <w:r w:rsidRPr="00256467">
        <w:rPr>
          <w:rFonts w:ascii="Cambria" w:hAnsi="Cambria"/>
          <w:b/>
          <w:bCs/>
          <w:sz w:val="16"/>
          <w:szCs w:val="16"/>
          <w:lang w:val="es-ES"/>
        </w:rPr>
        <w:t xml:space="preserve">. </w:t>
      </w:r>
      <w:r w:rsidRPr="00256467">
        <w:rPr>
          <w:rFonts w:ascii="Cambria" w:hAnsi="Cambria"/>
          <w:sz w:val="16"/>
          <w:szCs w:val="16"/>
          <w:lang w:val="es-ES"/>
        </w:rPr>
        <w:t>Excepción Preliminar, Fondo, Reparaciones y Costas. Sentencia de 16 de noviembre de 2009. Serie C No. 205, párr. 243</w:t>
      </w:r>
      <w:r w:rsidR="0089537D" w:rsidRPr="00256467">
        <w:rPr>
          <w:rFonts w:ascii="Cambria" w:hAnsi="Cambria"/>
          <w:sz w:val="16"/>
          <w:szCs w:val="16"/>
          <w:lang w:val="es-ES"/>
        </w:rPr>
        <w:t>;</w:t>
      </w:r>
      <w:r w:rsidRPr="00256467">
        <w:rPr>
          <w:rFonts w:ascii="Cambria" w:hAnsi="Cambria"/>
          <w:i/>
          <w:sz w:val="16"/>
          <w:szCs w:val="16"/>
          <w:lang w:val="es-ES"/>
        </w:rPr>
        <w:t xml:space="preserve"> Caso Baldeón García Vs. Perú. </w:t>
      </w:r>
      <w:r w:rsidRPr="00256467">
        <w:rPr>
          <w:rFonts w:ascii="Cambria" w:hAnsi="Cambria"/>
          <w:sz w:val="16"/>
          <w:szCs w:val="16"/>
          <w:lang w:val="es-ES"/>
        </w:rPr>
        <w:t>Fondo, Reparaciones y Costas. Sentencia de 6 de abril de 2006. Serie C No. 147</w:t>
      </w:r>
      <w:r w:rsidRPr="00256467">
        <w:rPr>
          <w:rFonts w:ascii="Cambria" w:hAnsi="Cambria"/>
          <w:i/>
          <w:sz w:val="16"/>
          <w:szCs w:val="16"/>
          <w:lang w:val="es-ES"/>
        </w:rPr>
        <w:t xml:space="preserve">, </w:t>
      </w:r>
      <w:r w:rsidRPr="00256467">
        <w:rPr>
          <w:rFonts w:ascii="Cambria" w:hAnsi="Cambria"/>
          <w:sz w:val="16"/>
          <w:szCs w:val="16"/>
          <w:lang w:val="es-ES"/>
        </w:rPr>
        <w:t>párr. 81</w:t>
      </w:r>
      <w:r w:rsidRPr="00256467">
        <w:rPr>
          <w:rFonts w:ascii="Cambria" w:hAnsi="Cambria"/>
          <w:i/>
          <w:sz w:val="16"/>
          <w:szCs w:val="16"/>
          <w:lang w:val="es-ES"/>
        </w:rPr>
        <w:t xml:space="preserve">; Caso Comunidad Indígena Sawhoyamaxa Vs. Paraguay. </w:t>
      </w:r>
      <w:r w:rsidRPr="00256467">
        <w:rPr>
          <w:rFonts w:ascii="Cambria" w:hAnsi="Cambria"/>
          <w:sz w:val="16"/>
          <w:szCs w:val="16"/>
          <w:lang w:val="es-ES"/>
        </w:rPr>
        <w:t xml:space="preserve">Fondo, Reparaciones y Costas. Sentencia de 29 de marzo de 2006. Serie C No. 146, párr. 154; y </w:t>
      </w:r>
      <w:r w:rsidRPr="00256467">
        <w:rPr>
          <w:rFonts w:ascii="Cambria" w:hAnsi="Cambria"/>
          <w:i/>
          <w:sz w:val="16"/>
          <w:szCs w:val="16"/>
          <w:lang w:val="es-ES"/>
        </w:rPr>
        <w:t>Caso de la Masacre de Pueblo Bello Vs. Colombia</w:t>
      </w:r>
      <w:r w:rsidRPr="00256467">
        <w:rPr>
          <w:rFonts w:ascii="Cambria" w:hAnsi="Cambria"/>
          <w:sz w:val="16"/>
          <w:szCs w:val="16"/>
          <w:lang w:val="es-ES"/>
        </w:rPr>
        <w:t xml:space="preserve">. Fondo, Reparaciones y Costas. Sentencia de 31 de enero de </w:t>
      </w:r>
      <w:r w:rsidRPr="00256467">
        <w:rPr>
          <w:rFonts w:ascii="Cambria" w:hAnsi="Cambria"/>
          <w:color w:val="000000"/>
          <w:sz w:val="16"/>
          <w:szCs w:val="16"/>
          <w:lang w:val="es-ES"/>
        </w:rPr>
        <w:t>2006. Serie C No. 140, párr. 111.</w:t>
      </w:r>
    </w:p>
  </w:footnote>
  <w:footnote w:id="124">
    <w:p w14:paraId="2205D47A" w14:textId="77777777" w:rsidR="00D329F5" w:rsidRPr="00256467" w:rsidRDefault="00D329F5" w:rsidP="00B26282">
      <w:pPr>
        <w:pStyle w:val="Textonotapie"/>
        <w:jc w:val="both"/>
        <w:rPr>
          <w:rFonts w:ascii="Cambria" w:hAnsi="Cambria"/>
          <w:sz w:val="16"/>
          <w:szCs w:val="16"/>
          <w:lang w:val="pt-BR"/>
        </w:rPr>
      </w:pPr>
      <w:r w:rsidRPr="00256467">
        <w:rPr>
          <w:rStyle w:val="Refdenotaalpie"/>
          <w:rFonts w:ascii="Cambria" w:hAnsi="Cambria"/>
          <w:sz w:val="16"/>
          <w:szCs w:val="16"/>
        </w:rPr>
        <w:footnoteRef/>
      </w:r>
      <w:r w:rsidRPr="00256467">
        <w:rPr>
          <w:rFonts w:ascii="Cambria" w:hAnsi="Cambria"/>
          <w:sz w:val="16"/>
          <w:szCs w:val="16"/>
          <w:lang w:val="es-ES"/>
        </w:rPr>
        <w:t xml:space="preserve"> CIDH. Caso 11.388. Informe No. 46/16. Admisibilidad y Fondo. María Eugenia Villaseñor y familia. </w:t>
      </w:r>
      <w:r w:rsidRPr="00256467">
        <w:rPr>
          <w:rFonts w:ascii="Cambria" w:hAnsi="Cambria"/>
          <w:sz w:val="16"/>
          <w:szCs w:val="16"/>
          <w:lang w:val="pt-BR"/>
        </w:rPr>
        <w:t>Guatemala. 29 de noviembre de 2016, párr. 126.</w:t>
      </w:r>
    </w:p>
  </w:footnote>
  <w:footnote w:id="125">
    <w:p w14:paraId="54B5069D" w14:textId="77777777" w:rsidR="006D4B6F" w:rsidRPr="00256467" w:rsidRDefault="006D4B6F" w:rsidP="00B26282">
      <w:pPr>
        <w:pStyle w:val="Textonotapie"/>
        <w:jc w:val="both"/>
        <w:rPr>
          <w:rFonts w:ascii="Cambria" w:hAnsi="Cambria" w:cs="Arial"/>
          <w:sz w:val="16"/>
          <w:szCs w:val="16"/>
          <w:lang w:val="pt-BR"/>
        </w:rPr>
      </w:pPr>
      <w:r w:rsidRPr="00256467">
        <w:rPr>
          <w:rStyle w:val="Refdenotaalpie"/>
          <w:rFonts w:ascii="Cambria" w:hAnsi="Cambria" w:cs="Arial"/>
          <w:sz w:val="16"/>
          <w:szCs w:val="16"/>
        </w:rPr>
        <w:footnoteRef/>
      </w:r>
      <w:r w:rsidRPr="00256467">
        <w:rPr>
          <w:rFonts w:ascii="Cambria" w:hAnsi="Cambria" w:cs="Arial"/>
          <w:sz w:val="16"/>
          <w:szCs w:val="16"/>
          <w:lang w:val="pt-BR"/>
        </w:rPr>
        <w:t xml:space="preserve"> </w:t>
      </w:r>
      <w:r w:rsidRPr="00256467">
        <w:rPr>
          <w:rFonts w:ascii="Cambria" w:hAnsi="Cambria" w:cs="Arial"/>
          <w:sz w:val="16"/>
          <w:szCs w:val="16"/>
          <w:lang w:val="pt-BR"/>
        </w:rPr>
        <w:t xml:space="preserve">CIDH. </w:t>
      </w:r>
      <w:r w:rsidR="00677FB0" w:rsidRPr="00256467">
        <w:rPr>
          <w:rFonts w:ascii="Cambria" w:hAnsi="Cambria" w:cs="Arial"/>
          <w:sz w:val="16"/>
          <w:szCs w:val="16"/>
          <w:lang w:val="pt-BR"/>
        </w:rPr>
        <w:t xml:space="preserve">Caso 11.287. </w:t>
      </w:r>
      <w:r w:rsidRPr="00256467">
        <w:rPr>
          <w:rFonts w:ascii="Cambria" w:hAnsi="Cambria" w:cs="Arial"/>
          <w:sz w:val="16"/>
          <w:szCs w:val="16"/>
          <w:lang w:val="pt-BR"/>
        </w:rPr>
        <w:t>Inf</w:t>
      </w:r>
      <w:r w:rsidR="00677FB0" w:rsidRPr="00256467">
        <w:rPr>
          <w:rFonts w:ascii="Cambria" w:hAnsi="Cambria" w:cs="Arial"/>
          <w:sz w:val="16"/>
          <w:szCs w:val="16"/>
          <w:lang w:val="pt-BR"/>
        </w:rPr>
        <w:t>orme No.</w:t>
      </w:r>
      <w:r w:rsidRPr="00256467">
        <w:rPr>
          <w:rFonts w:ascii="Cambria" w:hAnsi="Cambria" w:cs="Arial"/>
          <w:sz w:val="16"/>
          <w:szCs w:val="16"/>
          <w:lang w:val="pt-BR"/>
        </w:rPr>
        <w:t xml:space="preserve"> 24/98. Joao Canuto de Oliveira. Brasil. 7 de abril de 1998, párr. 53.</w:t>
      </w:r>
    </w:p>
  </w:footnote>
  <w:footnote w:id="126">
    <w:p w14:paraId="3FCB9B03" w14:textId="77777777" w:rsidR="007655B8" w:rsidRPr="00256467" w:rsidRDefault="007655B8" w:rsidP="00B26282">
      <w:pPr>
        <w:pStyle w:val="Textonotapie"/>
        <w:jc w:val="both"/>
        <w:rPr>
          <w:rFonts w:ascii="Cambria" w:hAnsi="Cambria"/>
          <w:sz w:val="16"/>
          <w:szCs w:val="16"/>
          <w:lang w:val="pt-BR"/>
        </w:rPr>
      </w:pPr>
      <w:r w:rsidRPr="00256467">
        <w:rPr>
          <w:rStyle w:val="Refdenotaalpie"/>
          <w:rFonts w:ascii="Cambria" w:hAnsi="Cambria"/>
          <w:sz w:val="16"/>
          <w:szCs w:val="16"/>
        </w:rPr>
        <w:footnoteRef/>
      </w:r>
      <w:r w:rsidRPr="00256467">
        <w:rPr>
          <w:rFonts w:ascii="Cambria" w:hAnsi="Cambria" w:cs="Arial"/>
          <w:sz w:val="16"/>
          <w:szCs w:val="16"/>
          <w:lang w:val="pt-BR"/>
        </w:rPr>
        <w:t xml:space="preserve"> </w:t>
      </w:r>
      <w:r w:rsidRPr="00256467">
        <w:rPr>
          <w:rFonts w:ascii="Cambria" w:hAnsi="Cambria"/>
          <w:sz w:val="16"/>
          <w:szCs w:val="16"/>
          <w:lang w:val="pt-BR"/>
        </w:rPr>
        <w:t xml:space="preserve">Corte IDH. </w:t>
      </w:r>
      <w:r w:rsidRPr="00256467">
        <w:rPr>
          <w:rFonts w:ascii="Cambria" w:hAnsi="Cambria"/>
          <w:i/>
          <w:sz w:val="16"/>
          <w:szCs w:val="16"/>
          <w:lang w:val="pt-BR"/>
        </w:rPr>
        <w:t>Caso García Asto y Ramírez Rojas Vs. Perú</w:t>
      </w:r>
      <w:r w:rsidRPr="00256467">
        <w:rPr>
          <w:rFonts w:ascii="Cambria" w:hAnsi="Cambria"/>
          <w:sz w:val="16"/>
          <w:szCs w:val="16"/>
          <w:lang w:val="pt-BR"/>
        </w:rPr>
        <w:t>. Sentencia de 25 de noviembre de 2005. Serie C No. 137</w:t>
      </w:r>
      <w:r w:rsidRPr="00256467">
        <w:rPr>
          <w:rFonts w:ascii="Cambria" w:hAnsi="Cambria" w:cs="Arial"/>
          <w:iCs/>
          <w:sz w:val="16"/>
          <w:szCs w:val="16"/>
          <w:lang w:val="pt-BR"/>
        </w:rPr>
        <w:t>, párr. 166</w:t>
      </w:r>
      <w:r w:rsidRPr="00256467">
        <w:rPr>
          <w:rFonts w:ascii="Cambria" w:hAnsi="Cambria" w:cs="Arial"/>
          <w:sz w:val="16"/>
          <w:szCs w:val="16"/>
          <w:lang w:val="pt-BR"/>
        </w:rPr>
        <w:t>.</w:t>
      </w:r>
    </w:p>
  </w:footnote>
  <w:footnote w:id="127">
    <w:p w14:paraId="0106A41A" w14:textId="77777777" w:rsidR="007655B8" w:rsidRPr="00256467" w:rsidRDefault="007655B8" w:rsidP="00B26282">
      <w:pPr>
        <w:pStyle w:val="Textonotapie"/>
        <w:jc w:val="both"/>
        <w:rPr>
          <w:rFonts w:ascii="Cambria" w:hAnsi="Cambria"/>
          <w:sz w:val="16"/>
          <w:szCs w:val="16"/>
          <w:lang w:val="es-CO"/>
        </w:rPr>
      </w:pPr>
      <w:r w:rsidRPr="00256467">
        <w:rPr>
          <w:rStyle w:val="Refdenotaalpie"/>
          <w:rFonts w:ascii="Cambria" w:hAnsi="Cambria"/>
          <w:sz w:val="16"/>
          <w:szCs w:val="16"/>
        </w:rPr>
        <w:footnoteRef/>
      </w:r>
      <w:r w:rsidR="00677FB0" w:rsidRPr="00256467">
        <w:rPr>
          <w:rFonts w:ascii="Cambria" w:hAnsi="Cambria" w:cs="Arial"/>
          <w:sz w:val="16"/>
          <w:szCs w:val="16"/>
          <w:lang w:val="pt-BR"/>
        </w:rPr>
        <w:t xml:space="preserve"> </w:t>
      </w:r>
      <w:r w:rsidR="00677FB0" w:rsidRPr="00256467">
        <w:rPr>
          <w:rFonts w:ascii="Cambria" w:hAnsi="Cambria" w:cs="Arial"/>
          <w:sz w:val="16"/>
          <w:szCs w:val="16"/>
          <w:lang w:val="pt-BR"/>
        </w:rPr>
        <w:t>CIDH. Informe No. 77/02. Caso 11.506. Fondo.</w:t>
      </w:r>
      <w:r w:rsidRPr="00256467">
        <w:rPr>
          <w:rFonts w:ascii="Cambria" w:hAnsi="Cambria" w:cs="Arial"/>
          <w:sz w:val="16"/>
          <w:szCs w:val="16"/>
          <w:lang w:val="pt-BR"/>
        </w:rPr>
        <w:t xml:space="preserve"> Waldemar Gerónimo Pinheiro y Jos</w:t>
      </w:r>
      <w:r w:rsidR="00677FB0" w:rsidRPr="00256467">
        <w:rPr>
          <w:rFonts w:ascii="Cambria" w:hAnsi="Cambria" w:cs="Arial"/>
          <w:sz w:val="16"/>
          <w:szCs w:val="16"/>
          <w:lang w:val="pt-BR"/>
        </w:rPr>
        <w:t>é Víctor dos Santos. Paraguay.</w:t>
      </w:r>
      <w:r w:rsidRPr="00256467">
        <w:rPr>
          <w:rFonts w:ascii="Cambria" w:hAnsi="Cambria" w:cs="Arial"/>
          <w:sz w:val="16"/>
          <w:szCs w:val="16"/>
          <w:lang w:val="pt-BR"/>
        </w:rPr>
        <w:t xml:space="preserve"> 27 de diciembre de 2002, párr. </w:t>
      </w:r>
      <w:r w:rsidRPr="00256467">
        <w:rPr>
          <w:rFonts w:ascii="Cambria" w:hAnsi="Cambria" w:cs="Arial"/>
          <w:sz w:val="16"/>
          <w:szCs w:val="16"/>
          <w:lang w:val="es-CO"/>
        </w:rPr>
        <w:t>76.</w:t>
      </w:r>
    </w:p>
  </w:footnote>
  <w:footnote w:id="128">
    <w:p w14:paraId="76D21D09" w14:textId="77777777" w:rsidR="00677FB0" w:rsidRPr="00256467" w:rsidRDefault="00677FB0" w:rsidP="00B26282">
      <w:pPr>
        <w:pStyle w:val="Textonotapie"/>
        <w:jc w:val="both"/>
        <w:rPr>
          <w:rFonts w:ascii="Cambria" w:hAnsi="Cambria"/>
          <w:sz w:val="16"/>
          <w:szCs w:val="16"/>
          <w:lang w:val="es-ES"/>
        </w:rPr>
      </w:pPr>
      <w:r w:rsidRPr="00256467">
        <w:rPr>
          <w:rStyle w:val="Refdenotaalpie"/>
          <w:rFonts w:ascii="Cambria" w:hAnsi="Cambria"/>
          <w:sz w:val="16"/>
          <w:szCs w:val="16"/>
        </w:rPr>
        <w:footnoteRef/>
      </w:r>
      <w:r w:rsidRPr="00256467">
        <w:rPr>
          <w:rFonts w:ascii="Cambria" w:hAnsi="Cambria"/>
          <w:sz w:val="16"/>
          <w:szCs w:val="16"/>
          <w:lang w:val="es-ES"/>
        </w:rPr>
        <w:t xml:space="preserve"> Corte IDH. </w:t>
      </w:r>
      <w:r w:rsidRPr="00256467">
        <w:rPr>
          <w:rStyle w:val="Textoennegrita"/>
          <w:rFonts w:ascii="Cambria" w:hAnsi="Cambria"/>
          <w:b w:val="0"/>
          <w:i/>
          <w:sz w:val="16"/>
          <w:szCs w:val="16"/>
          <w:shd w:val="clear" w:color="auto" w:fill="FFFFFF"/>
          <w:lang w:val="es-ES"/>
        </w:rPr>
        <w:t>Caso Gutiérrez Hernández y otros Vs. Guatemala</w:t>
      </w:r>
      <w:r w:rsidRPr="00256467">
        <w:rPr>
          <w:rStyle w:val="Textoennegrita"/>
          <w:rFonts w:ascii="Cambria" w:hAnsi="Cambria"/>
          <w:b w:val="0"/>
          <w:sz w:val="16"/>
          <w:szCs w:val="16"/>
          <w:shd w:val="clear" w:color="auto" w:fill="FFFFFF"/>
          <w:lang w:val="es-ES"/>
        </w:rPr>
        <w:t>. Excepciones Preliminares, Fondo, Reparaciones y Costas. Sentencia de 24 de agosto de 2017. Serie C No. 339, párr. 183.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97A4502"/>
    <w:multiLevelType w:val="hybridMultilevel"/>
    <w:tmpl w:val="35AEC036"/>
    <w:lvl w:ilvl="0" w:tplc="68AC086A">
      <w:start w:val="1"/>
      <w:numFmt w:val="decimal"/>
      <w:lvlText w:val="%1."/>
      <w:lvlJc w:val="left"/>
      <w:pPr>
        <w:ind w:left="990" w:hanging="360"/>
      </w:pPr>
      <w:rPr>
        <w:rFonts w:hint="default"/>
      </w:r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31C3FD5"/>
    <w:multiLevelType w:val="hybridMultilevel"/>
    <w:tmpl w:val="673E27D4"/>
    <w:lvl w:ilvl="0" w:tplc="3C1C7F56">
      <w:start w:val="1"/>
      <w:numFmt w:val="decimal"/>
      <w:lvlText w:val="%1."/>
      <w:lvlJc w:val="left"/>
      <w:pPr>
        <w:ind w:left="990" w:hanging="360"/>
      </w:pPr>
      <w:rPr>
        <w:rFonts w:hint="default"/>
      </w:r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7" w15:restartNumberingAfterBreak="0">
    <w:nsid w:val="19050020"/>
    <w:multiLevelType w:val="hybridMultilevel"/>
    <w:tmpl w:val="95AEC2CC"/>
    <w:lvl w:ilvl="0" w:tplc="88743C72">
      <w:start w:val="1"/>
      <w:numFmt w:val="decimal"/>
      <w:lvlText w:val="%1."/>
      <w:lvlJc w:val="left"/>
      <w:pPr>
        <w:tabs>
          <w:tab w:val="num" w:pos="1429"/>
        </w:tabs>
        <w:ind w:firstLine="720"/>
      </w:pPr>
      <w:rPr>
        <w:rFonts w:ascii="Cambria" w:hAnsi="Cambria" w:cs="Times New Roman" w:hint="default"/>
        <w:b w:val="0"/>
        <w:i w:val="0"/>
        <w:color w:val="auto"/>
        <w:sz w:val="20"/>
        <w:szCs w:val="20"/>
        <w:lang w:val="es-PE"/>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6B0058BA">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15:restartNumberingAfterBreak="0">
    <w:nsid w:val="26390CC8"/>
    <w:multiLevelType w:val="hybridMultilevel"/>
    <w:tmpl w:val="C664874A"/>
    <w:lvl w:ilvl="0" w:tplc="B4D28AD6">
      <w:start w:val="1"/>
      <w:numFmt w:val="decimal"/>
      <w:lvlText w:val="%1."/>
      <w:lvlJc w:val="left"/>
      <w:pPr>
        <w:ind w:left="720" w:hanging="360"/>
      </w:pPr>
      <w:rPr>
        <w:rFonts w:ascii="Cambria" w:hAnsi="Cambria" w:hint="default"/>
        <w:b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EDF6F7F"/>
    <w:multiLevelType w:val="hybridMultilevel"/>
    <w:tmpl w:val="F70C2B88"/>
    <w:lvl w:ilvl="0" w:tplc="76A04792">
      <w:start w:val="1"/>
      <w:numFmt w:val="decimal"/>
      <w:lvlText w:val="%1."/>
      <w:lvlJc w:val="left"/>
      <w:pPr>
        <w:ind w:left="72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895B96"/>
    <w:multiLevelType w:val="hybridMultilevel"/>
    <w:tmpl w:val="7F288666"/>
    <w:lvl w:ilvl="0" w:tplc="0C0A000F">
      <w:start w:val="1"/>
      <w:numFmt w:val="decimal"/>
      <w:lvlText w:val="%1."/>
      <w:lvlJc w:val="left"/>
      <w:pPr>
        <w:tabs>
          <w:tab w:val="num" w:pos="990"/>
        </w:tabs>
        <w:ind w:left="990" w:hanging="360"/>
      </w:pPr>
    </w:lvl>
    <w:lvl w:ilvl="1" w:tplc="93D26B56">
      <w:start w:val="1"/>
      <w:numFmt w:val="lowerLetter"/>
      <w:lvlText w:val="%2)"/>
      <w:lvlJc w:val="left"/>
      <w:pPr>
        <w:tabs>
          <w:tab w:val="num" w:pos="1710"/>
        </w:tabs>
        <w:ind w:left="1710" w:hanging="360"/>
      </w:pPr>
    </w:lvl>
    <w:lvl w:ilvl="2" w:tplc="0C0A001B">
      <w:start w:val="1"/>
      <w:numFmt w:val="decimal"/>
      <w:lvlText w:val="%3."/>
      <w:lvlJc w:val="left"/>
      <w:pPr>
        <w:tabs>
          <w:tab w:val="num" w:pos="2430"/>
        </w:tabs>
        <w:ind w:left="2430" w:hanging="360"/>
      </w:pPr>
    </w:lvl>
    <w:lvl w:ilvl="3" w:tplc="0C0A000F">
      <w:start w:val="1"/>
      <w:numFmt w:val="decimal"/>
      <w:lvlText w:val="%4."/>
      <w:lvlJc w:val="left"/>
      <w:pPr>
        <w:tabs>
          <w:tab w:val="num" w:pos="3150"/>
        </w:tabs>
        <w:ind w:left="3150" w:hanging="360"/>
      </w:pPr>
    </w:lvl>
    <w:lvl w:ilvl="4" w:tplc="0C0A0019">
      <w:start w:val="1"/>
      <w:numFmt w:val="decimal"/>
      <w:lvlText w:val="%5."/>
      <w:lvlJc w:val="left"/>
      <w:pPr>
        <w:tabs>
          <w:tab w:val="num" w:pos="3870"/>
        </w:tabs>
        <w:ind w:left="3870" w:hanging="360"/>
      </w:pPr>
    </w:lvl>
    <w:lvl w:ilvl="5" w:tplc="0C0A001B">
      <w:start w:val="1"/>
      <w:numFmt w:val="decimal"/>
      <w:lvlText w:val="%6."/>
      <w:lvlJc w:val="left"/>
      <w:pPr>
        <w:tabs>
          <w:tab w:val="num" w:pos="4590"/>
        </w:tabs>
        <w:ind w:left="4590" w:hanging="360"/>
      </w:pPr>
    </w:lvl>
    <w:lvl w:ilvl="6" w:tplc="0C0A000F">
      <w:start w:val="1"/>
      <w:numFmt w:val="decimal"/>
      <w:lvlText w:val="%7."/>
      <w:lvlJc w:val="left"/>
      <w:pPr>
        <w:tabs>
          <w:tab w:val="num" w:pos="5310"/>
        </w:tabs>
        <w:ind w:left="5310" w:hanging="360"/>
      </w:pPr>
    </w:lvl>
    <w:lvl w:ilvl="7" w:tplc="0C0A0019">
      <w:start w:val="1"/>
      <w:numFmt w:val="decimal"/>
      <w:lvlText w:val="%8."/>
      <w:lvlJc w:val="left"/>
      <w:pPr>
        <w:tabs>
          <w:tab w:val="num" w:pos="6030"/>
        </w:tabs>
        <w:ind w:left="6030" w:hanging="360"/>
      </w:pPr>
    </w:lvl>
    <w:lvl w:ilvl="8" w:tplc="0C0A001B">
      <w:start w:val="1"/>
      <w:numFmt w:val="decimal"/>
      <w:lvlText w:val="%9."/>
      <w:lvlJc w:val="left"/>
      <w:pPr>
        <w:tabs>
          <w:tab w:val="num" w:pos="6750"/>
        </w:tabs>
        <w:ind w:left="6750" w:hanging="360"/>
      </w:pPr>
    </w:lvl>
  </w:abstractNum>
  <w:abstractNum w:abstractNumId="24"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7795779"/>
    <w:multiLevelType w:val="singleLevel"/>
    <w:tmpl w:val="6132427E"/>
    <w:lvl w:ilvl="0">
      <w:start w:val="1"/>
      <w:numFmt w:val="decimal"/>
      <w:lvlText w:val="%1."/>
      <w:lvlJc w:val="left"/>
      <w:pPr>
        <w:tabs>
          <w:tab w:val="num" w:pos="720"/>
        </w:tabs>
        <w:ind w:left="0" w:firstLine="720"/>
      </w:pPr>
      <w:rPr>
        <w:rFonts w:ascii="Cambria" w:hAnsi="Cambria" w:hint="default"/>
        <w:b w:val="0"/>
        <w:color w:val="auto"/>
        <w:sz w:val="20"/>
        <w:szCs w:val="20"/>
      </w:rPr>
    </w:lvl>
  </w:abstractNum>
  <w:abstractNum w:abstractNumId="30"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733341B"/>
    <w:multiLevelType w:val="hybridMultilevel"/>
    <w:tmpl w:val="48BA547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3"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0"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15:restartNumberingAfterBreak="0">
    <w:nsid w:val="5D7D4B9D"/>
    <w:multiLevelType w:val="hybridMultilevel"/>
    <w:tmpl w:val="F70C2B88"/>
    <w:lvl w:ilvl="0" w:tplc="76A04792">
      <w:start w:val="1"/>
      <w:numFmt w:val="decimal"/>
      <w:lvlText w:val="%1."/>
      <w:lvlJc w:val="left"/>
      <w:pPr>
        <w:ind w:left="72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6342213A"/>
    <w:multiLevelType w:val="hybridMultilevel"/>
    <w:tmpl w:val="2DE28772"/>
    <w:lvl w:ilvl="0" w:tplc="B21A24B8">
      <w:start w:val="1"/>
      <w:numFmt w:val="decimal"/>
      <w:lvlText w:val="%1."/>
      <w:lvlJc w:val="left"/>
      <w:pPr>
        <w:ind w:left="1440" w:hanging="810"/>
      </w:pPr>
      <w:rPr>
        <w:rFonts w:hint="default"/>
      </w:r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54" w15:restartNumberingAfterBreak="0">
    <w:nsid w:val="65146B17"/>
    <w:multiLevelType w:val="hybridMultilevel"/>
    <w:tmpl w:val="E286D0CA"/>
    <w:lvl w:ilvl="0" w:tplc="A31CD6B4">
      <w:start w:val="1"/>
      <w:numFmt w:val="decimal"/>
      <w:lvlText w:val="%1."/>
      <w:lvlJc w:val="left"/>
      <w:pPr>
        <w:tabs>
          <w:tab w:val="num" w:pos="2340"/>
        </w:tabs>
        <w:ind w:left="2340" w:hanging="1440"/>
      </w:pPr>
      <w:rPr>
        <w:rFonts w:ascii="Cambria" w:hAnsi="Cambria" w:hint="default"/>
        <w:b w:val="0"/>
        <w:i w:val="0"/>
        <w:sz w:val="20"/>
        <w:szCs w:val="20"/>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1BC6FDD6">
      <w:start w:val="1"/>
      <w:numFmt w:val="lowerRoman"/>
      <w:lvlText w:val="%4."/>
      <w:lvlJc w:val="left"/>
      <w:pPr>
        <w:tabs>
          <w:tab w:val="num" w:pos="3600"/>
        </w:tabs>
        <w:ind w:left="3600" w:hanging="720"/>
      </w:pPr>
      <w:rPr>
        <w:rFonts w:cs="Times New Roman" w:hint="default"/>
      </w:rPr>
    </w:lvl>
    <w:lvl w:ilvl="4" w:tplc="C350752E">
      <w:start w:val="1"/>
      <w:numFmt w:val="lowerRoman"/>
      <w:lvlText w:val="%5)"/>
      <w:lvlJc w:val="left"/>
      <w:pPr>
        <w:tabs>
          <w:tab w:val="num" w:pos="4320"/>
        </w:tabs>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6"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7" w15:restartNumberingAfterBreak="0">
    <w:nsid w:val="6D343944"/>
    <w:multiLevelType w:val="hybridMultilevel"/>
    <w:tmpl w:val="F70C2B88"/>
    <w:lvl w:ilvl="0" w:tplc="76A04792">
      <w:start w:val="1"/>
      <w:numFmt w:val="decimal"/>
      <w:lvlText w:val="%1."/>
      <w:lvlJc w:val="left"/>
      <w:pPr>
        <w:ind w:left="720" w:hanging="360"/>
      </w:pPr>
      <w:rPr>
        <w:rFonts w:ascii="Cambria" w:hAnsi="Cambria"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A53E3D"/>
    <w:multiLevelType w:val="hybridMultilevel"/>
    <w:tmpl w:val="801296E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2044FFF"/>
    <w:multiLevelType w:val="hybridMultilevel"/>
    <w:tmpl w:val="DC9E205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5"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15:restartNumberingAfterBreak="0">
    <w:nsid w:val="7D4B021B"/>
    <w:multiLevelType w:val="hybridMultilevel"/>
    <w:tmpl w:val="91C22A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0"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64"/>
  </w:num>
  <w:num w:numId="4">
    <w:abstractNumId w:val="25"/>
  </w:num>
  <w:num w:numId="5">
    <w:abstractNumId w:val="55"/>
  </w:num>
  <w:num w:numId="6">
    <w:abstractNumId w:val="31"/>
  </w:num>
  <w:num w:numId="7">
    <w:abstractNumId w:val="8"/>
  </w:num>
  <w:num w:numId="8">
    <w:abstractNumId w:val="19"/>
  </w:num>
  <w:num w:numId="9">
    <w:abstractNumId w:val="47"/>
  </w:num>
  <w:num w:numId="10">
    <w:abstractNumId w:val="0"/>
  </w:num>
  <w:num w:numId="11">
    <w:abstractNumId w:val="42"/>
  </w:num>
  <w:num w:numId="12">
    <w:abstractNumId w:val="43"/>
  </w:num>
  <w:num w:numId="13">
    <w:abstractNumId w:val="49"/>
  </w:num>
  <w:num w:numId="14">
    <w:abstractNumId w:val="1"/>
  </w:num>
  <w:num w:numId="15">
    <w:abstractNumId w:val="3"/>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7"/>
  </w:num>
  <w:num w:numId="24">
    <w:abstractNumId w:val="18"/>
  </w:num>
  <w:num w:numId="25">
    <w:abstractNumId w:val="20"/>
  </w:num>
  <w:num w:numId="26">
    <w:abstractNumId w:val="21"/>
  </w:num>
  <w:num w:numId="27">
    <w:abstractNumId w:val="26"/>
  </w:num>
  <w:num w:numId="28">
    <w:abstractNumId w:val="27"/>
  </w:num>
  <w:num w:numId="29">
    <w:abstractNumId w:val="28"/>
  </w:num>
  <w:num w:numId="30">
    <w:abstractNumId w:val="30"/>
  </w:num>
  <w:num w:numId="31">
    <w:abstractNumId w:val="32"/>
  </w:num>
  <w:num w:numId="32">
    <w:abstractNumId w:val="33"/>
  </w:num>
  <w:num w:numId="33">
    <w:abstractNumId w:val="34"/>
  </w:num>
  <w:num w:numId="34">
    <w:abstractNumId w:val="35"/>
  </w:num>
  <w:num w:numId="35">
    <w:abstractNumId w:val="37"/>
  </w:num>
  <w:num w:numId="36">
    <w:abstractNumId w:val="38"/>
  </w:num>
  <w:num w:numId="37">
    <w:abstractNumId w:val="40"/>
  </w:num>
  <w:num w:numId="38">
    <w:abstractNumId w:val="41"/>
  </w:num>
  <w:num w:numId="39">
    <w:abstractNumId w:val="44"/>
  </w:num>
  <w:num w:numId="40">
    <w:abstractNumId w:val="45"/>
  </w:num>
  <w:num w:numId="41">
    <w:abstractNumId w:val="52"/>
  </w:num>
  <w:num w:numId="42">
    <w:abstractNumId w:val="56"/>
  </w:num>
  <w:num w:numId="43">
    <w:abstractNumId w:val="58"/>
  </w:num>
  <w:num w:numId="44">
    <w:abstractNumId w:val="62"/>
  </w:num>
  <w:num w:numId="45">
    <w:abstractNumId w:val="63"/>
  </w:num>
  <w:num w:numId="46">
    <w:abstractNumId w:val="65"/>
  </w:num>
  <w:num w:numId="47">
    <w:abstractNumId w:val="66"/>
  </w:num>
  <w:num w:numId="48">
    <w:abstractNumId w:val="67"/>
  </w:num>
  <w:num w:numId="49">
    <w:abstractNumId w:val="69"/>
  </w:num>
  <w:num w:numId="50">
    <w:abstractNumId w:val="70"/>
  </w:num>
  <w:num w:numId="51">
    <w:abstractNumId w:val="24"/>
  </w:num>
  <w:num w:numId="52">
    <w:abstractNumId w:val="46"/>
  </w:num>
  <w:num w:numId="53">
    <w:abstractNumId w:val="59"/>
  </w:num>
  <w:num w:numId="54">
    <w:abstractNumId w:val="50"/>
  </w:num>
  <w:num w:numId="55">
    <w:abstractNumId w:val="51"/>
  </w:num>
  <w:num w:numId="56">
    <w:abstractNumId w:val="48"/>
  </w:num>
  <w:num w:numId="57">
    <w:abstractNumId w:val="39"/>
  </w:num>
  <w:num w:numId="58">
    <w:abstractNumId w:val="60"/>
  </w:num>
  <w:num w:numId="59">
    <w:abstractNumId w:val="61"/>
  </w:num>
  <w:num w:numId="60">
    <w:abstractNumId w:val="68"/>
  </w:num>
  <w:num w:numId="61">
    <w:abstractNumId w:val="57"/>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9"/>
  </w:num>
  <w:num w:numId="65">
    <w:abstractNumId w:val="16"/>
  </w:num>
  <w:num w:numId="66">
    <w:abstractNumId w:val="7"/>
  </w:num>
  <w:num w:numId="67">
    <w:abstractNumId w:val="22"/>
  </w:num>
  <w:num w:numId="68">
    <w:abstractNumId w:val="6"/>
  </w:num>
  <w:num w:numId="69">
    <w:abstractNumId w:val="53"/>
  </w:num>
  <w:num w:numId="70">
    <w:abstractNumId w:val="54"/>
  </w:num>
  <w:num w:numId="71">
    <w:abstractNumId w:val="2"/>
  </w:num>
  <w:num w:numId="72">
    <w:abstractNumId w:val="3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NotTrackMoves/>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2D5C"/>
    <w:rsid w:val="0000036F"/>
    <w:rsid w:val="00000CDA"/>
    <w:rsid w:val="00000CFF"/>
    <w:rsid w:val="00000E8B"/>
    <w:rsid w:val="0000341E"/>
    <w:rsid w:val="000038B9"/>
    <w:rsid w:val="00004145"/>
    <w:rsid w:val="00004A01"/>
    <w:rsid w:val="000055D5"/>
    <w:rsid w:val="00006202"/>
    <w:rsid w:val="00006879"/>
    <w:rsid w:val="00006896"/>
    <w:rsid w:val="00006E1F"/>
    <w:rsid w:val="000070D7"/>
    <w:rsid w:val="000071DE"/>
    <w:rsid w:val="000075B8"/>
    <w:rsid w:val="00011B9D"/>
    <w:rsid w:val="000158FD"/>
    <w:rsid w:val="00016223"/>
    <w:rsid w:val="0001788C"/>
    <w:rsid w:val="00017F2B"/>
    <w:rsid w:val="00023E08"/>
    <w:rsid w:val="000245F0"/>
    <w:rsid w:val="000256D6"/>
    <w:rsid w:val="000264F5"/>
    <w:rsid w:val="000271AE"/>
    <w:rsid w:val="00027EB9"/>
    <w:rsid w:val="000311AC"/>
    <w:rsid w:val="00031468"/>
    <w:rsid w:val="0003178E"/>
    <w:rsid w:val="0003313D"/>
    <w:rsid w:val="0003469C"/>
    <w:rsid w:val="0003696E"/>
    <w:rsid w:val="00037243"/>
    <w:rsid w:val="00037593"/>
    <w:rsid w:val="000404A2"/>
    <w:rsid w:val="00040B91"/>
    <w:rsid w:val="00040C3A"/>
    <w:rsid w:val="0004209F"/>
    <w:rsid w:val="00045BF5"/>
    <w:rsid w:val="00045E32"/>
    <w:rsid w:val="0004646F"/>
    <w:rsid w:val="00046C31"/>
    <w:rsid w:val="000504FA"/>
    <w:rsid w:val="000515F2"/>
    <w:rsid w:val="00052904"/>
    <w:rsid w:val="000541FD"/>
    <w:rsid w:val="00054B17"/>
    <w:rsid w:val="00056B24"/>
    <w:rsid w:val="000571E3"/>
    <w:rsid w:val="00057515"/>
    <w:rsid w:val="0006107C"/>
    <w:rsid w:val="00063D03"/>
    <w:rsid w:val="00065EF8"/>
    <w:rsid w:val="00066FE5"/>
    <w:rsid w:val="00067709"/>
    <w:rsid w:val="00067936"/>
    <w:rsid w:val="00067A5D"/>
    <w:rsid w:val="000716C5"/>
    <w:rsid w:val="000717AF"/>
    <w:rsid w:val="00074022"/>
    <w:rsid w:val="0007484F"/>
    <w:rsid w:val="00075E23"/>
    <w:rsid w:val="000764D0"/>
    <w:rsid w:val="000811FB"/>
    <w:rsid w:val="000836F4"/>
    <w:rsid w:val="00084C85"/>
    <w:rsid w:val="00085262"/>
    <w:rsid w:val="000855EE"/>
    <w:rsid w:val="0008768F"/>
    <w:rsid w:val="00087B87"/>
    <w:rsid w:val="00091AFB"/>
    <w:rsid w:val="00091F36"/>
    <w:rsid w:val="0009344A"/>
    <w:rsid w:val="00093F6F"/>
    <w:rsid w:val="00094A29"/>
    <w:rsid w:val="00094D28"/>
    <w:rsid w:val="00094F22"/>
    <w:rsid w:val="000970C8"/>
    <w:rsid w:val="000972DE"/>
    <w:rsid w:val="00097B52"/>
    <w:rsid w:val="000A1C9A"/>
    <w:rsid w:val="000A392E"/>
    <w:rsid w:val="000A4A9D"/>
    <w:rsid w:val="000A575F"/>
    <w:rsid w:val="000A576A"/>
    <w:rsid w:val="000A7363"/>
    <w:rsid w:val="000A748C"/>
    <w:rsid w:val="000A7D0F"/>
    <w:rsid w:val="000B0360"/>
    <w:rsid w:val="000B2E03"/>
    <w:rsid w:val="000B5698"/>
    <w:rsid w:val="000B5970"/>
    <w:rsid w:val="000B5F5C"/>
    <w:rsid w:val="000B7422"/>
    <w:rsid w:val="000C12DB"/>
    <w:rsid w:val="000C22DE"/>
    <w:rsid w:val="000C29E3"/>
    <w:rsid w:val="000C32F3"/>
    <w:rsid w:val="000C3AD6"/>
    <w:rsid w:val="000C62F4"/>
    <w:rsid w:val="000D0B47"/>
    <w:rsid w:val="000D10DB"/>
    <w:rsid w:val="000D1671"/>
    <w:rsid w:val="000D3C82"/>
    <w:rsid w:val="000D422D"/>
    <w:rsid w:val="000D44E7"/>
    <w:rsid w:val="000D45B8"/>
    <w:rsid w:val="000D6B12"/>
    <w:rsid w:val="000D7040"/>
    <w:rsid w:val="000D7650"/>
    <w:rsid w:val="000E153E"/>
    <w:rsid w:val="000E1A83"/>
    <w:rsid w:val="000E1D97"/>
    <w:rsid w:val="000E276E"/>
    <w:rsid w:val="000E2813"/>
    <w:rsid w:val="000E3C87"/>
    <w:rsid w:val="000E575D"/>
    <w:rsid w:val="000E5EB5"/>
    <w:rsid w:val="000F00F6"/>
    <w:rsid w:val="000F0C99"/>
    <w:rsid w:val="000F0F73"/>
    <w:rsid w:val="000F1A3E"/>
    <w:rsid w:val="000F1E67"/>
    <w:rsid w:val="000F2B37"/>
    <w:rsid w:val="000F35ED"/>
    <w:rsid w:val="000F4661"/>
    <w:rsid w:val="000F5FEF"/>
    <w:rsid w:val="0010078D"/>
    <w:rsid w:val="00102607"/>
    <w:rsid w:val="001031DD"/>
    <w:rsid w:val="001032C9"/>
    <w:rsid w:val="00103645"/>
    <w:rsid w:val="001037B6"/>
    <w:rsid w:val="00103D39"/>
    <w:rsid w:val="001043DF"/>
    <w:rsid w:val="00104DFF"/>
    <w:rsid w:val="001060AE"/>
    <w:rsid w:val="001062B3"/>
    <w:rsid w:val="001067C4"/>
    <w:rsid w:val="00107131"/>
    <w:rsid w:val="0010736F"/>
    <w:rsid w:val="00110210"/>
    <w:rsid w:val="0011208C"/>
    <w:rsid w:val="00113F73"/>
    <w:rsid w:val="0011451A"/>
    <w:rsid w:val="001153C6"/>
    <w:rsid w:val="0011708A"/>
    <w:rsid w:val="001177B1"/>
    <w:rsid w:val="001178C6"/>
    <w:rsid w:val="00121CC2"/>
    <w:rsid w:val="001243C8"/>
    <w:rsid w:val="00125EDA"/>
    <w:rsid w:val="0012630D"/>
    <w:rsid w:val="00126830"/>
    <w:rsid w:val="00133EE5"/>
    <w:rsid w:val="00133F6A"/>
    <w:rsid w:val="00134754"/>
    <w:rsid w:val="00135854"/>
    <w:rsid w:val="00135F8A"/>
    <w:rsid w:val="00144095"/>
    <w:rsid w:val="00145CA8"/>
    <w:rsid w:val="001474FA"/>
    <w:rsid w:val="00151174"/>
    <w:rsid w:val="00152198"/>
    <w:rsid w:val="00153792"/>
    <w:rsid w:val="00153B95"/>
    <w:rsid w:val="00154FD8"/>
    <w:rsid w:val="00163F01"/>
    <w:rsid w:val="00165B01"/>
    <w:rsid w:val="00166189"/>
    <w:rsid w:val="00166301"/>
    <w:rsid w:val="00166CCC"/>
    <w:rsid w:val="001674EA"/>
    <w:rsid w:val="00167958"/>
    <w:rsid w:val="00167A34"/>
    <w:rsid w:val="001704E1"/>
    <w:rsid w:val="00171D69"/>
    <w:rsid w:val="0017242C"/>
    <w:rsid w:val="00172B57"/>
    <w:rsid w:val="00173655"/>
    <w:rsid w:val="00173AA5"/>
    <w:rsid w:val="00175A4F"/>
    <w:rsid w:val="00176FCD"/>
    <w:rsid w:val="001813D5"/>
    <w:rsid w:val="00181A1E"/>
    <w:rsid w:val="00181F34"/>
    <w:rsid w:val="00183BDD"/>
    <w:rsid w:val="00183F7C"/>
    <w:rsid w:val="00184AFE"/>
    <w:rsid w:val="00184F0A"/>
    <w:rsid w:val="00186F7F"/>
    <w:rsid w:val="00187A38"/>
    <w:rsid w:val="00187B78"/>
    <w:rsid w:val="00191DD3"/>
    <w:rsid w:val="0019275A"/>
    <w:rsid w:val="00192B12"/>
    <w:rsid w:val="00192F9C"/>
    <w:rsid w:val="00193673"/>
    <w:rsid w:val="00193CF5"/>
    <w:rsid w:val="00195E5E"/>
    <w:rsid w:val="00197225"/>
    <w:rsid w:val="00197519"/>
    <w:rsid w:val="001A09F0"/>
    <w:rsid w:val="001A28F6"/>
    <w:rsid w:val="001A363F"/>
    <w:rsid w:val="001A4379"/>
    <w:rsid w:val="001A48E5"/>
    <w:rsid w:val="001A654B"/>
    <w:rsid w:val="001A7437"/>
    <w:rsid w:val="001A7870"/>
    <w:rsid w:val="001B0B05"/>
    <w:rsid w:val="001B1AE2"/>
    <w:rsid w:val="001B2E71"/>
    <w:rsid w:val="001B3942"/>
    <w:rsid w:val="001B4585"/>
    <w:rsid w:val="001B4E1E"/>
    <w:rsid w:val="001B6865"/>
    <w:rsid w:val="001C103F"/>
    <w:rsid w:val="001C12C9"/>
    <w:rsid w:val="001C1B41"/>
    <w:rsid w:val="001C1CE2"/>
    <w:rsid w:val="001C24F7"/>
    <w:rsid w:val="001C3FF5"/>
    <w:rsid w:val="001C4CA5"/>
    <w:rsid w:val="001C4ECC"/>
    <w:rsid w:val="001C5D1B"/>
    <w:rsid w:val="001C6C10"/>
    <w:rsid w:val="001D18C7"/>
    <w:rsid w:val="001D3BB6"/>
    <w:rsid w:val="001D5424"/>
    <w:rsid w:val="001D5E6C"/>
    <w:rsid w:val="001D6498"/>
    <w:rsid w:val="001D65EF"/>
    <w:rsid w:val="001D6762"/>
    <w:rsid w:val="001D7654"/>
    <w:rsid w:val="001E002F"/>
    <w:rsid w:val="001E14CE"/>
    <w:rsid w:val="001E15A7"/>
    <w:rsid w:val="001E15B6"/>
    <w:rsid w:val="001E2A65"/>
    <w:rsid w:val="001E2CA0"/>
    <w:rsid w:val="001E317F"/>
    <w:rsid w:val="001E392A"/>
    <w:rsid w:val="001E478D"/>
    <w:rsid w:val="001E6525"/>
    <w:rsid w:val="001E6742"/>
    <w:rsid w:val="001E6CA5"/>
    <w:rsid w:val="001F032C"/>
    <w:rsid w:val="001F1497"/>
    <w:rsid w:val="001F1C70"/>
    <w:rsid w:val="001F315F"/>
    <w:rsid w:val="001F319B"/>
    <w:rsid w:val="001F339B"/>
    <w:rsid w:val="00200ED8"/>
    <w:rsid w:val="00201A2C"/>
    <w:rsid w:val="00201CD1"/>
    <w:rsid w:val="0020238C"/>
    <w:rsid w:val="0020354A"/>
    <w:rsid w:val="00204B61"/>
    <w:rsid w:val="00211243"/>
    <w:rsid w:val="00211525"/>
    <w:rsid w:val="002124EF"/>
    <w:rsid w:val="00214185"/>
    <w:rsid w:val="00215BE6"/>
    <w:rsid w:val="0021690F"/>
    <w:rsid w:val="00217777"/>
    <w:rsid w:val="00217952"/>
    <w:rsid w:val="00217A09"/>
    <w:rsid w:val="00217EA8"/>
    <w:rsid w:val="002202C2"/>
    <w:rsid w:val="00220897"/>
    <w:rsid w:val="00220FDC"/>
    <w:rsid w:val="002210D4"/>
    <w:rsid w:val="00221D52"/>
    <w:rsid w:val="002225E6"/>
    <w:rsid w:val="00222C07"/>
    <w:rsid w:val="00222C7E"/>
    <w:rsid w:val="00223B5A"/>
    <w:rsid w:val="002247D7"/>
    <w:rsid w:val="002250A3"/>
    <w:rsid w:val="00227223"/>
    <w:rsid w:val="00227894"/>
    <w:rsid w:val="00227F40"/>
    <w:rsid w:val="002303B9"/>
    <w:rsid w:val="00230D5E"/>
    <w:rsid w:val="00232B05"/>
    <w:rsid w:val="002336C3"/>
    <w:rsid w:val="0023418B"/>
    <w:rsid w:val="00234389"/>
    <w:rsid w:val="002346A8"/>
    <w:rsid w:val="00235217"/>
    <w:rsid w:val="002358E0"/>
    <w:rsid w:val="0023592D"/>
    <w:rsid w:val="00235CB8"/>
    <w:rsid w:val="0023707C"/>
    <w:rsid w:val="00237D8C"/>
    <w:rsid w:val="002442CE"/>
    <w:rsid w:val="002458AD"/>
    <w:rsid w:val="00245F36"/>
    <w:rsid w:val="00246565"/>
    <w:rsid w:val="00246D1F"/>
    <w:rsid w:val="00246E1E"/>
    <w:rsid w:val="00247403"/>
    <w:rsid w:val="00247542"/>
    <w:rsid w:val="00247CE1"/>
    <w:rsid w:val="0025041B"/>
    <w:rsid w:val="00250E4F"/>
    <w:rsid w:val="0025115A"/>
    <w:rsid w:val="002523EE"/>
    <w:rsid w:val="00252E65"/>
    <w:rsid w:val="00253AAD"/>
    <w:rsid w:val="00254607"/>
    <w:rsid w:val="00256467"/>
    <w:rsid w:val="00260B7B"/>
    <w:rsid w:val="00261048"/>
    <w:rsid w:val="002610C6"/>
    <w:rsid w:val="00261E95"/>
    <w:rsid w:val="002644A5"/>
    <w:rsid w:val="0026457D"/>
    <w:rsid w:val="00264A2C"/>
    <w:rsid w:val="00266918"/>
    <w:rsid w:val="00266B61"/>
    <w:rsid w:val="0026712A"/>
    <w:rsid w:val="002704DB"/>
    <w:rsid w:val="0027308C"/>
    <w:rsid w:val="00273A72"/>
    <w:rsid w:val="00276651"/>
    <w:rsid w:val="00276DF8"/>
    <w:rsid w:val="002777AF"/>
    <w:rsid w:val="00277CAA"/>
    <w:rsid w:val="00277EF9"/>
    <w:rsid w:val="002827DD"/>
    <w:rsid w:val="0028333A"/>
    <w:rsid w:val="0028445A"/>
    <w:rsid w:val="0028739E"/>
    <w:rsid w:val="00287D7C"/>
    <w:rsid w:val="002930E7"/>
    <w:rsid w:val="002930E8"/>
    <w:rsid w:val="002931C7"/>
    <w:rsid w:val="00293288"/>
    <w:rsid w:val="0029494F"/>
    <w:rsid w:val="00294DBE"/>
    <w:rsid w:val="002954A7"/>
    <w:rsid w:val="00297397"/>
    <w:rsid w:val="002974E6"/>
    <w:rsid w:val="002975D0"/>
    <w:rsid w:val="002A0AAE"/>
    <w:rsid w:val="002A1543"/>
    <w:rsid w:val="002A30EC"/>
    <w:rsid w:val="002A454E"/>
    <w:rsid w:val="002A50F4"/>
    <w:rsid w:val="002A52B1"/>
    <w:rsid w:val="002A5820"/>
    <w:rsid w:val="002A60A9"/>
    <w:rsid w:val="002A7A06"/>
    <w:rsid w:val="002B0794"/>
    <w:rsid w:val="002B365A"/>
    <w:rsid w:val="002B36FA"/>
    <w:rsid w:val="002B49F4"/>
    <w:rsid w:val="002B4F5D"/>
    <w:rsid w:val="002B5753"/>
    <w:rsid w:val="002B5F74"/>
    <w:rsid w:val="002C02E7"/>
    <w:rsid w:val="002C1770"/>
    <w:rsid w:val="002C1E98"/>
    <w:rsid w:val="002C2057"/>
    <w:rsid w:val="002C2F20"/>
    <w:rsid w:val="002C4941"/>
    <w:rsid w:val="002C5569"/>
    <w:rsid w:val="002C6D80"/>
    <w:rsid w:val="002C7052"/>
    <w:rsid w:val="002C7659"/>
    <w:rsid w:val="002D1198"/>
    <w:rsid w:val="002D2B26"/>
    <w:rsid w:val="002D4F04"/>
    <w:rsid w:val="002D568E"/>
    <w:rsid w:val="002D6F26"/>
    <w:rsid w:val="002D7426"/>
    <w:rsid w:val="002D7579"/>
    <w:rsid w:val="002D7BE0"/>
    <w:rsid w:val="002D7EA2"/>
    <w:rsid w:val="002E1162"/>
    <w:rsid w:val="002E13F0"/>
    <w:rsid w:val="002E187C"/>
    <w:rsid w:val="002E3F66"/>
    <w:rsid w:val="002E424D"/>
    <w:rsid w:val="002E4628"/>
    <w:rsid w:val="002E4AEA"/>
    <w:rsid w:val="002E6C01"/>
    <w:rsid w:val="002F0AD2"/>
    <w:rsid w:val="002F28B2"/>
    <w:rsid w:val="002F5DFC"/>
    <w:rsid w:val="002F732F"/>
    <w:rsid w:val="002F7E42"/>
    <w:rsid w:val="00300713"/>
    <w:rsid w:val="00300A6B"/>
    <w:rsid w:val="00301845"/>
    <w:rsid w:val="00301F63"/>
    <w:rsid w:val="003022F5"/>
    <w:rsid w:val="00302733"/>
    <w:rsid w:val="00303658"/>
    <w:rsid w:val="003039A1"/>
    <w:rsid w:val="003039BA"/>
    <w:rsid w:val="00303D52"/>
    <w:rsid w:val="00305F5D"/>
    <w:rsid w:val="0030688D"/>
    <w:rsid w:val="0030695E"/>
    <w:rsid w:val="00307636"/>
    <w:rsid w:val="00307ABC"/>
    <w:rsid w:val="00310C25"/>
    <w:rsid w:val="00311ECB"/>
    <w:rsid w:val="0031347F"/>
    <w:rsid w:val="003137A9"/>
    <w:rsid w:val="00314078"/>
    <w:rsid w:val="00314817"/>
    <w:rsid w:val="0031535D"/>
    <w:rsid w:val="003168F0"/>
    <w:rsid w:val="00316C4E"/>
    <w:rsid w:val="0031754B"/>
    <w:rsid w:val="0032057A"/>
    <w:rsid w:val="00320E99"/>
    <w:rsid w:val="00321426"/>
    <w:rsid w:val="00321430"/>
    <w:rsid w:val="00321B82"/>
    <w:rsid w:val="00321F19"/>
    <w:rsid w:val="00322445"/>
    <w:rsid w:val="00322590"/>
    <w:rsid w:val="003236CF"/>
    <w:rsid w:val="00326B3F"/>
    <w:rsid w:val="0033028D"/>
    <w:rsid w:val="00330340"/>
    <w:rsid w:val="0033169F"/>
    <w:rsid w:val="00331CB0"/>
    <w:rsid w:val="00333BA8"/>
    <w:rsid w:val="003348BC"/>
    <w:rsid w:val="00335AFB"/>
    <w:rsid w:val="00335CA2"/>
    <w:rsid w:val="00335F1B"/>
    <w:rsid w:val="00335FF1"/>
    <w:rsid w:val="003370D8"/>
    <w:rsid w:val="0034006D"/>
    <w:rsid w:val="00340605"/>
    <w:rsid w:val="00340D03"/>
    <w:rsid w:val="00340E54"/>
    <w:rsid w:val="0034119E"/>
    <w:rsid w:val="00341CA2"/>
    <w:rsid w:val="00342F55"/>
    <w:rsid w:val="003459BE"/>
    <w:rsid w:val="00346C95"/>
    <w:rsid w:val="00350E61"/>
    <w:rsid w:val="00353A77"/>
    <w:rsid w:val="00354ABA"/>
    <w:rsid w:val="00354FFE"/>
    <w:rsid w:val="00355E4C"/>
    <w:rsid w:val="00356185"/>
    <w:rsid w:val="00360380"/>
    <w:rsid w:val="00360768"/>
    <w:rsid w:val="003611C3"/>
    <w:rsid w:val="00361415"/>
    <w:rsid w:val="003642D4"/>
    <w:rsid w:val="00365872"/>
    <w:rsid w:val="003658D2"/>
    <w:rsid w:val="00365B47"/>
    <w:rsid w:val="0036601A"/>
    <w:rsid w:val="00366071"/>
    <w:rsid w:val="00367F94"/>
    <w:rsid w:val="003709FF"/>
    <w:rsid w:val="00370BB0"/>
    <w:rsid w:val="00371B1A"/>
    <w:rsid w:val="003727A5"/>
    <w:rsid w:val="0037519E"/>
    <w:rsid w:val="00375789"/>
    <w:rsid w:val="003804FF"/>
    <w:rsid w:val="00380A68"/>
    <w:rsid w:val="0038111F"/>
    <w:rsid w:val="00381E00"/>
    <w:rsid w:val="0038377C"/>
    <w:rsid w:val="003845FF"/>
    <w:rsid w:val="0038499C"/>
    <w:rsid w:val="00386CF0"/>
    <w:rsid w:val="003876BA"/>
    <w:rsid w:val="003933BA"/>
    <w:rsid w:val="003934AF"/>
    <w:rsid w:val="00393C45"/>
    <w:rsid w:val="00395E4F"/>
    <w:rsid w:val="003A16C2"/>
    <w:rsid w:val="003A2911"/>
    <w:rsid w:val="003A3E7D"/>
    <w:rsid w:val="003A479B"/>
    <w:rsid w:val="003A60ED"/>
    <w:rsid w:val="003A7095"/>
    <w:rsid w:val="003B02B5"/>
    <w:rsid w:val="003B048D"/>
    <w:rsid w:val="003B108D"/>
    <w:rsid w:val="003B1101"/>
    <w:rsid w:val="003B18C3"/>
    <w:rsid w:val="003B37A6"/>
    <w:rsid w:val="003B7472"/>
    <w:rsid w:val="003C044C"/>
    <w:rsid w:val="003C14BA"/>
    <w:rsid w:val="003C3445"/>
    <w:rsid w:val="003C3E99"/>
    <w:rsid w:val="003C5BFB"/>
    <w:rsid w:val="003C6534"/>
    <w:rsid w:val="003C676B"/>
    <w:rsid w:val="003C7CF8"/>
    <w:rsid w:val="003D0701"/>
    <w:rsid w:val="003D143B"/>
    <w:rsid w:val="003D22A2"/>
    <w:rsid w:val="003D282C"/>
    <w:rsid w:val="003D2C42"/>
    <w:rsid w:val="003D338A"/>
    <w:rsid w:val="003D397C"/>
    <w:rsid w:val="003D3BC2"/>
    <w:rsid w:val="003D4646"/>
    <w:rsid w:val="003D562A"/>
    <w:rsid w:val="003D67C7"/>
    <w:rsid w:val="003D7C03"/>
    <w:rsid w:val="003D7DF7"/>
    <w:rsid w:val="003E0D72"/>
    <w:rsid w:val="003E1769"/>
    <w:rsid w:val="003E21DA"/>
    <w:rsid w:val="003E3140"/>
    <w:rsid w:val="003E3E80"/>
    <w:rsid w:val="003E432F"/>
    <w:rsid w:val="003E6AFB"/>
    <w:rsid w:val="003E6CA1"/>
    <w:rsid w:val="003E7468"/>
    <w:rsid w:val="003E77A0"/>
    <w:rsid w:val="003F0C2F"/>
    <w:rsid w:val="003F11F7"/>
    <w:rsid w:val="003F1CB1"/>
    <w:rsid w:val="003F2B27"/>
    <w:rsid w:val="003F5C45"/>
    <w:rsid w:val="003F5F64"/>
    <w:rsid w:val="003F6905"/>
    <w:rsid w:val="003F7072"/>
    <w:rsid w:val="004000FF"/>
    <w:rsid w:val="004005B7"/>
    <w:rsid w:val="00404C5E"/>
    <w:rsid w:val="00405479"/>
    <w:rsid w:val="00406B13"/>
    <w:rsid w:val="00407A0D"/>
    <w:rsid w:val="004108D7"/>
    <w:rsid w:val="004129A2"/>
    <w:rsid w:val="004129B6"/>
    <w:rsid w:val="00412A92"/>
    <w:rsid w:val="00413910"/>
    <w:rsid w:val="00414D10"/>
    <w:rsid w:val="00414E7B"/>
    <w:rsid w:val="00415DAC"/>
    <w:rsid w:val="00415EFC"/>
    <w:rsid w:val="00416011"/>
    <w:rsid w:val="004163BD"/>
    <w:rsid w:val="004165C2"/>
    <w:rsid w:val="00416E06"/>
    <w:rsid w:val="00420E96"/>
    <w:rsid w:val="00422A55"/>
    <w:rsid w:val="0042417B"/>
    <w:rsid w:val="00424303"/>
    <w:rsid w:val="00426114"/>
    <w:rsid w:val="00430E75"/>
    <w:rsid w:val="0043349E"/>
    <w:rsid w:val="00433645"/>
    <w:rsid w:val="00434B99"/>
    <w:rsid w:val="00434DA4"/>
    <w:rsid w:val="00435A88"/>
    <w:rsid w:val="00435AB1"/>
    <w:rsid w:val="00435B27"/>
    <w:rsid w:val="00435C7B"/>
    <w:rsid w:val="00436343"/>
    <w:rsid w:val="00437655"/>
    <w:rsid w:val="00437C4E"/>
    <w:rsid w:val="004406BC"/>
    <w:rsid w:val="00440CAC"/>
    <w:rsid w:val="00441ECB"/>
    <w:rsid w:val="00442DDA"/>
    <w:rsid w:val="0044602D"/>
    <w:rsid w:val="004463F1"/>
    <w:rsid w:val="00446BB5"/>
    <w:rsid w:val="00447B95"/>
    <w:rsid w:val="00452F9C"/>
    <w:rsid w:val="00453E67"/>
    <w:rsid w:val="00453FDC"/>
    <w:rsid w:val="004550CF"/>
    <w:rsid w:val="00456557"/>
    <w:rsid w:val="004568B3"/>
    <w:rsid w:val="0045696B"/>
    <w:rsid w:val="004603D1"/>
    <w:rsid w:val="0046045F"/>
    <w:rsid w:val="00461549"/>
    <w:rsid w:val="00464017"/>
    <w:rsid w:val="00466729"/>
    <w:rsid w:val="00467B7E"/>
    <w:rsid w:val="00472F52"/>
    <w:rsid w:val="004736BD"/>
    <w:rsid w:val="004763B2"/>
    <w:rsid w:val="00477142"/>
    <w:rsid w:val="00477555"/>
    <w:rsid w:val="00477592"/>
    <w:rsid w:val="0048057F"/>
    <w:rsid w:val="00480B6B"/>
    <w:rsid w:val="00480BEF"/>
    <w:rsid w:val="004812B2"/>
    <w:rsid w:val="00481431"/>
    <w:rsid w:val="0048240A"/>
    <w:rsid w:val="00482EC8"/>
    <w:rsid w:val="00482F59"/>
    <w:rsid w:val="00483238"/>
    <w:rsid w:val="00486AEE"/>
    <w:rsid w:val="00486F1C"/>
    <w:rsid w:val="00487F34"/>
    <w:rsid w:val="004909DF"/>
    <w:rsid w:val="0049147E"/>
    <w:rsid w:val="00492106"/>
    <w:rsid w:val="00492505"/>
    <w:rsid w:val="00493078"/>
    <w:rsid w:val="0049419D"/>
    <w:rsid w:val="004952D6"/>
    <w:rsid w:val="00495792"/>
    <w:rsid w:val="004A0424"/>
    <w:rsid w:val="004A07F5"/>
    <w:rsid w:val="004A0C69"/>
    <w:rsid w:val="004A2393"/>
    <w:rsid w:val="004A2E16"/>
    <w:rsid w:val="004A6D58"/>
    <w:rsid w:val="004B0DCF"/>
    <w:rsid w:val="004B163A"/>
    <w:rsid w:val="004B2719"/>
    <w:rsid w:val="004B574B"/>
    <w:rsid w:val="004B65F2"/>
    <w:rsid w:val="004B794F"/>
    <w:rsid w:val="004C16FE"/>
    <w:rsid w:val="004C20D2"/>
    <w:rsid w:val="004C2682"/>
    <w:rsid w:val="004C2AA1"/>
    <w:rsid w:val="004C334A"/>
    <w:rsid w:val="004C3684"/>
    <w:rsid w:val="004C3D8C"/>
    <w:rsid w:val="004C4B62"/>
    <w:rsid w:val="004C54C9"/>
    <w:rsid w:val="004C5B5C"/>
    <w:rsid w:val="004C6DB0"/>
    <w:rsid w:val="004C7759"/>
    <w:rsid w:val="004C790D"/>
    <w:rsid w:val="004D026A"/>
    <w:rsid w:val="004D195F"/>
    <w:rsid w:val="004D2209"/>
    <w:rsid w:val="004D2720"/>
    <w:rsid w:val="004D2971"/>
    <w:rsid w:val="004D46D1"/>
    <w:rsid w:val="004D6025"/>
    <w:rsid w:val="004D617E"/>
    <w:rsid w:val="004D6618"/>
    <w:rsid w:val="004D7567"/>
    <w:rsid w:val="004E045E"/>
    <w:rsid w:val="004E04B6"/>
    <w:rsid w:val="004E0972"/>
    <w:rsid w:val="004E2649"/>
    <w:rsid w:val="004E2AAB"/>
    <w:rsid w:val="004E4142"/>
    <w:rsid w:val="004E4A6F"/>
    <w:rsid w:val="004E4F8A"/>
    <w:rsid w:val="004E5C74"/>
    <w:rsid w:val="004E64BA"/>
    <w:rsid w:val="004E755C"/>
    <w:rsid w:val="004F072B"/>
    <w:rsid w:val="004F0BE3"/>
    <w:rsid w:val="004F2C35"/>
    <w:rsid w:val="004F2CFC"/>
    <w:rsid w:val="004F2DEE"/>
    <w:rsid w:val="004F2FF6"/>
    <w:rsid w:val="004F3A2D"/>
    <w:rsid w:val="004F47A6"/>
    <w:rsid w:val="004F627D"/>
    <w:rsid w:val="004F62C6"/>
    <w:rsid w:val="004F707A"/>
    <w:rsid w:val="004F7D09"/>
    <w:rsid w:val="00500FF9"/>
    <w:rsid w:val="00501134"/>
    <w:rsid w:val="00501399"/>
    <w:rsid w:val="005021C1"/>
    <w:rsid w:val="00504EEF"/>
    <w:rsid w:val="005055A1"/>
    <w:rsid w:val="005061F4"/>
    <w:rsid w:val="0050633D"/>
    <w:rsid w:val="00506A7F"/>
    <w:rsid w:val="00507BC4"/>
    <w:rsid w:val="00507E86"/>
    <w:rsid w:val="0051090A"/>
    <w:rsid w:val="005116F7"/>
    <w:rsid w:val="005128E4"/>
    <w:rsid w:val="00512FA7"/>
    <w:rsid w:val="005133DB"/>
    <w:rsid w:val="00513B4F"/>
    <w:rsid w:val="00513F4C"/>
    <w:rsid w:val="005153D1"/>
    <w:rsid w:val="00515CC8"/>
    <w:rsid w:val="00520048"/>
    <w:rsid w:val="00520FCF"/>
    <w:rsid w:val="00521BFB"/>
    <w:rsid w:val="0052374A"/>
    <w:rsid w:val="00525560"/>
    <w:rsid w:val="00526C23"/>
    <w:rsid w:val="00526DA6"/>
    <w:rsid w:val="00526FA2"/>
    <w:rsid w:val="005328CA"/>
    <w:rsid w:val="005354F3"/>
    <w:rsid w:val="00535FC3"/>
    <w:rsid w:val="00536481"/>
    <w:rsid w:val="00536923"/>
    <w:rsid w:val="00536B41"/>
    <w:rsid w:val="005379A3"/>
    <w:rsid w:val="005400D0"/>
    <w:rsid w:val="00540526"/>
    <w:rsid w:val="00540E49"/>
    <w:rsid w:val="00541D4F"/>
    <w:rsid w:val="00542A07"/>
    <w:rsid w:val="005430CE"/>
    <w:rsid w:val="0054310E"/>
    <w:rsid w:val="00543C44"/>
    <w:rsid w:val="005442A5"/>
    <w:rsid w:val="00544C49"/>
    <w:rsid w:val="00550A9A"/>
    <w:rsid w:val="00550CF0"/>
    <w:rsid w:val="005516A1"/>
    <w:rsid w:val="005516A7"/>
    <w:rsid w:val="00554998"/>
    <w:rsid w:val="00555094"/>
    <w:rsid w:val="005550B4"/>
    <w:rsid w:val="00557035"/>
    <w:rsid w:val="00561088"/>
    <w:rsid w:val="00562877"/>
    <w:rsid w:val="00563E67"/>
    <w:rsid w:val="00564C76"/>
    <w:rsid w:val="00565744"/>
    <w:rsid w:val="005657A6"/>
    <w:rsid w:val="00573BBB"/>
    <w:rsid w:val="0057402A"/>
    <w:rsid w:val="005753F7"/>
    <w:rsid w:val="00576B6A"/>
    <w:rsid w:val="00576C7B"/>
    <w:rsid w:val="005771D0"/>
    <w:rsid w:val="00577593"/>
    <w:rsid w:val="00577BE2"/>
    <w:rsid w:val="005812D5"/>
    <w:rsid w:val="0058214B"/>
    <w:rsid w:val="005852B1"/>
    <w:rsid w:val="00591389"/>
    <w:rsid w:val="0059191A"/>
    <w:rsid w:val="005921FF"/>
    <w:rsid w:val="0059341D"/>
    <w:rsid w:val="005937F1"/>
    <w:rsid w:val="00595C1D"/>
    <w:rsid w:val="0059674D"/>
    <w:rsid w:val="005974E6"/>
    <w:rsid w:val="005979B4"/>
    <w:rsid w:val="005A4E14"/>
    <w:rsid w:val="005A5558"/>
    <w:rsid w:val="005A5BC1"/>
    <w:rsid w:val="005A6D0E"/>
    <w:rsid w:val="005B18D8"/>
    <w:rsid w:val="005B1CC7"/>
    <w:rsid w:val="005B21FB"/>
    <w:rsid w:val="005B28BF"/>
    <w:rsid w:val="005B3C55"/>
    <w:rsid w:val="005B4984"/>
    <w:rsid w:val="005B52B0"/>
    <w:rsid w:val="005B6806"/>
    <w:rsid w:val="005C05D7"/>
    <w:rsid w:val="005C1D24"/>
    <w:rsid w:val="005C3257"/>
    <w:rsid w:val="005C4225"/>
    <w:rsid w:val="005C4641"/>
    <w:rsid w:val="005C4CA5"/>
    <w:rsid w:val="005C78ED"/>
    <w:rsid w:val="005D02B6"/>
    <w:rsid w:val="005D0DB1"/>
    <w:rsid w:val="005D10E6"/>
    <w:rsid w:val="005D26D6"/>
    <w:rsid w:val="005D4463"/>
    <w:rsid w:val="005D55B0"/>
    <w:rsid w:val="005D5CA3"/>
    <w:rsid w:val="005D6589"/>
    <w:rsid w:val="005D74C7"/>
    <w:rsid w:val="005E0729"/>
    <w:rsid w:val="005E1831"/>
    <w:rsid w:val="005E1BB7"/>
    <w:rsid w:val="005E235A"/>
    <w:rsid w:val="005E2561"/>
    <w:rsid w:val="005E3212"/>
    <w:rsid w:val="005E6990"/>
    <w:rsid w:val="005E6E72"/>
    <w:rsid w:val="005E793B"/>
    <w:rsid w:val="005F08FE"/>
    <w:rsid w:val="005F0D59"/>
    <w:rsid w:val="005F0DAD"/>
    <w:rsid w:val="005F0F33"/>
    <w:rsid w:val="005F1537"/>
    <w:rsid w:val="005F26AE"/>
    <w:rsid w:val="005F309E"/>
    <w:rsid w:val="005F6EA3"/>
    <w:rsid w:val="005F7778"/>
    <w:rsid w:val="00600DEB"/>
    <w:rsid w:val="00601644"/>
    <w:rsid w:val="00602A5B"/>
    <w:rsid w:val="006077BB"/>
    <w:rsid w:val="00610E23"/>
    <w:rsid w:val="006125C3"/>
    <w:rsid w:val="00612E59"/>
    <w:rsid w:val="0061479E"/>
    <w:rsid w:val="0061603E"/>
    <w:rsid w:val="00617DB6"/>
    <w:rsid w:val="006205CE"/>
    <w:rsid w:val="00622E6E"/>
    <w:rsid w:val="00623EBA"/>
    <w:rsid w:val="006240AD"/>
    <w:rsid w:val="006256E6"/>
    <w:rsid w:val="00625FF3"/>
    <w:rsid w:val="00626B32"/>
    <w:rsid w:val="00627C9F"/>
    <w:rsid w:val="00631105"/>
    <w:rsid w:val="006311E9"/>
    <w:rsid w:val="00631811"/>
    <w:rsid w:val="00631F0B"/>
    <w:rsid w:val="00632354"/>
    <w:rsid w:val="00632B11"/>
    <w:rsid w:val="0063547C"/>
    <w:rsid w:val="00636CB2"/>
    <w:rsid w:val="006374FD"/>
    <w:rsid w:val="00640082"/>
    <w:rsid w:val="006406C7"/>
    <w:rsid w:val="00641D9E"/>
    <w:rsid w:val="00642810"/>
    <w:rsid w:val="00646627"/>
    <w:rsid w:val="00647044"/>
    <w:rsid w:val="00647689"/>
    <w:rsid w:val="0065055D"/>
    <w:rsid w:val="006512A0"/>
    <w:rsid w:val="00651745"/>
    <w:rsid w:val="00652102"/>
    <w:rsid w:val="00652333"/>
    <w:rsid w:val="006533CE"/>
    <w:rsid w:val="00654F87"/>
    <w:rsid w:val="00655465"/>
    <w:rsid w:val="00655F68"/>
    <w:rsid w:val="00656196"/>
    <w:rsid w:val="006600F3"/>
    <w:rsid w:val="00661534"/>
    <w:rsid w:val="0066161E"/>
    <w:rsid w:val="00664E1E"/>
    <w:rsid w:val="00664FD0"/>
    <w:rsid w:val="006672BF"/>
    <w:rsid w:val="00670DE1"/>
    <w:rsid w:val="00670FA1"/>
    <w:rsid w:val="0067211B"/>
    <w:rsid w:val="00674B6A"/>
    <w:rsid w:val="00674F14"/>
    <w:rsid w:val="006766A4"/>
    <w:rsid w:val="00677501"/>
    <w:rsid w:val="00677FB0"/>
    <w:rsid w:val="0068009E"/>
    <w:rsid w:val="006805EE"/>
    <w:rsid w:val="006806F5"/>
    <w:rsid w:val="00680A5D"/>
    <w:rsid w:val="00680BBC"/>
    <w:rsid w:val="006814D4"/>
    <w:rsid w:val="00682194"/>
    <w:rsid w:val="0068465B"/>
    <w:rsid w:val="00684D10"/>
    <w:rsid w:val="00684FF8"/>
    <w:rsid w:val="0068525A"/>
    <w:rsid w:val="00685B50"/>
    <w:rsid w:val="006861E0"/>
    <w:rsid w:val="00686674"/>
    <w:rsid w:val="006909AE"/>
    <w:rsid w:val="00690A56"/>
    <w:rsid w:val="00692219"/>
    <w:rsid w:val="00692D6E"/>
    <w:rsid w:val="00693542"/>
    <w:rsid w:val="00693C04"/>
    <w:rsid w:val="00693D3B"/>
    <w:rsid w:val="00694CD9"/>
    <w:rsid w:val="006976E3"/>
    <w:rsid w:val="006A1709"/>
    <w:rsid w:val="006A17D2"/>
    <w:rsid w:val="006A23C8"/>
    <w:rsid w:val="006A2E0C"/>
    <w:rsid w:val="006A4B39"/>
    <w:rsid w:val="006A5B8C"/>
    <w:rsid w:val="006A73E6"/>
    <w:rsid w:val="006A7649"/>
    <w:rsid w:val="006B0D5D"/>
    <w:rsid w:val="006B254D"/>
    <w:rsid w:val="006B2D5C"/>
    <w:rsid w:val="006B4D40"/>
    <w:rsid w:val="006B7F2D"/>
    <w:rsid w:val="006C062E"/>
    <w:rsid w:val="006C1A20"/>
    <w:rsid w:val="006C2ADE"/>
    <w:rsid w:val="006C2BF5"/>
    <w:rsid w:val="006C4EB1"/>
    <w:rsid w:val="006C6B1D"/>
    <w:rsid w:val="006C7479"/>
    <w:rsid w:val="006D15BF"/>
    <w:rsid w:val="006D1DFD"/>
    <w:rsid w:val="006D207D"/>
    <w:rsid w:val="006D253D"/>
    <w:rsid w:val="006D4B6F"/>
    <w:rsid w:val="006D5F0B"/>
    <w:rsid w:val="006E0166"/>
    <w:rsid w:val="006E18F4"/>
    <w:rsid w:val="006E2294"/>
    <w:rsid w:val="006E22FE"/>
    <w:rsid w:val="006E3301"/>
    <w:rsid w:val="006E4525"/>
    <w:rsid w:val="006E5A5A"/>
    <w:rsid w:val="006E79DD"/>
    <w:rsid w:val="006E7B34"/>
    <w:rsid w:val="006F1237"/>
    <w:rsid w:val="006F1292"/>
    <w:rsid w:val="006F6A9E"/>
    <w:rsid w:val="00700167"/>
    <w:rsid w:val="00700CDA"/>
    <w:rsid w:val="0070191D"/>
    <w:rsid w:val="0070205E"/>
    <w:rsid w:val="007024EC"/>
    <w:rsid w:val="00703244"/>
    <w:rsid w:val="007033A5"/>
    <w:rsid w:val="007042D0"/>
    <w:rsid w:val="00705794"/>
    <w:rsid w:val="0070697F"/>
    <w:rsid w:val="00711999"/>
    <w:rsid w:val="00712358"/>
    <w:rsid w:val="00714E10"/>
    <w:rsid w:val="00715B14"/>
    <w:rsid w:val="00715F22"/>
    <w:rsid w:val="007164E9"/>
    <w:rsid w:val="007165D2"/>
    <w:rsid w:val="007206AA"/>
    <w:rsid w:val="00720C9E"/>
    <w:rsid w:val="0072199C"/>
    <w:rsid w:val="0072229D"/>
    <w:rsid w:val="00722C9F"/>
    <w:rsid w:val="00723C9A"/>
    <w:rsid w:val="007243B6"/>
    <w:rsid w:val="007253B8"/>
    <w:rsid w:val="00726A33"/>
    <w:rsid w:val="007319F5"/>
    <w:rsid w:val="00731BA7"/>
    <w:rsid w:val="00733C50"/>
    <w:rsid w:val="0073631B"/>
    <w:rsid w:val="0073741F"/>
    <w:rsid w:val="0074092E"/>
    <w:rsid w:val="00740EFE"/>
    <w:rsid w:val="00740F6B"/>
    <w:rsid w:val="00741659"/>
    <w:rsid w:val="00741981"/>
    <w:rsid w:val="00741DF9"/>
    <w:rsid w:val="00742B54"/>
    <w:rsid w:val="00744BD4"/>
    <w:rsid w:val="00746CB6"/>
    <w:rsid w:val="007528B6"/>
    <w:rsid w:val="007539ED"/>
    <w:rsid w:val="00753B0A"/>
    <w:rsid w:val="0075433F"/>
    <w:rsid w:val="00754EEB"/>
    <w:rsid w:val="007574CB"/>
    <w:rsid w:val="00757ED7"/>
    <w:rsid w:val="007600B8"/>
    <w:rsid w:val="007611F9"/>
    <w:rsid w:val="007633C3"/>
    <w:rsid w:val="007636CB"/>
    <w:rsid w:val="00764728"/>
    <w:rsid w:val="007655B8"/>
    <w:rsid w:val="00766297"/>
    <w:rsid w:val="0076643F"/>
    <w:rsid w:val="00766BD8"/>
    <w:rsid w:val="00770E2D"/>
    <w:rsid w:val="007746E1"/>
    <w:rsid w:val="00774BE4"/>
    <w:rsid w:val="0077557F"/>
    <w:rsid w:val="00776B4C"/>
    <w:rsid w:val="007772DD"/>
    <w:rsid w:val="00777F63"/>
    <w:rsid w:val="0078028D"/>
    <w:rsid w:val="0078128C"/>
    <w:rsid w:val="00782D17"/>
    <w:rsid w:val="00784988"/>
    <w:rsid w:val="00784CF2"/>
    <w:rsid w:val="007851B2"/>
    <w:rsid w:val="00785A4D"/>
    <w:rsid w:val="00785E3B"/>
    <w:rsid w:val="00790062"/>
    <w:rsid w:val="00791F70"/>
    <w:rsid w:val="007924C9"/>
    <w:rsid w:val="00796479"/>
    <w:rsid w:val="0079667B"/>
    <w:rsid w:val="00796FC1"/>
    <w:rsid w:val="007A1866"/>
    <w:rsid w:val="007A1DC1"/>
    <w:rsid w:val="007A2F58"/>
    <w:rsid w:val="007A32AA"/>
    <w:rsid w:val="007A4C89"/>
    <w:rsid w:val="007A5817"/>
    <w:rsid w:val="007A5CF8"/>
    <w:rsid w:val="007A62B0"/>
    <w:rsid w:val="007A6661"/>
    <w:rsid w:val="007A7ED8"/>
    <w:rsid w:val="007B02A8"/>
    <w:rsid w:val="007B0E3B"/>
    <w:rsid w:val="007B4C2A"/>
    <w:rsid w:val="007B4C2D"/>
    <w:rsid w:val="007B51EF"/>
    <w:rsid w:val="007B5F10"/>
    <w:rsid w:val="007B60E9"/>
    <w:rsid w:val="007B6B76"/>
    <w:rsid w:val="007B6CC3"/>
    <w:rsid w:val="007B79F6"/>
    <w:rsid w:val="007C0408"/>
    <w:rsid w:val="007C0B99"/>
    <w:rsid w:val="007C1351"/>
    <w:rsid w:val="007C1FC5"/>
    <w:rsid w:val="007C2622"/>
    <w:rsid w:val="007C3334"/>
    <w:rsid w:val="007C3698"/>
    <w:rsid w:val="007C3746"/>
    <w:rsid w:val="007C3CD9"/>
    <w:rsid w:val="007C756A"/>
    <w:rsid w:val="007D1CB0"/>
    <w:rsid w:val="007D1D75"/>
    <w:rsid w:val="007D2B98"/>
    <w:rsid w:val="007D306A"/>
    <w:rsid w:val="007D3917"/>
    <w:rsid w:val="007D3C33"/>
    <w:rsid w:val="007D4934"/>
    <w:rsid w:val="007D6B9C"/>
    <w:rsid w:val="007E05BE"/>
    <w:rsid w:val="007E0822"/>
    <w:rsid w:val="007E13D9"/>
    <w:rsid w:val="007E17AB"/>
    <w:rsid w:val="007E21BC"/>
    <w:rsid w:val="007E5F0B"/>
    <w:rsid w:val="007E6879"/>
    <w:rsid w:val="007E7F0A"/>
    <w:rsid w:val="007F07F9"/>
    <w:rsid w:val="007F18A7"/>
    <w:rsid w:val="007F41EC"/>
    <w:rsid w:val="007F4518"/>
    <w:rsid w:val="007F6058"/>
    <w:rsid w:val="007F6AE2"/>
    <w:rsid w:val="007F7E9A"/>
    <w:rsid w:val="008004B0"/>
    <w:rsid w:val="00801C16"/>
    <w:rsid w:val="00802AE1"/>
    <w:rsid w:val="00803F1C"/>
    <w:rsid w:val="0080600E"/>
    <w:rsid w:val="00806F5D"/>
    <w:rsid w:val="0081030E"/>
    <w:rsid w:val="00810F90"/>
    <w:rsid w:val="00813F75"/>
    <w:rsid w:val="00815021"/>
    <w:rsid w:val="00815A68"/>
    <w:rsid w:val="00816486"/>
    <w:rsid w:val="008173EA"/>
    <w:rsid w:val="00817519"/>
    <w:rsid w:val="00817612"/>
    <w:rsid w:val="00817F2B"/>
    <w:rsid w:val="008203B8"/>
    <w:rsid w:val="008217E6"/>
    <w:rsid w:val="0082254F"/>
    <w:rsid w:val="00822902"/>
    <w:rsid w:val="0082323B"/>
    <w:rsid w:val="00824A8F"/>
    <w:rsid w:val="0082503C"/>
    <w:rsid w:val="00825D06"/>
    <w:rsid w:val="008261C4"/>
    <w:rsid w:val="008266A7"/>
    <w:rsid w:val="00826C78"/>
    <w:rsid w:val="00827725"/>
    <w:rsid w:val="00830B6F"/>
    <w:rsid w:val="00832560"/>
    <w:rsid w:val="0083379C"/>
    <w:rsid w:val="008338A4"/>
    <w:rsid w:val="00833E6E"/>
    <w:rsid w:val="00833FB9"/>
    <w:rsid w:val="00834779"/>
    <w:rsid w:val="00837C45"/>
    <w:rsid w:val="008408FB"/>
    <w:rsid w:val="00841453"/>
    <w:rsid w:val="008415CB"/>
    <w:rsid w:val="00841EB5"/>
    <w:rsid w:val="00842ECC"/>
    <w:rsid w:val="00842F04"/>
    <w:rsid w:val="00844730"/>
    <w:rsid w:val="008457C2"/>
    <w:rsid w:val="008457FB"/>
    <w:rsid w:val="00845F48"/>
    <w:rsid w:val="00846997"/>
    <w:rsid w:val="00846ECB"/>
    <w:rsid w:val="008507AC"/>
    <w:rsid w:val="0085166A"/>
    <w:rsid w:val="00851B73"/>
    <w:rsid w:val="00852057"/>
    <w:rsid w:val="008530C4"/>
    <w:rsid w:val="008551E5"/>
    <w:rsid w:val="008561C6"/>
    <w:rsid w:val="00856A1C"/>
    <w:rsid w:val="00856A8D"/>
    <w:rsid w:val="00857A82"/>
    <w:rsid w:val="008628D6"/>
    <w:rsid w:val="00862E47"/>
    <w:rsid w:val="00863B30"/>
    <w:rsid w:val="00864049"/>
    <w:rsid w:val="00864698"/>
    <w:rsid w:val="0086613B"/>
    <w:rsid w:val="00867E5C"/>
    <w:rsid w:val="0087097A"/>
    <w:rsid w:val="0087099A"/>
    <w:rsid w:val="00870D1C"/>
    <w:rsid w:val="008715C3"/>
    <w:rsid w:val="00872270"/>
    <w:rsid w:val="008727D1"/>
    <w:rsid w:val="00872CD3"/>
    <w:rsid w:val="00873836"/>
    <w:rsid w:val="00874030"/>
    <w:rsid w:val="0087430C"/>
    <w:rsid w:val="00874E33"/>
    <w:rsid w:val="008750D8"/>
    <w:rsid w:val="008772BD"/>
    <w:rsid w:val="008825E2"/>
    <w:rsid w:val="0088395A"/>
    <w:rsid w:val="008847BB"/>
    <w:rsid w:val="00885737"/>
    <w:rsid w:val="00887109"/>
    <w:rsid w:val="00890650"/>
    <w:rsid w:val="00890EE0"/>
    <w:rsid w:val="008923DC"/>
    <w:rsid w:val="0089461E"/>
    <w:rsid w:val="0089537D"/>
    <w:rsid w:val="00895C42"/>
    <w:rsid w:val="008964E9"/>
    <w:rsid w:val="00897E12"/>
    <w:rsid w:val="008A114C"/>
    <w:rsid w:val="008A1B7B"/>
    <w:rsid w:val="008A2667"/>
    <w:rsid w:val="008A591D"/>
    <w:rsid w:val="008A7E0F"/>
    <w:rsid w:val="008B12F5"/>
    <w:rsid w:val="008B1546"/>
    <w:rsid w:val="008B19CC"/>
    <w:rsid w:val="008B3BC9"/>
    <w:rsid w:val="008B4C01"/>
    <w:rsid w:val="008B524A"/>
    <w:rsid w:val="008B6BC1"/>
    <w:rsid w:val="008B6BF0"/>
    <w:rsid w:val="008B7EAD"/>
    <w:rsid w:val="008C0C2A"/>
    <w:rsid w:val="008C1B5A"/>
    <w:rsid w:val="008C3098"/>
    <w:rsid w:val="008C4BE9"/>
    <w:rsid w:val="008C5FB3"/>
    <w:rsid w:val="008D18D0"/>
    <w:rsid w:val="008D40B7"/>
    <w:rsid w:val="008D4915"/>
    <w:rsid w:val="008D56FC"/>
    <w:rsid w:val="008D768D"/>
    <w:rsid w:val="008D7CFA"/>
    <w:rsid w:val="008E0A28"/>
    <w:rsid w:val="008E337F"/>
    <w:rsid w:val="008E3671"/>
    <w:rsid w:val="008E3759"/>
    <w:rsid w:val="008E639C"/>
    <w:rsid w:val="008E76B3"/>
    <w:rsid w:val="008E7BC6"/>
    <w:rsid w:val="008F1912"/>
    <w:rsid w:val="008F1B28"/>
    <w:rsid w:val="008F3E91"/>
    <w:rsid w:val="008F3F22"/>
    <w:rsid w:val="008F4544"/>
    <w:rsid w:val="008F584D"/>
    <w:rsid w:val="008F604B"/>
    <w:rsid w:val="008F6279"/>
    <w:rsid w:val="00900B78"/>
    <w:rsid w:val="009014A4"/>
    <w:rsid w:val="0090270B"/>
    <w:rsid w:val="009041DC"/>
    <w:rsid w:val="00905237"/>
    <w:rsid w:val="00906B8C"/>
    <w:rsid w:val="00907281"/>
    <w:rsid w:val="00907857"/>
    <w:rsid w:val="009078ED"/>
    <w:rsid w:val="00913054"/>
    <w:rsid w:val="00914DC2"/>
    <w:rsid w:val="0091628B"/>
    <w:rsid w:val="0091749F"/>
    <w:rsid w:val="00917B5A"/>
    <w:rsid w:val="00920A58"/>
    <w:rsid w:val="00920A8C"/>
    <w:rsid w:val="0092111F"/>
    <w:rsid w:val="009254D0"/>
    <w:rsid w:val="00925EB7"/>
    <w:rsid w:val="00927B0C"/>
    <w:rsid w:val="00930031"/>
    <w:rsid w:val="009310BA"/>
    <w:rsid w:val="00931655"/>
    <w:rsid w:val="00931921"/>
    <w:rsid w:val="00931EE8"/>
    <w:rsid w:val="00934A2C"/>
    <w:rsid w:val="00937C97"/>
    <w:rsid w:val="0094051D"/>
    <w:rsid w:val="0094392B"/>
    <w:rsid w:val="00945275"/>
    <w:rsid w:val="0094697D"/>
    <w:rsid w:val="00946DF3"/>
    <w:rsid w:val="009472EE"/>
    <w:rsid w:val="009512B8"/>
    <w:rsid w:val="00951CBC"/>
    <w:rsid w:val="00952404"/>
    <w:rsid w:val="009541DB"/>
    <w:rsid w:val="00955970"/>
    <w:rsid w:val="00955FF9"/>
    <w:rsid w:val="00956F00"/>
    <w:rsid w:val="009614E6"/>
    <w:rsid w:val="00961D88"/>
    <w:rsid w:val="009628CF"/>
    <w:rsid w:val="00965779"/>
    <w:rsid w:val="00966A5D"/>
    <w:rsid w:val="0096706E"/>
    <w:rsid w:val="00967EBF"/>
    <w:rsid w:val="00970C71"/>
    <w:rsid w:val="009727A2"/>
    <w:rsid w:val="009732DE"/>
    <w:rsid w:val="00973E21"/>
    <w:rsid w:val="0097520D"/>
    <w:rsid w:val="009756CD"/>
    <w:rsid w:val="00975C4E"/>
    <w:rsid w:val="00981FBA"/>
    <w:rsid w:val="00982727"/>
    <w:rsid w:val="00982ED5"/>
    <w:rsid w:val="0098466C"/>
    <w:rsid w:val="009849C2"/>
    <w:rsid w:val="00984C43"/>
    <w:rsid w:val="00986BA1"/>
    <w:rsid w:val="009873CB"/>
    <w:rsid w:val="00991D4A"/>
    <w:rsid w:val="009959EE"/>
    <w:rsid w:val="00995B10"/>
    <w:rsid w:val="00997BC5"/>
    <w:rsid w:val="009A0BE3"/>
    <w:rsid w:val="009A11E6"/>
    <w:rsid w:val="009A4133"/>
    <w:rsid w:val="009A4755"/>
    <w:rsid w:val="009A4F41"/>
    <w:rsid w:val="009A5227"/>
    <w:rsid w:val="009A69A0"/>
    <w:rsid w:val="009A6A59"/>
    <w:rsid w:val="009A6DC3"/>
    <w:rsid w:val="009A6FCE"/>
    <w:rsid w:val="009B1829"/>
    <w:rsid w:val="009B2A3A"/>
    <w:rsid w:val="009B2AF5"/>
    <w:rsid w:val="009B381B"/>
    <w:rsid w:val="009B432F"/>
    <w:rsid w:val="009B54C4"/>
    <w:rsid w:val="009C1BD2"/>
    <w:rsid w:val="009C4179"/>
    <w:rsid w:val="009C4298"/>
    <w:rsid w:val="009C4D7A"/>
    <w:rsid w:val="009C4EAA"/>
    <w:rsid w:val="009C4EE0"/>
    <w:rsid w:val="009C5684"/>
    <w:rsid w:val="009C5E1C"/>
    <w:rsid w:val="009C7286"/>
    <w:rsid w:val="009D10BD"/>
    <w:rsid w:val="009D1753"/>
    <w:rsid w:val="009D264C"/>
    <w:rsid w:val="009D3D99"/>
    <w:rsid w:val="009D4126"/>
    <w:rsid w:val="009D45B1"/>
    <w:rsid w:val="009D4C61"/>
    <w:rsid w:val="009D6502"/>
    <w:rsid w:val="009D7611"/>
    <w:rsid w:val="009D7BA5"/>
    <w:rsid w:val="009E0B61"/>
    <w:rsid w:val="009E0BD8"/>
    <w:rsid w:val="009E36A2"/>
    <w:rsid w:val="009E484E"/>
    <w:rsid w:val="009E4F32"/>
    <w:rsid w:val="009E53DE"/>
    <w:rsid w:val="009F0B58"/>
    <w:rsid w:val="009F1E28"/>
    <w:rsid w:val="009F3CF0"/>
    <w:rsid w:val="009F414E"/>
    <w:rsid w:val="009F4A86"/>
    <w:rsid w:val="009F57CC"/>
    <w:rsid w:val="009F66CB"/>
    <w:rsid w:val="00A014D2"/>
    <w:rsid w:val="00A029EB"/>
    <w:rsid w:val="00A03D96"/>
    <w:rsid w:val="00A070C6"/>
    <w:rsid w:val="00A076B1"/>
    <w:rsid w:val="00A07AC8"/>
    <w:rsid w:val="00A11615"/>
    <w:rsid w:val="00A11EE8"/>
    <w:rsid w:val="00A12F7D"/>
    <w:rsid w:val="00A15029"/>
    <w:rsid w:val="00A1755C"/>
    <w:rsid w:val="00A203E3"/>
    <w:rsid w:val="00A20AE1"/>
    <w:rsid w:val="00A21B6B"/>
    <w:rsid w:val="00A21CE7"/>
    <w:rsid w:val="00A222E3"/>
    <w:rsid w:val="00A22D7F"/>
    <w:rsid w:val="00A2598E"/>
    <w:rsid w:val="00A2722A"/>
    <w:rsid w:val="00A27427"/>
    <w:rsid w:val="00A323FC"/>
    <w:rsid w:val="00A328B3"/>
    <w:rsid w:val="00A333B0"/>
    <w:rsid w:val="00A33B1E"/>
    <w:rsid w:val="00A3408F"/>
    <w:rsid w:val="00A35C0A"/>
    <w:rsid w:val="00A3661C"/>
    <w:rsid w:val="00A36A48"/>
    <w:rsid w:val="00A409A8"/>
    <w:rsid w:val="00A42B88"/>
    <w:rsid w:val="00A45928"/>
    <w:rsid w:val="00A45EAB"/>
    <w:rsid w:val="00A46926"/>
    <w:rsid w:val="00A479D1"/>
    <w:rsid w:val="00A506D5"/>
    <w:rsid w:val="00A50FCF"/>
    <w:rsid w:val="00A51A38"/>
    <w:rsid w:val="00A528D1"/>
    <w:rsid w:val="00A55248"/>
    <w:rsid w:val="00A56401"/>
    <w:rsid w:val="00A57060"/>
    <w:rsid w:val="00A603D4"/>
    <w:rsid w:val="00A610CD"/>
    <w:rsid w:val="00A6155A"/>
    <w:rsid w:val="00A63C9C"/>
    <w:rsid w:val="00A64EFE"/>
    <w:rsid w:val="00A65B16"/>
    <w:rsid w:val="00A661EA"/>
    <w:rsid w:val="00A6753F"/>
    <w:rsid w:val="00A708A4"/>
    <w:rsid w:val="00A70B0C"/>
    <w:rsid w:val="00A735DB"/>
    <w:rsid w:val="00A73D49"/>
    <w:rsid w:val="00A73D91"/>
    <w:rsid w:val="00A75E63"/>
    <w:rsid w:val="00A80C29"/>
    <w:rsid w:val="00A814FA"/>
    <w:rsid w:val="00A85163"/>
    <w:rsid w:val="00A853FF"/>
    <w:rsid w:val="00A85B37"/>
    <w:rsid w:val="00A8605F"/>
    <w:rsid w:val="00A9161B"/>
    <w:rsid w:val="00A92555"/>
    <w:rsid w:val="00A92A28"/>
    <w:rsid w:val="00A92BD3"/>
    <w:rsid w:val="00A941DF"/>
    <w:rsid w:val="00A942AB"/>
    <w:rsid w:val="00A9730A"/>
    <w:rsid w:val="00A97789"/>
    <w:rsid w:val="00AA0581"/>
    <w:rsid w:val="00AA09A2"/>
    <w:rsid w:val="00AA1357"/>
    <w:rsid w:val="00AA2E0C"/>
    <w:rsid w:val="00AA2E39"/>
    <w:rsid w:val="00AA371B"/>
    <w:rsid w:val="00AA3D85"/>
    <w:rsid w:val="00AA5984"/>
    <w:rsid w:val="00AA5ACF"/>
    <w:rsid w:val="00AA627B"/>
    <w:rsid w:val="00AA7996"/>
    <w:rsid w:val="00AB0505"/>
    <w:rsid w:val="00AB0C40"/>
    <w:rsid w:val="00AB15A5"/>
    <w:rsid w:val="00AB17F3"/>
    <w:rsid w:val="00AB25FE"/>
    <w:rsid w:val="00AB2A51"/>
    <w:rsid w:val="00AB43DE"/>
    <w:rsid w:val="00AB5EB4"/>
    <w:rsid w:val="00AB7011"/>
    <w:rsid w:val="00AB70EC"/>
    <w:rsid w:val="00AC0350"/>
    <w:rsid w:val="00AC0AA9"/>
    <w:rsid w:val="00AC1705"/>
    <w:rsid w:val="00AC19CB"/>
    <w:rsid w:val="00AC3E5E"/>
    <w:rsid w:val="00AC3EC9"/>
    <w:rsid w:val="00AC4274"/>
    <w:rsid w:val="00AC43DA"/>
    <w:rsid w:val="00AC55D4"/>
    <w:rsid w:val="00AD0D1E"/>
    <w:rsid w:val="00AD0D26"/>
    <w:rsid w:val="00AD0D4C"/>
    <w:rsid w:val="00AD284A"/>
    <w:rsid w:val="00AD3F56"/>
    <w:rsid w:val="00AD72CB"/>
    <w:rsid w:val="00AE05FD"/>
    <w:rsid w:val="00AE0D4A"/>
    <w:rsid w:val="00AE20CD"/>
    <w:rsid w:val="00AE4BA9"/>
    <w:rsid w:val="00AE5488"/>
    <w:rsid w:val="00AE5BD7"/>
    <w:rsid w:val="00AE6771"/>
    <w:rsid w:val="00AE6EA5"/>
    <w:rsid w:val="00AE6F91"/>
    <w:rsid w:val="00AF3BA9"/>
    <w:rsid w:val="00AF4308"/>
    <w:rsid w:val="00AF5571"/>
    <w:rsid w:val="00AF6C98"/>
    <w:rsid w:val="00AF7988"/>
    <w:rsid w:val="00B0071C"/>
    <w:rsid w:val="00B008FE"/>
    <w:rsid w:val="00B00940"/>
    <w:rsid w:val="00B01A7D"/>
    <w:rsid w:val="00B0346B"/>
    <w:rsid w:val="00B051FB"/>
    <w:rsid w:val="00B055CB"/>
    <w:rsid w:val="00B05860"/>
    <w:rsid w:val="00B05E1C"/>
    <w:rsid w:val="00B06CAF"/>
    <w:rsid w:val="00B07184"/>
    <w:rsid w:val="00B07341"/>
    <w:rsid w:val="00B07FCB"/>
    <w:rsid w:val="00B10D24"/>
    <w:rsid w:val="00B10FD1"/>
    <w:rsid w:val="00B1100D"/>
    <w:rsid w:val="00B125DA"/>
    <w:rsid w:val="00B12D8B"/>
    <w:rsid w:val="00B162F3"/>
    <w:rsid w:val="00B16496"/>
    <w:rsid w:val="00B1718F"/>
    <w:rsid w:val="00B22CDB"/>
    <w:rsid w:val="00B230CA"/>
    <w:rsid w:val="00B230F5"/>
    <w:rsid w:val="00B23943"/>
    <w:rsid w:val="00B26057"/>
    <w:rsid w:val="00B261B7"/>
    <w:rsid w:val="00B26282"/>
    <w:rsid w:val="00B30539"/>
    <w:rsid w:val="00B31062"/>
    <w:rsid w:val="00B3131A"/>
    <w:rsid w:val="00B314DB"/>
    <w:rsid w:val="00B31F83"/>
    <w:rsid w:val="00B32E09"/>
    <w:rsid w:val="00B34867"/>
    <w:rsid w:val="00B34CAB"/>
    <w:rsid w:val="00B34CE7"/>
    <w:rsid w:val="00B34E9D"/>
    <w:rsid w:val="00B361F2"/>
    <w:rsid w:val="00B3718B"/>
    <w:rsid w:val="00B405AB"/>
    <w:rsid w:val="00B42548"/>
    <w:rsid w:val="00B42F06"/>
    <w:rsid w:val="00B43390"/>
    <w:rsid w:val="00B43A0A"/>
    <w:rsid w:val="00B43D2E"/>
    <w:rsid w:val="00B44978"/>
    <w:rsid w:val="00B45A99"/>
    <w:rsid w:val="00B4632A"/>
    <w:rsid w:val="00B46704"/>
    <w:rsid w:val="00B471B5"/>
    <w:rsid w:val="00B513B1"/>
    <w:rsid w:val="00B51F40"/>
    <w:rsid w:val="00B530F1"/>
    <w:rsid w:val="00B53F0A"/>
    <w:rsid w:val="00B54A0C"/>
    <w:rsid w:val="00B54BA3"/>
    <w:rsid w:val="00B5574D"/>
    <w:rsid w:val="00B55C49"/>
    <w:rsid w:val="00B5685F"/>
    <w:rsid w:val="00B57A7B"/>
    <w:rsid w:val="00B57FC2"/>
    <w:rsid w:val="00B60B7C"/>
    <w:rsid w:val="00B60CBE"/>
    <w:rsid w:val="00B632D6"/>
    <w:rsid w:val="00B644F3"/>
    <w:rsid w:val="00B661AA"/>
    <w:rsid w:val="00B676CF"/>
    <w:rsid w:val="00B6774F"/>
    <w:rsid w:val="00B7054C"/>
    <w:rsid w:val="00B720D6"/>
    <w:rsid w:val="00B735EB"/>
    <w:rsid w:val="00B767DE"/>
    <w:rsid w:val="00B76DFC"/>
    <w:rsid w:val="00B76F3A"/>
    <w:rsid w:val="00B81151"/>
    <w:rsid w:val="00B822C3"/>
    <w:rsid w:val="00B84F95"/>
    <w:rsid w:val="00B91E27"/>
    <w:rsid w:val="00B929C4"/>
    <w:rsid w:val="00B94EB0"/>
    <w:rsid w:val="00B9558C"/>
    <w:rsid w:val="00B95663"/>
    <w:rsid w:val="00B959EE"/>
    <w:rsid w:val="00B97972"/>
    <w:rsid w:val="00B97BB7"/>
    <w:rsid w:val="00B97D90"/>
    <w:rsid w:val="00BA1024"/>
    <w:rsid w:val="00BA1699"/>
    <w:rsid w:val="00BA237E"/>
    <w:rsid w:val="00BA276C"/>
    <w:rsid w:val="00BA3262"/>
    <w:rsid w:val="00BA3303"/>
    <w:rsid w:val="00BA3EB1"/>
    <w:rsid w:val="00BA445F"/>
    <w:rsid w:val="00BA461E"/>
    <w:rsid w:val="00BA5749"/>
    <w:rsid w:val="00BA5E45"/>
    <w:rsid w:val="00BA6B65"/>
    <w:rsid w:val="00BB1501"/>
    <w:rsid w:val="00BB1E10"/>
    <w:rsid w:val="00BB306F"/>
    <w:rsid w:val="00BB3BE6"/>
    <w:rsid w:val="00BB3DC9"/>
    <w:rsid w:val="00BB48EA"/>
    <w:rsid w:val="00BB501F"/>
    <w:rsid w:val="00BB5333"/>
    <w:rsid w:val="00BB64A3"/>
    <w:rsid w:val="00BB7095"/>
    <w:rsid w:val="00BB751E"/>
    <w:rsid w:val="00BB75CB"/>
    <w:rsid w:val="00BC1180"/>
    <w:rsid w:val="00BC31B5"/>
    <w:rsid w:val="00BC3469"/>
    <w:rsid w:val="00BC3765"/>
    <w:rsid w:val="00BC3D18"/>
    <w:rsid w:val="00BC66D7"/>
    <w:rsid w:val="00BC6C8A"/>
    <w:rsid w:val="00BD02BB"/>
    <w:rsid w:val="00BD12A7"/>
    <w:rsid w:val="00BD12B6"/>
    <w:rsid w:val="00BD2402"/>
    <w:rsid w:val="00BD2C06"/>
    <w:rsid w:val="00BD4548"/>
    <w:rsid w:val="00BD46B1"/>
    <w:rsid w:val="00BD4B89"/>
    <w:rsid w:val="00BD6332"/>
    <w:rsid w:val="00BD6550"/>
    <w:rsid w:val="00BD6D5A"/>
    <w:rsid w:val="00BE0377"/>
    <w:rsid w:val="00BE2C73"/>
    <w:rsid w:val="00BE2CAE"/>
    <w:rsid w:val="00BE34AF"/>
    <w:rsid w:val="00BE4159"/>
    <w:rsid w:val="00BE4B06"/>
    <w:rsid w:val="00BE5BCB"/>
    <w:rsid w:val="00BE6A01"/>
    <w:rsid w:val="00BF02CB"/>
    <w:rsid w:val="00BF11D3"/>
    <w:rsid w:val="00BF1D7E"/>
    <w:rsid w:val="00BF40FA"/>
    <w:rsid w:val="00BF47A5"/>
    <w:rsid w:val="00BF4C79"/>
    <w:rsid w:val="00BF4D63"/>
    <w:rsid w:val="00BF5628"/>
    <w:rsid w:val="00BF5D02"/>
    <w:rsid w:val="00BF6C53"/>
    <w:rsid w:val="00BF6FD8"/>
    <w:rsid w:val="00BF75F2"/>
    <w:rsid w:val="00C00C58"/>
    <w:rsid w:val="00C01F98"/>
    <w:rsid w:val="00C03680"/>
    <w:rsid w:val="00C03B88"/>
    <w:rsid w:val="00C0500D"/>
    <w:rsid w:val="00C054DF"/>
    <w:rsid w:val="00C05F35"/>
    <w:rsid w:val="00C06DE6"/>
    <w:rsid w:val="00C06F18"/>
    <w:rsid w:val="00C07A17"/>
    <w:rsid w:val="00C104C6"/>
    <w:rsid w:val="00C1085B"/>
    <w:rsid w:val="00C117E2"/>
    <w:rsid w:val="00C12332"/>
    <w:rsid w:val="00C14E4F"/>
    <w:rsid w:val="00C179EB"/>
    <w:rsid w:val="00C17E15"/>
    <w:rsid w:val="00C21212"/>
    <w:rsid w:val="00C21762"/>
    <w:rsid w:val="00C21F94"/>
    <w:rsid w:val="00C24543"/>
    <w:rsid w:val="00C256A2"/>
    <w:rsid w:val="00C260D3"/>
    <w:rsid w:val="00C26979"/>
    <w:rsid w:val="00C274E2"/>
    <w:rsid w:val="00C30A2F"/>
    <w:rsid w:val="00C31A2A"/>
    <w:rsid w:val="00C34038"/>
    <w:rsid w:val="00C34DA2"/>
    <w:rsid w:val="00C3629D"/>
    <w:rsid w:val="00C40789"/>
    <w:rsid w:val="00C40896"/>
    <w:rsid w:val="00C41F0E"/>
    <w:rsid w:val="00C42356"/>
    <w:rsid w:val="00C42BFA"/>
    <w:rsid w:val="00C43703"/>
    <w:rsid w:val="00C45C9F"/>
    <w:rsid w:val="00C46EE5"/>
    <w:rsid w:val="00C47E36"/>
    <w:rsid w:val="00C50751"/>
    <w:rsid w:val="00C511B2"/>
    <w:rsid w:val="00C512F5"/>
    <w:rsid w:val="00C5131F"/>
    <w:rsid w:val="00C51515"/>
    <w:rsid w:val="00C52D26"/>
    <w:rsid w:val="00C52DB0"/>
    <w:rsid w:val="00C53A82"/>
    <w:rsid w:val="00C541FE"/>
    <w:rsid w:val="00C55D6C"/>
    <w:rsid w:val="00C5660B"/>
    <w:rsid w:val="00C60B52"/>
    <w:rsid w:val="00C611ED"/>
    <w:rsid w:val="00C61253"/>
    <w:rsid w:val="00C62A75"/>
    <w:rsid w:val="00C64BA3"/>
    <w:rsid w:val="00C65E3D"/>
    <w:rsid w:val="00C65FC9"/>
    <w:rsid w:val="00C6692B"/>
    <w:rsid w:val="00C66B72"/>
    <w:rsid w:val="00C674B0"/>
    <w:rsid w:val="00C7062D"/>
    <w:rsid w:val="00C70F20"/>
    <w:rsid w:val="00C725AD"/>
    <w:rsid w:val="00C731B5"/>
    <w:rsid w:val="00C7336A"/>
    <w:rsid w:val="00C738BB"/>
    <w:rsid w:val="00C73B0E"/>
    <w:rsid w:val="00C750BB"/>
    <w:rsid w:val="00C75101"/>
    <w:rsid w:val="00C76681"/>
    <w:rsid w:val="00C80385"/>
    <w:rsid w:val="00C80663"/>
    <w:rsid w:val="00C810D8"/>
    <w:rsid w:val="00C818DC"/>
    <w:rsid w:val="00C8203A"/>
    <w:rsid w:val="00C84C6F"/>
    <w:rsid w:val="00C874DE"/>
    <w:rsid w:val="00C91EBE"/>
    <w:rsid w:val="00C92925"/>
    <w:rsid w:val="00C93375"/>
    <w:rsid w:val="00C93C86"/>
    <w:rsid w:val="00C95396"/>
    <w:rsid w:val="00C953F3"/>
    <w:rsid w:val="00C95555"/>
    <w:rsid w:val="00C9567A"/>
    <w:rsid w:val="00C97129"/>
    <w:rsid w:val="00CA0B39"/>
    <w:rsid w:val="00CA238B"/>
    <w:rsid w:val="00CA4A77"/>
    <w:rsid w:val="00CA59A0"/>
    <w:rsid w:val="00CB1D8F"/>
    <w:rsid w:val="00CB212D"/>
    <w:rsid w:val="00CB2583"/>
    <w:rsid w:val="00CB2660"/>
    <w:rsid w:val="00CB2FAC"/>
    <w:rsid w:val="00CB4690"/>
    <w:rsid w:val="00CB47E4"/>
    <w:rsid w:val="00CB484D"/>
    <w:rsid w:val="00CB6071"/>
    <w:rsid w:val="00CB679D"/>
    <w:rsid w:val="00CB6C97"/>
    <w:rsid w:val="00CB72FE"/>
    <w:rsid w:val="00CB7F66"/>
    <w:rsid w:val="00CC5B15"/>
    <w:rsid w:val="00CC5E5C"/>
    <w:rsid w:val="00CC5E90"/>
    <w:rsid w:val="00CC63CF"/>
    <w:rsid w:val="00CD046C"/>
    <w:rsid w:val="00CD0696"/>
    <w:rsid w:val="00CD0A16"/>
    <w:rsid w:val="00CD2062"/>
    <w:rsid w:val="00CD4D57"/>
    <w:rsid w:val="00CD530B"/>
    <w:rsid w:val="00CD5B00"/>
    <w:rsid w:val="00CD7308"/>
    <w:rsid w:val="00CD7FE9"/>
    <w:rsid w:val="00CE076C"/>
    <w:rsid w:val="00CE093B"/>
    <w:rsid w:val="00CE0D8F"/>
    <w:rsid w:val="00CE1447"/>
    <w:rsid w:val="00CE2072"/>
    <w:rsid w:val="00CE5199"/>
    <w:rsid w:val="00CE57BD"/>
    <w:rsid w:val="00CE66D5"/>
    <w:rsid w:val="00CE6F8A"/>
    <w:rsid w:val="00CF1208"/>
    <w:rsid w:val="00CF1392"/>
    <w:rsid w:val="00CF3582"/>
    <w:rsid w:val="00CF4A3F"/>
    <w:rsid w:val="00CF5065"/>
    <w:rsid w:val="00CF5389"/>
    <w:rsid w:val="00CF5631"/>
    <w:rsid w:val="00CF637A"/>
    <w:rsid w:val="00CF7D80"/>
    <w:rsid w:val="00D020BB"/>
    <w:rsid w:val="00D03535"/>
    <w:rsid w:val="00D0363C"/>
    <w:rsid w:val="00D059DE"/>
    <w:rsid w:val="00D06772"/>
    <w:rsid w:val="00D077FB"/>
    <w:rsid w:val="00D07F96"/>
    <w:rsid w:val="00D107F4"/>
    <w:rsid w:val="00D10B61"/>
    <w:rsid w:val="00D11D62"/>
    <w:rsid w:val="00D12193"/>
    <w:rsid w:val="00D13A64"/>
    <w:rsid w:val="00D13FCE"/>
    <w:rsid w:val="00D1435A"/>
    <w:rsid w:val="00D153D0"/>
    <w:rsid w:val="00D162F8"/>
    <w:rsid w:val="00D17BF3"/>
    <w:rsid w:val="00D17FEF"/>
    <w:rsid w:val="00D206F2"/>
    <w:rsid w:val="00D216DE"/>
    <w:rsid w:val="00D22570"/>
    <w:rsid w:val="00D22E32"/>
    <w:rsid w:val="00D24FE5"/>
    <w:rsid w:val="00D257D6"/>
    <w:rsid w:val="00D263C3"/>
    <w:rsid w:val="00D268E5"/>
    <w:rsid w:val="00D26E50"/>
    <w:rsid w:val="00D30278"/>
    <w:rsid w:val="00D306D1"/>
    <w:rsid w:val="00D31499"/>
    <w:rsid w:val="00D31868"/>
    <w:rsid w:val="00D321A0"/>
    <w:rsid w:val="00D322C0"/>
    <w:rsid w:val="00D329F5"/>
    <w:rsid w:val="00D33643"/>
    <w:rsid w:val="00D33CFC"/>
    <w:rsid w:val="00D34786"/>
    <w:rsid w:val="00D34D29"/>
    <w:rsid w:val="00D367EB"/>
    <w:rsid w:val="00D36F9C"/>
    <w:rsid w:val="00D37BFC"/>
    <w:rsid w:val="00D41987"/>
    <w:rsid w:val="00D437B5"/>
    <w:rsid w:val="00D44A9F"/>
    <w:rsid w:val="00D45963"/>
    <w:rsid w:val="00D45A1D"/>
    <w:rsid w:val="00D4697C"/>
    <w:rsid w:val="00D46C84"/>
    <w:rsid w:val="00D47A8E"/>
    <w:rsid w:val="00D51607"/>
    <w:rsid w:val="00D52400"/>
    <w:rsid w:val="00D5274F"/>
    <w:rsid w:val="00D52D14"/>
    <w:rsid w:val="00D53C0F"/>
    <w:rsid w:val="00D55089"/>
    <w:rsid w:val="00D55C0C"/>
    <w:rsid w:val="00D55D3E"/>
    <w:rsid w:val="00D561BA"/>
    <w:rsid w:val="00D5764B"/>
    <w:rsid w:val="00D6050B"/>
    <w:rsid w:val="00D612C7"/>
    <w:rsid w:val="00D61F43"/>
    <w:rsid w:val="00D62DC9"/>
    <w:rsid w:val="00D6375E"/>
    <w:rsid w:val="00D63F4C"/>
    <w:rsid w:val="00D65D22"/>
    <w:rsid w:val="00D71222"/>
    <w:rsid w:val="00D712D3"/>
    <w:rsid w:val="00D71422"/>
    <w:rsid w:val="00D72DC6"/>
    <w:rsid w:val="00D73C04"/>
    <w:rsid w:val="00D7558D"/>
    <w:rsid w:val="00D77F6B"/>
    <w:rsid w:val="00D813FC"/>
    <w:rsid w:val="00D81D92"/>
    <w:rsid w:val="00D82445"/>
    <w:rsid w:val="00D83103"/>
    <w:rsid w:val="00D83396"/>
    <w:rsid w:val="00D83A80"/>
    <w:rsid w:val="00D83D73"/>
    <w:rsid w:val="00D84BC7"/>
    <w:rsid w:val="00D86475"/>
    <w:rsid w:val="00D904C9"/>
    <w:rsid w:val="00D90BA8"/>
    <w:rsid w:val="00D91288"/>
    <w:rsid w:val="00D914CC"/>
    <w:rsid w:val="00D917C3"/>
    <w:rsid w:val="00D91911"/>
    <w:rsid w:val="00D9256C"/>
    <w:rsid w:val="00D928F0"/>
    <w:rsid w:val="00D934D4"/>
    <w:rsid w:val="00D93770"/>
    <w:rsid w:val="00D946D7"/>
    <w:rsid w:val="00D960BD"/>
    <w:rsid w:val="00D960C3"/>
    <w:rsid w:val="00D96E66"/>
    <w:rsid w:val="00DA01BA"/>
    <w:rsid w:val="00DA065F"/>
    <w:rsid w:val="00DA392F"/>
    <w:rsid w:val="00DA4C01"/>
    <w:rsid w:val="00DA645F"/>
    <w:rsid w:val="00DA65E3"/>
    <w:rsid w:val="00DA69C8"/>
    <w:rsid w:val="00DA7B5F"/>
    <w:rsid w:val="00DB0B63"/>
    <w:rsid w:val="00DB2192"/>
    <w:rsid w:val="00DB2585"/>
    <w:rsid w:val="00DB3F77"/>
    <w:rsid w:val="00DB421F"/>
    <w:rsid w:val="00DB6C92"/>
    <w:rsid w:val="00DB7114"/>
    <w:rsid w:val="00DB7BBA"/>
    <w:rsid w:val="00DC0B72"/>
    <w:rsid w:val="00DC11E7"/>
    <w:rsid w:val="00DC1645"/>
    <w:rsid w:val="00DC1852"/>
    <w:rsid w:val="00DC2D76"/>
    <w:rsid w:val="00DC7023"/>
    <w:rsid w:val="00DC769A"/>
    <w:rsid w:val="00DC76C7"/>
    <w:rsid w:val="00DD07BC"/>
    <w:rsid w:val="00DD2176"/>
    <w:rsid w:val="00DD227F"/>
    <w:rsid w:val="00DD2437"/>
    <w:rsid w:val="00DD2475"/>
    <w:rsid w:val="00DD2B4A"/>
    <w:rsid w:val="00DD3103"/>
    <w:rsid w:val="00DD3D86"/>
    <w:rsid w:val="00DE23D7"/>
    <w:rsid w:val="00DE3234"/>
    <w:rsid w:val="00DE37AD"/>
    <w:rsid w:val="00DE51EF"/>
    <w:rsid w:val="00DE5740"/>
    <w:rsid w:val="00DE6707"/>
    <w:rsid w:val="00DE678F"/>
    <w:rsid w:val="00DE6B24"/>
    <w:rsid w:val="00DE6C9C"/>
    <w:rsid w:val="00DF03EB"/>
    <w:rsid w:val="00DF1EC4"/>
    <w:rsid w:val="00DF2047"/>
    <w:rsid w:val="00DF3AE6"/>
    <w:rsid w:val="00DF5F4A"/>
    <w:rsid w:val="00DF7B2E"/>
    <w:rsid w:val="00E02EA5"/>
    <w:rsid w:val="00E0340B"/>
    <w:rsid w:val="00E04A7F"/>
    <w:rsid w:val="00E04A90"/>
    <w:rsid w:val="00E059B9"/>
    <w:rsid w:val="00E05BAF"/>
    <w:rsid w:val="00E05C09"/>
    <w:rsid w:val="00E05FB7"/>
    <w:rsid w:val="00E07724"/>
    <w:rsid w:val="00E103AE"/>
    <w:rsid w:val="00E10A1B"/>
    <w:rsid w:val="00E10D0A"/>
    <w:rsid w:val="00E12137"/>
    <w:rsid w:val="00E12315"/>
    <w:rsid w:val="00E12677"/>
    <w:rsid w:val="00E14A2A"/>
    <w:rsid w:val="00E150A7"/>
    <w:rsid w:val="00E15C29"/>
    <w:rsid w:val="00E16444"/>
    <w:rsid w:val="00E20627"/>
    <w:rsid w:val="00E20DA5"/>
    <w:rsid w:val="00E20EFF"/>
    <w:rsid w:val="00E219C7"/>
    <w:rsid w:val="00E21E28"/>
    <w:rsid w:val="00E22AF8"/>
    <w:rsid w:val="00E24219"/>
    <w:rsid w:val="00E2600A"/>
    <w:rsid w:val="00E268EC"/>
    <w:rsid w:val="00E26942"/>
    <w:rsid w:val="00E26CD6"/>
    <w:rsid w:val="00E270A2"/>
    <w:rsid w:val="00E27267"/>
    <w:rsid w:val="00E30B50"/>
    <w:rsid w:val="00E31258"/>
    <w:rsid w:val="00E32546"/>
    <w:rsid w:val="00E3287B"/>
    <w:rsid w:val="00E34204"/>
    <w:rsid w:val="00E37708"/>
    <w:rsid w:val="00E40EC1"/>
    <w:rsid w:val="00E41274"/>
    <w:rsid w:val="00E423D0"/>
    <w:rsid w:val="00E4265E"/>
    <w:rsid w:val="00E42D62"/>
    <w:rsid w:val="00E42DFD"/>
    <w:rsid w:val="00E43157"/>
    <w:rsid w:val="00E4338F"/>
    <w:rsid w:val="00E438F9"/>
    <w:rsid w:val="00E45258"/>
    <w:rsid w:val="00E454F5"/>
    <w:rsid w:val="00E461CE"/>
    <w:rsid w:val="00E47736"/>
    <w:rsid w:val="00E516CA"/>
    <w:rsid w:val="00E524B8"/>
    <w:rsid w:val="00E5260F"/>
    <w:rsid w:val="00E5553B"/>
    <w:rsid w:val="00E57DA3"/>
    <w:rsid w:val="00E608D1"/>
    <w:rsid w:val="00E63AF7"/>
    <w:rsid w:val="00E65694"/>
    <w:rsid w:val="00E65B83"/>
    <w:rsid w:val="00E65CFE"/>
    <w:rsid w:val="00E66267"/>
    <w:rsid w:val="00E672AD"/>
    <w:rsid w:val="00E703CE"/>
    <w:rsid w:val="00E71CFE"/>
    <w:rsid w:val="00E720CA"/>
    <w:rsid w:val="00E75168"/>
    <w:rsid w:val="00E77D46"/>
    <w:rsid w:val="00E80229"/>
    <w:rsid w:val="00E809B3"/>
    <w:rsid w:val="00E810C3"/>
    <w:rsid w:val="00E821B5"/>
    <w:rsid w:val="00E839BC"/>
    <w:rsid w:val="00E83F31"/>
    <w:rsid w:val="00E849CB"/>
    <w:rsid w:val="00E84B17"/>
    <w:rsid w:val="00E84EB5"/>
    <w:rsid w:val="00E85662"/>
    <w:rsid w:val="00E85F8A"/>
    <w:rsid w:val="00E866B1"/>
    <w:rsid w:val="00E8789F"/>
    <w:rsid w:val="00E909AA"/>
    <w:rsid w:val="00E922F3"/>
    <w:rsid w:val="00E92B4C"/>
    <w:rsid w:val="00E9346A"/>
    <w:rsid w:val="00E937CF"/>
    <w:rsid w:val="00E938AF"/>
    <w:rsid w:val="00E94484"/>
    <w:rsid w:val="00E965F2"/>
    <w:rsid w:val="00E9689D"/>
    <w:rsid w:val="00E96950"/>
    <w:rsid w:val="00E97B71"/>
    <w:rsid w:val="00EA12BC"/>
    <w:rsid w:val="00EA1D05"/>
    <w:rsid w:val="00EA3D34"/>
    <w:rsid w:val="00EA55B3"/>
    <w:rsid w:val="00EA6567"/>
    <w:rsid w:val="00EB0885"/>
    <w:rsid w:val="00EB0FB0"/>
    <w:rsid w:val="00EB1046"/>
    <w:rsid w:val="00EB152F"/>
    <w:rsid w:val="00EB33DD"/>
    <w:rsid w:val="00EB3D66"/>
    <w:rsid w:val="00EB454D"/>
    <w:rsid w:val="00EB521E"/>
    <w:rsid w:val="00EB7EAC"/>
    <w:rsid w:val="00EC1891"/>
    <w:rsid w:val="00EC390D"/>
    <w:rsid w:val="00EC5D90"/>
    <w:rsid w:val="00ED2110"/>
    <w:rsid w:val="00ED222C"/>
    <w:rsid w:val="00ED3F72"/>
    <w:rsid w:val="00ED4B02"/>
    <w:rsid w:val="00ED4B74"/>
    <w:rsid w:val="00ED6CCA"/>
    <w:rsid w:val="00ED71D2"/>
    <w:rsid w:val="00ED76BE"/>
    <w:rsid w:val="00EE0546"/>
    <w:rsid w:val="00EE15B4"/>
    <w:rsid w:val="00EE15BC"/>
    <w:rsid w:val="00EE2011"/>
    <w:rsid w:val="00EE2A72"/>
    <w:rsid w:val="00EE2B82"/>
    <w:rsid w:val="00EE33C7"/>
    <w:rsid w:val="00EE392A"/>
    <w:rsid w:val="00EE5839"/>
    <w:rsid w:val="00EE5B43"/>
    <w:rsid w:val="00EF00D0"/>
    <w:rsid w:val="00EF1E8A"/>
    <w:rsid w:val="00EF3AE5"/>
    <w:rsid w:val="00EF4727"/>
    <w:rsid w:val="00EF4C7E"/>
    <w:rsid w:val="00EF619B"/>
    <w:rsid w:val="00EF70C8"/>
    <w:rsid w:val="00EF764F"/>
    <w:rsid w:val="00F00B55"/>
    <w:rsid w:val="00F00F14"/>
    <w:rsid w:val="00F01774"/>
    <w:rsid w:val="00F027E7"/>
    <w:rsid w:val="00F02AD1"/>
    <w:rsid w:val="00F02B05"/>
    <w:rsid w:val="00F03834"/>
    <w:rsid w:val="00F03AD2"/>
    <w:rsid w:val="00F044BA"/>
    <w:rsid w:val="00F04778"/>
    <w:rsid w:val="00F056B9"/>
    <w:rsid w:val="00F05949"/>
    <w:rsid w:val="00F06C12"/>
    <w:rsid w:val="00F07147"/>
    <w:rsid w:val="00F07343"/>
    <w:rsid w:val="00F13C8F"/>
    <w:rsid w:val="00F22BA1"/>
    <w:rsid w:val="00F2307D"/>
    <w:rsid w:val="00F23388"/>
    <w:rsid w:val="00F23C2F"/>
    <w:rsid w:val="00F253CC"/>
    <w:rsid w:val="00F256B4"/>
    <w:rsid w:val="00F25AE1"/>
    <w:rsid w:val="00F26CB4"/>
    <w:rsid w:val="00F275D7"/>
    <w:rsid w:val="00F27D7F"/>
    <w:rsid w:val="00F33FB4"/>
    <w:rsid w:val="00F35419"/>
    <w:rsid w:val="00F35CDB"/>
    <w:rsid w:val="00F36D4C"/>
    <w:rsid w:val="00F37106"/>
    <w:rsid w:val="00F400A6"/>
    <w:rsid w:val="00F409B1"/>
    <w:rsid w:val="00F411F7"/>
    <w:rsid w:val="00F4196C"/>
    <w:rsid w:val="00F4252E"/>
    <w:rsid w:val="00F43153"/>
    <w:rsid w:val="00F437BB"/>
    <w:rsid w:val="00F458FA"/>
    <w:rsid w:val="00F47291"/>
    <w:rsid w:val="00F5151F"/>
    <w:rsid w:val="00F519CF"/>
    <w:rsid w:val="00F51B08"/>
    <w:rsid w:val="00F536CF"/>
    <w:rsid w:val="00F53D58"/>
    <w:rsid w:val="00F541FD"/>
    <w:rsid w:val="00F55387"/>
    <w:rsid w:val="00F55579"/>
    <w:rsid w:val="00F55F81"/>
    <w:rsid w:val="00F56B83"/>
    <w:rsid w:val="00F56BA5"/>
    <w:rsid w:val="00F57014"/>
    <w:rsid w:val="00F57550"/>
    <w:rsid w:val="00F60C22"/>
    <w:rsid w:val="00F60E22"/>
    <w:rsid w:val="00F6131E"/>
    <w:rsid w:val="00F61439"/>
    <w:rsid w:val="00F61AC4"/>
    <w:rsid w:val="00F64E6F"/>
    <w:rsid w:val="00F6637D"/>
    <w:rsid w:val="00F664AF"/>
    <w:rsid w:val="00F67400"/>
    <w:rsid w:val="00F67628"/>
    <w:rsid w:val="00F7118D"/>
    <w:rsid w:val="00F72776"/>
    <w:rsid w:val="00F72B3C"/>
    <w:rsid w:val="00F72B78"/>
    <w:rsid w:val="00F73104"/>
    <w:rsid w:val="00F74D0E"/>
    <w:rsid w:val="00F75631"/>
    <w:rsid w:val="00F756C9"/>
    <w:rsid w:val="00F7599B"/>
    <w:rsid w:val="00F7621B"/>
    <w:rsid w:val="00F80544"/>
    <w:rsid w:val="00F805FB"/>
    <w:rsid w:val="00F81395"/>
    <w:rsid w:val="00F82B6C"/>
    <w:rsid w:val="00F831D0"/>
    <w:rsid w:val="00F83798"/>
    <w:rsid w:val="00F83C56"/>
    <w:rsid w:val="00F83EFC"/>
    <w:rsid w:val="00F902EB"/>
    <w:rsid w:val="00F9083E"/>
    <w:rsid w:val="00F917D1"/>
    <w:rsid w:val="00F923C5"/>
    <w:rsid w:val="00F93C09"/>
    <w:rsid w:val="00F93F74"/>
    <w:rsid w:val="00F9407C"/>
    <w:rsid w:val="00F94E4A"/>
    <w:rsid w:val="00F9605E"/>
    <w:rsid w:val="00F9653B"/>
    <w:rsid w:val="00FA0283"/>
    <w:rsid w:val="00FA1F8E"/>
    <w:rsid w:val="00FA2343"/>
    <w:rsid w:val="00FA3D15"/>
    <w:rsid w:val="00FA41E8"/>
    <w:rsid w:val="00FA41FE"/>
    <w:rsid w:val="00FA55CE"/>
    <w:rsid w:val="00FA58D3"/>
    <w:rsid w:val="00FB00DF"/>
    <w:rsid w:val="00FB07ED"/>
    <w:rsid w:val="00FB16B7"/>
    <w:rsid w:val="00FB1923"/>
    <w:rsid w:val="00FB1D6F"/>
    <w:rsid w:val="00FB3AF2"/>
    <w:rsid w:val="00FB411D"/>
    <w:rsid w:val="00FB5297"/>
    <w:rsid w:val="00FB5902"/>
    <w:rsid w:val="00FB62CF"/>
    <w:rsid w:val="00FB7ECB"/>
    <w:rsid w:val="00FB7EEB"/>
    <w:rsid w:val="00FC0CCB"/>
    <w:rsid w:val="00FC2130"/>
    <w:rsid w:val="00FC28EE"/>
    <w:rsid w:val="00FC32DF"/>
    <w:rsid w:val="00FC3762"/>
    <w:rsid w:val="00FC51C6"/>
    <w:rsid w:val="00FC64FF"/>
    <w:rsid w:val="00FC743F"/>
    <w:rsid w:val="00FC7F23"/>
    <w:rsid w:val="00FD214F"/>
    <w:rsid w:val="00FD366A"/>
    <w:rsid w:val="00FD3C3B"/>
    <w:rsid w:val="00FD5A99"/>
    <w:rsid w:val="00FD6554"/>
    <w:rsid w:val="00FE0341"/>
    <w:rsid w:val="00FE07DD"/>
    <w:rsid w:val="00FE1D0E"/>
    <w:rsid w:val="00FE23A2"/>
    <w:rsid w:val="00FE3873"/>
    <w:rsid w:val="00FE4459"/>
    <w:rsid w:val="00FE4BF6"/>
    <w:rsid w:val="00FE6B45"/>
    <w:rsid w:val="00FF1EB1"/>
    <w:rsid w:val="00FF3693"/>
    <w:rsid w:val="00FF4A39"/>
    <w:rsid w:val="00FF55F3"/>
    <w:rsid w:val="00FF5851"/>
    <w:rsid w:val="00FF70D7"/>
    <w:rsid w:val="00FF7B79"/>
    <w:rsid w:val="00FF7D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B59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0"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LightList-Accent51">
    <w:name w:val="Light List - Accent 51"/>
    <w:aliases w:val="Párrafo de lista1,List Paragraph1,Colorful List - Accent 11,List Paragraph11,List Paragraph2"/>
    <w:link w:val="LightList-Accent5Char"/>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Times New Roman" w:hAnsi="Cambria"/>
      <w:b/>
      <w:bCs/>
      <w:color w:val="365F91"/>
      <w:sz w:val="28"/>
      <w:szCs w:val="28"/>
      <w:bdr w:val="nil"/>
    </w:rPr>
  </w:style>
  <w:style w:type="table" w:styleId="Sombreadovistoso-nfasis4">
    <w:name w:val="Colorful Shading Accent 4"/>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741DF9"/>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1,f11,4_G,16 Point,Superscript 6 Point,Footnote symbol,Footnote,Texto nota al pie"/>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LightList-Accent5Char">
    <w:name w:val="Light List - Accent 5 Char"/>
    <w:aliases w:val="Párrafo de lista1 Char,List Paragraph1 Char,Colorful List - Accent 11 Char,List Paragraph11 Char,List Paragraph2 Char"/>
    <w:link w:val="LightList-Accent51"/>
    <w:locked/>
    <w:rsid w:val="002E4AEA"/>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9752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Refdecomentario">
    <w:name w:val="annotation reference"/>
    <w:uiPriority w:val="99"/>
    <w:semiHidden/>
    <w:unhideWhenUsed/>
    <w:rsid w:val="005F6EA3"/>
    <w:rPr>
      <w:sz w:val="16"/>
      <w:szCs w:val="16"/>
    </w:rPr>
  </w:style>
  <w:style w:type="paragraph" w:styleId="Textocomentario">
    <w:name w:val="annotation text"/>
    <w:basedOn w:val="Normal"/>
    <w:link w:val="TextocomentarioCar"/>
    <w:uiPriority w:val="99"/>
    <w:semiHidden/>
    <w:unhideWhenUsed/>
    <w:rsid w:val="005F6EA3"/>
    <w:rPr>
      <w:sz w:val="20"/>
      <w:szCs w:val="20"/>
    </w:rPr>
  </w:style>
  <w:style w:type="character" w:customStyle="1" w:styleId="TextocomentarioCar">
    <w:name w:val="Texto comentario Car"/>
    <w:link w:val="Textocomentario"/>
    <w:uiPriority w:val="99"/>
    <w:semiHidden/>
    <w:rsid w:val="005F6EA3"/>
    <w:rPr>
      <w:lang w:val="en-US" w:eastAsia="en-US"/>
    </w:rPr>
  </w:style>
  <w:style w:type="paragraph" w:styleId="Asuntodelcomentario">
    <w:name w:val="annotation subject"/>
    <w:basedOn w:val="Textocomentario"/>
    <w:next w:val="Textocomentario"/>
    <w:link w:val="AsuntodelcomentarioCar"/>
    <w:uiPriority w:val="99"/>
    <w:semiHidden/>
    <w:unhideWhenUsed/>
    <w:rsid w:val="005F6EA3"/>
    <w:rPr>
      <w:b/>
      <w:bCs/>
    </w:rPr>
  </w:style>
  <w:style w:type="character" w:customStyle="1" w:styleId="AsuntodelcomentarioCar">
    <w:name w:val="Asunto del comentario Car"/>
    <w:link w:val="Asuntodelcomentario"/>
    <w:uiPriority w:val="99"/>
    <w:semiHidden/>
    <w:rsid w:val="005F6EA3"/>
    <w:rPr>
      <w:b/>
      <w:bCs/>
      <w:lang w:val="en-US" w:eastAsia="en-US"/>
    </w:rPr>
  </w:style>
  <w:style w:type="character" w:customStyle="1" w:styleId="SangradetextonormalCar">
    <w:name w:val="Sangría de texto normal Car"/>
    <w:link w:val="Sangradetextonormal"/>
    <w:rsid w:val="00B471B5"/>
    <w:rPr>
      <w:rFonts w:eastAsia="Times New Roman"/>
      <w:color w:val="000000"/>
      <w:sz w:val="24"/>
      <w:szCs w:val="24"/>
      <w:u w:color="000000"/>
      <w:bdr w:val="nil"/>
      <w:lang w:val="es-ES_tradnl" w:eastAsia="es-ES"/>
    </w:rPr>
  </w:style>
  <w:style w:type="character" w:styleId="Textoennegrita">
    <w:name w:val="Strong"/>
    <w:uiPriority w:val="22"/>
    <w:qFormat/>
    <w:rsid w:val="007528B6"/>
    <w:rPr>
      <w:b/>
      <w:bCs/>
    </w:rPr>
  </w:style>
  <w:style w:type="paragraph" w:customStyle="1" w:styleId="1">
    <w:name w:val="1"/>
    <w:basedOn w:val="Normal"/>
    <w:rsid w:val="00C61253"/>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styleId="Prrafodelista">
    <w:name w:val="List Paragraph"/>
    <w:basedOn w:val="Normal"/>
    <w:uiPriority w:val="99"/>
    <w:qFormat/>
    <w:rsid w:val="0017242C"/>
    <w:pPr>
      <w:ind w:left="708"/>
    </w:pPr>
  </w:style>
  <w:style w:type="paragraph" w:customStyle="1" w:styleId="Char2">
    <w:name w:val="Char2"/>
    <w:basedOn w:val="Normal"/>
    <w:uiPriority w:val="99"/>
    <w:rsid w:val="001243C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bdr w:val="none" w:sz="0" w:space="0" w:color="auto"/>
      <w:vertAlign w:val="superscript"/>
    </w:rPr>
  </w:style>
  <w:style w:type="paragraph" w:styleId="Textoindependiente3">
    <w:name w:val="Body Text 3"/>
    <w:basedOn w:val="Normal"/>
    <w:link w:val="Textoindependiente3Car"/>
    <w:uiPriority w:val="99"/>
    <w:semiHidden/>
    <w:unhideWhenUsed/>
    <w:rsid w:val="007C2622"/>
    <w:pPr>
      <w:spacing w:after="120"/>
    </w:pPr>
    <w:rPr>
      <w:sz w:val="16"/>
      <w:szCs w:val="16"/>
    </w:rPr>
  </w:style>
  <w:style w:type="character" w:customStyle="1" w:styleId="Textoindependiente3Car">
    <w:name w:val="Texto independiente 3 Car"/>
    <w:link w:val="Textoindependiente3"/>
    <w:uiPriority w:val="99"/>
    <w:semiHidden/>
    <w:rsid w:val="007C2622"/>
    <w:rPr>
      <w:sz w:val="16"/>
      <w:szCs w:val="16"/>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759951">
      <w:bodyDiv w:val="1"/>
      <w:marLeft w:val="0"/>
      <w:marRight w:val="0"/>
      <w:marTop w:val="0"/>
      <w:marBottom w:val="0"/>
      <w:divBdr>
        <w:top w:val="none" w:sz="0" w:space="0" w:color="auto"/>
        <w:left w:val="none" w:sz="0" w:space="0" w:color="auto"/>
        <w:bottom w:val="none" w:sz="0" w:space="0" w:color="auto"/>
        <w:right w:val="none" w:sz="0" w:space="0" w:color="auto"/>
      </w:divBdr>
    </w:div>
    <w:div w:id="181212592">
      <w:bodyDiv w:val="1"/>
      <w:marLeft w:val="0"/>
      <w:marRight w:val="0"/>
      <w:marTop w:val="0"/>
      <w:marBottom w:val="0"/>
      <w:divBdr>
        <w:top w:val="none" w:sz="0" w:space="0" w:color="auto"/>
        <w:left w:val="none" w:sz="0" w:space="0" w:color="auto"/>
        <w:bottom w:val="none" w:sz="0" w:space="0" w:color="auto"/>
        <w:right w:val="none" w:sz="0" w:space="0" w:color="auto"/>
      </w:divBdr>
    </w:div>
    <w:div w:id="181290220">
      <w:bodyDiv w:val="1"/>
      <w:marLeft w:val="0"/>
      <w:marRight w:val="0"/>
      <w:marTop w:val="0"/>
      <w:marBottom w:val="0"/>
      <w:divBdr>
        <w:top w:val="none" w:sz="0" w:space="0" w:color="auto"/>
        <w:left w:val="none" w:sz="0" w:space="0" w:color="auto"/>
        <w:bottom w:val="none" w:sz="0" w:space="0" w:color="auto"/>
        <w:right w:val="none" w:sz="0" w:space="0" w:color="auto"/>
      </w:divBdr>
    </w:div>
    <w:div w:id="384258111">
      <w:bodyDiv w:val="1"/>
      <w:marLeft w:val="0"/>
      <w:marRight w:val="0"/>
      <w:marTop w:val="0"/>
      <w:marBottom w:val="0"/>
      <w:divBdr>
        <w:top w:val="none" w:sz="0" w:space="0" w:color="auto"/>
        <w:left w:val="none" w:sz="0" w:space="0" w:color="auto"/>
        <w:bottom w:val="none" w:sz="0" w:space="0" w:color="auto"/>
        <w:right w:val="none" w:sz="0" w:space="0" w:color="auto"/>
      </w:divBdr>
    </w:div>
    <w:div w:id="991715999">
      <w:bodyDiv w:val="1"/>
      <w:marLeft w:val="0"/>
      <w:marRight w:val="0"/>
      <w:marTop w:val="0"/>
      <w:marBottom w:val="0"/>
      <w:divBdr>
        <w:top w:val="none" w:sz="0" w:space="0" w:color="auto"/>
        <w:left w:val="none" w:sz="0" w:space="0" w:color="auto"/>
        <w:bottom w:val="none" w:sz="0" w:space="0" w:color="auto"/>
        <w:right w:val="none" w:sz="0" w:space="0" w:color="auto"/>
      </w:divBdr>
    </w:div>
    <w:div w:id="1408117175">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87907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oas.org/es/cidh/ppl/informes/pdfs/Informe-PP-2013-es.pdf" TargetMode="External"/><Relationship Id="rId7" Type="http://schemas.openxmlformats.org/officeDocument/2006/relationships/hyperlink" Target="http://joomla.corteidh.or.cr:8080/joomla/es/casos-contenciosos/38-jurisprudencia/192-corte-idh-caso-velasquez-rodriguez-vs-honduras-fondo-sentencia-de-29-de-julio-de-1988-serie-c-no-4" TargetMode="External"/><Relationship Id="rId2" Type="http://schemas.openxmlformats.org/officeDocument/2006/relationships/hyperlink" Target="http://www.oas.org/es/cidh/ppl/informes/pdfs/Informe-PP-2013-es.pdf" TargetMode="External"/><Relationship Id="rId1" Type="http://schemas.openxmlformats.org/officeDocument/2006/relationships/hyperlink" Target="http://www.oas.org/es/cidh/docs/pdfs/SEGURIDAD%20CIUDADANA%202009%20ESP.pdf" TargetMode="External"/><Relationship Id="rId6" Type="http://schemas.openxmlformats.org/officeDocument/2006/relationships/hyperlink" Target="http://joomla.corteidh.or.cr:8080/joomla/es/casos-contenciosos/38-jurisprudencia/192-corte-idh-caso-velasquez-rodriguez-vs-honduras-fondo-sentencia-de-29-de-julio-de-1988-serie-c-no-4" TargetMode="External"/><Relationship Id="rId5" Type="http://schemas.openxmlformats.org/officeDocument/2006/relationships/hyperlink" Target="http://www.bjdh.org.mx/interamericano/busqueda" TargetMode="External"/><Relationship Id="rId4" Type="http://schemas.openxmlformats.org/officeDocument/2006/relationships/hyperlink" Target="http://www.oas.org/es/cidh/ppl/informes/pdfs/Informe-PP-2013-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90EE-EBDC-45A1-A014-A8413A3E7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10480</Words>
  <Characters>57641</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67986</CharactersWithSpaces>
  <SharedDoc>false</SharedDoc>
  <HLinks>
    <vt:vector size="126" baseType="variant">
      <vt:variant>
        <vt:i4>1507387</vt:i4>
      </vt:variant>
      <vt:variant>
        <vt:i4>80</vt:i4>
      </vt:variant>
      <vt:variant>
        <vt:i4>0</vt:i4>
      </vt:variant>
      <vt:variant>
        <vt:i4>5</vt:i4>
      </vt:variant>
      <vt:variant>
        <vt:lpwstr/>
      </vt:variant>
      <vt:variant>
        <vt:lpwstr>_Toc529374058</vt:lpwstr>
      </vt:variant>
      <vt:variant>
        <vt:i4>1507387</vt:i4>
      </vt:variant>
      <vt:variant>
        <vt:i4>74</vt:i4>
      </vt:variant>
      <vt:variant>
        <vt:i4>0</vt:i4>
      </vt:variant>
      <vt:variant>
        <vt:i4>5</vt:i4>
      </vt:variant>
      <vt:variant>
        <vt:lpwstr/>
      </vt:variant>
      <vt:variant>
        <vt:lpwstr>_Toc529374056</vt:lpwstr>
      </vt:variant>
      <vt:variant>
        <vt:i4>1507387</vt:i4>
      </vt:variant>
      <vt:variant>
        <vt:i4>68</vt:i4>
      </vt:variant>
      <vt:variant>
        <vt:i4>0</vt:i4>
      </vt:variant>
      <vt:variant>
        <vt:i4>5</vt:i4>
      </vt:variant>
      <vt:variant>
        <vt:lpwstr/>
      </vt:variant>
      <vt:variant>
        <vt:lpwstr>_Toc529374055</vt:lpwstr>
      </vt:variant>
      <vt:variant>
        <vt:i4>1507387</vt:i4>
      </vt:variant>
      <vt:variant>
        <vt:i4>62</vt:i4>
      </vt:variant>
      <vt:variant>
        <vt:i4>0</vt:i4>
      </vt:variant>
      <vt:variant>
        <vt:i4>5</vt:i4>
      </vt:variant>
      <vt:variant>
        <vt:lpwstr/>
      </vt:variant>
      <vt:variant>
        <vt:lpwstr>_Toc529374054</vt:lpwstr>
      </vt:variant>
      <vt:variant>
        <vt:i4>1507387</vt:i4>
      </vt:variant>
      <vt:variant>
        <vt:i4>56</vt:i4>
      </vt:variant>
      <vt:variant>
        <vt:i4>0</vt:i4>
      </vt:variant>
      <vt:variant>
        <vt:i4>5</vt:i4>
      </vt:variant>
      <vt:variant>
        <vt:lpwstr/>
      </vt:variant>
      <vt:variant>
        <vt:lpwstr>_Toc529374052</vt:lpwstr>
      </vt:variant>
      <vt:variant>
        <vt:i4>1507387</vt:i4>
      </vt:variant>
      <vt:variant>
        <vt:i4>50</vt:i4>
      </vt:variant>
      <vt:variant>
        <vt:i4>0</vt:i4>
      </vt:variant>
      <vt:variant>
        <vt:i4>5</vt:i4>
      </vt:variant>
      <vt:variant>
        <vt:lpwstr/>
      </vt:variant>
      <vt:variant>
        <vt:lpwstr>_Toc529374051</vt:lpwstr>
      </vt:variant>
      <vt:variant>
        <vt:i4>1507387</vt:i4>
      </vt:variant>
      <vt:variant>
        <vt:i4>44</vt:i4>
      </vt:variant>
      <vt:variant>
        <vt:i4>0</vt:i4>
      </vt:variant>
      <vt:variant>
        <vt:i4>5</vt:i4>
      </vt:variant>
      <vt:variant>
        <vt:lpwstr/>
      </vt:variant>
      <vt:variant>
        <vt:lpwstr>_Toc529374050</vt:lpwstr>
      </vt:variant>
      <vt:variant>
        <vt:i4>1441851</vt:i4>
      </vt:variant>
      <vt:variant>
        <vt:i4>38</vt:i4>
      </vt:variant>
      <vt:variant>
        <vt:i4>0</vt:i4>
      </vt:variant>
      <vt:variant>
        <vt:i4>5</vt:i4>
      </vt:variant>
      <vt:variant>
        <vt:lpwstr/>
      </vt:variant>
      <vt:variant>
        <vt:lpwstr>_Toc529374049</vt:lpwstr>
      </vt:variant>
      <vt:variant>
        <vt:i4>1441851</vt:i4>
      </vt:variant>
      <vt:variant>
        <vt:i4>32</vt:i4>
      </vt:variant>
      <vt:variant>
        <vt:i4>0</vt:i4>
      </vt:variant>
      <vt:variant>
        <vt:i4>5</vt:i4>
      </vt:variant>
      <vt:variant>
        <vt:lpwstr/>
      </vt:variant>
      <vt:variant>
        <vt:lpwstr>_Toc529374048</vt:lpwstr>
      </vt:variant>
      <vt:variant>
        <vt:i4>1441851</vt:i4>
      </vt:variant>
      <vt:variant>
        <vt:i4>26</vt:i4>
      </vt:variant>
      <vt:variant>
        <vt:i4>0</vt:i4>
      </vt:variant>
      <vt:variant>
        <vt:i4>5</vt:i4>
      </vt:variant>
      <vt:variant>
        <vt:lpwstr/>
      </vt:variant>
      <vt:variant>
        <vt:lpwstr>_Toc529374047</vt:lpwstr>
      </vt:variant>
      <vt:variant>
        <vt:i4>1441851</vt:i4>
      </vt:variant>
      <vt:variant>
        <vt:i4>20</vt:i4>
      </vt:variant>
      <vt:variant>
        <vt:i4>0</vt:i4>
      </vt:variant>
      <vt:variant>
        <vt:i4>5</vt:i4>
      </vt:variant>
      <vt:variant>
        <vt:lpwstr/>
      </vt:variant>
      <vt:variant>
        <vt:lpwstr>_Toc529374046</vt:lpwstr>
      </vt:variant>
      <vt:variant>
        <vt:i4>1441851</vt:i4>
      </vt:variant>
      <vt:variant>
        <vt:i4>14</vt:i4>
      </vt:variant>
      <vt:variant>
        <vt:i4>0</vt:i4>
      </vt:variant>
      <vt:variant>
        <vt:i4>5</vt:i4>
      </vt:variant>
      <vt:variant>
        <vt:lpwstr/>
      </vt:variant>
      <vt:variant>
        <vt:lpwstr>_Toc529374045</vt:lpwstr>
      </vt:variant>
      <vt:variant>
        <vt:i4>1441851</vt:i4>
      </vt:variant>
      <vt:variant>
        <vt:i4>8</vt:i4>
      </vt:variant>
      <vt:variant>
        <vt:i4>0</vt:i4>
      </vt:variant>
      <vt:variant>
        <vt:i4>5</vt:i4>
      </vt:variant>
      <vt:variant>
        <vt:lpwstr/>
      </vt:variant>
      <vt:variant>
        <vt:lpwstr>_Toc529374044</vt:lpwstr>
      </vt:variant>
      <vt:variant>
        <vt:i4>1441851</vt:i4>
      </vt:variant>
      <vt:variant>
        <vt:i4>2</vt:i4>
      </vt:variant>
      <vt:variant>
        <vt:i4>0</vt:i4>
      </vt:variant>
      <vt:variant>
        <vt:i4>5</vt:i4>
      </vt:variant>
      <vt:variant>
        <vt:lpwstr/>
      </vt:variant>
      <vt:variant>
        <vt:lpwstr>_Toc529374043</vt:lpwstr>
      </vt:variant>
      <vt:variant>
        <vt:i4>7536757</vt:i4>
      </vt:variant>
      <vt:variant>
        <vt:i4>18</vt:i4>
      </vt:variant>
      <vt:variant>
        <vt:i4>0</vt:i4>
      </vt:variant>
      <vt:variant>
        <vt:i4>5</vt:i4>
      </vt:variant>
      <vt:variant>
        <vt:lpwstr>http://joomla.corteidh.or.cr:8080/joomla/es/casos-contenciosos/38-jurisprudencia/192-corte-idh-caso-velasquez-rodriguez-vs-honduras-fondo-sentencia-de-29-de-julio-de-1988-serie-c-no-4</vt:lpwstr>
      </vt:variant>
      <vt:variant>
        <vt:lpwstr/>
      </vt:variant>
      <vt:variant>
        <vt:i4>7536757</vt:i4>
      </vt:variant>
      <vt:variant>
        <vt:i4>15</vt:i4>
      </vt:variant>
      <vt:variant>
        <vt:i4>0</vt:i4>
      </vt:variant>
      <vt:variant>
        <vt:i4>5</vt:i4>
      </vt:variant>
      <vt:variant>
        <vt:lpwstr>http://joomla.corteidh.or.cr:8080/joomla/es/casos-contenciosos/38-jurisprudencia/192-corte-idh-caso-velasquez-rodriguez-vs-honduras-fondo-sentencia-de-29-de-julio-de-1988-serie-c-no-4</vt:lpwstr>
      </vt:variant>
      <vt:variant>
        <vt:lpwstr/>
      </vt:variant>
      <vt:variant>
        <vt:i4>7667824</vt:i4>
      </vt:variant>
      <vt:variant>
        <vt:i4>12</vt:i4>
      </vt:variant>
      <vt:variant>
        <vt:i4>0</vt:i4>
      </vt:variant>
      <vt:variant>
        <vt:i4>5</vt:i4>
      </vt:variant>
      <vt:variant>
        <vt:lpwstr>http://www.bjdh.org.mx/interamericano/busqueda</vt:lpwstr>
      </vt:variant>
      <vt:variant>
        <vt:lpwstr/>
      </vt:variant>
      <vt:variant>
        <vt:i4>2162812</vt:i4>
      </vt:variant>
      <vt:variant>
        <vt:i4>9</vt:i4>
      </vt:variant>
      <vt:variant>
        <vt:i4>0</vt:i4>
      </vt:variant>
      <vt:variant>
        <vt:i4>5</vt:i4>
      </vt:variant>
      <vt:variant>
        <vt:lpwstr>http://www.oas.org/es/cidh/ppl/informes/pdfs/Informe-PP-2013-es.pdf</vt:lpwstr>
      </vt:variant>
      <vt:variant>
        <vt:lpwstr/>
      </vt:variant>
      <vt:variant>
        <vt:i4>2162812</vt:i4>
      </vt:variant>
      <vt:variant>
        <vt:i4>6</vt:i4>
      </vt:variant>
      <vt:variant>
        <vt:i4>0</vt:i4>
      </vt:variant>
      <vt:variant>
        <vt:i4>5</vt:i4>
      </vt:variant>
      <vt:variant>
        <vt:lpwstr>http://www.oas.org/es/cidh/ppl/informes/pdfs/Informe-PP-2013-es.pdf</vt:lpwstr>
      </vt:variant>
      <vt:variant>
        <vt:lpwstr/>
      </vt:variant>
      <vt:variant>
        <vt:i4>2162812</vt:i4>
      </vt:variant>
      <vt:variant>
        <vt:i4>3</vt:i4>
      </vt:variant>
      <vt:variant>
        <vt:i4>0</vt:i4>
      </vt:variant>
      <vt:variant>
        <vt:i4>5</vt:i4>
      </vt:variant>
      <vt:variant>
        <vt:lpwstr>http://www.oas.org/es/cidh/ppl/informes/pdfs/Informe-PP-2013-es.pdf</vt:lpwstr>
      </vt:variant>
      <vt:variant>
        <vt:lpwstr/>
      </vt:variant>
      <vt:variant>
        <vt:i4>4259919</vt:i4>
      </vt:variant>
      <vt:variant>
        <vt:i4>0</vt:i4>
      </vt:variant>
      <vt:variant>
        <vt:i4>0</vt:i4>
      </vt:variant>
      <vt:variant>
        <vt:i4>5</vt:i4>
      </vt:variant>
      <vt:variant>
        <vt:lpwstr>http://www.oas.org/es/cidh/docs/pdfs/SEGURIDAD CIUDADANA 2009 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2020-11-06T19:38:00Z</dcterms:created>
  <dcterms:modified xsi:type="dcterms:W3CDTF">2020-11-06T19:38:00Z</dcterms:modified>
</cp:coreProperties>
</file>