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34145DF" w14:textId="77777777" w:rsidR="00394820" w:rsidRPr="00DF239E" w:rsidRDefault="00394820" w:rsidP="00B45B3C">
      <w:pPr>
        <w:spacing w:after="0" w:line="240" w:lineRule="auto"/>
        <w:jc w:val="right"/>
        <w:rPr>
          <w:rFonts w:ascii="Cambria" w:hAnsi="Cambria" w:cs="Calibri"/>
          <w:color w:val="000000"/>
          <w:sz w:val="20"/>
          <w:szCs w:val="20"/>
          <w:lang w:val="es-ES"/>
        </w:rPr>
      </w:pPr>
    </w:p>
    <w:p w14:paraId="0A226524" w14:textId="77777777" w:rsidR="00162CE1" w:rsidRPr="00E14091" w:rsidRDefault="00B60A4A" w:rsidP="004B6985">
      <w:pPr>
        <w:spacing w:after="0" w:line="240" w:lineRule="auto"/>
        <w:ind w:left="6480" w:firstLine="720"/>
        <w:rPr>
          <w:rFonts w:ascii="Cambria" w:hAnsi="Cambria" w:cs="Calibri"/>
          <w:color w:val="000000"/>
          <w:sz w:val="20"/>
          <w:szCs w:val="20"/>
          <w:lang w:val="pt-BR"/>
        </w:rPr>
      </w:pPr>
      <w:r w:rsidRPr="00E14091">
        <w:rPr>
          <w:rFonts w:ascii="Cambria" w:hAnsi="Cambria" w:cs="Calibri"/>
          <w:color w:val="000000"/>
          <w:sz w:val="20"/>
          <w:szCs w:val="20"/>
          <w:lang w:val="pt-BR"/>
        </w:rPr>
        <w:t>12</w:t>
      </w:r>
      <w:r w:rsidR="00DF239E" w:rsidRPr="00E14091">
        <w:rPr>
          <w:rFonts w:ascii="Cambria" w:hAnsi="Cambria" w:cs="Calibri"/>
          <w:color w:val="000000"/>
          <w:sz w:val="20"/>
          <w:szCs w:val="20"/>
          <w:lang w:val="pt-BR"/>
        </w:rPr>
        <w:t xml:space="preserve"> de agosto</w:t>
      </w:r>
      <w:r w:rsidR="00DE2CA0" w:rsidRPr="00E14091">
        <w:rPr>
          <w:rFonts w:ascii="Cambria" w:hAnsi="Cambria" w:cs="Calibri"/>
          <w:color w:val="000000"/>
          <w:sz w:val="20"/>
          <w:szCs w:val="20"/>
          <w:lang w:val="pt-BR"/>
        </w:rPr>
        <w:t xml:space="preserve"> de 2020</w:t>
      </w:r>
    </w:p>
    <w:p w14:paraId="648EC37C" w14:textId="77777777" w:rsidR="00362B34" w:rsidRPr="00E14091" w:rsidRDefault="00362B34" w:rsidP="00E679BD">
      <w:pPr>
        <w:spacing w:after="0" w:line="240" w:lineRule="auto"/>
        <w:rPr>
          <w:rFonts w:ascii="Cambria" w:hAnsi="Cambria" w:cs="Calibri"/>
          <w:color w:val="000000"/>
          <w:sz w:val="20"/>
          <w:szCs w:val="20"/>
          <w:lang w:val="pt-BR"/>
        </w:rPr>
      </w:pPr>
    </w:p>
    <w:p w14:paraId="53EE48BB" w14:textId="77777777" w:rsidR="00162CE1" w:rsidRPr="00E14091" w:rsidRDefault="0042403B" w:rsidP="002E628E">
      <w:pPr>
        <w:spacing w:after="0" w:line="240" w:lineRule="auto"/>
        <w:jc w:val="both"/>
        <w:rPr>
          <w:rFonts w:ascii="Cambria" w:hAnsi="Cambria" w:cs="Calibri"/>
          <w:b/>
          <w:color w:val="000000"/>
          <w:sz w:val="20"/>
          <w:szCs w:val="20"/>
          <w:lang w:val="pt-BR"/>
        </w:rPr>
      </w:pPr>
      <w:r w:rsidRPr="00E14091">
        <w:rPr>
          <w:rFonts w:ascii="Cambria" w:hAnsi="Cambria" w:cs="Calibri"/>
          <w:b/>
          <w:color w:val="000000"/>
          <w:sz w:val="20"/>
          <w:szCs w:val="20"/>
          <w:lang w:val="pt-BR"/>
        </w:rPr>
        <w:t>REF</w:t>
      </w:r>
      <w:r w:rsidR="00162CE1" w:rsidRPr="00E14091">
        <w:rPr>
          <w:rFonts w:ascii="Cambria" w:hAnsi="Cambria" w:cs="Calibri"/>
          <w:b/>
          <w:color w:val="000000"/>
          <w:sz w:val="20"/>
          <w:szCs w:val="20"/>
          <w:lang w:val="pt-BR"/>
        </w:rPr>
        <w:t>.:</w:t>
      </w:r>
      <w:bookmarkStart w:id="0" w:name="Peticion_n"/>
      <w:bookmarkEnd w:id="0"/>
      <w:r w:rsidR="00A2631B" w:rsidRPr="00E14091">
        <w:rPr>
          <w:rFonts w:ascii="Cambria" w:hAnsi="Cambria" w:cs="Calibri"/>
          <w:b/>
          <w:color w:val="000000"/>
          <w:sz w:val="20"/>
          <w:szCs w:val="20"/>
          <w:lang w:val="pt-BR"/>
        </w:rPr>
        <w:tab/>
        <w:t>Caso Nº</w:t>
      </w:r>
      <w:r w:rsidR="00162CE1" w:rsidRPr="00E14091">
        <w:rPr>
          <w:rFonts w:ascii="Cambria" w:hAnsi="Cambria" w:cs="Calibri"/>
          <w:b/>
          <w:color w:val="000000"/>
          <w:sz w:val="20"/>
          <w:szCs w:val="20"/>
          <w:lang w:val="pt-BR"/>
        </w:rPr>
        <w:t xml:space="preserve"> </w:t>
      </w:r>
      <w:r w:rsidR="00B60A4A" w:rsidRPr="00E14091">
        <w:rPr>
          <w:rFonts w:ascii="Cambria" w:hAnsi="Cambria" w:cs="Calibri"/>
          <w:b/>
          <w:color w:val="000000"/>
          <w:sz w:val="20"/>
          <w:szCs w:val="20"/>
          <w:lang w:val="pt-BR"/>
        </w:rPr>
        <w:t>12.949</w:t>
      </w:r>
    </w:p>
    <w:p w14:paraId="77692238" w14:textId="77777777" w:rsidR="004C5616" w:rsidRPr="00E14091" w:rsidRDefault="00B60A4A" w:rsidP="002E628E">
      <w:pPr>
        <w:spacing w:after="0" w:line="240" w:lineRule="auto"/>
        <w:ind w:firstLine="720"/>
        <w:jc w:val="both"/>
        <w:rPr>
          <w:rFonts w:ascii="Cambria" w:hAnsi="Cambria" w:cs="Calibri"/>
          <w:b/>
          <w:color w:val="000000"/>
          <w:sz w:val="20"/>
          <w:szCs w:val="20"/>
          <w:lang w:val="es-ES"/>
        </w:rPr>
      </w:pPr>
      <w:r w:rsidRPr="00E14091">
        <w:rPr>
          <w:rFonts w:ascii="Cambria" w:hAnsi="Cambria" w:cs="Calibri"/>
          <w:b/>
          <w:color w:val="000000"/>
          <w:sz w:val="20"/>
          <w:szCs w:val="20"/>
          <w:lang w:val="es-ES"/>
        </w:rPr>
        <w:t>Comunidad Garífuna de San Juan y sus Miembros</w:t>
      </w:r>
    </w:p>
    <w:p w14:paraId="1752BAF4" w14:textId="77777777" w:rsidR="00DE2CA0" w:rsidRPr="00E14091" w:rsidRDefault="0000621C" w:rsidP="002E628E">
      <w:pPr>
        <w:spacing w:after="0" w:line="240" w:lineRule="auto"/>
        <w:ind w:firstLine="720"/>
        <w:jc w:val="both"/>
        <w:rPr>
          <w:rFonts w:ascii="Cambria" w:hAnsi="Cambria" w:cs="Calibri"/>
          <w:b/>
          <w:color w:val="000000"/>
          <w:sz w:val="20"/>
          <w:szCs w:val="20"/>
          <w:lang w:val="es-ES"/>
        </w:rPr>
      </w:pPr>
      <w:r w:rsidRPr="00E14091">
        <w:rPr>
          <w:rFonts w:ascii="Cambria" w:hAnsi="Cambria" w:cs="Calibri"/>
          <w:b/>
          <w:color w:val="000000"/>
          <w:sz w:val="20"/>
          <w:szCs w:val="20"/>
          <w:lang w:val="es-ES"/>
        </w:rPr>
        <w:t>Honduras</w:t>
      </w:r>
    </w:p>
    <w:p w14:paraId="5BDAD8D0" w14:textId="77777777" w:rsidR="00394820" w:rsidRPr="00E14091" w:rsidRDefault="00394820" w:rsidP="002E628E">
      <w:pPr>
        <w:spacing w:after="0" w:line="240" w:lineRule="auto"/>
        <w:jc w:val="both"/>
        <w:rPr>
          <w:rFonts w:ascii="Cambria" w:hAnsi="Cambria" w:cs="Calibri"/>
          <w:b/>
          <w:color w:val="000000"/>
          <w:sz w:val="20"/>
          <w:szCs w:val="20"/>
          <w:lang w:val="es-ES"/>
        </w:rPr>
      </w:pPr>
    </w:p>
    <w:p w14:paraId="75BC89E9" w14:textId="77777777" w:rsidR="00F66C5C" w:rsidRPr="00E14091" w:rsidRDefault="00F66C5C" w:rsidP="002E628E">
      <w:pPr>
        <w:spacing w:after="0" w:line="240" w:lineRule="auto"/>
        <w:jc w:val="both"/>
        <w:rPr>
          <w:rFonts w:ascii="Cambria" w:hAnsi="Cambria" w:cs="Calibri"/>
          <w:b/>
          <w:color w:val="000000"/>
          <w:sz w:val="20"/>
          <w:szCs w:val="20"/>
          <w:lang w:val="es-ES"/>
        </w:rPr>
      </w:pPr>
    </w:p>
    <w:p w14:paraId="5D03B47E" w14:textId="77777777" w:rsidR="00162CE1" w:rsidRPr="00E14091" w:rsidRDefault="00162CE1" w:rsidP="002E628E">
      <w:pPr>
        <w:spacing w:after="0" w:line="240" w:lineRule="auto"/>
        <w:jc w:val="both"/>
        <w:rPr>
          <w:rFonts w:ascii="Cambria" w:hAnsi="Cambria" w:cs="Calibri"/>
          <w:color w:val="000000"/>
          <w:sz w:val="20"/>
          <w:szCs w:val="20"/>
          <w:lang w:val="es-ES"/>
        </w:rPr>
      </w:pPr>
      <w:r w:rsidRPr="00E14091">
        <w:rPr>
          <w:rFonts w:ascii="Cambria" w:hAnsi="Cambria" w:cs="Calibri"/>
          <w:color w:val="000000"/>
          <w:sz w:val="20"/>
          <w:szCs w:val="20"/>
          <w:lang w:val="es-ES"/>
        </w:rPr>
        <w:t>Señor Secretario:</w:t>
      </w:r>
    </w:p>
    <w:p w14:paraId="7230218F" w14:textId="77777777" w:rsidR="00162CE1" w:rsidRPr="00E14091" w:rsidRDefault="00162CE1" w:rsidP="002E628E">
      <w:pPr>
        <w:spacing w:after="0" w:line="240" w:lineRule="auto"/>
        <w:jc w:val="both"/>
        <w:rPr>
          <w:rFonts w:ascii="Cambria" w:hAnsi="Cambria" w:cs="Calibri"/>
          <w:color w:val="000000"/>
          <w:sz w:val="20"/>
          <w:szCs w:val="20"/>
          <w:lang w:val="es-ES"/>
        </w:rPr>
      </w:pPr>
    </w:p>
    <w:p w14:paraId="3B845858" w14:textId="77777777" w:rsidR="00B60A4A" w:rsidRPr="00E14091" w:rsidRDefault="00DF239E" w:rsidP="00B60A4A">
      <w:pPr>
        <w:tabs>
          <w:tab w:val="left" w:pos="720"/>
          <w:tab w:val="left" w:pos="2880"/>
        </w:tabs>
        <w:spacing w:after="0" w:line="240" w:lineRule="auto"/>
        <w:jc w:val="both"/>
        <w:rPr>
          <w:rFonts w:ascii="Cambria" w:eastAsia="Arial Unicode MS" w:hAnsi="Cambria"/>
          <w:color w:val="000000"/>
          <w:sz w:val="20"/>
          <w:szCs w:val="20"/>
          <w:bdr w:val="nil"/>
          <w:lang w:val="es-ES_tradnl"/>
        </w:rPr>
      </w:pPr>
      <w:r w:rsidRPr="00E14091">
        <w:rPr>
          <w:rFonts w:ascii="Cambria" w:eastAsia="Arial Unicode MS" w:hAnsi="Cambria"/>
          <w:color w:val="000000"/>
          <w:sz w:val="20"/>
          <w:szCs w:val="20"/>
          <w:bdr w:val="nil"/>
          <w:lang w:val="es-ES_tradnl"/>
        </w:rPr>
        <w:tab/>
      </w:r>
      <w:r w:rsidR="00162CE1" w:rsidRPr="00E14091">
        <w:rPr>
          <w:rFonts w:ascii="Cambria" w:eastAsia="Arial Unicode MS" w:hAnsi="Cambria"/>
          <w:color w:val="000000"/>
          <w:sz w:val="20"/>
          <w:szCs w:val="20"/>
          <w:bdr w:val="nil"/>
          <w:lang w:val="es-ES_tradnl"/>
        </w:rPr>
        <w:t>Tengo el agrado de dirigirme a usted</w:t>
      </w:r>
      <w:r w:rsidR="0042403B" w:rsidRPr="00E14091">
        <w:rPr>
          <w:rFonts w:ascii="Cambria" w:eastAsia="Arial Unicode MS" w:hAnsi="Cambria"/>
          <w:color w:val="000000"/>
          <w:sz w:val="20"/>
          <w:szCs w:val="20"/>
          <w:bdr w:val="nil"/>
          <w:lang w:val="es-ES_tradnl"/>
        </w:rPr>
        <w:t>,</w:t>
      </w:r>
      <w:r w:rsidR="00162CE1" w:rsidRPr="00E14091">
        <w:rPr>
          <w:rFonts w:ascii="Cambria" w:eastAsia="Arial Unicode MS" w:hAnsi="Cambria"/>
          <w:color w:val="000000"/>
          <w:sz w:val="20"/>
          <w:szCs w:val="20"/>
          <w:bdr w:val="nil"/>
          <w:lang w:val="es-ES_tradnl"/>
        </w:rPr>
        <w:t xml:space="preserve"> en nombre de la Comisión Interamericana de Derechos Humanos</w:t>
      </w:r>
      <w:r w:rsidR="0042403B" w:rsidRPr="00E14091">
        <w:rPr>
          <w:rFonts w:ascii="Cambria" w:eastAsia="Arial Unicode MS" w:hAnsi="Cambria"/>
          <w:color w:val="000000"/>
          <w:sz w:val="20"/>
          <w:szCs w:val="20"/>
          <w:bdr w:val="nil"/>
          <w:lang w:val="es-ES_tradnl"/>
        </w:rPr>
        <w:t>,</w:t>
      </w:r>
      <w:r w:rsidR="00162CE1" w:rsidRPr="00E14091">
        <w:rPr>
          <w:rFonts w:ascii="Cambria" w:eastAsia="Arial Unicode MS" w:hAnsi="Cambria"/>
          <w:color w:val="000000"/>
          <w:sz w:val="20"/>
          <w:szCs w:val="20"/>
          <w:bdr w:val="nil"/>
          <w:lang w:val="es-ES_tradnl"/>
        </w:rPr>
        <w:t xml:space="preserve"> con el objeto de someter a la jurisdicción de la Honorable Corte Interame</w:t>
      </w:r>
      <w:r w:rsidR="009E433A" w:rsidRPr="00E14091">
        <w:rPr>
          <w:rFonts w:ascii="Cambria" w:eastAsia="Arial Unicode MS" w:hAnsi="Cambria"/>
          <w:color w:val="000000"/>
          <w:sz w:val="20"/>
          <w:szCs w:val="20"/>
          <w:bdr w:val="nil"/>
          <w:lang w:val="es-ES_tradnl"/>
        </w:rPr>
        <w:t xml:space="preserve">ricana de Derechos Humanos, el </w:t>
      </w:r>
      <w:r w:rsidR="002E628E" w:rsidRPr="00E14091">
        <w:rPr>
          <w:rFonts w:ascii="Cambria" w:eastAsia="Arial Unicode MS" w:hAnsi="Cambria"/>
          <w:color w:val="000000"/>
          <w:sz w:val="20"/>
          <w:szCs w:val="20"/>
          <w:bdr w:val="nil"/>
          <w:lang w:val="es-ES_tradnl"/>
        </w:rPr>
        <w:t>C</w:t>
      </w:r>
      <w:r w:rsidR="00162CE1" w:rsidRPr="00E14091">
        <w:rPr>
          <w:rFonts w:ascii="Cambria" w:eastAsia="Arial Unicode MS" w:hAnsi="Cambria"/>
          <w:color w:val="000000"/>
          <w:sz w:val="20"/>
          <w:szCs w:val="20"/>
          <w:bdr w:val="nil"/>
          <w:lang w:val="es-ES_tradnl"/>
        </w:rPr>
        <w:t xml:space="preserve">aso </w:t>
      </w:r>
      <w:bookmarkStart w:id="1" w:name="Peticion_n1"/>
      <w:bookmarkEnd w:id="1"/>
      <w:r w:rsidR="00B60A4A" w:rsidRPr="00E14091">
        <w:rPr>
          <w:rFonts w:ascii="Cambria" w:eastAsia="Arial Unicode MS" w:hAnsi="Cambria"/>
          <w:color w:val="000000"/>
          <w:sz w:val="20"/>
          <w:szCs w:val="20"/>
          <w:bdr w:val="nil"/>
          <w:lang w:val="es-ES_tradnl"/>
        </w:rPr>
        <w:t>12.949</w:t>
      </w:r>
      <w:r w:rsidR="009E433A" w:rsidRPr="00E14091">
        <w:rPr>
          <w:rFonts w:ascii="Cambria" w:eastAsia="Arial Unicode MS" w:hAnsi="Cambria"/>
          <w:color w:val="000000"/>
          <w:sz w:val="20"/>
          <w:szCs w:val="20"/>
          <w:bdr w:val="nil"/>
          <w:lang w:val="es-ES_tradnl"/>
        </w:rPr>
        <w:t xml:space="preserve"> </w:t>
      </w:r>
      <w:r w:rsidR="00E31CFC" w:rsidRPr="00E14091">
        <w:rPr>
          <w:rFonts w:ascii="Cambria" w:eastAsia="Arial Unicode MS" w:hAnsi="Cambria"/>
          <w:color w:val="000000"/>
          <w:sz w:val="20"/>
          <w:szCs w:val="20"/>
          <w:bdr w:val="nil"/>
          <w:lang w:val="es-ES_tradnl"/>
        </w:rPr>
        <w:t>–</w:t>
      </w:r>
      <w:r w:rsidR="00162CE1" w:rsidRPr="00E14091">
        <w:rPr>
          <w:rFonts w:ascii="Cambria" w:eastAsia="Arial Unicode MS" w:hAnsi="Cambria"/>
          <w:color w:val="000000"/>
          <w:sz w:val="20"/>
          <w:szCs w:val="20"/>
          <w:bdr w:val="nil"/>
          <w:lang w:val="es-ES_tradnl"/>
        </w:rPr>
        <w:t xml:space="preserve"> </w:t>
      </w:r>
      <w:r w:rsidR="00B60A4A" w:rsidRPr="00E14091">
        <w:rPr>
          <w:rFonts w:ascii="Cambria" w:eastAsia="Arial Unicode MS" w:hAnsi="Cambria"/>
          <w:color w:val="000000"/>
          <w:sz w:val="20"/>
          <w:szCs w:val="20"/>
          <w:bdr w:val="nil"/>
          <w:lang w:val="es-ES_tradnl"/>
        </w:rPr>
        <w:t>Comunidad Garífuna de San Juan y sus Miembros</w:t>
      </w:r>
      <w:r w:rsidR="006634BE" w:rsidRPr="00E14091">
        <w:rPr>
          <w:rFonts w:ascii="Cambria" w:eastAsia="Arial Unicode MS" w:hAnsi="Cambria"/>
          <w:color w:val="000000"/>
          <w:sz w:val="20"/>
          <w:szCs w:val="20"/>
          <w:bdr w:val="nil"/>
          <w:lang w:val="es-ES_tradnl"/>
        </w:rPr>
        <w:t>,</w:t>
      </w:r>
      <w:r w:rsidR="009E433A" w:rsidRPr="00E14091">
        <w:rPr>
          <w:rFonts w:ascii="Cambria" w:eastAsia="Arial Unicode MS" w:hAnsi="Cambria"/>
          <w:color w:val="000000"/>
          <w:sz w:val="20"/>
          <w:szCs w:val="20"/>
          <w:bdr w:val="nil"/>
          <w:lang w:val="es-ES_tradnl"/>
        </w:rPr>
        <w:t xml:space="preserve"> </w:t>
      </w:r>
      <w:r w:rsidR="00CB0139" w:rsidRPr="00E14091">
        <w:rPr>
          <w:rFonts w:ascii="Cambria" w:eastAsia="Arial Unicode MS" w:hAnsi="Cambria"/>
          <w:color w:val="000000"/>
          <w:sz w:val="20"/>
          <w:szCs w:val="20"/>
          <w:bdr w:val="nil"/>
          <w:lang w:val="es-ES_tradnl"/>
        </w:rPr>
        <w:t>de</w:t>
      </w:r>
      <w:r w:rsidR="004A2758" w:rsidRPr="00E14091">
        <w:rPr>
          <w:rFonts w:ascii="Cambria" w:eastAsia="Arial Unicode MS" w:hAnsi="Cambria"/>
          <w:color w:val="000000"/>
          <w:sz w:val="20"/>
          <w:szCs w:val="20"/>
          <w:bdr w:val="nil"/>
          <w:lang w:val="es-ES_tradnl"/>
        </w:rPr>
        <w:t xml:space="preserve"> </w:t>
      </w:r>
      <w:r w:rsidR="00333497" w:rsidRPr="00E14091">
        <w:rPr>
          <w:rFonts w:ascii="Cambria" w:eastAsia="Arial Unicode MS" w:hAnsi="Cambria"/>
          <w:color w:val="000000"/>
          <w:sz w:val="20"/>
          <w:szCs w:val="20"/>
          <w:bdr w:val="nil"/>
          <w:lang w:val="es-ES_tradnl"/>
        </w:rPr>
        <w:t xml:space="preserve">la República de </w:t>
      </w:r>
      <w:r w:rsidR="00B60A4A" w:rsidRPr="00E14091">
        <w:rPr>
          <w:rFonts w:ascii="Cambria" w:eastAsia="Arial Unicode MS" w:hAnsi="Cambria"/>
          <w:color w:val="000000"/>
          <w:sz w:val="20"/>
          <w:szCs w:val="20"/>
          <w:bdr w:val="nil"/>
          <w:lang w:val="es-ES_tradnl"/>
        </w:rPr>
        <w:t xml:space="preserve">Honduras </w:t>
      </w:r>
      <w:r w:rsidR="00162CE1" w:rsidRPr="00E14091">
        <w:rPr>
          <w:rFonts w:ascii="Cambria" w:eastAsia="Arial Unicode MS" w:hAnsi="Cambria"/>
          <w:color w:val="000000"/>
          <w:sz w:val="20"/>
          <w:szCs w:val="20"/>
          <w:bdr w:val="nil"/>
          <w:lang w:val="es-ES_tradnl"/>
        </w:rPr>
        <w:t xml:space="preserve">(en adelante “el Estado”, “el Estado </w:t>
      </w:r>
      <w:r w:rsidR="00B60A4A" w:rsidRPr="00E14091">
        <w:rPr>
          <w:rFonts w:ascii="Cambria" w:eastAsia="Arial Unicode MS" w:hAnsi="Cambria"/>
          <w:color w:val="000000"/>
          <w:sz w:val="20"/>
          <w:szCs w:val="20"/>
          <w:bdr w:val="nil"/>
          <w:lang w:val="es-ES_tradnl"/>
        </w:rPr>
        <w:t>hondureño</w:t>
      </w:r>
      <w:r w:rsidR="00162CE1" w:rsidRPr="00E14091">
        <w:rPr>
          <w:rFonts w:ascii="Cambria" w:eastAsia="Arial Unicode MS" w:hAnsi="Cambria"/>
          <w:color w:val="000000"/>
          <w:sz w:val="20"/>
          <w:szCs w:val="20"/>
          <w:bdr w:val="nil"/>
          <w:lang w:val="es-ES_tradnl"/>
        </w:rPr>
        <w:t xml:space="preserve">” </w:t>
      </w:r>
      <w:r w:rsidR="00B60A4A" w:rsidRPr="00E14091">
        <w:rPr>
          <w:rFonts w:ascii="Cambria" w:eastAsia="Arial Unicode MS" w:hAnsi="Cambria"/>
          <w:color w:val="000000"/>
          <w:sz w:val="20"/>
          <w:szCs w:val="20"/>
          <w:bdr w:val="nil"/>
          <w:lang w:val="es-ES_tradnl"/>
        </w:rPr>
        <w:t>u</w:t>
      </w:r>
      <w:r w:rsidR="00162CE1" w:rsidRPr="00E14091">
        <w:rPr>
          <w:rFonts w:ascii="Cambria" w:eastAsia="Arial Unicode MS" w:hAnsi="Cambria"/>
          <w:color w:val="000000"/>
          <w:sz w:val="20"/>
          <w:szCs w:val="20"/>
          <w:bdr w:val="nil"/>
          <w:lang w:val="es-ES_tradnl"/>
        </w:rPr>
        <w:t xml:space="preserve"> “</w:t>
      </w:r>
      <w:r w:rsidR="00B60A4A" w:rsidRPr="00E14091">
        <w:rPr>
          <w:rFonts w:ascii="Cambria" w:eastAsia="Arial Unicode MS" w:hAnsi="Cambria"/>
          <w:color w:val="000000"/>
          <w:sz w:val="20"/>
          <w:szCs w:val="20"/>
          <w:bdr w:val="nil"/>
          <w:lang w:val="es-ES_tradnl"/>
        </w:rPr>
        <w:t>Honduras</w:t>
      </w:r>
      <w:r w:rsidR="00162CE1" w:rsidRPr="00E14091">
        <w:rPr>
          <w:rFonts w:ascii="Cambria" w:eastAsia="Arial Unicode MS" w:hAnsi="Cambria"/>
          <w:color w:val="000000"/>
          <w:sz w:val="20"/>
          <w:szCs w:val="20"/>
          <w:bdr w:val="nil"/>
          <w:lang w:val="es-ES_tradnl"/>
        </w:rPr>
        <w:t>”)</w:t>
      </w:r>
      <w:r w:rsidR="000F4B43" w:rsidRPr="00E14091">
        <w:rPr>
          <w:rFonts w:ascii="Cambria" w:eastAsia="Arial Unicode MS" w:hAnsi="Cambria"/>
          <w:color w:val="000000"/>
          <w:sz w:val="20"/>
          <w:szCs w:val="20"/>
          <w:bdr w:val="nil"/>
          <w:lang w:val="es-ES_tradnl"/>
        </w:rPr>
        <w:t>. El caso se refiere a</w:t>
      </w:r>
      <w:r w:rsidR="004C5616" w:rsidRPr="00E14091">
        <w:rPr>
          <w:rFonts w:ascii="Cambria" w:eastAsia="Arial Unicode MS" w:hAnsi="Cambria"/>
          <w:color w:val="000000"/>
          <w:sz w:val="20"/>
          <w:szCs w:val="20"/>
          <w:bdr w:val="nil"/>
          <w:lang w:val="es-ES_tradnl"/>
        </w:rPr>
        <w:t xml:space="preserve"> </w:t>
      </w:r>
      <w:r w:rsidR="000F4B43" w:rsidRPr="00E14091">
        <w:rPr>
          <w:rFonts w:ascii="Cambria" w:eastAsia="Arial Unicode MS" w:hAnsi="Cambria"/>
          <w:color w:val="000000"/>
          <w:sz w:val="20"/>
          <w:szCs w:val="20"/>
          <w:bdr w:val="nil"/>
          <w:lang w:val="es-ES_tradnl"/>
        </w:rPr>
        <w:t xml:space="preserve">la responsabilidad internacional </w:t>
      </w:r>
      <w:r w:rsidR="00B60A4A" w:rsidRPr="00E14091">
        <w:rPr>
          <w:rFonts w:ascii="Cambria" w:eastAsia="Arial Unicode MS" w:hAnsi="Cambria"/>
          <w:color w:val="000000"/>
          <w:sz w:val="20"/>
          <w:szCs w:val="20"/>
          <w:bdr w:val="nil"/>
          <w:lang w:val="es-ES_tradnl"/>
        </w:rPr>
        <w:t>del Estado por la falta de protección de las tierras ancestrales de las Comunidades Garífuna de San Juan y Tornabé, así como las amenazas contra varios de sus líderes y lideresas.</w:t>
      </w:r>
    </w:p>
    <w:p w14:paraId="5F3E094D" w14:textId="77777777" w:rsidR="000F4B43" w:rsidRPr="00E14091" w:rsidRDefault="000F4B43" w:rsidP="000F4B43">
      <w:pPr>
        <w:pStyle w:val="parrafos"/>
        <w:tabs>
          <w:tab w:val="left" w:pos="360"/>
        </w:tabs>
        <w:rPr>
          <w:lang w:val="es-CO"/>
        </w:rPr>
      </w:pPr>
    </w:p>
    <w:p w14:paraId="69F7A6F0" w14:textId="77777777" w:rsidR="00F66C5C" w:rsidRPr="00E14091" w:rsidRDefault="00F66C5C" w:rsidP="00F66C5C">
      <w:pPr>
        <w:tabs>
          <w:tab w:val="left" w:pos="360"/>
          <w:tab w:val="left" w:pos="720"/>
          <w:tab w:val="left" w:pos="2880"/>
        </w:tabs>
        <w:spacing w:after="0" w:line="240" w:lineRule="auto"/>
        <w:jc w:val="both"/>
        <w:rPr>
          <w:rFonts w:ascii="Cambria" w:hAnsi="Cambria"/>
          <w:sz w:val="20"/>
          <w:szCs w:val="20"/>
          <w:lang w:val="es-CO"/>
        </w:rPr>
      </w:pPr>
      <w:r w:rsidRPr="00E14091">
        <w:rPr>
          <w:rFonts w:ascii="Cambria" w:hAnsi="Cambria"/>
          <w:sz w:val="20"/>
          <w:szCs w:val="20"/>
          <w:lang w:val="es-CO"/>
        </w:rPr>
        <w:tab/>
      </w:r>
      <w:r w:rsidRPr="00E14091">
        <w:rPr>
          <w:rFonts w:ascii="Cambria" w:hAnsi="Cambria"/>
          <w:sz w:val="20"/>
          <w:szCs w:val="20"/>
          <w:lang w:val="es-CO"/>
        </w:rPr>
        <w:tab/>
        <w:t>En su Informe de Fondo la Comisión analizó el caso teniendo presente la jurisprudencia del sistema interamericano respecto de los derechos de los puebl</w:t>
      </w:r>
      <w:r w:rsidR="00CE3C69" w:rsidRPr="00E14091">
        <w:rPr>
          <w:rFonts w:ascii="Cambria" w:hAnsi="Cambria"/>
          <w:sz w:val="20"/>
          <w:szCs w:val="20"/>
          <w:lang w:val="es-CO"/>
        </w:rPr>
        <w:t xml:space="preserve">os indígenas, en atención a las </w:t>
      </w:r>
      <w:r w:rsidRPr="00E14091">
        <w:rPr>
          <w:rFonts w:ascii="Cambria" w:hAnsi="Cambria"/>
          <w:sz w:val="20"/>
          <w:szCs w:val="20"/>
          <w:lang w:val="es-CO"/>
        </w:rPr>
        <w:t>características sociales, culturales y económicas distintivas</w:t>
      </w:r>
      <w:r w:rsidR="00CE3C69" w:rsidRPr="00E14091">
        <w:rPr>
          <w:rFonts w:ascii="Cambria" w:hAnsi="Cambria"/>
          <w:sz w:val="20"/>
          <w:szCs w:val="20"/>
          <w:lang w:val="es-CO"/>
        </w:rPr>
        <w:t xml:space="preserve"> del pueblo Garífuna</w:t>
      </w:r>
      <w:r w:rsidRPr="00E14091">
        <w:rPr>
          <w:rFonts w:ascii="Cambria" w:hAnsi="Cambria"/>
          <w:sz w:val="20"/>
          <w:szCs w:val="20"/>
          <w:lang w:val="es-CO"/>
        </w:rPr>
        <w:t>, incluyendo la relación especial con sus territorios ancestrales</w:t>
      </w:r>
      <w:r w:rsidR="00CE3C69" w:rsidRPr="00E14091">
        <w:rPr>
          <w:rFonts w:ascii="Cambria" w:hAnsi="Cambria"/>
          <w:sz w:val="20"/>
          <w:szCs w:val="20"/>
          <w:lang w:val="es-CO"/>
        </w:rPr>
        <w:t xml:space="preserve"> y tradicionales</w:t>
      </w:r>
      <w:r w:rsidRPr="00E14091">
        <w:rPr>
          <w:rFonts w:ascii="Cambria" w:hAnsi="Cambria"/>
          <w:sz w:val="20"/>
          <w:szCs w:val="20"/>
          <w:lang w:val="es-CO"/>
        </w:rPr>
        <w:t>.</w:t>
      </w:r>
    </w:p>
    <w:p w14:paraId="5CCC2877" w14:textId="77777777" w:rsidR="00F66C5C" w:rsidRPr="00E14091" w:rsidRDefault="00F66C5C" w:rsidP="00F66C5C">
      <w:pPr>
        <w:tabs>
          <w:tab w:val="left" w:pos="360"/>
          <w:tab w:val="left" w:pos="720"/>
          <w:tab w:val="left" w:pos="2880"/>
        </w:tabs>
        <w:spacing w:after="0" w:line="240" w:lineRule="auto"/>
        <w:jc w:val="both"/>
        <w:rPr>
          <w:rFonts w:ascii="Cambria" w:hAnsi="Cambria"/>
          <w:sz w:val="20"/>
          <w:szCs w:val="20"/>
          <w:lang w:val="es-CO"/>
        </w:rPr>
      </w:pPr>
    </w:p>
    <w:p w14:paraId="1F3950EC" w14:textId="77777777" w:rsidR="00362B34" w:rsidRPr="00E14091" w:rsidRDefault="00F66C5C" w:rsidP="00F66C5C">
      <w:pPr>
        <w:tabs>
          <w:tab w:val="left" w:pos="360"/>
          <w:tab w:val="left" w:pos="720"/>
          <w:tab w:val="left" w:pos="2880"/>
        </w:tabs>
        <w:spacing w:after="0" w:line="240" w:lineRule="auto"/>
        <w:jc w:val="both"/>
        <w:rPr>
          <w:lang w:val="es-ES"/>
        </w:rPr>
      </w:pPr>
      <w:r w:rsidRPr="00E14091">
        <w:rPr>
          <w:rFonts w:ascii="Cambria" w:hAnsi="Cambria"/>
          <w:sz w:val="20"/>
          <w:szCs w:val="20"/>
          <w:lang w:val="es-CO"/>
        </w:rPr>
        <w:tab/>
      </w:r>
      <w:r w:rsidRPr="00E14091">
        <w:rPr>
          <w:rFonts w:ascii="Cambria" w:hAnsi="Cambria"/>
          <w:sz w:val="20"/>
          <w:szCs w:val="20"/>
          <w:lang w:val="es-CO"/>
        </w:rPr>
        <w:tab/>
        <w:t xml:space="preserve">La CIDH observó que no existe controversia respecto a que la Comunidad Garífuna de San Juan no cuenta con un título de propiedad colectiva </w:t>
      </w:r>
      <w:r w:rsidR="00362B34" w:rsidRPr="00E14091">
        <w:rPr>
          <w:rFonts w:ascii="Cambria" w:hAnsi="Cambria"/>
          <w:sz w:val="20"/>
          <w:szCs w:val="20"/>
          <w:lang w:val="es-CO"/>
        </w:rPr>
        <w:t xml:space="preserve">que reconozca </w:t>
      </w:r>
      <w:r w:rsidRPr="00E14091">
        <w:rPr>
          <w:rFonts w:ascii="Cambria" w:hAnsi="Cambria"/>
          <w:sz w:val="20"/>
          <w:szCs w:val="20"/>
          <w:lang w:val="es-CO"/>
        </w:rPr>
        <w:t xml:space="preserve">la totalidad de sus tierras y territorios ancestrales. </w:t>
      </w:r>
      <w:r w:rsidR="00E679BD" w:rsidRPr="00E14091">
        <w:rPr>
          <w:rFonts w:ascii="Cambria" w:hAnsi="Cambria"/>
          <w:sz w:val="20"/>
          <w:szCs w:val="20"/>
          <w:lang w:val="es-CO"/>
        </w:rPr>
        <w:t>Al respecto, l</w:t>
      </w:r>
      <w:r w:rsidR="00A76AAC" w:rsidRPr="00E14091">
        <w:rPr>
          <w:rFonts w:ascii="Cambria" w:hAnsi="Cambria"/>
          <w:sz w:val="20"/>
          <w:szCs w:val="20"/>
          <w:lang w:val="es-CO"/>
        </w:rPr>
        <w:t>a Comisión</w:t>
      </w:r>
      <w:r w:rsidRPr="00E14091">
        <w:rPr>
          <w:rFonts w:ascii="Cambria" w:hAnsi="Cambria"/>
          <w:sz w:val="20"/>
          <w:szCs w:val="20"/>
          <w:lang w:val="es-CO"/>
        </w:rPr>
        <w:t xml:space="preserve"> consideró </w:t>
      </w:r>
      <w:r w:rsidR="00E679BD" w:rsidRPr="00E14091">
        <w:rPr>
          <w:rFonts w:ascii="Cambria" w:hAnsi="Cambria"/>
          <w:sz w:val="20"/>
          <w:szCs w:val="20"/>
          <w:lang w:val="es-CO"/>
        </w:rPr>
        <w:t xml:space="preserve">que, si bien en el año 2000 el instituto Nacional Agrario </w:t>
      </w:r>
      <w:r w:rsidR="00DA5306" w:rsidRPr="00E14091">
        <w:rPr>
          <w:rFonts w:ascii="Cambria" w:hAnsi="Cambria"/>
          <w:sz w:val="20"/>
          <w:szCs w:val="20"/>
          <w:lang w:val="es-CO"/>
        </w:rPr>
        <w:t>otorgó un título reconociendo</w:t>
      </w:r>
      <w:r w:rsidR="00E679BD" w:rsidRPr="00E14091">
        <w:rPr>
          <w:rFonts w:ascii="Cambria" w:hAnsi="Cambria"/>
          <w:sz w:val="20"/>
          <w:szCs w:val="20"/>
          <w:lang w:val="es-CO"/>
        </w:rPr>
        <w:t xml:space="preserve"> una porción del territorio ancestralmente reclamado, el Estado no ha cumplido con titular</w:t>
      </w:r>
      <w:r w:rsidR="00362B34" w:rsidRPr="00E14091">
        <w:rPr>
          <w:rFonts w:ascii="Cambria" w:hAnsi="Cambria"/>
          <w:sz w:val="20"/>
          <w:szCs w:val="20"/>
          <w:lang w:val="es-CO"/>
        </w:rPr>
        <w:t xml:space="preserve"> </w:t>
      </w:r>
      <w:r w:rsidR="00CE3C69" w:rsidRPr="00E14091">
        <w:rPr>
          <w:rFonts w:ascii="Cambria" w:hAnsi="Cambria"/>
          <w:sz w:val="20"/>
          <w:szCs w:val="20"/>
          <w:lang w:val="es-CO"/>
        </w:rPr>
        <w:t>la totalidad d</w:t>
      </w:r>
      <w:r w:rsidR="00362B34" w:rsidRPr="00E14091">
        <w:rPr>
          <w:rFonts w:ascii="Cambria" w:hAnsi="Cambria"/>
          <w:sz w:val="20"/>
          <w:szCs w:val="20"/>
          <w:lang w:val="es-CO"/>
        </w:rPr>
        <w:t>el territorio de la comunidad</w:t>
      </w:r>
      <w:r w:rsidR="00E679BD" w:rsidRPr="00E14091">
        <w:rPr>
          <w:rFonts w:ascii="Cambria" w:hAnsi="Cambria"/>
          <w:sz w:val="20"/>
          <w:szCs w:val="20"/>
          <w:lang w:val="es-CO"/>
        </w:rPr>
        <w:t>, lo cual</w:t>
      </w:r>
      <w:r w:rsidRPr="00E14091">
        <w:rPr>
          <w:rFonts w:ascii="Cambria" w:hAnsi="Cambria"/>
          <w:sz w:val="20"/>
          <w:szCs w:val="20"/>
          <w:lang w:val="es-CO"/>
        </w:rPr>
        <w:t xml:space="preserve"> ha impedido que la comunidad use y goce de sus tierras en forma pacífica. </w:t>
      </w:r>
      <w:r w:rsidR="00E679BD" w:rsidRPr="00E14091">
        <w:rPr>
          <w:rFonts w:ascii="Cambria" w:hAnsi="Cambria"/>
          <w:sz w:val="20"/>
          <w:szCs w:val="20"/>
          <w:lang w:val="es-CO"/>
        </w:rPr>
        <w:t xml:space="preserve">La Comisión evidenció la existencia de múltiples omisiones e irregularidades en la tramitación de la solicitud de titulación, incluyendo el extravío del expediente que fue abierto desde el año 1997 que contenía la solicitud presentada por la Comunidad.  Asimismo, en este escenario de falta de seguridad jurídica respecto de sus territorios ancestrales, la Comisión constató </w:t>
      </w:r>
      <w:r w:rsidRPr="00E14091">
        <w:rPr>
          <w:rFonts w:ascii="Cambria" w:hAnsi="Cambria"/>
          <w:sz w:val="20"/>
          <w:szCs w:val="20"/>
          <w:lang w:val="es-CO"/>
        </w:rPr>
        <w:t>el otorgamiento de títulos a terceros ajenos a la comunidad; el otorgamiento y funcionamiento de proyectos hoteleros; la ampliación del casco urbano de la Municipal</w:t>
      </w:r>
      <w:r w:rsidR="0052077F" w:rsidRPr="00E14091">
        <w:rPr>
          <w:rFonts w:ascii="Cambria" w:hAnsi="Cambria"/>
          <w:sz w:val="20"/>
          <w:szCs w:val="20"/>
          <w:lang w:val="es-CO"/>
        </w:rPr>
        <w:t xml:space="preserve">idad de Tela; y la creación de un </w:t>
      </w:r>
      <w:r w:rsidRPr="00E14091">
        <w:rPr>
          <w:rFonts w:ascii="Cambria" w:hAnsi="Cambria"/>
          <w:sz w:val="20"/>
          <w:szCs w:val="20"/>
          <w:lang w:val="es-CO"/>
        </w:rPr>
        <w:t>Parque Nacional</w:t>
      </w:r>
      <w:r w:rsidR="00362B34" w:rsidRPr="00E14091">
        <w:rPr>
          <w:rFonts w:ascii="Cambria" w:hAnsi="Cambria"/>
          <w:sz w:val="20"/>
          <w:szCs w:val="20"/>
          <w:lang w:val="es-CO"/>
        </w:rPr>
        <w:t xml:space="preserve"> en el territorio reivindicado por la comunidad. </w:t>
      </w:r>
      <w:r w:rsidR="00E679BD" w:rsidRPr="00E14091">
        <w:rPr>
          <w:rFonts w:ascii="Cambria" w:hAnsi="Cambria"/>
          <w:sz w:val="20"/>
          <w:szCs w:val="20"/>
          <w:lang w:val="es-CO"/>
        </w:rPr>
        <w:t>L</w:t>
      </w:r>
      <w:r w:rsidR="004976B2" w:rsidRPr="00E14091">
        <w:rPr>
          <w:rFonts w:ascii="Cambria" w:hAnsi="Cambria"/>
          <w:sz w:val="20"/>
          <w:szCs w:val="20"/>
          <w:lang w:val="es-CO"/>
        </w:rPr>
        <w:t xml:space="preserve">a Comisión en su informe de fondo </w:t>
      </w:r>
      <w:r w:rsidR="00E14091" w:rsidRPr="00E14091">
        <w:rPr>
          <w:rFonts w:ascii="Cambria" w:hAnsi="Cambria"/>
          <w:sz w:val="20"/>
          <w:szCs w:val="20"/>
          <w:lang w:val="es-CO"/>
        </w:rPr>
        <w:t>recordó,</w:t>
      </w:r>
      <w:r w:rsidR="00E679BD" w:rsidRPr="00E14091">
        <w:rPr>
          <w:rFonts w:ascii="Cambria" w:hAnsi="Cambria"/>
          <w:sz w:val="20"/>
          <w:szCs w:val="20"/>
          <w:lang w:val="es-CO"/>
        </w:rPr>
        <w:t xml:space="preserve"> asimismo</w:t>
      </w:r>
      <w:r w:rsidR="00362B34" w:rsidRPr="00E14091">
        <w:rPr>
          <w:rFonts w:ascii="Cambria" w:hAnsi="Cambria"/>
          <w:sz w:val="20"/>
          <w:szCs w:val="20"/>
          <w:lang w:val="es-CO"/>
        </w:rPr>
        <w:t>, que según lo ha hecho notar en anteriores oportunidades, el Estado tampoco cuenta con un marco jurídico adecuado que permita realizar de manera pronta y ágil la reubicación de habitantes no indígenas dentro de</w:t>
      </w:r>
      <w:r w:rsidR="004976B2" w:rsidRPr="00E14091">
        <w:rPr>
          <w:rFonts w:ascii="Cambria" w:hAnsi="Cambria"/>
          <w:sz w:val="20"/>
          <w:szCs w:val="20"/>
          <w:lang w:val="es-CO"/>
        </w:rPr>
        <w:t xml:space="preserve"> territorios reclamados ancestra</w:t>
      </w:r>
      <w:r w:rsidR="00362B34" w:rsidRPr="00E14091">
        <w:rPr>
          <w:rFonts w:ascii="Cambria" w:hAnsi="Cambria"/>
          <w:sz w:val="20"/>
          <w:szCs w:val="20"/>
          <w:lang w:val="es-CO"/>
        </w:rPr>
        <w:t>l</w:t>
      </w:r>
      <w:r w:rsidR="004976B2" w:rsidRPr="00E14091">
        <w:rPr>
          <w:rFonts w:ascii="Cambria" w:hAnsi="Cambria"/>
          <w:sz w:val="20"/>
          <w:szCs w:val="20"/>
          <w:lang w:val="es-CO"/>
        </w:rPr>
        <w:t>mente por pueblos y comunidades indígenas</w:t>
      </w:r>
      <w:r w:rsidR="00362B34" w:rsidRPr="00E14091">
        <w:rPr>
          <w:rFonts w:ascii="Cambria" w:hAnsi="Cambria"/>
          <w:sz w:val="20"/>
          <w:szCs w:val="20"/>
          <w:lang w:val="es-CO"/>
        </w:rPr>
        <w:t>.</w:t>
      </w:r>
    </w:p>
    <w:p w14:paraId="74E23297" w14:textId="77777777" w:rsidR="00F66C5C" w:rsidRPr="00E14091" w:rsidRDefault="00F66C5C" w:rsidP="00F66C5C">
      <w:pPr>
        <w:pStyle w:val="parrafos"/>
        <w:rPr>
          <w:rFonts w:eastAsia="Calibri"/>
          <w:color w:val="auto"/>
          <w:bdr w:val="none" w:sz="0" w:space="0" w:color="auto"/>
          <w:lang w:val="es-ES"/>
        </w:rPr>
      </w:pPr>
    </w:p>
    <w:p w14:paraId="24BBC84A" w14:textId="77777777" w:rsidR="00F66C5C" w:rsidRPr="00E14091" w:rsidRDefault="00F66C5C" w:rsidP="00F66C5C">
      <w:pPr>
        <w:pStyle w:val="parrafos"/>
        <w:tabs>
          <w:tab w:val="left" w:pos="720"/>
        </w:tabs>
        <w:rPr>
          <w:rFonts w:eastAsia="Times New Roman"/>
          <w:color w:val="auto"/>
          <w:bdr w:val="none" w:sz="0" w:space="0" w:color="auto"/>
          <w:lang w:val="es-ES_tradnl"/>
        </w:rPr>
      </w:pPr>
      <w:r w:rsidRPr="00E14091">
        <w:rPr>
          <w:rFonts w:eastAsia="Times New Roman"/>
          <w:color w:val="auto"/>
          <w:bdr w:val="none" w:sz="0" w:space="0" w:color="auto"/>
          <w:lang w:val="es-ES_tradnl"/>
        </w:rPr>
        <w:tab/>
        <w:t xml:space="preserve">Por lo expuesto, la </w:t>
      </w:r>
      <w:r w:rsidRPr="00E14091">
        <w:rPr>
          <w:color w:val="auto"/>
          <w:lang w:val="es-ES"/>
        </w:rPr>
        <w:t>Comisión</w:t>
      </w:r>
      <w:r w:rsidRPr="00E14091">
        <w:rPr>
          <w:rFonts w:eastAsia="Times New Roman"/>
          <w:color w:val="auto"/>
          <w:bdr w:val="none" w:sz="0" w:space="0" w:color="auto"/>
          <w:lang w:val="es-ES_tradnl"/>
        </w:rPr>
        <w:t xml:space="preserve"> concluyó que la falta de titulación de la totalidad del territorio de la Comunidad San Juan por parte del Estado, </w:t>
      </w:r>
      <w:r w:rsidRPr="00E14091">
        <w:rPr>
          <w:color w:val="auto"/>
          <w:lang w:val="es-AR"/>
        </w:rPr>
        <w:t>incluyendo</w:t>
      </w:r>
      <w:r w:rsidRPr="00E14091">
        <w:rPr>
          <w:color w:val="auto"/>
          <w:lang w:val="es-ES_tradnl"/>
        </w:rPr>
        <w:t xml:space="preserve"> las falencias en asegurar la propiedad y posesión pacíficas y la no injerencia de terceros, así como la falta de adopción de una legislación conforme a los estándares internacionales, violaron el derecho a la propiedad colectiva en perjuicio de la Comunidad Garífuna de San Juan y sus miembros. </w:t>
      </w:r>
    </w:p>
    <w:p w14:paraId="52FF750E" w14:textId="77777777" w:rsidR="00F66C5C" w:rsidRPr="00E14091" w:rsidRDefault="00F66C5C" w:rsidP="00F66C5C">
      <w:pPr>
        <w:pStyle w:val="parrafos"/>
        <w:tabs>
          <w:tab w:val="left" w:pos="720"/>
        </w:tabs>
        <w:rPr>
          <w:color w:val="auto"/>
          <w:lang w:val="es-ES_tradnl"/>
        </w:rPr>
      </w:pPr>
      <w:r w:rsidRPr="00E14091">
        <w:rPr>
          <w:color w:val="auto"/>
          <w:lang w:val="es-ES_tradnl"/>
        </w:rPr>
        <w:tab/>
      </w:r>
    </w:p>
    <w:p w14:paraId="2D3A8071" w14:textId="77777777" w:rsidR="00F66C5C" w:rsidRPr="00E14091" w:rsidRDefault="00F66C5C" w:rsidP="00F66C5C">
      <w:pPr>
        <w:spacing w:after="0" w:line="240" w:lineRule="auto"/>
        <w:jc w:val="both"/>
        <w:rPr>
          <w:rFonts w:ascii="Cambria" w:hAnsi="Cambria" w:cs="Calibri"/>
          <w:color w:val="000000"/>
          <w:sz w:val="20"/>
          <w:szCs w:val="20"/>
          <w:lang w:val="es-ES"/>
        </w:rPr>
      </w:pPr>
      <w:r w:rsidRPr="00E14091">
        <w:rPr>
          <w:rFonts w:ascii="Cambria" w:hAnsi="Cambria" w:cs="Calibri"/>
          <w:color w:val="000000"/>
          <w:sz w:val="20"/>
          <w:szCs w:val="20"/>
          <w:lang w:val="es-ES"/>
        </w:rPr>
        <w:t>Señor</w:t>
      </w:r>
    </w:p>
    <w:p w14:paraId="385E272C" w14:textId="77777777" w:rsidR="00F66C5C" w:rsidRPr="00E14091" w:rsidRDefault="00F66C5C" w:rsidP="00F66C5C">
      <w:pPr>
        <w:spacing w:after="0" w:line="240" w:lineRule="auto"/>
        <w:jc w:val="both"/>
        <w:rPr>
          <w:rFonts w:ascii="Cambria" w:hAnsi="Cambria" w:cs="Calibri"/>
          <w:color w:val="000000"/>
          <w:sz w:val="20"/>
          <w:szCs w:val="20"/>
          <w:lang w:val="es-ES"/>
        </w:rPr>
      </w:pPr>
      <w:r w:rsidRPr="00E14091">
        <w:rPr>
          <w:rFonts w:ascii="Cambria" w:hAnsi="Cambria" w:cs="Calibri"/>
          <w:color w:val="000000"/>
          <w:sz w:val="20"/>
          <w:szCs w:val="20"/>
          <w:lang w:val="es-ES"/>
        </w:rPr>
        <w:t>Pablo Saavedra Alessandri</w:t>
      </w:r>
    </w:p>
    <w:p w14:paraId="0F119EB3" w14:textId="77777777" w:rsidR="00F66C5C" w:rsidRPr="00E14091" w:rsidRDefault="00F66C5C" w:rsidP="00F66C5C">
      <w:pPr>
        <w:spacing w:after="0" w:line="240" w:lineRule="auto"/>
        <w:jc w:val="both"/>
        <w:rPr>
          <w:rFonts w:ascii="Cambria" w:hAnsi="Cambria" w:cs="Calibri"/>
          <w:color w:val="000000"/>
          <w:sz w:val="20"/>
          <w:szCs w:val="20"/>
          <w:lang w:val="es-ES"/>
        </w:rPr>
      </w:pPr>
      <w:r w:rsidRPr="00E14091">
        <w:rPr>
          <w:rFonts w:ascii="Cambria" w:hAnsi="Cambria" w:cs="Calibri"/>
          <w:color w:val="000000"/>
          <w:sz w:val="20"/>
          <w:szCs w:val="20"/>
          <w:lang w:val="es-ES"/>
        </w:rPr>
        <w:t>Secretario</w:t>
      </w:r>
    </w:p>
    <w:p w14:paraId="3201F918" w14:textId="77777777" w:rsidR="00F66C5C" w:rsidRPr="00E14091" w:rsidRDefault="00F66C5C" w:rsidP="00F66C5C">
      <w:pPr>
        <w:spacing w:after="0" w:line="240" w:lineRule="auto"/>
        <w:jc w:val="both"/>
        <w:rPr>
          <w:rFonts w:ascii="Cambria" w:hAnsi="Cambria" w:cs="Calibri"/>
          <w:color w:val="000000"/>
          <w:sz w:val="20"/>
          <w:szCs w:val="20"/>
          <w:lang w:val="es-ES"/>
        </w:rPr>
      </w:pPr>
      <w:r w:rsidRPr="00E14091">
        <w:rPr>
          <w:rFonts w:ascii="Cambria" w:hAnsi="Cambria" w:cs="Calibri"/>
          <w:color w:val="000000"/>
          <w:sz w:val="20"/>
          <w:szCs w:val="20"/>
          <w:lang w:val="es-ES"/>
        </w:rPr>
        <w:t>Corte Interamericana de Derechos Humanos</w:t>
      </w:r>
    </w:p>
    <w:p w14:paraId="10BDCCD0" w14:textId="77777777" w:rsidR="00F66C5C" w:rsidRPr="00E14091" w:rsidRDefault="00F66C5C" w:rsidP="00F66C5C">
      <w:pPr>
        <w:spacing w:after="0" w:line="240" w:lineRule="auto"/>
        <w:jc w:val="both"/>
        <w:rPr>
          <w:rFonts w:ascii="Cambria" w:hAnsi="Cambria" w:cs="Calibri"/>
          <w:color w:val="000000"/>
          <w:sz w:val="20"/>
          <w:szCs w:val="20"/>
          <w:lang w:val="es-ES"/>
        </w:rPr>
      </w:pPr>
      <w:r w:rsidRPr="00E14091">
        <w:rPr>
          <w:rFonts w:ascii="Cambria" w:hAnsi="Cambria" w:cs="Calibri"/>
          <w:color w:val="000000"/>
          <w:sz w:val="20"/>
          <w:szCs w:val="20"/>
          <w:lang w:val="es-ES"/>
        </w:rPr>
        <w:t>San José, Costa Rica</w:t>
      </w:r>
    </w:p>
    <w:p w14:paraId="5C66F8CA" w14:textId="77777777" w:rsidR="00F66C5C" w:rsidRPr="00E14091" w:rsidRDefault="00F66C5C" w:rsidP="00F66C5C">
      <w:pPr>
        <w:pStyle w:val="parrafos"/>
        <w:tabs>
          <w:tab w:val="left" w:pos="720"/>
        </w:tabs>
        <w:rPr>
          <w:color w:val="auto"/>
          <w:lang w:val="es-ES_tradnl"/>
        </w:rPr>
      </w:pPr>
    </w:p>
    <w:p w14:paraId="7563442E" w14:textId="77777777" w:rsidR="00362B34" w:rsidRPr="00E14091" w:rsidRDefault="00F66C5C" w:rsidP="00E679BD">
      <w:pPr>
        <w:pStyle w:val="parrafos"/>
        <w:tabs>
          <w:tab w:val="left" w:pos="720"/>
        </w:tabs>
        <w:ind w:firstLine="720"/>
        <w:rPr>
          <w:rFonts w:eastAsia="Times New Roman"/>
          <w:color w:val="auto"/>
          <w:bdr w:val="none" w:sz="0" w:space="0" w:color="auto"/>
          <w:lang w:val="es-ES_tradnl"/>
        </w:rPr>
      </w:pPr>
      <w:r w:rsidRPr="00E14091">
        <w:rPr>
          <w:color w:val="auto"/>
          <w:lang w:val="es-ES_tradnl"/>
        </w:rPr>
        <w:br w:type="page"/>
      </w:r>
      <w:r w:rsidR="00362B34" w:rsidRPr="00E14091">
        <w:rPr>
          <w:rFonts w:eastAsia="Calibri"/>
          <w:color w:val="auto"/>
          <w:bdr w:val="none" w:sz="0" w:space="0" w:color="auto"/>
          <w:lang w:val="es-MX"/>
        </w:rPr>
        <w:lastRenderedPageBreak/>
        <w:t xml:space="preserve">Por otra parte, la Comisión consideró que la falta de consulta previa respecto al otorgamiento de proyectos turísticos en </w:t>
      </w:r>
      <w:r w:rsidR="00362B34" w:rsidRPr="00E14091">
        <w:rPr>
          <w:color w:val="auto"/>
          <w:lang w:val="es-ES_tradnl"/>
        </w:rPr>
        <w:t>parte de las tierras y territorios reivindicados por la comunidad</w:t>
      </w:r>
      <w:r w:rsidR="00362B34" w:rsidRPr="00E14091">
        <w:rPr>
          <w:rFonts w:eastAsia="Calibri"/>
          <w:color w:val="auto"/>
          <w:bdr w:val="none" w:sz="0" w:space="0" w:color="auto"/>
          <w:lang w:val="es-MX"/>
        </w:rPr>
        <w:t>, así como la inexistencia de un marco legal que permita la materialización de dicha consulta, violaron los derechos de la comunidad a la propiedad colectiva, al acceso a la información, y a participar en los asuntos susceptibles de afectarles.</w:t>
      </w:r>
    </w:p>
    <w:p w14:paraId="7C3BA101" w14:textId="77777777" w:rsidR="00362B34" w:rsidRPr="00E14091" w:rsidRDefault="00362B34" w:rsidP="00CE3C69">
      <w:pPr>
        <w:pStyle w:val="parrafos"/>
        <w:tabs>
          <w:tab w:val="left" w:pos="720"/>
        </w:tabs>
        <w:rPr>
          <w:color w:val="auto"/>
          <w:lang w:val="es-ES_tradnl"/>
        </w:rPr>
      </w:pPr>
    </w:p>
    <w:p w14:paraId="169C8CCA" w14:textId="77777777" w:rsidR="00A76AAC" w:rsidRPr="00E14091" w:rsidRDefault="00362B34" w:rsidP="00A76AAC">
      <w:pPr>
        <w:pStyle w:val="parrafos"/>
        <w:tabs>
          <w:tab w:val="left" w:pos="720"/>
        </w:tabs>
        <w:ind w:firstLine="720"/>
        <w:rPr>
          <w:color w:val="auto"/>
          <w:lang w:val="es-ES_tradnl"/>
        </w:rPr>
      </w:pPr>
      <w:r w:rsidRPr="00E14091">
        <w:rPr>
          <w:color w:val="auto"/>
          <w:lang w:val="es-ES_tradnl"/>
        </w:rPr>
        <w:t>L</w:t>
      </w:r>
      <w:r w:rsidR="00F66C5C" w:rsidRPr="00E14091">
        <w:rPr>
          <w:color w:val="auto"/>
          <w:lang w:val="es-ES_tradnl"/>
        </w:rPr>
        <w:t xml:space="preserve">a Comisión observó </w:t>
      </w:r>
      <w:r w:rsidR="00F66C5C" w:rsidRPr="00E14091">
        <w:rPr>
          <w:color w:val="auto"/>
          <w:lang w:val="es-CO"/>
        </w:rPr>
        <w:t>que</w:t>
      </w:r>
      <w:r w:rsidR="004976B2" w:rsidRPr="00E14091">
        <w:rPr>
          <w:color w:val="auto"/>
          <w:lang w:val="es-CO"/>
        </w:rPr>
        <w:t xml:space="preserve"> a pesar de que</w:t>
      </w:r>
      <w:r w:rsidR="00F66C5C" w:rsidRPr="00E14091">
        <w:rPr>
          <w:color w:val="auto"/>
          <w:lang w:val="es-CO"/>
        </w:rPr>
        <w:t xml:space="preserve"> </w:t>
      </w:r>
      <w:r w:rsidR="00F66C5C" w:rsidRPr="00E14091">
        <w:rPr>
          <w:color w:val="auto"/>
          <w:lang w:val="es-ES_tradnl"/>
        </w:rPr>
        <w:t>durante décadas la comunidad presentó múltiples solicitudes ante las autoridades hondureñas para el reconocimiento de su territorio ancestral,</w:t>
      </w:r>
      <w:r w:rsidR="00CE3C69" w:rsidRPr="00E14091">
        <w:rPr>
          <w:color w:val="auto"/>
          <w:lang w:val="es-ES_tradnl"/>
        </w:rPr>
        <w:t xml:space="preserve"> los recursos presentados no han sido efectivos ya que el Estado no ha reconocido la totalidad del territorio solicitado por la Comunidad</w:t>
      </w:r>
      <w:r w:rsidR="00A76AAC" w:rsidRPr="00E14091">
        <w:rPr>
          <w:color w:val="auto"/>
          <w:lang w:val="es-ES_tradnl"/>
        </w:rPr>
        <w:t xml:space="preserve">. Entre </w:t>
      </w:r>
      <w:r w:rsidR="00CE3C69" w:rsidRPr="00E14091">
        <w:rPr>
          <w:color w:val="auto"/>
          <w:lang w:val="es-ES_tradnl"/>
        </w:rPr>
        <w:t>las principales irregularidades</w:t>
      </w:r>
      <w:r w:rsidR="00A76AAC" w:rsidRPr="00E14091">
        <w:rPr>
          <w:color w:val="auto"/>
          <w:lang w:val="es-ES_tradnl"/>
        </w:rPr>
        <w:t xml:space="preserve">, la Comisión notó que, </w:t>
      </w:r>
      <w:r w:rsidR="00A76AAC" w:rsidRPr="00E14091">
        <w:rPr>
          <w:rFonts w:eastAsia="Calibri"/>
          <w:color w:val="auto"/>
          <w:bdr w:val="none" w:sz="0" w:space="0" w:color="auto"/>
          <w:lang w:val="es-ES_tradnl"/>
        </w:rPr>
        <w:t xml:space="preserve">a pesar de una solicitud presentada en 1997 debido al extravío del expediente relacionado con la </w:t>
      </w:r>
      <w:r w:rsidR="00CE3C69" w:rsidRPr="00E14091">
        <w:rPr>
          <w:rFonts w:eastAsia="Calibri"/>
          <w:color w:val="auto"/>
          <w:bdr w:val="none" w:sz="0" w:space="0" w:color="auto"/>
          <w:lang w:val="es-ES_tradnl"/>
        </w:rPr>
        <w:t xml:space="preserve">solicitud de </w:t>
      </w:r>
      <w:r w:rsidR="00A76AAC" w:rsidRPr="00E14091">
        <w:rPr>
          <w:rFonts w:eastAsia="Calibri"/>
          <w:color w:val="auto"/>
          <w:bdr w:val="none" w:sz="0" w:space="0" w:color="auto"/>
          <w:lang w:val="es-ES_tradnl"/>
        </w:rPr>
        <w:t>titulación</w:t>
      </w:r>
      <w:r w:rsidR="00CE3C69" w:rsidRPr="00E14091">
        <w:rPr>
          <w:rFonts w:eastAsia="Calibri"/>
          <w:color w:val="auto"/>
          <w:bdr w:val="none" w:sz="0" w:space="0" w:color="auto"/>
          <w:lang w:val="es-ES_tradnl"/>
        </w:rPr>
        <w:t xml:space="preserve"> presentada por la Comunidad</w:t>
      </w:r>
      <w:r w:rsidR="00A76AAC" w:rsidRPr="00E14091">
        <w:rPr>
          <w:rFonts w:eastAsia="Calibri"/>
          <w:color w:val="auto"/>
          <w:bdr w:val="none" w:sz="0" w:space="0" w:color="auto"/>
          <w:lang w:val="es-ES_tradnl"/>
        </w:rPr>
        <w:t xml:space="preserve">, el mismo </w:t>
      </w:r>
      <w:r w:rsidR="00CE3C69" w:rsidRPr="00E14091">
        <w:rPr>
          <w:rFonts w:eastAsia="Calibri"/>
          <w:color w:val="auto"/>
          <w:bdr w:val="none" w:sz="0" w:space="0" w:color="auto"/>
          <w:lang w:val="es-ES_tradnl"/>
        </w:rPr>
        <w:t>no f</w:t>
      </w:r>
      <w:r w:rsidR="00A76AAC" w:rsidRPr="00E14091">
        <w:rPr>
          <w:rFonts w:eastAsia="Calibri"/>
          <w:color w:val="auto"/>
          <w:bdr w:val="none" w:sz="0" w:space="0" w:color="auto"/>
          <w:lang w:val="es-ES_tradnl"/>
        </w:rPr>
        <w:t>ue recuperado, de forma que más de veinte años de dicha denuncia no se ha obtenido una decisión seria y de fondo, evidenciándose una demora irrazonable,</w:t>
      </w:r>
      <w:r w:rsidR="00CE3C69" w:rsidRPr="00E14091">
        <w:rPr>
          <w:rFonts w:eastAsia="Calibri"/>
          <w:color w:val="auto"/>
          <w:bdr w:val="none" w:sz="0" w:space="0" w:color="auto"/>
          <w:lang w:val="es-ES_tradnl"/>
        </w:rPr>
        <w:t xml:space="preserve"> y </w:t>
      </w:r>
      <w:r w:rsidR="00A76AAC" w:rsidRPr="00E14091">
        <w:rPr>
          <w:rFonts w:eastAsia="Calibri"/>
          <w:color w:val="auto"/>
          <w:bdr w:val="none" w:sz="0" w:space="0" w:color="auto"/>
          <w:lang w:val="es-ES_tradnl"/>
        </w:rPr>
        <w:t xml:space="preserve"> falta de diligencia de las autoridades estatales para </w:t>
      </w:r>
      <w:r w:rsidR="00CE3C69" w:rsidRPr="00E14091">
        <w:rPr>
          <w:rFonts w:eastAsia="Calibri"/>
          <w:color w:val="auto"/>
          <w:bdr w:val="none" w:sz="0" w:space="0" w:color="auto"/>
          <w:lang w:val="es-ES_tradnl"/>
        </w:rPr>
        <w:t>titular la totalidad del territorio reivindicado por la Comunidad</w:t>
      </w:r>
      <w:r w:rsidR="00A76AAC" w:rsidRPr="00E14091">
        <w:rPr>
          <w:rFonts w:eastAsia="Calibri"/>
          <w:color w:val="auto"/>
          <w:bdr w:val="none" w:sz="0" w:space="0" w:color="auto"/>
          <w:lang w:val="es-ES_tradnl"/>
        </w:rPr>
        <w:t xml:space="preserve">. </w:t>
      </w:r>
    </w:p>
    <w:p w14:paraId="0ED1EABE" w14:textId="77777777" w:rsidR="00A76AAC" w:rsidRPr="00E14091" w:rsidRDefault="00A76AAC" w:rsidP="00A76AAC">
      <w:pPr>
        <w:pStyle w:val="parrafos"/>
        <w:tabs>
          <w:tab w:val="left" w:pos="720"/>
        </w:tabs>
        <w:rPr>
          <w:color w:val="auto"/>
          <w:lang w:val="es-ES_tradnl"/>
        </w:rPr>
      </w:pPr>
    </w:p>
    <w:p w14:paraId="262727D5" w14:textId="77777777" w:rsidR="00F66C5C" w:rsidRPr="00E14091" w:rsidRDefault="00A76AAC" w:rsidP="00F66C5C">
      <w:pPr>
        <w:pStyle w:val="parrafos"/>
        <w:tabs>
          <w:tab w:val="left" w:pos="720"/>
        </w:tabs>
        <w:ind w:firstLine="720"/>
        <w:rPr>
          <w:rFonts w:eastAsia="Calibri"/>
          <w:color w:val="548DD4"/>
          <w:bdr w:val="none" w:sz="0" w:space="0" w:color="auto"/>
          <w:lang w:val="es-ES_tradnl"/>
        </w:rPr>
      </w:pPr>
      <w:r w:rsidRPr="00E14091">
        <w:rPr>
          <w:color w:val="auto"/>
          <w:lang w:val="es-ES_tradnl"/>
        </w:rPr>
        <w:t>Además, l</w:t>
      </w:r>
      <w:r w:rsidR="00F66C5C" w:rsidRPr="00E14091">
        <w:rPr>
          <w:color w:val="auto"/>
          <w:lang w:val="es-ES_tradnl"/>
        </w:rPr>
        <w:t xml:space="preserve">a CIDH también tomó nota de las múltiples denuncias de la comunidad ante la Fiscalía de Etnias o ante la </w:t>
      </w:r>
      <w:r w:rsidR="00F66C5C" w:rsidRPr="00E14091">
        <w:rPr>
          <w:color w:val="auto"/>
        </w:rPr>
        <w:t>Dirección General de Investigación Criminal del Ministerio Público</w:t>
      </w:r>
      <w:r w:rsidR="00F66C5C" w:rsidRPr="00E14091">
        <w:rPr>
          <w:color w:val="auto"/>
          <w:lang w:val="es-ES_tradnl"/>
        </w:rPr>
        <w:t xml:space="preserve"> relativas a venta de tierras ancestrales; actos de amenazas, agresiones, hostigamiento y persecución sufridos por sus autoridades, líderes y lideresas como consecuencia de sus actividades en defensa de las tierras ancestrales; y la situación de constante violencia e inseguridad generada por terceros en su territorio</w:t>
      </w:r>
      <w:r w:rsidR="00F66C5C" w:rsidRPr="00E14091">
        <w:rPr>
          <w:bCs/>
          <w:iCs/>
          <w:color w:val="auto"/>
          <w:lang w:val="es-ES_tradnl"/>
        </w:rPr>
        <w:t xml:space="preserve">. </w:t>
      </w:r>
      <w:r w:rsidR="00CE3C69" w:rsidRPr="00E14091">
        <w:rPr>
          <w:bCs/>
          <w:iCs/>
          <w:color w:val="auto"/>
          <w:lang w:val="es-ES_tradnl"/>
        </w:rPr>
        <w:t xml:space="preserve">El Estado no acreditó que dichas denuncias hubieran </w:t>
      </w:r>
      <w:r w:rsidR="00CE3C69" w:rsidRPr="00E14091">
        <w:rPr>
          <w:color w:val="auto"/>
          <w:lang w:val="es-ES_tradnl"/>
        </w:rPr>
        <w:t>sido atendidas de manera diligente</w:t>
      </w:r>
      <w:r w:rsidR="00F66C5C" w:rsidRPr="00E14091">
        <w:rPr>
          <w:color w:val="auto"/>
          <w:lang w:val="es-ES_tradnl"/>
        </w:rPr>
        <w:t xml:space="preserve">, circunstancia que redunda en la permanencia de situaciones de conflicto o actos de violencia contra la comunidad y sus miembros. Con base en ello, la CIDH </w:t>
      </w:r>
      <w:r w:rsidR="00F66C5C" w:rsidRPr="00E14091">
        <w:rPr>
          <w:rFonts w:eastAsia="Calibri"/>
          <w:color w:val="auto"/>
          <w:bdr w:val="none" w:sz="0" w:space="0" w:color="auto"/>
          <w:lang w:val="es-ES_tradnl"/>
        </w:rPr>
        <w:t xml:space="preserve">concluyó que se vulneraron los derechos a las garantías judiciales y a la protección judicial de la </w:t>
      </w:r>
      <w:r w:rsidR="00F66C5C" w:rsidRPr="00E14091">
        <w:rPr>
          <w:color w:val="auto"/>
          <w:lang w:val="es-ES_tradnl"/>
        </w:rPr>
        <w:t>Comunidad Garífuna de San Juan.</w:t>
      </w:r>
    </w:p>
    <w:p w14:paraId="472FE1AF" w14:textId="77777777" w:rsidR="00F66C5C" w:rsidRPr="00E14091" w:rsidRDefault="00F66C5C" w:rsidP="00F66C5C">
      <w:pPr>
        <w:tabs>
          <w:tab w:val="left" w:pos="360"/>
          <w:tab w:val="left" w:pos="2880"/>
        </w:tabs>
        <w:spacing w:after="0" w:line="240" w:lineRule="auto"/>
        <w:jc w:val="both"/>
        <w:rPr>
          <w:rFonts w:ascii="Cambria" w:hAnsi="Cambria"/>
          <w:sz w:val="20"/>
          <w:szCs w:val="20"/>
          <w:lang w:val="es-ES_tradnl"/>
        </w:rPr>
      </w:pPr>
    </w:p>
    <w:p w14:paraId="12F1BF1C" w14:textId="77777777" w:rsidR="00F66C5C" w:rsidRPr="00E14091" w:rsidRDefault="00F66C5C" w:rsidP="00F66C5C">
      <w:pPr>
        <w:pStyle w:val="parrafos"/>
        <w:ind w:firstLine="720"/>
        <w:rPr>
          <w:lang w:val="es-ES"/>
        </w:rPr>
      </w:pPr>
      <w:r w:rsidRPr="00E14091">
        <w:rPr>
          <w:lang w:val="es-ES_tradnl"/>
        </w:rPr>
        <w:t xml:space="preserve">Por otra parte, la CIDH estableció que </w:t>
      </w:r>
      <w:r w:rsidRPr="00E14091">
        <w:rPr>
          <w:color w:val="auto"/>
          <w:lang w:val="es-ES_tradnl"/>
        </w:rPr>
        <w:t>no existe controversia respecto de que</w:t>
      </w:r>
      <w:r w:rsidR="00CE3C69" w:rsidRPr="00E14091">
        <w:rPr>
          <w:color w:val="auto"/>
          <w:lang w:val="es-ES_tradnl"/>
        </w:rPr>
        <w:t xml:space="preserve"> el 26 de febrero de </w:t>
      </w:r>
      <w:r w:rsidR="00E14091" w:rsidRPr="00E14091">
        <w:rPr>
          <w:color w:val="auto"/>
          <w:lang w:val="es-ES_tradnl"/>
        </w:rPr>
        <w:t>2006, Gino</w:t>
      </w:r>
      <w:r w:rsidRPr="00E14091">
        <w:rPr>
          <w:color w:val="auto"/>
          <w:lang w:val="es-ES_tradnl"/>
        </w:rPr>
        <w:t xml:space="preserve"> Eligio López y Epson Andrés Castillo, miembros de la comunidad, recibieron disparos de agentes policiales, lo cual produjo sus muertes</w:t>
      </w:r>
      <w:r w:rsidRPr="00E14091">
        <w:rPr>
          <w:lang w:val="es-ES_tradnl"/>
        </w:rPr>
        <w:t xml:space="preserve">. Al respecto, la Comisión concluyó que </w:t>
      </w:r>
      <w:r w:rsidRPr="00E14091">
        <w:rPr>
          <w:lang w:val="es-ES"/>
        </w:rPr>
        <w:t xml:space="preserve">el uso de la fuerza letal empleado por los agentes policiales fue injustificado, innecesario, desproporcional y carente de un fin legítimo, por lo que constituyeron ejecuciones extrajudiciales. En consecuencia, determinó que el Estado hondureño violó el derecho a la vida de </w:t>
      </w:r>
      <w:r w:rsidRPr="00E14091">
        <w:rPr>
          <w:color w:val="auto"/>
          <w:lang w:val="es-CO"/>
        </w:rPr>
        <w:t>Gino</w:t>
      </w:r>
      <w:r w:rsidRPr="00E14091">
        <w:rPr>
          <w:color w:val="auto"/>
          <w:lang w:val="es-ES_tradnl"/>
        </w:rPr>
        <w:t xml:space="preserve"> Eligio López y Epson Andrés Castillo</w:t>
      </w:r>
      <w:r w:rsidRPr="00E14091">
        <w:rPr>
          <w:lang w:val="es-ES"/>
        </w:rPr>
        <w:t>.</w:t>
      </w:r>
    </w:p>
    <w:p w14:paraId="5F3D420D" w14:textId="77777777" w:rsidR="00F66C5C" w:rsidRPr="00E14091" w:rsidRDefault="00F66C5C" w:rsidP="00F66C5C">
      <w:pPr>
        <w:tabs>
          <w:tab w:val="left" w:pos="360"/>
          <w:tab w:val="left" w:pos="2880"/>
        </w:tabs>
        <w:spacing w:after="0" w:line="240" w:lineRule="auto"/>
        <w:jc w:val="both"/>
        <w:rPr>
          <w:rFonts w:ascii="Cambria" w:eastAsia="Arial Unicode MS" w:hAnsi="Cambria"/>
          <w:sz w:val="20"/>
          <w:szCs w:val="20"/>
          <w:bdr w:val="nil"/>
          <w:lang w:val="es-ES"/>
        </w:rPr>
      </w:pPr>
    </w:p>
    <w:p w14:paraId="4C1BE55B" w14:textId="77777777" w:rsidR="00F66C5C" w:rsidRPr="00E14091" w:rsidRDefault="00F66C5C" w:rsidP="00F66C5C">
      <w:pPr>
        <w:pStyle w:val="parrafos"/>
        <w:tabs>
          <w:tab w:val="left" w:pos="450"/>
        </w:tabs>
        <w:rPr>
          <w:color w:val="auto"/>
          <w:lang w:val="es-AR"/>
        </w:rPr>
      </w:pPr>
      <w:r w:rsidRPr="00E14091">
        <w:rPr>
          <w:color w:val="auto"/>
          <w:lang w:val="es-ES"/>
        </w:rPr>
        <w:tab/>
      </w:r>
      <w:r w:rsidRPr="00E14091">
        <w:rPr>
          <w:color w:val="auto"/>
          <w:lang w:val="es-ES"/>
        </w:rPr>
        <w:tab/>
        <w:t xml:space="preserve">Por último, la CIDH consideró que la Comunidad Garífuna de San Juan se encuentra en una situación de inseguridad, conflicto y riesgo para su subsistencia, y que </w:t>
      </w:r>
      <w:r w:rsidRPr="00E14091">
        <w:rPr>
          <w:color w:val="auto"/>
          <w:lang w:val="es-AR"/>
        </w:rPr>
        <w:t xml:space="preserve">los efectos de las acciones y omisiones estatales respecto a la propiedad colectiva de las tierras y territorios ancestrales generó, además, una afectación a la integridad psíquica y moral de sus miembros. </w:t>
      </w:r>
    </w:p>
    <w:p w14:paraId="653ABED4" w14:textId="77777777" w:rsidR="00F66C5C" w:rsidRPr="00E14091" w:rsidRDefault="00F66C5C" w:rsidP="00F66C5C">
      <w:pPr>
        <w:pStyle w:val="parrafos"/>
        <w:tabs>
          <w:tab w:val="left" w:pos="450"/>
        </w:tabs>
        <w:rPr>
          <w:color w:val="auto"/>
          <w:lang w:val="es-AR"/>
        </w:rPr>
      </w:pPr>
    </w:p>
    <w:p w14:paraId="19B7C500" w14:textId="77777777" w:rsidR="004C11AF" w:rsidRPr="00E14091" w:rsidRDefault="00F66C5C" w:rsidP="004301AD">
      <w:pPr>
        <w:pStyle w:val="parrafos"/>
        <w:tabs>
          <w:tab w:val="left" w:pos="450"/>
        </w:tabs>
        <w:rPr>
          <w:rFonts w:cs="Calibri"/>
          <w:lang w:val="es-PE"/>
        </w:rPr>
      </w:pPr>
      <w:r w:rsidRPr="00E14091">
        <w:rPr>
          <w:rFonts w:eastAsia="Calibri"/>
          <w:color w:val="auto"/>
          <w:bdr w:val="none" w:sz="0" w:space="0" w:color="auto"/>
          <w:lang w:val="es-ES_tradnl"/>
        </w:rPr>
        <w:tab/>
      </w:r>
      <w:r w:rsidRPr="00E14091">
        <w:rPr>
          <w:rFonts w:eastAsia="Calibri"/>
          <w:color w:val="auto"/>
          <w:bdr w:val="none" w:sz="0" w:space="0" w:color="auto"/>
          <w:lang w:val="es-ES_tradnl"/>
        </w:rPr>
        <w:tab/>
      </w:r>
      <w:r w:rsidR="008A143D" w:rsidRPr="00E14091">
        <w:rPr>
          <w:rFonts w:cs="Calibri"/>
          <w:lang w:val="es-ES"/>
        </w:rPr>
        <w:t xml:space="preserve">El Estado de </w:t>
      </w:r>
      <w:r w:rsidRPr="00E14091">
        <w:rPr>
          <w:rFonts w:cs="Calibri"/>
          <w:lang w:val="es-ES"/>
        </w:rPr>
        <w:t>Honduras</w:t>
      </w:r>
      <w:r w:rsidR="008A143D" w:rsidRPr="00E14091">
        <w:rPr>
          <w:rFonts w:cs="Calibri"/>
          <w:lang w:val="es-ES"/>
        </w:rPr>
        <w:t xml:space="preserve"> </w:t>
      </w:r>
      <w:r w:rsidR="00182ABB" w:rsidRPr="00E14091">
        <w:rPr>
          <w:rFonts w:cs="Calibri"/>
          <w:lang w:val="es-ES"/>
        </w:rPr>
        <w:t>depositó el instrumento de ratificación de</w:t>
      </w:r>
      <w:r w:rsidR="008A143D" w:rsidRPr="00E14091">
        <w:rPr>
          <w:rFonts w:cs="Calibri"/>
          <w:lang w:val="es-ES"/>
        </w:rPr>
        <w:t xml:space="preserve"> la Convención Americana sobre Derechos Humanos el</w:t>
      </w:r>
      <w:r w:rsidR="00182ABB" w:rsidRPr="00E14091">
        <w:rPr>
          <w:rFonts w:cs="Calibri"/>
          <w:lang w:val="es-ES"/>
        </w:rPr>
        <w:t xml:space="preserve"> </w:t>
      </w:r>
      <w:r w:rsidRPr="00E14091">
        <w:rPr>
          <w:rFonts w:cs="Calibri"/>
          <w:lang w:val="es-ES"/>
        </w:rPr>
        <w:t xml:space="preserve">8 </w:t>
      </w:r>
      <w:r w:rsidR="00C56ABB" w:rsidRPr="00E14091">
        <w:rPr>
          <w:rFonts w:cs="Calibri"/>
          <w:lang w:val="es-ES"/>
        </w:rPr>
        <w:t xml:space="preserve">de </w:t>
      </w:r>
      <w:r w:rsidRPr="00E14091">
        <w:rPr>
          <w:rFonts w:cs="Calibri"/>
          <w:lang w:val="es-ES"/>
        </w:rPr>
        <w:t>septiembre de 1977</w:t>
      </w:r>
      <w:r w:rsidR="008A143D" w:rsidRPr="00E14091">
        <w:rPr>
          <w:rFonts w:cs="Calibri"/>
          <w:lang w:val="es-ES"/>
        </w:rPr>
        <w:t xml:space="preserve"> y aceptó la competencia contenciosa de la Corte el </w:t>
      </w:r>
      <w:r w:rsidR="00C56ABB" w:rsidRPr="00E14091">
        <w:rPr>
          <w:rFonts w:cs="Calibri"/>
          <w:lang w:val="es-ES"/>
        </w:rPr>
        <w:t xml:space="preserve">9 </w:t>
      </w:r>
      <w:r w:rsidRPr="00E14091">
        <w:rPr>
          <w:rFonts w:cs="Calibri"/>
          <w:lang w:val="es-ES"/>
        </w:rPr>
        <w:t>de septiembre de 1981</w:t>
      </w:r>
      <w:r w:rsidR="008A143D" w:rsidRPr="00E14091">
        <w:rPr>
          <w:rFonts w:cs="Calibri"/>
          <w:lang w:val="es-ES"/>
        </w:rPr>
        <w:t>.</w:t>
      </w:r>
    </w:p>
    <w:p w14:paraId="3A0D5FC0" w14:textId="77777777" w:rsidR="00387D83" w:rsidRPr="00E14091" w:rsidRDefault="00387D83" w:rsidP="00F8734F">
      <w:pPr>
        <w:tabs>
          <w:tab w:val="left" w:pos="720"/>
          <w:tab w:val="left" w:pos="1440"/>
        </w:tabs>
        <w:spacing w:after="0" w:line="240" w:lineRule="auto"/>
        <w:jc w:val="both"/>
        <w:rPr>
          <w:rFonts w:ascii="Cambria" w:hAnsi="Cambria" w:cs="Calibri"/>
          <w:color w:val="000000"/>
          <w:sz w:val="20"/>
          <w:szCs w:val="20"/>
          <w:lang w:val="es-PE"/>
        </w:rPr>
      </w:pPr>
    </w:p>
    <w:p w14:paraId="2E1F1EEB" w14:textId="77777777" w:rsidR="00232CA3" w:rsidRPr="00E14091" w:rsidRDefault="00232CA3" w:rsidP="00232CA3">
      <w:pPr>
        <w:spacing w:after="0" w:line="240" w:lineRule="auto"/>
        <w:ind w:firstLine="720"/>
        <w:jc w:val="both"/>
        <w:rPr>
          <w:rFonts w:ascii="Cambria" w:hAnsi="Cambria" w:cs="Calibri"/>
          <w:color w:val="000000"/>
          <w:sz w:val="20"/>
          <w:szCs w:val="20"/>
          <w:lang w:val="es-ES"/>
        </w:rPr>
      </w:pPr>
      <w:r w:rsidRPr="00E14091">
        <w:rPr>
          <w:rFonts w:ascii="Cambria" w:hAnsi="Cambria" w:cs="Calibri"/>
          <w:color w:val="000000"/>
          <w:sz w:val="20"/>
          <w:szCs w:val="20"/>
          <w:lang w:val="es-ES"/>
        </w:rPr>
        <w:t>La Comisión ha designado a</w:t>
      </w:r>
      <w:r w:rsidR="00874B92" w:rsidRPr="00E14091">
        <w:rPr>
          <w:rFonts w:ascii="Cambria" w:hAnsi="Cambria" w:cs="Calibri"/>
          <w:color w:val="000000"/>
          <w:sz w:val="20"/>
          <w:szCs w:val="20"/>
          <w:lang w:val="es-ES"/>
        </w:rPr>
        <w:t xml:space="preserve">l </w:t>
      </w:r>
      <w:r w:rsidRPr="00E14091">
        <w:rPr>
          <w:rFonts w:ascii="Cambria" w:hAnsi="Cambria" w:cs="Calibri"/>
          <w:color w:val="000000"/>
          <w:sz w:val="20"/>
          <w:szCs w:val="20"/>
          <w:lang w:val="es-ES"/>
        </w:rPr>
        <w:t>Comisionad</w:t>
      </w:r>
      <w:r w:rsidR="00874B92" w:rsidRPr="00E14091">
        <w:rPr>
          <w:rFonts w:ascii="Cambria" w:hAnsi="Cambria" w:cs="Calibri"/>
          <w:color w:val="000000"/>
          <w:sz w:val="20"/>
          <w:szCs w:val="20"/>
          <w:lang w:val="es-ES"/>
        </w:rPr>
        <w:t>o Joel Hernández García</w:t>
      </w:r>
      <w:r w:rsidRPr="00E14091">
        <w:rPr>
          <w:rFonts w:ascii="Cambria" w:hAnsi="Cambria" w:cs="Calibri"/>
          <w:color w:val="000000"/>
          <w:sz w:val="20"/>
          <w:szCs w:val="20"/>
          <w:lang w:val="es-ES"/>
        </w:rPr>
        <w:t xml:space="preserve"> y al Secretario Ejecutivo Paulo Abrão, como su</w:t>
      </w:r>
      <w:r w:rsidR="00874B92" w:rsidRPr="00E14091">
        <w:rPr>
          <w:rFonts w:ascii="Cambria" w:hAnsi="Cambria" w:cs="Calibri"/>
          <w:color w:val="000000"/>
          <w:sz w:val="20"/>
          <w:szCs w:val="20"/>
          <w:lang w:val="es-ES"/>
        </w:rPr>
        <w:t>s</w:t>
      </w:r>
      <w:r w:rsidRPr="00E14091">
        <w:rPr>
          <w:rFonts w:ascii="Cambria" w:hAnsi="Cambria" w:cs="Calibri"/>
          <w:color w:val="000000"/>
          <w:sz w:val="20"/>
          <w:szCs w:val="20"/>
          <w:lang w:val="es-ES"/>
        </w:rPr>
        <w:t xml:space="preserve"> </w:t>
      </w:r>
      <w:r w:rsidR="00874B92" w:rsidRPr="00E14091">
        <w:rPr>
          <w:rFonts w:ascii="Cambria" w:hAnsi="Cambria" w:cs="Calibri"/>
          <w:color w:val="000000"/>
          <w:sz w:val="20"/>
          <w:szCs w:val="20"/>
          <w:lang w:val="es-ES"/>
        </w:rPr>
        <w:t>d</w:t>
      </w:r>
      <w:r w:rsidRPr="00E14091">
        <w:rPr>
          <w:rFonts w:ascii="Cambria" w:hAnsi="Cambria" w:cs="Calibri"/>
          <w:color w:val="000000"/>
          <w:sz w:val="20"/>
          <w:szCs w:val="20"/>
          <w:lang w:val="es-ES"/>
        </w:rPr>
        <w:t>elegado</w:t>
      </w:r>
      <w:r w:rsidR="00874B92" w:rsidRPr="00E14091">
        <w:rPr>
          <w:rFonts w:ascii="Cambria" w:hAnsi="Cambria" w:cs="Calibri"/>
          <w:color w:val="000000"/>
          <w:sz w:val="20"/>
          <w:szCs w:val="20"/>
          <w:lang w:val="es-ES"/>
        </w:rPr>
        <w:t>s</w:t>
      </w:r>
      <w:r w:rsidRPr="00E14091">
        <w:rPr>
          <w:rFonts w:ascii="Cambria" w:hAnsi="Cambria" w:cs="Calibri"/>
          <w:color w:val="000000"/>
          <w:sz w:val="20"/>
          <w:szCs w:val="20"/>
          <w:lang w:val="es-ES"/>
        </w:rPr>
        <w:t xml:space="preserve">. Asimismo, Marisol Blanchard Vera, Secretaria Ejecutiva Adjunta, Jorge Humberto Meza Flores y Erick Acuña, especialistas de la Secretaría Ejecutiva de la CIDH, actuarán como asesora y asesores legales. </w:t>
      </w:r>
    </w:p>
    <w:p w14:paraId="7AF1F2DC" w14:textId="77777777" w:rsidR="00232CA3" w:rsidRPr="00E14091" w:rsidRDefault="00232CA3" w:rsidP="00F8734F">
      <w:pPr>
        <w:tabs>
          <w:tab w:val="left" w:pos="720"/>
          <w:tab w:val="left" w:pos="1440"/>
        </w:tabs>
        <w:spacing w:after="0" w:line="240" w:lineRule="auto"/>
        <w:jc w:val="both"/>
        <w:rPr>
          <w:rFonts w:ascii="Cambria" w:hAnsi="Cambria" w:cs="Calibri"/>
          <w:color w:val="000000"/>
          <w:sz w:val="20"/>
          <w:szCs w:val="20"/>
          <w:lang w:val="es-ES"/>
        </w:rPr>
      </w:pPr>
    </w:p>
    <w:p w14:paraId="2EFEEBCB" w14:textId="77777777" w:rsidR="00DF3621" w:rsidRPr="00E14091" w:rsidRDefault="0042403B" w:rsidP="00F8734F">
      <w:pPr>
        <w:spacing w:after="0" w:line="240" w:lineRule="auto"/>
        <w:ind w:firstLine="720"/>
        <w:jc w:val="both"/>
        <w:rPr>
          <w:rFonts w:ascii="Cambria" w:hAnsi="Cambria" w:cs="Calibri"/>
          <w:color w:val="000000"/>
          <w:sz w:val="20"/>
          <w:szCs w:val="20"/>
          <w:lang w:val="es-ES"/>
        </w:rPr>
      </w:pPr>
      <w:r w:rsidRPr="00E14091">
        <w:rPr>
          <w:rFonts w:ascii="Cambria" w:hAnsi="Cambria" w:cs="Calibri"/>
          <w:color w:val="000000"/>
          <w:sz w:val="20"/>
          <w:szCs w:val="20"/>
          <w:lang w:val="es-ES"/>
        </w:rPr>
        <w:t>De conformidad con el artículo 35 del Reglamento de la Corte Interamericana,</w:t>
      </w:r>
      <w:r w:rsidR="0090766E" w:rsidRPr="00E14091">
        <w:rPr>
          <w:rFonts w:ascii="Cambria" w:hAnsi="Cambria" w:cs="Calibri"/>
          <w:color w:val="000000"/>
          <w:sz w:val="20"/>
          <w:szCs w:val="20"/>
          <w:lang w:val="es-ES"/>
        </w:rPr>
        <w:t xml:space="preserve"> la Comisión adjunta copia del I</w:t>
      </w:r>
      <w:r w:rsidRPr="00E14091">
        <w:rPr>
          <w:rFonts w:ascii="Cambria" w:hAnsi="Cambria" w:cs="Calibri"/>
          <w:color w:val="000000"/>
          <w:sz w:val="20"/>
          <w:szCs w:val="20"/>
          <w:lang w:val="es-ES"/>
        </w:rPr>
        <w:t>nforme</w:t>
      </w:r>
      <w:r w:rsidR="0090766E" w:rsidRPr="00E14091">
        <w:rPr>
          <w:rFonts w:ascii="Cambria" w:hAnsi="Cambria" w:cs="Calibri"/>
          <w:color w:val="000000"/>
          <w:sz w:val="20"/>
          <w:szCs w:val="20"/>
          <w:lang w:val="es-ES"/>
        </w:rPr>
        <w:t xml:space="preserve"> de Fondo No.</w:t>
      </w:r>
      <w:r w:rsidRPr="00E14091">
        <w:rPr>
          <w:rFonts w:ascii="Cambria" w:hAnsi="Cambria" w:cs="Calibri"/>
          <w:color w:val="000000"/>
          <w:sz w:val="20"/>
          <w:szCs w:val="20"/>
          <w:lang w:val="es-ES"/>
        </w:rPr>
        <w:t xml:space="preserve"> </w:t>
      </w:r>
      <w:r w:rsidR="004301AD" w:rsidRPr="00E14091">
        <w:rPr>
          <w:rFonts w:ascii="Cambria" w:hAnsi="Cambria" w:cs="Calibri"/>
          <w:color w:val="000000"/>
          <w:sz w:val="20"/>
          <w:szCs w:val="20"/>
          <w:lang w:val="es-ES"/>
        </w:rPr>
        <w:t>12</w:t>
      </w:r>
      <w:r w:rsidR="00C56ABB" w:rsidRPr="00E14091">
        <w:rPr>
          <w:rFonts w:ascii="Cambria" w:hAnsi="Cambria" w:cs="Calibri"/>
          <w:color w:val="000000"/>
          <w:sz w:val="20"/>
          <w:szCs w:val="20"/>
          <w:lang w:val="es-ES"/>
        </w:rPr>
        <w:t>/20</w:t>
      </w:r>
      <w:r w:rsidRPr="00E14091">
        <w:rPr>
          <w:rFonts w:ascii="Cambria" w:hAnsi="Cambria" w:cs="Calibri"/>
          <w:color w:val="000000"/>
          <w:sz w:val="20"/>
          <w:szCs w:val="20"/>
          <w:lang w:val="es-ES"/>
        </w:rPr>
        <w:t xml:space="preserve"> elaborado en observancia del artículo 50 de la Convención, así como copia de la totalidad del expediente ante la Comisión Interamericana (Apéndice I) y los anexos utilizados en la elaboración del informe </w:t>
      </w:r>
      <w:r w:rsidR="004301AD" w:rsidRPr="00E14091">
        <w:rPr>
          <w:rFonts w:ascii="Cambria" w:hAnsi="Cambria" w:cs="Calibri"/>
          <w:color w:val="000000"/>
          <w:sz w:val="20"/>
          <w:szCs w:val="20"/>
          <w:lang w:val="es-ES"/>
        </w:rPr>
        <w:t>12</w:t>
      </w:r>
      <w:r w:rsidR="00C56ABB" w:rsidRPr="00E14091">
        <w:rPr>
          <w:rFonts w:ascii="Cambria" w:hAnsi="Cambria" w:cs="Calibri"/>
          <w:color w:val="000000"/>
          <w:sz w:val="20"/>
          <w:szCs w:val="20"/>
          <w:lang w:val="es-ES"/>
        </w:rPr>
        <w:t>/20</w:t>
      </w:r>
      <w:r w:rsidR="00625C17" w:rsidRPr="00E14091">
        <w:rPr>
          <w:rFonts w:ascii="Cambria" w:hAnsi="Cambria" w:cs="Calibri"/>
          <w:color w:val="000000"/>
          <w:sz w:val="20"/>
          <w:szCs w:val="20"/>
          <w:lang w:val="es-ES"/>
        </w:rPr>
        <w:t xml:space="preserve"> </w:t>
      </w:r>
      <w:r w:rsidR="00F353B3" w:rsidRPr="00E14091">
        <w:rPr>
          <w:rFonts w:ascii="Cambria" w:hAnsi="Cambria" w:cs="Calibri"/>
          <w:color w:val="000000"/>
          <w:sz w:val="20"/>
          <w:szCs w:val="20"/>
          <w:lang w:val="es-ES"/>
        </w:rPr>
        <w:t xml:space="preserve">(Anexos). </w:t>
      </w:r>
    </w:p>
    <w:p w14:paraId="04A8869E" w14:textId="77777777" w:rsidR="00DF3621" w:rsidRPr="00E14091" w:rsidRDefault="00DF3621" w:rsidP="00F8734F">
      <w:pPr>
        <w:spacing w:after="0" w:line="240" w:lineRule="auto"/>
        <w:ind w:firstLine="720"/>
        <w:jc w:val="both"/>
        <w:rPr>
          <w:rFonts w:ascii="Cambria" w:hAnsi="Cambria" w:cs="Calibri"/>
          <w:color w:val="000000"/>
          <w:sz w:val="20"/>
          <w:szCs w:val="20"/>
          <w:lang w:val="es-ES"/>
        </w:rPr>
      </w:pPr>
    </w:p>
    <w:p w14:paraId="504113E5" w14:textId="77777777" w:rsidR="00E14091" w:rsidRPr="00E14091" w:rsidRDefault="00F353B3" w:rsidP="00E14091">
      <w:pPr>
        <w:tabs>
          <w:tab w:val="left" w:pos="810"/>
        </w:tabs>
        <w:spacing w:after="0" w:line="240" w:lineRule="auto"/>
        <w:ind w:firstLine="720"/>
        <w:jc w:val="both"/>
        <w:rPr>
          <w:rFonts w:ascii="Cambria" w:hAnsi="Cambria" w:cs="Calibri"/>
          <w:color w:val="000000"/>
          <w:sz w:val="20"/>
          <w:szCs w:val="20"/>
          <w:lang w:val="es-CO"/>
        </w:rPr>
      </w:pPr>
      <w:r w:rsidRPr="00E14091">
        <w:rPr>
          <w:rFonts w:ascii="Cambria" w:hAnsi="Cambria" w:cs="Calibri"/>
          <w:color w:val="000000"/>
          <w:sz w:val="20"/>
          <w:szCs w:val="20"/>
          <w:lang w:val="es-ES"/>
        </w:rPr>
        <w:t>Dicho Informe de F</w:t>
      </w:r>
      <w:r w:rsidR="0042403B" w:rsidRPr="00E14091">
        <w:rPr>
          <w:rFonts w:ascii="Cambria" w:hAnsi="Cambria" w:cs="Calibri"/>
          <w:color w:val="000000"/>
          <w:sz w:val="20"/>
          <w:szCs w:val="20"/>
          <w:lang w:val="es-ES"/>
        </w:rPr>
        <w:t xml:space="preserve">ondo fue notificado al Estado </w:t>
      </w:r>
      <w:r w:rsidR="00DF3621" w:rsidRPr="00E14091">
        <w:rPr>
          <w:rFonts w:ascii="Cambria" w:hAnsi="Cambria" w:cs="Calibri"/>
          <w:color w:val="000000"/>
          <w:sz w:val="20"/>
          <w:szCs w:val="20"/>
          <w:lang w:val="es-ES"/>
        </w:rPr>
        <w:t>el</w:t>
      </w:r>
      <w:r w:rsidR="00036FC7" w:rsidRPr="00E14091">
        <w:rPr>
          <w:rFonts w:ascii="Cambria" w:hAnsi="Cambria" w:cs="Calibri"/>
          <w:color w:val="000000"/>
          <w:sz w:val="20"/>
          <w:szCs w:val="20"/>
          <w:lang w:val="es-ES"/>
        </w:rPr>
        <w:t xml:space="preserve"> </w:t>
      </w:r>
      <w:r w:rsidR="004301AD" w:rsidRPr="00E14091">
        <w:rPr>
          <w:rFonts w:ascii="Cambria" w:hAnsi="Cambria" w:cs="Calibri"/>
          <w:color w:val="000000"/>
          <w:sz w:val="20"/>
          <w:szCs w:val="20"/>
          <w:lang w:val="es-ES"/>
        </w:rPr>
        <w:t>12</w:t>
      </w:r>
      <w:r w:rsidR="00DC6F3E" w:rsidRPr="00E14091">
        <w:rPr>
          <w:rFonts w:ascii="Cambria" w:hAnsi="Cambria" w:cs="Calibri"/>
          <w:color w:val="000000"/>
          <w:sz w:val="20"/>
          <w:szCs w:val="20"/>
          <w:lang w:val="es-ES"/>
        </w:rPr>
        <w:t xml:space="preserve"> de mayo de 2020</w:t>
      </w:r>
      <w:r w:rsidR="0042403B" w:rsidRPr="00E14091">
        <w:rPr>
          <w:rFonts w:ascii="Cambria" w:hAnsi="Cambria" w:cs="Calibri"/>
          <w:color w:val="000000"/>
          <w:sz w:val="20"/>
          <w:szCs w:val="20"/>
          <w:lang w:val="es-ES"/>
        </w:rPr>
        <w:t xml:space="preserve">, otorgándole un plazo de dos meses para informar sobre el cumplimiento de las recomendaciones. </w:t>
      </w:r>
      <w:r w:rsidR="00DC6F3E" w:rsidRPr="00E14091">
        <w:rPr>
          <w:rFonts w:ascii="Cambria" w:hAnsi="Cambria" w:cs="Calibri"/>
          <w:color w:val="000000"/>
          <w:sz w:val="20"/>
          <w:szCs w:val="20"/>
          <w:lang w:val="es-ES"/>
        </w:rPr>
        <w:t xml:space="preserve">El </w:t>
      </w:r>
      <w:r w:rsidR="004301AD" w:rsidRPr="00E14091">
        <w:rPr>
          <w:rFonts w:ascii="Cambria" w:hAnsi="Cambria" w:cs="Calibri"/>
          <w:color w:val="000000"/>
          <w:sz w:val="20"/>
          <w:szCs w:val="20"/>
          <w:lang w:val="es-ES"/>
        </w:rPr>
        <w:t>13</w:t>
      </w:r>
      <w:r w:rsidR="00DC6F3E" w:rsidRPr="00E14091">
        <w:rPr>
          <w:rFonts w:ascii="Cambria" w:hAnsi="Cambria" w:cs="Calibri"/>
          <w:color w:val="000000"/>
          <w:sz w:val="20"/>
          <w:szCs w:val="20"/>
          <w:lang w:val="es-ES"/>
        </w:rPr>
        <w:t xml:space="preserve"> de julio de 2020 el Estado de </w:t>
      </w:r>
      <w:r w:rsidR="004301AD" w:rsidRPr="00E14091">
        <w:rPr>
          <w:rFonts w:ascii="Cambria" w:hAnsi="Cambria" w:cs="Calibri"/>
          <w:color w:val="000000"/>
          <w:sz w:val="20"/>
          <w:szCs w:val="20"/>
          <w:lang w:val="es-ES"/>
        </w:rPr>
        <w:lastRenderedPageBreak/>
        <w:t>Honduras</w:t>
      </w:r>
      <w:r w:rsidR="00DC6F3E" w:rsidRPr="00E14091">
        <w:rPr>
          <w:rFonts w:ascii="Cambria" w:hAnsi="Cambria" w:cs="Calibri"/>
          <w:color w:val="000000"/>
          <w:sz w:val="20"/>
          <w:szCs w:val="20"/>
          <w:lang w:val="es-ES"/>
        </w:rPr>
        <w:t xml:space="preserve"> solicitó una prórroga. </w:t>
      </w:r>
      <w:r w:rsidR="004301AD" w:rsidRPr="00E14091">
        <w:rPr>
          <w:rFonts w:ascii="Cambria" w:hAnsi="Cambria" w:cs="Calibri"/>
          <w:color w:val="000000"/>
          <w:sz w:val="20"/>
          <w:szCs w:val="20"/>
          <w:lang w:val="es-ES"/>
        </w:rPr>
        <w:t xml:space="preserve">Si bien en dicha solicitud hizo referencia genérica al artículo 46 del Reglamento de la CIDH, el Estado no aceptó en forma expresa e irrevocable la suspensión del plazo previsto en el artículo 51.1 de la Convención Americana, como lo exige el artículo 46.1(b) del Reglamento. </w:t>
      </w:r>
      <w:r w:rsidR="00182ABB" w:rsidRPr="00E14091">
        <w:rPr>
          <w:rFonts w:ascii="Cambria" w:hAnsi="Cambria" w:cs="Calibri"/>
          <w:color w:val="000000"/>
          <w:sz w:val="20"/>
          <w:szCs w:val="20"/>
          <w:lang w:val="es-ES"/>
        </w:rPr>
        <w:t>Con base en ello</w:t>
      </w:r>
      <w:r w:rsidR="005376D9" w:rsidRPr="00E14091">
        <w:rPr>
          <w:rFonts w:ascii="Cambria" w:hAnsi="Cambria" w:cs="Calibri"/>
          <w:color w:val="000000"/>
          <w:sz w:val="20"/>
          <w:szCs w:val="20"/>
          <w:lang w:val="es-ES"/>
        </w:rPr>
        <w:t>,</w:t>
      </w:r>
      <w:r w:rsidR="00182ABB" w:rsidRPr="00E14091">
        <w:rPr>
          <w:rFonts w:ascii="Cambria" w:hAnsi="Cambria" w:cs="Calibri"/>
          <w:color w:val="000000"/>
          <w:sz w:val="20"/>
          <w:szCs w:val="20"/>
          <w:lang w:val="es-ES"/>
        </w:rPr>
        <w:t xml:space="preserve"> </w:t>
      </w:r>
      <w:r w:rsidR="00E14091" w:rsidRPr="00E14091">
        <w:rPr>
          <w:rFonts w:ascii="Cambria" w:hAnsi="Cambria" w:cs="Calibri"/>
          <w:color w:val="000000"/>
          <w:sz w:val="20"/>
          <w:szCs w:val="20"/>
          <w:lang w:val="es-ES"/>
        </w:rPr>
        <w:t xml:space="preserve">la falta de avances en las recomendaciones </w:t>
      </w:r>
      <w:r w:rsidR="00182ABB" w:rsidRPr="00E14091">
        <w:rPr>
          <w:rFonts w:ascii="Cambria" w:hAnsi="Cambria" w:cs="Calibri"/>
          <w:color w:val="000000"/>
          <w:sz w:val="20"/>
          <w:szCs w:val="20"/>
          <w:lang w:val="es-ES"/>
        </w:rPr>
        <w:t>y</w:t>
      </w:r>
      <w:r w:rsidR="005376D9" w:rsidRPr="00E14091">
        <w:rPr>
          <w:rFonts w:ascii="Cambria" w:hAnsi="Cambria" w:cs="Calibri"/>
          <w:color w:val="000000"/>
          <w:sz w:val="20"/>
          <w:szCs w:val="20"/>
          <w:lang w:val="es-ES"/>
        </w:rPr>
        <w:t xml:space="preserve"> teniendo en cuenta </w:t>
      </w:r>
      <w:r w:rsidR="004F4E7F" w:rsidRPr="00E14091">
        <w:rPr>
          <w:rFonts w:ascii="Cambria" w:hAnsi="Cambria" w:cs="Calibri"/>
          <w:color w:val="000000"/>
          <w:sz w:val="20"/>
          <w:szCs w:val="20"/>
          <w:lang w:val="es-ES"/>
        </w:rPr>
        <w:t xml:space="preserve">la </w:t>
      </w:r>
      <w:r w:rsidR="00DC6F3E" w:rsidRPr="00E14091">
        <w:rPr>
          <w:rFonts w:ascii="Cambria" w:hAnsi="Cambria" w:cs="Calibri"/>
          <w:color w:val="000000"/>
          <w:sz w:val="20"/>
          <w:szCs w:val="20"/>
          <w:lang w:val="es-ES"/>
        </w:rPr>
        <w:t xml:space="preserve">posición de la parte peticionaria, así como la </w:t>
      </w:r>
      <w:r w:rsidR="005376D9" w:rsidRPr="00E14091">
        <w:rPr>
          <w:rFonts w:ascii="Cambria" w:hAnsi="Cambria" w:cs="Calibri"/>
          <w:color w:val="000000"/>
          <w:sz w:val="20"/>
          <w:szCs w:val="20"/>
          <w:lang w:val="es-ES"/>
        </w:rPr>
        <w:t xml:space="preserve">necesidad de obtención de justicia y reparación para las víctimas, </w:t>
      </w:r>
      <w:r w:rsidR="00E14091" w:rsidRPr="00E14091">
        <w:rPr>
          <w:rFonts w:ascii="Cambria" w:eastAsia="Times New Roman" w:hAnsi="Cambria" w:cs="Cambria"/>
          <w:sz w:val="20"/>
          <w:szCs w:val="20"/>
          <w:lang w:val="es-CO"/>
        </w:rPr>
        <w:t>la Comisión Interamericana decidió someter a la jurisdicción de la Corte Interamericana la totalidad de los hechos y violaciones de derechos humanos descritos en el Informe de Fondo.</w:t>
      </w:r>
    </w:p>
    <w:p w14:paraId="6BA51061" w14:textId="77777777" w:rsidR="00DC6F3E" w:rsidRPr="00E14091" w:rsidRDefault="00DC6F3E" w:rsidP="00F8734F">
      <w:pPr>
        <w:tabs>
          <w:tab w:val="left" w:pos="810"/>
        </w:tabs>
        <w:spacing w:after="0" w:line="240" w:lineRule="auto"/>
        <w:ind w:firstLine="720"/>
        <w:jc w:val="both"/>
        <w:rPr>
          <w:rFonts w:ascii="Cambria" w:hAnsi="Cambria" w:cs="Calibri"/>
          <w:color w:val="000000"/>
          <w:sz w:val="20"/>
          <w:szCs w:val="20"/>
          <w:lang w:val="es-CO"/>
        </w:rPr>
      </w:pPr>
    </w:p>
    <w:p w14:paraId="3672516D" w14:textId="77777777" w:rsidR="00D60041" w:rsidRPr="00E14091" w:rsidRDefault="00D60041" w:rsidP="00D60041">
      <w:pPr>
        <w:pStyle w:val="parrafos"/>
        <w:tabs>
          <w:tab w:val="left" w:pos="360"/>
          <w:tab w:val="left" w:pos="450"/>
        </w:tabs>
        <w:rPr>
          <w:rFonts w:eastAsia="Calibri"/>
          <w:bdr w:val="none" w:sz="0" w:space="0" w:color="auto"/>
          <w:lang w:val="es-ES_tradnl"/>
        </w:rPr>
      </w:pPr>
      <w:r w:rsidRPr="00E14091">
        <w:rPr>
          <w:rFonts w:cs="Calibri"/>
          <w:lang w:val="es-CO"/>
        </w:rPr>
        <w:tab/>
      </w:r>
      <w:r w:rsidRPr="00E14091">
        <w:rPr>
          <w:rFonts w:cs="Calibri"/>
          <w:lang w:val="es-CO"/>
        </w:rPr>
        <w:tab/>
      </w:r>
      <w:r w:rsidRPr="00E14091">
        <w:rPr>
          <w:rFonts w:cs="Calibri"/>
          <w:lang w:val="es-CO"/>
        </w:rPr>
        <w:tab/>
      </w:r>
      <w:r w:rsidR="00143EB4" w:rsidRPr="00E14091">
        <w:rPr>
          <w:rFonts w:cs="Calibri"/>
          <w:lang w:val="es-CO"/>
        </w:rPr>
        <w:t xml:space="preserve">En ese sentido, la Comisión solicita a la </w:t>
      </w:r>
      <w:r w:rsidR="00707281" w:rsidRPr="00E14091">
        <w:rPr>
          <w:rFonts w:cs="Calibri"/>
          <w:lang w:val="es-CO"/>
        </w:rPr>
        <w:t xml:space="preserve">Honorable </w:t>
      </w:r>
      <w:r w:rsidR="00143EB4" w:rsidRPr="00E14091">
        <w:rPr>
          <w:rFonts w:cs="Calibri"/>
          <w:lang w:val="es-CO"/>
        </w:rPr>
        <w:t xml:space="preserve">Corte que concluya y declare que el Estado de </w:t>
      </w:r>
      <w:r w:rsidR="004301AD" w:rsidRPr="00E14091">
        <w:rPr>
          <w:rFonts w:cs="Calibri"/>
          <w:lang w:val="es-CO"/>
        </w:rPr>
        <w:t>Honduras</w:t>
      </w:r>
      <w:r w:rsidR="00143EB4" w:rsidRPr="00E14091">
        <w:rPr>
          <w:rFonts w:cs="Calibri"/>
          <w:lang w:val="es-CO"/>
        </w:rPr>
        <w:t xml:space="preserve"> </w:t>
      </w:r>
      <w:r w:rsidR="00D902D7" w:rsidRPr="00E14091">
        <w:rPr>
          <w:rFonts w:cs="Calibri"/>
          <w:lang w:val="es-ES"/>
        </w:rPr>
        <w:t>es responsable por la violación de los derechos</w:t>
      </w:r>
      <w:r w:rsidR="001C1D26" w:rsidRPr="00E14091">
        <w:rPr>
          <w:rFonts w:cs="Arial"/>
          <w:bCs/>
          <w:lang w:val="es-CO"/>
        </w:rPr>
        <w:t xml:space="preserve"> reconocidos en los</w:t>
      </w:r>
      <w:r w:rsidR="004301AD" w:rsidRPr="00E14091">
        <w:rPr>
          <w:rFonts w:eastAsia="Calibri"/>
          <w:color w:val="auto"/>
          <w:bdr w:val="none" w:sz="0" w:space="0" w:color="auto"/>
          <w:lang w:val="es-ES_tradnl"/>
        </w:rPr>
        <w:t xml:space="preserve"> artículos 4.1 (vida) 5.1 (integridad personal), 8.1 (garantías judiciales), 13 (libertad de pensamiento y expresión),</w:t>
      </w:r>
      <w:r w:rsidR="004301AD" w:rsidRPr="00E14091">
        <w:rPr>
          <w:rFonts w:eastAsia="Batang" w:cs="Arial"/>
          <w:color w:val="auto"/>
          <w:bdr w:val="none" w:sz="0" w:space="0" w:color="auto"/>
          <w:lang w:val="es-ES"/>
        </w:rPr>
        <w:t xml:space="preserve"> 21 (propiedad colectiva),</w:t>
      </w:r>
      <w:r w:rsidR="004301AD" w:rsidRPr="00E14091">
        <w:rPr>
          <w:rFonts w:eastAsia="Calibri"/>
          <w:color w:val="auto"/>
          <w:bdr w:val="none" w:sz="0" w:space="0" w:color="auto"/>
          <w:lang w:val="es-ES_tradnl"/>
        </w:rPr>
        <w:t xml:space="preserve"> 23 (derechos políticos), y 25.1 (protección judicial) de la Convención Americana, en relación con los artículos 1.1 y 2 del mismo instrumento.  </w:t>
      </w:r>
    </w:p>
    <w:p w14:paraId="5AAA838F" w14:textId="77777777" w:rsidR="00232CA3" w:rsidRPr="00E14091" w:rsidRDefault="00232CA3" w:rsidP="00D60041">
      <w:pPr>
        <w:pStyle w:val="parrafos"/>
        <w:tabs>
          <w:tab w:val="left" w:pos="360"/>
          <w:tab w:val="left" w:pos="450"/>
        </w:tabs>
        <w:rPr>
          <w:rFonts w:cs="Arial"/>
          <w:bCs/>
          <w:lang w:val="es-ES_tradnl"/>
        </w:rPr>
      </w:pPr>
    </w:p>
    <w:p w14:paraId="5A85F14B" w14:textId="77777777" w:rsidR="00670828" w:rsidRPr="00E14091" w:rsidRDefault="00162CE1" w:rsidP="00F8734F">
      <w:pPr>
        <w:tabs>
          <w:tab w:val="left" w:pos="810"/>
        </w:tabs>
        <w:autoSpaceDE w:val="0"/>
        <w:autoSpaceDN w:val="0"/>
        <w:adjustRightInd w:val="0"/>
        <w:spacing w:after="0" w:line="240" w:lineRule="auto"/>
        <w:ind w:firstLine="720"/>
        <w:jc w:val="both"/>
        <w:rPr>
          <w:rFonts w:ascii="Cambria" w:hAnsi="Cambria" w:cs="Calibri"/>
          <w:color w:val="000000"/>
          <w:sz w:val="20"/>
          <w:szCs w:val="20"/>
          <w:lang w:val="es-CO"/>
        </w:rPr>
      </w:pPr>
      <w:r w:rsidRPr="00E14091">
        <w:rPr>
          <w:rFonts w:ascii="Cambria" w:hAnsi="Cambria" w:cs="Calibri"/>
          <w:color w:val="000000"/>
          <w:sz w:val="20"/>
          <w:szCs w:val="20"/>
          <w:lang w:val="es-ES"/>
        </w:rPr>
        <w:t xml:space="preserve">En consecuencia, la Comisión solicita a la Corte Interamericana que </w:t>
      </w:r>
      <w:r w:rsidR="00670828" w:rsidRPr="00E14091">
        <w:rPr>
          <w:rFonts w:ascii="Cambria" w:hAnsi="Cambria" w:cs="Calibri"/>
          <w:color w:val="000000"/>
          <w:sz w:val="20"/>
          <w:szCs w:val="20"/>
          <w:lang w:val="es-CO"/>
        </w:rPr>
        <w:t>establezca las siguientes medidas de reparación:</w:t>
      </w:r>
    </w:p>
    <w:p w14:paraId="5F86BD1C" w14:textId="77777777" w:rsidR="00162CE1" w:rsidRPr="00E14091" w:rsidRDefault="00162CE1" w:rsidP="00F8734F">
      <w:pPr>
        <w:spacing w:after="0" w:line="240" w:lineRule="auto"/>
        <w:ind w:firstLine="720"/>
        <w:jc w:val="both"/>
        <w:rPr>
          <w:rFonts w:ascii="Cambria" w:hAnsi="Cambria" w:cs="Calibri"/>
          <w:color w:val="000000"/>
          <w:sz w:val="20"/>
          <w:szCs w:val="20"/>
          <w:lang w:val="es-ES"/>
        </w:rPr>
      </w:pPr>
    </w:p>
    <w:p w14:paraId="4F11C678" w14:textId="77777777" w:rsidR="00A172B7" w:rsidRPr="00E14091" w:rsidRDefault="00A172B7" w:rsidP="00A172B7">
      <w:pPr>
        <w:numPr>
          <w:ilvl w:val="3"/>
          <w:numId w:val="10"/>
        </w:numPr>
        <w:tabs>
          <w:tab w:val="clear" w:pos="3240"/>
          <w:tab w:val="num" w:pos="0"/>
          <w:tab w:val="left" w:pos="720"/>
          <w:tab w:val="left" w:pos="1080"/>
          <w:tab w:val="left" w:pos="1440"/>
        </w:tabs>
        <w:autoSpaceDE w:val="0"/>
        <w:autoSpaceDN w:val="0"/>
        <w:adjustRightInd w:val="0"/>
        <w:spacing w:after="0" w:line="240" w:lineRule="auto"/>
        <w:ind w:left="720" w:right="720" w:firstLine="0"/>
        <w:jc w:val="both"/>
        <w:rPr>
          <w:rFonts w:ascii="Cambria" w:hAnsi="Cambria" w:cs="Arial"/>
          <w:sz w:val="20"/>
          <w:szCs w:val="20"/>
          <w:lang w:val="es-ES"/>
        </w:rPr>
      </w:pPr>
      <w:r w:rsidRPr="00E14091">
        <w:rPr>
          <w:rFonts w:ascii="Cambria" w:hAnsi="Cambria" w:cs="Arial"/>
          <w:sz w:val="20"/>
          <w:szCs w:val="20"/>
          <w:lang w:val="es-ES"/>
        </w:rPr>
        <w:t xml:space="preserve">Adoptar a la mayor brevedad posible todas las medidas necesarias para lograr la titulación completa y </w:t>
      </w:r>
      <w:r w:rsidRPr="00E14091">
        <w:rPr>
          <w:rFonts w:ascii="Cambria" w:eastAsia="Times" w:hAnsi="Cambria" w:cs="Arial"/>
          <w:sz w:val="20"/>
          <w:szCs w:val="20"/>
          <w:lang w:val="es-ES"/>
        </w:rPr>
        <w:t xml:space="preserve">el saneamiento efectivo del territorio ancestral de la Comunidad Garífuna de San Juan de acuerdo con los límites reconocidos. El Estado deberá asegurar que estas medidas sean conducentes para </w:t>
      </w:r>
      <w:r w:rsidRPr="00E14091">
        <w:rPr>
          <w:rFonts w:ascii="Cambria" w:hAnsi="Cambria" w:cs="Arial"/>
          <w:sz w:val="20"/>
          <w:szCs w:val="20"/>
          <w:lang w:val="es-ES"/>
        </w:rPr>
        <w:t xml:space="preserve">garantizar de manera efectiva la posesión y uso del territorio, así como la libre determinación de los miembros de la Comunidad Garífuna de San Juan y su derecho a </w:t>
      </w:r>
      <w:r w:rsidRPr="00E14091">
        <w:rPr>
          <w:rFonts w:ascii="Cambria" w:hAnsi="Cambria"/>
          <w:sz w:val="20"/>
          <w:szCs w:val="20"/>
          <w:lang w:val="es-ES"/>
        </w:rPr>
        <w:t>vivir de manera pacífica su modo de vida tradicional, conforme a su identidad cultural, estructura social, sistema económico, costumbres, creencias y tradiciones distintivas.</w:t>
      </w:r>
    </w:p>
    <w:p w14:paraId="77F7C7A0" w14:textId="77777777" w:rsidR="00A172B7" w:rsidRPr="00E14091" w:rsidRDefault="00A172B7" w:rsidP="00A172B7">
      <w:pPr>
        <w:tabs>
          <w:tab w:val="left" w:pos="720"/>
          <w:tab w:val="left" w:pos="1440"/>
        </w:tabs>
        <w:autoSpaceDE w:val="0"/>
        <w:autoSpaceDN w:val="0"/>
        <w:adjustRightInd w:val="0"/>
        <w:spacing w:after="0" w:line="240" w:lineRule="auto"/>
        <w:ind w:left="720" w:right="720"/>
        <w:jc w:val="both"/>
        <w:rPr>
          <w:rFonts w:ascii="Cambria" w:hAnsi="Cambria" w:cs="Arial"/>
          <w:sz w:val="20"/>
          <w:szCs w:val="20"/>
          <w:lang w:val="es-ES"/>
        </w:rPr>
      </w:pPr>
    </w:p>
    <w:p w14:paraId="77B243C0" w14:textId="77777777" w:rsidR="00A172B7" w:rsidRPr="00E14091" w:rsidRDefault="00A172B7" w:rsidP="00A172B7">
      <w:pPr>
        <w:numPr>
          <w:ilvl w:val="3"/>
          <w:numId w:val="10"/>
        </w:numPr>
        <w:tabs>
          <w:tab w:val="clear" w:pos="3240"/>
          <w:tab w:val="num" w:pos="0"/>
          <w:tab w:val="left" w:pos="720"/>
          <w:tab w:val="left" w:pos="1080"/>
          <w:tab w:val="left" w:pos="1440"/>
        </w:tabs>
        <w:autoSpaceDE w:val="0"/>
        <w:autoSpaceDN w:val="0"/>
        <w:adjustRightInd w:val="0"/>
        <w:spacing w:after="0" w:line="240" w:lineRule="auto"/>
        <w:ind w:left="720" w:right="720" w:firstLine="0"/>
        <w:jc w:val="both"/>
        <w:rPr>
          <w:rFonts w:ascii="Cambria" w:hAnsi="Cambria" w:cs="Arial"/>
          <w:sz w:val="20"/>
          <w:szCs w:val="20"/>
          <w:lang w:val="es-ES"/>
        </w:rPr>
      </w:pPr>
      <w:r w:rsidRPr="00E14091">
        <w:rPr>
          <w:rFonts w:ascii="Cambria" w:hAnsi="Cambria" w:cs="Arial"/>
          <w:sz w:val="20"/>
          <w:szCs w:val="20"/>
          <w:lang w:val="es-ES"/>
        </w:rPr>
        <w:t>Reparar</w:t>
      </w:r>
      <w:r w:rsidRPr="00E14091">
        <w:rPr>
          <w:rFonts w:ascii="Cambria" w:hAnsi="Cambria"/>
          <w:sz w:val="20"/>
          <w:szCs w:val="20"/>
          <w:lang w:val="es-ES"/>
        </w:rPr>
        <w:t xml:space="preserve"> integralmente las consecuencias de las violaciones declaradas en el informe de fondo. En especial, considerar los daños provocados a la Comunidad por la falta de titulación total de su territorio ancestral, así como los daños causados por los proyectos hoteleros, turísticos y habitacionales desarrollados en él. </w:t>
      </w:r>
    </w:p>
    <w:p w14:paraId="0CDE1C0E" w14:textId="77777777" w:rsidR="00A172B7" w:rsidRPr="00E14091" w:rsidRDefault="00A172B7" w:rsidP="00A172B7">
      <w:pPr>
        <w:tabs>
          <w:tab w:val="left" w:pos="720"/>
          <w:tab w:val="left" w:pos="1440"/>
        </w:tabs>
        <w:autoSpaceDE w:val="0"/>
        <w:autoSpaceDN w:val="0"/>
        <w:adjustRightInd w:val="0"/>
        <w:spacing w:after="0" w:line="240" w:lineRule="auto"/>
        <w:ind w:left="720" w:right="720"/>
        <w:jc w:val="both"/>
        <w:rPr>
          <w:rFonts w:ascii="Cambria" w:hAnsi="Cambria" w:cs="Arial"/>
          <w:sz w:val="20"/>
          <w:szCs w:val="20"/>
          <w:lang w:val="es-ES"/>
        </w:rPr>
      </w:pPr>
    </w:p>
    <w:p w14:paraId="3FE70FF1" w14:textId="77777777" w:rsidR="00A172B7" w:rsidRPr="00E14091" w:rsidRDefault="00A172B7" w:rsidP="00A172B7">
      <w:pPr>
        <w:numPr>
          <w:ilvl w:val="3"/>
          <w:numId w:val="10"/>
        </w:numPr>
        <w:tabs>
          <w:tab w:val="clear" w:pos="3240"/>
          <w:tab w:val="num" w:pos="0"/>
          <w:tab w:val="left" w:pos="720"/>
          <w:tab w:val="left" w:pos="1080"/>
          <w:tab w:val="left" w:pos="1440"/>
        </w:tabs>
        <w:autoSpaceDE w:val="0"/>
        <w:autoSpaceDN w:val="0"/>
        <w:adjustRightInd w:val="0"/>
        <w:spacing w:after="0" w:line="240" w:lineRule="auto"/>
        <w:ind w:left="720" w:right="720" w:firstLine="0"/>
        <w:jc w:val="both"/>
        <w:rPr>
          <w:rFonts w:ascii="Cambria" w:hAnsi="Cambria" w:cs="Arial"/>
          <w:sz w:val="20"/>
          <w:szCs w:val="20"/>
          <w:lang w:val="es-ES"/>
        </w:rPr>
      </w:pPr>
      <w:r w:rsidRPr="00E14091">
        <w:rPr>
          <w:rFonts w:ascii="Cambria" w:hAnsi="Cambria" w:cs="Arial"/>
          <w:sz w:val="20"/>
          <w:szCs w:val="20"/>
          <w:lang w:val="es-ES"/>
        </w:rPr>
        <w:t>Asegurar que toda medida legislativa o administrativa o proyecto, incluyendo aquellos relacionados con concesiones y actividades empresariales, susceptible de afectar a la Comunidad Garífuna de San Juan no inicie o se continúe ejecutando mientras no se haya cumplido con los estándares interamericanos en materia de consulta y consentimiento previo, libre e informado</w:t>
      </w:r>
      <w:r w:rsidRPr="00E14091">
        <w:rPr>
          <w:rFonts w:ascii="Cambria" w:hAnsi="Cambria"/>
          <w:sz w:val="20"/>
          <w:szCs w:val="20"/>
          <w:lang w:val="es-US"/>
        </w:rPr>
        <w:t>.</w:t>
      </w:r>
    </w:p>
    <w:p w14:paraId="1E5B55A3" w14:textId="77777777" w:rsidR="00A172B7" w:rsidRPr="00E14091" w:rsidRDefault="00A172B7" w:rsidP="00A172B7">
      <w:pPr>
        <w:tabs>
          <w:tab w:val="left" w:pos="720"/>
          <w:tab w:val="left" w:pos="1440"/>
        </w:tabs>
        <w:autoSpaceDE w:val="0"/>
        <w:autoSpaceDN w:val="0"/>
        <w:adjustRightInd w:val="0"/>
        <w:spacing w:after="0" w:line="240" w:lineRule="auto"/>
        <w:ind w:left="720" w:right="720"/>
        <w:jc w:val="both"/>
        <w:rPr>
          <w:rFonts w:ascii="Cambria" w:hAnsi="Cambria" w:cs="Arial"/>
          <w:sz w:val="20"/>
          <w:szCs w:val="20"/>
          <w:lang w:val="es-ES"/>
        </w:rPr>
      </w:pPr>
    </w:p>
    <w:p w14:paraId="30F113D3" w14:textId="77777777" w:rsidR="00A172B7" w:rsidRPr="00E14091" w:rsidRDefault="00A172B7" w:rsidP="00A172B7">
      <w:pPr>
        <w:numPr>
          <w:ilvl w:val="3"/>
          <w:numId w:val="10"/>
        </w:numPr>
        <w:tabs>
          <w:tab w:val="clear" w:pos="3240"/>
          <w:tab w:val="num" w:pos="0"/>
          <w:tab w:val="left" w:pos="720"/>
          <w:tab w:val="left" w:pos="1080"/>
          <w:tab w:val="left" w:pos="1440"/>
        </w:tabs>
        <w:autoSpaceDE w:val="0"/>
        <w:autoSpaceDN w:val="0"/>
        <w:adjustRightInd w:val="0"/>
        <w:spacing w:after="0" w:line="240" w:lineRule="auto"/>
        <w:ind w:left="720" w:right="720" w:firstLine="0"/>
        <w:jc w:val="both"/>
        <w:rPr>
          <w:rFonts w:ascii="Cambria" w:hAnsi="Cambria" w:cs="Arial"/>
          <w:sz w:val="20"/>
          <w:szCs w:val="20"/>
          <w:lang w:val="es-ES"/>
        </w:rPr>
      </w:pPr>
      <w:r w:rsidRPr="00E14091">
        <w:rPr>
          <w:rFonts w:ascii="Cambria" w:hAnsi="Cambria" w:cs="Arial"/>
          <w:sz w:val="20"/>
          <w:szCs w:val="20"/>
          <w:lang w:val="es-ES"/>
        </w:rPr>
        <w:t xml:space="preserve">Asegurar que, de existir recursos judiciales o administrativos pendientes interpuestos por la Comunidad Garífuna de San Juan, los mismos sean resueltos de manera pronta y efectuando un control de convencionalidad conforme a las obligaciones internacionales del Estado hondureño bajo la Convención Americana. </w:t>
      </w:r>
    </w:p>
    <w:p w14:paraId="2B9255AD" w14:textId="77777777" w:rsidR="00A172B7" w:rsidRPr="00E14091" w:rsidRDefault="00A172B7" w:rsidP="00A172B7">
      <w:pPr>
        <w:tabs>
          <w:tab w:val="left" w:pos="720"/>
          <w:tab w:val="left" w:pos="1440"/>
          <w:tab w:val="num" w:pos="3240"/>
        </w:tabs>
        <w:autoSpaceDE w:val="0"/>
        <w:autoSpaceDN w:val="0"/>
        <w:adjustRightInd w:val="0"/>
        <w:spacing w:after="0" w:line="240" w:lineRule="auto"/>
        <w:ind w:left="720" w:right="720"/>
        <w:jc w:val="both"/>
        <w:rPr>
          <w:rFonts w:ascii="Cambria" w:hAnsi="Cambria"/>
          <w:sz w:val="20"/>
          <w:szCs w:val="20"/>
          <w:lang w:val="es-ES"/>
        </w:rPr>
      </w:pPr>
    </w:p>
    <w:p w14:paraId="27EDA764" w14:textId="77777777" w:rsidR="00A172B7" w:rsidRPr="00E14091" w:rsidRDefault="00A172B7" w:rsidP="00A172B7">
      <w:pPr>
        <w:numPr>
          <w:ilvl w:val="3"/>
          <w:numId w:val="10"/>
        </w:numPr>
        <w:tabs>
          <w:tab w:val="num" w:pos="0"/>
          <w:tab w:val="left" w:pos="720"/>
          <w:tab w:val="left" w:pos="1080"/>
          <w:tab w:val="left" w:pos="1440"/>
        </w:tabs>
        <w:autoSpaceDE w:val="0"/>
        <w:autoSpaceDN w:val="0"/>
        <w:adjustRightInd w:val="0"/>
        <w:spacing w:after="0" w:line="240" w:lineRule="auto"/>
        <w:ind w:left="720" w:right="720" w:firstLine="0"/>
        <w:jc w:val="both"/>
        <w:rPr>
          <w:rFonts w:ascii="Cambria" w:hAnsi="Cambria"/>
          <w:sz w:val="20"/>
          <w:szCs w:val="20"/>
          <w:lang w:val="es-ES"/>
        </w:rPr>
      </w:pPr>
      <w:r w:rsidRPr="00E14091">
        <w:rPr>
          <w:rFonts w:ascii="Cambria" w:hAnsi="Cambria"/>
          <w:sz w:val="20"/>
          <w:szCs w:val="20"/>
          <w:lang w:val="es-ES"/>
        </w:rPr>
        <w:t>Adoptar las medidas legislativas, administrativas o de otra índole necesarias para evitar que en el futuro se produzcan hechos similares; en particular para asegurar contar con:</w:t>
      </w:r>
    </w:p>
    <w:p w14:paraId="633B5D20" w14:textId="77777777" w:rsidR="00A172B7" w:rsidRPr="00E14091" w:rsidRDefault="00A172B7" w:rsidP="00A172B7">
      <w:pPr>
        <w:pStyle w:val="Prrafodelista"/>
        <w:tabs>
          <w:tab w:val="left" w:pos="720"/>
          <w:tab w:val="left" w:pos="1080"/>
          <w:tab w:val="left" w:pos="1440"/>
        </w:tabs>
        <w:ind w:right="720"/>
        <w:rPr>
          <w:rFonts w:eastAsia="Calibri"/>
          <w:sz w:val="20"/>
          <w:szCs w:val="20"/>
          <w:bdr w:val="none" w:sz="0" w:space="0" w:color="auto"/>
          <w:lang w:val="es-ES"/>
        </w:rPr>
      </w:pPr>
    </w:p>
    <w:p w14:paraId="77707E7F" w14:textId="77777777" w:rsidR="00A172B7" w:rsidRPr="00E14091" w:rsidRDefault="00A172B7" w:rsidP="00A172B7">
      <w:pPr>
        <w:numPr>
          <w:ilvl w:val="0"/>
          <w:numId w:val="11"/>
        </w:numPr>
        <w:tabs>
          <w:tab w:val="left" w:pos="1080"/>
          <w:tab w:val="left" w:pos="1440"/>
          <w:tab w:val="num" w:pos="3240"/>
        </w:tabs>
        <w:autoSpaceDE w:val="0"/>
        <w:autoSpaceDN w:val="0"/>
        <w:adjustRightInd w:val="0"/>
        <w:spacing w:after="0" w:line="240" w:lineRule="auto"/>
        <w:ind w:right="720" w:firstLine="0"/>
        <w:jc w:val="both"/>
        <w:rPr>
          <w:rFonts w:ascii="Cambria" w:hAnsi="Cambria" w:cs="Arial"/>
          <w:sz w:val="20"/>
          <w:szCs w:val="20"/>
          <w:lang w:val="es-ES"/>
        </w:rPr>
      </w:pPr>
      <w:r w:rsidRPr="00E14091">
        <w:rPr>
          <w:rFonts w:ascii="Cambria" w:hAnsi="Cambria" w:cs="Arial"/>
          <w:sz w:val="20"/>
          <w:szCs w:val="20"/>
          <w:lang w:val="es-ES"/>
        </w:rPr>
        <w:t xml:space="preserve">mecanismos rápidos y efectivos que garanticen el derecho de los pueblos indígenas a reivindicar sus territorios ancestrales y a ejercer pacíficamente su propiedad colectiva, mediante la titulación, demarcación, delimitación y saneamiento. </w:t>
      </w:r>
    </w:p>
    <w:p w14:paraId="31B1C13A" w14:textId="77777777" w:rsidR="00A172B7" w:rsidRPr="00E14091" w:rsidRDefault="00A172B7" w:rsidP="00A172B7">
      <w:pPr>
        <w:numPr>
          <w:ilvl w:val="0"/>
          <w:numId w:val="11"/>
        </w:numPr>
        <w:tabs>
          <w:tab w:val="left" w:pos="1080"/>
          <w:tab w:val="left" w:pos="1440"/>
          <w:tab w:val="num" w:pos="3240"/>
        </w:tabs>
        <w:autoSpaceDE w:val="0"/>
        <w:autoSpaceDN w:val="0"/>
        <w:adjustRightInd w:val="0"/>
        <w:spacing w:after="0" w:line="240" w:lineRule="auto"/>
        <w:ind w:right="720" w:firstLine="0"/>
        <w:jc w:val="both"/>
        <w:rPr>
          <w:rFonts w:ascii="Cambria" w:hAnsi="Cambria" w:cs="Arial"/>
          <w:sz w:val="20"/>
          <w:szCs w:val="20"/>
          <w:lang w:val="es-ES"/>
        </w:rPr>
      </w:pPr>
      <w:r w:rsidRPr="00E14091">
        <w:rPr>
          <w:rFonts w:ascii="Cambria" w:hAnsi="Cambria" w:cs="Arial"/>
          <w:sz w:val="20"/>
          <w:szCs w:val="20"/>
          <w:lang w:val="es-ES"/>
        </w:rPr>
        <w:t xml:space="preserve">mecanismos que garanticen la consulta previa, con la debida participación de la comunidad indígena hondureña y </w:t>
      </w:r>
      <w:r w:rsidRPr="00E14091">
        <w:rPr>
          <w:rFonts w:ascii="Cambria" w:hAnsi="Cambria"/>
          <w:sz w:val="20"/>
          <w:szCs w:val="20"/>
          <w:lang w:val="es-US"/>
        </w:rPr>
        <w:t>que incorporen lo establecido en el Convenio 169 y los estándares internacionales en la materia.</w:t>
      </w:r>
    </w:p>
    <w:p w14:paraId="0B4EA7EA" w14:textId="77777777" w:rsidR="00A172B7" w:rsidRPr="00E14091" w:rsidRDefault="00A172B7" w:rsidP="00793825">
      <w:pPr>
        <w:pStyle w:val="Encabezado"/>
        <w:tabs>
          <w:tab w:val="left" w:pos="720"/>
        </w:tabs>
        <w:jc w:val="both"/>
        <w:rPr>
          <w:rFonts w:ascii="Cambria" w:hAnsi="Cambria" w:cs="Calibri"/>
          <w:color w:val="000000"/>
          <w:sz w:val="20"/>
          <w:szCs w:val="20"/>
          <w:lang w:val="es-ES"/>
        </w:rPr>
      </w:pPr>
    </w:p>
    <w:p w14:paraId="638C6751" w14:textId="77777777" w:rsidR="00873189" w:rsidRPr="00E14091" w:rsidRDefault="00E16ED1" w:rsidP="00873189">
      <w:pPr>
        <w:pStyle w:val="Encabezado"/>
        <w:tabs>
          <w:tab w:val="left" w:pos="540"/>
        </w:tabs>
        <w:jc w:val="both"/>
        <w:rPr>
          <w:rFonts w:ascii="Cambria" w:hAnsi="Cambria" w:cs="Calibri"/>
          <w:color w:val="000000"/>
          <w:sz w:val="20"/>
          <w:szCs w:val="20"/>
          <w:lang w:val="es-ES"/>
        </w:rPr>
      </w:pPr>
      <w:r w:rsidRPr="00E14091">
        <w:rPr>
          <w:rFonts w:ascii="Cambria" w:hAnsi="Cambria" w:cs="Calibri"/>
          <w:color w:val="000000"/>
          <w:sz w:val="20"/>
          <w:szCs w:val="20"/>
          <w:lang w:val="es-ES"/>
        </w:rPr>
        <w:lastRenderedPageBreak/>
        <w:tab/>
      </w:r>
      <w:r w:rsidRPr="00E14091">
        <w:rPr>
          <w:rFonts w:ascii="Cambria" w:hAnsi="Cambria" w:cs="Calibri"/>
          <w:color w:val="000000"/>
          <w:sz w:val="20"/>
          <w:szCs w:val="20"/>
          <w:lang w:val="es-ES"/>
        </w:rPr>
        <w:tab/>
      </w:r>
      <w:r w:rsidR="00162CE1" w:rsidRPr="00E14091">
        <w:rPr>
          <w:rFonts w:ascii="Cambria" w:hAnsi="Cambria" w:cs="Calibri"/>
          <w:color w:val="000000"/>
          <w:sz w:val="20"/>
          <w:szCs w:val="20"/>
          <w:lang w:val="es-ES"/>
        </w:rPr>
        <w:t>Además de la necesidad de obtención de justicia</w:t>
      </w:r>
      <w:r w:rsidR="00377262" w:rsidRPr="00E14091">
        <w:rPr>
          <w:rFonts w:ascii="Cambria" w:hAnsi="Cambria" w:cs="Calibri"/>
          <w:color w:val="000000"/>
          <w:sz w:val="20"/>
          <w:szCs w:val="20"/>
          <w:lang w:val="es-ES"/>
        </w:rPr>
        <w:t xml:space="preserve"> y reparación</w:t>
      </w:r>
      <w:r w:rsidR="00162CE1" w:rsidRPr="00E14091">
        <w:rPr>
          <w:rFonts w:ascii="Cambria" w:hAnsi="Cambria" w:cs="Calibri"/>
          <w:color w:val="000000"/>
          <w:sz w:val="20"/>
          <w:szCs w:val="20"/>
          <w:lang w:val="es-ES"/>
        </w:rPr>
        <w:t xml:space="preserve"> por la falta de cumplimie</w:t>
      </w:r>
      <w:r w:rsidR="009A0E8E" w:rsidRPr="00E14091">
        <w:rPr>
          <w:rFonts w:ascii="Cambria" w:hAnsi="Cambria" w:cs="Calibri"/>
          <w:color w:val="000000"/>
          <w:sz w:val="20"/>
          <w:szCs w:val="20"/>
          <w:lang w:val="es-ES"/>
        </w:rPr>
        <w:t>nto de las recomendaciones del Informe de F</w:t>
      </w:r>
      <w:r w:rsidR="00162CE1" w:rsidRPr="00E14091">
        <w:rPr>
          <w:rFonts w:ascii="Cambria" w:hAnsi="Cambria" w:cs="Calibri"/>
          <w:color w:val="000000"/>
          <w:sz w:val="20"/>
          <w:szCs w:val="20"/>
          <w:lang w:val="es-ES"/>
        </w:rPr>
        <w:t>ondo, la Comisión considera que el caso presenta cuestiones de orden público interamericano.</w:t>
      </w:r>
      <w:r w:rsidR="00245F50" w:rsidRPr="00E14091">
        <w:rPr>
          <w:rFonts w:ascii="Cambria" w:hAnsi="Cambria" w:cs="Calibri"/>
          <w:color w:val="000000"/>
          <w:sz w:val="20"/>
          <w:szCs w:val="20"/>
          <w:lang w:val="es-ES"/>
        </w:rPr>
        <w:t xml:space="preserve"> </w:t>
      </w:r>
      <w:r w:rsidR="00B84F1F" w:rsidRPr="00E14091">
        <w:rPr>
          <w:rFonts w:ascii="Cambria" w:hAnsi="Cambria" w:cs="Calibri"/>
          <w:color w:val="000000"/>
          <w:sz w:val="20"/>
          <w:szCs w:val="20"/>
          <w:lang w:val="es-ES"/>
        </w:rPr>
        <w:t xml:space="preserve">El mismo permitirá </w:t>
      </w:r>
      <w:r w:rsidR="00B84F1F" w:rsidRPr="00E14091">
        <w:rPr>
          <w:rFonts w:ascii="Cambria" w:hAnsi="Cambria"/>
          <w:sz w:val="20"/>
          <w:szCs w:val="20"/>
          <w:lang w:val="es-CO"/>
        </w:rPr>
        <w:t xml:space="preserve">a la Honorable Corte </w:t>
      </w:r>
      <w:r w:rsidR="00331FB1" w:rsidRPr="00E14091">
        <w:rPr>
          <w:rFonts w:ascii="Cambria" w:hAnsi="Cambria" w:cs="Calibri"/>
          <w:sz w:val="20"/>
          <w:szCs w:val="20"/>
          <w:lang w:val="es-ES"/>
        </w:rPr>
        <w:t>profundizar</w:t>
      </w:r>
      <w:r w:rsidR="00793825" w:rsidRPr="00E14091">
        <w:rPr>
          <w:rFonts w:ascii="Cambria" w:hAnsi="Cambria" w:cs="Calibri"/>
          <w:sz w:val="20"/>
          <w:szCs w:val="20"/>
          <w:lang w:val="es-ES"/>
        </w:rPr>
        <w:t xml:space="preserve"> </w:t>
      </w:r>
      <w:r w:rsidR="00A172B7" w:rsidRPr="00E14091">
        <w:rPr>
          <w:rFonts w:ascii="Cambria" w:hAnsi="Cambria" w:cs="Calibri"/>
          <w:sz w:val="20"/>
          <w:szCs w:val="20"/>
          <w:lang w:val="es-ES"/>
        </w:rPr>
        <w:t xml:space="preserve">su jurisprudencia </w:t>
      </w:r>
      <w:r w:rsidR="00A172B7" w:rsidRPr="00E14091">
        <w:rPr>
          <w:rFonts w:ascii="Cambria" w:eastAsia="Times New Roman" w:hAnsi="Cambria" w:cs="Cambria"/>
          <w:sz w:val="20"/>
          <w:szCs w:val="20"/>
          <w:lang w:val="es-CO"/>
        </w:rPr>
        <w:t xml:space="preserve">sobre el derecho a la propiedad colectiva de los pueblos indígenas de sus territorios ancestrales. En particular, la Corte podrá continuar desarrollando la obligación internacional de los Estados </w:t>
      </w:r>
      <w:r w:rsidR="00873189" w:rsidRPr="00E14091">
        <w:rPr>
          <w:rFonts w:ascii="Cambria" w:eastAsia="Times New Roman" w:hAnsi="Cambria" w:cs="Cambria"/>
          <w:sz w:val="20"/>
          <w:szCs w:val="20"/>
          <w:lang w:val="es-CO"/>
        </w:rPr>
        <w:t>de garantizar la propiedad efectiva de los pueblos indígenas a través de mecanismos adecuados que posibiliten mediante un título el reconocimiento oficial</w:t>
      </w:r>
      <w:r w:rsidR="0013511B" w:rsidRPr="00E14091">
        <w:rPr>
          <w:rFonts w:ascii="Cambria" w:eastAsia="Times New Roman" w:hAnsi="Cambria" w:cs="Cambria"/>
          <w:sz w:val="20"/>
          <w:szCs w:val="20"/>
          <w:lang w:val="es-CO"/>
        </w:rPr>
        <w:t xml:space="preserve"> de la totalidad de su </w:t>
      </w:r>
      <w:r w:rsidR="00873189" w:rsidRPr="00E14091">
        <w:rPr>
          <w:rFonts w:ascii="Cambria" w:eastAsia="Times New Roman" w:hAnsi="Cambria" w:cs="Cambria"/>
          <w:sz w:val="20"/>
          <w:szCs w:val="20"/>
          <w:lang w:val="es-CO"/>
        </w:rPr>
        <w:t xml:space="preserve">propiedad ancestral, </w:t>
      </w:r>
      <w:r w:rsidR="0013511B" w:rsidRPr="00E14091">
        <w:rPr>
          <w:rFonts w:ascii="Cambria" w:eastAsia="Times New Roman" w:hAnsi="Cambria" w:cs="Cambria"/>
          <w:sz w:val="20"/>
          <w:szCs w:val="20"/>
          <w:lang w:val="es-CO"/>
        </w:rPr>
        <w:t xml:space="preserve">incluyendo situaciones donde parte de sus </w:t>
      </w:r>
      <w:r w:rsidR="00873189" w:rsidRPr="00E14091">
        <w:rPr>
          <w:rFonts w:ascii="Cambria" w:eastAsia="Times New Roman" w:hAnsi="Cambria" w:cs="Cambria"/>
          <w:sz w:val="20"/>
          <w:szCs w:val="20"/>
          <w:lang w:val="es-CO"/>
        </w:rPr>
        <w:t>territorios pudieran encontrarse ocupados por terceros</w:t>
      </w:r>
      <w:r w:rsidR="00A172B7" w:rsidRPr="00E14091">
        <w:rPr>
          <w:rFonts w:ascii="Cambria" w:eastAsia="Times New Roman" w:hAnsi="Cambria" w:cs="Cambria"/>
          <w:sz w:val="20"/>
          <w:szCs w:val="20"/>
          <w:lang w:val="es-CO"/>
        </w:rPr>
        <w:t>.</w:t>
      </w:r>
      <w:r w:rsidR="00873189" w:rsidRPr="00E14091">
        <w:rPr>
          <w:rFonts w:ascii="Cambria" w:eastAsia="Times New Roman" w:hAnsi="Cambria" w:cs="Cambria"/>
          <w:sz w:val="20"/>
          <w:szCs w:val="20"/>
          <w:lang w:val="es-CO"/>
        </w:rPr>
        <w:t xml:space="preserve"> Además, la Corte podrá continuar profundizando sobre la obligación que tiene el Estado de garantizar </w:t>
      </w:r>
      <w:r w:rsidR="00873189" w:rsidRPr="00E14091">
        <w:rPr>
          <w:rFonts w:ascii="Cambria" w:hAnsi="Cambria" w:cs="Calibri"/>
          <w:color w:val="000000"/>
          <w:sz w:val="20"/>
          <w:szCs w:val="20"/>
          <w:lang w:val="es-ES"/>
        </w:rPr>
        <w:t xml:space="preserve">mecanismos que aseguren plenamente el derecho a la consulta de los pueblos indígenas respecto de la realización de proyectos empresariales en territorio reclamado ancestralmente por pueblos indígenas. </w:t>
      </w:r>
    </w:p>
    <w:p w14:paraId="1C6467D1" w14:textId="77777777" w:rsidR="00A172B7" w:rsidRPr="00E14091" w:rsidRDefault="00A172B7" w:rsidP="00A172B7">
      <w:pPr>
        <w:pStyle w:val="Encabezado"/>
        <w:tabs>
          <w:tab w:val="left" w:pos="540"/>
        </w:tabs>
        <w:jc w:val="both"/>
        <w:rPr>
          <w:rFonts w:ascii="Cambria" w:hAnsi="Cambria"/>
          <w:sz w:val="20"/>
          <w:szCs w:val="20"/>
          <w:lang w:val="es-ES_tradnl"/>
        </w:rPr>
      </w:pPr>
    </w:p>
    <w:p w14:paraId="52EF8B26" w14:textId="77777777" w:rsidR="00162CE1" w:rsidRPr="00E14091" w:rsidRDefault="00A172B7" w:rsidP="00A172B7">
      <w:pPr>
        <w:pStyle w:val="Encabezado"/>
        <w:tabs>
          <w:tab w:val="left" w:pos="720"/>
        </w:tabs>
        <w:jc w:val="both"/>
        <w:rPr>
          <w:rFonts w:ascii="Cambria" w:hAnsi="Cambria" w:cs="Calibri"/>
          <w:color w:val="000000"/>
          <w:sz w:val="20"/>
          <w:szCs w:val="20"/>
          <w:lang w:val="es-ES"/>
        </w:rPr>
      </w:pPr>
      <w:r w:rsidRPr="00E14091">
        <w:rPr>
          <w:rFonts w:ascii="Cambria" w:hAnsi="Cambria" w:cs="Calibri"/>
          <w:color w:val="000000"/>
          <w:sz w:val="20"/>
          <w:szCs w:val="20"/>
          <w:lang w:val="es-ES"/>
        </w:rPr>
        <w:tab/>
      </w:r>
      <w:r w:rsidR="00162CE1" w:rsidRPr="00E14091">
        <w:rPr>
          <w:rFonts w:ascii="Cambria" w:hAnsi="Cambria" w:cs="Calibri"/>
          <w:color w:val="000000"/>
          <w:sz w:val="20"/>
          <w:szCs w:val="20"/>
          <w:lang w:val="es-ES"/>
        </w:rPr>
        <w:t>En virtud de que estas cuestiones afectan de manera relevante el orden público interamericano, de conformidad con el artículo 35.1 f) del Reglamento de la Corte Interamericana, la Comisión se permite ofrecer la siguiente declaraci</w:t>
      </w:r>
      <w:r w:rsidR="009A0971" w:rsidRPr="00E14091">
        <w:rPr>
          <w:rFonts w:ascii="Cambria" w:hAnsi="Cambria" w:cs="Calibri"/>
          <w:color w:val="000000"/>
          <w:sz w:val="20"/>
          <w:szCs w:val="20"/>
          <w:lang w:val="es-ES"/>
        </w:rPr>
        <w:t>ón</w:t>
      </w:r>
      <w:r w:rsidR="00162CE1" w:rsidRPr="00E14091">
        <w:rPr>
          <w:rFonts w:ascii="Cambria" w:hAnsi="Cambria" w:cs="Calibri"/>
          <w:color w:val="000000"/>
          <w:sz w:val="20"/>
          <w:szCs w:val="20"/>
          <w:lang w:val="es-ES"/>
        </w:rPr>
        <w:t xml:space="preserve"> pericial: </w:t>
      </w:r>
    </w:p>
    <w:p w14:paraId="4ABA22EC" w14:textId="77777777" w:rsidR="0014432C" w:rsidRPr="00E14091" w:rsidRDefault="0014432C" w:rsidP="00F8734F">
      <w:pPr>
        <w:spacing w:after="0" w:line="240" w:lineRule="auto"/>
        <w:ind w:firstLine="720"/>
        <w:jc w:val="both"/>
        <w:rPr>
          <w:rFonts w:ascii="Cambria" w:hAnsi="Cambria" w:cs="Calibri"/>
          <w:color w:val="000000"/>
          <w:sz w:val="20"/>
          <w:szCs w:val="20"/>
          <w:lang w:val="es-ES"/>
        </w:rPr>
      </w:pPr>
    </w:p>
    <w:p w14:paraId="61DA83B6" w14:textId="77777777" w:rsidR="0082191F" w:rsidRPr="00E14091" w:rsidRDefault="000430EE" w:rsidP="00FC1DF0">
      <w:pPr>
        <w:tabs>
          <w:tab w:val="left" w:pos="720"/>
          <w:tab w:val="left" w:pos="2880"/>
        </w:tabs>
        <w:spacing w:after="0" w:line="240" w:lineRule="auto"/>
        <w:jc w:val="both"/>
        <w:rPr>
          <w:rFonts w:ascii="Cambria" w:hAnsi="Cambria" w:cs="Calibri"/>
          <w:color w:val="000000"/>
          <w:sz w:val="20"/>
          <w:szCs w:val="20"/>
          <w:lang w:val="es-ES"/>
        </w:rPr>
      </w:pPr>
      <w:r w:rsidRPr="00E14091">
        <w:rPr>
          <w:rFonts w:ascii="Cambria" w:hAnsi="Cambria" w:cs="Calibri"/>
          <w:b/>
          <w:color w:val="000000"/>
          <w:sz w:val="20"/>
          <w:szCs w:val="20"/>
          <w:lang w:val="es-ES"/>
        </w:rPr>
        <w:tab/>
      </w:r>
      <w:r w:rsidR="008F7152" w:rsidRPr="00E14091">
        <w:rPr>
          <w:rFonts w:ascii="Cambria" w:hAnsi="Cambria" w:cs="Calibri"/>
          <w:b/>
          <w:color w:val="000000"/>
          <w:sz w:val="20"/>
          <w:szCs w:val="20"/>
          <w:lang w:val="es-ES"/>
        </w:rPr>
        <w:t>Perito/a, cuyo nombre será informado a la brevedad</w:t>
      </w:r>
      <w:r w:rsidR="008F7152" w:rsidRPr="00E14091">
        <w:rPr>
          <w:rFonts w:ascii="Cambria" w:hAnsi="Cambria" w:cs="Calibri"/>
          <w:color w:val="000000"/>
          <w:sz w:val="20"/>
          <w:szCs w:val="20"/>
          <w:lang w:val="es-ES"/>
        </w:rPr>
        <w:t xml:space="preserve">, quien declarará </w:t>
      </w:r>
      <w:r w:rsidR="00694376" w:rsidRPr="00E14091">
        <w:rPr>
          <w:rFonts w:ascii="Cambria" w:hAnsi="Cambria" w:cs="Calibri"/>
          <w:color w:val="000000"/>
          <w:sz w:val="20"/>
          <w:szCs w:val="20"/>
          <w:lang w:val="es-ES"/>
        </w:rPr>
        <w:t xml:space="preserve">sobre </w:t>
      </w:r>
      <w:r w:rsidR="00A9602D" w:rsidRPr="00E14091">
        <w:rPr>
          <w:rFonts w:ascii="Cambria" w:hAnsi="Cambria" w:cs="Calibri"/>
          <w:color w:val="000000"/>
          <w:sz w:val="20"/>
          <w:szCs w:val="20"/>
          <w:lang w:val="es-ES"/>
        </w:rPr>
        <w:t>las obligaciones de los Estados respecto al derecho a la propiedad colectiva de los pueblos indígenas sobre sus territorios ancestrales y el deber de protección que emana del artículo 21 de la Convención Americana. En particular, el/la perito/a se referirá a la obligación de</w:t>
      </w:r>
      <w:r w:rsidR="00871B9B" w:rsidRPr="00E14091">
        <w:rPr>
          <w:rFonts w:ascii="Cambria" w:hAnsi="Cambria" w:cs="Calibri"/>
          <w:color w:val="000000"/>
          <w:sz w:val="20"/>
          <w:szCs w:val="20"/>
          <w:lang w:val="es-ES"/>
        </w:rPr>
        <w:t xml:space="preserve"> </w:t>
      </w:r>
      <w:r w:rsidR="00A9602D" w:rsidRPr="00E14091">
        <w:rPr>
          <w:rFonts w:ascii="Cambria" w:hAnsi="Cambria" w:cs="Calibri"/>
          <w:color w:val="000000"/>
          <w:sz w:val="20"/>
          <w:szCs w:val="20"/>
          <w:lang w:val="es-ES"/>
        </w:rPr>
        <w:t>l</w:t>
      </w:r>
      <w:r w:rsidR="00871B9B" w:rsidRPr="00E14091">
        <w:rPr>
          <w:rFonts w:ascii="Cambria" w:hAnsi="Cambria" w:cs="Calibri"/>
          <w:color w:val="000000"/>
          <w:sz w:val="20"/>
          <w:szCs w:val="20"/>
          <w:lang w:val="es-ES"/>
        </w:rPr>
        <w:t>os</w:t>
      </w:r>
      <w:r w:rsidR="00A9602D" w:rsidRPr="00E14091">
        <w:rPr>
          <w:rFonts w:ascii="Cambria" w:hAnsi="Cambria" w:cs="Calibri"/>
          <w:color w:val="000000"/>
          <w:sz w:val="20"/>
          <w:szCs w:val="20"/>
          <w:lang w:val="es-ES"/>
        </w:rPr>
        <w:t xml:space="preserve"> Estado</w:t>
      </w:r>
      <w:r w:rsidR="00871B9B" w:rsidRPr="00E14091">
        <w:rPr>
          <w:rFonts w:ascii="Cambria" w:hAnsi="Cambria" w:cs="Calibri"/>
          <w:color w:val="000000"/>
          <w:sz w:val="20"/>
          <w:szCs w:val="20"/>
          <w:lang w:val="es-ES"/>
        </w:rPr>
        <w:t>s</w:t>
      </w:r>
      <w:r w:rsidR="00A9602D" w:rsidRPr="00E14091">
        <w:rPr>
          <w:rFonts w:ascii="Cambria" w:hAnsi="Cambria" w:cs="Calibri"/>
          <w:color w:val="000000"/>
          <w:sz w:val="20"/>
          <w:szCs w:val="20"/>
          <w:lang w:val="es-ES"/>
        </w:rPr>
        <w:t xml:space="preserve"> de </w:t>
      </w:r>
      <w:r w:rsidR="0013511B" w:rsidRPr="00E14091">
        <w:rPr>
          <w:rFonts w:ascii="Cambria" w:hAnsi="Cambria" w:cs="Calibri"/>
          <w:color w:val="000000"/>
          <w:sz w:val="20"/>
          <w:szCs w:val="20"/>
          <w:lang w:val="es-ES"/>
        </w:rPr>
        <w:t>garantizar mecanismos adecuados para asegurar a</w:t>
      </w:r>
      <w:r w:rsidR="00A9602D" w:rsidRPr="00E14091">
        <w:rPr>
          <w:rFonts w:ascii="Cambria" w:hAnsi="Cambria" w:cs="Calibri"/>
          <w:color w:val="000000"/>
          <w:sz w:val="20"/>
          <w:szCs w:val="20"/>
          <w:lang w:val="es-ES"/>
        </w:rPr>
        <w:t xml:space="preserve"> los pueblos indígenas el goce efectivo de sus territorios y otorgar seguridad jurídic</w:t>
      </w:r>
      <w:r w:rsidR="0013511B" w:rsidRPr="00E14091">
        <w:rPr>
          <w:rFonts w:ascii="Cambria" w:hAnsi="Cambria" w:cs="Calibri"/>
          <w:color w:val="000000"/>
          <w:sz w:val="20"/>
          <w:szCs w:val="20"/>
          <w:lang w:val="es-ES"/>
        </w:rPr>
        <w:t>a respecto de la totalidad de su propiedad ancestral, incluyendo situaciones donde parte de sus territorios pudieran encontrarse ocupados por terceros.</w:t>
      </w:r>
      <w:r w:rsidRPr="00E14091">
        <w:rPr>
          <w:rFonts w:ascii="Cambria" w:hAnsi="Cambria" w:cs="Calibri"/>
          <w:color w:val="000000"/>
          <w:sz w:val="20"/>
          <w:szCs w:val="20"/>
          <w:lang w:val="es-ES"/>
        </w:rPr>
        <w:t xml:space="preserve"> </w:t>
      </w:r>
      <w:r w:rsidR="002470B4" w:rsidRPr="00E14091">
        <w:rPr>
          <w:rFonts w:ascii="Cambria" w:hAnsi="Cambria" w:cs="Calibri"/>
          <w:color w:val="000000"/>
          <w:sz w:val="20"/>
          <w:szCs w:val="20"/>
          <w:lang w:val="es-ES"/>
        </w:rPr>
        <w:t>Asimismo, el/la perito/a se referirá a la obligación de los Estados de establecer mecanismos legales que aseguren plenamente el derecho a la consulta de los pueblos indígenas respecto de</w:t>
      </w:r>
      <w:r w:rsidR="00A172B7" w:rsidRPr="00E14091">
        <w:rPr>
          <w:rFonts w:ascii="Cambria" w:hAnsi="Cambria" w:cs="Calibri"/>
          <w:color w:val="000000"/>
          <w:sz w:val="20"/>
          <w:szCs w:val="20"/>
          <w:lang w:val="es-ES"/>
        </w:rPr>
        <w:t xml:space="preserve"> la realización de proyectos empresariales</w:t>
      </w:r>
      <w:r w:rsidR="0013511B" w:rsidRPr="00E14091">
        <w:rPr>
          <w:rFonts w:ascii="Cambria" w:hAnsi="Cambria" w:cs="Calibri"/>
          <w:color w:val="000000"/>
          <w:sz w:val="20"/>
          <w:szCs w:val="20"/>
          <w:lang w:val="es-ES"/>
        </w:rPr>
        <w:t xml:space="preserve"> </w:t>
      </w:r>
      <w:r w:rsidR="00A172B7" w:rsidRPr="00E14091">
        <w:rPr>
          <w:rFonts w:ascii="Cambria" w:hAnsi="Cambria" w:cs="Calibri"/>
          <w:color w:val="000000"/>
          <w:sz w:val="20"/>
          <w:szCs w:val="20"/>
          <w:lang w:val="es-ES"/>
        </w:rPr>
        <w:t>en</w:t>
      </w:r>
      <w:r w:rsidR="002470B4" w:rsidRPr="00E14091">
        <w:rPr>
          <w:rFonts w:ascii="Cambria" w:hAnsi="Cambria" w:cs="Calibri"/>
          <w:color w:val="000000"/>
          <w:sz w:val="20"/>
          <w:szCs w:val="20"/>
          <w:lang w:val="es-ES"/>
        </w:rPr>
        <w:t xml:space="preserve"> territorio indígena. </w:t>
      </w:r>
      <w:r w:rsidR="0082191F" w:rsidRPr="00E14091">
        <w:rPr>
          <w:rFonts w:ascii="Cambria" w:hAnsi="Cambria" w:cs="Calibri"/>
          <w:color w:val="000000"/>
          <w:sz w:val="20"/>
          <w:szCs w:val="20"/>
          <w:lang w:val="es-ES"/>
        </w:rPr>
        <w:t xml:space="preserve">En la medida de lo pertinente, el/la perito/a se referirá a otros sistemas internacionales de protección de derechos humanos y al derecho comparado. Para ejemplificar el desarrollo de su peritaje, el/la perito/a podrá </w:t>
      </w:r>
      <w:r w:rsidR="00910C01" w:rsidRPr="00E14091">
        <w:rPr>
          <w:rFonts w:ascii="Cambria" w:hAnsi="Cambria" w:cs="Calibri"/>
          <w:color w:val="000000"/>
          <w:sz w:val="20"/>
          <w:szCs w:val="20"/>
          <w:lang w:val="es-ES"/>
        </w:rPr>
        <w:t>referirse a los hechos del caso.</w:t>
      </w:r>
    </w:p>
    <w:p w14:paraId="16FBBE01" w14:textId="77777777" w:rsidR="0082191F" w:rsidRPr="00E14091" w:rsidRDefault="0082191F" w:rsidP="00F8734F">
      <w:pPr>
        <w:spacing w:after="0" w:line="240" w:lineRule="auto"/>
        <w:ind w:firstLine="720"/>
        <w:jc w:val="both"/>
        <w:rPr>
          <w:rFonts w:ascii="Cambria" w:hAnsi="Cambria" w:cs="Calibri"/>
          <w:color w:val="000000"/>
          <w:sz w:val="20"/>
          <w:szCs w:val="20"/>
          <w:lang w:val="es-PE"/>
        </w:rPr>
      </w:pPr>
    </w:p>
    <w:p w14:paraId="52B4DA85" w14:textId="77777777" w:rsidR="00162CE1" w:rsidRPr="00E14091" w:rsidRDefault="00162CE1" w:rsidP="00F8734F">
      <w:pPr>
        <w:spacing w:after="0" w:line="240" w:lineRule="auto"/>
        <w:jc w:val="both"/>
        <w:rPr>
          <w:rFonts w:ascii="Cambria" w:hAnsi="Cambria" w:cs="Calibri"/>
          <w:color w:val="000000"/>
          <w:sz w:val="20"/>
          <w:szCs w:val="20"/>
          <w:lang w:val="es-ES"/>
        </w:rPr>
      </w:pPr>
      <w:r w:rsidRPr="00E14091">
        <w:rPr>
          <w:rFonts w:ascii="Cambria" w:hAnsi="Cambria" w:cs="Calibri"/>
          <w:color w:val="000000"/>
          <w:sz w:val="20"/>
          <w:szCs w:val="20"/>
          <w:lang w:val="es-ES"/>
        </w:rPr>
        <w:tab/>
      </w:r>
      <w:r w:rsidR="009A0971" w:rsidRPr="00E14091">
        <w:rPr>
          <w:rFonts w:ascii="Cambria" w:hAnsi="Cambria" w:cs="Calibri"/>
          <w:color w:val="000000"/>
          <w:sz w:val="20"/>
          <w:szCs w:val="20"/>
          <w:lang w:val="es-ES"/>
        </w:rPr>
        <w:t xml:space="preserve">El </w:t>
      </w:r>
      <w:r w:rsidRPr="00E14091">
        <w:rPr>
          <w:rFonts w:ascii="Cambria" w:hAnsi="Cambria" w:cs="Calibri"/>
          <w:color w:val="000000"/>
          <w:sz w:val="20"/>
          <w:szCs w:val="20"/>
          <w:lang w:val="es-ES"/>
        </w:rPr>
        <w:t xml:space="preserve">CV del/a perito/a propuesto/a será incluido en los anexos al </w:t>
      </w:r>
      <w:r w:rsidR="00E6263B" w:rsidRPr="00E14091">
        <w:rPr>
          <w:rFonts w:ascii="Cambria" w:hAnsi="Cambria" w:cs="Calibri"/>
          <w:color w:val="000000"/>
          <w:sz w:val="20"/>
          <w:szCs w:val="20"/>
          <w:lang w:val="es-ES"/>
        </w:rPr>
        <w:t xml:space="preserve">Informe de Fondo No. </w:t>
      </w:r>
      <w:r w:rsidR="0099038C" w:rsidRPr="00E14091">
        <w:rPr>
          <w:rFonts w:ascii="Cambria" w:hAnsi="Cambria" w:cs="Calibri"/>
          <w:color w:val="000000"/>
          <w:sz w:val="20"/>
          <w:szCs w:val="20"/>
          <w:lang w:val="es-ES"/>
        </w:rPr>
        <w:t>1</w:t>
      </w:r>
      <w:r w:rsidR="004301AD" w:rsidRPr="00E14091">
        <w:rPr>
          <w:rFonts w:ascii="Cambria" w:hAnsi="Cambria" w:cs="Calibri"/>
          <w:color w:val="000000"/>
          <w:sz w:val="20"/>
          <w:szCs w:val="20"/>
          <w:lang w:val="es-ES"/>
        </w:rPr>
        <w:t>2</w:t>
      </w:r>
      <w:r w:rsidR="00F006AD" w:rsidRPr="00E14091">
        <w:rPr>
          <w:rFonts w:ascii="Cambria" w:hAnsi="Cambria" w:cs="Calibri"/>
          <w:color w:val="000000"/>
          <w:sz w:val="20"/>
          <w:szCs w:val="20"/>
          <w:lang w:val="es-ES"/>
        </w:rPr>
        <w:t>/20</w:t>
      </w:r>
      <w:r w:rsidRPr="00E14091">
        <w:rPr>
          <w:rFonts w:ascii="Cambria" w:hAnsi="Cambria" w:cs="Calibri"/>
          <w:color w:val="000000"/>
          <w:sz w:val="20"/>
          <w:szCs w:val="20"/>
          <w:lang w:val="es-ES"/>
        </w:rPr>
        <w:t xml:space="preserve">. </w:t>
      </w:r>
    </w:p>
    <w:p w14:paraId="7F2FF5F5" w14:textId="77777777" w:rsidR="00162CE1" w:rsidRPr="00E14091" w:rsidRDefault="00162CE1" w:rsidP="00F8734F">
      <w:pPr>
        <w:spacing w:after="0" w:line="240" w:lineRule="auto"/>
        <w:jc w:val="both"/>
        <w:rPr>
          <w:rFonts w:ascii="Cambria" w:hAnsi="Cambria" w:cs="Calibri"/>
          <w:color w:val="000000"/>
          <w:sz w:val="20"/>
          <w:szCs w:val="20"/>
          <w:lang w:val="es-ES"/>
        </w:rPr>
      </w:pPr>
    </w:p>
    <w:p w14:paraId="6DFBA971" w14:textId="77777777" w:rsidR="002E628E" w:rsidRPr="00E14091" w:rsidRDefault="002E628E" w:rsidP="002E628E">
      <w:pPr>
        <w:spacing w:after="0" w:line="240" w:lineRule="auto"/>
        <w:jc w:val="both"/>
        <w:rPr>
          <w:rFonts w:ascii="Cambria" w:hAnsi="Cambria" w:cs="Calibri"/>
          <w:color w:val="000000"/>
          <w:sz w:val="20"/>
          <w:szCs w:val="20"/>
          <w:lang w:val="es-ES"/>
        </w:rPr>
      </w:pPr>
      <w:r w:rsidRPr="00E14091">
        <w:rPr>
          <w:rFonts w:ascii="Cambria" w:hAnsi="Cambria" w:cs="Calibri"/>
          <w:color w:val="000000"/>
          <w:sz w:val="20"/>
          <w:szCs w:val="20"/>
          <w:lang w:val="es-ES"/>
        </w:rPr>
        <w:tab/>
        <w:t>La Comisión pone en conocimiento de la Honorable Corte la siguiente información de quienes actúan como parte peticionaria en el trámite ante la CIDH conforme a la información más reciente:</w:t>
      </w:r>
    </w:p>
    <w:p w14:paraId="6AA0548D" w14:textId="77777777" w:rsidR="00F006AD" w:rsidRPr="00E14091" w:rsidRDefault="00F006AD" w:rsidP="00223D6C">
      <w:pPr>
        <w:spacing w:after="0" w:line="240" w:lineRule="auto"/>
        <w:jc w:val="center"/>
        <w:rPr>
          <w:rFonts w:ascii="Cambria" w:hAnsi="Cambria" w:cs="Calibri"/>
          <w:color w:val="000000"/>
          <w:sz w:val="20"/>
          <w:szCs w:val="20"/>
          <w:lang w:val="es-ES"/>
        </w:rPr>
      </w:pPr>
    </w:p>
    <w:p w14:paraId="23D892D8" w14:textId="77777777" w:rsidR="00223D6C" w:rsidRPr="00E14091" w:rsidRDefault="00F006AD" w:rsidP="00223D6C">
      <w:pPr>
        <w:spacing w:after="0" w:line="240" w:lineRule="auto"/>
        <w:jc w:val="center"/>
        <w:rPr>
          <w:rFonts w:ascii="Cambria" w:hAnsi="Cambria"/>
          <w:bCs/>
          <w:iCs/>
          <w:sz w:val="20"/>
          <w:szCs w:val="20"/>
          <w:lang w:val="es-ES"/>
        </w:rPr>
      </w:pPr>
      <w:r w:rsidRPr="00E14091">
        <w:rPr>
          <w:rFonts w:ascii="Cambria" w:hAnsi="Cambria" w:cs="Calibri"/>
          <w:color w:val="000000"/>
          <w:sz w:val="20"/>
          <w:szCs w:val="20"/>
          <w:lang w:val="es-ES"/>
        </w:rPr>
        <w:t>XXX</w:t>
      </w:r>
    </w:p>
    <w:p w14:paraId="46863858" w14:textId="77777777" w:rsidR="00223D6C" w:rsidRPr="00E14091" w:rsidRDefault="00223D6C" w:rsidP="00223D6C">
      <w:pPr>
        <w:spacing w:after="0" w:line="240" w:lineRule="auto"/>
        <w:ind w:firstLine="720"/>
        <w:jc w:val="both"/>
        <w:rPr>
          <w:rFonts w:ascii="Cambria" w:hAnsi="Cambria" w:cs="Calibri"/>
          <w:color w:val="000000"/>
          <w:sz w:val="20"/>
          <w:szCs w:val="20"/>
          <w:lang w:val="es-ES"/>
        </w:rPr>
      </w:pPr>
    </w:p>
    <w:p w14:paraId="262C5393" w14:textId="77777777" w:rsidR="002E628E" w:rsidRPr="00E14091" w:rsidRDefault="002E628E" w:rsidP="00223D6C">
      <w:pPr>
        <w:spacing w:after="0" w:line="240" w:lineRule="auto"/>
        <w:ind w:firstLine="720"/>
        <w:jc w:val="both"/>
        <w:rPr>
          <w:rFonts w:ascii="Cambria" w:hAnsi="Cambria" w:cs="Calibri"/>
          <w:color w:val="000000"/>
          <w:sz w:val="20"/>
          <w:szCs w:val="20"/>
          <w:lang w:val="es-ES"/>
        </w:rPr>
      </w:pPr>
      <w:r w:rsidRPr="00E14091">
        <w:rPr>
          <w:rFonts w:ascii="Cambria" w:hAnsi="Cambria" w:cs="Calibri"/>
          <w:color w:val="000000"/>
          <w:sz w:val="20"/>
          <w:szCs w:val="20"/>
          <w:lang w:val="es-ES"/>
        </w:rPr>
        <w:t>Aprovecho la oportunidad para saludar a usted muy atentamente,</w:t>
      </w:r>
    </w:p>
    <w:p w14:paraId="0D8EEC72" w14:textId="77777777" w:rsidR="00FC1DF0" w:rsidRPr="00E14091" w:rsidRDefault="00FC1DF0" w:rsidP="002E628E">
      <w:pPr>
        <w:spacing w:after="0" w:line="240" w:lineRule="auto"/>
        <w:ind w:firstLine="720"/>
        <w:jc w:val="both"/>
        <w:rPr>
          <w:rFonts w:ascii="Cambria" w:hAnsi="Cambria" w:cs="Calibri"/>
          <w:color w:val="000000"/>
          <w:sz w:val="20"/>
          <w:szCs w:val="20"/>
          <w:lang w:val="es-ES"/>
        </w:rPr>
      </w:pPr>
    </w:p>
    <w:p w14:paraId="3F11942D" w14:textId="77777777" w:rsidR="00223D6C" w:rsidRPr="00E14091" w:rsidRDefault="00223D6C" w:rsidP="00223D6C">
      <w:pPr>
        <w:tabs>
          <w:tab w:val="left" w:pos="0"/>
        </w:tabs>
        <w:spacing w:after="0" w:line="240" w:lineRule="auto"/>
        <w:jc w:val="center"/>
        <w:rPr>
          <w:rFonts w:ascii="Verdana" w:hAnsi="Verdana"/>
          <w:noProof/>
          <w:sz w:val="20"/>
          <w:szCs w:val="20"/>
        </w:rPr>
      </w:pPr>
    </w:p>
    <w:p w14:paraId="206E561F" w14:textId="77777777" w:rsidR="00F006AD" w:rsidRPr="00E14091" w:rsidRDefault="00F006AD" w:rsidP="00223D6C">
      <w:pPr>
        <w:tabs>
          <w:tab w:val="left" w:pos="0"/>
        </w:tabs>
        <w:spacing w:after="0" w:line="240" w:lineRule="auto"/>
        <w:jc w:val="center"/>
        <w:rPr>
          <w:rFonts w:cs="Calibri"/>
          <w:lang w:val="pt-BR"/>
        </w:rPr>
      </w:pPr>
    </w:p>
    <w:p w14:paraId="43EA9996" w14:textId="77777777" w:rsidR="002E628E" w:rsidRPr="00E14091" w:rsidRDefault="002E628E" w:rsidP="002E628E">
      <w:pPr>
        <w:tabs>
          <w:tab w:val="left" w:pos="0"/>
        </w:tabs>
        <w:spacing w:after="0" w:line="240" w:lineRule="auto"/>
        <w:jc w:val="center"/>
        <w:rPr>
          <w:rFonts w:ascii="Cambria" w:hAnsi="Cambria" w:cs="Calibri"/>
          <w:color w:val="000000"/>
          <w:sz w:val="20"/>
          <w:szCs w:val="20"/>
          <w:lang w:val="pt-BR"/>
        </w:rPr>
      </w:pPr>
    </w:p>
    <w:p w14:paraId="1A12DD6C" w14:textId="77777777" w:rsidR="002E628E" w:rsidRPr="00E14091" w:rsidRDefault="002E628E" w:rsidP="002E628E">
      <w:pPr>
        <w:tabs>
          <w:tab w:val="left" w:pos="0"/>
        </w:tabs>
        <w:spacing w:after="0" w:line="240" w:lineRule="auto"/>
        <w:jc w:val="center"/>
        <w:rPr>
          <w:rFonts w:ascii="Cambria" w:hAnsi="Cambria" w:cs="Calibri"/>
          <w:i/>
          <w:color w:val="000000"/>
          <w:sz w:val="20"/>
          <w:szCs w:val="20"/>
          <w:lang w:val="pt-BR"/>
        </w:rPr>
      </w:pPr>
      <w:r w:rsidRPr="00E14091">
        <w:rPr>
          <w:rFonts w:ascii="Cambria" w:hAnsi="Cambria" w:cs="Calibri"/>
          <w:color w:val="000000"/>
          <w:sz w:val="20"/>
          <w:szCs w:val="20"/>
          <w:lang w:val="pt-BR"/>
        </w:rPr>
        <w:t>Marisol Blanchard</w:t>
      </w:r>
    </w:p>
    <w:p w14:paraId="60C5281D" w14:textId="77777777" w:rsidR="002E628E" w:rsidRPr="00E14091" w:rsidRDefault="002E628E" w:rsidP="002E628E">
      <w:pPr>
        <w:tabs>
          <w:tab w:val="left" w:pos="810"/>
        </w:tabs>
        <w:suppressAutoHyphens/>
        <w:spacing w:after="0" w:line="240" w:lineRule="auto"/>
        <w:jc w:val="center"/>
        <w:rPr>
          <w:rFonts w:ascii="Cambria" w:hAnsi="Cambria" w:cs="Calibri"/>
          <w:color w:val="000000"/>
          <w:sz w:val="20"/>
          <w:szCs w:val="20"/>
          <w:lang w:val="pt-BR"/>
        </w:rPr>
      </w:pPr>
      <w:r w:rsidRPr="00E14091">
        <w:rPr>
          <w:rFonts w:ascii="Cambria" w:hAnsi="Cambria" w:cs="Calibri"/>
          <w:color w:val="000000"/>
          <w:sz w:val="20"/>
          <w:szCs w:val="20"/>
          <w:lang w:val="pt-BR"/>
        </w:rPr>
        <w:t>Secretaria Ejecutiva Adjunta</w:t>
      </w:r>
    </w:p>
    <w:p w14:paraId="06A0BD00" w14:textId="77777777" w:rsidR="002E628E" w:rsidRPr="00E14091" w:rsidRDefault="002E628E" w:rsidP="002E628E">
      <w:pPr>
        <w:spacing w:after="0" w:line="240" w:lineRule="auto"/>
        <w:jc w:val="both"/>
        <w:rPr>
          <w:rFonts w:ascii="Cambria" w:hAnsi="Cambria" w:cs="Calibri"/>
          <w:color w:val="000000"/>
          <w:sz w:val="20"/>
          <w:szCs w:val="20"/>
          <w:lang w:val="pt-BR"/>
        </w:rPr>
      </w:pPr>
      <w:bookmarkStart w:id="2" w:name="ministro"/>
      <w:bookmarkEnd w:id="2"/>
    </w:p>
    <w:p w14:paraId="5F7F6205" w14:textId="77777777" w:rsidR="00223D6C" w:rsidRPr="00E14091" w:rsidRDefault="00223D6C" w:rsidP="002E628E">
      <w:pPr>
        <w:spacing w:after="0" w:line="240" w:lineRule="auto"/>
        <w:jc w:val="both"/>
        <w:rPr>
          <w:rFonts w:ascii="Cambria" w:hAnsi="Cambria" w:cs="Calibri"/>
          <w:color w:val="000000"/>
          <w:sz w:val="20"/>
          <w:szCs w:val="20"/>
          <w:lang w:val="pt-BR"/>
        </w:rPr>
      </w:pPr>
    </w:p>
    <w:p w14:paraId="34E03C6C" w14:textId="77777777" w:rsidR="00237ECE" w:rsidRPr="00DF239E" w:rsidRDefault="002E628E" w:rsidP="00FC1DF0">
      <w:pPr>
        <w:spacing w:after="0" w:line="240" w:lineRule="auto"/>
        <w:jc w:val="both"/>
        <w:rPr>
          <w:rFonts w:ascii="Cambria" w:hAnsi="Cambria" w:cs="Calibri"/>
          <w:color w:val="000000"/>
          <w:sz w:val="20"/>
          <w:szCs w:val="20"/>
          <w:lang w:val="pt-BR"/>
        </w:rPr>
      </w:pPr>
      <w:r w:rsidRPr="00E14091">
        <w:rPr>
          <w:rFonts w:ascii="Cambria" w:hAnsi="Cambria" w:cs="Calibri"/>
          <w:color w:val="000000"/>
          <w:sz w:val="20"/>
          <w:szCs w:val="20"/>
          <w:lang w:val="pt-BR"/>
        </w:rPr>
        <w:t>Anexo</w:t>
      </w:r>
    </w:p>
    <w:sectPr w:rsidR="00237ECE" w:rsidRPr="00DF239E" w:rsidSect="00162CE1">
      <w:headerReference w:type="default" r:id="rId8"/>
      <w:footerReference w:type="default" r:id="rId9"/>
      <w:headerReference w:type="first" r:id="rId10"/>
      <w:footerReference w:type="first" r:id="rId11"/>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9CBCB28" w14:textId="77777777" w:rsidR="009E7E6B" w:rsidRDefault="009E7E6B">
      <w:pPr>
        <w:spacing w:after="0" w:line="240" w:lineRule="auto"/>
      </w:pPr>
      <w:r>
        <w:separator/>
      </w:r>
    </w:p>
  </w:endnote>
  <w:endnote w:type="continuationSeparator" w:id="0">
    <w:p w14:paraId="2AC4C814" w14:textId="77777777" w:rsidR="009E7E6B" w:rsidRDefault="009E7E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E109F7" w14:textId="77777777" w:rsidR="00162CE1" w:rsidRPr="0060615D" w:rsidRDefault="00162CE1">
    <w:pPr>
      <w:pStyle w:val="Piedepgina"/>
      <w:jc w:val="center"/>
      <w:rPr>
        <w:sz w:val="18"/>
        <w:szCs w:val="18"/>
      </w:rPr>
    </w:pPr>
    <w:r w:rsidRPr="0060615D">
      <w:rPr>
        <w:sz w:val="18"/>
        <w:szCs w:val="18"/>
      </w:rPr>
      <w:fldChar w:fldCharType="begin"/>
    </w:r>
    <w:r w:rsidRPr="0060615D">
      <w:rPr>
        <w:sz w:val="18"/>
        <w:szCs w:val="18"/>
      </w:rPr>
      <w:instrText xml:space="preserve"> PAGE   \* MERGEFORMAT </w:instrText>
    </w:r>
    <w:r w:rsidRPr="0060615D">
      <w:rPr>
        <w:sz w:val="18"/>
        <w:szCs w:val="18"/>
      </w:rPr>
      <w:fldChar w:fldCharType="separate"/>
    </w:r>
    <w:r w:rsidR="00715976">
      <w:rPr>
        <w:noProof/>
        <w:sz w:val="18"/>
        <w:szCs w:val="18"/>
      </w:rPr>
      <w:t>4</w:t>
    </w:r>
    <w:r w:rsidRPr="0060615D">
      <w:rPr>
        <w:noProof/>
        <w:sz w:val="18"/>
        <w:szCs w:val="18"/>
      </w:rPr>
      <w:fldChar w:fldCharType="end"/>
    </w:r>
  </w:p>
  <w:p w14:paraId="1747FCBC" w14:textId="77777777" w:rsidR="002E628E" w:rsidRDefault="002E628E" w:rsidP="002E628E">
    <w:pPr>
      <w:pStyle w:val="Piedepgina"/>
      <w:spacing w:line="360" w:lineRule="auto"/>
    </w:pPr>
    <w:r>
      <w:pict w14:anchorId="7AF12A93">
        <v:rect id="_x0000_i1028" style="width:0;height:1.5pt" o:hralign="center" o:hrstd="t" o:hr="t" fillcolor="#a0a0a0" stroked="f"/>
      </w:pict>
    </w:r>
  </w:p>
  <w:p w14:paraId="3FB76E05" w14:textId="700AF918" w:rsidR="00162CE1" w:rsidRDefault="00F92885" w:rsidP="00F8734F">
    <w:pPr>
      <w:pStyle w:val="Piedepgina"/>
      <w:jc w:val="center"/>
    </w:pPr>
    <w:r w:rsidRPr="008A5CB5">
      <w:rPr>
        <w:noProof/>
      </w:rPr>
      <w:drawing>
        <wp:inline distT="0" distB="0" distL="0" distR="0" wp14:anchorId="10FB3335" wp14:editId="63207A91">
          <wp:extent cx="5114925" cy="323850"/>
          <wp:effectExtent l="0" t="0" r="0" b="0"/>
          <wp:docPr id="6" name="Picture 35" descr="C:\Users\mfontana\Documents\Eva Fontana\GRAFICA CIDH\cartas\logos\footer-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Users\mfontana\Documents\Eva Fontana\GRAFICA CIDH\cartas\logos\footer-es.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14925" cy="323850"/>
                  </a:xfrm>
                  <a:prstGeom prst="rect">
                    <a:avLst/>
                  </a:prstGeom>
                  <a:noFill/>
                  <a:ln>
                    <a:noFill/>
                  </a:ln>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294443" w14:textId="77777777" w:rsidR="00162CE1" w:rsidRDefault="00162CE1" w:rsidP="00162CE1">
    <w:pPr>
      <w:pStyle w:val="Piedepgina"/>
      <w:spacing w:line="360" w:lineRule="auto"/>
    </w:pPr>
    <w:r>
      <w:pict w14:anchorId="5AEDB65D">
        <v:rect id="_x0000_i1026" style="width:0;height:1.5pt" o:hralign="center" o:hrstd="t" o:hr="t" fillcolor="#a0a0a0" stroked="f"/>
      </w:pict>
    </w:r>
  </w:p>
  <w:p w14:paraId="102CAD50" w14:textId="6ABDEB69" w:rsidR="00162CE1" w:rsidRDefault="00F92885" w:rsidP="00162CE1">
    <w:pPr>
      <w:pStyle w:val="Piedepgina"/>
      <w:jc w:val="center"/>
    </w:pPr>
    <w:r w:rsidRPr="008A5CB5">
      <w:rPr>
        <w:noProof/>
      </w:rPr>
      <w:drawing>
        <wp:inline distT="0" distB="0" distL="0" distR="0" wp14:anchorId="6C79E620" wp14:editId="6EB9D8C5">
          <wp:extent cx="5114925" cy="323850"/>
          <wp:effectExtent l="0" t="0" r="0" b="0"/>
          <wp:docPr id="9" name="Picture 35" descr="C:\Users\mfontana\Documents\Eva Fontana\GRAFICA CIDH\cartas\logos\footer-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Users\mfontana\Documents\Eva Fontana\GRAFICA CIDH\cartas\logos\footer-es.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14925" cy="32385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1FE32D4" w14:textId="77777777" w:rsidR="009E7E6B" w:rsidRDefault="009E7E6B">
      <w:pPr>
        <w:spacing w:after="0" w:line="240" w:lineRule="auto"/>
      </w:pPr>
      <w:r>
        <w:separator/>
      </w:r>
    </w:p>
  </w:footnote>
  <w:footnote w:type="continuationSeparator" w:id="0">
    <w:p w14:paraId="406AECDB" w14:textId="77777777" w:rsidR="009E7E6B" w:rsidRDefault="009E7E6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F2A133" w14:textId="62642873" w:rsidR="00162CE1" w:rsidRPr="0058688A" w:rsidRDefault="00F92885" w:rsidP="00162CE1">
    <w:pPr>
      <w:pStyle w:val="Encabezado"/>
      <w:jc w:val="center"/>
      <w:rPr>
        <w:lang w:val="es-ES_tradnl"/>
      </w:rPr>
    </w:pPr>
    <w:r>
      <w:rPr>
        <w:noProof/>
        <w:lang w:val="es-ES_tradnl"/>
      </w:rPr>
      <w:drawing>
        <wp:inline distT="0" distB="0" distL="0" distR="0" wp14:anchorId="2430E792" wp14:editId="36D9F3A1">
          <wp:extent cx="2286000" cy="12382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86000" cy="123825"/>
                  </a:xfrm>
                  <a:prstGeom prst="rect">
                    <a:avLst/>
                  </a:prstGeom>
                  <a:noFill/>
                  <a:ln>
                    <a:noFill/>
                  </a:ln>
                </pic:spPr>
              </pic:pic>
            </a:graphicData>
          </a:graphic>
        </wp:inline>
      </w:drawing>
    </w:r>
  </w:p>
  <w:p w14:paraId="7A1F0A59" w14:textId="77777777" w:rsidR="00162CE1" w:rsidRDefault="00162CE1">
    <w:pPr>
      <w:pStyle w:val="Encabezado"/>
    </w:pPr>
    <w:r>
      <w:pict w14:anchorId="03309C84">
        <v:rect id="_x0000_i1027" style="width:0;height:1.5pt" o:hralign="center" o:hrstd="t" o:hr="t" fillcolor="#a0a0a0" stroked="f"/>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63C20D" w14:textId="49EAF1A8" w:rsidR="00162CE1" w:rsidRDefault="00F92885" w:rsidP="00162CE1">
    <w:pPr>
      <w:pStyle w:val="Encabezado"/>
    </w:pPr>
    <w:r w:rsidRPr="008A5CB5">
      <w:rPr>
        <w:noProof/>
      </w:rPr>
      <w:drawing>
        <wp:inline distT="0" distB="0" distL="0" distR="0" wp14:anchorId="0FE82EBB" wp14:editId="04B90B16">
          <wp:extent cx="2352675" cy="457200"/>
          <wp:effectExtent l="0" t="0" r="0" b="0"/>
          <wp:docPr id="7" name="Picture 1" descr="C:\Users\mfontana\Documents\Eva Fontana\GRAFICA CIDH\cartas\logos\cidh-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fontana\Documents\Eva Fontana\GRAFICA CIDH\cartas\logos\cidh-es.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52675" cy="457200"/>
                  </a:xfrm>
                  <a:prstGeom prst="rect">
                    <a:avLst/>
                  </a:prstGeom>
                  <a:noFill/>
                  <a:ln>
                    <a:noFill/>
                  </a:ln>
                </pic:spPr>
              </pic:pic>
            </a:graphicData>
          </a:graphic>
        </wp:inline>
      </w:drawing>
    </w:r>
    <w:r w:rsidR="00162CE1">
      <w:tab/>
    </w:r>
    <w:r w:rsidR="00162CE1">
      <w:tab/>
    </w:r>
    <w:r w:rsidRPr="008A5CB5">
      <w:rPr>
        <w:noProof/>
      </w:rPr>
      <w:drawing>
        <wp:inline distT="0" distB="0" distL="0" distR="0" wp14:anchorId="5955716E" wp14:editId="78554287">
          <wp:extent cx="1647825" cy="476250"/>
          <wp:effectExtent l="0" t="0" r="0" b="0"/>
          <wp:docPr id="8" name="Picture 2" descr="C:\Users\mfontana\Documents\Eva Fontana\GRAFICA CIDH\cartas\logos\oea-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fontana\Documents\Eva Fontana\GRAFICA CIDH\cartas\logos\oea-es.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47825" cy="476250"/>
                  </a:xfrm>
                  <a:prstGeom prst="rect">
                    <a:avLst/>
                  </a:prstGeom>
                  <a:noFill/>
                  <a:ln>
                    <a:noFill/>
                  </a:ln>
                </pic:spPr>
              </pic:pic>
            </a:graphicData>
          </a:graphic>
        </wp:inline>
      </w:drawing>
    </w:r>
  </w:p>
  <w:p w14:paraId="60186CA0" w14:textId="77777777" w:rsidR="00162CE1" w:rsidRDefault="00162CE1" w:rsidP="00162CE1">
    <w:pPr>
      <w:pStyle w:val="Encabezado"/>
    </w:pPr>
    <w:r>
      <w:pict w14:anchorId="3DED7D53">
        <v:rect id="_x0000_i1025"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334C75"/>
    <w:multiLevelType w:val="hybridMultilevel"/>
    <w:tmpl w:val="1DA471EC"/>
    <w:lvl w:ilvl="0" w:tplc="04C8EE42">
      <w:start w:val="1"/>
      <w:numFmt w:val="decimal"/>
      <w:lvlText w:val="%1."/>
      <w:lvlJc w:val="left"/>
      <w:pPr>
        <w:ind w:left="720" w:hanging="360"/>
      </w:pPr>
      <w:rPr>
        <w:rFonts w:ascii="Cambria" w:hAnsi="Cambria" w:hint="default"/>
        <w:i w:val="0"/>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7553490"/>
    <w:multiLevelType w:val="hybridMultilevel"/>
    <w:tmpl w:val="98C2F8A2"/>
    <w:lvl w:ilvl="0" w:tplc="F788C15C">
      <w:start w:val="20"/>
      <w:numFmt w:val="decimal"/>
      <w:lvlText w:val="%1."/>
      <w:lvlJc w:val="left"/>
      <w:pPr>
        <w:ind w:left="720" w:hanging="360"/>
      </w:pPr>
      <w:rPr>
        <w:rFonts w:ascii="Cambria" w:hAnsi="Cambria" w:hint="default"/>
        <w:b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28C67FFA"/>
    <w:multiLevelType w:val="hybridMultilevel"/>
    <w:tmpl w:val="3B324E06"/>
    <w:lvl w:ilvl="0" w:tplc="5D921EE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D8B6462"/>
    <w:multiLevelType w:val="hybridMultilevel"/>
    <w:tmpl w:val="610EC480"/>
    <w:lvl w:ilvl="0" w:tplc="ED0447A6">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DC61D90"/>
    <w:multiLevelType w:val="hybridMultilevel"/>
    <w:tmpl w:val="88B899B8"/>
    <w:lvl w:ilvl="0" w:tplc="C7EC2450">
      <w:start w:val="1"/>
      <w:numFmt w:val="decimal"/>
      <w:lvlText w:val="%1."/>
      <w:lvlJc w:val="left"/>
      <w:pPr>
        <w:tabs>
          <w:tab w:val="num" w:pos="1080"/>
        </w:tabs>
        <w:ind w:left="1080" w:hanging="360"/>
      </w:pPr>
      <w:rPr>
        <w:rFonts w:ascii="Cambria" w:hAnsi="Cambria" w:cs="Times New Roman" w:hint="default"/>
        <w:b w:val="0"/>
        <w:i w:val="0"/>
        <w:sz w:val="20"/>
        <w:szCs w:val="20"/>
        <w:lang w:val="es-CO"/>
      </w:rPr>
    </w:lvl>
    <w:lvl w:ilvl="1" w:tplc="41189D36">
      <w:start w:val="1"/>
      <w:numFmt w:val="lowerLetter"/>
      <w:lvlText w:val="%2."/>
      <w:lvlJc w:val="left"/>
      <w:pPr>
        <w:ind w:left="1440" w:hanging="360"/>
      </w:pPr>
      <w:rPr>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DCB44BB"/>
    <w:multiLevelType w:val="multilevel"/>
    <w:tmpl w:val="8196F056"/>
    <w:lvl w:ilvl="0">
      <w:start w:val="2"/>
      <w:numFmt w:val="decimal"/>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6" w15:restartNumberingAfterBreak="0">
    <w:nsid w:val="401A6212"/>
    <w:multiLevelType w:val="hybridMultilevel"/>
    <w:tmpl w:val="0E28989A"/>
    <w:lvl w:ilvl="0" w:tplc="9A5C2456">
      <w:start w:val="204"/>
      <w:numFmt w:val="decimal"/>
      <w:lvlText w:val="%1."/>
      <w:lvlJc w:val="left"/>
      <w:pPr>
        <w:ind w:left="360" w:hanging="360"/>
      </w:pPr>
      <w:rPr>
        <w:rFonts w:ascii="Cambria" w:hAnsi="Cambria" w:hint="default"/>
        <w:b w:val="0"/>
        <w:sz w:val="20"/>
        <w:szCs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55195813"/>
    <w:multiLevelType w:val="hybridMultilevel"/>
    <w:tmpl w:val="E00CCBDA"/>
    <w:lvl w:ilvl="0" w:tplc="EA4604FE">
      <w:start w:val="1"/>
      <w:numFmt w:val="decimal"/>
      <w:lvlText w:val="%1."/>
      <w:lvlJc w:val="left"/>
      <w:pPr>
        <w:ind w:left="1170" w:hanging="360"/>
      </w:pPr>
      <w:rPr>
        <w:rFonts w:ascii="Cambria" w:hAnsi="Cambria" w:hint="default"/>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A681F10"/>
    <w:multiLevelType w:val="hybridMultilevel"/>
    <w:tmpl w:val="41F4A2C8"/>
    <w:lvl w:ilvl="0" w:tplc="529A4590">
      <w:start w:val="1"/>
      <w:numFmt w:val="decimal"/>
      <w:lvlText w:val="%1."/>
      <w:lvlJc w:val="left"/>
      <w:pPr>
        <w:ind w:left="1425" w:hanging="705"/>
      </w:pPr>
      <w:rPr>
        <w:rFonts w:hint="default"/>
        <w:sz w:val="20"/>
        <w:szCs w:val="2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5D7D4B9D"/>
    <w:multiLevelType w:val="hybridMultilevel"/>
    <w:tmpl w:val="4606C120"/>
    <w:lvl w:ilvl="0" w:tplc="877C2DEC">
      <w:start w:val="1"/>
      <w:numFmt w:val="decimal"/>
      <w:lvlText w:val="%1."/>
      <w:lvlJc w:val="left"/>
      <w:pPr>
        <w:ind w:left="360" w:hanging="360"/>
      </w:pPr>
      <w:rPr>
        <w:rFonts w:ascii="Cambria" w:hAnsi="Cambria" w:hint="default"/>
        <w:b w:val="0"/>
        <w:color w:val="auto"/>
        <w:sz w:val="20"/>
        <w:szCs w:val="2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66BE5E6A"/>
    <w:multiLevelType w:val="hybridMultilevel"/>
    <w:tmpl w:val="C9D20C7E"/>
    <w:lvl w:ilvl="0" w:tplc="B47EC36A">
      <w:start w:val="1"/>
      <w:numFmt w:val="decimal"/>
      <w:lvlText w:val="%1."/>
      <w:lvlJc w:val="left"/>
      <w:pPr>
        <w:tabs>
          <w:tab w:val="num" w:pos="720"/>
        </w:tabs>
        <w:ind w:left="0" w:firstLine="72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6B4460CA"/>
    <w:multiLevelType w:val="hybridMultilevel"/>
    <w:tmpl w:val="07B85AD8"/>
    <w:lvl w:ilvl="0" w:tplc="67D6E770">
      <w:start w:val="1"/>
      <w:numFmt w:val="decimal"/>
      <w:lvlText w:val="%1."/>
      <w:lvlJc w:val="left"/>
      <w:pPr>
        <w:tabs>
          <w:tab w:val="num" w:pos="720"/>
        </w:tabs>
        <w:ind w:left="720" w:hanging="360"/>
      </w:pPr>
      <w:rPr>
        <w:rFonts w:cs="Calibri"/>
        <w:sz w:val="20"/>
        <w:szCs w:val="2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2" w15:restartNumberingAfterBreak="0">
    <w:nsid w:val="7AFB3831"/>
    <w:multiLevelType w:val="hybridMultilevel"/>
    <w:tmpl w:val="1474E3CC"/>
    <w:lvl w:ilvl="0" w:tplc="5D1A316A">
      <w:start w:val="2"/>
      <w:numFmt w:val="upperLetter"/>
      <w:lvlText w:val="%1."/>
      <w:lvlJc w:val="left"/>
      <w:pPr>
        <w:tabs>
          <w:tab w:val="num" w:pos="1440"/>
        </w:tabs>
        <w:ind w:left="1440" w:hanging="720"/>
      </w:pPr>
    </w:lvl>
    <w:lvl w:ilvl="1" w:tplc="BD42056E">
      <w:start w:val="1"/>
      <w:numFmt w:val="decimal"/>
      <w:lvlText w:val="%2."/>
      <w:lvlJc w:val="left"/>
      <w:pPr>
        <w:tabs>
          <w:tab w:val="num" w:pos="1200"/>
        </w:tabs>
        <w:ind w:left="12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num w:numId="1">
    <w:abstractNumId w:val="1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num>
  <w:num w:numId="4">
    <w:abstractNumId w:val="8"/>
  </w:num>
  <w:num w:numId="5">
    <w:abstractNumId w:val="3"/>
  </w:num>
  <w:num w:numId="6">
    <w:abstractNumId w:val="6"/>
  </w:num>
  <w:num w:numId="7">
    <w:abstractNumId w:val="4"/>
  </w:num>
  <w:num w:numId="8">
    <w:abstractNumId w:val="1"/>
  </w:num>
  <w:num w:numId="9">
    <w:abstractNumId w:val="7"/>
  </w:num>
  <w:num w:numId="10">
    <w:abstractNumId w:val="5"/>
  </w:num>
  <w:num w:numId="11">
    <w:abstractNumId w:val="2"/>
  </w:num>
  <w:num w:numId="12">
    <w:abstractNumId w:val="9"/>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806"/>
    <w:rsid w:val="000007A2"/>
    <w:rsid w:val="00003368"/>
    <w:rsid w:val="00005ED3"/>
    <w:rsid w:val="0000621C"/>
    <w:rsid w:val="000144C7"/>
    <w:rsid w:val="00017E7A"/>
    <w:rsid w:val="00031EB1"/>
    <w:rsid w:val="00033C33"/>
    <w:rsid w:val="00036FC7"/>
    <w:rsid w:val="000430EE"/>
    <w:rsid w:val="0004759B"/>
    <w:rsid w:val="000751DF"/>
    <w:rsid w:val="00076DBF"/>
    <w:rsid w:val="00077DE5"/>
    <w:rsid w:val="00077FF7"/>
    <w:rsid w:val="00082F42"/>
    <w:rsid w:val="00084078"/>
    <w:rsid w:val="000A2C28"/>
    <w:rsid w:val="000A45AD"/>
    <w:rsid w:val="000A4754"/>
    <w:rsid w:val="000A4B14"/>
    <w:rsid w:val="000B1138"/>
    <w:rsid w:val="000B3053"/>
    <w:rsid w:val="000C140C"/>
    <w:rsid w:val="000C5BFC"/>
    <w:rsid w:val="000D164E"/>
    <w:rsid w:val="000D1B18"/>
    <w:rsid w:val="000D2623"/>
    <w:rsid w:val="000D26A9"/>
    <w:rsid w:val="000D4633"/>
    <w:rsid w:val="000D4AE6"/>
    <w:rsid w:val="000E0F2F"/>
    <w:rsid w:val="000E2431"/>
    <w:rsid w:val="000F23FB"/>
    <w:rsid w:val="000F291B"/>
    <w:rsid w:val="000F4B43"/>
    <w:rsid w:val="00107B94"/>
    <w:rsid w:val="00114CA9"/>
    <w:rsid w:val="001217D9"/>
    <w:rsid w:val="00127C52"/>
    <w:rsid w:val="00131B3B"/>
    <w:rsid w:val="00134CFC"/>
    <w:rsid w:val="0013511B"/>
    <w:rsid w:val="00140652"/>
    <w:rsid w:val="00141387"/>
    <w:rsid w:val="00141711"/>
    <w:rsid w:val="00143EB4"/>
    <w:rsid w:val="0014432C"/>
    <w:rsid w:val="00146EE3"/>
    <w:rsid w:val="0015496C"/>
    <w:rsid w:val="00157476"/>
    <w:rsid w:val="00162CE1"/>
    <w:rsid w:val="001648FF"/>
    <w:rsid w:val="00170E12"/>
    <w:rsid w:val="00176C72"/>
    <w:rsid w:val="001770EE"/>
    <w:rsid w:val="00182ABB"/>
    <w:rsid w:val="001904F6"/>
    <w:rsid w:val="001942E2"/>
    <w:rsid w:val="00196D6F"/>
    <w:rsid w:val="001A7EDF"/>
    <w:rsid w:val="001B08B2"/>
    <w:rsid w:val="001B08F9"/>
    <w:rsid w:val="001B5941"/>
    <w:rsid w:val="001C1D26"/>
    <w:rsid w:val="001C2AED"/>
    <w:rsid w:val="001D0C4D"/>
    <w:rsid w:val="001D5161"/>
    <w:rsid w:val="001E5256"/>
    <w:rsid w:val="001E59D8"/>
    <w:rsid w:val="00206412"/>
    <w:rsid w:val="002219A9"/>
    <w:rsid w:val="00223D6C"/>
    <w:rsid w:val="00226BCD"/>
    <w:rsid w:val="00232CA3"/>
    <w:rsid w:val="00234AC6"/>
    <w:rsid w:val="00237ECE"/>
    <w:rsid w:val="002426D8"/>
    <w:rsid w:val="00245F50"/>
    <w:rsid w:val="002470B4"/>
    <w:rsid w:val="002534CD"/>
    <w:rsid w:val="002568CD"/>
    <w:rsid w:val="0027604A"/>
    <w:rsid w:val="002A19E1"/>
    <w:rsid w:val="002B5C66"/>
    <w:rsid w:val="002B64DC"/>
    <w:rsid w:val="002D2985"/>
    <w:rsid w:val="002E3E82"/>
    <w:rsid w:val="002E48D6"/>
    <w:rsid w:val="002E628E"/>
    <w:rsid w:val="002E780D"/>
    <w:rsid w:val="002F6526"/>
    <w:rsid w:val="0030700B"/>
    <w:rsid w:val="00312151"/>
    <w:rsid w:val="00316C30"/>
    <w:rsid w:val="00316E75"/>
    <w:rsid w:val="003254D3"/>
    <w:rsid w:val="00325553"/>
    <w:rsid w:val="00331129"/>
    <w:rsid w:val="00331FB1"/>
    <w:rsid w:val="00333497"/>
    <w:rsid w:val="0033372D"/>
    <w:rsid w:val="00336D34"/>
    <w:rsid w:val="003406ED"/>
    <w:rsid w:val="00343EDF"/>
    <w:rsid w:val="0035292C"/>
    <w:rsid w:val="00353628"/>
    <w:rsid w:val="00362B34"/>
    <w:rsid w:val="00362BCC"/>
    <w:rsid w:val="00363DA9"/>
    <w:rsid w:val="0036640D"/>
    <w:rsid w:val="00374F28"/>
    <w:rsid w:val="00377262"/>
    <w:rsid w:val="00387D83"/>
    <w:rsid w:val="003904CF"/>
    <w:rsid w:val="00394820"/>
    <w:rsid w:val="003968A2"/>
    <w:rsid w:val="003A6DEC"/>
    <w:rsid w:val="003A71C5"/>
    <w:rsid w:val="003A7B52"/>
    <w:rsid w:val="003D3F6E"/>
    <w:rsid w:val="003D4DD9"/>
    <w:rsid w:val="003E14A3"/>
    <w:rsid w:val="003F1B9C"/>
    <w:rsid w:val="00400956"/>
    <w:rsid w:val="00403967"/>
    <w:rsid w:val="004051B3"/>
    <w:rsid w:val="00407877"/>
    <w:rsid w:val="004103EC"/>
    <w:rsid w:val="00412ABB"/>
    <w:rsid w:val="00415488"/>
    <w:rsid w:val="004173F3"/>
    <w:rsid w:val="00420923"/>
    <w:rsid w:val="0042403B"/>
    <w:rsid w:val="004301AD"/>
    <w:rsid w:val="00430448"/>
    <w:rsid w:val="00452270"/>
    <w:rsid w:val="00456DAA"/>
    <w:rsid w:val="00475C19"/>
    <w:rsid w:val="0047698B"/>
    <w:rsid w:val="00477B73"/>
    <w:rsid w:val="004825F5"/>
    <w:rsid w:val="00491AB8"/>
    <w:rsid w:val="00495F11"/>
    <w:rsid w:val="00496C45"/>
    <w:rsid w:val="004976B2"/>
    <w:rsid w:val="004A2758"/>
    <w:rsid w:val="004A2CAE"/>
    <w:rsid w:val="004B6985"/>
    <w:rsid w:val="004C11AF"/>
    <w:rsid w:val="004C5616"/>
    <w:rsid w:val="004D15E1"/>
    <w:rsid w:val="004D7DF0"/>
    <w:rsid w:val="004D7F1C"/>
    <w:rsid w:val="004E0C4F"/>
    <w:rsid w:val="004E0F5A"/>
    <w:rsid w:val="004E6A6C"/>
    <w:rsid w:val="004F13CD"/>
    <w:rsid w:val="004F3366"/>
    <w:rsid w:val="004F475F"/>
    <w:rsid w:val="004F4E7F"/>
    <w:rsid w:val="004F651D"/>
    <w:rsid w:val="00501326"/>
    <w:rsid w:val="00506DE4"/>
    <w:rsid w:val="00517525"/>
    <w:rsid w:val="0052077F"/>
    <w:rsid w:val="005266C2"/>
    <w:rsid w:val="00526C8F"/>
    <w:rsid w:val="00530164"/>
    <w:rsid w:val="005306F3"/>
    <w:rsid w:val="005319E3"/>
    <w:rsid w:val="005334BE"/>
    <w:rsid w:val="005376D9"/>
    <w:rsid w:val="00550822"/>
    <w:rsid w:val="00551DD6"/>
    <w:rsid w:val="005570AA"/>
    <w:rsid w:val="00557B7E"/>
    <w:rsid w:val="00560F49"/>
    <w:rsid w:val="00563E22"/>
    <w:rsid w:val="00563EFC"/>
    <w:rsid w:val="00564608"/>
    <w:rsid w:val="0056481D"/>
    <w:rsid w:val="005668C4"/>
    <w:rsid w:val="0057349A"/>
    <w:rsid w:val="0057354D"/>
    <w:rsid w:val="00590486"/>
    <w:rsid w:val="0059345A"/>
    <w:rsid w:val="005A4E07"/>
    <w:rsid w:val="005A621F"/>
    <w:rsid w:val="005A7321"/>
    <w:rsid w:val="005B4F61"/>
    <w:rsid w:val="005B6610"/>
    <w:rsid w:val="005C5C37"/>
    <w:rsid w:val="005C7C22"/>
    <w:rsid w:val="005C7F13"/>
    <w:rsid w:val="005D2B11"/>
    <w:rsid w:val="005E0E8D"/>
    <w:rsid w:val="005E7AE9"/>
    <w:rsid w:val="005F109F"/>
    <w:rsid w:val="005F3FF9"/>
    <w:rsid w:val="0060615D"/>
    <w:rsid w:val="00607CA5"/>
    <w:rsid w:val="00612A1C"/>
    <w:rsid w:val="006238C4"/>
    <w:rsid w:val="006253E4"/>
    <w:rsid w:val="00625C17"/>
    <w:rsid w:val="006344F2"/>
    <w:rsid w:val="00641E26"/>
    <w:rsid w:val="0065299A"/>
    <w:rsid w:val="00661062"/>
    <w:rsid w:val="006634BE"/>
    <w:rsid w:val="00665353"/>
    <w:rsid w:val="00667D8A"/>
    <w:rsid w:val="00670828"/>
    <w:rsid w:val="00681D50"/>
    <w:rsid w:val="00691A97"/>
    <w:rsid w:val="00693CBB"/>
    <w:rsid w:val="00694376"/>
    <w:rsid w:val="006943A7"/>
    <w:rsid w:val="006A0DDA"/>
    <w:rsid w:val="006C079D"/>
    <w:rsid w:val="006C3E16"/>
    <w:rsid w:val="006D45B0"/>
    <w:rsid w:val="006D7A02"/>
    <w:rsid w:val="006F46B8"/>
    <w:rsid w:val="006F4B0C"/>
    <w:rsid w:val="006F5300"/>
    <w:rsid w:val="006F539D"/>
    <w:rsid w:val="00707281"/>
    <w:rsid w:val="00715976"/>
    <w:rsid w:val="00730B2B"/>
    <w:rsid w:val="00732348"/>
    <w:rsid w:val="007401E2"/>
    <w:rsid w:val="00743959"/>
    <w:rsid w:val="0074602A"/>
    <w:rsid w:val="00746A42"/>
    <w:rsid w:val="0075593F"/>
    <w:rsid w:val="00760449"/>
    <w:rsid w:val="00770267"/>
    <w:rsid w:val="00775598"/>
    <w:rsid w:val="00777515"/>
    <w:rsid w:val="00782AEB"/>
    <w:rsid w:val="00786CE1"/>
    <w:rsid w:val="00793825"/>
    <w:rsid w:val="007940B2"/>
    <w:rsid w:val="00795EEE"/>
    <w:rsid w:val="00796DD9"/>
    <w:rsid w:val="007A20BB"/>
    <w:rsid w:val="007B1E42"/>
    <w:rsid w:val="007B22B5"/>
    <w:rsid w:val="007B7696"/>
    <w:rsid w:val="007C15AB"/>
    <w:rsid w:val="007C42F0"/>
    <w:rsid w:val="007D3DF3"/>
    <w:rsid w:val="007E375B"/>
    <w:rsid w:val="007E3EF7"/>
    <w:rsid w:val="007E4D01"/>
    <w:rsid w:val="007F06EC"/>
    <w:rsid w:val="007F625D"/>
    <w:rsid w:val="00813AB0"/>
    <w:rsid w:val="0082191F"/>
    <w:rsid w:val="00824F41"/>
    <w:rsid w:val="00837A17"/>
    <w:rsid w:val="0084002E"/>
    <w:rsid w:val="0084069E"/>
    <w:rsid w:val="00847BDC"/>
    <w:rsid w:val="00860B4C"/>
    <w:rsid w:val="00862AD4"/>
    <w:rsid w:val="00863302"/>
    <w:rsid w:val="00864343"/>
    <w:rsid w:val="00864E93"/>
    <w:rsid w:val="00871B9B"/>
    <w:rsid w:val="00873189"/>
    <w:rsid w:val="00874B92"/>
    <w:rsid w:val="0088196F"/>
    <w:rsid w:val="00883E7F"/>
    <w:rsid w:val="0088431B"/>
    <w:rsid w:val="00893093"/>
    <w:rsid w:val="00893594"/>
    <w:rsid w:val="008A11E8"/>
    <w:rsid w:val="008A143D"/>
    <w:rsid w:val="008A1F21"/>
    <w:rsid w:val="008A422D"/>
    <w:rsid w:val="008A6113"/>
    <w:rsid w:val="008B3A73"/>
    <w:rsid w:val="008B6CC8"/>
    <w:rsid w:val="008C0E95"/>
    <w:rsid w:val="008C0ECE"/>
    <w:rsid w:val="008C7EBA"/>
    <w:rsid w:val="008D07A3"/>
    <w:rsid w:val="008D5226"/>
    <w:rsid w:val="008D53E2"/>
    <w:rsid w:val="008D72C2"/>
    <w:rsid w:val="008E006A"/>
    <w:rsid w:val="008E30DF"/>
    <w:rsid w:val="008E3768"/>
    <w:rsid w:val="008F34BF"/>
    <w:rsid w:val="008F7152"/>
    <w:rsid w:val="008F7250"/>
    <w:rsid w:val="009025D4"/>
    <w:rsid w:val="00906ADA"/>
    <w:rsid w:val="0090766E"/>
    <w:rsid w:val="00910C01"/>
    <w:rsid w:val="00914042"/>
    <w:rsid w:val="0091599A"/>
    <w:rsid w:val="0092092D"/>
    <w:rsid w:val="00932AD3"/>
    <w:rsid w:val="0093318E"/>
    <w:rsid w:val="00933F82"/>
    <w:rsid w:val="00934C10"/>
    <w:rsid w:val="00944E4E"/>
    <w:rsid w:val="0095543E"/>
    <w:rsid w:val="00961B44"/>
    <w:rsid w:val="00967A6F"/>
    <w:rsid w:val="00970BC7"/>
    <w:rsid w:val="00977A5C"/>
    <w:rsid w:val="0099038C"/>
    <w:rsid w:val="00990F1C"/>
    <w:rsid w:val="009914FA"/>
    <w:rsid w:val="00992286"/>
    <w:rsid w:val="0099608C"/>
    <w:rsid w:val="009A0971"/>
    <w:rsid w:val="009A0E8E"/>
    <w:rsid w:val="009B32B2"/>
    <w:rsid w:val="009B333D"/>
    <w:rsid w:val="009C1EB7"/>
    <w:rsid w:val="009E23BD"/>
    <w:rsid w:val="009E250D"/>
    <w:rsid w:val="009E2CC2"/>
    <w:rsid w:val="009E2EBC"/>
    <w:rsid w:val="009E3BC0"/>
    <w:rsid w:val="009E433A"/>
    <w:rsid w:val="009E7E6B"/>
    <w:rsid w:val="009F4C73"/>
    <w:rsid w:val="009F4F6A"/>
    <w:rsid w:val="009F77AA"/>
    <w:rsid w:val="00A03F38"/>
    <w:rsid w:val="00A06FAC"/>
    <w:rsid w:val="00A07134"/>
    <w:rsid w:val="00A15067"/>
    <w:rsid w:val="00A15A9A"/>
    <w:rsid w:val="00A172B7"/>
    <w:rsid w:val="00A2631B"/>
    <w:rsid w:val="00A27809"/>
    <w:rsid w:val="00A4186A"/>
    <w:rsid w:val="00A44D63"/>
    <w:rsid w:val="00A500E8"/>
    <w:rsid w:val="00A532CA"/>
    <w:rsid w:val="00A54EEB"/>
    <w:rsid w:val="00A61BAC"/>
    <w:rsid w:val="00A65452"/>
    <w:rsid w:val="00A7442D"/>
    <w:rsid w:val="00A76AAC"/>
    <w:rsid w:val="00A77918"/>
    <w:rsid w:val="00A92321"/>
    <w:rsid w:val="00A9602D"/>
    <w:rsid w:val="00AB1A5D"/>
    <w:rsid w:val="00AB70F2"/>
    <w:rsid w:val="00AC403E"/>
    <w:rsid w:val="00AD33D4"/>
    <w:rsid w:val="00AD5F3D"/>
    <w:rsid w:val="00AD6936"/>
    <w:rsid w:val="00AE314D"/>
    <w:rsid w:val="00AE5935"/>
    <w:rsid w:val="00AE6051"/>
    <w:rsid w:val="00AF2B73"/>
    <w:rsid w:val="00AF4B54"/>
    <w:rsid w:val="00AF5BCC"/>
    <w:rsid w:val="00B012C4"/>
    <w:rsid w:val="00B037A3"/>
    <w:rsid w:val="00B03DD7"/>
    <w:rsid w:val="00B05FFF"/>
    <w:rsid w:val="00B20DFF"/>
    <w:rsid w:val="00B2111B"/>
    <w:rsid w:val="00B24A53"/>
    <w:rsid w:val="00B30C05"/>
    <w:rsid w:val="00B4147B"/>
    <w:rsid w:val="00B44AD6"/>
    <w:rsid w:val="00B45B3C"/>
    <w:rsid w:val="00B60A4A"/>
    <w:rsid w:val="00B67019"/>
    <w:rsid w:val="00B67CD0"/>
    <w:rsid w:val="00B70B7C"/>
    <w:rsid w:val="00B8038E"/>
    <w:rsid w:val="00B82394"/>
    <w:rsid w:val="00B84F1F"/>
    <w:rsid w:val="00B96B34"/>
    <w:rsid w:val="00BB0160"/>
    <w:rsid w:val="00BB136A"/>
    <w:rsid w:val="00BB2038"/>
    <w:rsid w:val="00BB4AB9"/>
    <w:rsid w:val="00BB720B"/>
    <w:rsid w:val="00BB7D73"/>
    <w:rsid w:val="00BD2575"/>
    <w:rsid w:val="00BE21C5"/>
    <w:rsid w:val="00BE50F8"/>
    <w:rsid w:val="00BF00C1"/>
    <w:rsid w:val="00BF207A"/>
    <w:rsid w:val="00BF3C98"/>
    <w:rsid w:val="00C22CBA"/>
    <w:rsid w:val="00C22D7B"/>
    <w:rsid w:val="00C23A3B"/>
    <w:rsid w:val="00C24FF7"/>
    <w:rsid w:val="00C250DE"/>
    <w:rsid w:val="00C25B55"/>
    <w:rsid w:val="00C2673B"/>
    <w:rsid w:val="00C40437"/>
    <w:rsid w:val="00C427E5"/>
    <w:rsid w:val="00C44075"/>
    <w:rsid w:val="00C44C0E"/>
    <w:rsid w:val="00C459F8"/>
    <w:rsid w:val="00C524EE"/>
    <w:rsid w:val="00C52A3C"/>
    <w:rsid w:val="00C5331A"/>
    <w:rsid w:val="00C56ABB"/>
    <w:rsid w:val="00C615C6"/>
    <w:rsid w:val="00C82F29"/>
    <w:rsid w:val="00C86746"/>
    <w:rsid w:val="00C872C8"/>
    <w:rsid w:val="00C87FDC"/>
    <w:rsid w:val="00CB0139"/>
    <w:rsid w:val="00CE18E3"/>
    <w:rsid w:val="00CE18ED"/>
    <w:rsid w:val="00CE3C69"/>
    <w:rsid w:val="00CE60A3"/>
    <w:rsid w:val="00CF454F"/>
    <w:rsid w:val="00CF68B8"/>
    <w:rsid w:val="00D10A03"/>
    <w:rsid w:val="00D210E4"/>
    <w:rsid w:val="00D22DB8"/>
    <w:rsid w:val="00D30790"/>
    <w:rsid w:val="00D358CC"/>
    <w:rsid w:val="00D40531"/>
    <w:rsid w:val="00D40588"/>
    <w:rsid w:val="00D41DD9"/>
    <w:rsid w:val="00D456E1"/>
    <w:rsid w:val="00D458E2"/>
    <w:rsid w:val="00D507B2"/>
    <w:rsid w:val="00D50C53"/>
    <w:rsid w:val="00D54583"/>
    <w:rsid w:val="00D55740"/>
    <w:rsid w:val="00D60041"/>
    <w:rsid w:val="00D618E7"/>
    <w:rsid w:val="00D61BA6"/>
    <w:rsid w:val="00D66EC6"/>
    <w:rsid w:val="00D73B7B"/>
    <w:rsid w:val="00D7730D"/>
    <w:rsid w:val="00D805B3"/>
    <w:rsid w:val="00D8378B"/>
    <w:rsid w:val="00D902D7"/>
    <w:rsid w:val="00D96806"/>
    <w:rsid w:val="00DA5306"/>
    <w:rsid w:val="00DB03F6"/>
    <w:rsid w:val="00DB56E1"/>
    <w:rsid w:val="00DB5E85"/>
    <w:rsid w:val="00DC6F3E"/>
    <w:rsid w:val="00DD3DD5"/>
    <w:rsid w:val="00DD466A"/>
    <w:rsid w:val="00DE0E68"/>
    <w:rsid w:val="00DE2CA0"/>
    <w:rsid w:val="00DE7134"/>
    <w:rsid w:val="00DF239E"/>
    <w:rsid w:val="00DF3621"/>
    <w:rsid w:val="00DF3B7F"/>
    <w:rsid w:val="00DF46F3"/>
    <w:rsid w:val="00DF4A93"/>
    <w:rsid w:val="00DF7DE3"/>
    <w:rsid w:val="00E073FA"/>
    <w:rsid w:val="00E0780E"/>
    <w:rsid w:val="00E07920"/>
    <w:rsid w:val="00E12B66"/>
    <w:rsid w:val="00E14091"/>
    <w:rsid w:val="00E16ED1"/>
    <w:rsid w:val="00E17733"/>
    <w:rsid w:val="00E21E08"/>
    <w:rsid w:val="00E23A07"/>
    <w:rsid w:val="00E25B3F"/>
    <w:rsid w:val="00E26906"/>
    <w:rsid w:val="00E26CD9"/>
    <w:rsid w:val="00E31CFC"/>
    <w:rsid w:val="00E35D60"/>
    <w:rsid w:val="00E405C0"/>
    <w:rsid w:val="00E5346E"/>
    <w:rsid w:val="00E54A1A"/>
    <w:rsid w:val="00E6263B"/>
    <w:rsid w:val="00E6441F"/>
    <w:rsid w:val="00E679BD"/>
    <w:rsid w:val="00E67F09"/>
    <w:rsid w:val="00E7198B"/>
    <w:rsid w:val="00E730F5"/>
    <w:rsid w:val="00E77DA9"/>
    <w:rsid w:val="00E828A3"/>
    <w:rsid w:val="00E83947"/>
    <w:rsid w:val="00E85ECE"/>
    <w:rsid w:val="00E939BD"/>
    <w:rsid w:val="00EC468B"/>
    <w:rsid w:val="00EC655F"/>
    <w:rsid w:val="00ED588B"/>
    <w:rsid w:val="00ED764A"/>
    <w:rsid w:val="00EE2E5E"/>
    <w:rsid w:val="00EE5095"/>
    <w:rsid w:val="00EF2CA7"/>
    <w:rsid w:val="00EF3DD1"/>
    <w:rsid w:val="00F006AD"/>
    <w:rsid w:val="00F03CCC"/>
    <w:rsid w:val="00F07EE5"/>
    <w:rsid w:val="00F11C02"/>
    <w:rsid w:val="00F21286"/>
    <w:rsid w:val="00F25856"/>
    <w:rsid w:val="00F353B3"/>
    <w:rsid w:val="00F35BB1"/>
    <w:rsid w:val="00F4501D"/>
    <w:rsid w:val="00F467D0"/>
    <w:rsid w:val="00F47068"/>
    <w:rsid w:val="00F5130E"/>
    <w:rsid w:val="00F51BAF"/>
    <w:rsid w:val="00F5749D"/>
    <w:rsid w:val="00F60D5D"/>
    <w:rsid w:val="00F616AB"/>
    <w:rsid w:val="00F66C5C"/>
    <w:rsid w:val="00F70939"/>
    <w:rsid w:val="00F73473"/>
    <w:rsid w:val="00F759EB"/>
    <w:rsid w:val="00F75B73"/>
    <w:rsid w:val="00F808A9"/>
    <w:rsid w:val="00F827AC"/>
    <w:rsid w:val="00F82CBA"/>
    <w:rsid w:val="00F84A74"/>
    <w:rsid w:val="00F84B4C"/>
    <w:rsid w:val="00F86E94"/>
    <w:rsid w:val="00F8734F"/>
    <w:rsid w:val="00F92885"/>
    <w:rsid w:val="00F969DE"/>
    <w:rsid w:val="00FA5645"/>
    <w:rsid w:val="00FA576A"/>
    <w:rsid w:val="00FA6C97"/>
    <w:rsid w:val="00FB0B22"/>
    <w:rsid w:val="00FB0B99"/>
    <w:rsid w:val="00FB23F4"/>
    <w:rsid w:val="00FC0A74"/>
    <w:rsid w:val="00FC1DF0"/>
    <w:rsid w:val="00FC221D"/>
    <w:rsid w:val="00FC32E3"/>
    <w:rsid w:val="00FD64D1"/>
    <w:rsid w:val="00FD7341"/>
    <w:rsid w:val="00FF1491"/>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546C43D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s-AR" w:eastAsia="es-A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53DE"/>
    <w:pPr>
      <w:spacing w:after="200" w:line="276" w:lineRule="auto"/>
    </w:pPr>
    <w:rPr>
      <w:rFonts w:ascii="Calibri" w:eastAsia="Calibri" w:hAnsi="Calibri"/>
      <w:sz w:val="22"/>
      <w:szCs w:val="22"/>
      <w:lang w:val="en-US" w:eastAsia="en-US"/>
    </w:rPr>
  </w:style>
  <w:style w:type="paragraph" w:styleId="Ttulo1">
    <w:name w:val="heading 1"/>
    <w:basedOn w:val="Normal"/>
    <w:next w:val="Normal"/>
    <w:link w:val="Ttulo1Car"/>
    <w:uiPriority w:val="9"/>
    <w:qFormat/>
    <w:rsid w:val="00E26CD9"/>
    <w:pPr>
      <w:keepNext/>
      <w:spacing w:before="240" w:after="60"/>
      <w:outlineLvl w:val="0"/>
    </w:pPr>
    <w:rPr>
      <w:rFonts w:ascii="Calibri Light" w:eastAsia="Times New Roman" w:hAnsi="Calibri Light"/>
      <w:b/>
      <w:bCs/>
      <w:kern w:val="32"/>
      <w:sz w:val="32"/>
      <w:szCs w:val="32"/>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paragraph" w:styleId="Encabezado">
    <w:name w:val="header"/>
    <w:aliases w:val="encabezado"/>
    <w:basedOn w:val="Normal"/>
    <w:link w:val="EncabezadoCar"/>
    <w:unhideWhenUsed/>
    <w:rsid w:val="005A53DE"/>
    <w:pPr>
      <w:tabs>
        <w:tab w:val="center" w:pos="4680"/>
        <w:tab w:val="right" w:pos="9360"/>
      </w:tabs>
      <w:spacing w:after="0" w:line="240" w:lineRule="auto"/>
    </w:pPr>
  </w:style>
  <w:style w:type="paragraph" w:styleId="Piedepgina">
    <w:name w:val="footer"/>
    <w:basedOn w:val="Normal"/>
    <w:unhideWhenUsed/>
    <w:rsid w:val="005A53DE"/>
    <w:pPr>
      <w:tabs>
        <w:tab w:val="center" w:pos="4680"/>
        <w:tab w:val="right" w:pos="9360"/>
      </w:tabs>
      <w:spacing w:after="0" w:line="240" w:lineRule="auto"/>
    </w:pPr>
  </w:style>
  <w:style w:type="paragraph" w:customStyle="1" w:styleId="Default">
    <w:name w:val="Default"/>
    <w:rsid w:val="005A53DE"/>
    <w:pPr>
      <w:autoSpaceDE w:val="0"/>
      <w:autoSpaceDN w:val="0"/>
      <w:adjustRightInd w:val="0"/>
    </w:pPr>
    <w:rPr>
      <w:rFonts w:ascii="Arial" w:hAnsi="Arial" w:cs="Arial"/>
      <w:color w:val="000000"/>
      <w:sz w:val="24"/>
      <w:szCs w:val="24"/>
      <w:lang w:val="en-US" w:eastAsia="en-US"/>
    </w:rPr>
  </w:style>
  <w:style w:type="character" w:styleId="Hipervnculo">
    <w:name w:val="Hyperlink"/>
    <w:rsid w:val="005A53DE"/>
    <w:rPr>
      <w:color w:val="0000FF"/>
      <w:u w:val="single"/>
    </w:rPr>
  </w:style>
  <w:style w:type="paragraph" w:styleId="Textoindependiente">
    <w:name w:val="Body Text"/>
    <w:basedOn w:val="Normal"/>
    <w:semiHidden/>
    <w:unhideWhenUsed/>
    <w:rsid w:val="005A53DE"/>
    <w:pPr>
      <w:spacing w:after="120"/>
    </w:pPr>
  </w:style>
  <w:style w:type="paragraph" w:styleId="Textodeglobo">
    <w:name w:val="Balloon Text"/>
    <w:basedOn w:val="Normal"/>
    <w:link w:val="TextodegloboCar"/>
    <w:uiPriority w:val="99"/>
    <w:semiHidden/>
    <w:unhideWhenUsed/>
    <w:rsid w:val="0060615D"/>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60615D"/>
    <w:rPr>
      <w:rFonts w:ascii="Tahoma" w:eastAsia="Calibri" w:hAnsi="Tahoma" w:cs="Tahoma"/>
      <w:sz w:val="16"/>
      <w:szCs w:val="16"/>
    </w:rPr>
  </w:style>
  <w:style w:type="paragraph" w:styleId="Prrafodelista">
    <w:name w:val="List Paragraph"/>
    <w:aliases w:val="Párrafo de lista1,List Paragraph1,Colorful List - Accent 11,List Paragraph11,List Paragraph2,Lista vistosa - Énfasis 11,Medium Grid 1 - Accent 21,Colorful List - Accent 12"/>
    <w:link w:val="PrrafodelistaCar"/>
    <w:uiPriority w:val="72"/>
    <w:qFormat/>
    <w:rsid w:val="00B24A53"/>
    <w:pPr>
      <w:pBdr>
        <w:top w:val="nil"/>
        <w:left w:val="nil"/>
        <w:bottom w:val="nil"/>
        <w:right w:val="nil"/>
        <w:between w:val="nil"/>
        <w:bar w:val="nil"/>
      </w:pBdr>
      <w:ind w:left="720"/>
    </w:pPr>
    <w:rPr>
      <w:rFonts w:ascii="Cambria" w:eastAsia="Cambria" w:hAnsi="Cambria" w:cs="Cambria"/>
      <w:color w:val="000000"/>
      <w:sz w:val="24"/>
      <w:szCs w:val="24"/>
      <w:u w:color="000000"/>
      <w:bdr w:val="nil"/>
      <w:lang w:val="en-US" w:eastAsia="es-ES"/>
    </w:rPr>
  </w:style>
  <w:style w:type="character" w:customStyle="1" w:styleId="PrrafodelistaCar">
    <w:name w:val="Párrafo de lista Car"/>
    <w:aliases w:val="Párrafo de lista1 Car,List Paragraph1 Car,Colorful List - Accent 11 Car,List Paragraph11 Car,List Paragraph2 Car,Lista vistosa - Énfasis 11 Car,Medium Grid 1 - Accent 21 Car,Colorful List - Accent 12 Car"/>
    <w:link w:val="Prrafodelista"/>
    <w:locked/>
    <w:rsid w:val="00B24A53"/>
    <w:rPr>
      <w:rFonts w:ascii="Cambria" w:eastAsia="Cambria" w:hAnsi="Cambria" w:cs="Cambria"/>
      <w:color w:val="000000"/>
      <w:sz w:val="24"/>
      <w:szCs w:val="24"/>
      <w:u w:color="000000"/>
      <w:bdr w:val="nil"/>
      <w:lang w:eastAsia="es-ES"/>
    </w:rPr>
  </w:style>
  <w:style w:type="character" w:styleId="Refdecomentario">
    <w:name w:val="annotation reference"/>
    <w:uiPriority w:val="99"/>
    <w:semiHidden/>
    <w:unhideWhenUsed/>
    <w:rsid w:val="00DF7DE3"/>
    <w:rPr>
      <w:sz w:val="16"/>
      <w:szCs w:val="16"/>
    </w:rPr>
  </w:style>
  <w:style w:type="paragraph" w:styleId="Textocomentario">
    <w:name w:val="annotation text"/>
    <w:basedOn w:val="Normal"/>
    <w:link w:val="TextocomentarioCar"/>
    <w:uiPriority w:val="99"/>
    <w:semiHidden/>
    <w:unhideWhenUsed/>
    <w:rsid w:val="00DF7DE3"/>
    <w:rPr>
      <w:sz w:val="20"/>
      <w:szCs w:val="20"/>
    </w:rPr>
  </w:style>
  <w:style w:type="character" w:customStyle="1" w:styleId="TextocomentarioCar">
    <w:name w:val="Texto comentario Car"/>
    <w:link w:val="Textocomentario"/>
    <w:uiPriority w:val="99"/>
    <w:semiHidden/>
    <w:rsid w:val="00DF7DE3"/>
    <w:rPr>
      <w:rFonts w:ascii="Calibri" w:eastAsia="Calibri" w:hAnsi="Calibri"/>
    </w:rPr>
  </w:style>
  <w:style w:type="paragraph" w:styleId="Asuntodelcomentario">
    <w:name w:val="annotation subject"/>
    <w:basedOn w:val="Textocomentario"/>
    <w:next w:val="Textocomentario"/>
    <w:link w:val="AsuntodelcomentarioCar"/>
    <w:uiPriority w:val="99"/>
    <w:semiHidden/>
    <w:unhideWhenUsed/>
    <w:rsid w:val="00DF7DE3"/>
    <w:rPr>
      <w:b/>
      <w:bCs/>
    </w:rPr>
  </w:style>
  <w:style w:type="character" w:customStyle="1" w:styleId="AsuntodelcomentarioCar">
    <w:name w:val="Asunto del comentario Car"/>
    <w:link w:val="Asuntodelcomentario"/>
    <w:uiPriority w:val="99"/>
    <w:semiHidden/>
    <w:rsid w:val="00DF7DE3"/>
    <w:rPr>
      <w:rFonts w:ascii="Calibri" w:eastAsia="Calibri" w:hAnsi="Calibri"/>
      <w:b/>
      <w:bCs/>
    </w:rPr>
  </w:style>
  <w:style w:type="paragraph" w:styleId="NormalWeb">
    <w:name w:val="Normal (Web)"/>
    <w:basedOn w:val="Normal"/>
    <w:uiPriority w:val="99"/>
    <w:semiHidden/>
    <w:unhideWhenUsed/>
    <w:rsid w:val="004C11AF"/>
    <w:pPr>
      <w:spacing w:before="100" w:beforeAutospacing="1" w:after="100" w:afterAutospacing="1" w:line="240" w:lineRule="auto"/>
    </w:pPr>
    <w:rPr>
      <w:rFonts w:ascii="Times New Roman" w:hAnsi="Times New Roman"/>
      <w:sz w:val="24"/>
      <w:szCs w:val="24"/>
    </w:rPr>
  </w:style>
  <w:style w:type="paragraph" w:styleId="Sangradetextonormal">
    <w:name w:val="Body Text Indent"/>
    <w:basedOn w:val="Normal"/>
    <w:link w:val="SangradetextonormalCar"/>
    <w:uiPriority w:val="99"/>
    <w:unhideWhenUsed/>
    <w:rsid w:val="00A54EEB"/>
    <w:pPr>
      <w:spacing w:after="120"/>
      <w:ind w:left="360"/>
    </w:pPr>
  </w:style>
  <w:style w:type="character" w:customStyle="1" w:styleId="SangradetextonormalCar">
    <w:name w:val="Sangría de texto normal Car"/>
    <w:link w:val="Sangradetextonormal"/>
    <w:uiPriority w:val="99"/>
    <w:rsid w:val="00A54EEB"/>
    <w:rPr>
      <w:rFonts w:ascii="Calibri" w:eastAsia="Calibri" w:hAnsi="Calibri"/>
      <w:sz w:val="22"/>
      <w:szCs w:val="22"/>
    </w:rPr>
  </w:style>
  <w:style w:type="paragraph" w:customStyle="1" w:styleId="parrafos">
    <w:name w:val="parrafos"/>
    <w:basedOn w:val="Normal"/>
    <w:link w:val="parrafosChar"/>
    <w:qFormat/>
    <w:rsid w:val="00E26CD9"/>
    <w:pPr>
      <w:spacing w:after="0" w:line="240" w:lineRule="auto"/>
      <w:jc w:val="both"/>
    </w:pPr>
    <w:rPr>
      <w:rFonts w:ascii="Cambria" w:eastAsia="Arial Unicode MS" w:hAnsi="Cambria"/>
      <w:color w:val="000000"/>
      <w:sz w:val="20"/>
      <w:szCs w:val="20"/>
      <w:bdr w:val="nil"/>
      <w:lang w:val="es-VE"/>
    </w:rPr>
  </w:style>
  <w:style w:type="character" w:customStyle="1" w:styleId="parrafosChar">
    <w:name w:val="parrafos Char"/>
    <w:link w:val="parrafos"/>
    <w:rsid w:val="00E26CD9"/>
    <w:rPr>
      <w:rFonts w:ascii="Cambria" w:eastAsia="Arial Unicode MS" w:hAnsi="Cambria"/>
      <w:color w:val="000000"/>
      <w:bdr w:val="nil"/>
      <w:lang w:val="es-VE"/>
    </w:rPr>
  </w:style>
  <w:style w:type="character" w:customStyle="1" w:styleId="Ttulo1Car">
    <w:name w:val="Título 1 Car"/>
    <w:link w:val="Ttulo1"/>
    <w:uiPriority w:val="9"/>
    <w:rsid w:val="00E26CD9"/>
    <w:rPr>
      <w:rFonts w:ascii="Calibri Light" w:eastAsia="Times New Roman" w:hAnsi="Calibri Light" w:cs="Times New Roman"/>
      <w:b/>
      <w:bCs/>
      <w:kern w:val="32"/>
      <w:sz w:val="32"/>
      <w:szCs w:val="32"/>
    </w:rPr>
  </w:style>
  <w:style w:type="paragraph" w:styleId="TtuloTDC">
    <w:name w:val="TOC Heading"/>
    <w:basedOn w:val="Ttulo1"/>
    <w:next w:val="Normal"/>
    <w:uiPriority w:val="39"/>
    <w:unhideWhenUsed/>
    <w:qFormat/>
    <w:rsid w:val="00E26CD9"/>
    <w:pPr>
      <w:keepLines/>
      <w:spacing w:before="480" w:after="0"/>
      <w:outlineLvl w:val="9"/>
    </w:pPr>
    <w:rPr>
      <w:rFonts w:ascii="Cambria" w:eastAsia="MS Gothic" w:hAnsi="Cambria"/>
      <w:color w:val="365F91"/>
      <w:kern w:val="0"/>
      <w:sz w:val="28"/>
      <w:szCs w:val="28"/>
      <w:lang w:eastAsia="ja-JP"/>
    </w:rPr>
  </w:style>
  <w:style w:type="character" w:styleId="Textoennegrita">
    <w:name w:val="Strong"/>
    <w:uiPriority w:val="22"/>
    <w:qFormat/>
    <w:rsid w:val="00036FC7"/>
    <w:rPr>
      <w:b/>
      <w:bCs/>
    </w:rPr>
  </w:style>
  <w:style w:type="character" w:customStyle="1" w:styleId="EncabezadoCar">
    <w:name w:val="Encabezado Car"/>
    <w:aliases w:val="encabezado Car"/>
    <w:link w:val="Encabezado"/>
    <w:rsid w:val="00475C19"/>
    <w:rPr>
      <w:rFonts w:ascii="Calibri" w:eastAsia="Calibri" w:hAnsi="Calibri"/>
      <w:sz w:val="22"/>
      <w:szCs w:val="22"/>
    </w:rPr>
  </w:style>
  <w:style w:type="paragraph" w:styleId="Textonotapie">
    <w:name w:val="footnote text"/>
    <w:aliases w:val="Footnote Text Char Char Char Char Char,Footnote Text Char Char Char Char,Footnote reference,FA Fu,Footnote Text Char Char Char,Footnote Text Cha,FA Fußnotentext,FA Fuﬂnotentext,Texto nota pie Car,Footnote Text Char Char,footnote text,Ca,f"/>
    <w:link w:val="TextonotapieCar1"/>
    <w:qFormat/>
    <w:rsid w:val="00362B34"/>
    <w:pPr>
      <w:pBdr>
        <w:top w:val="nil"/>
        <w:left w:val="nil"/>
        <w:bottom w:val="nil"/>
        <w:right w:val="nil"/>
        <w:between w:val="nil"/>
        <w:bar w:val="nil"/>
      </w:pBdr>
      <w:jc w:val="both"/>
    </w:pPr>
    <w:rPr>
      <w:rFonts w:ascii="Cambria" w:eastAsia="Calibri" w:hAnsi="Cambria" w:cs="Calibri"/>
      <w:color w:val="000000"/>
      <w:sz w:val="16"/>
      <w:szCs w:val="16"/>
      <w:u w:color="000000"/>
      <w:bdr w:val="nil"/>
      <w:lang w:val="en-US" w:eastAsia="es-ES"/>
    </w:rPr>
  </w:style>
  <w:style w:type="character" w:customStyle="1" w:styleId="TextonotapieCar1">
    <w:name w:val="Texto nota pie Car1"/>
    <w:aliases w:val="Footnote Text Char Char Char Char Char Car,Footnote Text Char Char Char Char Car,Footnote reference Car,FA Fu Car,Footnote Text Char Char Char Car,Footnote Text Cha Car,FA Fußnotentext Car,FA Fuﬂnotentext Car,Texto nota pie Car Car"/>
    <w:link w:val="Textonotapie"/>
    <w:qFormat/>
    <w:rsid w:val="00362B34"/>
    <w:rPr>
      <w:rFonts w:ascii="Cambria" w:eastAsia="Calibri" w:hAnsi="Cambria" w:cs="Calibri"/>
      <w:color w:val="000000"/>
      <w:sz w:val="16"/>
      <w:szCs w:val="16"/>
      <w:u w:color="000000"/>
      <w:bdr w:val="nil"/>
      <w:lang w:eastAsia="es-ES"/>
    </w:rPr>
  </w:style>
  <w:style w:type="character" w:styleId="Refdenotaalpie">
    <w:name w:val="footnote reference"/>
    <w:aliases w:val="Footnotes refss,Ref. de nota al pie.,Texto de nota al pie,Appel note de bas de page,referencia nota al pie,BVI fnr,Footnote number,f1,4_G,16 Point,Superscript 6 Point,Footnote symbol,Footnote,Texto nota al pie,Footnote Reference Ch"/>
    <w:link w:val="FootnotesrefssChar1Char"/>
    <w:uiPriority w:val="99"/>
    <w:unhideWhenUsed/>
    <w:qFormat/>
    <w:rsid w:val="00362B34"/>
    <w:rPr>
      <w:vertAlign w:val="superscript"/>
    </w:rPr>
  </w:style>
  <w:style w:type="paragraph" w:customStyle="1" w:styleId="FootnotesrefssChar1Char">
    <w:name w:val="Footnotes refss Char1 Char"/>
    <w:aliases w:val="Texto de nota al pie Char1 Char,Appel note de bas de page Char1 Char,Footnote number Char1 Char,referencia nota al pie Char1 Char,BVI fnr Char1 Char,f Char1 Char,4_G Char1 Char,16 Point Char1 Char"/>
    <w:basedOn w:val="Normal"/>
    <w:link w:val="Refdenotaalpie"/>
    <w:uiPriority w:val="99"/>
    <w:qFormat/>
    <w:rsid w:val="00362B34"/>
    <w:pPr>
      <w:spacing w:after="160" w:line="240" w:lineRule="exact"/>
    </w:pPr>
    <w:rPr>
      <w:rFonts w:ascii="Times New Roman" w:eastAsia="Times New Roman" w:hAnsi="Times New Roman"/>
      <w:sz w:val="20"/>
      <w:szCs w:val="2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90228618">
      <w:bodyDiv w:val="1"/>
      <w:marLeft w:val="0"/>
      <w:marRight w:val="0"/>
      <w:marTop w:val="0"/>
      <w:marBottom w:val="0"/>
      <w:divBdr>
        <w:top w:val="none" w:sz="0" w:space="0" w:color="auto"/>
        <w:left w:val="none" w:sz="0" w:space="0" w:color="auto"/>
        <w:bottom w:val="none" w:sz="0" w:space="0" w:color="auto"/>
        <w:right w:val="none" w:sz="0" w:space="0" w:color="auto"/>
      </w:divBdr>
    </w:div>
    <w:div w:id="491339461">
      <w:bodyDiv w:val="1"/>
      <w:marLeft w:val="0"/>
      <w:marRight w:val="0"/>
      <w:marTop w:val="0"/>
      <w:marBottom w:val="0"/>
      <w:divBdr>
        <w:top w:val="none" w:sz="0" w:space="0" w:color="auto"/>
        <w:left w:val="none" w:sz="0" w:space="0" w:color="auto"/>
        <w:bottom w:val="none" w:sz="0" w:space="0" w:color="auto"/>
        <w:right w:val="none" w:sz="0" w:space="0" w:color="auto"/>
      </w:divBdr>
    </w:div>
    <w:div w:id="843789377">
      <w:bodyDiv w:val="1"/>
      <w:marLeft w:val="0"/>
      <w:marRight w:val="0"/>
      <w:marTop w:val="0"/>
      <w:marBottom w:val="0"/>
      <w:divBdr>
        <w:top w:val="none" w:sz="0" w:space="0" w:color="auto"/>
        <w:left w:val="none" w:sz="0" w:space="0" w:color="auto"/>
        <w:bottom w:val="none" w:sz="0" w:space="0" w:color="auto"/>
        <w:right w:val="none" w:sz="0" w:space="0" w:color="auto"/>
      </w:divBdr>
    </w:div>
    <w:div w:id="931162599">
      <w:bodyDiv w:val="1"/>
      <w:marLeft w:val="0"/>
      <w:marRight w:val="0"/>
      <w:marTop w:val="0"/>
      <w:marBottom w:val="0"/>
      <w:divBdr>
        <w:top w:val="none" w:sz="0" w:space="0" w:color="auto"/>
        <w:left w:val="none" w:sz="0" w:space="0" w:color="auto"/>
        <w:bottom w:val="none" w:sz="0" w:space="0" w:color="auto"/>
        <w:right w:val="none" w:sz="0" w:space="0" w:color="auto"/>
      </w:divBdr>
    </w:div>
    <w:div w:id="1474252416">
      <w:bodyDiv w:val="1"/>
      <w:marLeft w:val="0"/>
      <w:marRight w:val="0"/>
      <w:marTop w:val="0"/>
      <w:marBottom w:val="0"/>
      <w:divBdr>
        <w:top w:val="none" w:sz="0" w:space="0" w:color="auto"/>
        <w:left w:val="none" w:sz="0" w:space="0" w:color="auto"/>
        <w:bottom w:val="none" w:sz="0" w:space="0" w:color="auto"/>
        <w:right w:val="none" w:sz="0" w:space="0" w:color="auto"/>
      </w:divBdr>
    </w:div>
    <w:div w:id="1529416678">
      <w:bodyDiv w:val="1"/>
      <w:marLeft w:val="0"/>
      <w:marRight w:val="0"/>
      <w:marTop w:val="0"/>
      <w:marBottom w:val="0"/>
      <w:divBdr>
        <w:top w:val="none" w:sz="0" w:space="0" w:color="auto"/>
        <w:left w:val="none" w:sz="0" w:space="0" w:color="auto"/>
        <w:bottom w:val="none" w:sz="0" w:space="0" w:color="auto"/>
        <w:right w:val="none" w:sz="0" w:space="0" w:color="auto"/>
      </w:divBdr>
    </w:div>
    <w:div w:id="2086221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5B72C8-9769-4E05-91B4-249AA0BD11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2122</Words>
  <Characters>11676</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2020-11-16T15:00:00Z</dcterms:created>
  <dcterms:modified xsi:type="dcterms:W3CDTF">2020-11-16T15:00:00Z</dcterms:modified>
</cp:coreProperties>
</file>