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607D1" w14:textId="77777777" w:rsidR="000007A2" w:rsidRDefault="000007A2" w:rsidP="007929FF">
      <w:pPr>
        <w:spacing w:after="0" w:line="240" w:lineRule="auto"/>
        <w:jc w:val="right"/>
        <w:rPr>
          <w:rFonts w:ascii="Cambria" w:hAnsi="Cambria" w:cs="Calibri"/>
          <w:sz w:val="20"/>
          <w:szCs w:val="20"/>
          <w:lang w:val="es-US"/>
        </w:rPr>
      </w:pPr>
    </w:p>
    <w:p w14:paraId="51B6CFA4" w14:textId="77777777" w:rsidR="007A593D" w:rsidRPr="00314D82" w:rsidRDefault="007A593D" w:rsidP="007929FF">
      <w:pPr>
        <w:spacing w:after="0" w:line="240" w:lineRule="auto"/>
        <w:jc w:val="right"/>
        <w:rPr>
          <w:rFonts w:ascii="Cambria" w:hAnsi="Cambria" w:cs="Calibri"/>
          <w:sz w:val="20"/>
          <w:szCs w:val="20"/>
          <w:lang w:val="es-US"/>
        </w:rPr>
      </w:pPr>
    </w:p>
    <w:p w14:paraId="6D48A403" w14:textId="77777777" w:rsidR="007A593D" w:rsidRPr="006B547D" w:rsidRDefault="0041669B" w:rsidP="007929FF">
      <w:pPr>
        <w:spacing w:after="0" w:line="240" w:lineRule="auto"/>
        <w:jc w:val="right"/>
        <w:rPr>
          <w:rFonts w:ascii="Cambria" w:hAnsi="Cambria" w:cs="Calibri"/>
          <w:sz w:val="20"/>
          <w:szCs w:val="20"/>
          <w:lang w:val="es-ES"/>
        </w:rPr>
      </w:pPr>
      <w:r w:rsidRPr="006B547D">
        <w:rPr>
          <w:rFonts w:ascii="Cambria" w:hAnsi="Cambria" w:cs="Calibri"/>
          <w:sz w:val="20"/>
          <w:szCs w:val="20"/>
          <w:lang w:val="es-ES"/>
        </w:rPr>
        <w:t>8</w:t>
      </w:r>
      <w:r w:rsidR="00A4186A" w:rsidRPr="006B547D">
        <w:rPr>
          <w:rFonts w:ascii="Cambria" w:hAnsi="Cambria" w:cs="Calibri"/>
          <w:sz w:val="20"/>
          <w:szCs w:val="20"/>
          <w:lang w:val="es-ES"/>
        </w:rPr>
        <w:t xml:space="preserve"> de </w:t>
      </w:r>
      <w:r w:rsidR="00E00544" w:rsidRPr="006B547D">
        <w:rPr>
          <w:rFonts w:ascii="Cambria" w:hAnsi="Cambria" w:cs="Calibri"/>
          <w:sz w:val="20"/>
          <w:szCs w:val="20"/>
          <w:lang w:val="es-ES"/>
        </w:rPr>
        <w:t>agosto</w:t>
      </w:r>
      <w:r w:rsidR="00162CE1" w:rsidRPr="006B547D">
        <w:rPr>
          <w:rFonts w:ascii="Cambria" w:hAnsi="Cambria" w:cs="Calibri"/>
          <w:sz w:val="20"/>
          <w:szCs w:val="20"/>
          <w:lang w:val="es-ES"/>
        </w:rPr>
        <w:t xml:space="preserve"> de 20</w:t>
      </w:r>
      <w:r w:rsidRPr="006B547D">
        <w:rPr>
          <w:rFonts w:ascii="Cambria" w:hAnsi="Cambria" w:cs="Calibri"/>
          <w:sz w:val="20"/>
          <w:szCs w:val="20"/>
          <w:lang w:val="es-ES"/>
        </w:rPr>
        <w:t>20</w:t>
      </w:r>
    </w:p>
    <w:p w14:paraId="16C8F457" w14:textId="77777777" w:rsidR="00162CE1" w:rsidRPr="006B547D" w:rsidRDefault="0042403B" w:rsidP="007929FF">
      <w:pPr>
        <w:spacing w:after="0" w:line="240" w:lineRule="auto"/>
        <w:jc w:val="both"/>
        <w:rPr>
          <w:rFonts w:ascii="Cambria" w:hAnsi="Cambria" w:cs="Calibri"/>
          <w:b/>
          <w:sz w:val="20"/>
          <w:szCs w:val="20"/>
          <w:lang w:val="es-ES"/>
        </w:rPr>
      </w:pPr>
      <w:r w:rsidRPr="006B547D">
        <w:rPr>
          <w:rFonts w:ascii="Cambria" w:hAnsi="Cambria" w:cs="Calibri"/>
          <w:b/>
          <w:sz w:val="20"/>
          <w:szCs w:val="20"/>
          <w:lang w:val="es-ES"/>
        </w:rPr>
        <w:t>REF</w:t>
      </w:r>
      <w:r w:rsidR="00162CE1" w:rsidRPr="006B547D">
        <w:rPr>
          <w:rFonts w:ascii="Cambria" w:hAnsi="Cambria" w:cs="Calibri"/>
          <w:b/>
          <w:sz w:val="20"/>
          <w:szCs w:val="20"/>
          <w:lang w:val="es-ES"/>
        </w:rPr>
        <w:t>.:</w:t>
      </w:r>
      <w:bookmarkStart w:id="0" w:name="Peticion_n"/>
      <w:bookmarkEnd w:id="0"/>
      <w:r w:rsidR="00A2631B" w:rsidRPr="006B547D">
        <w:rPr>
          <w:rFonts w:ascii="Cambria" w:hAnsi="Cambria" w:cs="Calibri"/>
          <w:b/>
          <w:sz w:val="20"/>
          <w:szCs w:val="20"/>
          <w:lang w:val="es-ES"/>
        </w:rPr>
        <w:tab/>
        <w:t>Caso Nº</w:t>
      </w:r>
      <w:r w:rsidR="00162CE1" w:rsidRPr="006B547D">
        <w:rPr>
          <w:rFonts w:ascii="Cambria" w:hAnsi="Cambria" w:cs="Calibri"/>
          <w:b/>
          <w:sz w:val="20"/>
          <w:szCs w:val="20"/>
          <w:lang w:val="es-ES"/>
        </w:rPr>
        <w:t xml:space="preserve"> </w:t>
      </w:r>
      <w:r w:rsidR="0041669B" w:rsidRPr="006B547D">
        <w:rPr>
          <w:rFonts w:ascii="Cambria" w:hAnsi="Cambria" w:cs="Calibri"/>
          <w:b/>
          <w:sz w:val="20"/>
          <w:szCs w:val="20"/>
          <w:lang w:val="es-ES"/>
        </w:rPr>
        <w:t>11.641</w:t>
      </w:r>
    </w:p>
    <w:p w14:paraId="36525ACA" w14:textId="77777777" w:rsidR="004A2758" w:rsidRPr="006B547D" w:rsidRDefault="0041669B" w:rsidP="007929FF">
      <w:pPr>
        <w:spacing w:after="0" w:line="240" w:lineRule="auto"/>
        <w:ind w:firstLine="720"/>
        <w:jc w:val="both"/>
        <w:rPr>
          <w:rFonts w:ascii="Cambria" w:hAnsi="Cambria" w:cs="Calibri"/>
          <w:b/>
          <w:sz w:val="20"/>
          <w:szCs w:val="20"/>
          <w:lang w:val="es-ES"/>
        </w:rPr>
      </w:pPr>
      <w:r w:rsidRPr="006B547D">
        <w:rPr>
          <w:rFonts w:ascii="Cambria" w:hAnsi="Cambria" w:cs="Calibri"/>
          <w:b/>
          <w:sz w:val="20"/>
          <w:szCs w:val="20"/>
          <w:lang w:val="es-ES"/>
        </w:rPr>
        <w:t>Pedro Julio Movilla Galarcio y Familiares</w:t>
      </w:r>
    </w:p>
    <w:p w14:paraId="1071BF2B" w14:textId="77777777" w:rsidR="004A2758" w:rsidRPr="006B547D" w:rsidRDefault="00267588" w:rsidP="007929FF">
      <w:pPr>
        <w:spacing w:after="0" w:line="240" w:lineRule="auto"/>
        <w:ind w:firstLine="720"/>
        <w:jc w:val="both"/>
        <w:rPr>
          <w:rFonts w:ascii="Cambria" w:hAnsi="Cambria" w:cs="Calibri"/>
          <w:b/>
          <w:sz w:val="20"/>
          <w:szCs w:val="20"/>
          <w:lang w:val="es-ES"/>
        </w:rPr>
      </w:pPr>
      <w:r w:rsidRPr="006B547D">
        <w:rPr>
          <w:rFonts w:ascii="Cambria" w:hAnsi="Cambria" w:cs="Calibri"/>
          <w:b/>
          <w:sz w:val="20"/>
          <w:szCs w:val="20"/>
          <w:lang w:val="es-ES"/>
        </w:rPr>
        <w:t>Colombia</w:t>
      </w:r>
    </w:p>
    <w:p w14:paraId="76BF888B" w14:textId="77777777" w:rsidR="0042403B" w:rsidRPr="006B547D" w:rsidRDefault="004A2758" w:rsidP="007929FF">
      <w:pPr>
        <w:spacing w:after="0" w:line="240" w:lineRule="auto"/>
        <w:jc w:val="both"/>
        <w:rPr>
          <w:rFonts w:ascii="Cambria" w:hAnsi="Cambria" w:cs="Calibri"/>
          <w:b/>
          <w:sz w:val="20"/>
          <w:szCs w:val="20"/>
          <w:lang w:val="es-ES"/>
        </w:rPr>
      </w:pPr>
      <w:r w:rsidRPr="006B547D">
        <w:rPr>
          <w:rFonts w:ascii="Cambria" w:hAnsi="Cambria" w:cs="Calibri"/>
          <w:b/>
          <w:sz w:val="20"/>
          <w:szCs w:val="20"/>
          <w:lang w:val="es-ES"/>
        </w:rPr>
        <w:tab/>
      </w:r>
    </w:p>
    <w:p w14:paraId="2CE637FB" w14:textId="77777777" w:rsidR="000007A2" w:rsidRPr="006B547D" w:rsidRDefault="000007A2" w:rsidP="007929FF">
      <w:pPr>
        <w:spacing w:after="0" w:line="240" w:lineRule="auto"/>
        <w:jc w:val="both"/>
        <w:rPr>
          <w:rFonts w:ascii="Cambria" w:hAnsi="Cambria" w:cs="Calibri"/>
          <w:b/>
          <w:sz w:val="20"/>
          <w:szCs w:val="20"/>
          <w:lang w:val="es-ES"/>
        </w:rPr>
      </w:pPr>
    </w:p>
    <w:p w14:paraId="16FE58D9" w14:textId="77777777" w:rsidR="00162CE1" w:rsidRPr="006B547D" w:rsidRDefault="00162CE1" w:rsidP="007929FF">
      <w:pPr>
        <w:spacing w:after="0" w:line="240" w:lineRule="auto"/>
        <w:jc w:val="both"/>
        <w:rPr>
          <w:rFonts w:ascii="Cambria" w:hAnsi="Cambria" w:cs="Calibri"/>
          <w:sz w:val="20"/>
          <w:szCs w:val="20"/>
          <w:lang w:val="es-ES"/>
        </w:rPr>
      </w:pPr>
      <w:r w:rsidRPr="006B547D">
        <w:rPr>
          <w:rFonts w:ascii="Cambria" w:hAnsi="Cambria" w:cs="Calibri"/>
          <w:sz w:val="20"/>
          <w:szCs w:val="20"/>
          <w:lang w:val="es-ES"/>
        </w:rPr>
        <w:t>Señor Secretario:</w:t>
      </w:r>
    </w:p>
    <w:p w14:paraId="36A34D4E" w14:textId="77777777" w:rsidR="00162CE1" w:rsidRPr="006B547D" w:rsidRDefault="00162CE1" w:rsidP="007929FF">
      <w:pPr>
        <w:spacing w:after="0" w:line="240" w:lineRule="auto"/>
        <w:jc w:val="both"/>
        <w:rPr>
          <w:rFonts w:ascii="Cambria" w:hAnsi="Cambria" w:cs="Calibri"/>
          <w:sz w:val="20"/>
          <w:szCs w:val="20"/>
          <w:lang w:val="es-ES"/>
        </w:rPr>
      </w:pPr>
    </w:p>
    <w:p w14:paraId="31D98653" w14:textId="77777777" w:rsidR="00016A29" w:rsidRPr="006B547D" w:rsidRDefault="00162CE1" w:rsidP="007929FF">
      <w:pPr>
        <w:spacing w:after="0" w:line="240" w:lineRule="auto"/>
        <w:ind w:firstLine="720"/>
        <w:jc w:val="both"/>
        <w:rPr>
          <w:rFonts w:ascii="Cambria" w:hAnsi="Cambria"/>
          <w:sz w:val="20"/>
          <w:szCs w:val="20"/>
          <w:lang w:val="es-ES"/>
        </w:rPr>
      </w:pPr>
      <w:r w:rsidRPr="006B547D">
        <w:rPr>
          <w:rFonts w:ascii="Cambria" w:hAnsi="Cambria" w:cs="Calibri"/>
          <w:sz w:val="20"/>
          <w:szCs w:val="20"/>
          <w:lang w:val="es-ES"/>
        </w:rPr>
        <w:t>Tengo el agrado de dirigirme a usted</w:t>
      </w:r>
      <w:r w:rsidR="0042403B" w:rsidRPr="006B547D">
        <w:rPr>
          <w:rFonts w:ascii="Cambria" w:hAnsi="Cambria" w:cs="Calibri"/>
          <w:sz w:val="20"/>
          <w:szCs w:val="20"/>
          <w:lang w:val="es-ES"/>
        </w:rPr>
        <w:t>,</w:t>
      </w:r>
      <w:r w:rsidRPr="006B547D">
        <w:rPr>
          <w:rFonts w:ascii="Cambria" w:hAnsi="Cambria" w:cs="Calibri"/>
          <w:sz w:val="20"/>
          <w:szCs w:val="20"/>
          <w:lang w:val="es-ES"/>
        </w:rPr>
        <w:t xml:space="preserve"> en nombre de la Comisión Interamericana de Derechos Humanos</w:t>
      </w:r>
      <w:r w:rsidR="0042403B" w:rsidRPr="006B547D">
        <w:rPr>
          <w:rFonts w:ascii="Cambria" w:hAnsi="Cambria" w:cs="Calibri"/>
          <w:sz w:val="20"/>
          <w:szCs w:val="20"/>
          <w:lang w:val="es-ES"/>
        </w:rPr>
        <w:t>,</w:t>
      </w:r>
      <w:r w:rsidRPr="006B547D">
        <w:rPr>
          <w:rFonts w:ascii="Cambria" w:hAnsi="Cambria" w:cs="Calibri"/>
          <w:sz w:val="20"/>
          <w:szCs w:val="20"/>
          <w:lang w:val="es-ES"/>
        </w:rPr>
        <w:t xml:space="preserve"> con el objeto de someter a la jurisdicción de la Honorable Corte Interame</w:t>
      </w:r>
      <w:r w:rsidR="009E433A" w:rsidRPr="006B547D">
        <w:rPr>
          <w:rFonts w:ascii="Cambria" w:hAnsi="Cambria" w:cs="Calibri"/>
          <w:sz w:val="20"/>
          <w:szCs w:val="20"/>
          <w:lang w:val="es-ES"/>
        </w:rPr>
        <w:t>ricana de Derechos Humanos, el c</w:t>
      </w:r>
      <w:r w:rsidRPr="006B547D">
        <w:rPr>
          <w:rFonts w:ascii="Cambria" w:hAnsi="Cambria" w:cs="Calibri"/>
          <w:sz w:val="20"/>
          <w:szCs w:val="20"/>
          <w:lang w:val="es-ES"/>
        </w:rPr>
        <w:t xml:space="preserve">aso No. </w:t>
      </w:r>
      <w:bookmarkStart w:id="1" w:name="Peticion_n1"/>
      <w:bookmarkEnd w:id="1"/>
      <w:r w:rsidR="00FB4062" w:rsidRPr="006B547D">
        <w:rPr>
          <w:rFonts w:ascii="Cambria" w:hAnsi="Cambria" w:cs="Calibri"/>
          <w:sz w:val="20"/>
          <w:szCs w:val="20"/>
          <w:lang w:val="es-ES"/>
        </w:rPr>
        <w:t>11.641</w:t>
      </w:r>
      <w:r w:rsidR="00E31CFC" w:rsidRPr="006B547D">
        <w:rPr>
          <w:rFonts w:ascii="Cambria" w:hAnsi="Cambria" w:cs="Calibri"/>
          <w:sz w:val="20"/>
          <w:szCs w:val="20"/>
          <w:lang w:val="es-ES"/>
        </w:rPr>
        <w:t>–</w:t>
      </w:r>
      <w:r w:rsidRPr="006B547D">
        <w:rPr>
          <w:rFonts w:ascii="Cambria" w:hAnsi="Cambria" w:cs="Calibri"/>
          <w:sz w:val="20"/>
          <w:szCs w:val="20"/>
          <w:lang w:val="es-ES"/>
        </w:rPr>
        <w:t xml:space="preserve"> </w:t>
      </w:r>
      <w:r w:rsidR="00FB4062" w:rsidRPr="006B547D">
        <w:rPr>
          <w:rFonts w:ascii="Cambria" w:hAnsi="Cambria" w:cs="Calibri"/>
          <w:sz w:val="20"/>
          <w:szCs w:val="20"/>
          <w:lang w:val="es-ES"/>
        </w:rPr>
        <w:t>Pedro Julio Movilla Galarcio y Familiares</w:t>
      </w:r>
      <w:r w:rsidR="006634BE" w:rsidRPr="006B547D">
        <w:rPr>
          <w:rFonts w:ascii="Cambria" w:hAnsi="Cambria" w:cs="Calibri"/>
          <w:sz w:val="20"/>
          <w:szCs w:val="20"/>
          <w:lang w:val="es-ES"/>
        </w:rPr>
        <w:t>,</w:t>
      </w:r>
      <w:r w:rsidR="009E433A" w:rsidRPr="006B547D">
        <w:rPr>
          <w:rFonts w:ascii="Cambria" w:hAnsi="Cambria" w:cs="Calibri"/>
          <w:sz w:val="20"/>
          <w:szCs w:val="20"/>
          <w:lang w:val="es-ES"/>
        </w:rPr>
        <w:t xml:space="preserve"> </w:t>
      </w:r>
      <w:r w:rsidR="00314D82" w:rsidRPr="006B547D">
        <w:rPr>
          <w:rFonts w:ascii="Cambria" w:hAnsi="Cambria" w:cs="Calibri"/>
          <w:sz w:val="20"/>
          <w:szCs w:val="20"/>
          <w:lang w:val="es-ES"/>
        </w:rPr>
        <w:t xml:space="preserve">respecto </w:t>
      </w:r>
      <w:r w:rsidR="00CB0139" w:rsidRPr="006B547D">
        <w:rPr>
          <w:rFonts w:ascii="Cambria" w:hAnsi="Cambria" w:cs="Calibri"/>
          <w:sz w:val="20"/>
          <w:szCs w:val="20"/>
          <w:lang w:val="es-ES"/>
        </w:rPr>
        <w:t>de</w:t>
      </w:r>
      <w:r w:rsidR="004A2758" w:rsidRPr="006B547D">
        <w:rPr>
          <w:rFonts w:ascii="Cambria" w:hAnsi="Cambria" w:cs="Calibri"/>
          <w:sz w:val="20"/>
          <w:szCs w:val="20"/>
          <w:lang w:val="es-ES"/>
        </w:rPr>
        <w:t xml:space="preserve"> </w:t>
      </w:r>
      <w:r w:rsidR="009E433A" w:rsidRPr="006B547D">
        <w:rPr>
          <w:rFonts w:ascii="Cambria" w:hAnsi="Cambria" w:cs="Calibri"/>
          <w:sz w:val="20"/>
          <w:szCs w:val="20"/>
          <w:lang w:val="es-ES"/>
        </w:rPr>
        <w:t>l</w:t>
      </w:r>
      <w:r w:rsidR="004A2758" w:rsidRPr="006B547D">
        <w:rPr>
          <w:rFonts w:ascii="Cambria" w:hAnsi="Cambria" w:cs="Calibri"/>
          <w:sz w:val="20"/>
          <w:szCs w:val="20"/>
          <w:lang w:val="es-ES"/>
        </w:rPr>
        <w:t xml:space="preserve">a República </w:t>
      </w:r>
      <w:r w:rsidR="00FB4062" w:rsidRPr="006B547D">
        <w:rPr>
          <w:rFonts w:ascii="Cambria" w:hAnsi="Cambria" w:cs="Calibri"/>
          <w:sz w:val="20"/>
          <w:szCs w:val="20"/>
          <w:lang w:val="es-ES"/>
        </w:rPr>
        <w:t>de Colombia</w:t>
      </w:r>
      <w:r w:rsidRPr="006B547D">
        <w:rPr>
          <w:rFonts w:ascii="Cambria" w:hAnsi="Cambria" w:cs="Calibri"/>
          <w:sz w:val="20"/>
          <w:szCs w:val="20"/>
          <w:lang w:val="es-ES"/>
        </w:rPr>
        <w:t xml:space="preserve"> (en adelante “el Estado”, “el Estado </w:t>
      </w:r>
      <w:r w:rsidR="00FB4062" w:rsidRPr="006B547D">
        <w:rPr>
          <w:rFonts w:ascii="Cambria" w:hAnsi="Cambria" w:cs="Calibri"/>
          <w:sz w:val="20"/>
          <w:szCs w:val="20"/>
          <w:lang w:val="es-ES"/>
        </w:rPr>
        <w:t>colombiano</w:t>
      </w:r>
      <w:r w:rsidRPr="006B547D">
        <w:rPr>
          <w:rFonts w:ascii="Cambria" w:hAnsi="Cambria" w:cs="Calibri"/>
          <w:sz w:val="20"/>
          <w:szCs w:val="20"/>
          <w:lang w:val="es-ES"/>
        </w:rPr>
        <w:t>” o “</w:t>
      </w:r>
      <w:r w:rsidR="00FB4062" w:rsidRPr="006B547D">
        <w:rPr>
          <w:rFonts w:ascii="Cambria" w:hAnsi="Cambria" w:cs="Calibri"/>
          <w:sz w:val="20"/>
          <w:szCs w:val="20"/>
          <w:lang w:val="es-ES"/>
        </w:rPr>
        <w:t>Colombia</w:t>
      </w:r>
      <w:r w:rsidR="00841C56" w:rsidRPr="006B547D">
        <w:rPr>
          <w:rFonts w:ascii="Cambria" w:hAnsi="Cambria" w:cs="Calibri"/>
          <w:sz w:val="20"/>
          <w:szCs w:val="20"/>
          <w:lang w:val="es-ES"/>
        </w:rPr>
        <w:t>”).</w:t>
      </w:r>
      <w:r w:rsidR="00E00544" w:rsidRPr="006B547D">
        <w:rPr>
          <w:rFonts w:ascii="Cambria" w:hAnsi="Cambria" w:cs="Calibri"/>
          <w:sz w:val="20"/>
          <w:szCs w:val="20"/>
          <w:lang w:val="es-ES"/>
        </w:rPr>
        <w:t xml:space="preserve"> </w:t>
      </w:r>
      <w:r w:rsidR="00841C56" w:rsidRPr="006B547D">
        <w:rPr>
          <w:rFonts w:ascii="Cambria" w:hAnsi="Cambria" w:cs="Calibri"/>
          <w:sz w:val="20"/>
          <w:szCs w:val="20"/>
          <w:lang w:val="es-ES"/>
        </w:rPr>
        <w:t>El caso se relaciona con</w:t>
      </w:r>
      <w:r w:rsidR="00841C56" w:rsidRPr="006B547D">
        <w:rPr>
          <w:rFonts w:ascii="Cambria" w:hAnsi="Cambria"/>
          <w:sz w:val="20"/>
          <w:szCs w:val="20"/>
          <w:lang w:val="es-ES"/>
        </w:rPr>
        <w:t xml:space="preserve"> </w:t>
      </w:r>
      <w:r w:rsidRPr="006B547D">
        <w:rPr>
          <w:rFonts w:ascii="Cambria" w:hAnsi="Cambria" w:cs="Calibri"/>
          <w:sz w:val="20"/>
          <w:szCs w:val="20"/>
          <w:lang w:val="es-ES"/>
        </w:rPr>
        <w:t xml:space="preserve">la responsabilidad internacional del Estado por </w:t>
      </w:r>
      <w:r w:rsidR="00016A29" w:rsidRPr="006B547D">
        <w:rPr>
          <w:rFonts w:ascii="Cambria" w:hAnsi="Cambria"/>
          <w:sz w:val="20"/>
          <w:szCs w:val="20"/>
          <w:lang w:val="es-CO"/>
        </w:rPr>
        <w:t xml:space="preserve">la desaparición forzada de Pedro Julio Movilla, </w:t>
      </w:r>
      <w:r w:rsidR="00016A29" w:rsidRPr="006B547D">
        <w:rPr>
          <w:rFonts w:ascii="Cambria" w:hAnsi="Cambria"/>
          <w:sz w:val="20"/>
          <w:szCs w:val="20"/>
          <w:lang w:val="es-ES"/>
        </w:rPr>
        <w:t xml:space="preserve">líder sindical, militante </w:t>
      </w:r>
      <w:r w:rsidR="00C158C4" w:rsidRPr="006B547D">
        <w:rPr>
          <w:rFonts w:ascii="Cambria" w:hAnsi="Cambria"/>
          <w:sz w:val="20"/>
          <w:szCs w:val="20"/>
          <w:lang w:val="es-ES"/>
        </w:rPr>
        <w:t xml:space="preserve">del partido </w:t>
      </w:r>
      <w:r w:rsidR="00016A29" w:rsidRPr="006B547D">
        <w:rPr>
          <w:rFonts w:ascii="Cambria" w:hAnsi="Cambria"/>
          <w:sz w:val="20"/>
          <w:szCs w:val="20"/>
          <w:lang w:val="es-ES"/>
        </w:rPr>
        <w:t xml:space="preserve">político de izquierda </w:t>
      </w:r>
      <w:r w:rsidR="00C158C4" w:rsidRPr="006B547D">
        <w:rPr>
          <w:rFonts w:ascii="Cambria" w:hAnsi="Cambria"/>
          <w:sz w:val="20"/>
          <w:szCs w:val="20"/>
          <w:lang w:val="es-ES"/>
        </w:rPr>
        <w:t xml:space="preserve">PCC-ML, </w:t>
      </w:r>
      <w:r w:rsidR="00016A29" w:rsidRPr="006B547D">
        <w:rPr>
          <w:rFonts w:ascii="Cambria" w:hAnsi="Cambria"/>
          <w:sz w:val="20"/>
          <w:szCs w:val="20"/>
          <w:lang w:val="es-ES"/>
        </w:rPr>
        <w:t>y activista social colombiano</w:t>
      </w:r>
      <w:r w:rsidR="00026A1E" w:rsidRPr="006B547D">
        <w:rPr>
          <w:rFonts w:ascii="Cambria" w:hAnsi="Cambria"/>
          <w:sz w:val="20"/>
          <w:szCs w:val="20"/>
          <w:lang w:val="es-ES"/>
        </w:rPr>
        <w:t>,</w:t>
      </w:r>
      <w:r w:rsidR="00016A29" w:rsidRPr="006B547D">
        <w:rPr>
          <w:rFonts w:ascii="Cambria" w:hAnsi="Cambria"/>
          <w:sz w:val="20"/>
          <w:szCs w:val="20"/>
          <w:lang w:val="es-ES"/>
        </w:rPr>
        <w:t xml:space="preserve"> ocurrida el 13 de mayo de 1993. </w:t>
      </w:r>
    </w:p>
    <w:p w14:paraId="0102E198" w14:textId="77777777" w:rsidR="00016A29" w:rsidRPr="006B547D" w:rsidRDefault="00016A29" w:rsidP="007929FF">
      <w:pPr>
        <w:spacing w:after="0" w:line="240" w:lineRule="auto"/>
        <w:ind w:firstLine="720"/>
        <w:jc w:val="both"/>
        <w:rPr>
          <w:rFonts w:ascii="Cambria" w:hAnsi="Cambria"/>
          <w:sz w:val="20"/>
          <w:szCs w:val="20"/>
          <w:lang w:val="es-ES"/>
        </w:rPr>
      </w:pPr>
    </w:p>
    <w:p w14:paraId="6695239D" w14:textId="77777777" w:rsidR="0036203F" w:rsidRPr="006B547D" w:rsidRDefault="007C5B64" w:rsidP="007929FF">
      <w:pPr>
        <w:spacing w:after="0" w:line="240" w:lineRule="auto"/>
        <w:ind w:firstLine="720"/>
        <w:jc w:val="both"/>
        <w:rPr>
          <w:rFonts w:ascii="Cambria" w:hAnsi="Cambria"/>
          <w:sz w:val="20"/>
          <w:szCs w:val="20"/>
          <w:lang w:val="es-ES"/>
        </w:rPr>
      </w:pPr>
      <w:r w:rsidRPr="006B547D">
        <w:rPr>
          <w:rFonts w:ascii="Cambria" w:hAnsi="Cambria"/>
          <w:sz w:val="20"/>
          <w:szCs w:val="20"/>
          <w:lang w:val="es-ES"/>
        </w:rPr>
        <w:t>En su informe de fondo</w:t>
      </w:r>
      <w:r w:rsidR="000C1C01" w:rsidRPr="006B547D">
        <w:rPr>
          <w:rFonts w:ascii="Cambria" w:hAnsi="Cambria"/>
          <w:sz w:val="20"/>
          <w:szCs w:val="20"/>
          <w:lang w:val="es-ES"/>
        </w:rPr>
        <w:t xml:space="preserve"> 149/18</w:t>
      </w:r>
      <w:r w:rsidRPr="006B547D">
        <w:rPr>
          <w:rFonts w:ascii="Cambria" w:hAnsi="Cambria"/>
          <w:sz w:val="20"/>
          <w:szCs w:val="20"/>
          <w:lang w:val="es-ES"/>
        </w:rPr>
        <w:t xml:space="preserve">, la Comisión determinó que existen múltiples elementos indiciarios, circunstanciales y de contexto para atribuir la desaparición de la víctima al Estado. </w:t>
      </w:r>
      <w:r w:rsidR="00CB24C8" w:rsidRPr="006B547D">
        <w:rPr>
          <w:rFonts w:ascii="Cambria" w:hAnsi="Cambria"/>
          <w:sz w:val="20"/>
          <w:szCs w:val="20"/>
          <w:lang w:val="es-ES"/>
        </w:rPr>
        <w:t>Así, l</w:t>
      </w:r>
      <w:r w:rsidRPr="006B547D">
        <w:rPr>
          <w:rFonts w:ascii="Cambria" w:hAnsi="Cambria"/>
          <w:sz w:val="20"/>
          <w:szCs w:val="20"/>
          <w:lang w:val="es-ES"/>
        </w:rPr>
        <w:t>a Comisión resaltó que a</w:t>
      </w:r>
      <w:r w:rsidR="00016A29" w:rsidRPr="006B547D">
        <w:rPr>
          <w:rFonts w:ascii="Cambria" w:hAnsi="Cambria"/>
          <w:sz w:val="20"/>
          <w:szCs w:val="20"/>
          <w:lang w:val="es-ES"/>
        </w:rPr>
        <w:t xml:space="preserve"> la época de los hechos, existió un contexto de persecución </w:t>
      </w:r>
      <w:r w:rsidR="00267588" w:rsidRPr="006B547D">
        <w:rPr>
          <w:rFonts w:ascii="Cambria" w:hAnsi="Cambria"/>
          <w:sz w:val="20"/>
          <w:szCs w:val="20"/>
          <w:lang w:val="es-ES"/>
        </w:rPr>
        <w:t xml:space="preserve">específico </w:t>
      </w:r>
      <w:r w:rsidR="00016A29" w:rsidRPr="006B547D">
        <w:rPr>
          <w:rFonts w:ascii="Cambria" w:hAnsi="Cambria"/>
          <w:sz w:val="20"/>
          <w:szCs w:val="20"/>
          <w:lang w:val="es-ES"/>
        </w:rPr>
        <w:t>contra las personas con el perfil político y social del señor Movilla</w:t>
      </w:r>
      <w:r w:rsidR="00345680" w:rsidRPr="006B547D">
        <w:rPr>
          <w:rFonts w:ascii="Cambria" w:hAnsi="Cambria"/>
          <w:sz w:val="20"/>
          <w:szCs w:val="20"/>
          <w:lang w:val="es-ES"/>
        </w:rPr>
        <w:t xml:space="preserve">. En particular, </w:t>
      </w:r>
      <w:r w:rsidR="0036203F" w:rsidRPr="006B547D">
        <w:rPr>
          <w:rFonts w:ascii="Cambria" w:hAnsi="Cambria"/>
          <w:sz w:val="20"/>
          <w:szCs w:val="20"/>
          <w:lang w:val="es-ES"/>
        </w:rPr>
        <w:t xml:space="preserve">la Comisión </w:t>
      </w:r>
      <w:r w:rsidR="00345680" w:rsidRPr="006B547D">
        <w:rPr>
          <w:rFonts w:ascii="Cambria" w:hAnsi="Cambria"/>
          <w:sz w:val="20"/>
          <w:szCs w:val="20"/>
          <w:lang w:val="es-ES"/>
        </w:rPr>
        <w:t>consideró que confluían al menos tres contextos relevantes a efectos del caso</w:t>
      </w:r>
      <w:r w:rsidR="0036203F" w:rsidRPr="006B547D">
        <w:rPr>
          <w:rFonts w:ascii="Cambria" w:hAnsi="Cambria"/>
          <w:sz w:val="20"/>
          <w:szCs w:val="20"/>
          <w:lang w:val="es-ES"/>
        </w:rPr>
        <w:t>:</w:t>
      </w:r>
      <w:r w:rsidR="00345680" w:rsidRPr="006B547D">
        <w:rPr>
          <w:rFonts w:ascii="Cambria" w:hAnsi="Cambria"/>
          <w:sz w:val="20"/>
          <w:szCs w:val="20"/>
          <w:lang w:val="es-ES"/>
        </w:rPr>
        <w:t xml:space="preserve"> el contexto relativo a la identificación de sindicalistas dentro de la noción de enemigo interno en los manuales estatales de inteligencia y contraguerrilla; la violencia política en Colombia, que derivó en alarmantes cifras de ejecuciones y desapariciones de personas vinculadas con ciertos partidos políticos con las características del PCC-ML</w:t>
      </w:r>
      <w:r w:rsidR="0036203F" w:rsidRPr="006B547D">
        <w:rPr>
          <w:rFonts w:ascii="Cambria" w:hAnsi="Cambria"/>
          <w:sz w:val="20"/>
          <w:szCs w:val="20"/>
          <w:lang w:val="es-ES"/>
        </w:rPr>
        <w:t>; y l</w:t>
      </w:r>
      <w:r w:rsidR="00345680" w:rsidRPr="006B547D">
        <w:rPr>
          <w:rFonts w:ascii="Cambria" w:hAnsi="Cambria"/>
          <w:sz w:val="20"/>
          <w:szCs w:val="20"/>
          <w:lang w:val="es-ES"/>
        </w:rPr>
        <w:t xml:space="preserve">a alta incidencia de </w:t>
      </w:r>
      <w:r w:rsidR="0036203F" w:rsidRPr="006B547D">
        <w:rPr>
          <w:rFonts w:ascii="Cambria" w:hAnsi="Cambria"/>
          <w:sz w:val="20"/>
          <w:szCs w:val="20"/>
          <w:lang w:val="es-ES"/>
        </w:rPr>
        <w:t xml:space="preserve">desapariciones </w:t>
      </w:r>
      <w:r w:rsidR="00345680" w:rsidRPr="006B547D">
        <w:rPr>
          <w:rFonts w:ascii="Cambria" w:hAnsi="Cambria"/>
          <w:sz w:val="20"/>
          <w:szCs w:val="20"/>
          <w:lang w:val="es-ES"/>
        </w:rPr>
        <w:t>forzada</w:t>
      </w:r>
      <w:r w:rsidR="0036203F" w:rsidRPr="006B547D">
        <w:rPr>
          <w:rFonts w:ascii="Cambria" w:hAnsi="Cambria"/>
          <w:sz w:val="20"/>
          <w:szCs w:val="20"/>
          <w:lang w:val="es-ES"/>
        </w:rPr>
        <w:t>s</w:t>
      </w:r>
      <w:r w:rsidR="00345680" w:rsidRPr="006B547D">
        <w:rPr>
          <w:rFonts w:ascii="Cambria" w:hAnsi="Cambria"/>
          <w:sz w:val="20"/>
          <w:szCs w:val="20"/>
          <w:lang w:val="es-ES"/>
        </w:rPr>
        <w:t xml:space="preserve"> en el marco del conflicto armado en Colombia.  </w:t>
      </w:r>
    </w:p>
    <w:p w14:paraId="02841C00" w14:textId="77777777" w:rsidR="0036203F" w:rsidRPr="006B547D" w:rsidRDefault="0036203F" w:rsidP="007929FF">
      <w:pPr>
        <w:spacing w:after="0" w:line="240" w:lineRule="auto"/>
        <w:ind w:firstLine="720"/>
        <w:jc w:val="both"/>
        <w:rPr>
          <w:rFonts w:ascii="Cambria" w:hAnsi="Cambria"/>
          <w:sz w:val="20"/>
          <w:szCs w:val="20"/>
          <w:lang w:val="es-ES"/>
        </w:rPr>
      </w:pPr>
    </w:p>
    <w:p w14:paraId="2132E266" w14:textId="77777777" w:rsidR="007C5B64" w:rsidRPr="006B547D" w:rsidRDefault="007C5B64" w:rsidP="007929FF">
      <w:pPr>
        <w:spacing w:after="0" w:line="240" w:lineRule="auto"/>
        <w:ind w:firstLine="720"/>
        <w:jc w:val="both"/>
        <w:rPr>
          <w:rFonts w:ascii="Cambria" w:hAnsi="Cambria"/>
          <w:sz w:val="20"/>
          <w:szCs w:val="20"/>
          <w:lang w:val="es-ES"/>
        </w:rPr>
      </w:pPr>
      <w:r w:rsidRPr="006B547D">
        <w:rPr>
          <w:rFonts w:ascii="Cambria" w:hAnsi="Cambria"/>
          <w:sz w:val="20"/>
          <w:szCs w:val="20"/>
          <w:lang w:val="es-ES"/>
        </w:rPr>
        <w:t xml:space="preserve">Asimismo, la Comisión </w:t>
      </w:r>
      <w:r w:rsidR="00016A29" w:rsidRPr="006B547D">
        <w:rPr>
          <w:rFonts w:ascii="Cambria" w:hAnsi="Cambria"/>
          <w:sz w:val="20"/>
          <w:szCs w:val="20"/>
          <w:lang w:val="es-ES"/>
        </w:rPr>
        <w:t>corrobor</w:t>
      </w:r>
      <w:r w:rsidR="00566D01" w:rsidRPr="006B547D">
        <w:rPr>
          <w:rFonts w:ascii="Cambria" w:hAnsi="Cambria"/>
          <w:sz w:val="20"/>
          <w:szCs w:val="20"/>
          <w:lang w:val="es-ES"/>
        </w:rPr>
        <w:t xml:space="preserve">ó </w:t>
      </w:r>
      <w:r w:rsidR="00192DA3" w:rsidRPr="006B547D">
        <w:rPr>
          <w:rFonts w:ascii="Cambria" w:hAnsi="Cambria"/>
          <w:sz w:val="20"/>
          <w:szCs w:val="20"/>
          <w:lang w:val="es-ES"/>
        </w:rPr>
        <w:t>l</w:t>
      </w:r>
      <w:r w:rsidR="00016A29" w:rsidRPr="006B547D">
        <w:rPr>
          <w:rFonts w:ascii="Cambria" w:hAnsi="Cambria"/>
          <w:sz w:val="20"/>
          <w:szCs w:val="20"/>
          <w:lang w:val="es-ES"/>
        </w:rPr>
        <w:t xml:space="preserve">a existencia de otros elementos que apuntaban </w:t>
      </w:r>
      <w:r w:rsidR="0036203F" w:rsidRPr="006B547D">
        <w:rPr>
          <w:rFonts w:ascii="Cambria" w:hAnsi="Cambria"/>
          <w:sz w:val="20"/>
          <w:szCs w:val="20"/>
          <w:lang w:val="es-ES"/>
        </w:rPr>
        <w:t xml:space="preserve">a la </w:t>
      </w:r>
      <w:r w:rsidR="00016A29" w:rsidRPr="006B547D">
        <w:rPr>
          <w:rFonts w:ascii="Cambria" w:hAnsi="Cambria"/>
          <w:sz w:val="20"/>
          <w:szCs w:val="20"/>
          <w:lang w:val="es-ES"/>
        </w:rPr>
        <w:t xml:space="preserve">persecución </w:t>
      </w:r>
      <w:r w:rsidR="00841C56" w:rsidRPr="006B547D">
        <w:rPr>
          <w:rFonts w:ascii="Cambria" w:hAnsi="Cambria"/>
          <w:sz w:val="20"/>
          <w:szCs w:val="20"/>
          <w:lang w:val="es-ES"/>
        </w:rPr>
        <w:t>sufrida por</w:t>
      </w:r>
      <w:r w:rsidR="00016A29" w:rsidRPr="006B547D">
        <w:rPr>
          <w:rFonts w:ascii="Cambria" w:hAnsi="Cambria"/>
          <w:sz w:val="20"/>
          <w:szCs w:val="20"/>
          <w:lang w:val="es-ES"/>
        </w:rPr>
        <w:t xml:space="preserve"> él y su familia</w:t>
      </w:r>
      <w:r w:rsidRPr="006B547D">
        <w:rPr>
          <w:rFonts w:ascii="Cambria" w:hAnsi="Cambria"/>
          <w:sz w:val="20"/>
          <w:szCs w:val="20"/>
          <w:lang w:val="es-ES"/>
        </w:rPr>
        <w:t>, tales como seguimientos, avistamiento de vehículos desconocidos estacionados fuera de su casa, las advertencias de desconocidos en la calle a la víctima para que se preocup</w:t>
      </w:r>
      <w:r w:rsidR="00CB24C8" w:rsidRPr="006B547D">
        <w:rPr>
          <w:rFonts w:ascii="Cambria" w:hAnsi="Cambria"/>
          <w:sz w:val="20"/>
          <w:szCs w:val="20"/>
          <w:lang w:val="es-ES"/>
        </w:rPr>
        <w:t>ara</w:t>
      </w:r>
      <w:r w:rsidRPr="006B547D">
        <w:rPr>
          <w:rFonts w:ascii="Cambria" w:hAnsi="Cambria"/>
          <w:sz w:val="20"/>
          <w:szCs w:val="20"/>
          <w:lang w:val="es-ES"/>
        </w:rPr>
        <w:t xml:space="preserve"> por su seguridad, entre otros. </w:t>
      </w:r>
      <w:r w:rsidR="00566D01" w:rsidRPr="006B547D">
        <w:rPr>
          <w:rFonts w:ascii="Cambria" w:hAnsi="Cambria"/>
          <w:sz w:val="20"/>
          <w:szCs w:val="20"/>
          <w:lang w:val="es-ES"/>
        </w:rPr>
        <w:t xml:space="preserve"> </w:t>
      </w:r>
      <w:r w:rsidRPr="006B547D">
        <w:rPr>
          <w:rFonts w:ascii="Cambria" w:hAnsi="Cambria"/>
          <w:sz w:val="20"/>
          <w:szCs w:val="20"/>
          <w:lang w:val="es-ES"/>
        </w:rPr>
        <w:t>Sumado a ello, la Comisión tomo en consideración la existencia de actividades de inteligencia por parte de cuerpos de seguridad del Estado, respecto del señor Movilla, las cuales</w:t>
      </w:r>
      <w:r w:rsidR="00CB24C8" w:rsidRPr="006B547D">
        <w:rPr>
          <w:rFonts w:ascii="Cambria" w:hAnsi="Cambria"/>
          <w:sz w:val="20"/>
          <w:szCs w:val="20"/>
          <w:lang w:val="es-ES"/>
        </w:rPr>
        <w:t xml:space="preserve"> lo</w:t>
      </w:r>
      <w:r w:rsidRPr="006B547D">
        <w:rPr>
          <w:rFonts w:ascii="Cambria" w:hAnsi="Cambria"/>
          <w:sz w:val="20"/>
          <w:szCs w:val="20"/>
          <w:lang w:val="es-ES"/>
        </w:rPr>
        <w:t xml:space="preserve"> identificaban con detalles tanto de su labor sindical como de su militancia política, así como una supuesta vinculación a un grupo guerrillero, todo lo cual lo </w:t>
      </w:r>
      <w:r w:rsidR="00CB24C8" w:rsidRPr="006B547D">
        <w:rPr>
          <w:rFonts w:ascii="Cambria" w:hAnsi="Cambria"/>
          <w:sz w:val="20"/>
          <w:szCs w:val="20"/>
          <w:lang w:val="es-ES"/>
        </w:rPr>
        <w:t>colocaba</w:t>
      </w:r>
      <w:r w:rsidRPr="006B547D">
        <w:rPr>
          <w:rFonts w:ascii="Cambria" w:hAnsi="Cambria"/>
          <w:sz w:val="20"/>
          <w:szCs w:val="20"/>
          <w:lang w:val="es-ES"/>
        </w:rPr>
        <w:t xml:space="preserve"> en posición de ser blanco de los cuerpos de seguridad del Estado en la época de los hechos. </w:t>
      </w:r>
    </w:p>
    <w:p w14:paraId="382437F4" w14:textId="77777777" w:rsidR="007C5B64" w:rsidRPr="006B547D" w:rsidRDefault="007C5B64" w:rsidP="007929FF">
      <w:pPr>
        <w:spacing w:after="0" w:line="240" w:lineRule="auto"/>
        <w:ind w:firstLine="720"/>
        <w:jc w:val="both"/>
        <w:rPr>
          <w:rFonts w:ascii="Cambria" w:hAnsi="Cambria"/>
          <w:sz w:val="20"/>
          <w:szCs w:val="20"/>
          <w:lang w:val="es-ES"/>
        </w:rPr>
      </w:pPr>
    </w:p>
    <w:p w14:paraId="60834E66" w14:textId="77777777" w:rsidR="00A71556" w:rsidRPr="006B547D" w:rsidRDefault="00CB24C8" w:rsidP="007929FF">
      <w:pPr>
        <w:spacing w:after="0" w:line="240" w:lineRule="auto"/>
        <w:ind w:firstLine="720"/>
        <w:jc w:val="both"/>
        <w:rPr>
          <w:rFonts w:ascii="Cambria" w:hAnsi="Cambria"/>
          <w:sz w:val="20"/>
          <w:szCs w:val="20"/>
          <w:lang w:val="es-ES"/>
        </w:rPr>
      </w:pPr>
      <w:r w:rsidRPr="006B547D">
        <w:rPr>
          <w:rFonts w:ascii="Cambria" w:hAnsi="Cambria"/>
          <w:sz w:val="20"/>
          <w:szCs w:val="20"/>
          <w:lang w:val="es-ES"/>
        </w:rPr>
        <w:t xml:space="preserve">Frente a los </w:t>
      </w:r>
      <w:r w:rsidR="00226454" w:rsidRPr="006B547D">
        <w:rPr>
          <w:rFonts w:ascii="Cambria" w:hAnsi="Cambria"/>
          <w:sz w:val="20"/>
          <w:szCs w:val="20"/>
          <w:lang w:val="es-ES"/>
        </w:rPr>
        <w:t xml:space="preserve">anteriores aspectos que </w:t>
      </w:r>
      <w:r w:rsidR="00924502" w:rsidRPr="006B547D">
        <w:rPr>
          <w:rFonts w:ascii="Cambria" w:hAnsi="Cambria"/>
          <w:sz w:val="20"/>
          <w:szCs w:val="20"/>
          <w:lang w:val="es-ES"/>
        </w:rPr>
        <w:t>sugieren</w:t>
      </w:r>
      <w:r w:rsidR="00226454" w:rsidRPr="006B547D">
        <w:rPr>
          <w:rFonts w:ascii="Cambria" w:hAnsi="Cambria"/>
          <w:sz w:val="20"/>
          <w:szCs w:val="20"/>
          <w:lang w:val="es-ES"/>
        </w:rPr>
        <w:t xml:space="preserve"> a la participación de agentes estatales en la desaparición de la </w:t>
      </w:r>
      <w:r w:rsidR="00924502" w:rsidRPr="006B547D">
        <w:rPr>
          <w:rFonts w:ascii="Cambria" w:hAnsi="Cambria"/>
          <w:sz w:val="20"/>
          <w:szCs w:val="20"/>
          <w:lang w:val="es-ES"/>
        </w:rPr>
        <w:t>víctima</w:t>
      </w:r>
      <w:r w:rsidRPr="006B547D">
        <w:rPr>
          <w:rFonts w:ascii="Cambria" w:hAnsi="Cambria"/>
          <w:sz w:val="20"/>
          <w:szCs w:val="20"/>
          <w:lang w:val="es-ES"/>
        </w:rPr>
        <w:t xml:space="preserve">, la Comisión observó </w:t>
      </w:r>
      <w:r w:rsidR="00226454" w:rsidRPr="006B547D">
        <w:rPr>
          <w:rFonts w:ascii="Cambria" w:hAnsi="Cambria"/>
          <w:sz w:val="20"/>
          <w:szCs w:val="20"/>
          <w:lang w:val="es-ES"/>
        </w:rPr>
        <w:t>que</w:t>
      </w:r>
      <w:r w:rsidRPr="006B547D">
        <w:rPr>
          <w:rFonts w:ascii="Cambria" w:hAnsi="Cambria"/>
          <w:sz w:val="20"/>
          <w:szCs w:val="20"/>
          <w:lang w:val="es-ES"/>
        </w:rPr>
        <w:t xml:space="preserve"> frente a la noticia de la </w:t>
      </w:r>
      <w:r w:rsidR="00226454" w:rsidRPr="006B547D">
        <w:rPr>
          <w:rFonts w:ascii="Cambria" w:hAnsi="Cambria"/>
          <w:sz w:val="20"/>
          <w:szCs w:val="20"/>
          <w:lang w:val="es-ES"/>
        </w:rPr>
        <w:t>desaparición, existió un</w:t>
      </w:r>
      <w:r w:rsidR="00192DA3" w:rsidRPr="006B547D">
        <w:rPr>
          <w:rFonts w:ascii="Cambria" w:hAnsi="Cambria"/>
          <w:sz w:val="20"/>
          <w:szCs w:val="20"/>
          <w:lang w:val="es-ES"/>
        </w:rPr>
        <w:t xml:space="preserve"> rechazo apresurado del habeas corpus presentado para dar con su paradero</w:t>
      </w:r>
      <w:r w:rsidR="00226454" w:rsidRPr="006B547D">
        <w:rPr>
          <w:rFonts w:ascii="Cambria" w:hAnsi="Cambria"/>
          <w:sz w:val="20"/>
          <w:szCs w:val="20"/>
          <w:lang w:val="es-ES"/>
        </w:rPr>
        <w:t>, con fundamento en la formalidad de no haber identificado el lugar de la detención, cuestión que se tradujo en una negativa a establecer la detención y destino de la víctima. Asimismo, si bien se realizaron</w:t>
      </w:r>
      <w:r w:rsidR="00192DA3" w:rsidRPr="006B547D">
        <w:rPr>
          <w:rFonts w:ascii="Cambria" w:hAnsi="Cambria"/>
          <w:sz w:val="20"/>
          <w:szCs w:val="20"/>
          <w:lang w:val="es-ES"/>
        </w:rPr>
        <w:t xml:space="preserve"> tres visitas realizadas a centros de detención</w:t>
      </w:r>
      <w:r w:rsidR="00A71556" w:rsidRPr="006B547D">
        <w:rPr>
          <w:rFonts w:ascii="Cambria" w:hAnsi="Cambria"/>
          <w:sz w:val="20"/>
          <w:szCs w:val="20"/>
          <w:lang w:val="es-ES"/>
        </w:rPr>
        <w:t>,</w:t>
      </w:r>
      <w:r w:rsidR="00192DA3" w:rsidRPr="006B547D">
        <w:rPr>
          <w:rFonts w:ascii="Cambria" w:hAnsi="Cambria"/>
          <w:sz w:val="20"/>
          <w:szCs w:val="20"/>
          <w:lang w:val="es-ES"/>
        </w:rPr>
        <w:t xml:space="preserve"> en los diez días siguientes a la denuncia de su desaparición, en el marco de la investigación disciplinaria y las visitas a instalaciones de medicina legal, en el marco de la investigación penal, </w:t>
      </w:r>
      <w:r w:rsidR="00226454" w:rsidRPr="006B547D">
        <w:rPr>
          <w:rFonts w:ascii="Cambria" w:hAnsi="Cambria"/>
          <w:sz w:val="20"/>
          <w:szCs w:val="20"/>
          <w:lang w:val="es-ES"/>
        </w:rPr>
        <w:t xml:space="preserve">la Comisión estimó que </w:t>
      </w:r>
      <w:r w:rsidR="00192DA3" w:rsidRPr="006B547D">
        <w:rPr>
          <w:rFonts w:ascii="Cambria" w:hAnsi="Cambria"/>
          <w:sz w:val="20"/>
          <w:szCs w:val="20"/>
          <w:lang w:val="es-ES"/>
        </w:rPr>
        <w:t xml:space="preserve">no fueron suficientes para revelar la suerte o paradero de Pedro Julio Movilla Galarcio. </w:t>
      </w:r>
    </w:p>
    <w:p w14:paraId="28639931" w14:textId="77777777" w:rsidR="00192DA3" w:rsidRPr="006B547D" w:rsidRDefault="00192DA3" w:rsidP="007929FF">
      <w:pPr>
        <w:spacing w:after="0" w:line="240" w:lineRule="auto"/>
        <w:jc w:val="both"/>
        <w:rPr>
          <w:rFonts w:ascii="Cambria" w:hAnsi="Cambria"/>
          <w:sz w:val="20"/>
          <w:szCs w:val="20"/>
          <w:lang w:val="es-ES"/>
        </w:rPr>
      </w:pPr>
    </w:p>
    <w:p w14:paraId="0FF8A321" w14:textId="77777777" w:rsidR="007A593D" w:rsidRPr="006B547D" w:rsidRDefault="007A593D" w:rsidP="007929FF">
      <w:pPr>
        <w:spacing w:after="0" w:line="240" w:lineRule="auto"/>
        <w:jc w:val="both"/>
        <w:rPr>
          <w:rFonts w:ascii="Cambria" w:hAnsi="Cambria"/>
          <w:sz w:val="20"/>
          <w:szCs w:val="20"/>
          <w:lang w:val="es-ES"/>
        </w:rPr>
      </w:pPr>
    </w:p>
    <w:p w14:paraId="5096D08D" w14:textId="77777777" w:rsidR="007A593D" w:rsidRPr="006B547D" w:rsidRDefault="007A593D" w:rsidP="007929FF">
      <w:pPr>
        <w:spacing w:after="0" w:line="240" w:lineRule="auto"/>
        <w:jc w:val="both"/>
        <w:rPr>
          <w:rFonts w:ascii="Cambria" w:hAnsi="Cambria" w:cs="Calibri"/>
          <w:color w:val="000000"/>
          <w:sz w:val="20"/>
          <w:szCs w:val="20"/>
          <w:lang w:val="es-ES"/>
        </w:rPr>
      </w:pPr>
      <w:r w:rsidRPr="006B547D">
        <w:rPr>
          <w:rFonts w:ascii="Cambria" w:hAnsi="Cambria" w:cs="Calibri"/>
          <w:color w:val="000000"/>
          <w:sz w:val="20"/>
          <w:szCs w:val="20"/>
          <w:lang w:val="es-ES"/>
        </w:rPr>
        <w:t>Señor</w:t>
      </w:r>
    </w:p>
    <w:p w14:paraId="44CB8777" w14:textId="77777777" w:rsidR="007A593D" w:rsidRPr="006B547D" w:rsidRDefault="007A593D" w:rsidP="007929FF">
      <w:pPr>
        <w:spacing w:after="0" w:line="240" w:lineRule="auto"/>
        <w:jc w:val="both"/>
        <w:rPr>
          <w:rFonts w:ascii="Cambria" w:hAnsi="Cambria" w:cs="Calibri"/>
          <w:color w:val="000000"/>
          <w:sz w:val="20"/>
          <w:szCs w:val="20"/>
          <w:lang w:val="es-ES"/>
        </w:rPr>
      </w:pPr>
      <w:r w:rsidRPr="006B547D">
        <w:rPr>
          <w:rFonts w:ascii="Cambria" w:hAnsi="Cambria" w:cs="Calibri"/>
          <w:color w:val="000000"/>
          <w:sz w:val="20"/>
          <w:szCs w:val="20"/>
          <w:lang w:val="es-ES"/>
        </w:rPr>
        <w:t>Pablo Saavedra Alessandri</w:t>
      </w:r>
    </w:p>
    <w:p w14:paraId="4F18BCB1" w14:textId="77777777" w:rsidR="007A593D" w:rsidRPr="006B547D" w:rsidRDefault="007A593D" w:rsidP="007929FF">
      <w:pPr>
        <w:spacing w:after="0" w:line="240" w:lineRule="auto"/>
        <w:jc w:val="both"/>
        <w:rPr>
          <w:rFonts w:ascii="Cambria" w:hAnsi="Cambria" w:cs="Calibri"/>
          <w:color w:val="000000"/>
          <w:sz w:val="20"/>
          <w:szCs w:val="20"/>
          <w:lang w:val="es-ES"/>
        </w:rPr>
      </w:pPr>
      <w:r w:rsidRPr="006B547D">
        <w:rPr>
          <w:rFonts w:ascii="Cambria" w:hAnsi="Cambria" w:cs="Calibri"/>
          <w:color w:val="000000"/>
          <w:sz w:val="20"/>
          <w:szCs w:val="20"/>
          <w:lang w:val="es-ES"/>
        </w:rPr>
        <w:t>Secretario</w:t>
      </w:r>
    </w:p>
    <w:p w14:paraId="030BB1B0" w14:textId="77777777" w:rsidR="007A593D" w:rsidRPr="006B547D" w:rsidRDefault="007A593D" w:rsidP="007929FF">
      <w:pPr>
        <w:spacing w:after="0" w:line="240" w:lineRule="auto"/>
        <w:jc w:val="both"/>
        <w:rPr>
          <w:rFonts w:ascii="Cambria" w:hAnsi="Cambria" w:cs="Calibri"/>
          <w:color w:val="000000"/>
          <w:sz w:val="20"/>
          <w:szCs w:val="20"/>
          <w:lang w:val="es-ES"/>
        </w:rPr>
      </w:pPr>
      <w:r w:rsidRPr="006B547D">
        <w:rPr>
          <w:rFonts w:ascii="Cambria" w:hAnsi="Cambria" w:cs="Calibri"/>
          <w:color w:val="000000"/>
          <w:sz w:val="20"/>
          <w:szCs w:val="20"/>
          <w:lang w:val="es-ES"/>
        </w:rPr>
        <w:t>Corte Interamericana de Derechos Humanos</w:t>
      </w:r>
    </w:p>
    <w:p w14:paraId="72AC692D" w14:textId="77777777" w:rsidR="007A593D" w:rsidRPr="006B547D" w:rsidRDefault="007A593D" w:rsidP="007929FF">
      <w:pPr>
        <w:spacing w:after="0" w:line="240" w:lineRule="auto"/>
        <w:jc w:val="both"/>
        <w:rPr>
          <w:rFonts w:ascii="Cambria" w:hAnsi="Cambria" w:cs="Calibri"/>
          <w:color w:val="000000"/>
          <w:sz w:val="20"/>
          <w:szCs w:val="20"/>
          <w:lang w:val="es-ES"/>
        </w:rPr>
      </w:pPr>
      <w:r w:rsidRPr="006B547D">
        <w:rPr>
          <w:rFonts w:ascii="Cambria" w:hAnsi="Cambria" w:cs="Calibri"/>
          <w:color w:val="000000"/>
          <w:sz w:val="20"/>
          <w:szCs w:val="20"/>
          <w:lang w:val="es-ES"/>
        </w:rPr>
        <w:t>San José, Costa Rica</w:t>
      </w:r>
    </w:p>
    <w:p w14:paraId="5B4BE50D" w14:textId="77777777" w:rsidR="007A593D" w:rsidRPr="006B547D" w:rsidRDefault="007A593D" w:rsidP="007929FF">
      <w:pPr>
        <w:spacing w:after="0" w:line="240" w:lineRule="auto"/>
        <w:ind w:firstLine="720"/>
        <w:jc w:val="both"/>
        <w:rPr>
          <w:rFonts w:ascii="Cambria" w:hAnsi="Cambria"/>
          <w:sz w:val="20"/>
          <w:szCs w:val="20"/>
          <w:lang w:val="es-ES"/>
        </w:rPr>
      </w:pPr>
    </w:p>
    <w:p w14:paraId="099EFE51" w14:textId="77777777" w:rsidR="00E1313B" w:rsidRDefault="00E1313B" w:rsidP="007929FF">
      <w:pPr>
        <w:spacing w:after="0" w:line="240" w:lineRule="auto"/>
        <w:ind w:firstLine="720"/>
        <w:jc w:val="both"/>
        <w:rPr>
          <w:rFonts w:ascii="Cambria" w:hAnsi="Cambria"/>
          <w:sz w:val="20"/>
          <w:szCs w:val="20"/>
          <w:lang w:val="es-ES"/>
        </w:rPr>
      </w:pPr>
    </w:p>
    <w:p w14:paraId="338F0DB1" w14:textId="77777777" w:rsidR="00226454" w:rsidRPr="006B547D" w:rsidRDefault="00226454" w:rsidP="007929FF">
      <w:pPr>
        <w:spacing w:after="0" w:line="240" w:lineRule="auto"/>
        <w:ind w:firstLine="720"/>
        <w:jc w:val="both"/>
        <w:rPr>
          <w:rFonts w:ascii="Cambria" w:hAnsi="Cambria"/>
          <w:sz w:val="20"/>
          <w:szCs w:val="20"/>
          <w:lang w:val="es-ES"/>
        </w:rPr>
      </w:pPr>
      <w:r w:rsidRPr="006B547D">
        <w:rPr>
          <w:rFonts w:ascii="Cambria" w:hAnsi="Cambria"/>
          <w:sz w:val="20"/>
          <w:szCs w:val="20"/>
          <w:lang w:val="es-ES"/>
        </w:rPr>
        <w:lastRenderedPageBreak/>
        <w:t>La Comisión observó que las siguien</w:t>
      </w:r>
      <w:r w:rsidR="00CF0828">
        <w:rPr>
          <w:rFonts w:ascii="Cambria" w:hAnsi="Cambria"/>
          <w:sz w:val="20"/>
          <w:szCs w:val="20"/>
          <w:lang w:val="es-ES"/>
        </w:rPr>
        <w:t>tes acciones practicadas para la</w:t>
      </w:r>
      <w:r w:rsidRPr="006B547D">
        <w:rPr>
          <w:rFonts w:ascii="Cambria" w:hAnsi="Cambria"/>
          <w:sz w:val="20"/>
          <w:szCs w:val="20"/>
          <w:lang w:val="es-ES"/>
        </w:rPr>
        <w:t xml:space="preserve"> ubicación física</w:t>
      </w:r>
      <w:r w:rsidR="00924502" w:rsidRPr="006B547D">
        <w:rPr>
          <w:rFonts w:ascii="Cambria" w:hAnsi="Cambria"/>
          <w:sz w:val="20"/>
          <w:szCs w:val="20"/>
          <w:lang w:val="es-ES"/>
        </w:rPr>
        <w:t xml:space="preserve"> </w:t>
      </w:r>
      <w:r w:rsidR="00CF0828">
        <w:rPr>
          <w:rFonts w:ascii="Cambria" w:hAnsi="Cambria"/>
          <w:sz w:val="20"/>
          <w:szCs w:val="20"/>
          <w:lang w:val="es-ES"/>
        </w:rPr>
        <w:t xml:space="preserve">de la víctima </w:t>
      </w:r>
      <w:r w:rsidR="00924502" w:rsidRPr="006B547D">
        <w:rPr>
          <w:rFonts w:ascii="Cambria" w:hAnsi="Cambria"/>
          <w:sz w:val="20"/>
          <w:szCs w:val="20"/>
          <w:lang w:val="es-ES"/>
        </w:rPr>
        <w:t>solo</w:t>
      </w:r>
      <w:r w:rsidRPr="006B547D">
        <w:rPr>
          <w:rFonts w:ascii="Cambria" w:hAnsi="Cambria"/>
          <w:sz w:val="20"/>
          <w:szCs w:val="20"/>
          <w:lang w:val="es-ES"/>
        </w:rPr>
        <w:t xml:space="preserve"> se realizaron en el año 2008, quince años después, lo que permite afirmar que, en las circunstancias del presente caso, la omisión en buscar diligentemente a la presunta víctima contribuyó al encubrimiento de su detención y destino o paradero.</w:t>
      </w:r>
      <w:r w:rsidRPr="006B547D">
        <w:rPr>
          <w:lang w:val="es-US"/>
        </w:rPr>
        <w:t xml:space="preserve"> </w:t>
      </w:r>
      <w:r w:rsidRPr="006B547D">
        <w:rPr>
          <w:rFonts w:ascii="Cambria" w:hAnsi="Cambria"/>
          <w:sz w:val="20"/>
          <w:szCs w:val="20"/>
          <w:lang w:val="es-US"/>
        </w:rPr>
        <w:t>De igual manera, la Comisión notó que e</w:t>
      </w:r>
      <w:r w:rsidRPr="006B547D">
        <w:rPr>
          <w:rFonts w:ascii="Cambria" w:hAnsi="Cambria"/>
          <w:sz w:val="20"/>
          <w:szCs w:val="20"/>
          <w:lang w:val="es-ES"/>
        </w:rPr>
        <w:t>l Estado no logró explicar la naturaleza de los seguimientos y anotaciones de inteligencia de Pedro Julio Movilla Galarcio y la relación de las mismas con su desaparición, contribuyendo a la incertidumbre y encubrimiento de lo sucedido. A la fecha, no se conoce su destino o paradero.</w:t>
      </w:r>
    </w:p>
    <w:p w14:paraId="120D15D9" w14:textId="77777777" w:rsidR="00FA44E7" w:rsidRPr="006B547D" w:rsidRDefault="00FA44E7" w:rsidP="007929FF">
      <w:pPr>
        <w:spacing w:after="0" w:line="240" w:lineRule="auto"/>
        <w:ind w:firstLine="720"/>
        <w:jc w:val="both"/>
        <w:rPr>
          <w:rFonts w:ascii="Cambria" w:hAnsi="Cambria"/>
          <w:sz w:val="20"/>
          <w:szCs w:val="20"/>
          <w:lang w:val="es-ES"/>
        </w:rPr>
      </w:pPr>
    </w:p>
    <w:p w14:paraId="1B0BD171" w14:textId="77777777" w:rsidR="00016A29" w:rsidRPr="006B547D" w:rsidRDefault="00192DA3" w:rsidP="007929FF">
      <w:pPr>
        <w:spacing w:after="0" w:line="240" w:lineRule="auto"/>
        <w:ind w:firstLine="720"/>
        <w:jc w:val="both"/>
        <w:rPr>
          <w:rFonts w:ascii="Cambria" w:hAnsi="Cambria" w:cs="Calibri"/>
          <w:sz w:val="20"/>
          <w:szCs w:val="20"/>
          <w:lang w:val="es-ES"/>
        </w:rPr>
      </w:pPr>
      <w:r w:rsidRPr="006B547D">
        <w:rPr>
          <w:rFonts w:ascii="Cambria" w:hAnsi="Cambria"/>
          <w:sz w:val="20"/>
          <w:szCs w:val="20"/>
          <w:lang w:val="es-ES"/>
        </w:rPr>
        <w:t xml:space="preserve">Por lo anterior, </w:t>
      </w:r>
      <w:r w:rsidR="00924502" w:rsidRPr="006B547D">
        <w:rPr>
          <w:rFonts w:ascii="Cambria" w:hAnsi="Cambria"/>
          <w:sz w:val="20"/>
          <w:szCs w:val="20"/>
          <w:lang w:val="es-ES"/>
        </w:rPr>
        <w:t xml:space="preserve">y como resultado de los múltiples indicios valorados a la luz de los contextos antes descritos, </w:t>
      </w:r>
      <w:r w:rsidR="00016A29" w:rsidRPr="006B547D">
        <w:rPr>
          <w:rFonts w:ascii="Cambria" w:hAnsi="Cambria"/>
          <w:sz w:val="20"/>
          <w:szCs w:val="20"/>
          <w:lang w:val="es-ES"/>
        </w:rPr>
        <w:t>l</w:t>
      </w:r>
      <w:r w:rsidRPr="006B547D">
        <w:rPr>
          <w:rFonts w:ascii="Cambria" w:hAnsi="Cambria"/>
          <w:sz w:val="20"/>
          <w:szCs w:val="20"/>
          <w:lang w:val="es-ES"/>
        </w:rPr>
        <w:t>a CIDH concluyó que el Estado es</w:t>
      </w:r>
      <w:r w:rsidR="00016A29" w:rsidRPr="006B547D">
        <w:rPr>
          <w:rFonts w:ascii="Cambria" w:hAnsi="Cambria"/>
          <w:sz w:val="20"/>
          <w:szCs w:val="20"/>
          <w:lang w:val="es-ES"/>
        </w:rPr>
        <w:t xml:space="preserve"> responsable internacionalmente por </w:t>
      </w:r>
      <w:r w:rsidRPr="006B547D">
        <w:rPr>
          <w:rFonts w:ascii="Cambria" w:hAnsi="Cambria"/>
          <w:sz w:val="20"/>
          <w:szCs w:val="20"/>
          <w:lang w:val="es-ES"/>
        </w:rPr>
        <w:t xml:space="preserve">la </w:t>
      </w:r>
      <w:r w:rsidR="00016A29" w:rsidRPr="006B547D">
        <w:rPr>
          <w:rFonts w:ascii="Cambria" w:hAnsi="Cambria"/>
          <w:sz w:val="20"/>
          <w:szCs w:val="20"/>
          <w:lang w:val="es-ES"/>
        </w:rPr>
        <w:t>desaparición forzada</w:t>
      </w:r>
      <w:r w:rsidRPr="006B547D">
        <w:rPr>
          <w:rFonts w:ascii="Cambria" w:hAnsi="Cambria"/>
          <w:sz w:val="20"/>
          <w:szCs w:val="20"/>
          <w:lang w:val="es-ES"/>
        </w:rPr>
        <w:t xml:space="preserve"> de Pedro Julio Movilla Galarcio</w:t>
      </w:r>
      <w:r w:rsidR="00016A29" w:rsidRPr="006B547D">
        <w:rPr>
          <w:rFonts w:ascii="Cambria" w:hAnsi="Cambria"/>
          <w:sz w:val="20"/>
          <w:szCs w:val="20"/>
          <w:lang w:val="es-ES"/>
        </w:rPr>
        <w:t xml:space="preserve">, y por </w:t>
      </w:r>
      <w:r w:rsidR="00C158C4" w:rsidRPr="006B547D">
        <w:rPr>
          <w:rFonts w:ascii="Cambria" w:hAnsi="Cambria"/>
          <w:sz w:val="20"/>
          <w:szCs w:val="20"/>
          <w:lang w:val="es-ES"/>
        </w:rPr>
        <w:t>t</w:t>
      </w:r>
      <w:r w:rsidR="00016A29" w:rsidRPr="006B547D">
        <w:rPr>
          <w:rFonts w:ascii="Cambria" w:hAnsi="Cambria"/>
          <w:sz w:val="20"/>
          <w:szCs w:val="20"/>
          <w:lang w:val="es-ES"/>
        </w:rPr>
        <w:t>anto</w:t>
      </w:r>
      <w:r w:rsidR="00C158C4" w:rsidRPr="006B547D">
        <w:rPr>
          <w:rFonts w:ascii="Cambria" w:hAnsi="Cambria"/>
          <w:sz w:val="20"/>
          <w:szCs w:val="20"/>
          <w:lang w:val="es-ES"/>
        </w:rPr>
        <w:t>,</w:t>
      </w:r>
      <w:r w:rsidR="00016A29" w:rsidRPr="006B547D">
        <w:rPr>
          <w:rFonts w:ascii="Cambria" w:hAnsi="Cambria"/>
          <w:sz w:val="20"/>
          <w:szCs w:val="20"/>
          <w:lang w:val="es-ES"/>
        </w:rPr>
        <w:t xml:space="preserve"> responsable por la violación de los derechos al reconocimiento de la personalidad jurídica, a la vida, a la integridad personal y a la libertad personal establecidos en los artículos 3, 4, 5 y 7 de la Convención Americana</w:t>
      </w:r>
      <w:r w:rsidR="00C158C4" w:rsidRPr="006B547D">
        <w:rPr>
          <w:rFonts w:ascii="Cambria" w:hAnsi="Cambria"/>
          <w:sz w:val="20"/>
          <w:szCs w:val="20"/>
          <w:lang w:val="es-ES"/>
        </w:rPr>
        <w:t>, en relación con sus artículos 1.1 y 2</w:t>
      </w:r>
      <w:r w:rsidR="00016A29" w:rsidRPr="006B547D">
        <w:rPr>
          <w:rFonts w:ascii="Cambria" w:hAnsi="Cambria"/>
          <w:sz w:val="20"/>
          <w:szCs w:val="20"/>
          <w:lang w:val="es-ES"/>
        </w:rPr>
        <w:t xml:space="preserve">. Asimismo, tomando en cuenta que, a la fecha de entrada en vigor de la Convención Interamericana sobre Desaparición Forzada de Personas para Colombia, la desaparición forzada continuaba cometiéndose, la CIDH concluyó que el Estado también violó el artículo I a) de dicho instrumento. </w:t>
      </w:r>
    </w:p>
    <w:p w14:paraId="2F6EAAF4" w14:textId="77777777" w:rsidR="00016A29" w:rsidRPr="006B547D" w:rsidRDefault="00016A29" w:rsidP="007929FF">
      <w:pPr>
        <w:tabs>
          <w:tab w:val="left" w:pos="360"/>
          <w:tab w:val="left" w:pos="2880"/>
        </w:tabs>
        <w:spacing w:after="0" w:line="240" w:lineRule="auto"/>
        <w:jc w:val="both"/>
        <w:rPr>
          <w:rFonts w:ascii="Cambria" w:hAnsi="Cambria"/>
          <w:sz w:val="20"/>
          <w:szCs w:val="20"/>
          <w:lang w:val="es-ES"/>
        </w:rPr>
      </w:pPr>
    </w:p>
    <w:p w14:paraId="43A11062" w14:textId="77777777" w:rsidR="00BC27DE" w:rsidRPr="006B547D" w:rsidRDefault="00924502" w:rsidP="007929FF">
      <w:pPr>
        <w:tabs>
          <w:tab w:val="left" w:pos="360"/>
          <w:tab w:val="left" w:pos="2880"/>
        </w:tabs>
        <w:spacing w:after="0" w:line="240" w:lineRule="auto"/>
        <w:ind w:firstLine="720"/>
        <w:jc w:val="both"/>
        <w:rPr>
          <w:rFonts w:ascii="Cambria" w:hAnsi="Cambria"/>
          <w:sz w:val="20"/>
          <w:szCs w:val="20"/>
          <w:lang w:val="es-ES"/>
        </w:rPr>
      </w:pPr>
      <w:r w:rsidRPr="006B547D">
        <w:rPr>
          <w:rFonts w:ascii="Cambria" w:hAnsi="Cambria"/>
          <w:sz w:val="20"/>
          <w:szCs w:val="20"/>
          <w:lang w:val="es-ES"/>
        </w:rPr>
        <w:t>En su informe de fondo, l</w:t>
      </w:r>
      <w:r w:rsidR="007A593D" w:rsidRPr="006B547D">
        <w:rPr>
          <w:rFonts w:ascii="Cambria" w:hAnsi="Cambria"/>
          <w:sz w:val="20"/>
          <w:szCs w:val="20"/>
          <w:lang w:val="es-ES"/>
        </w:rPr>
        <w:t xml:space="preserve">a Comisión estableció </w:t>
      </w:r>
      <w:r w:rsidRPr="006B547D">
        <w:rPr>
          <w:rFonts w:ascii="Cambria" w:hAnsi="Cambria"/>
          <w:sz w:val="20"/>
          <w:szCs w:val="20"/>
          <w:lang w:val="es-ES"/>
        </w:rPr>
        <w:t xml:space="preserve">además </w:t>
      </w:r>
      <w:r w:rsidR="00A71556" w:rsidRPr="006B547D">
        <w:rPr>
          <w:rFonts w:ascii="Cambria" w:hAnsi="Cambria"/>
          <w:sz w:val="20"/>
          <w:szCs w:val="20"/>
          <w:lang w:val="es-ES"/>
        </w:rPr>
        <w:t xml:space="preserve">que la desaparición forzada de Pedro Julio Movilla Galarcio respondió a su supuesta vinculación </w:t>
      </w:r>
      <w:r w:rsidR="007A593D" w:rsidRPr="006B547D">
        <w:rPr>
          <w:rFonts w:ascii="Cambria" w:hAnsi="Cambria"/>
          <w:sz w:val="20"/>
          <w:szCs w:val="20"/>
          <w:lang w:val="es-ES"/>
        </w:rPr>
        <w:t>con</w:t>
      </w:r>
      <w:r w:rsidR="00A71556" w:rsidRPr="006B547D">
        <w:rPr>
          <w:rFonts w:ascii="Cambria" w:hAnsi="Cambria"/>
          <w:sz w:val="20"/>
          <w:szCs w:val="20"/>
          <w:lang w:val="es-ES"/>
        </w:rPr>
        <w:t xml:space="preserve"> una organización subversiva, lo que fue derivado, sin que existiera condena penal en firme, del liderazgo social de la presunta víctima y su pertenencia a organizaciones sindicales y políticas de ideología de izquierda. Para la Comisión, esta correlación establecida por los órganos de inteligencia militar se enmarca en el contexto en el que se produjeron los hechos y responde a una lógica selectiva de las operaciones de seguridad nacional que criminalizó la participación de Pedro Julio Movilla Galarcio en organizaciones sindicales y políticas.</w:t>
      </w:r>
      <w:r w:rsidR="007A593D" w:rsidRPr="006B547D">
        <w:rPr>
          <w:rFonts w:ascii="Cambria" w:hAnsi="Cambria"/>
          <w:sz w:val="20"/>
          <w:szCs w:val="20"/>
          <w:lang w:val="es-ES"/>
        </w:rPr>
        <w:t xml:space="preserve"> Así, teniendo en cuenta </w:t>
      </w:r>
      <w:r w:rsidR="00016A29" w:rsidRPr="006B547D">
        <w:rPr>
          <w:rFonts w:ascii="Cambria" w:hAnsi="Cambria"/>
          <w:sz w:val="20"/>
          <w:szCs w:val="20"/>
          <w:lang w:val="es-ES"/>
        </w:rPr>
        <w:t>el móvil y carácter selectivo de la desaparición forzada,</w:t>
      </w:r>
      <w:r w:rsidR="007A593D" w:rsidRPr="006B547D">
        <w:rPr>
          <w:rFonts w:ascii="Cambria" w:hAnsi="Cambria"/>
          <w:sz w:val="20"/>
          <w:szCs w:val="20"/>
          <w:lang w:val="es-ES"/>
        </w:rPr>
        <w:t xml:space="preserve"> </w:t>
      </w:r>
      <w:r w:rsidR="00016A29" w:rsidRPr="006B547D">
        <w:rPr>
          <w:rFonts w:ascii="Cambria" w:hAnsi="Cambria"/>
          <w:sz w:val="20"/>
          <w:szCs w:val="20"/>
          <w:lang w:val="es-ES"/>
        </w:rPr>
        <w:t xml:space="preserve">la CIDH también concluyó que el Estado vulneró el </w:t>
      </w:r>
      <w:r w:rsidR="00016A29" w:rsidRPr="006B547D">
        <w:rPr>
          <w:rFonts w:ascii="Cambria" w:hAnsi="Cambria"/>
          <w:sz w:val="20"/>
          <w:szCs w:val="20"/>
          <w:lang w:val="es-ES_tradnl"/>
        </w:rPr>
        <w:t xml:space="preserve">derecho a la libertad de asociación establecido en el artículo 16 de la Convención </w:t>
      </w:r>
      <w:r w:rsidR="00016A29" w:rsidRPr="006B547D">
        <w:rPr>
          <w:rFonts w:ascii="Cambria" w:hAnsi="Cambria"/>
          <w:sz w:val="20"/>
          <w:szCs w:val="20"/>
          <w:lang w:val="es-ES"/>
        </w:rPr>
        <w:t>Americana</w:t>
      </w:r>
      <w:r w:rsidR="00C158C4" w:rsidRPr="006B547D">
        <w:rPr>
          <w:rFonts w:ascii="Cambria" w:hAnsi="Cambria"/>
          <w:sz w:val="20"/>
          <w:szCs w:val="20"/>
          <w:lang w:val="es-ES"/>
        </w:rPr>
        <w:t>, en relación con sus artículos 1.1 y 2</w:t>
      </w:r>
      <w:r w:rsidR="00016A29" w:rsidRPr="006B547D">
        <w:rPr>
          <w:rFonts w:ascii="Cambria" w:hAnsi="Cambria"/>
          <w:sz w:val="20"/>
          <w:szCs w:val="20"/>
          <w:lang w:val="es-ES"/>
        </w:rPr>
        <w:t>.</w:t>
      </w:r>
      <w:r w:rsidR="00026A1E" w:rsidRPr="006B547D">
        <w:rPr>
          <w:rFonts w:ascii="Cambria" w:hAnsi="Cambria"/>
          <w:sz w:val="20"/>
          <w:szCs w:val="20"/>
          <w:lang w:val="es-ES"/>
        </w:rPr>
        <w:t xml:space="preserve"> </w:t>
      </w:r>
    </w:p>
    <w:p w14:paraId="14FE4CDB" w14:textId="77777777" w:rsidR="00BC27DE" w:rsidRPr="006B547D" w:rsidRDefault="00BC27DE" w:rsidP="007929FF">
      <w:pPr>
        <w:tabs>
          <w:tab w:val="left" w:pos="360"/>
          <w:tab w:val="left" w:pos="2880"/>
        </w:tabs>
        <w:spacing w:after="0" w:line="240" w:lineRule="auto"/>
        <w:jc w:val="both"/>
        <w:rPr>
          <w:rFonts w:ascii="Cambria" w:hAnsi="Cambria"/>
          <w:sz w:val="20"/>
          <w:szCs w:val="20"/>
          <w:lang w:val="es-ES"/>
        </w:rPr>
      </w:pPr>
    </w:p>
    <w:p w14:paraId="7AD72B72" w14:textId="77777777" w:rsidR="007E6CA0" w:rsidRPr="006B547D" w:rsidRDefault="00026A1E" w:rsidP="007929FF">
      <w:pPr>
        <w:tabs>
          <w:tab w:val="left" w:pos="360"/>
          <w:tab w:val="left" w:pos="2880"/>
        </w:tabs>
        <w:spacing w:after="0" w:line="240" w:lineRule="auto"/>
        <w:ind w:firstLine="720"/>
        <w:jc w:val="both"/>
        <w:rPr>
          <w:rFonts w:ascii="Cambria" w:hAnsi="Cambria" w:cs="Verdana"/>
          <w:sz w:val="20"/>
          <w:szCs w:val="20"/>
          <w:lang w:val="es-ES"/>
        </w:rPr>
      </w:pPr>
      <w:r w:rsidRPr="006B547D">
        <w:rPr>
          <w:rFonts w:ascii="Cambria" w:hAnsi="Cambria"/>
          <w:sz w:val="20"/>
          <w:szCs w:val="20"/>
          <w:lang w:val="es-ES"/>
        </w:rPr>
        <w:t>Asimismo</w:t>
      </w:r>
      <w:r w:rsidR="00016A29" w:rsidRPr="006B547D">
        <w:rPr>
          <w:rFonts w:ascii="Cambria" w:hAnsi="Cambria"/>
          <w:sz w:val="20"/>
          <w:szCs w:val="20"/>
          <w:lang w:val="es-ES_tradnl"/>
        </w:rPr>
        <w:t>, la CIDH encontró que el Estado tampoco cumplió con sus obligaciones respecto de la debida diligencia en la investigación de la desaparición del señor Movilla</w:t>
      </w:r>
      <w:r w:rsidR="00226454" w:rsidRPr="006B547D">
        <w:rPr>
          <w:rFonts w:ascii="Cambria" w:hAnsi="Cambria"/>
          <w:sz w:val="20"/>
          <w:szCs w:val="20"/>
          <w:lang w:val="es-ES_tradnl"/>
        </w:rPr>
        <w:t xml:space="preserve">. </w:t>
      </w:r>
      <w:r w:rsidR="00924502" w:rsidRPr="006B547D">
        <w:rPr>
          <w:rFonts w:ascii="Cambria" w:hAnsi="Cambria"/>
          <w:sz w:val="20"/>
          <w:szCs w:val="20"/>
          <w:lang w:val="es-ES_tradnl"/>
        </w:rPr>
        <w:t>A</w:t>
      </w:r>
      <w:r w:rsidR="007E6CA0" w:rsidRPr="006B547D">
        <w:rPr>
          <w:rFonts w:ascii="Cambria" w:hAnsi="Cambria"/>
          <w:sz w:val="20"/>
          <w:szCs w:val="20"/>
          <w:lang w:val="es-ES_tradnl"/>
        </w:rPr>
        <w:t xml:space="preserve">demás de la falta de efectividad del recurso de </w:t>
      </w:r>
      <w:r w:rsidR="007E6CA0" w:rsidRPr="006B547D">
        <w:rPr>
          <w:rFonts w:ascii="Cambria" w:hAnsi="Cambria"/>
          <w:i/>
          <w:sz w:val="20"/>
          <w:szCs w:val="20"/>
          <w:lang w:val="es-ES_tradnl"/>
        </w:rPr>
        <w:t xml:space="preserve">habeas corpus </w:t>
      </w:r>
      <w:r w:rsidR="007E6CA0" w:rsidRPr="006B547D">
        <w:rPr>
          <w:rFonts w:ascii="Cambria" w:hAnsi="Cambria"/>
          <w:sz w:val="20"/>
          <w:szCs w:val="20"/>
          <w:lang w:val="es-ES_tradnl"/>
        </w:rPr>
        <w:t xml:space="preserve">para determinar lo ocurrido, </w:t>
      </w:r>
      <w:r w:rsidR="00226454" w:rsidRPr="006B547D">
        <w:rPr>
          <w:rFonts w:ascii="Cambria" w:hAnsi="Cambria"/>
          <w:sz w:val="20"/>
          <w:szCs w:val="20"/>
          <w:lang w:val="es-ES_tradnl"/>
        </w:rPr>
        <w:t>la Comisión tomó en cuenta que</w:t>
      </w:r>
      <w:r w:rsidR="007E6CA0" w:rsidRPr="006B547D">
        <w:rPr>
          <w:rFonts w:ascii="Cambria" w:hAnsi="Cambria"/>
          <w:sz w:val="20"/>
          <w:szCs w:val="20"/>
          <w:lang w:val="es-ES_tradnl"/>
        </w:rPr>
        <w:t xml:space="preserve"> durante la investigación</w:t>
      </w:r>
      <w:r w:rsidR="00226454" w:rsidRPr="006B547D">
        <w:rPr>
          <w:rFonts w:ascii="Cambria" w:hAnsi="Cambria"/>
          <w:sz w:val="20"/>
          <w:szCs w:val="20"/>
          <w:lang w:val="es-ES_tradnl"/>
        </w:rPr>
        <w:t xml:space="preserve"> las diligencias se realizaron de forma tardía, y el Estado </w:t>
      </w:r>
      <w:r w:rsidR="00226454" w:rsidRPr="006B547D">
        <w:rPr>
          <w:rFonts w:ascii="Cambria" w:hAnsi="Cambria" w:cs="Verdana"/>
          <w:sz w:val="20"/>
          <w:szCs w:val="20"/>
          <w:bdr w:val="none" w:sz="0" w:space="0" w:color="auto" w:frame="1"/>
          <w:lang w:val="es-ES"/>
        </w:rPr>
        <w:t xml:space="preserve">no desplegó sus máximos esfuerzos para identificar el carácter selectivo de la desaparición y su relación tanto con las actividades sindicales y políticas de Pedro Julio Movilla Galarcio, como con las anotaciones de inteligencia. Además, la investigación </w:t>
      </w:r>
      <w:r w:rsidR="00226454" w:rsidRPr="006B547D">
        <w:rPr>
          <w:rFonts w:ascii="Cambria" w:hAnsi="Cambria" w:cs="Verdana"/>
          <w:sz w:val="20"/>
          <w:szCs w:val="20"/>
          <w:lang w:val="es-ES"/>
        </w:rPr>
        <w:t xml:space="preserve">fue impulsada separadamente por la PGN y Fiscalía General, y si bien los avances de las mismas fueron comunicados entre sí, </w:t>
      </w:r>
      <w:r w:rsidR="007E6CA0" w:rsidRPr="006B547D">
        <w:rPr>
          <w:rFonts w:ascii="Cambria" w:hAnsi="Cambria" w:cs="Verdana"/>
          <w:sz w:val="20"/>
          <w:szCs w:val="20"/>
          <w:lang w:val="es-ES"/>
        </w:rPr>
        <w:t>la Comisión constató</w:t>
      </w:r>
      <w:r w:rsidR="00226454" w:rsidRPr="006B547D">
        <w:rPr>
          <w:rFonts w:ascii="Cambria" w:hAnsi="Cambria" w:cs="Verdana"/>
          <w:sz w:val="20"/>
          <w:szCs w:val="20"/>
          <w:lang w:val="es-ES"/>
        </w:rPr>
        <w:t xml:space="preserve"> una fragmentación de las diligencias, llevando a la repetición de muchas de ellas en ambos procesos, con un impacto en la dilación de las investigaciones.</w:t>
      </w:r>
      <w:r w:rsidR="007E6CA0" w:rsidRPr="006B547D">
        <w:rPr>
          <w:rFonts w:ascii="Cambria" w:hAnsi="Cambria" w:cs="Verdana"/>
          <w:sz w:val="20"/>
          <w:szCs w:val="20"/>
          <w:lang w:val="es-ES"/>
        </w:rPr>
        <w:t xml:space="preserve"> Sumado, a lo anterior, la participación de los familiares en la investigación fue limitada, siendo rechazados por varios años sus intentos a constituirse como parte civil en el proceso. La Comisión notó que pesar del transcurso de más de 25 años, la investigación penal aún permanece en etapa preliminar, incurriendo en una demora irrazonable. </w:t>
      </w:r>
    </w:p>
    <w:p w14:paraId="2BAAB5F7" w14:textId="77777777" w:rsidR="00226454" w:rsidRPr="006B547D" w:rsidRDefault="00226454" w:rsidP="007929FF">
      <w:pPr>
        <w:tabs>
          <w:tab w:val="left" w:pos="360"/>
          <w:tab w:val="left" w:pos="2880"/>
        </w:tabs>
        <w:spacing w:after="0" w:line="240" w:lineRule="auto"/>
        <w:ind w:firstLine="720"/>
        <w:jc w:val="both"/>
        <w:rPr>
          <w:rFonts w:ascii="Cambria" w:hAnsi="Cambria"/>
          <w:sz w:val="20"/>
          <w:szCs w:val="20"/>
          <w:lang w:val="es-ES"/>
        </w:rPr>
      </w:pPr>
    </w:p>
    <w:p w14:paraId="4F13A0D1" w14:textId="77777777" w:rsidR="00254F98" w:rsidRPr="006B547D" w:rsidRDefault="007E6CA0" w:rsidP="007929FF">
      <w:pPr>
        <w:tabs>
          <w:tab w:val="left" w:pos="360"/>
          <w:tab w:val="left" w:pos="2880"/>
        </w:tabs>
        <w:spacing w:after="0" w:line="240" w:lineRule="auto"/>
        <w:jc w:val="both"/>
        <w:rPr>
          <w:rFonts w:ascii="Cambria" w:hAnsi="Cambria"/>
          <w:sz w:val="20"/>
          <w:szCs w:val="20"/>
          <w:lang w:val="es-ES"/>
        </w:rPr>
      </w:pPr>
      <w:r w:rsidRPr="006B547D">
        <w:rPr>
          <w:rFonts w:ascii="Cambria" w:hAnsi="Cambria"/>
          <w:sz w:val="20"/>
          <w:szCs w:val="20"/>
          <w:lang w:val="es-ES"/>
        </w:rPr>
        <w:tab/>
      </w:r>
      <w:r w:rsidRPr="006B547D">
        <w:rPr>
          <w:rFonts w:ascii="Cambria" w:hAnsi="Cambria"/>
          <w:sz w:val="20"/>
          <w:szCs w:val="20"/>
          <w:lang w:val="es-ES_tradnl"/>
        </w:rPr>
        <w:t xml:space="preserve">En vista de lo anterior, la Comisión concluyó que el Estado violo </w:t>
      </w:r>
      <w:r w:rsidR="00016A29" w:rsidRPr="006B547D">
        <w:rPr>
          <w:rFonts w:ascii="Cambria" w:hAnsi="Cambria"/>
          <w:sz w:val="20"/>
          <w:szCs w:val="20"/>
          <w:lang w:val="es-ES_tradnl"/>
        </w:rPr>
        <w:t xml:space="preserve">los derechos </w:t>
      </w:r>
      <w:r w:rsidR="00254F98" w:rsidRPr="006B547D">
        <w:rPr>
          <w:rFonts w:ascii="Cambria" w:hAnsi="Cambria"/>
          <w:sz w:val="20"/>
          <w:szCs w:val="20"/>
          <w:lang w:val="es-ES_tradnl"/>
        </w:rPr>
        <w:t>establecidos</w:t>
      </w:r>
      <w:r w:rsidR="00016A29" w:rsidRPr="006B547D">
        <w:rPr>
          <w:rFonts w:ascii="Cambria" w:hAnsi="Cambria"/>
          <w:sz w:val="20"/>
          <w:szCs w:val="20"/>
          <w:lang w:val="es-ES_tradnl"/>
        </w:rPr>
        <w:t xml:space="preserve"> en los artículos 8.1 y 25.1 de la Convención Americana </w:t>
      </w:r>
      <w:r w:rsidR="00254F98" w:rsidRPr="006B547D">
        <w:rPr>
          <w:rFonts w:ascii="Cambria" w:hAnsi="Cambria" w:cs="Verdana"/>
          <w:sz w:val="20"/>
          <w:szCs w:val="20"/>
          <w:lang w:val="es-VE"/>
        </w:rPr>
        <w:t xml:space="preserve">en relación con su artículo 1.1, y </w:t>
      </w:r>
      <w:r w:rsidR="00016A29" w:rsidRPr="006B547D">
        <w:rPr>
          <w:rFonts w:ascii="Cambria" w:hAnsi="Cambria"/>
          <w:sz w:val="20"/>
          <w:szCs w:val="20"/>
          <w:lang w:val="es-ES_tradnl"/>
        </w:rPr>
        <w:t>el ar</w:t>
      </w:r>
      <w:r w:rsidR="00994D30" w:rsidRPr="006B547D">
        <w:rPr>
          <w:rFonts w:ascii="Cambria" w:hAnsi="Cambria"/>
          <w:sz w:val="20"/>
          <w:szCs w:val="20"/>
          <w:lang w:val="es-ES_tradnl"/>
        </w:rPr>
        <w:t xml:space="preserve">tículo I </w:t>
      </w:r>
      <w:r w:rsidR="00016A29" w:rsidRPr="006B547D">
        <w:rPr>
          <w:rFonts w:ascii="Cambria" w:hAnsi="Cambria"/>
          <w:sz w:val="20"/>
          <w:szCs w:val="20"/>
          <w:lang w:val="es-ES_tradnl"/>
        </w:rPr>
        <w:t xml:space="preserve">b) de la </w:t>
      </w:r>
      <w:r w:rsidR="00026A1E" w:rsidRPr="006B547D">
        <w:rPr>
          <w:rFonts w:ascii="Cambria" w:hAnsi="Cambria"/>
          <w:sz w:val="20"/>
          <w:szCs w:val="20"/>
          <w:lang w:val="es-ES"/>
        </w:rPr>
        <w:t>Convención Interamericana sobre Desaparición Forzada de Personas</w:t>
      </w:r>
      <w:r w:rsidRPr="006B547D">
        <w:rPr>
          <w:rFonts w:ascii="Cambria" w:hAnsi="Cambria"/>
          <w:sz w:val="20"/>
          <w:szCs w:val="20"/>
          <w:lang w:val="es-ES"/>
        </w:rPr>
        <w:t xml:space="preserve"> a partir de la entrada en vigencia de este instrumento para el Estado</w:t>
      </w:r>
      <w:r w:rsidR="00016A29" w:rsidRPr="006B547D">
        <w:rPr>
          <w:rFonts w:ascii="Cambria" w:hAnsi="Cambria"/>
          <w:sz w:val="20"/>
          <w:szCs w:val="20"/>
          <w:lang w:val="es-ES_tradnl"/>
        </w:rPr>
        <w:t xml:space="preserve">. </w:t>
      </w:r>
    </w:p>
    <w:p w14:paraId="3F0D54D5" w14:textId="77777777" w:rsidR="000007A2" w:rsidRPr="006B547D" w:rsidRDefault="000007A2" w:rsidP="007929FF">
      <w:pPr>
        <w:spacing w:after="0" w:line="240" w:lineRule="auto"/>
        <w:jc w:val="both"/>
        <w:rPr>
          <w:rFonts w:ascii="Cambria" w:hAnsi="Cambria"/>
          <w:color w:val="FF0000"/>
          <w:sz w:val="20"/>
          <w:szCs w:val="20"/>
          <w:lang w:val="es-ES"/>
        </w:rPr>
      </w:pPr>
    </w:p>
    <w:p w14:paraId="7D7C4039" w14:textId="77777777" w:rsidR="00BA1B6A" w:rsidRPr="006B547D" w:rsidRDefault="00BA1B6A" w:rsidP="007929FF">
      <w:pPr>
        <w:spacing w:after="0" w:line="240" w:lineRule="auto"/>
        <w:ind w:firstLine="720"/>
        <w:jc w:val="both"/>
        <w:rPr>
          <w:rFonts w:ascii="Cambria" w:hAnsi="Cambria"/>
          <w:sz w:val="20"/>
          <w:szCs w:val="20"/>
          <w:lang w:val="es-ES"/>
        </w:rPr>
      </w:pPr>
      <w:r w:rsidRPr="006B547D">
        <w:rPr>
          <w:rFonts w:ascii="Cambria" w:hAnsi="Cambria"/>
          <w:sz w:val="20"/>
          <w:szCs w:val="20"/>
          <w:lang w:val="es-ES_tradnl"/>
        </w:rPr>
        <w:t xml:space="preserve">Finalmente, la CIDH consideró que la desaparición del señor Movilla, la incertidumbre sobre su paradero o destino, así como la ausencia de una investigación completa y efectiva en relación con los hechos, ocasionaron en sus familiares sufrimiento y angustia, en violación del derecho a la integridad psíquica y moral establecido en el </w:t>
      </w:r>
      <w:r w:rsidRPr="006B547D">
        <w:rPr>
          <w:rFonts w:ascii="Cambria" w:hAnsi="Cambria"/>
          <w:sz w:val="20"/>
          <w:szCs w:val="20"/>
          <w:lang w:val="es-ES"/>
        </w:rPr>
        <w:t xml:space="preserve">artículo 5 de la </w:t>
      </w:r>
      <w:r w:rsidRPr="006B547D">
        <w:rPr>
          <w:rFonts w:ascii="Cambria" w:hAnsi="Cambria"/>
          <w:sz w:val="20"/>
          <w:szCs w:val="20"/>
          <w:lang w:val="es-ES_tradnl"/>
        </w:rPr>
        <w:t xml:space="preserve">Convención Americana </w:t>
      </w:r>
      <w:r w:rsidRPr="006B547D">
        <w:rPr>
          <w:rFonts w:ascii="Cambria" w:hAnsi="Cambria" w:cs="Verdana"/>
          <w:sz w:val="20"/>
          <w:szCs w:val="20"/>
          <w:lang w:val="es-VE"/>
        </w:rPr>
        <w:t xml:space="preserve">en relación con su </w:t>
      </w:r>
      <w:r w:rsidRPr="006B547D">
        <w:rPr>
          <w:rFonts w:ascii="Cambria" w:hAnsi="Cambria"/>
          <w:sz w:val="20"/>
          <w:szCs w:val="20"/>
          <w:lang w:val="es-ES_tradnl"/>
        </w:rPr>
        <w:t>artículo 1.1.</w:t>
      </w:r>
      <w:r w:rsidRPr="006B547D">
        <w:rPr>
          <w:rFonts w:ascii="Cambria" w:hAnsi="Cambria" w:cs="Verdana"/>
          <w:sz w:val="20"/>
          <w:szCs w:val="20"/>
          <w:lang w:val="es-VE"/>
        </w:rPr>
        <w:t xml:space="preserve"> </w:t>
      </w:r>
    </w:p>
    <w:p w14:paraId="22B8CA89" w14:textId="77777777" w:rsidR="000007A2" w:rsidRPr="006B547D" w:rsidRDefault="000007A2" w:rsidP="007929FF">
      <w:pPr>
        <w:spacing w:after="0" w:line="240" w:lineRule="auto"/>
        <w:ind w:firstLine="720"/>
        <w:jc w:val="both"/>
        <w:rPr>
          <w:rFonts w:ascii="Cambria" w:hAnsi="Cambria"/>
          <w:color w:val="FF0000"/>
          <w:sz w:val="20"/>
          <w:szCs w:val="20"/>
          <w:lang w:val="es-ES"/>
        </w:rPr>
      </w:pPr>
    </w:p>
    <w:p w14:paraId="263EBF1D" w14:textId="77777777" w:rsidR="00994D30" w:rsidRPr="006B547D" w:rsidRDefault="00994D30" w:rsidP="007929FF">
      <w:pPr>
        <w:spacing w:after="0" w:line="240" w:lineRule="auto"/>
        <w:ind w:firstLine="720"/>
        <w:jc w:val="both"/>
        <w:rPr>
          <w:rFonts w:ascii="Cambria" w:hAnsi="Cambria"/>
          <w:sz w:val="20"/>
          <w:szCs w:val="20"/>
          <w:lang w:val="es-ES"/>
        </w:rPr>
      </w:pPr>
      <w:r w:rsidRPr="006B547D">
        <w:rPr>
          <w:rFonts w:ascii="Cambria" w:hAnsi="Cambria" w:cs="Arial"/>
          <w:sz w:val="20"/>
          <w:szCs w:val="20"/>
          <w:lang w:val="es-CO"/>
        </w:rPr>
        <w:lastRenderedPageBreak/>
        <w:t xml:space="preserve">El </w:t>
      </w:r>
      <w:r w:rsidRPr="006B547D">
        <w:rPr>
          <w:rFonts w:ascii="Cambria" w:hAnsi="Cambria"/>
          <w:sz w:val="20"/>
          <w:szCs w:val="20"/>
          <w:lang w:val="es-ES_tradnl"/>
        </w:rPr>
        <w:t>Estado</w:t>
      </w:r>
      <w:r w:rsidRPr="006B547D">
        <w:rPr>
          <w:rFonts w:ascii="Cambria" w:hAnsi="Cambria" w:cs="Arial"/>
          <w:sz w:val="20"/>
          <w:szCs w:val="20"/>
          <w:lang w:val="es-CO"/>
        </w:rPr>
        <w:t xml:space="preserve"> de Colombia ratificó la Convención Americana sobre Derechos Humanos el 31 de julio de 1973 y aceptó la competencia contenciosa de la Corte el 21 de junio de 1985. Asimismo, Colombia ratificó la Convención Interamericana sobre Desaparición Forzada de Personas el 12 de abril de 2005.</w:t>
      </w:r>
    </w:p>
    <w:p w14:paraId="5036911A" w14:textId="77777777" w:rsidR="00387D83" w:rsidRPr="006B547D" w:rsidRDefault="00387D83" w:rsidP="007929FF">
      <w:pPr>
        <w:tabs>
          <w:tab w:val="left" w:pos="720"/>
          <w:tab w:val="left" w:pos="1440"/>
        </w:tabs>
        <w:spacing w:after="0" w:line="240" w:lineRule="auto"/>
        <w:jc w:val="both"/>
        <w:rPr>
          <w:rFonts w:ascii="Cambria" w:hAnsi="Cambria" w:cs="Calibri"/>
          <w:color w:val="FF0000"/>
          <w:sz w:val="20"/>
          <w:szCs w:val="20"/>
          <w:lang w:val="es-PE"/>
        </w:rPr>
      </w:pPr>
    </w:p>
    <w:p w14:paraId="58697CEB" w14:textId="77777777" w:rsidR="00560F49" w:rsidRPr="006B547D" w:rsidRDefault="00560F49" w:rsidP="007929FF">
      <w:pPr>
        <w:spacing w:after="0" w:line="240" w:lineRule="auto"/>
        <w:ind w:firstLine="720"/>
        <w:jc w:val="both"/>
        <w:rPr>
          <w:rFonts w:ascii="Cambria" w:hAnsi="Cambria" w:cs="Calibri"/>
          <w:color w:val="000000"/>
          <w:sz w:val="20"/>
          <w:szCs w:val="20"/>
          <w:lang w:val="es-ES"/>
        </w:rPr>
      </w:pPr>
      <w:r w:rsidRPr="006B547D">
        <w:rPr>
          <w:rFonts w:ascii="Cambria" w:hAnsi="Cambria" w:cs="Calibri"/>
          <w:color w:val="000000"/>
          <w:sz w:val="20"/>
          <w:szCs w:val="20"/>
          <w:lang w:val="es-ES"/>
        </w:rPr>
        <w:t xml:space="preserve">La Comisión ha designado </w:t>
      </w:r>
      <w:r w:rsidR="00170E12" w:rsidRPr="006B547D">
        <w:rPr>
          <w:rFonts w:ascii="Cambria" w:hAnsi="Cambria" w:cs="Calibri"/>
          <w:color w:val="000000"/>
          <w:sz w:val="20"/>
          <w:szCs w:val="20"/>
          <w:lang w:val="es-ES"/>
        </w:rPr>
        <w:t>a</w:t>
      </w:r>
      <w:r w:rsidR="00E07692" w:rsidRPr="006B547D">
        <w:rPr>
          <w:rFonts w:ascii="Cambria" w:hAnsi="Cambria" w:cs="Calibri"/>
          <w:color w:val="000000"/>
          <w:sz w:val="20"/>
          <w:szCs w:val="20"/>
          <w:lang w:val="es-ES"/>
        </w:rPr>
        <w:t xml:space="preserve"> </w:t>
      </w:r>
      <w:r w:rsidR="00E7198B" w:rsidRPr="006B547D">
        <w:rPr>
          <w:rFonts w:ascii="Cambria" w:hAnsi="Cambria" w:cs="Calibri"/>
          <w:color w:val="000000"/>
          <w:sz w:val="20"/>
          <w:szCs w:val="20"/>
          <w:lang w:val="es-ES"/>
        </w:rPr>
        <w:t>l</w:t>
      </w:r>
      <w:r w:rsidR="00E07692" w:rsidRPr="006B547D">
        <w:rPr>
          <w:rFonts w:ascii="Cambria" w:hAnsi="Cambria" w:cs="Calibri"/>
          <w:color w:val="000000"/>
          <w:sz w:val="20"/>
          <w:szCs w:val="20"/>
          <w:lang w:val="es-ES"/>
        </w:rPr>
        <w:t xml:space="preserve">a </w:t>
      </w:r>
      <w:r w:rsidR="00E7198B" w:rsidRPr="006B547D">
        <w:rPr>
          <w:rFonts w:ascii="Cambria" w:hAnsi="Cambria" w:cs="Calibri"/>
          <w:color w:val="000000"/>
          <w:sz w:val="20"/>
          <w:szCs w:val="20"/>
          <w:lang w:val="es-ES"/>
        </w:rPr>
        <w:t>Comisionad</w:t>
      </w:r>
      <w:r w:rsidR="00E07692" w:rsidRPr="006B547D">
        <w:rPr>
          <w:rFonts w:ascii="Cambria" w:hAnsi="Cambria" w:cs="Calibri"/>
          <w:color w:val="000000"/>
          <w:sz w:val="20"/>
          <w:szCs w:val="20"/>
          <w:lang w:val="es-ES"/>
        </w:rPr>
        <w:t>a</w:t>
      </w:r>
      <w:r w:rsidR="007940B2" w:rsidRPr="006B547D">
        <w:rPr>
          <w:rFonts w:ascii="Cambria" w:hAnsi="Cambria" w:cs="Calibri"/>
          <w:color w:val="000000"/>
          <w:sz w:val="20"/>
          <w:szCs w:val="20"/>
          <w:lang w:val="es-ES"/>
        </w:rPr>
        <w:t xml:space="preserve"> </w:t>
      </w:r>
      <w:r w:rsidR="00E07692" w:rsidRPr="006B547D">
        <w:rPr>
          <w:rFonts w:ascii="Cambria" w:hAnsi="Cambria" w:cs="Calibri"/>
          <w:color w:val="000000"/>
          <w:sz w:val="20"/>
          <w:szCs w:val="20"/>
          <w:lang w:val="es-ES"/>
        </w:rPr>
        <w:t>Antonia Urrejola</w:t>
      </w:r>
      <w:r w:rsidR="00AB1A5D" w:rsidRPr="006B547D">
        <w:rPr>
          <w:rFonts w:ascii="Cambria" w:hAnsi="Cambria" w:cs="Calibri"/>
          <w:color w:val="000000"/>
          <w:sz w:val="20"/>
          <w:szCs w:val="20"/>
          <w:lang w:val="es-ES"/>
        </w:rPr>
        <w:t xml:space="preserve"> y</w:t>
      </w:r>
      <w:r w:rsidR="00E7198B" w:rsidRPr="006B547D">
        <w:rPr>
          <w:rFonts w:ascii="Cambria" w:hAnsi="Cambria" w:cs="Calibri"/>
          <w:color w:val="000000"/>
          <w:sz w:val="20"/>
          <w:szCs w:val="20"/>
          <w:lang w:val="es-ES"/>
        </w:rPr>
        <w:t xml:space="preserve"> </w:t>
      </w:r>
      <w:r w:rsidRPr="006B547D">
        <w:rPr>
          <w:rFonts w:ascii="Cambria" w:hAnsi="Cambria" w:cs="Calibri"/>
          <w:color w:val="000000"/>
          <w:sz w:val="20"/>
          <w:szCs w:val="20"/>
          <w:lang w:val="es-ES"/>
        </w:rPr>
        <w:t>al Secretario Ejecutivo Paulo Abrão</w:t>
      </w:r>
      <w:r w:rsidR="00E7198B" w:rsidRPr="006B547D">
        <w:rPr>
          <w:rFonts w:ascii="Cambria" w:hAnsi="Cambria" w:cs="Calibri"/>
          <w:color w:val="000000"/>
          <w:sz w:val="20"/>
          <w:szCs w:val="20"/>
          <w:lang w:val="es-ES"/>
        </w:rPr>
        <w:t xml:space="preserve">, </w:t>
      </w:r>
      <w:r w:rsidRPr="006B547D">
        <w:rPr>
          <w:rFonts w:ascii="Cambria" w:hAnsi="Cambria" w:cs="Calibri"/>
          <w:color w:val="000000"/>
          <w:sz w:val="20"/>
          <w:szCs w:val="20"/>
          <w:lang w:val="es-ES"/>
        </w:rPr>
        <w:t>como su delegad</w:t>
      </w:r>
      <w:r w:rsidR="00E00544" w:rsidRPr="006B547D">
        <w:rPr>
          <w:rFonts w:ascii="Cambria" w:hAnsi="Cambria" w:cs="Calibri"/>
          <w:color w:val="000000"/>
          <w:sz w:val="20"/>
          <w:szCs w:val="20"/>
          <w:lang w:val="es-ES"/>
        </w:rPr>
        <w:t>a y delegado</w:t>
      </w:r>
      <w:r w:rsidRPr="006B547D">
        <w:rPr>
          <w:rFonts w:ascii="Cambria" w:hAnsi="Cambria" w:cs="Calibri"/>
          <w:color w:val="000000"/>
          <w:sz w:val="20"/>
          <w:szCs w:val="20"/>
          <w:lang w:val="es-ES"/>
        </w:rPr>
        <w:t xml:space="preserve">. Asimismo, </w:t>
      </w:r>
      <w:r w:rsidR="000D4AE6" w:rsidRPr="006B547D">
        <w:rPr>
          <w:rFonts w:ascii="Cambria" w:hAnsi="Cambria" w:cs="Calibri"/>
          <w:color w:val="000000"/>
          <w:sz w:val="20"/>
          <w:szCs w:val="20"/>
          <w:lang w:val="es-ES"/>
        </w:rPr>
        <w:t>Marisol Blanchard</w:t>
      </w:r>
      <w:r w:rsidR="00AB1A5D" w:rsidRPr="006B547D">
        <w:rPr>
          <w:rFonts w:ascii="Cambria" w:hAnsi="Cambria" w:cs="Calibri"/>
          <w:color w:val="000000"/>
          <w:sz w:val="20"/>
          <w:szCs w:val="20"/>
          <w:lang w:val="es-ES"/>
        </w:rPr>
        <w:t xml:space="preserve"> Vera</w:t>
      </w:r>
      <w:r w:rsidR="000D4AE6" w:rsidRPr="006B547D">
        <w:rPr>
          <w:rFonts w:ascii="Cambria" w:hAnsi="Cambria" w:cs="Calibri"/>
          <w:color w:val="000000"/>
          <w:sz w:val="20"/>
          <w:szCs w:val="20"/>
          <w:lang w:val="es-ES"/>
        </w:rPr>
        <w:t xml:space="preserve">, </w:t>
      </w:r>
      <w:r w:rsidR="008F7250" w:rsidRPr="006B547D">
        <w:rPr>
          <w:rFonts w:ascii="Cambria" w:hAnsi="Cambria" w:cs="Calibri"/>
          <w:color w:val="000000"/>
          <w:sz w:val="20"/>
          <w:szCs w:val="20"/>
          <w:lang w:val="es-ES"/>
        </w:rPr>
        <w:t xml:space="preserve">Secretaria Ejecutiva Adjunta, </w:t>
      </w:r>
      <w:r w:rsidR="00362BCC" w:rsidRPr="006B547D">
        <w:rPr>
          <w:rFonts w:ascii="Cambria" w:hAnsi="Cambria" w:cs="Calibri"/>
          <w:color w:val="000000"/>
          <w:sz w:val="20"/>
          <w:szCs w:val="20"/>
          <w:lang w:val="es-ES"/>
        </w:rPr>
        <w:t>Jorge Humberto Meza Flores</w:t>
      </w:r>
      <w:r w:rsidR="00AB1A5D" w:rsidRPr="006B547D">
        <w:rPr>
          <w:rFonts w:ascii="Cambria" w:hAnsi="Cambria" w:cs="Calibri"/>
          <w:color w:val="000000"/>
          <w:sz w:val="20"/>
          <w:szCs w:val="20"/>
          <w:lang w:val="es-ES"/>
        </w:rPr>
        <w:t xml:space="preserve"> y</w:t>
      </w:r>
      <w:r w:rsidR="00362BCC" w:rsidRPr="006B547D">
        <w:rPr>
          <w:rFonts w:ascii="Cambria" w:hAnsi="Cambria" w:cs="Calibri"/>
          <w:color w:val="000000"/>
          <w:sz w:val="20"/>
          <w:szCs w:val="20"/>
          <w:lang w:val="es-ES"/>
        </w:rPr>
        <w:t xml:space="preserve"> </w:t>
      </w:r>
      <w:r w:rsidR="00E07692" w:rsidRPr="006B547D">
        <w:rPr>
          <w:rFonts w:ascii="Cambria" w:hAnsi="Cambria" w:cs="Calibri"/>
          <w:color w:val="000000"/>
          <w:sz w:val="20"/>
          <w:szCs w:val="20"/>
          <w:lang w:val="es-ES"/>
        </w:rPr>
        <w:t>Carla Leiva García</w:t>
      </w:r>
      <w:r w:rsidR="00362BCC" w:rsidRPr="006B547D">
        <w:rPr>
          <w:rFonts w:ascii="Cambria" w:hAnsi="Cambria" w:cs="Calibri"/>
          <w:color w:val="000000"/>
          <w:sz w:val="20"/>
          <w:szCs w:val="20"/>
          <w:lang w:val="es-ES"/>
        </w:rPr>
        <w:t xml:space="preserve">, especialistas </w:t>
      </w:r>
      <w:r w:rsidRPr="006B547D">
        <w:rPr>
          <w:rFonts w:ascii="Cambria" w:hAnsi="Cambria" w:cs="Calibri"/>
          <w:color w:val="000000"/>
          <w:sz w:val="20"/>
          <w:szCs w:val="20"/>
          <w:lang w:val="es-ES"/>
        </w:rPr>
        <w:t>de la Secretaría Ejecutiva de la CIDH, actuará</w:t>
      </w:r>
      <w:r w:rsidR="00170E12" w:rsidRPr="006B547D">
        <w:rPr>
          <w:rFonts w:ascii="Cambria" w:hAnsi="Cambria" w:cs="Calibri"/>
          <w:color w:val="000000"/>
          <w:sz w:val="20"/>
          <w:szCs w:val="20"/>
          <w:lang w:val="es-ES"/>
        </w:rPr>
        <w:t xml:space="preserve">n como </w:t>
      </w:r>
      <w:r w:rsidR="000D4AE6" w:rsidRPr="006B547D">
        <w:rPr>
          <w:rFonts w:ascii="Cambria" w:hAnsi="Cambria" w:cs="Calibri"/>
          <w:color w:val="000000"/>
          <w:sz w:val="20"/>
          <w:szCs w:val="20"/>
          <w:lang w:val="es-ES"/>
        </w:rPr>
        <w:t xml:space="preserve">sus </w:t>
      </w:r>
      <w:r w:rsidR="00170E12" w:rsidRPr="006B547D">
        <w:rPr>
          <w:rFonts w:ascii="Cambria" w:hAnsi="Cambria" w:cs="Calibri"/>
          <w:color w:val="000000"/>
          <w:sz w:val="20"/>
          <w:szCs w:val="20"/>
          <w:lang w:val="es-ES"/>
        </w:rPr>
        <w:t>asesor</w:t>
      </w:r>
      <w:r w:rsidR="00A44D63" w:rsidRPr="006B547D">
        <w:rPr>
          <w:rFonts w:ascii="Cambria" w:hAnsi="Cambria" w:cs="Calibri"/>
          <w:color w:val="000000"/>
          <w:sz w:val="20"/>
          <w:szCs w:val="20"/>
          <w:lang w:val="es-ES"/>
        </w:rPr>
        <w:t>a</w:t>
      </w:r>
      <w:r w:rsidR="000D4AE6" w:rsidRPr="006B547D">
        <w:rPr>
          <w:rFonts w:ascii="Cambria" w:hAnsi="Cambria" w:cs="Calibri"/>
          <w:color w:val="000000"/>
          <w:sz w:val="20"/>
          <w:szCs w:val="20"/>
          <w:lang w:val="es-ES"/>
        </w:rPr>
        <w:t>s</w:t>
      </w:r>
      <w:r w:rsidRPr="006B547D">
        <w:rPr>
          <w:rFonts w:ascii="Cambria" w:hAnsi="Cambria" w:cs="Calibri"/>
          <w:color w:val="000000"/>
          <w:sz w:val="20"/>
          <w:szCs w:val="20"/>
          <w:lang w:val="es-ES"/>
        </w:rPr>
        <w:t xml:space="preserve"> </w:t>
      </w:r>
      <w:r w:rsidR="00362BCC" w:rsidRPr="006B547D">
        <w:rPr>
          <w:rFonts w:ascii="Cambria" w:hAnsi="Cambria" w:cs="Calibri"/>
          <w:color w:val="000000"/>
          <w:sz w:val="20"/>
          <w:szCs w:val="20"/>
          <w:lang w:val="es-ES"/>
        </w:rPr>
        <w:t xml:space="preserve">y asesor </w:t>
      </w:r>
      <w:r w:rsidRPr="006B547D">
        <w:rPr>
          <w:rFonts w:ascii="Cambria" w:hAnsi="Cambria" w:cs="Calibri"/>
          <w:color w:val="000000"/>
          <w:sz w:val="20"/>
          <w:szCs w:val="20"/>
          <w:lang w:val="es-ES"/>
        </w:rPr>
        <w:t>legal</w:t>
      </w:r>
      <w:r w:rsidR="00170E12" w:rsidRPr="006B547D">
        <w:rPr>
          <w:rFonts w:ascii="Cambria" w:hAnsi="Cambria" w:cs="Calibri"/>
          <w:color w:val="000000"/>
          <w:sz w:val="20"/>
          <w:szCs w:val="20"/>
          <w:lang w:val="es-ES"/>
        </w:rPr>
        <w:t>es</w:t>
      </w:r>
      <w:r w:rsidRPr="006B547D">
        <w:rPr>
          <w:rFonts w:ascii="Cambria" w:hAnsi="Cambria" w:cs="Calibri"/>
          <w:color w:val="000000"/>
          <w:sz w:val="20"/>
          <w:szCs w:val="20"/>
          <w:lang w:val="es-ES"/>
        </w:rPr>
        <w:t>.</w:t>
      </w:r>
      <w:r w:rsidR="00C872C8" w:rsidRPr="006B547D">
        <w:rPr>
          <w:rFonts w:ascii="Cambria" w:hAnsi="Cambria" w:cs="Calibri"/>
          <w:color w:val="000000"/>
          <w:sz w:val="20"/>
          <w:szCs w:val="20"/>
          <w:lang w:val="es-ES"/>
        </w:rPr>
        <w:t xml:space="preserve"> </w:t>
      </w:r>
    </w:p>
    <w:p w14:paraId="61EA217B" w14:textId="77777777" w:rsidR="00560F49" w:rsidRPr="006B547D" w:rsidRDefault="00560F49" w:rsidP="007929FF">
      <w:pPr>
        <w:spacing w:after="0" w:line="240" w:lineRule="auto"/>
        <w:ind w:firstLine="720"/>
        <w:jc w:val="both"/>
        <w:rPr>
          <w:rFonts w:ascii="Cambria" w:hAnsi="Cambria" w:cs="Calibri"/>
          <w:color w:val="FF0000"/>
          <w:sz w:val="20"/>
          <w:szCs w:val="20"/>
          <w:lang w:val="es-ES"/>
        </w:rPr>
      </w:pPr>
    </w:p>
    <w:p w14:paraId="6E134AEA" w14:textId="77777777" w:rsidR="00DF3621" w:rsidRPr="006B547D" w:rsidRDefault="0042403B" w:rsidP="007929FF">
      <w:pPr>
        <w:spacing w:after="0" w:line="240" w:lineRule="auto"/>
        <w:ind w:firstLine="720"/>
        <w:jc w:val="both"/>
        <w:rPr>
          <w:rFonts w:ascii="Cambria" w:hAnsi="Cambria" w:cs="Calibri"/>
          <w:color w:val="000000"/>
          <w:sz w:val="20"/>
          <w:szCs w:val="20"/>
          <w:lang w:val="es-ES"/>
        </w:rPr>
      </w:pPr>
      <w:r w:rsidRPr="006B547D">
        <w:rPr>
          <w:rFonts w:ascii="Cambria" w:hAnsi="Cambria" w:cs="Calibri"/>
          <w:color w:val="000000"/>
          <w:sz w:val="20"/>
          <w:szCs w:val="20"/>
          <w:lang w:val="es-ES"/>
        </w:rPr>
        <w:t>De conformidad con el artículo 35 del Reglamento de la Corte Interamericana,</w:t>
      </w:r>
      <w:r w:rsidR="0090766E" w:rsidRPr="006B547D">
        <w:rPr>
          <w:rFonts w:ascii="Cambria" w:hAnsi="Cambria" w:cs="Calibri"/>
          <w:color w:val="000000"/>
          <w:sz w:val="20"/>
          <w:szCs w:val="20"/>
          <w:lang w:val="es-ES"/>
        </w:rPr>
        <w:t xml:space="preserve"> la Comisión adjunta copia del I</w:t>
      </w:r>
      <w:r w:rsidRPr="006B547D">
        <w:rPr>
          <w:rFonts w:ascii="Cambria" w:hAnsi="Cambria" w:cs="Calibri"/>
          <w:color w:val="000000"/>
          <w:sz w:val="20"/>
          <w:szCs w:val="20"/>
          <w:lang w:val="es-ES"/>
        </w:rPr>
        <w:t>nforme</w:t>
      </w:r>
      <w:r w:rsidR="0090766E" w:rsidRPr="006B547D">
        <w:rPr>
          <w:rFonts w:ascii="Cambria" w:hAnsi="Cambria" w:cs="Calibri"/>
          <w:color w:val="000000"/>
          <w:sz w:val="20"/>
          <w:szCs w:val="20"/>
          <w:lang w:val="es-ES"/>
        </w:rPr>
        <w:t xml:space="preserve"> de Fondo No.</w:t>
      </w:r>
      <w:r w:rsidRPr="006B547D">
        <w:rPr>
          <w:rFonts w:ascii="Cambria" w:hAnsi="Cambria" w:cs="Calibri"/>
          <w:color w:val="000000"/>
          <w:sz w:val="20"/>
          <w:szCs w:val="20"/>
          <w:lang w:val="es-ES"/>
        </w:rPr>
        <w:t xml:space="preserve"> </w:t>
      </w:r>
      <w:r w:rsidR="00E07692" w:rsidRPr="006B547D">
        <w:rPr>
          <w:rFonts w:ascii="Cambria" w:hAnsi="Cambria" w:cs="Calibri"/>
          <w:color w:val="000000"/>
          <w:sz w:val="20"/>
          <w:szCs w:val="20"/>
          <w:lang w:val="es-ES"/>
        </w:rPr>
        <w:t>149</w:t>
      </w:r>
      <w:r w:rsidRPr="006B547D">
        <w:rPr>
          <w:rFonts w:ascii="Cambria" w:hAnsi="Cambria" w:cs="Calibri"/>
          <w:color w:val="000000"/>
          <w:sz w:val="20"/>
          <w:szCs w:val="20"/>
          <w:lang w:val="es-ES"/>
        </w:rPr>
        <w:t>/1</w:t>
      </w:r>
      <w:r w:rsidR="00E07692" w:rsidRPr="006B547D">
        <w:rPr>
          <w:rFonts w:ascii="Cambria" w:hAnsi="Cambria" w:cs="Calibri"/>
          <w:color w:val="000000"/>
          <w:sz w:val="20"/>
          <w:szCs w:val="20"/>
          <w:lang w:val="es-ES"/>
        </w:rPr>
        <w:t>8</w:t>
      </w:r>
      <w:r w:rsidRPr="006B547D">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w:t>
      </w:r>
      <w:r w:rsidR="00BD1F09" w:rsidRPr="006B547D">
        <w:rPr>
          <w:rFonts w:ascii="Cambria" w:hAnsi="Cambria" w:cs="Calibri"/>
          <w:color w:val="000000"/>
          <w:sz w:val="20"/>
          <w:szCs w:val="20"/>
          <w:lang w:val="es-ES"/>
        </w:rPr>
        <w:t xml:space="preserve"> No. </w:t>
      </w:r>
      <w:r w:rsidRPr="006B547D">
        <w:rPr>
          <w:rFonts w:ascii="Cambria" w:hAnsi="Cambria" w:cs="Calibri"/>
          <w:color w:val="000000"/>
          <w:sz w:val="20"/>
          <w:szCs w:val="20"/>
          <w:lang w:val="es-ES"/>
        </w:rPr>
        <w:t xml:space="preserve"> </w:t>
      </w:r>
      <w:r w:rsidR="00E07692" w:rsidRPr="006B547D">
        <w:rPr>
          <w:rFonts w:ascii="Cambria" w:hAnsi="Cambria" w:cs="Calibri"/>
          <w:color w:val="000000"/>
          <w:sz w:val="20"/>
          <w:szCs w:val="20"/>
          <w:lang w:val="es-ES"/>
        </w:rPr>
        <w:t>149</w:t>
      </w:r>
      <w:r w:rsidR="0092092D" w:rsidRPr="006B547D">
        <w:rPr>
          <w:rFonts w:ascii="Cambria" w:hAnsi="Cambria" w:cs="Calibri"/>
          <w:color w:val="000000"/>
          <w:sz w:val="20"/>
          <w:szCs w:val="20"/>
          <w:lang w:val="es-ES"/>
        </w:rPr>
        <w:t>/1</w:t>
      </w:r>
      <w:r w:rsidR="00E07692" w:rsidRPr="006B547D">
        <w:rPr>
          <w:rFonts w:ascii="Cambria" w:hAnsi="Cambria" w:cs="Calibri"/>
          <w:color w:val="000000"/>
          <w:sz w:val="20"/>
          <w:szCs w:val="20"/>
          <w:lang w:val="es-ES"/>
        </w:rPr>
        <w:t>8</w:t>
      </w:r>
      <w:r w:rsidR="00625C17" w:rsidRPr="006B547D">
        <w:rPr>
          <w:rFonts w:ascii="Cambria" w:hAnsi="Cambria" w:cs="Calibri"/>
          <w:color w:val="000000"/>
          <w:sz w:val="20"/>
          <w:szCs w:val="20"/>
          <w:lang w:val="es-ES"/>
        </w:rPr>
        <w:t xml:space="preserve"> </w:t>
      </w:r>
      <w:r w:rsidR="00F353B3" w:rsidRPr="006B547D">
        <w:rPr>
          <w:rFonts w:ascii="Cambria" w:hAnsi="Cambria" w:cs="Calibri"/>
          <w:color w:val="000000"/>
          <w:sz w:val="20"/>
          <w:szCs w:val="20"/>
          <w:lang w:val="es-ES"/>
        </w:rPr>
        <w:t xml:space="preserve">(Anexos). </w:t>
      </w:r>
    </w:p>
    <w:p w14:paraId="752DEE0A" w14:textId="77777777" w:rsidR="00016A29" w:rsidRPr="006B547D" w:rsidRDefault="00016A29" w:rsidP="007929FF">
      <w:pPr>
        <w:spacing w:after="0" w:line="240" w:lineRule="auto"/>
        <w:ind w:firstLine="720"/>
        <w:jc w:val="both"/>
        <w:rPr>
          <w:rFonts w:ascii="Cambria" w:hAnsi="Cambria" w:cs="Calibri"/>
          <w:color w:val="FF0000"/>
          <w:sz w:val="20"/>
          <w:szCs w:val="20"/>
          <w:lang w:val="es-ES"/>
        </w:rPr>
      </w:pPr>
    </w:p>
    <w:p w14:paraId="7E11D95C" w14:textId="77777777" w:rsidR="00F50FF2" w:rsidRPr="006B547D" w:rsidRDefault="00355389" w:rsidP="007929FF">
      <w:pPr>
        <w:spacing w:after="0" w:line="240" w:lineRule="auto"/>
        <w:jc w:val="both"/>
        <w:rPr>
          <w:rFonts w:ascii="Cambria" w:hAnsi="Cambria"/>
          <w:color w:val="000000"/>
          <w:sz w:val="20"/>
          <w:szCs w:val="20"/>
          <w:lang w:val="es-CO"/>
        </w:rPr>
      </w:pPr>
      <w:r w:rsidRPr="006B547D">
        <w:rPr>
          <w:rFonts w:ascii="Cambria" w:hAnsi="Cambria" w:cs="Calibri"/>
          <w:sz w:val="20"/>
          <w:szCs w:val="20"/>
          <w:lang w:val="es-ES"/>
        </w:rPr>
        <w:tab/>
      </w:r>
      <w:r w:rsidR="00F353B3" w:rsidRPr="006B547D">
        <w:rPr>
          <w:rFonts w:ascii="Cambria" w:hAnsi="Cambria" w:cs="Calibri"/>
          <w:sz w:val="20"/>
          <w:szCs w:val="20"/>
          <w:lang w:val="es-ES"/>
        </w:rPr>
        <w:t>Dicho Informe de F</w:t>
      </w:r>
      <w:r w:rsidR="0042403B" w:rsidRPr="006B547D">
        <w:rPr>
          <w:rFonts w:ascii="Cambria" w:hAnsi="Cambria" w:cs="Calibri"/>
          <w:sz w:val="20"/>
          <w:szCs w:val="20"/>
          <w:lang w:val="es-ES"/>
        </w:rPr>
        <w:t xml:space="preserve">ondo fue notificado al Estado </w:t>
      </w:r>
      <w:r w:rsidR="00DF3621" w:rsidRPr="006B547D">
        <w:rPr>
          <w:rFonts w:ascii="Cambria" w:hAnsi="Cambria" w:cs="Calibri"/>
          <w:sz w:val="20"/>
          <w:szCs w:val="20"/>
          <w:lang w:val="es-ES"/>
        </w:rPr>
        <w:t>el</w:t>
      </w:r>
      <w:r w:rsidR="00517525" w:rsidRPr="006B547D">
        <w:rPr>
          <w:rFonts w:ascii="Cambria" w:hAnsi="Cambria" w:cs="Calibri"/>
          <w:sz w:val="20"/>
          <w:szCs w:val="20"/>
          <w:lang w:val="es-ES"/>
        </w:rPr>
        <w:t xml:space="preserve"> </w:t>
      </w:r>
      <w:r w:rsidR="00463AFE" w:rsidRPr="006B547D">
        <w:rPr>
          <w:rFonts w:ascii="Cambria" w:hAnsi="Cambria" w:cs="Calibri"/>
          <w:sz w:val="20"/>
          <w:szCs w:val="20"/>
          <w:lang w:val="es-ES"/>
        </w:rPr>
        <w:t>8</w:t>
      </w:r>
      <w:r w:rsidR="00016A29" w:rsidRPr="006B547D">
        <w:rPr>
          <w:rFonts w:ascii="Cambria" w:hAnsi="Cambria"/>
          <w:sz w:val="20"/>
          <w:szCs w:val="20"/>
          <w:lang w:val="es-ES_tradnl"/>
        </w:rPr>
        <w:t xml:space="preserve"> de febrero de 2019</w:t>
      </w:r>
      <w:r w:rsidR="0042403B" w:rsidRPr="006B547D">
        <w:rPr>
          <w:rFonts w:ascii="Cambria" w:hAnsi="Cambria" w:cs="Calibri"/>
          <w:sz w:val="20"/>
          <w:szCs w:val="20"/>
          <w:lang w:val="es-ES"/>
        </w:rPr>
        <w:t xml:space="preserve">, otorgándole un plazo de dos meses para informar sobre el cumplimiento de las recomendaciones. </w:t>
      </w:r>
      <w:r w:rsidR="00316C30" w:rsidRPr="006B547D">
        <w:rPr>
          <w:rFonts w:ascii="Cambria" w:hAnsi="Cambria"/>
          <w:sz w:val="20"/>
          <w:szCs w:val="20"/>
          <w:lang w:val="es-AR"/>
        </w:rPr>
        <w:t xml:space="preserve">El Estado </w:t>
      </w:r>
      <w:r w:rsidR="00016A29" w:rsidRPr="006B547D">
        <w:rPr>
          <w:rFonts w:ascii="Cambria" w:hAnsi="Cambria"/>
          <w:sz w:val="20"/>
          <w:szCs w:val="20"/>
          <w:lang w:val="es-AR"/>
        </w:rPr>
        <w:t>colombiano</w:t>
      </w:r>
      <w:r w:rsidR="00316C30" w:rsidRPr="006B547D">
        <w:rPr>
          <w:rFonts w:ascii="Cambria" w:hAnsi="Cambria"/>
          <w:sz w:val="20"/>
          <w:szCs w:val="20"/>
          <w:lang w:val="es-AR"/>
        </w:rPr>
        <w:t xml:space="preserve"> solicitó </w:t>
      </w:r>
      <w:r w:rsidR="00E00544" w:rsidRPr="006B547D">
        <w:rPr>
          <w:rFonts w:ascii="Cambria" w:hAnsi="Cambria"/>
          <w:sz w:val="20"/>
          <w:szCs w:val="20"/>
          <w:lang w:val="es-AR"/>
        </w:rPr>
        <w:t xml:space="preserve">cinco </w:t>
      </w:r>
      <w:r w:rsidR="00C7184C" w:rsidRPr="006B547D">
        <w:rPr>
          <w:rFonts w:ascii="Cambria" w:hAnsi="Cambria"/>
          <w:sz w:val="20"/>
          <w:szCs w:val="20"/>
          <w:lang w:val="es-CO"/>
        </w:rPr>
        <w:t xml:space="preserve">prórrogas tras la notificación del informe de fondo, </w:t>
      </w:r>
      <w:r w:rsidR="007A593D" w:rsidRPr="006B547D">
        <w:rPr>
          <w:rFonts w:ascii="Cambria" w:hAnsi="Cambria"/>
          <w:sz w:val="20"/>
          <w:szCs w:val="20"/>
          <w:lang w:val="es-CO"/>
        </w:rPr>
        <w:t xml:space="preserve">que le </w:t>
      </w:r>
      <w:r w:rsidR="00C7184C" w:rsidRPr="006B547D">
        <w:rPr>
          <w:rFonts w:ascii="Cambria" w:hAnsi="Cambria"/>
          <w:sz w:val="20"/>
          <w:szCs w:val="20"/>
          <w:lang w:val="es-CO"/>
        </w:rPr>
        <w:t>fueron otorgadas por la Comisión</w:t>
      </w:r>
      <w:r w:rsidR="0077308C" w:rsidRPr="006B547D">
        <w:rPr>
          <w:rFonts w:ascii="Cambria" w:hAnsi="Cambria"/>
          <w:sz w:val="20"/>
          <w:szCs w:val="20"/>
          <w:lang w:val="es-CO"/>
        </w:rPr>
        <w:t xml:space="preserve"> con el objetivo de avanzar en la implementación de las recomendaciones</w:t>
      </w:r>
      <w:r w:rsidR="00E00544" w:rsidRPr="006B547D">
        <w:rPr>
          <w:rFonts w:ascii="Cambria" w:hAnsi="Cambria"/>
          <w:sz w:val="20"/>
          <w:szCs w:val="20"/>
          <w:lang w:val="es-CO"/>
        </w:rPr>
        <w:t xml:space="preserve">. El 27 de julio de 2020 el Estado solicitó una </w:t>
      </w:r>
      <w:r w:rsidR="0077308C" w:rsidRPr="006B547D">
        <w:rPr>
          <w:rFonts w:ascii="Cambria" w:hAnsi="Cambria"/>
          <w:sz w:val="20"/>
          <w:szCs w:val="20"/>
          <w:lang w:val="es-CO"/>
        </w:rPr>
        <w:t>sexta</w:t>
      </w:r>
      <w:r w:rsidR="00E00544" w:rsidRPr="006B547D">
        <w:rPr>
          <w:rFonts w:ascii="Cambria" w:hAnsi="Cambria"/>
          <w:sz w:val="20"/>
          <w:szCs w:val="20"/>
          <w:lang w:val="es-CO"/>
        </w:rPr>
        <w:t xml:space="preserve"> prórroga. </w:t>
      </w:r>
      <w:r w:rsidR="0077308C" w:rsidRPr="006B547D">
        <w:rPr>
          <w:rFonts w:ascii="Cambria" w:hAnsi="Cambria"/>
          <w:sz w:val="20"/>
          <w:szCs w:val="20"/>
          <w:lang w:val="es-CO"/>
        </w:rPr>
        <w:t>Al evaluar dicha solicitud, así como la información proporcionada por las partes, la Comisión observó que, a 27 años de ocurrida la desaparición forzada y a un año y medio de notificado el Informe de Fondo, no</w:t>
      </w:r>
      <w:r w:rsidR="00F50FF2" w:rsidRPr="006B547D">
        <w:rPr>
          <w:rFonts w:ascii="Cambria" w:hAnsi="Cambria"/>
          <w:sz w:val="20"/>
          <w:szCs w:val="20"/>
          <w:lang w:val="es-CO"/>
        </w:rPr>
        <w:t xml:space="preserve"> se han registrado</w:t>
      </w:r>
      <w:r w:rsidR="0077308C" w:rsidRPr="006B547D">
        <w:rPr>
          <w:rFonts w:ascii="Cambria" w:hAnsi="Cambria"/>
          <w:sz w:val="20"/>
          <w:szCs w:val="20"/>
          <w:lang w:val="es-CO"/>
        </w:rPr>
        <w:t xml:space="preserve"> avances sustanciales en aspectos relativos, por ejemplo, a la medida de justicia y a la búsqueda del paradero de la víctima. Por lo tanto, con base en esta información, </w:t>
      </w:r>
      <w:r w:rsidR="00F50FF2" w:rsidRPr="006B547D">
        <w:rPr>
          <w:rFonts w:ascii="Cambria" w:hAnsi="Cambria"/>
          <w:sz w:val="20"/>
          <w:szCs w:val="20"/>
          <w:lang w:val="es-CO"/>
        </w:rPr>
        <w:t xml:space="preserve">y </w:t>
      </w:r>
      <w:r w:rsidR="0077308C" w:rsidRPr="006B547D">
        <w:rPr>
          <w:rFonts w:ascii="Cambria" w:hAnsi="Cambria"/>
          <w:sz w:val="20"/>
          <w:szCs w:val="20"/>
          <w:lang w:val="es-CO"/>
        </w:rPr>
        <w:t xml:space="preserve">teniendo en cuenta la </w:t>
      </w:r>
      <w:r w:rsidR="00F50FF2" w:rsidRPr="006B547D">
        <w:rPr>
          <w:rFonts w:ascii="Cambria" w:hAnsi="Cambria"/>
          <w:sz w:val="20"/>
          <w:szCs w:val="20"/>
          <w:lang w:val="es-CO"/>
        </w:rPr>
        <w:t xml:space="preserve">voluntad </w:t>
      </w:r>
      <w:r w:rsidR="0077308C" w:rsidRPr="006B547D">
        <w:rPr>
          <w:rFonts w:ascii="Cambria" w:hAnsi="Cambria"/>
          <w:sz w:val="20"/>
          <w:szCs w:val="20"/>
          <w:lang w:val="es-CO"/>
        </w:rPr>
        <w:t>de la parte peticionaria</w:t>
      </w:r>
      <w:r w:rsidR="00F50FF2" w:rsidRPr="006B547D">
        <w:rPr>
          <w:rFonts w:ascii="Cambria" w:hAnsi="Cambria"/>
          <w:sz w:val="20"/>
          <w:szCs w:val="20"/>
          <w:lang w:val="es-CO"/>
        </w:rPr>
        <w:t xml:space="preserve"> de someter el caso a la Corte Interamericana</w:t>
      </w:r>
      <w:r w:rsidR="0077308C" w:rsidRPr="006B547D">
        <w:rPr>
          <w:rFonts w:ascii="Cambria" w:hAnsi="Cambria"/>
          <w:sz w:val="20"/>
          <w:szCs w:val="20"/>
          <w:lang w:val="es-CO"/>
        </w:rPr>
        <w:t xml:space="preserve">, </w:t>
      </w:r>
      <w:r w:rsidR="00F50FF2" w:rsidRPr="006B547D">
        <w:rPr>
          <w:rFonts w:ascii="Cambria" w:hAnsi="Cambria"/>
          <w:sz w:val="20"/>
          <w:szCs w:val="20"/>
          <w:lang w:val="es-CO"/>
        </w:rPr>
        <w:t>la Comisión Interamericana somete a la jurisdicción de esa Honorable Corte la totalidad de los hechos y violaciones</w:t>
      </w:r>
      <w:r w:rsidR="00F50FF2" w:rsidRPr="006B547D">
        <w:rPr>
          <w:rFonts w:ascii="Cambria" w:hAnsi="Cambria"/>
          <w:color w:val="000000"/>
          <w:sz w:val="20"/>
          <w:szCs w:val="20"/>
          <w:lang w:val="es-CO"/>
        </w:rPr>
        <w:t xml:space="preserve"> de derechos humanos descritos en el Informe de Fondo </w:t>
      </w:r>
      <w:r w:rsidR="00F50FF2" w:rsidRPr="006B547D">
        <w:rPr>
          <w:rFonts w:ascii="Cambria" w:hAnsi="Cambria" w:cs="Calibri"/>
          <w:color w:val="000000"/>
          <w:sz w:val="20"/>
          <w:szCs w:val="20"/>
          <w:lang w:val="es-ES"/>
        </w:rPr>
        <w:t xml:space="preserve">No. </w:t>
      </w:r>
      <w:r w:rsidR="00F50FF2" w:rsidRPr="006B547D">
        <w:rPr>
          <w:rFonts w:ascii="Cambria" w:hAnsi="Cambria"/>
          <w:color w:val="000000"/>
          <w:sz w:val="20"/>
          <w:szCs w:val="20"/>
          <w:lang w:val="es-CO"/>
        </w:rPr>
        <w:t xml:space="preserve">149/18, por la necesidad de obtención de justicia para las víctimas y sus familiares. </w:t>
      </w:r>
    </w:p>
    <w:p w14:paraId="0DCC95A3" w14:textId="77777777" w:rsidR="0077308C" w:rsidRPr="006B547D" w:rsidRDefault="0077308C" w:rsidP="007929FF">
      <w:pPr>
        <w:spacing w:after="0" w:line="240" w:lineRule="auto"/>
        <w:jc w:val="both"/>
        <w:rPr>
          <w:rFonts w:ascii="Cambria" w:hAnsi="Cambria"/>
          <w:sz w:val="20"/>
          <w:szCs w:val="20"/>
          <w:lang w:val="es-CO"/>
        </w:rPr>
      </w:pPr>
    </w:p>
    <w:p w14:paraId="7C954163" w14:textId="77777777" w:rsidR="005226B0" w:rsidRPr="006B547D" w:rsidRDefault="007A0D8E" w:rsidP="007929FF">
      <w:pPr>
        <w:spacing w:after="0" w:line="240" w:lineRule="auto"/>
        <w:ind w:firstLine="720"/>
        <w:jc w:val="both"/>
        <w:rPr>
          <w:rFonts w:ascii="Cambria" w:hAnsi="Cambria"/>
          <w:color w:val="000000"/>
          <w:sz w:val="20"/>
          <w:szCs w:val="20"/>
          <w:lang w:val="es-ES"/>
        </w:rPr>
      </w:pPr>
      <w:r w:rsidRPr="006B547D">
        <w:rPr>
          <w:rFonts w:ascii="Cambria" w:hAnsi="Cambria"/>
          <w:color w:val="000000"/>
          <w:sz w:val="20"/>
          <w:szCs w:val="20"/>
          <w:lang w:val="es-CO"/>
        </w:rPr>
        <w:t>En ese sentido, la CIDH solicita a la Corte Interamericana que concluya y declare la responsabilidad internacional del Estado de</w:t>
      </w:r>
      <w:r w:rsidR="007A593D" w:rsidRPr="006B547D">
        <w:rPr>
          <w:rFonts w:ascii="Cambria" w:hAnsi="Cambria"/>
          <w:color w:val="000000"/>
          <w:sz w:val="20"/>
          <w:szCs w:val="20"/>
          <w:lang w:val="es-CO"/>
        </w:rPr>
        <w:t xml:space="preserve"> Colombia </w:t>
      </w:r>
      <w:r w:rsidRPr="006B547D">
        <w:rPr>
          <w:rFonts w:ascii="Cambria" w:hAnsi="Cambria"/>
          <w:color w:val="000000"/>
          <w:sz w:val="20"/>
          <w:szCs w:val="20"/>
          <w:lang w:val="es-CO"/>
        </w:rPr>
        <w:t xml:space="preserve">por la violación de los derechos </w:t>
      </w:r>
      <w:r w:rsidR="005226B0" w:rsidRPr="006B547D">
        <w:rPr>
          <w:rFonts w:ascii="Cambria" w:hAnsi="Cambria"/>
          <w:sz w:val="20"/>
          <w:szCs w:val="20"/>
          <w:lang w:val="es-ES"/>
        </w:rPr>
        <w:t>de los derechos al reconocimiento de la personalidad jurídica, a la vida, a la integridad personal, a la libertad personal, al debido proceso, a la</w:t>
      </w:r>
      <w:r w:rsidR="005226B0" w:rsidRPr="006B547D">
        <w:rPr>
          <w:rFonts w:ascii="Cambria" w:hAnsi="Cambria"/>
          <w:sz w:val="20"/>
          <w:szCs w:val="20"/>
          <w:lang w:val="es-ES_tradnl"/>
        </w:rPr>
        <w:t xml:space="preserve"> libertad de asociación, y a la protección judicial,</w:t>
      </w:r>
      <w:r w:rsidR="005226B0" w:rsidRPr="006B547D">
        <w:rPr>
          <w:rFonts w:ascii="Cambria" w:hAnsi="Cambria"/>
          <w:sz w:val="20"/>
          <w:szCs w:val="20"/>
          <w:lang w:val="es-ES"/>
        </w:rPr>
        <w:t xml:space="preserve"> establecidos en los artículos 3, 4</w:t>
      </w:r>
      <w:r w:rsidR="00662171" w:rsidRPr="006B547D">
        <w:rPr>
          <w:rFonts w:ascii="Cambria" w:hAnsi="Cambria"/>
          <w:sz w:val="20"/>
          <w:szCs w:val="20"/>
          <w:lang w:val="es-ES"/>
        </w:rPr>
        <w:t>.1</w:t>
      </w:r>
      <w:r w:rsidR="005226B0" w:rsidRPr="006B547D">
        <w:rPr>
          <w:rFonts w:ascii="Cambria" w:hAnsi="Cambria"/>
          <w:sz w:val="20"/>
          <w:szCs w:val="20"/>
          <w:lang w:val="es-ES"/>
        </w:rPr>
        <w:t>, 5</w:t>
      </w:r>
      <w:r w:rsidR="00662171" w:rsidRPr="006B547D">
        <w:rPr>
          <w:rFonts w:ascii="Cambria" w:hAnsi="Cambria"/>
          <w:sz w:val="20"/>
          <w:szCs w:val="20"/>
          <w:lang w:val="es-ES"/>
        </w:rPr>
        <w:t>.1</w:t>
      </w:r>
      <w:r w:rsidR="005226B0" w:rsidRPr="006B547D">
        <w:rPr>
          <w:rFonts w:ascii="Cambria" w:hAnsi="Cambria"/>
          <w:sz w:val="20"/>
          <w:szCs w:val="20"/>
          <w:lang w:val="es-ES"/>
        </w:rPr>
        <w:t>, 7</w:t>
      </w:r>
      <w:r w:rsidR="00662171" w:rsidRPr="006B547D">
        <w:rPr>
          <w:rFonts w:ascii="Cambria" w:hAnsi="Cambria"/>
          <w:sz w:val="20"/>
          <w:szCs w:val="20"/>
          <w:lang w:val="es-ES"/>
        </w:rPr>
        <w:t>.1</w:t>
      </w:r>
      <w:r w:rsidR="005226B0" w:rsidRPr="006B547D">
        <w:rPr>
          <w:rFonts w:ascii="Cambria" w:hAnsi="Cambria"/>
          <w:sz w:val="20"/>
          <w:szCs w:val="20"/>
          <w:lang w:val="es-ES"/>
        </w:rPr>
        <w:t>, 8</w:t>
      </w:r>
      <w:r w:rsidR="00662171" w:rsidRPr="006B547D">
        <w:rPr>
          <w:rFonts w:ascii="Cambria" w:hAnsi="Cambria"/>
          <w:sz w:val="20"/>
          <w:szCs w:val="20"/>
          <w:lang w:val="es-ES"/>
        </w:rPr>
        <w:t>.1</w:t>
      </w:r>
      <w:r w:rsidR="005226B0" w:rsidRPr="006B547D">
        <w:rPr>
          <w:rFonts w:ascii="Cambria" w:hAnsi="Cambria"/>
          <w:sz w:val="20"/>
          <w:szCs w:val="20"/>
          <w:lang w:val="es-ES"/>
        </w:rPr>
        <w:t>, 16 y 25</w:t>
      </w:r>
      <w:r w:rsidR="00662171" w:rsidRPr="006B547D">
        <w:rPr>
          <w:rFonts w:ascii="Cambria" w:hAnsi="Cambria"/>
          <w:sz w:val="20"/>
          <w:szCs w:val="20"/>
          <w:lang w:val="es-ES"/>
        </w:rPr>
        <w:t>.1</w:t>
      </w:r>
      <w:r w:rsidR="005226B0" w:rsidRPr="006B547D">
        <w:rPr>
          <w:rFonts w:ascii="Cambria" w:hAnsi="Cambria"/>
          <w:sz w:val="20"/>
          <w:szCs w:val="20"/>
          <w:lang w:val="es-ES"/>
        </w:rPr>
        <w:t xml:space="preserve"> de la Convención Americana, en relación con sus artículos 1.1 y 2, así como el artículo I a)</w:t>
      </w:r>
      <w:r w:rsidR="005226B0" w:rsidRPr="006B547D">
        <w:rPr>
          <w:rFonts w:ascii="Cambria" w:hAnsi="Cambria"/>
          <w:color w:val="000000"/>
          <w:sz w:val="20"/>
          <w:szCs w:val="20"/>
          <w:lang w:val="es-CO"/>
        </w:rPr>
        <w:t xml:space="preserve"> y b) de la </w:t>
      </w:r>
      <w:r w:rsidR="005226B0" w:rsidRPr="006B547D">
        <w:rPr>
          <w:rFonts w:ascii="Cambria" w:hAnsi="Cambria"/>
          <w:sz w:val="20"/>
          <w:szCs w:val="20"/>
          <w:lang w:val="es-ES"/>
        </w:rPr>
        <w:t>Convención Interamericana sobre Desaparición Forzada de Personas, en los términos del Informe de Fondo</w:t>
      </w:r>
      <w:r w:rsidR="00BD1F09" w:rsidRPr="006B547D">
        <w:rPr>
          <w:rFonts w:ascii="Cambria" w:hAnsi="Cambria"/>
          <w:sz w:val="20"/>
          <w:szCs w:val="20"/>
          <w:lang w:val="es-ES"/>
        </w:rPr>
        <w:t xml:space="preserve"> </w:t>
      </w:r>
      <w:r w:rsidR="00BD1F09" w:rsidRPr="006B547D">
        <w:rPr>
          <w:rFonts w:ascii="Cambria" w:hAnsi="Cambria" w:cs="Calibri"/>
          <w:color w:val="000000"/>
          <w:sz w:val="20"/>
          <w:szCs w:val="20"/>
          <w:lang w:val="es-ES"/>
        </w:rPr>
        <w:t>No.</w:t>
      </w:r>
      <w:r w:rsidR="005226B0" w:rsidRPr="006B547D">
        <w:rPr>
          <w:rFonts w:ascii="Cambria" w:hAnsi="Cambria"/>
          <w:sz w:val="20"/>
          <w:szCs w:val="20"/>
          <w:lang w:val="es-ES"/>
        </w:rPr>
        <w:t xml:space="preserve"> </w:t>
      </w:r>
      <w:r w:rsidR="002248D7" w:rsidRPr="006B547D">
        <w:rPr>
          <w:rFonts w:ascii="Cambria" w:hAnsi="Cambria"/>
          <w:sz w:val="20"/>
          <w:szCs w:val="20"/>
          <w:lang w:val="es-ES"/>
        </w:rPr>
        <w:t>149</w:t>
      </w:r>
      <w:r w:rsidR="005226B0" w:rsidRPr="006B547D">
        <w:rPr>
          <w:rFonts w:ascii="Cambria" w:hAnsi="Cambria"/>
          <w:sz w:val="20"/>
          <w:szCs w:val="20"/>
          <w:lang w:val="es-ES"/>
        </w:rPr>
        <w:t>/1</w:t>
      </w:r>
      <w:r w:rsidR="002248D7" w:rsidRPr="006B547D">
        <w:rPr>
          <w:rFonts w:ascii="Cambria" w:hAnsi="Cambria"/>
          <w:sz w:val="20"/>
          <w:szCs w:val="20"/>
          <w:lang w:val="es-ES"/>
        </w:rPr>
        <w:t>8</w:t>
      </w:r>
      <w:r w:rsidR="005226B0" w:rsidRPr="006B547D">
        <w:rPr>
          <w:rFonts w:ascii="Cambria" w:hAnsi="Cambria"/>
          <w:sz w:val="20"/>
          <w:szCs w:val="20"/>
          <w:lang w:val="es-ES"/>
        </w:rPr>
        <w:t>.</w:t>
      </w:r>
    </w:p>
    <w:p w14:paraId="04FA757E" w14:textId="77777777" w:rsidR="007A0D8E" w:rsidRPr="006B547D" w:rsidRDefault="007A0D8E" w:rsidP="007929FF">
      <w:pPr>
        <w:spacing w:after="0" w:line="240" w:lineRule="auto"/>
        <w:ind w:firstLine="720"/>
        <w:jc w:val="both"/>
        <w:rPr>
          <w:rFonts w:ascii="Cambria" w:hAnsi="Cambria"/>
          <w:sz w:val="20"/>
          <w:szCs w:val="20"/>
          <w:lang w:val="es-ES"/>
        </w:rPr>
      </w:pPr>
    </w:p>
    <w:p w14:paraId="177A2670" w14:textId="77777777" w:rsidR="00455E3F" w:rsidRPr="006B547D" w:rsidRDefault="00455E3F" w:rsidP="007929FF">
      <w:pPr>
        <w:spacing w:after="0" w:line="240" w:lineRule="auto"/>
        <w:ind w:firstLine="720"/>
        <w:jc w:val="both"/>
        <w:rPr>
          <w:rFonts w:ascii="Cambria" w:hAnsi="Cambria"/>
          <w:sz w:val="20"/>
          <w:szCs w:val="20"/>
          <w:lang w:val="es-ES"/>
        </w:rPr>
      </w:pPr>
      <w:r w:rsidRPr="006B547D">
        <w:rPr>
          <w:rFonts w:ascii="Cambria" w:hAnsi="Cambria"/>
          <w:sz w:val="20"/>
          <w:szCs w:val="20"/>
          <w:lang w:val="es-ES"/>
        </w:rPr>
        <w:t>La Comisión solicita a la Corte Interamericana que establezca las siguientes medidas de reparación:</w:t>
      </w:r>
    </w:p>
    <w:p w14:paraId="44214AFD" w14:textId="77777777" w:rsidR="007A0D8E" w:rsidRPr="006B547D" w:rsidRDefault="007A0D8E" w:rsidP="007929FF">
      <w:pPr>
        <w:spacing w:after="0" w:line="240" w:lineRule="auto"/>
        <w:jc w:val="both"/>
        <w:rPr>
          <w:rStyle w:val="s1"/>
          <w:rFonts w:ascii="Cambria" w:hAnsi="Cambria"/>
          <w:sz w:val="20"/>
          <w:szCs w:val="20"/>
          <w:lang w:val="es-CO"/>
        </w:rPr>
      </w:pPr>
    </w:p>
    <w:p w14:paraId="4C469D82" w14:textId="77777777" w:rsidR="00D12AD1" w:rsidRPr="006B547D" w:rsidRDefault="00D12AD1" w:rsidP="007929FF">
      <w:pPr>
        <w:pStyle w:val="Prrafodelista"/>
        <w:numPr>
          <w:ilvl w:val="0"/>
          <w:numId w:val="7"/>
        </w:numPr>
        <w:tabs>
          <w:tab w:val="left" w:pos="1080"/>
        </w:tabs>
        <w:ind w:left="0" w:firstLine="720"/>
        <w:jc w:val="both"/>
        <w:rPr>
          <w:sz w:val="20"/>
          <w:szCs w:val="20"/>
          <w:lang w:val="es-ES"/>
        </w:rPr>
      </w:pPr>
      <w:r w:rsidRPr="006B547D">
        <w:rPr>
          <w:sz w:val="20"/>
          <w:szCs w:val="20"/>
          <w:lang w:val="es-ES"/>
        </w:rPr>
        <w:t xml:space="preserve">Reparar integralmente las violaciones de derechos humanos declaradas en el </w:t>
      </w:r>
      <w:r w:rsidR="007A593D" w:rsidRPr="006B547D">
        <w:rPr>
          <w:sz w:val="20"/>
          <w:szCs w:val="20"/>
          <w:lang w:val="es-ES"/>
        </w:rPr>
        <w:t>I</w:t>
      </w:r>
      <w:r w:rsidRPr="006B547D">
        <w:rPr>
          <w:sz w:val="20"/>
          <w:szCs w:val="20"/>
          <w:lang w:val="es-ES"/>
        </w:rPr>
        <w:t xml:space="preserve">nforme </w:t>
      </w:r>
      <w:r w:rsidR="007A593D" w:rsidRPr="006B547D">
        <w:rPr>
          <w:sz w:val="20"/>
          <w:szCs w:val="20"/>
          <w:lang w:val="es-ES"/>
        </w:rPr>
        <w:t xml:space="preserve">de Fondo No. 149/18, </w:t>
      </w:r>
      <w:r w:rsidRPr="006B547D">
        <w:rPr>
          <w:sz w:val="20"/>
          <w:szCs w:val="20"/>
          <w:lang w:val="es-ES"/>
        </w:rPr>
        <w:t xml:space="preserve">tanto en el aspecto material como inmaterial. El Estado deberá adoptar las medidas de compensación económica y satisfacción. </w:t>
      </w:r>
    </w:p>
    <w:p w14:paraId="4C1556A6" w14:textId="77777777" w:rsidR="00D12AD1" w:rsidRPr="006B547D" w:rsidRDefault="00D12AD1" w:rsidP="007929FF">
      <w:pPr>
        <w:pStyle w:val="Prrafodelista"/>
        <w:ind w:left="0" w:firstLine="720"/>
        <w:rPr>
          <w:sz w:val="20"/>
          <w:szCs w:val="20"/>
          <w:lang w:val="es-ES"/>
        </w:rPr>
      </w:pPr>
    </w:p>
    <w:p w14:paraId="69A9F0A6" w14:textId="77777777" w:rsidR="00D12AD1" w:rsidRPr="006B547D" w:rsidRDefault="00D12AD1" w:rsidP="007929FF">
      <w:pPr>
        <w:pStyle w:val="Prrafodelista"/>
        <w:numPr>
          <w:ilvl w:val="0"/>
          <w:numId w:val="7"/>
        </w:numPr>
        <w:tabs>
          <w:tab w:val="left" w:pos="1080"/>
        </w:tabs>
        <w:ind w:left="0" w:firstLine="720"/>
        <w:jc w:val="both"/>
        <w:rPr>
          <w:sz w:val="20"/>
          <w:szCs w:val="20"/>
          <w:lang w:val="es-ES"/>
        </w:rPr>
      </w:pPr>
      <w:r w:rsidRPr="006B547D">
        <w:rPr>
          <w:sz w:val="20"/>
          <w:szCs w:val="20"/>
          <w:lang w:val="es-ES"/>
        </w:rPr>
        <w:t>Disponer las medidas de atención en salud física y mental necesarias para la rehabilitación de los familiares de Pedro Julio Movilla Galarcio, de ser su voluntad y de manera concertada.</w:t>
      </w:r>
    </w:p>
    <w:p w14:paraId="3782020C" w14:textId="77777777" w:rsidR="00D12AD1" w:rsidRPr="006B547D" w:rsidRDefault="00D12AD1" w:rsidP="007929FF">
      <w:pPr>
        <w:pStyle w:val="Prrafodelista"/>
        <w:ind w:left="0"/>
        <w:rPr>
          <w:sz w:val="20"/>
          <w:szCs w:val="20"/>
          <w:lang w:val="es-ES"/>
        </w:rPr>
      </w:pPr>
    </w:p>
    <w:p w14:paraId="119555DD" w14:textId="77777777" w:rsidR="00D12AD1" w:rsidRPr="006B547D" w:rsidRDefault="00D12AD1" w:rsidP="007929FF">
      <w:pPr>
        <w:pStyle w:val="Prrafodelista"/>
        <w:numPr>
          <w:ilvl w:val="0"/>
          <w:numId w:val="7"/>
        </w:numPr>
        <w:tabs>
          <w:tab w:val="left" w:pos="1080"/>
        </w:tabs>
        <w:ind w:left="0" w:firstLine="720"/>
        <w:jc w:val="both"/>
        <w:rPr>
          <w:sz w:val="20"/>
          <w:szCs w:val="20"/>
          <w:lang w:val="es-ES"/>
        </w:rPr>
      </w:pPr>
      <w:r w:rsidRPr="006B547D">
        <w:rPr>
          <w:sz w:val="20"/>
          <w:szCs w:val="20"/>
          <w:lang w:val="es-ES"/>
        </w:rPr>
        <w:t xml:space="preserve">Investigar el destino o paradero de Pedro Julio Movilla Galarcio y, de ser el caso, adoptar las medidas necesarias para identificar y entregar a sus familiares los restos mortales. </w:t>
      </w:r>
    </w:p>
    <w:p w14:paraId="290BA80C" w14:textId="77777777" w:rsidR="00D12AD1" w:rsidRPr="006B547D" w:rsidRDefault="00D12AD1" w:rsidP="007929FF">
      <w:pPr>
        <w:pStyle w:val="Body"/>
        <w:ind w:firstLine="720"/>
        <w:rPr>
          <w:lang w:val="es-ES"/>
        </w:rPr>
      </w:pPr>
    </w:p>
    <w:p w14:paraId="3F3AA701" w14:textId="77777777" w:rsidR="00D12AD1" w:rsidRPr="006B547D" w:rsidRDefault="00D12AD1" w:rsidP="007929FF">
      <w:pPr>
        <w:pStyle w:val="Prrafodelista"/>
        <w:numPr>
          <w:ilvl w:val="0"/>
          <w:numId w:val="7"/>
        </w:numPr>
        <w:tabs>
          <w:tab w:val="left" w:pos="1080"/>
        </w:tabs>
        <w:ind w:left="0" w:firstLine="720"/>
        <w:jc w:val="both"/>
        <w:rPr>
          <w:sz w:val="20"/>
          <w:szCs w:val="20"/>
          <w:lang w:val="es-ES"/>
        </w:rPr>
      </w:pPr>
      <w:r w:rsidRPr="006B547D">
        <w:rPr>
          <w:color w:val="auto"/>
          <w:sz w:val="20"/>
          <w:szCs w:val="20"/>
          <w:lang w:val="es-ES"/>
        </w:rPr>
        <w:t>Concluir l</w:t>
      </w:r>
      <w:r w:rsidRPr="006B547D">
        <w:rPr>
          <w:sz w:val="20"/>
          <w:szCs w:val="20"/>
          <w:lang w:val="es-ES"/>
        </w:rPr>
        <w:t xml:space="preserve">a investigación penal de manera diligente, efectiva y dentro de un plazo razonable con el objeto de esclarecer los hechos en forma completa, identificar todas las posibles responsabilidades e imponer las sanciones que correspondan respecto de las violaciones de derechos humanos declaradas en el </w:t>
      </w:r>
      <w:r w:rsidR="00BC27DE" w:rsidRPr="006B547D">
        <w:rPr>
          <w:sz w:val="20"/>
          <w:szCs w:val="20"/>
          <w:lang w:val="es-ES"/>
        </w:rPr>
        <w:t>Informe de Fondo No. 149/18.</w:t>
      </w:r>
    </w:p>
    <w:p w14:paraId="4825B89D" w14:textId="77777777" w:rsidR="00D12AD1" w:rsidRDefault="00D12AD1" w:rsidP="007929FF">
      <w:pPr>
        <w:pStyle w:val="Prrafodelista"/>
        <w:ind w:left="0" w:firstLine="720"/>
        <w:rPr>
          <w:sz w:val="20"/>
          <w:szCs w:val="20"/>
          <w:lang w:val="es-ES"/>
        </w:rPr>
      </w:pPr>
    </w:p>
    <w:p w14:paraId="6A284469" w14:textId="77777777" w:rsidR="00E1313B" w:rsidRPr="006B547D" w:rsidRDefault="00E1313B" w:rsidP="007929FF">
      <w:pPr>
        <w:pStyle w:val="Prrafodelista"/>
        <w:ind w:left="0" w:firstLine="720"/>
        <w:rPr>
          <w:sz w:val="20"/>
          <w:szCs w:val="20"/>
          <w:lang w:val="es-ES"/>
        </w:rPr>
      </w:pPr>
    </w:p>
    <w:p w14:paraId="25D56722" w14:textId="77777777" w:rsidR="00D12AD1" w:rsidRPr="006B547D" w:rsidRDefault="00D12AD1" w:rsidP="007929FF">
      <w:pPr>
        <w:pStyle w:val="Prrafodelista"/>
        <w:numPr>
          <w:ilvl w:val="0"/>
          <w:numId w:val="7"/>
        </w:numPr>
        <w:tabs>
          <w:tab w:val="left" w:pos="1080"/>
        </w:tabs>
        <w:ind w:left="0" w:firstLine="720"/>
        <w:jc w:val="both"/>
        <w:rPr>
          <w:color w:val="auto"/>
          <w:sz w:val="20"/>
          <w:szCs w:val="20"/>
          <w:lang w:val="es-ES"/>
        </w:rPr>
      </w:pPr>
      <w:r w:rsidRPr="006B547D">
        <w:rPr>
          <w:sz w:val="20"/>
          <w:szCs w:val="20"/>
          <w:lang w:val="es-ES"/>
        </w:rPr>
        <w:lastRenderedPageBreak/>
        <w:t xml:space="preserve">Disponer mecanismos de no repetición que incluyan: i) la derogación de los reglamentos y manuales militares indicados en el </w:t>
      </w:r>
      <w:r w:rsidR="00BC27DE" w:rsidRPr="006B547D">
        <w:rPr>
          <w:sz w:val="20"/>
          <w:szCs w:val="20"/>
          <w:lang w:val="es-ES"/>
        </w:rPr>
        <w:t>Informe de Fondo No. 149/18</w:t>
      </w:r>
      <w:r w:rsidRPr="006B547D">
        <w:rPr>
          <w:sz w:val="20"/>
          <w:szCs w:val="20"/>
          <w:lang w:val="es-ES"/>
        </w:rPr>
        <w:t xml:space="preserve"> y otros que puedan identificarse, ii) la instrucción explícita del alto mando militar y policial a todas las instancias jerárquicas de la imposibilidad de la aplicación de los reglamentos y manuales militares indicados por su incompatibilidad con la Convención Americana; y iii) asegurar la discontinuidad de las prácticas instaladas por el uso de dichos reglamentos y manuales y la noción de “ene</w:t>
      </w:r>
      <w:r w:rsidRPr="006B547D">
        <w:rPr>
          <w:color w:val="auto"/>
          <w:sz w:val="20"/>
          <w:szCs w:val="20"/>
          <w:lang w:val="es-ES"/>
        </w:rPr>
        <w:t>migo interno” a través de la incorporación del presente caso en las capacitaciones relativas a derechos humanos que se dirigen al personal policial, militar y órganos de inteligencia.</w:t>
      </w:r>
    </w:p>
    <w:p w14:paraId="06E247EA" w14:textId="77777777" w:rsidR="00FD5963" w:rsidRPr="007929FF" w:rsidRDefault="00FD5963" w:rsidP="007929FF">
      <w:pPr>
        <w:spacing w:after="0" w:line="240" w:lineRule="auto"/>
        <w:jc w:val="both"/>
        <w:rPr>
          <w:rFonts w:ascii="Cambria" w:hAnsi="Cambria" w:cs="Calibri"/>
          <w:sz w:val="16"/>
          <w:szCs w:val="16"/>
          <w:lang w:val="es-ES"/>
        </w:rPr>
      </w:pPr>
    </w:p>
    <w:p w14:paraId="31ED9734" w14:textId="77777777" w:rsidR="006E1718" w:rsidRPr="006B547D" w:rsidRDefault="00162CE1" w:rsidP="007929FF">
      <w:pPr>
        <w:spacing w:after="0" w:line="240" w:lineRule="auto"/>
        <w:ind w:firstLine="720"/>
        <w:jc w:val="both"/>
        <w:rPr>
          <w:rFonts w:ascii="Cambria" w:hAnsi="Cambria" w:cs="Calibri"/>
          <w:sz w:val="20"/>
          <w:szCs w:val="20"/>
          <w:lang w:val="es-ES"/>
        </w:rPr>
      </w:pPr>
      <w:r w:rsidRPr="006B547D">
        <w:rPr>
          <w:rFonts w:ascii="Cambria" w:hAnsi="Cambria" w:cs="Calibri"/>
          <w:sz w:val="20"/>
          <w:szCs w:val="20"/>
          <w:lang w:val="es-ES"/>
        </w:rPr>
        <w:t>Además de la necesidad de obtención de justicia</w:t>
      </w:r>
      <w:r w:rsidR="00377262" w:rsidRPr="006B547D">
        <w:rPr>
          <w:rFonts w:ascii="Cambria" w:hAnsi="Cambria" w:cs="Calibri"/>
          <w:sz w:val="20"/>
          <w:szCs w:val="20"/>
          <w:lang w:val="es-ES"/>
        </w:rPr>
        <w:t xml:space="preserve"> y reparación</w:t>
      </w:r>
      <w:r w:rsidRPr="006B547D">
        <w:rPr>
          <w:rFonts w:ascii="Cambria" w:hAnsi="Cambria" w:cs="Calibri"/>
          <w:sz w:val="20"/>
          <w:szCs w:val="20"/>
          <w:lang w:val="es-ES"/>
        </w:rPr>
        <w:t xml:space="preserve"> por la falta de cumplimiento de las recomendaciones del </w:t>
      </w:r>
      <w:r w:rsidR="00BC27DE" w:rsidRPr="006B547D">
        <w:rPr>
          <w:rFonts w:ascii="Cambria" w:hAnsi="Cambria" w:cs="Calibri"/>
          <w:sz w:val="20"/>
          <w:szCs w:val="20"/>
          <w:lang w:val="es-ES"/>
        </w:rPr>
        <w:t>Informe de F</w:t>
      </w:r>
      <w:r w:rsidRPr="006B547D">
        <w:rPr>
          <w:rFonts w:ascii="Cambria" w:hAnsi="Cambria" w:cs="Calibri"/>
          <w:sz w:val="20"/>
          <w:szCs w:val="20"/>
          <w:lang w:val="es-ES"/>
        </w:rPr>
        <w:t>ondo</w:t>
      </w:r>
      <w:r w:rsidR="00BC27DE" w:rsidRPr="006B547D">
        <w:rPr>
          <w:rFonts w:ascii="Cambria" w:hAnsi="Cambria" w:cs="Calibri"/>
          <w:sz w:val="20"/>
          <w:szCs w:val="20"/>
          <w:lang w:val="es-ES"/>
        </w:rPr>
        <w:t xml:space="preserve"> No. 149/18</w:t>
      </w:r>
      <w:r w:rsidRPr="006B547D">
        <w:rPr>
          <w:rFonts w:ascii="Cambria" w:hAnsi="Cambria" w:cs="Calibri"/>
          <w:sz w:val="20"/>
          <w:szCs w:val="20"/>
          <w:lang w:val="es-ES"/>
        </w:rPr>
        <w:t>, la Comisión considera que el caso presenta cuestiones de orden público interamericano.</w:t>
      </w:r>
      <w:r w:rsidR="00245F50" w:rsidRPr="006B547D">
        <w:rPr>
          <w:rFonts w:ascii="Cambria" w:hAnsi="Cambria" w:cs="Calibri"/>
          <w:sz w:val="20"/>
          <w:szCs w:val="20"/>
          <w:lang w:val="es-ES"/>
        </w:rPr>
        <w:t xml:space="preserve"> </w:t>
      </w:r>
      <w:r w:rsidR="004D2EB3" w:rsidRPr="006B547D">
        <w:rPr>
          <w:rFonts w:ascii="Cambria" w:hAnsi="Cambria" w:cs="Arial"/>
          <w:sz w:val="20"/>
          <w:szCs w:val="20"/>
          <w:lang w:val="es-CL"/>
        </w:rPr>
        <w:t>E</w:t>
      </w:r>
      <w:r w:rsidR="004D2EB3" w:rsidRPr="006B547D">
        <w:rPr>
          <w:rFonts w:ascii="Cambria" w:eastAsia="Times New Roman" w:hAnsi="Cambria" w:cs="Cambria"/>
          <w:sz w:val="20"/>
          <w:szCs w:val="20"/>
          <w:lang w:val="es-CO"/>
        </w:rPr>
        <w:t xml:space="preserve">l caso permitirá a la Corte </w:t>
      </w:r>
      <w:r w:rsidR="00657C5B" w:rsidRPr="006B547D">
        <w:rPr>
          <w:rFonts w:ascii="Cambria" w:eastAsia="Times New Roman" w:hAnsi="Cambria" w:cs="Cambria"/>
          <w:sz w:val="20"/>
          <w:szCs w:val="20"/>
          <w:lang w:val="es-CO"/>
        </w:rPr>
        <w:t xml:space="preserve">profundizar en su jurisprudencia </w:t>
      </w:r>
      <w:r w:rsidR="006D27D0" w:rsidRPr="006B547D">
        <w:rPr>
          <w:rFonts w:ascii="Cambria" w:eastAsia="Times New Roman" w:hAnsi="Cambria" w:cs="Cambria"/>
          <w:sz w:val="20"/>
          <w:szCs w:val="20"/>
          <w:lang w:val="es-CO"/>
        </w:rPr>
        <w:t>en relación con las implicaciones que tiene en la responsabilidad internacional del Estado</w:t>
      </w:r>
      <w:r w:rsidR="00657C5B" w:rsidRPr="006B547D">
        <w:rPr>
          <w:rFonts w:ascii="Cambria" w:eastAsia="Times New Roman" w:hAnsi="Cambria" w:cs="Cambria"/>
          <w:sz w:val="20"/>
          <w:szCs w:val="20"/>
          <w:lang w:val="es-CO"/>
        </w:rPr>
        <w:t xml:space="preserve"> </w:t>
      </w:r>
      <w:r w:rsidR="008C1F3B" w:rsidRPr="006B547D">
        <w:rPr>
          <w:rFonts w:ascii="Cambria" w:eastAsia="Times New Roman" w:hAnsi="Cambria" w:cs="Cambria"/>
          <w:sz w:val="20"/>
          <w:szCs w:val="20"/>
          <w:lang w:val="es-CO"/>
        </w:rPr>
        <w:t xml:space="preserve">la </w:t>
      </w:r>
      <w:r w:rsidR="00657C5B" w:rsidRPr="006B547D">
        <w:rPr>
          <w:rFonts w:ascii="Cambria" w:eastAsia="Times New Roman" w:hAnsi="Cambria" w:cs="Cambria"/>
          <w:sz w:val="20"/>
          <w:szCs w:val="20"/>
          <w:lang w:val="es-CO"/>
        </w:rPr>
        <w:t xml:space="preserve">identificación </w:t>
      </w:r>
      <w:r w:rsidR="006D27D0" w:rsidRPr="006B547D">
        <w:rPr>
          <w:rFonts w:ascii="Cambria" w:eastAsia="Times New Roman" w:hAnsi="Cambria" w:cs="Cambria"/>
          <w:sz w:val="20"/>
          <w:szCs w:val="20"/>
          <w:lang w:val="es-CO"/>
        </w:rPr>
        <w:t xml:space="preserve">selectiva </w:t>
      </w:r>
      <w:r w:rsidR="00657C5B" w:rsidRPr="006B547D">
        <w:rPr>
          <w:rFonts w:ascii="Cambria" w:eastAsia="Times New Roman" w:hAnsi="Cambria" w:cs="Cambria"/>
          <w:sz w:val="20"/>
          <w:szCs w:val="20"/>
          <w:lang w:val="es-CO"/>
        </w:rPr>
        <w:t>de líderes</w:t>
      </w:r>
      <w:r w:rsidR="006B547D">
        <w:rPr>
          <w:rFonts w:ascii="Cambria" w:eastAsia="Times New Roman" w:hAnsi="Cambria" w:cs="Cambria"/>
          <w:sz w:val="20"/>
          <w:szCs w:val="20"/>
          <w:lang w:val="es-CO"/>
        </w:rPr>
        <w:t xml:space="preserve"> y lideresas</w:t>
      </w:r>
      <w:r w:rsidR="00657C5B" w:rsidRPr="006B547D">
        <w:rPr>
          <w:rFonts w:ascii="Cambria" w:eastAsia="Times New Roman" w:hAnsi="Cambria" w:cs="Cambria"/>
          <w:sz w:val="20"/>
          <w:szCs w:val="20"/>
          <w:lang w:val="es-CO"/>
        </w:rPr>
        <w:t xml:space="preserve"> sociales</w:t>
      </w:r>
      <w:r w:rsidR="006B547D">
        <w:rPr>
          <w:rFonts w:ascii="Cambria" w:eastAsia="Times New Roman" w:hAnsi="Cambria" w:cs="Cambria"/>
          <w:sz w:val="20"/>
          <w:szCs w:val="20"/>
          <w:lang w:val="es-CO"/>
        </w:rPr>
        <w:t>, como son los sindicalistas,</w:t>
      </w:r>
      <w:r w:rsidR="00657C5B" w:rsidRPr="006B547D">
        <w:rPr>
          <w:rFonts w:ascii="Cambria" w:eastAsia="Times New Roman" w:hAnsi="Cambria" w:cs="Cambria"/>
          <w:sz w:val="20"/>
          <w:szCs w:val="20"/>
          <w:lang w:val="es-CO"/>
        </w:rPr>
        <w:t xml:space="preserve"> </w:t>
      </w:r>
      <w:r w:rsidR="006D27D0" w:rsidRPr="006B547D">
        <w:rPr>
          <w:rFonts w:ascii="Cambria" w:eastAsia="Times New Roman" w:hAnsi="Cambria" w:cs="Cambria"/>
          <w:sz w:val="20"/>
          <w:szCs w:val="20"/>
          <w:lang w:val="es-CO"/>
        </w:rPr>
        <w:t>dentro de</w:t>
      </w:r>
      <w:r w:rsidR="00657C5B" w:rsidRPr="006B547D">
        <w:rPr>
          <w:rFonts w:ascii="Cambria" w:eastAsia="Times New Roman" w:hAnsi="Cambria" w:cs="Cambria"/>
          <w:sz w:val="20"/>
          <w:szCs w:val="20"/>
          <w:lang w:val="es-CO"/>
        </w:rPr>
        <w:t xml:space="preserve"> la </w:t>
      </w:r>
      <w:r w:rsidR="008C1F3B" w:rsidRPr="006B547D">
        <w:rPr>
          <w:rFonts w:ascii="Cambria" w:eastAsia="Times New Roman" w:hAnsi="Cambria" w:cs="Cambria"/>
          <w:sz w:val="20"/>
          <w:szCs w:val="20"/>
          <w:lang w:val="es-CO"/>
        </w:rPr>
        <w:t>noción del “enemigo interno” en la denominada “doctrina de seguridad nacional”</w:t>
      </w:r>
      <w:r w:rsidR="006D27D0" w:rsidRPr="006B547D">
        <w:rPr>
          <w:rFonts w:ascii="Cambria" w:eastAsia="Times New Roman" w:hAnsi="Cambria" w:cs="Cambria"/>
          <w:sz w:val="20"/>
          <w:szCs w:val="20"/>
          <w:lang w:val="es-CO"/>
        </w:rPr>
        <w:t xml:space="preserve"> en </w:t>
      </w:r>
      <w:r w:rsidR="00C04DDB" w:rsidRPr="006B547D">
        <w:rPr>
          <w:rFonts w:ascii="Cambria" w:eastAsia="Times New Roman" w:hAnsi="Cambria" w:cs="Cambria"/>
          <w:sz w:val="20"/>
          <w:szCs w:val="20"/>
          <w:lang w:val="es-CO"/>
        </w:rPr>
        <w:t>contextos de violen</w:t>
      </w:r>
      <w:r w:rsidR="00657C5B" w:rsidRPr="006B547D">
        <w:rPr>
          <w:rFonts w:ascii="Cambria" w:eastAsia="Times New Roman" w:hAnsi="Cambria" w:cs="Cambria"/>
          <w:sz w:val="20"/>
          <w:szCs w:val="20"/>
          <w:lang w:val="es-CO"/>
        </w:rPr>
        <w:t>cia política y conflicto armado</w:t>
      </w:r>
      <w:r w:rsidR="006E1718" w:rsidRPr="006B547D">
        <w:rPr>
          <w:rFonts w:ascii="Cambria" w:eastAsia="Times New Roman" w:hAnsi="Cambria" w:cs="Cambria"/>
          <w:sz w:val="20"/>
          <w:szCs w:val="20"/>
          <w:lang w:val="es-CO"/>
        </w:rPr>
        <w:t xml:space="preserve">, </w:t>
      </w:r>
      <w:r w:rsidR="006D27D0" w:rsidRPr="006B547D">
        <w:rPr>
          <w:rFonts w:ascii="Cambria" w:eastAsia="Times New Roman" w:hAnsi="Cambria" w:cs="Cambria"/>
          <w:sz w:val="20"/>
          <w:szCs w:val="20"/>
          <w:lang w:val="es-CO"/>
        </w:rPr>
        <w:t xml:space="preserve">particularmente </w:t>
      </w:r>
      <w:r w:rsidR="006E1718" w:rsidRPr="006B547D">
        <w:rPr>
          <w:rFonts w:ascii="Cambria" w:eastAsia="Times New Roman" w:hAnsi="Cambria" w:cs="Cambria"/>
          <w:sz w:val="20"/>
          <w:szCs w:val="20"/>
          <w:lang w:val="es-CO"/>
        </w:rPr>
        <w:t>tratándose de</w:t>
      </w:r>
      <w:r w:rsidR="00DB77E1">
        <w:rPr>
          <w:rFonts w:ascii="Cambria" w:eastAsia="Times New Roman" w:hAnsi="Cambria" w:cs="Cambria"/>
          <w:sz w:val="20"/>
          <w:szCs w:val="20"/>
          <w:lang w:val="es-CO"/>
        </w:rPr>
        <w:t>l análisis de la responsabilidad estatal por</w:t>
      </w:r>
      <w:r w:rsidR="006E1718" w:rsidRPr="006B547D">
        <w:rPr>
          <w:rFonts w:ascii="Cambria" w:eastAsia="Times New Roman" w:hAnsi="Cambria" w:cs="Cambria"/>
          <w:sz w:val="20"/>
          <w:szCs w:val="20"/>
          <w:lang w:val="es-CO"/>
        </w:rPr>
        <w:t xml:space="preserve"> graves violaciones a derechos humanos, como ocurre con la</w:t>
      </w:r>
      <w:r w:rsidR="006D27D0" w:rsidRPr="006B547D">
        <w:rPr>
          <w:rFonts w:ascii="Cambria" w:eastAsia="Times New Roman" w:hAnsi="Cambria" w:cs="Cambria"/>
          <w:sz w:val="20"/>
          <w:szCs w:val="20"/>
          <w:lang w:val="es-CO"/>
        </w:rPr>
        <w:t xml:space="preserve"> desaparición forzada. </w:t>
      </w:r>
      <w:r w:rsidR="006E1718" w:rsidRPr="006B547D">
        <w:rPr>
          <w:rFonts w:ascii="Cambria" w:eastAsia="Times New Roman" w:hAnsi="Cambria" w:cs="Cambria"/>
          <w:sz w:val="20"/>
          <w:szCs w:val="20"/>
          <w:lang w:val="es-CO"/>
        </w:rPr>
        <w:t>Además</w:t>
      </w:r>
      <w:r w:rsidR="006D27D0" w:rsidRPr="006B547D">
        <w:rPr>
          <w:rFonts w:ascii="Cambria" w:eastAsia="Times New Roman" w:hAnsi="Cambria" w:cs="Cambria"/>
          <w:sz w:val="20"/>
          <w:szCs w:val="20"/>
          <w:lang w:val="es-CO"/>
        </w:rPr>
        <w:t xml:space="preserve">, la Corte podrá profundizar en su jurisprudencia sobre la debida diligencia que debe seguirse para la investigación y sanción a los responsables de violaciones a derechos humanos </w:t>
      </w:r>
      <w:r w:rsidR="006E1718" w:rsidRPr="006B547D">
        <w:rPr>
          <w:rFonts w:ascii="Cambria" w:eastAsia="Times New Roman" w:hAnsi="Cambria" w:cs="Cambria"/>
          <w:sz w:val="20"/>
          <w:szCs w:val="20"/>
          <w:lang w:val="es-CO"/>
        </w:rPr>
        <w:t>que ocurren en tales contextos y existen elementos que apuntan al</w:t>
      </w:r>
      <w:r w:rsidR="006E1718" w:rsidRPr="006B547D">
        <w:rPr>
          <w:rFonts w:ascii="Cambria" w:hAnsi="Cambria" w:cs="Verdana"/>
          <w:sz w:val="20"/>
          <w:szCs w:val="20"/>
          <w:bdr w:val="none" w:sz="0" w:space="0" w:color="auto" w:frame="1"/>
          <w:lang w:val="es-ES"/>
        </w:rPr>
        <w:t xml:space="preserve"> carácter selectivo de la desaparición y su relación con actividades sindicales y políticas.</w:t>
      </w:r>
    </w:p>
    <w:p w14:paraId="02CE6C67" w14:textId="77777777" w:rsidR="006E1718" w:rsidRPr="007929FF" w:rsidRDefault="006E1718" w:rsidP="007929FF">
      <w:pPr>
        <w:spacing w:after="0" w:line="240" w:lineRule="auto"/>
        <w:jc w:val="both"/>
        <w:rPr>
          <w:rFonts w:ascii="Cambria" w:eastAsia="Times New Roman" w:hAnsi="Cambria" w:cs="Cambria"/>
          <w:sz w:val="16"/>
          <w:szCs w:val="16"/>
          <w:lang w:val="es-ES"/>
        </w:rPr>
      </w:pPr>
    </w:p>
    <w:p w14:paraId="44215BF9" w14:textId="77777777" w:rsidR="00162CE1" w:rsidRPr="006B547D" w:rsidRDefault="00162CE1" w:rsidP="007929FF">
      <w:pPr>
        <w:spacing w:after="0" w:line="240" w:lineRule="auto"/>
        <w:ind w:firstLine="720"/>
        <w:jc w:val="both"/>
        <w:rPr>
          <w:rFonts w:ascii="Cambria" w:hAnsi="Cambria" w:cs="Calibri"/>
          <w:sz w:val="20"/>
          <w:szCs w:val="20"/>
          <w:lang w:val="es-ES"/>
        </w:rPr>
      </w:pPr>
      <w:r w:rsidRPr="006B547D">
        <w:rPr>
          <w:rFonts w:ascii="Cambria" w:hAnsi="Cambria" w:cs="Calibri"/>
          <w:sz w:val="20"/>
          <w:szCs w:val="20"/>
          <w:lang w:val="es-ES"/>
        </w:rPr>
        <w:t>En virtud de que estas cuestiones afectan de manera relevante el orden público interamericano, de conformidad con el artículo 35.1 f) del Reglamento de la Corte Interamericana, la Comisión se permite ofrecer la siguiente declaraci</w:t>
      </w:r>
      <w:r w:rsidR="009A0971" w:rsidRPr="006B547D">
        <w:rPr>
          <w:rFonts w:ascii="Cambria" w:hAnsi="Cambria" w:cs="Calibri"/>
          <w:sz w:val="20"/>
          <w:szCs w:val="20"/>
          <w:lang w:val="es-ES"/>
        </w:rPr>
        <w:t>ón</w:t>
      </w:r>
      <w:r w:rsidRPr="006B547D">
        <w:rPr>
          <w:rFonts w:ascii="Cambria" w:hAnsi="Cambria" w:cs="Calibri"/>
          <w:sz w:val="20"/>
          <w:szCs w:val="20"/>
          <w:lang w:val="es-ES"/>
        </w:rPr>
        <w:t xml:space="preserve"> pericial: </w:t>
      </w:r>
    </w:p>
    <w:p w14:paraId="4ED22DE9" w14:textId="77777777" w:rsidR="00686F7B" w:rsidRPr="007929FF" w:rsidRDefault="00686F7B" w:rsidP="007929FF">
      <w:pPr>
        <w:spacing w:after="0" w:line="240" w:lineRule="auto"/>
        <w:jc w:val="both"/>
        <w:rPr>
          <w:rFonts w:ascii="Cambria" w:hAnsi="Cambria"/>
          <w:b/>
          <w:sz w:val="16"/>
          <w:szCs w:val="16"/>
          <w:lang w:val="es-ES_tradnl"/>
        </w:rPr>
      </w:pPr>
    </w:p>
    <w:p w14:paraId="703814F0" w14:textId="77777777" w:rsidR="006E1718" w:rsidRPr="006B547D" w:rsidRDefault="008F7152" w:rsidP="007929FF">
      <w:pPr>
        <w:spacing w:after="0" w:line="240" w:lineRule="auto"/>
        <w:ind w:firstLine="720"/>
        <w:jc w:val="both"/>
        <w:rPr>
          <w:rFonts w:ascii="Cambria" w:hAnsi="Cambria"/>
          <w:sz w:val="20"/>
          <w:szCs w:val="20"/>
          <w:lang w:val="es-ES"/>
        </w:rPr>
      </w:pPr>
      <w:r w:rsidRPr="006B547D">
        <w:rPr>
          <w:rFonts w:ascii="Cambria" w:hAnsi="Cambria"/>
          <w:b/>
          <w:sz w:val="20"/>
          <w:szCs w:val="20"/>
          <w:lang w:val="es-ES"/>
        </w:rPr>
        <w:t>Perito/a, cuyo nombre será informado a la brevedad</w:t>
      </w:r>
      <w:r w:rsidR="006A1693" w:rsidRPr="006B547D">
        <w:rPr>
          <w:rFonts w:ascii="Cambria" w:hAnsi="Cambria"/>
          <w:sz w:val="20"/>
          <w:szCs w:val="20"/>
          <w:lang w:val="es-ES"/>
        </w:rPr>
        <w:t xml:space="preserve">, </w:t>
      </w:r>
      <w:r w:rsidR="006E1718" w:rsidRPr="006B547D">
        <w:rPr>
          <w:rFonts w:ascii="Cambria" w:hAnsi="Cambria"/>
          <w:sz w:val="20"/>
          <w:szCs w:val="20"/>
          <w:lang w:val="es-ES"/>
        </w:rPr>
        <w:t xml:space="preserve">quien declarará respecto de </w:t>
      </w:r>
      <w:r w:rsidR="006E1718" w:rsidRPr="006B547D">
        <w:rPr>
          <w:rFonts w:ascii="Cambria" w:eastAsia="Times New Roman" w:hAnsi="Cambria" w:cs="Cambria"/>
          <w:sz w:val="20"/>
          <w:szCs w:val="20"/>
          <w:lang w:val="es-CO"/>
        </w:rPr>
        <w:t xml:space="preserve">las implicaciones que tiene en la responsabilidad internacional del Estado la identificación selectiva de líderes </w:t>
      </w:r>
      <w:r w:rsidR="006B547D">
        <w:rPr>
          <w:rFonts w:ascii="Cambria" w:eastAsia="Times New Roman" w:hAnsi="Cambria" w:cs="Cambria"/>
          <w:sz w:val="20"/>
          <w:szCs w:val="20"/>
          <w:lang w:val="es-CO"/>
        </w:rPr>
        <w:t xml:space="preserve">y lideresas </w:t>
      </w:r>
      <w:r w:rsidR="006E1718" w:rsidRPr="006B547D">
        <w:rPr>
          <w:rFonts w:ascii="Cambria" w:eastAsia="Times New Roman" w:hAnsi="Cambria" w:cs="Cambria"/>
          <w:sz w:val="20"/>
          <w:szCs w:val="20"/>
          <w:lang w:val="es-CO"/>
        </w:rPr>
        <w:t>sociales</w:t>
      </w:r>
      <w:r w:rsidR="00134946">
        <w:rPr>
          <w:rFonts w:ascii="Cambria" w:eastAsia="Times New Roman" w:hAnsi="Cambria" w:cs="Cambria"/>
          <w:sz w:val="20"/>
          <w:szCs w:val="20"/>
          <w:lang w:val="es-CO"/>
        </w:rPr>
        <w:t>, como son sindicalistas,</w:t>
      </w:r>
      <w:r w:rsidR="006E1718" w:rsidRPr="006B547D">
        <w:rPr>
          <w:rFonts w:ascii="Cambria" w:eastAsia="Times New Roman" w:hAnsi="Cambria" w:cs="Cambria"/>
          <w:sz w:val="20"/>
          <w:szCs w:val="20"/>
          <w:lang w:val="es-CO"/>
        </w:rPr>
        <w:t xml:space="preserve"> dentro de la noción del “enemigo interno” en la denominada “doctrina de seguridad nacional” en contextos de violencia política y conflicto armado, particularmente tratándose de</w:t>
      </w:r>
      <w:r w:rsidR="00DB77E1">
        <w:rPr>
          <w:rFonts w:ascii="Cambria" w:eastAsia="Times New Roman" w:hAnsi="Cambria" w:cs="Cambria"/>
          <w:sz w:val="20"/>
          <w:szCs w:val="20"/>
          <w:lang w:val="es-CO"/>
        </w:rPr>
        <w:t>l análisis de la responsabilidad estatal por</w:t>
      </w:r>
      <w:r w:rsidR="006E1718" w:rsidRPr="006B547D">
        <w:rPr>
          <w:rFonts w:ascii="Cambria" w:eastAsia="Times New Roman" w:hAnsi="Cambria" w:cs="Cambria"/>
          <w:sz w:val="20"/>
          <w:szCs w:val="20"/>
          <w:lang w:val="es-CO"/>
        </w:rPr>
        <w:t xml:space="preserve"> graves violaciones a derechos humanos como ocurre con la desaparición forzada. Además, el/la perito/a declarará sobre la debida diligencia que debe seguirse para la investigación y sanción a los responsables de violaciones a derechos humanos que ocurren en tales contextos y existen elementos que apuntan al</w:t>
      </w:r>
      <w:r w:rsidR="006E1718" w:rsidRPr="006B547D">
        <w:rPr>
          <w:rFonts w:ascii="Cambria" w:hAnsi="Cambria" w:cs="Verdana"/>
          <w:sz w:val="20"/>
          <w:szCs w:val="20"/>
          <w:bdr w:val="none" w:sz="0" w:space="0" w:color="auto" w:frame="1"/>
          <w:lang w:val="es-ES"/>
        </w:rPr>
        <w:t xml:space="preserve"> carácter selectivo de la desaparición y su relación con actividades sindicales y políticas</w:t>
      </w:r>
      <w:r w:rsidR="00924502" w:rsidRPr="006B547D">
        <w:rPr>
          <w:rFonts w:ascii="Cambria" w:hAnsi="Cambria" w:cs="Verdana"/>
          <w:sz w:val="20"/>
          <w:szCs w:val="20"/>
          <w:bdr w:val="none" w:sz="0" w:space="0" w:color="auto" w:frame="1"/>
          <w:lang w:val="es-ES"/>
        </w:rPr>
        <w:t xml:space="preserve">. </w:t>
      </w:r>
      <w:r w:rsidR="00924502" w:rsidRPr="006B547D">
        <w:rPr>
          <w:rFonts w:ascii="Cambria" w:hAnsi="Cambria" w:cs="Calibri"/>
          <w:color w:val="000000"/>
          <w:sz w:val="20"/>
          <w:szCs w:val="20"/>
          <w:lang w:val="es-ES"/>
        </w:rPr>
        <w:t>En la medida de lo pertinente, el/la perito/a se referirá a otros sistemas internacionales de protección de derechos humanos y al derecho comparado. Para ejemplificar el desarrollo de su peritaje, el/la perito/a podrá referirse a los hechos del caso.</w:t>
      </w:r>
    </w:p>
    <w:p w14:paraId="32883E77" w14:textId="77777777" w:rsidR="0082191F" w:rsidRPr="007929FF" w:rsidRDefault="0082191F" w:rsidP="007929FF">
      <w:pPr>
        <w:spacing w:after="0" w:line="240" w:lineRule="auto"/>
        <w:jc w:val="both"/>
        <w:rPr>
          <w:rFonts w:ascii="Cambria" w:hAnsi="Cambria" w:cs="Calibri"/>
          <w:color w:val="000000"/>
          <w:sz w:val="16"/>
          <w:szCs w:val="16"/>
          <w:lang w:val="es-ES"/>
        </w:rPr>
      </w:pPr>
    </w:p>
    <w:p w14:paraId="2FD117B3" w14:textId="77777777" w:rsidR="00162CE1" w:rsidRPr="006B547D" w:rsidRDefault="00162CE1" w:rsidP="007929FF">
      <w:pPr>
        <w:spacing w:after="0" w:line="240" w:lineRule="auto"/>
        <w:jc w:val="both"/>
        <w:rPr>
          <w:rFonts w:ascii="Cambria" w:hAnsi="Cambria" w:cs="Calibri"/>
          <w:color w:val="000000"/>
          <w:sz w:val="20"/>
          <w:szCs w:val="20"/>
          <w:lang w:val="es-ES"/>
        </w:rPr>
      </w:pPr>
      <w:r w:rsidRPr="006B547D">
        <w:rPr>
          <w:rFonts w:ascii="Cambria" w:hAnsi="Cambria" w:cs="Calibri"/>
          <w:color w:val="000000"/>
          <w:sz w:val="20"/>
          <w:szCs w:val="20"/>
          <w:lang w:val="es-ES"/>
        </w:rPr>
        <w:tab/>
      </w:r>
      <w:r w:rsidR="009A0971" w:rsidRPr="006B547D">
        <w:rPr>
          <w:rFonts w:ascii="Cambria" w:hAnsi="Cambria" w:cs="Calibri"/>
          <w:color w:val="000000"/>
          <w:sz w:val="20"/>
          <w:szCs w:val="20"/>
          <w:lang w:val="es-ES"/>
        </w:rPr>
        <w:t xml:space="preserve">El </w:t>
      </w:r>
      <w:r w:rsidRPr="006B547D">
        <w:rPr>
          <w:rFonts w:ascii="Cambria" w:hAnsi="Cambria" w:cs="Calibri"/>
          <w:color w:val="000000"/>
          <w:sz w:val="20"/>
          <w:szCs w:val="20"/>
          <w:lang w:val="es-ES"/>
        </w:rPr>
        <w:t xml:space="preserve">CV del/a perito/a propuesto/a será incluido en los anexos al </w:t>
      </w:r>
      <w:r w:rsidR="00E6263B" w:rsidRPr="006B547D">
        <w:rPr>
          <w:rFonts w:ascii="Cambria" w:hAnsi="Cambria" w:cs="Calibri"/>
          <w:color w:val="000000"/>
          <w:sz w:val="20"/>
          <w:szCs w:val="20"/>
          <w:lang w:val="es-ES"/>
        </w:rPr>
        <w:t xml:space="preserve">Informe de Fondo No. </w:t>
      </w:r>
      <w:r w:rsidR="00C57FBD" w:rsidRPr="006B547D">
        <w:rPr>
          <w:rFonts w:ascii="Cambria" w:hAnsi="Cambria" w:cs="Calibri"/>
          <w:color w:val="000000"/>
          <w:sz w:val="20"/>
          <w:szCs w:val="20"/>
          <w:lang w:val="es-ES"/>
        </w:rPr>
        <w:t>149</w:t>
      </w:r>
      <w:r w:rsidR="0082191F" w:rsidRPr="006B547D">
        <w:rPr>
          <w:rFonts w:ascii="Cambria" w:hAnsi="Cambria" w:cs="Calibri"/>
          <w:color w:val="000000"/>
          <w:sz w:val="20"/>
          <w:szCs w:val="20"/>
          <w:lang w:val="es-ES"/>
        </w:rPr>
        <w:t>/1</w:t>
      </w:r>
      <w:r w:rsidR="00C57FBD" w:rsidRPr="006B547D">
        <w:rPr>
          <w:rFonts w:ascii="Cambria" w:hAnsi="Cambria" w:cs="Calibri"/>
          <w:color w:val="000000"/>
          <w:sz w:val="20"/>
          <w:szCs w:val="20"/>
          <w:lang w:val="es-ES"/>
        </w:rPr>
        <w:t>8</w:t>
      </w:r>
      <w:r w:rsidRPr="006B547D">
        <w:rPr>
          <w:rFonts w:ascii="Cambria" w:hAnsi="Cambria" w:cs="Calibri"/>
          <w:color w:val="000000"/>
          <w:sz w:val="20"/>
          <w:szCs w:val="20"/>
          <w:lang w:val="es-ES"/>
        </w:rPr>
        <w:t xml:space="preserve">. </w:t>
      </w:r>
    </w:p>
    <w:p w14:paraId="0386F7E9" w14:textId="77777777" w:rsidR="00162CE1" w:rsidRPr="007929FF" w:rsidRDefault="00162CE1" w:rsidP="007929FF">
      <w:pPr>
        <w:spacing w:after="0" w:line="240" w:lineRule="auto"/>
        <w:jc w:val="both"/>
        <w:rPr>
          <w:rFonts w:ascii="Cambria" w:hAnsi="Cambria" w:cs="Calibri"/>
          <w:color w:val="000000"/>
          <w:sz w:val="16"/>
          <w:szCs w:val="16"/>
          <w:lang w:val="es-ES"/>
        </w:rPr>
      </w:pPr>
    </w:p>
    <w:p w14:paraId="6BE15CDD" w14:textId="77777777" w:rsidR="00162CE1" w:rsidRDefault="00162CE1" w:rsidP="007929FF">
      <w:pPr>
        <w:spacing w:after="0" w:line="240" w:lineRule="auto"/>
        <w:jc w:val="both"/>
        <w:rPr>
          <w:rFonts w:ascii="Cambria" w:hAnsi="Cambria" w:cs="Calibri"/>
          <w:color w:val="000000"/>
          <w:sz w:val="20"/>
          <w:szCs w:val="20"/>
          <w:lang w:val="es-ES"/>
        </w:rPr>
      </w:pPr>
      <w:r w:rsidRPr="006B547D">
        <w:rPr>
          <w:rFonts w:ascii="Cambria" w:hAnsi="Cambria" w:cs="Calibri"/>
          <w:color w:val="000000"/>
          <w:sz w:val="20"/>
          <w:szCs w:val="20"/>
          <w:lang w:val="es-ES"/>
        </w:rPr>
        <w:tab/>
        <w:t xml:space="preserve">La Comisión pone en conocimiento de la Honorable Corte la siguiente información de quien </w:t>
      </w:r>
      <w:r w:rsidR="009A0971" w:rsidRPr="006B547D">
        <w:rPr>
          <w:rFonts w:ascii="Cambria" w:hAnsi="Cambria" w:cs="Calibri"/>
          <w:color w:val="000000"/>
          <w:sz w:val="20"/>
          <w:szCs w:val="20"/>
          <w:lang w:val="es-ES"/>
        </w:rPr>
        <w:t>actúa como parte peticionaria en el trámite ante la CIDH conforme a la información más reciente</w:t>
      </w:r>
      <w:r w:rsidR="00AB70F2" w:rsidRPr="006B547D">
        <w:rPr>
          <w:rFonts w:ascii="Cambria" w:hAnsi="Cambria" w:cs="Calibri"/>
          <w:color w:val="000000"/>
          <w:sz w:val="20"/>
          <w:szCs w:val="20"/>
          <w:lang w:val="es-ES"/>
        </w:rPr>
        <w:t>:</w:t>
      </w:r>
    </w:p>
    <w:p w14:paraId="3FB48578" w14:textId="77777777" w:rsidR="007929FF" w:rsidRPr="007929FF" w:rsidRDefault="007929FF" w:rsidP="007929FF">
      <w:pPr>
        <w:spacing w:after="0" w:line="240" w:lineRule="auto"/>
        <w:jc w:val="both"/>
        <w:rPr>
          <w:rFonts w:ascii="Cambria" w:hAnsi="Cambria" w:cs="Calibri"/>
          <w:color w:val="000000"/>
          <w:sz w:val="4"/>
          <w:szCs w:val="4"/>
          <w:lang w:val="es-ES"/>
        </w:rPr>
      </w:pPr>
    </w:p>
    <w:p w14:paraId="0B7117C0" w14:textId="77777777" w:rsidR="00E1313B" w:rsidRPr="007929FF" w:rsidRDefault="00E1313B" w:rsidP="007929FF">
      <w:pPr>
        <w:spacing w:after="0" w:line="240" w:lineRule="auto"/>
        <w:jc w:val="center"/>
        <w:rPr>
          <w:rFonts w:ascii="Cambria" w:hAnsi="Cambria"/>
          <w:bCs/>
          <w:iCs/>
          <w:color w:val="000000"/>
          <w:sz w:val="20"/>
          <w:szCs w:val="20"/>
          <w:lang w:val="es-ES"/>
        </w:rPr>
      </w:pPr>
      <w:r w:rsidRPr="007929FF">
        <w:rPr>
          <w:rFonts w:ascii="Cambria" w:hAnsi="Cambria"/>
          <w:bCs/>
          <w:iCs/>
          <w:color w:val="000000"/>
          <w:sz w:val="20"/>
          <w:szCs w:val="20"/>
          <w:lang w:val="es-ES"/>
        </w:rPr>
        <w:t>Corporación Colectivo de Abogados - CAJAR</w:t>
      </w:r>
    </w:p>
    <w:p w14:paraId="0CA8DB59" w14:textId="77777777" w:rsidR="00E1313B" w:rsidRPr="003E1C7A" w:rsidRDefault="003E1C7A" w:rsidP="007929FF">
      <w:pPr>
        <w:spacing w:after="0" w:line="240" w:lineRule="auto"/>
        <w:jc w:val="center"/>
        <w:rPr>
          <w:rFonts w:ascii="Cambria" w:hAnsi="Cambria"/>
          <w:color w:val="000000"/>
          <w:sz w:val="20"/>
          <w:szCs w:val="20"/>
          <w:highlight w:val="black"/>
          <w:lang w:val="es-US"/>
        </w:rPr>
      </w:pPr>
      <w:r w:rsidRPr="003E1C7A">
        <w:rPr>
          <w:rFonts w:ascii="Cambria" w:hAnsi="Cambria"/>
          <w:color w:val="000000"/>
          <w:sz w:val="20"/>
          <w:szCs w:val="20"/>
          <w:highlight w:val="black"/>
          <w:lang w:val="es-US"/>
        </w:rPr>
        <w:t>XXXXXXXXXXXXXXXXXXXXXXXXX</w:t>
      </w:r>
    </w:p>
    <w:p w14:paraId="44F39A75" w14:textId="77777777" w:rsidR="007929FF" w:rsidRPr="003E1C7A" w:rsidRDefault="003E1C7A" w:rsidP="007929FF">
      <w:pPr>
        <w:spacing w:after="0" w:line="240" w:lineRule="auto"/>
        <w:jc w:val="center"/>
        <w:rPr>
          <w:rFonts w:ascii="Cambria" w:hAnsi="Cambria"/>
          <w:color w:val="000000"/>
          <w:sz w:val="20"/>
          <w:szCs w:val="20"/>
          <w:highlight w:val="black"/>
          <w:lang w:val="es-ES"/>
        </w:rPr>
      </w:pPr>
      <w:r w:rsidRPr="003E1C7A">
        <w:rPr>
          <w:rFonts w:ascii="Cambria" w:hAnsi="Cambria"/>
          <w:color w:val="000000"/>
          <w:sz w:val="20"/>
          <w:szCs w:val="20"/>
          <w:highlight w:val="black"/>
          <w:lang w:val="es-ES"/>
        </w:rPr>
        <w:t>XXXXXXXXXXXXXXXXXXXXXXX</w:t>
      </w:r>
    </w:p>
    <w:p w14:paraId="50794C06" w14:textId="77777777" w:rsidR="007929FF" w:rsidRPr="003E1C7A" w:rsidRDefault="003E1C7A" w:rsidP="007929FF">
      <w:pPr>
        <w:spacing w:after="0" w:line="240" w:lineRule="auto"/>
        <w:jc w:val="center"/>
        <w:rPr>
          <w:rFonts w:ascii="Cambria" w:hAnsi="Cambria"/>
          <w:color w:val="000000"/>
          <w:sz w:val="20"/>
          <w:szCs w:val="20"/>
          <w:highlight w:val="black"/>
          <w:lang w:val="es-US"/>
        </w:rPr>
      </w:pPr>
      <w:r w:rsidRPr="003E1C7A">
        <w:rPr>
          <w:rFonts w:ascii="Cambria" w:hAnsi="Cambria"/>
          <w:color w:val="000000"/>
          <w:sz w:val="20"/>
          <w:szCs w:val="20"/>
          <w:highlight w:val="black"/>
          <w:lang w:val="es-US"/>
        </w:rPr>
        <w:t>XXXXXXXXXXXXXXXXXXXXXXXX</w:t>
      </w:r>
    </w:p>
    <w:p w14:paraId="586673FF" w14:textId="77777777" w:rsidR="00C57FBD" w:rsidRPr="00134946" w:rsidRDefault="00C57FBD" w:rsidP="007929FF">
      <w:pPr>
        <w:tabs>
          <w:tab w:val="left" w:pos="1455"/>
        </w:tabs>
        <w:spacing w:after="0" w:line="240" w:lineRule="auto"/>
        <w:jc w:val="center"/>
        <w:rPr>
          <w:rFonts w:ascii="Cambria" w:hAnsi="Cambria" w:cs="Calibri"/>
          <w:sz w:val="20"/>
          <w:szCs w:val="20"/>
          <w:lang w:val="es-ES"/>
        </w:rPr>
      </w:pPr>
    </w:p>
    <w:p w14:paraId="6D7CD41A" w14:textId="77777777" w:rsidR="00C82F29" w:rsidRPr="006B547D" w:rsidRDefault="00C82F29" w:rsidP="007929FF">
      <w:pPr>
        <w:spacing w:after="0" w:line="240" w:lineRule="auto"/>
        <w:ind w:firstLine="720"/>
        <w:jc w:val="both"/>
        <w:rPr>
          <w:rFonts w:ascii="Cambria" w:hAnsi="Cambria" w:cs="Calibri"/>
          <w:sz w:val="20"/>
          <w:szCs w:val="20"/>
          <w:lang w:val="es-ES"/>
        </w:rPr>
      </w:pPr>
      <w:r w:rsidRPr="006B547D">
        <w:rPr>
          <w:rFonts w:ascii="Cambria" w:hAnsi="Cambria" w:cs="Calibri"/>
          <w:sz w:val="20"/>
          <w:szCs w:val="20"/>
          <w:lang w:val="es-ES"/>
        </w:rPr>
        <w:t>Aprovecho la oportunidad para saludar a usted muy atentamente,</w:t>
      </w:r>
    </w:p>
    <w:p w14:paraId="68E1DACF" w14:textId="77777777" w:rsidR="00C82F29" w:rsidRPr="007929FF" w:rsidRDefault="00C82F29" w:rsidP="007929FF">
      <w:pPr>
        <w:spacing w:after="0" w:line="240" w:lineRule="auto"/>
        <w:jc w:val="center"/>
        <w:rPr>
          <w:rFonts w:ascii="Cambria" w:hAnsi="Cambria" w:cs="Calibri"/>
          <w:sz w:val="16"/>
          <w:szCs w:val="16"/>
          <w:lang w:val="es-ES"/>
        </w:rPr>
      </w:pPr>
    </w:p>
    <w:p w14:paraId="3B9430A9" w14:textId="77777777" w:rsidR="009F63B7" w:rsidRPr="006B547D" w:rsidRDefault="00F50FF2" w:rsidP="007929FF">
      <w:pPr>
        <w:tabs>
          <w:tab w:val="left" w:pos="-1080"/>
        </w:tabs>
        <w:spacing w:after="0" w:line="240" w:lineRule="auto"/>
        <w:jc w:val="center"/>
        <w:rPr>
          <w:rFonts w:ascii="Cambria" w:hAnsi="Cambria"/>
          <w:sz w:val="20"/>
          <w:szCs w:val="20"/>
          <w:lang/>
        </w:rPr>
      </w:pPr>
      <w:r w:rsidRPr="006B547D">
        <w:rPr>
          <w:rFonts w:ascii="Cambria" w:hAnsi="Cambria"/>
          <w:sz w:val="20"/>
          <w:szCs w:val="20"/>
          <w:lang/>
        </w:rPr>
        <w:t>Marisol Blanchard Vera</w:t>
      </w:r>
    </w:p>
    <w:p w14:paraId="3F1B87BB" w14:textId="77777777" w:rsidR="009F63B7" w:rsidRPr="006B547D" w:rsidRDefault="00F50FF2" w:rsidP="007929FF">
      <w:pPr>
        <w:tabs>
          <w:tab w:val="left" w:pos="-1080"/>
        </w:tabs>
        <w:spacing w:after="0" w:line="240" w:lineRule="auto"/>
        <w:jc w:val="center"/>
        <w:rPr>
          <w:rFonts w:ascii="Cambria" w:hAnsi="Cambria"/>
          <w:sz w:val="20"/>
          <w:szCs w:val="20"/>
          <w:lang w:val="es-ES_tradnl"/>
        </w:rPr>
      </w:pPr>
      <w:r w:rsidRPr="006B547D">
        <w:rPr>
          <w:rFonts w:ascii="Cambria" w:hAnsi="Cambria"/>
          <w:sz w:val="20"/>
          <w:szCs w:val="20"/>
          <w:lang w:val="es-ES_tradnl"/>
        </w:rPr>
        <w:t>Secretaria Ejecutiva Adjunta</w:t>
      </w:r>
    </w:p>
    <w:p w14:paraId="1E32DD96" w14:textId="77777777" w:rsidR="00237ECE" w:rsidRPr="00841C56" w:rsidRDefault="00C82F29" w:rsidP="007929FF">
      <w:pPr>
        <w:spacing w:after="0" w:line="240" w:lineRule="auto"/>
        <w:jc w:val="both"/>
        <w:rPr>
          <w:rFonts w:ascii="Cambria" w:hAnsi="Cambria" w:cs="Calibri"/>
          <w:sz w:val="20"/>
          <w:szCs w:val="20"/>
          <w:lang w:val="pt-BR"/>
        </w:rPr>
      </w:pPr>
      <w:r w:rsidRPr="006B547D">
        <w:rPr>
          <w:rFonts w:ascii="Cambria" w:hAnsi="Cambria" w:cs="Calibri"/>
          <w:sz w:val="20"/>
          <w:szCs w:val="20"/>
          <w:lang w:val="pt-BR"/>
        </w:rPr>
        <w:t>Anexo</w:t>
      </w:r>
    </w:p>
    <w:sectPr w:rsidR="00237ECE" w:rsidRPr="00841C56"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AD126" w14:textId="77777777" w:rsidR="007A649E" w:rsidRDefault="007A649E">
      <w:pPr>
        <w:spacing w:after="0" w:line="240" w:lineRule="auto"/>
      </w:pPr>
      <w:r>
        <w:separator/>
      </w:r>
    </w:p>
  </w:endnote>
  <w:endnote w:type="continuationSeparator" w:id="0">
    <w:p w14:paraId="465B8B4D" w14:textId="77777777" w:rsidR="007A649E" w:rsidRDefault="007A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FUIText-Regular">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AC1D1"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CC36C6">
      <w:rPr>
        <w:noProof/>
        <w:sz w:val="18"/>
        <w:szCs w:val="18"/>
      </w:rPr>
      <w:t>2</w:t>
    </w:r>
    <w:r w:rsidRPr="0060615D">
      <w:rPr>
        <w:noProof/>
        <w:sz w:val="18"/>
        <w:szCs w:val="18"/>
      </w:rPr>
      <w:fldChar w:fldCharType="end"/>
    </w:r>
  </w:p>
  <w:p w14:paraId="750A3DF9" w14:textId="77777777" w:rsidR="00E1313B" w:rsidRDefault="00E1313B" w:rsidP="00E1313B">
    <w:pPr>
      <w:pStyle w:val="Piedepgina"/>
      <w:spacing w:line="360" w:lineRule="auto"/>
    </w:pPr>
    <w:r>
      <w:pict w14:anchorId="5D8B2CD8">
        <v:rect id="_x0000_i1026" style="width:0;height:1.5pt" o:hralign="center" o:hrstd="t" o:hr="t" fillcolor="#a0a0a0" stroked="f"/>
      </w:pict>
    </w:r>
  </w:p>
  <w:p w14:paraId="24F86B80" w14:textId="40F5FC5F" w:rsidR="00E1313B" w:rsidRDefault="00A96684" w:rsidP="00E1313B">
    <w:pPr>
      <w:pStyle w:val="Piedepgina"/>
      <w:jc w:val="center"/>
    </w:pPr>
    <w:r w:rsidRPr="008A5CB5">
      <w:rPr>
        <w:noProof/>
      </w:rPr>
      <w:drawing>
        <wp:inline distT="0" distB="0" distL="0" distR="0" wp14:anchorId="5AF563AE" wp14:editId="564F72DA">
          <wp:extent cx="5114925" cy="323850"/>
          <wp:effectExtent l="0" t="0" r="0" b="0"/>
          <wp:docPr id="4"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FDBC1" w14:textId="77777777" w:rsidR="00E1313B" w:rsidRDefault="00E1313B" w:rsidP="00E1313B">
    <w:pPr>
      <w:pStyle w:val="Piedepgina"/>
      <w:spacing w:line="360" w:lineRule="auto"/>
    </w:pPr>
    <w:r>
      <w:pict w14:anchorId="3F443F19">
        <v:rect id="_x0000_i1025" style="width:0;height:1.5pt" o:hralign="center" o:hrstd="t" o:hr="t" fillcolor="#a0a0a0" stroked="f"/>
      </w:pict>
    </w:r>
  </w:p>
  <w:p w14:paraId="2C7E4C43" w14:textId="30F28065" w:rsidR="00E1313B" w:rsidRDefault="00A96684" w:rsidP="00E1313B">
    <w:pPr>
      <w:pStyle w:val="Piedepgina"/>
      <w:jc w:val="center"/>
    </w:pPr>
    <w:r w:rsidRPr="008A5CB5">
      <w:rPr>
        <w:noProof/>
      </w:rPr>
      <w:drawing>
        <wp:inline distT="0" distB="0" distL="0" distR="0" wp14:anchorId="1295A035" wp14:editId="54FE0AD5">
          <wp:extent cx="5114925" cy="323850"/>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B45A9" w14:textId="77777777" w:rsidR="007A649E" w:rsidRDefault="007A649E">
      <w:pPr>
        <w:spacing w:after="0" w:line="240" w:lineRule="auto"/>
      </w:pPr>
      <w:r>
        <w:separator/>
      </w:r>
    </w:p>
  </w:footnote>
  <w:footnote w:type="continuationSeparator" w:id="0">
    <w:p w14:paraId="5D055680" w14:textId="77777777" w:rsidR="007A649E" w:rsidRDefault="007A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B3CF5" w14:textId="34CD61C2" w:rsidR="00E1313B" w:rsidRDefault="00A96684" w:rsidP="00E1313B">
    <w:pPr>
      <w:pStyle w:val="Encabezado"/>
      <w:jc w:val="center"/>
      <w:rPr>
        <w:noProof/>
        <w:lang w:val="es-ES_tradnl"/>
      </w:rPr>
    </w:pPr>
    <w:r>
      <w:rPr>
        <w:noProof/>
        <w:lang w:val="es-ES_tradnl"/>
      </w:rPr>
      <w:drawing>
        <wp:inline distT="0" distB="0" distL="0" distR="0" wp14:anchorId="581C910C" wp14:editId="75BED3B9">
          <wp:extent cx="2286000" cy="114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14300"/>
                  </a:xfrm>
                  <a:prstGeom prst="rect">
                    <a:avLst/>
                  </a:prstGeom>
                  <a:noFill/>
                  <a:ln>
                    <a:noFill/>
                  </a:ln>
                </pic:spPr>
              </pic:pic>
            </a:graphicData>
          </a:graphic>
        </wp:inline>
      </w:drawing>
    </w:r>
  </w:p>
  <w:p w14:paraId="093E45FE" w14:textId="77777777" w:rsidR="00E1313B" w:rsidRPr="0058688A" w:rsidRDefault="00E1313B" w:rsidP="00E1313B">
    <w:pPr>
      <w:pStyle w:val="Encabezado"/>
      <w:rPr>
        <w:lang w:val="es-ES_tradnl"/>
      </w:rPr>
    </w:pPr>
    <w:r>
      <w:rPr>
        <w:noProof/>
        <w:lang w:val="es-ES_tradnl"/>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E69F8" w14:textId="4CAE9ADE" w:rsidR="00162CE1" w:rsidRDefault="00A96684" w:rsidP="00162CE1">
    <w:pPr>
      <w:pStyle w:val="Encabezado"/>
    </w:pPr>
    <w:r w:rsidRPr="008A5CB5">
      <w:rPr>
        <w:noProof/>
      </w:rPr>
      <w:drawing>
        <wp:inline distT="0" distB="0" distL="0" distR="0" wp14:anchorId="12FE00C0" wp14:editId="63A85AC1">
          <wp:extent cx="2352675"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356F86DD" wp14:editId="13DCC767">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4D94415C" w14:textId="77777777" w:rsidR="00162CE1" w:rsidRDefault="00E1313B" w:rsidP="00162CE1">
    <w:pPr>
      <w:pStyle w:val="Encabezado"/>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61E90"/>
    <w:multiLevelType w:val="multilevel"/>
    <w:tmpl w:val="15B63694"/>
    <w:lvl w:ilvl="0">
      <w:start w:val="1"/>
      <w:numFmt w:val="decimal"/>
      <w:lvlText w:val="%1."/>
      <w:lvlJc w:val="left"/>
      <w:rPr>
        <w:rFonts w:ascii="Cambria" w:eastAsia="Cambria" w:hAnsi="Cambria" w:cs="Cambria"/>
        <w:b w:val="0"/>
        <w:color w:val="000000"/>
        <w:position w:val="0"/>
        <w:u w:color="FF0000"/>
        <w:rtl w:val="0"/>
        <w:lang w:val="es-ES_tradnl"/>
      </w:rPr>
    </w:lvl>
    <w:lvl w:ilvl="1">
      <w:start w:val="1"/>
      <w:numFmt w:val="lowerLetter"/>
      <w:lvlText w:val="%2."/>
      <w:lvlJc w:val="left"/>
      <w:rPr>
        <w:rFonts w:ascii="Cambria" w:eastAsia="Cambria" w:hAnsi="Cambria" w:cs="Cambria"/>
        <w:color w:val="000000"/>
        <w:position w:val="0"/>
        <w:u w:color="000000"/>
        <w:rtl w:val="0"/>
        <w:lang w:val="es-ES_tradnl"/>
      </w:rPr>
    </w:lvl>
    <w:lvl w:ilvl="2">
      <w:start w:val="1"/>
      <w:numFmt w:val="lowerRoman"/>
      <w:lvlText w:val="%3."/>
      <w:lvlJc w:val="left"/>
      <w:rPr>
        <w:rFonts w:ascii="Cambria" w:eastAsia="Cambria" w:hAnsi="Cambria" w:cs="Cambria"/>
        <w:color w:val="000000"/>
        <w:position w:val="0"/>
        <w:u w:color="000000"/>
        <w:rtl w:val="0"/>
        <w:lang w:val="es-ES_tradnl"/>
      </w:rPr>
    </w:lvl>
    <w:lvl w:ilvl="3">
      <w:start w:val="1"/>
      <w:numFmt w:val="decimal"/>
      <w:lvlText w:val="%4."/>
      <w:lvlJc w:val="left"/>
      <w:rPr>
        <w:rFonts w:ascii="Cambria" w:eastAsia="Cambria" w:hAnsi="Cambria" w:cs="Cambria"/>
        <w:color w:val="000000"/>
        <w:position w:val="0"/>
        <w:u w:color="000000"/>
        <w:rtl w:val="0"/>
        <w:lang w:val="es-ES_tradnl"/>
      </w:rPr>
    </w:lvl>
    <w:lvl w:ilvl="4">
      <w:start w:val="1"/>
      <w:numFmt w:val="lowerLetter"/>
      <w:lvlText w:val="%5."/>
      <w:lvlJc w:val="left"/>
      <w:rPr>
        <w:rFonts w:ascii="Cambria" w:eastAsia="Cambria" w:hAnsi="Cambria" w:cs="Cambria"/>
        <w:color w:val="000000"/>
        <w:position w:val="0"/>
        <w:u w:color="000000"/>
        <w:rtl w:val="0"/>
        <w:lang w:val="es-ES_tradnl"/>
      </w:rPr>
    </w:lvl>
    <w:lvl w:ilvl="5">
      <w:start w:val="1"/>
      <w:numFmt w:val="lowerRoman"/>
      <w:lvlText w:val="%6."/>
      <w:lvlJc w:val="left"/>
      <w:rPr>
        <w:rFonts w:ascii="Cambria" w:eastAsia="Cambria" w:hAnsi="Cambria" w:cs="Cambria"/>
        <w:color w:val="000000"/>
        <w:position w:val="0"/>
        <w:u w:color="000000"/>
        <w:rtl w:val="0"/>
        <w:lang w:val="es-ES_tradnl"/>
      </w:rPr>
    </w:lvl>
    <w:lvl w:ilvl="6">
      <w:start w:val="1"/>
      <w:numFmt w:val="decimal"/>
      <w:lvlText w:val="%7."/>
      <w:lvlJc w:val="left"/>
      <w:rPr>
        <w:rFonts w:ascii="Cambria" w:eastAsia="Cambria" w:hAnsi="Cambria" w:cs="Cambria"/>
        <w:color w:val="000000"/>
        <w:position w:val="0"/>
        <w:u w:color="000000"/>
        <w:rtl w:val="0"/>
        <w:lang w:val="es-ES_tradnl"/>
      </w:rPr>
    </w:lvl>
    <w:lvl w:ilvl="7">
      <w:start w:val="1"/>
      <w:numFmt w:val="lowerLetter"/>
      <w:lvlText w:val="%8."/>
      <w:lvlJc w:val="left"/>
      <w:rPr>
        <w:rFonts w:ascii="Cambria" w:eastAsia="Cambria" w:hAnsi="Cambria" w:cs="Cambria"/>
        <w:color w:val="000000"/>
        <w:position w:val="0"/>
        <w:u w:color="000000"/>
        <w:rtl w:val="0"/>
        <w:lang w:val="es-ES_tradnl"/>
      </w:rPr>
    </w:lvl>
    <w:lvl w:ilvl="8">
      <w:start w:val="1"/>
      <w:numFmt w:val="lowerRoman"/>
      <w:lvlText w:val="%9."/>
      <w:lvlJc w:val="left"/>
      <w:rPr>
        <w:rFonts w:ascii="Cambria" w:eastAsia="Cambria" w:hAnsi="Cambria" w:cs="Cambria"/>
        <w:color w:val="000000"/>
        <w:position w:val="0"/>
        <w:u w:color="000000"/>
        <w:rtl w:val="0"/>
        <w:lang w:val="es-ES_tradnl"/>
      </w:rPr>
    </w:lvl>
  </w:abstractNum>
  <w:abstractNum w:abstractNumId="1"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12342E"/>
    <w:multiLevelType w:val="multilevel"/>
    <w:tmpl w:val="1ADE2FB2"/>
    <w:styleLink w:val="List19"/>
    <w:lvl w:ilvl="0">
      <w:start w:val="1"/>
      <w:numFmt w:val="decimal"/>
      <w:lvlText w:val="%1."/>
      <w:lvlJc w:val="left"/>
      <w:pPr>
        <w:tabs>
          <w:tab w:val="num" w:pos="806"/>
        </w:tabs>
        <w:ind w:left="806" w:hanging="806"/>
      </w:pPr>
      <w:rPr>
        <w:rFonts w:ascii="Cambria" w:eastAsia="Cambria" w:hAnsi="Cambria" w:cs="Cambria"/>
        <w:position w:val="0"/>
        <w:sz w:val="20"/>
        <w:szCs w:val="20"/>
        <w:rtl w:val="0"/>
        <w:lang w:val="es-ES_tradnl"/>
      </w:rPr>
    </w:lvl>
    <w:lvl w:ilvl="1">
      <w:start w:val="1"/>
      <w:numFmt w:val="lowerLetter"/>
      <w:lvlText w:val="%2."/>
      <w:lvlJc w:val="left"/>
      <w:pPr>
        <w:tabs>
          <w:tab w:val="num" w:pos="1740"/>
        </w:tabs>
        <w:ind w:left="1740" w:hanging="300"/>
      </w:pPr>
      <w:rPr>
        <w:rFonts w:ascii="Cambria" w:eastAsia="Cambria" w:hAnsi="Cambria" w:cs="Cambria"/>
        <w:position w:val="0"/>
        <w:sz w:val="20"/>
        <w:szCs w:val="20"/>
        <w:rtl w:val="0"/>
        <w:lang w:val="es-ES_tradnl"/>
      </w:rPr>
    </w:lvl>
    <w:lvl w:ilvl="2">
      <w:start w:val="1"/>
      <w:numFmt w:val="lowerRoman"/>
      <w:lvlText w:val="%3."/>
      <w:lvlJc w:val="left"/>
      <w:pPr>
        <w:tabs>
          <w:tab w:val="num" w:pos="2471"/>
        </w:tabs>
        <w:ind w:left="2471" w:hanging="247"/>
      </w:pPr>
      <w:rPr>
        <w:rFonts w:ascii="Cambria" w:eastAsia="Cambria" w:hAnsi="Cambria" w:cs="Cambria"/>
        <w:position w:val="0"/>
        <w:sz w:val="20"/>
        <w:szCs w:val="20"/>
        <w:rtl w:val="0"/>
        <w:lang w:val="es-ES_tradnl"/>
      </w:rPr>
    </w:lvl>
    <w:lvl w:ilvl="3">
      <w:start w:val="1"/>
      <w:numFmt w:val="decimal"/>
      <w:lvlText w:val="%4."/>
      <w:lvlJc w:val="left"/>
      <w:pPr>
        <w:tabs>
          <w:tab w:val="num" w:pos="3180"/>
        </w:tabs>
        <w:ind w:left="3180" w:hanging="300"/>
      </w:pPr>
      <w:rPr>
        <w:rFonts w:ascii="Cambria" w:eastAsia="Cambria" w:hAnsi="Cambria" w:cs="Cambria"/>
        <w:position w:val="0"/>
        <w:sz w:val="20"/>
        <w:szCs w:val="20"/>
        <w:rtl w:val="0"/>
        <w:lang w:val="es-ES_tradnl"/>
      </w:rPr>
    </w:lvl>
    <w:lvl w:ilvl="4">
      <w:start w:val="1"/>
      <w:numFmt w:val="lowerLetter"/>
      <w:lvlText w:val="%5."/>
      <w:lvlJc w:val="left"/>
      <w:pPr>
        <w:tabs>
          <w:tab w:val="num" w:pos="3900"/>
        </w:tabs>
        <w:ind w:left="3900" w:hanging="300"/>
      </w:pPr>
      <w:rPr>
        <w:rFonts w:ascii="Cambria" w:eastAsia="Cambria" w:hAnsi="Cambria" w:cs="Cambria"/>
        <w:position w:val="0"/>
        <w:sz w:val="20"/>
        <w:szCs w:val="20"/>
        <w:rtl w:val="0"/>
        <w:lang w:val="es-ES_tradnl"/>
      </w:rPr>
    </w:lvl>
    <w:lvl w:ilvl="5">
      <w:start w:val="1"/>
      <w:numFmt w:val="lowerRoman"/>
      <w:lvlText w:val="%6."/>
      <w:lvlJc w:val="left"/>
      <w:pPr>
        <w:tabs>
          <w:tab w:val="num" w:pos="4631"/>
        </w:tabs>
        <w:ind w:left="4631" w:hanging="247"/>
      </w:pPr>
      <w:rPr>
        <w:rFonts w:ascii="Cambria" w:eastAsia="Cambria" w:hAnsi="Cambria" w:cs="Cambria"/>
        <w:position w:val="0"/>
        <w:sz w:val="20"/>
        <w:szCs w:val="20"/>
        <w:rtl w:val="0"/>
        <w:lang w:val="es-ES_tradnl"/>
      </w:rPr>
    </w:lvl>
    <w:lvl w:ilvl="6">
      <w:start w:val="1"/>
      <w:numFmt w:val="decimal"/>
      <w:lvlText w:val="%7."/>
      <w:lvlJc w:val="left"/>
      <w:pPr>
        <w:tabs>
          <w:tab w:val="num" w:pos="5340"/>
        </w:tabs>
        <w:ind w:left="5340" w:hanging="300"/>
      </w:pPr>
      <w:rPr>
        <w:rFonts w:ascii="Cambria" w:eastAsia="Cambria" w:hAnsi="Cambria" w:cs="Cambria"/>
        <w:position w:val="0"/>
        <w:sz w:val="20"/>
        <w:szCs w:val="20"/>
        <w:rtl w:val="0"/>
        <w:lang w:val="es-ES_tradnl"/>
      </w:rPr>
    </w:lvl>
    <w:lvl w:ilvl="7">
      <w:start w:val="1"/>
      <w:numFmt w:val="lowerLetter"/>
      <w:lvlText w:val="%8."/>
      <w:lvlJc w:val="left"/>
      <w:pPr>
        <w:tabs>
          <w:tab w:val="num" w:pos="6060"/>
        </w:tabs>
        <w:ind w:left="6060" w:hanging="300"/>
      </w:pPr>
      <w:rPr>
        <w:rFonts w:ascii="Cambria" w:eastAsia="Cambria" w:hAnsi="Cambria" w:cs="Cambria"/>
        <w:position w:val="0"/>
        <w:sz w:val="20"/>
        <w:szCs w:val="20"/>
        <w:rtl w:val="0"/>
        <w:lang w:val="es-ES_tradnl"/>
      </w:rPr>
    </w:lvl>
    <w:lvl w:ilvl="8">
      <w:start w:val="1"/>
      <w:numFmt w:val="lowerRoman"/>
      <w:lvlText w:val="%9."/>
      <w:lvlJc w:val="left"/>
      <w:pPr>
        <w:tabs>
          <w:tab w:val="num" w:pos="6791"/>
        </w:tabs>
        <w:ind w:left="6791" w:hanging="247"/>
      </w:pPr>
      <w:rPr>
        <w:rFonts w:ascii="Cambria" w:eastAsia="Cambria" w:hAnsi="Cambria" w:cs="Cambria"/>
        <w:position w:val="0"/>
        <w:sz w:val="20"/>
        <w:szCs w:val="20"/>
        <w:rtl w:val="0"/>
        <w:lang w:val="es-ES_tradnl"/>
      </w:rPr>
    </w:lvl>
  </w:abstractNum>
  <w:abstractNum w:abstractNumId="4"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16A29"/>
    <w:rsid w:val="00017E7A"/>
    <w:rsid w:val="00021026"/>
    <w:rsid w:val="00026875"/>
    <w:rsid w:val="00026A1E"/>
    <w:rsid w:val="00031EB1"/>
    <w:rsid w:val="00046D26"/>
    <w:rsid w:val="00055A2D"/>
    <w:rsid w:val="000751DF"/>
    <w:rsid w:val="00076DBF"/>
    <w:rsid w:val="00077DE5"/>
    <w:rsid w:val="00077FF7"/>
    <w:rsid w:val="00084078"/>
    <w:rsid w:val="00095E4D"/>
    <w:rsid w:val="000A45AD"/>
    <w:rsid w:val="000A4754"/>
    <w:rsid w:val="000A4B14"/>
    <w:rsid w:val="000B1138"/>
    <w:rsid w:val="000B1B25"/>
    <w:rsid w:val="000B3053"/>
    <w:rsid w:val="000C140C"/>
    <w:rsid w:val="000C1C01"/>
    <w:rsid w:val="000C5BFC"/>
    <w:rsid w:val="000D164E"/>
    <w:rsid w:val="000D2623"/>
    <w:rsid w:val="000D26A9"/>
    <w:rsid w:val="000D4633"/>
    <w:rsid w:val="000D4AE6"/>
    <w:rsid w:val="000E0F2F"/>
    <w:rsid w:val="000F23FB"/>
    <w:rsid w:val="000F291B"/>
    <w:rsid w:val="00107B94"/>
    <w:rsid w:val="001217D9"/>
    <w:rsid w:val="00131B3B"/>
    <w:rsid w:val="001328F7"/>
    <w:rsid w:val="00134946"/>
    <w:rsid w:val="00134CFC"/>
    <w:rsid w:val="00140652"/>
    <w:rsid w:val="00141387"/>
    <w:rsid w:val="00143EB4"/>
    <w:rsid w:val="0014432C"/>
    <w:rsid w:val="00146EE3"/>
    <w:rsid w:val="0015496C"/>
    <w:rsid w:val="00157476"/>
    <w:rsid w:val="00162CE1"/>
    <w:rsid w:val="00170E12"/>
    <w:rsid w:val="00176C72"/>
    <w:rsid w:val="001770EE"/>
    <w:rsid w:val="001904F6"/>
    <w:rsid w:val="00192DA3"/>
    <w:rsid w:val="001A7EDF"/>
    <w:rsid w:val="001B08B2"/>
    <w:rsid w:val="001B08F9"/>
    <w:rsid w:val="001B3166"/>
    <w:rsid w:val="001B4185"/>
    <w:rsid w:val="001C2AED"/>
    <w:rsid w:val="001D0C4D"/>
    <w:rsid w:val="001E5256"/>
    <w:rsid w:val="001E59D8"/>
    <w:rsid w:val="001F7634"/>
    <w:rsid w:val="002005C7"/>
    <w:rsid w:val="00202F4B"/>
    <w:rsid w:val="00206412"/>
    <w:rsid w:val="002219A9"/>
    <w:rsid w:val="002248D7"/>
    <w:rsid w:val="00226454"/>
    <w:rsid w:val="00226BCD"/>
    <w:rsid w:val="00234AC6"/>
    <w:rsid w:val="00237ECE"/>
    <w:rsid w:val="002426D8"/>
    <w:rsid w:val="002451F8"/>
    <w:rsid w:val="00245F50"/>
    <w:rsid w:val="00246DB3"/>
    <w:rsid w:val="002534CD"/>
    <w:rsid w:val="00254F98"/>
    <w:rsid w:val="00267588"/>
    <w:rsid w:val="0027604A"/>
    <w:rsid w:val="0029746F"/>
    <w:rsid w:val="002A19E1"/>
    <w:rsid w:val="002B64DC"/>
    <w:rsid w:val="002D3DC9"/>
    <w:rsid w:val="002E48D6"/>
    <w:rsid w:val="002E7720"/>
    <w:rsid w:val="002F6526"/>
    <w:rsid w:val="0030700B"/>
    <w:rsid w:val="00314D82"/>
    <w:rsid w:val="00316C30"/>
    <w:rsid w:val="00316E75"/>
    <w:rsid w:val="003254D3"/>
    <w:rsid w:val="00327F22"/>
    <w:rsid w:val="00331129"/>
    <w:rsid w:val="00336D34"/>
    <w:rsid w:val="003406ED"/>
    <w:rsid w:val="00343EDF"/>
    <w:rsid w:val="00345680"/>
    <w:rsid w:val="00355389"/>
    <w:rsid w:val="0035670C"/>
    <w:rsid w:val="0036203F"/>
    <w:rsid w:val="00362BCC"/>
    <w:rsid w:val="00363DA9"/>
    <w:rsid w:val="00374F28"/>
    <w:rsid w:val="00377262"/>
    <w:rsid w:val="00387D83"/>
    <w:rsid w:val="003904CF"/>
    <w:rsid w:val="00395866"/>
    <w:rsid w:val="003A6DEC"/>
    <w:rsid w:val="003A71C5"/>
    <w:rsid w:val="003D3F6E"/>
    <w:rsid w:val="003D4DD9"/>
    <w:rsid w:val="003E14A3"/>
    <w:rsid w:val="003E1C7A"/>
    <w:rsid w:val="003F51D5"/>
    <w:rsid w:val="004051B3"/>
    <w:rsid w:val="00407877"/>
    <w:rsid w:val="004103EC"/>
    <w:rsid w:val="00415488"/>
    <w:rsid w:val="0041669B"/>
    <w:rsid w:val="004173F3"/>
    <w:rsid w:val="0042403B"/>
    <w:rsid w:val="004300BE"/>
    <w:rsid w:val="00452270"/>
    <w:rsid w:val="00455E3F"/>
    <w:rsid w:val="00456DAA"/>
    <w:rsid w:val="00463AFE"/>
    <w:rsid w:val="0047698B"/>
    <w:rsid w:val="00491AB8"/>
    <w:rsid w:val="00495F11"/>
    <w:rsid w:val="00496C45"/>
    <w:rsid w:val="004A2758"/>
    <w:rsid w:val="004C11AF"/>
    <w:rsid w:val="004C22C2"/>
    <w:rsid w:val="004D2EB3"/>
    <w:rsid w:val="004D7DF0"/>
    <w:rsid w:val="004D7F1C"/>
    <w:rsid w:val="004E0C4F"/>
    <w:rsid w:val="004E0F5A"/>
    <w:rsid w:val="004E6A6C"/>
    <w:rsid w:val="004F13CD"/>
    <w:rsid w:val="004F3366"/>
    <w:rsid w:val="004F475F"/>
    <w:rsid w:val="004F651D"/>
    <w:rsid w:val="00501326"/>
    <w:rsid w:val="00506DE4"/>
    <w:rsid w:val="00517525"/>
    <w:rsid w:val="00520308"/>
    <w:rsid w:val="005226B0"/>
    <w:rsid w:val="005266C2"/>
    <w:rsid w:val="00526C8F"/>
    <w:rsid w:val="005319E3"/>
    <w:rsid w:val="005334BE"/>
    <w:rsid w:val="0053664C"/>
    <w:rsid w:val="00550822"/>
    <w:rsid w:val="00551DD6"/>
    <w:rsid w:val="00557B7E"/>
    <w:rsid w:val="00560F49"/>
    <w:rsid w:val="00563E22"/>
    <w:rsid w:val="00564608"/>
    <w:rsid w:val="005668C4"/>
    <w:rsid w:val="00566D01"/>
    <w:rsid w:val="0057349A"/>
    <w:rsid w:val="0057354D"/>
    <w:rsid w:val="00591180"/>
    <w:rsid w:val="0059345A"/>
    <w:rsid w:val="005A4E07"/>
    <w:rsid w:val="005A621F"/>
    <w:rsid w:val="005A7321"/>
    <w:rsid w:val="005B4F61"/>
    <w:rsid w:val="005B6610"/>
    <w:rsid w:val="005C4A0A"/>
    <w:rsid w:val="005C5C37"/>
    <w:rsid w:val="005C7BDC"/>
    <w:rsid w:val="005C7C22"/>
    <w:rsid w:val="005C7F13"/>
    <w:rsid w:val="005D2B11"/>
    <w:rsid w:val="005E0E8D"/>
    <w:rsid w:val="005E7AE9"/>
    <w:rsid w:val="005F3FF9"/>
    <w:rsid w:val="0060615D"/>
    <w:rsid w:val="00607CA5"/>
    <w:rsid w:val="00612A1C"/>
    <w:rsid w:val="006238C4"/>
    <w:rsid w:val="006253E4"/>
    <w:rsid w:val="00625C17"/>
    <w:rsid w:val="00630213"/>
    <w:rsid w:val="006344F2"/>
    <w:rsid w:val="00641E26"/>
    <w:rsid w:val="0065299A"/>
    <w:rsid w:val="00657C5B"/>
    <w:rsid w:val="00661062"/>
    <w:rsid w:val="00662171"/>
    <w:rsid w:val="006634BE"/>
    <w:rsid w:val="00670828"/>
    <w:rsid w:val="006773A6"/>
    <w:rsid w:val="00681D50"/>
    <w:rsid w:val="00686F7B"/>
    <w:rsid w:val="00691A97"/>
    <w:rsid w:val="006943A7"/>
    <w:rsid w:val="006A0DDA"/>
    <w:rsid w:val="006A1693"/>
    <w:rsid w:val="006B547D"/>
    <w:rsid w:val="006B7991"/>
    <w:rsid w:val="006C3E16"/>
    <w:rsid w:val="006D27D0"/>
    <w:rsid w:val="006D45B0"/>
    <w:rsid w:val="006D7A02"/>
    <w:rsid w:val="006E1718"/>
    <w:rsid w:val="006F46B8"/>
    <w:rsid w:val="006F4B0C"/>
    <w:rsid w:val="006F539D"/>
    <w:rsid w:val="00707281"/>
    <w:rsid w:val="00730B2B"/>
    <w:rsid w:val="007401E2"/>
    <w:rsid w:val="00743959"/>
    <w:rsid w:val="0074602A"/>
    <w:rsid w:val="00746A42"/>
    <w:rsid w:val="00770267"/>
    <w:rsid w:val="0077308C"/>
    <w:rsid w:val="00775598"/>
    <w:rsid w:val="00777515"/>
    <w:rsid w:val="00782AEB"/>
    <w:rsid w:val="007929FF"/>
    <w:rsid w:val="007940B2"/>
    <w:rsid w:val="00796DD9"/>
    <w:rsid w:val="007A0D8E"/>
    <w:rsid w:val="007A593D"/>
    <w:rsid w:val="007A649E"/>
    <w:rsid w:val="007B7696"/>
    <w:rsid w:val="007C15AB"/>
    <w:rsid w:val="007C42F0"/>
    <w:rsid w:val="007C5B64"/>
    <w:rsid w:val="007E3EF7"/>
    <w:rsid w:val="007E6CA0"/>
    <w:rsid w:val="007F290D"/>
    <w:rsid w:val="0082191F"/>
    <w:rsid w:val="00837A17"/>
    <w:rsid w:val="0084002E"/>
    <w:rsid w:val="0084069E"/>
    <w:rsid w:val="00841C56"/>
    <w:rsid w:val="00847BDC"/>
    <w:rsid w:val="00862AD4"/>
    <w:rsid w:val="00863302"/>
    <w:rsid w:val="00864E93"/>
    <w:rsid w:val="0088196F"/>
    <w:rsid w:val="0088248A"/>
    <w:rsid w:val="00883E7F"/>
    <w:rsid w:val="00893093"/>
    <w:rsid w:val="008A11E8"/>
    <w:rsid w:val="008A1F21"/>
    <w:rsid w:val="008A422D"/>
    <w:rsid w:val="008A6113"/>
    <w:rsid w:val="008B3A73"/>
    <w:rsid w:val="008C0ECE"/>
    <w:rsid w:val="008C1F3B"/>
    <w:rsid w:val="008C7EBA"/>
    <w:rsid w:val="008D07A3"/>
    <w:rsid w:val="008D5226"/>
    <w:rsid w:val="008D72C2"/>
    <w:rsid w:val="008E006A"/>
    <w:rsid w:val="008E3768"/>
    <w:rsid w:val="008F34BF"/>
    <w:rsid w:val="008F7152"/>
    <w:rsid w:val="008F7250"/>
    <w:rsid w:val="009025D4"/>
    <w:rsid w:val="0090766E"/>
    <w:rsid w:val="00910C01"/>
    <w:rsid w:val="00914042"/>
    <w:rsid w:val="00914A0A"/>
    <w:rsid w:val="0092092D"/>
    <w:rsid w:val="00924502"/>
    <w:rsid w:val="00932AD3"/>
    <w:rsid w:val="00941E93"/>
    <w:rsid w:val="00944E4E"/>
    <w:rsid w:val="0095543E"/>
    <w:rsid w:val="00961B44"/>
    <w:rsid w:val="00967A6F"/>
    <w:rsid w:val="00970BC7"/>
    <w:rsid w:val="00977A5C"/>
    <w:rsid w:val="0098157D"/>
    <w:rsid w:val="00987694"/>
    <w:rsid w:val="00990F1C"/>
    <w:rsid w:val="009914FA"/>
    <w:rsid w:val="00992286"/>
    <w:rsid w:val="00994D30"/>
    <w:rsid w:val="009A0971"/>
    <w:rsid w:val="009B333D"/>
    <w:rsid w:val="009C1EB7"/>
    <w:rsid w:val="009D4BAE"/>
    <w:rsid w:val="009E1F44"/>
    <w:rsid w:val="009E2CC2"/>
    <w:rsid w:val="009E2EBC"/>
    <w:rsid w:val="009E3BC0"/>
    <w:rsid w:val="009E433A"/>
    <w:rsid w:val="009F4C73"/>
    <w:rsid w:val="009F4F6A"/>
    <w:rsid w:val="009F63B7"/>
    <w:rsid w:val="009F77AA"/>
    <w:rsid w:val="00A03F38"/>
    <w:rsid w:val="00A040CA"/>
    <w:rsid w:val="00A04B7C"/>
    <w:rsid w:val="00A06FAC"/>
    <w:rsid w:val="00A15067"/>
    <w:rsid w:val="00A15A9A"/>
    <w:rsid w:val="00A2631B"/>
    <w:rsid w:val="00A4186A"/>
    <w:rsid w:val="00A44D63"/>
    <w:rsid w:val="00A532CA"/>
    <w:rsid w:val="00A54EEB"/>
    <w:rsid w:val="00A65452"/>
    <w:rsid w:val="00A71556"/>
    <w:rsid w:val="00A73E5E"/>
    <w:rsid w:val="00A7442D"/>
    <w:rsid w:val="00A77923"/>
    <w:rsid w:val="00A92321"/>
    <w:rsid w:val="00A96684"/>
    <w:rsid w:val="00AB1A5D"/>
    <w:rsid w:val="00AB70F2"/>
    <w:rsid w:val="00AC403E"/>
    <w:rsid w:val="00AD5F3D"/>
    <w:rsid w:val="00AD6936"/>
    <w:rsid w:val="00AE314D"/>
    <w:rsid w:val="00AE46D2"/>
    <w:rsid w:val="00AE7491"/>
    <w:rsid w:val="00AF2B73"/>
    <w:rsid w:val="00AF4B54"/>
    <w:rsid w:val="00B0272F"/>
    <w:rsid w:val="00B03DD7"/>
    <w:rsid w:val="00B24A53"/>
    <w:rsid w:val="00B24C3E"/>
    <w:rsid w:val="00B4147B"/>
    <w:rsid w:val="00B44AD6"/>
    <w:rsid w:val="00B6469F"/>
    <w:rsid w:val="00B67019"/>
    <w:rsid w:val="00B67CD0"/>
    <w:rsid w:val="00B70B7C"/>
    <w:rsid w:val="00B8038E"/>
    <w:rsid w:val="00B82394"/>
    <w:rsid w:val="00B9285D"/>
    <w:rsid w:val="00B96B34"/>
    <w:rsid w:val="00BA1B6A"/>
    <w:rsid w:val="00BB0160"/>
    <w:rsid w:val="00BB136A"/>
    <w:rsid w:val="00BB2038"/>
    <w:rsid w:val="00BB4AB9"/>
    <w:rsid w:val="00BB720B"/>
    <w:rsid w:val="00BC27DE"/>
    <w:rsid w:val="00BD1F09"/>
    <w:rsid w:val="00BE21C5"/>
    <w:rsid w:val="00BE42DC"/>
    <w:rsid w:val="00BF3C98"/>
    <w:rsid w:val="00C04DDB"/>
    <w:rsid w:val="00C158C4"/>
    <w:rsid w:val="00C22D7B"/>
    <w:rsid w:val="00C24FF7"/>
    <w:rsid w:val="00C250DE"/>
    <w:rsid w:val="00C2673B"/>
    <w:rsid w:val="00C40437"/>
    <w:rsid w:val="00C427E5"/>
    <w:rsid w:val="00C44075"/>
    <w:rsid w:val="00C44C0E"/>
    <w:rsid w:val="00C459F8"/>
    <w:rsid w:val="00C51F92"/>
    <w:rsid w:val="00C52A3C"/>
    <w:rsid w:val="00C5331A"/>
    <w:rsid w:val="00C57FBD"/>
    <w:rsid w:val="00C615C6"/>
    <w:rsid w:val="00C7184C"/>
    <w:rsid w:val="00C72601"/>
    <w:rsid w:val="00C82F29"/>
    <w:rsid w:val="00C86746"/>
    <w:rsid w:val="00C872C8"/>
    <w:rsid w:val="00CA1623"/>
    <w:rsid w:val="00CB0139"/>
    <w:rsid w:val="00CB24C8"/>
    <w:rsid w:val="00CC23BC"/>
    <w:rsid w:val="00CC36C6"/>
    <w:rsid w:val="00CD33D8"/>
    <w:rsid w:val="00CE18E3"/>
    <w:rsid w:val="00CE18ED"/>
    <w:rsid w:val="00CE1CF7"/>
    <w:rsid w:val="00CE60A3"/>
    <w:rsid w:val="00CF0828"/>
    <w:rsid w:val="00CF68B8"/>
    <w:rsid w:val="00D12AD1"/>
    <w:rsid w:val="00D30790"/>
    <w:rsid w:val="00D358CC"/>
    <w:rsid w:val="00D40531"/>
    <w:rsid w:val="00D41DD9"/>
    <w:rsid w:val="00D44AD1"/>
    <w:rsid w:val="00D456E1"/>
    <w:rsid w:val="00D458E2"/>
    <w:rsid w:val="00D50C53"/>
    <w:rsid w:val="00D55740"/>
    <w:rsid w:val="00D56275"/>
    <w:rsid w:val="00D618E7"/>
    <w:rsid w:val="00D61BA6"/>
    <w:rsid w:val="00D66EC6"/>
    <w:rsid w:val="00D73B7B"/>
    <w:rsid w:val="00D7730D"/>
    <w:rsid w:val="00D805B3"/>
    <w:rsid w:val="00D8378B"/>
    <w:rsid w:val="00D92025"/>
    <w:rsid w:val="00D96806"/>
    <w:rsid w:val="00DB03F6"/>
    <w:rsid w:val="00DB77E1"/>
    <w:rsid w:val="00DE0E68"/>
    <w:rsid w:val="00DE7134"/>
    <w:rsid w:val="00DF3621"/>
    <w:rsid w:val="00DF3B7F"/>
    <w:rsid w:val="00DF4A93"/>
    <w:rsid w:val="00DF7DE3"/>
    <w:rsid w:val="00E00544"/>
    <w:rsid w:val="00E073FA"/>
    <w:rsid w:val="00E07692"/>
    <w:rsid w:val="00E0780E"/>
    <w:rsid w:val="00E12B66"/>
    <w:rsid w:val="00E1313B"/>
    <w:rsid w:val="00E17733"/>
    <w:rsid w:val="00E25B3F"/>
    <w:rsid w:val="00E26906"/>
    <w:rsid w:val="00E31CFC"/>
    <w:rsid w:val="00E405C0"/>
    <w:rsid w:val="00E54A1A"/>
    <w:rsid w:val="00E60D9E"/>
    <w:rsid w:val="00E6263B"/>
    <w:rsid w:val="00E67F09"/>
    <w:rsid w:val="00E7198B"/>
    <w:rsid w:val="00E828A3"/>
    <w:rsid w:val="00E83947"/>
    <w:rsid w:val="00E85ECE"/>
    <w:rsid w:val="00E939BD"/>
    <w:rsid w:val="00EC655F"/>
    <w:rsid w:val="00ED588B"/>
    <w:rsid w:val="00ED764A"/>
    <w:rsid w:val="00EE2E5E"/>
    <w:rsid w:val="00EE5095"/>
    <w:rsid w:val="00EF2CA7"/>
    <w:rsid w:val="00EF3DD1"/>
    <w:rsid w:val="00F07EE5"/>
    <w:rsid w:val="00F11C02"/>
    <w:rsid w:val="00F353B3"/>
    <w:rsid w:val="00F4501D"/>
    <w:rsid w:val="00F467D0"/>
    <w:rsid w:val="00F47068"/>
    <w:rsid w:val="00F50FF2"/>
    <w:rsid w:val="00F5130E"/>
    <w:rsid w:val="00F51BAF"/>
    <w:rsid w:val="00F5749D"/>
    <w:rsid w:val="00F616AB"/>
    <w:rsid w:val="00F70939"/>
    <w:rsid w:val="00F759EB"/>
    <w:rsid w:val="00F75B73"/>
    <w:rsid w:val="00F84A74"/>
    <w:rsid w:val="00F84B4C"/>
    <w:rsid w:val="00F86E94"/>
    <w:rsid w:val="00F969DE"/>
    <w:rsid w:val="00FA44E7"/>
    <w:rsid w:val="00FA5645"/>
    <w:rsid w:val="00FB0B99"/>
    <w:rsid w:val="00FB23F4"/>
    <w:rsid w:val="00FB4062"/>
    <w:rsid w:val="00FC0A74"/>
    <w:rsid w:val="00FC221D"/>
    <w:rsid w:val="00FD5963"/>
    <w:rsid w:val="00FD64D1"/>
    <w:rsid w:val="00FD7341"/>
    <w:rsid w:val="00FF00F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8C82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nhideWhenUsed/>
    <w:rsid w:val="005A53DE"/>
    <w:pPr>
      <w:tabs>
        <w:tab w:val="center" w:pos="4680"/>
        <w:tab w:val="right" w:pos="9360"/>
      </w:tabs>
      <w:spacing w:after="0" w:line="240" w:lineRule="auto"/>
    </w:pPr>
  </w:style>
  <w:style w:type="paragraph" w:styleId="Piedepgina">
    <w:name w:val="footer"/>
    <w:basedOn w:val="Normal"/>
    <w:link w:val="PiedepginaCar"/>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uiPriority w:val="99"/>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uiPriority w:val="99"/>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1">
    <w:name w:val="p1"/>
    <w:basedOn w:val="Normal"/>
    <w:rsid w:val="00C7184C"/>
    <w:pPr>
      <w:spacing w:after="0" w:line="240" w:lineRule="auto"/>
    </w:pPr>
    <w:rPr>
      <w:rFonts w:ascii=".SF UI Text" w:eastAsia="MS Mincho" w:hAnsi=".SF UI Text"/>
      <w:color w:val="454545"/>
      <w:sz w:val="26"/>
      <w:szCs w:val="26"/>
    </w:rPr>
  </w:style>
  <w:style w:type="character" w:customStyle="1" w:styleId="s1">
    <w:name w:val="s1"/>
    <w:rsid w:val="00C7184C"/>
    <w:rPr>
      <w:rFonts w:ascii=".SFUIText-Regular" w:hAnsi=".SFUIText-Regular" w:hint="default"/>
      <w:b w:val="0"/>
      <w:bCs w:val="0"/>
      <w:i w:val="0"/>
      <w:iCs w:val="0"/>
      <w:sz w:val="34"/>
      <w:szCs w:val="34"/>
    </w:rPr>
  </w:style>
  <w:style w:type="paragraph" w:customStyle="1" w:styleId="Body">
    <w:name w:val="Body"/>
    <w:rsid w:val="00D12AD1"/>
    <w:pPr>
      <w:pBdr>
        <w:top w:val="nil"/>
        <w:left w:val="nil"/>
        <w:bottom w:val="nil"/>
        <w:right w:val="nil"/>
        <w:between w:val="nil"/>
        <w:bar w:val="nil"/>
      </w:pBdr>
      <w:ind w:firstLine="634"/>
      <w:jc w:val="both"/>
    </w:pPr>
    <w:rPr>
      <w:rFonts w:ascii="Cambria" w:eastAsia="Cambria" w:hAnsi="Cambria" w:cs="Cambria"/>
      <w:color w:val="000000"/>
      <w:u w:color="000000"/>
      <w:bdr w:val="nil"/>
      <w:lang w:val="es-CL" w:eastAsia="es-CL"/>
    </w:rPr>
  </w:style>
  <w:style w:type="numbering" w:customStyle="1" w:styleId="List19">
    <w:name w:val="List 19"/>
    <w:basedOn w:val="Sinlista"/>
    <w:rsid w:val="00D12AD1"/>
    <w:pPr>
      <w:numPr>
        <w:numId w:val="7"/>
      </w:numPr>
    </w:pPr>
  </w:style>
  <w:style w:type="character" w:customStyle="1" w:styleId="PiedepginaCar">
    <w:name w:val="Pie de página Car"/>
    <w:link w:val="Piedepgina"/>
    <w:rsid w:val="00E1313B"/>
    <w:rPr>
      <w:rFonts w:ascii="Calibri" w:eastAsia="Calibri" w:hAnsi="Calibri"/>
      <w:sz w:val="22"/>
      <w:szCs w:val="22"/>
    </w:rPr>
  </w:style>
  <w:style w:type="character" w:customStyle="1" w:styleId="EncabezadoCar">
    <w:name w:val="Encabezado Car"/>
    <w:link w:val="Encabezado"/>
    <w:rsid w:val="00E1313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354650174">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4703E-3FDF-430C-B2ED-209BDF5A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2377</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2020-11-16T15:50:00Z</dcterms:created>
  <dcterms:modified xsi:type="dcterms:W3CDTF">2020-11-16T15:50:00Z</dcterms:modified>
</cp:coreProperties>
</file>