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F00376" w14:textId="77777777" w:rsidR="000E049B" w:rsidRPr="00EC4919" w:rsidRDefault="000E049B" w:rsidP="00087823">
      <w:pPr>
        <w:pBdr>
          <w:top w:val="none" w:sz="0" w:space="0" w:color="auto"/>
          <w:left w:val="none" w:sz="0" w:space="0" w:color="auto"/>
          <w:bottom w:val="none" w:sz="0" w:space="0" w:color="auto"/>
          <w:right w:val="none" w:sz="0" w:space="0" w:color="auto"/>
          <w:bar w:val="none" w:sz="0" w:color="auto"/>
        </w:pBdr>
        <w:ind w:firstLine="720"/>
        <w:jc w:val="center"/>
        <w:outlineLvl w:val="0"/>
        <w:rPr>
          <w:rFonts w:ascii="Cambria" w:hAnsi="Cambria" w:cs="Calibri"/>
          <w:b/>
          <w:sz w:val="18"/>
          <w:szCs w:val="18"/>
          <w:lang w:val="es-ES"/>
        </w:rPr>
      </w:pPr>
      <w:r w:rsidRPr="00EC4919">
        <w:rPr>
          <w:rFonts w:ascii="Cambria" w:hAnsi="Cambria" w:cs="Calibri"/>
          <w:b/>
          <w:sz w:val="18"/>
          <w:szCs w:val="18"/>
          <w:lang w:val="es-ES"/>
        </w:rPr>
        <w:t>INFORME No. 48/14</w:t>
      </w:r>
    </w:p>
    <w:p w14:paraId="29C16A22" w14:textId="77777777" w:rsidR="000E049B" w:rsidRPr="006D3114" w:rsidRDefault="000E049B" w:rsidP="00087823">
      <w:pPr>
        <w:pBdr>
          <w:top w:val="none" w:sz="0" w:space="0" w:color="auto"/>
          <w:left w:val="none" w:sz="0" w:space="0" w:color="auto"/>
          <w:bottom w:val="none" w:sz="0" w:space="0" w:color="auto"/>
          <w:right w:val="none" w:sz="0" w:space="0" w:color="auto"/>
          <w:bar w:val="none" w:sz="0" w:color="auto"/>
        </w:pBdr>
        <w:ind w:firstLine="720"/>
        <w:jc w:val="center"/>
        <w:outlineLvl w:val="0"/>
        <w:rPr>
          <w:rFonts w:ascii="Cambria" w:hAnsi="Cambria" w:cs="Calibri"/>
          <w:b/>
          <w:sz w:val="18"/>
          <w:szCs w:val="18"/>
          <w:lang w:val="es-ES"/>
        </w:rPr>
      </w:pPr>
      <w:r w:rsidRPr="006D3114">
        <w:rPr>
          <w:rFonts w:ascii="Cambria" w:hAnsi="Cambria" w:cs="Calibri"/>
          <w:b/>
          <w:sz w:val="18"/>
          <w:szCs w:val="18"/>
          <w:lang w:val="es-ES"/>
        </w:rPr>
        <w:t>PETICIÓN 11.641</w:t>
      </w:r>
    </w:p>
    <w:p w14:paraId="7C1170E4" w14:textId="77777777" w:rsidR="000E049B" w:rsidRPr="00EC4919" w:rsidRDefault="000E049B" w:rsidP="00087823">
      <w:pPr>
        <w:pBdr>
          <w:top w:val="none" w:sz="0" w:space="0" w:color="auto"/>
          <w:left w:val="none" w:sz="0" w:space="0" w:color="auto"/>
          <w:bottom w:val="none" w:sz="0" w:space="0" w:color="auto"/>
          <w:right w:val="none" w:sz="0" w:space="0" w:color="auto"/>
          <w:bar w:val="none" w:sz="0" w:color="auto"/>
        </w:pBdr>
        <w:ind w:firstLine="720"/>
        <w:jc w:val="center"/>
        <w:rPr>
          <w:rFonts w:ascii="Cambria" w:hAnsi="Cambria" w:cs="Calibri"/>
          <w:sz w:val="18"/>
          <w:szCs w:val="18"/>
          <w:lang w:val="es-ES"/>
        </w:rPr>
      </w:pPr>
      <w:r w:rsidRPr="00EC4919">
        <w:rPr>
          <w:rFonts w:ascii="Cambria" w:hAnsi="Cambria" w:cs="Calibri"/>
          <w:sz w:val="18"/>
          <w:szCs w:val="18"/>
          <w:lang w:val="es-ES"/>
        </w:rPr>
        <w:t>ADMISIBILIDAD</w:t>
      </w:r>
    </w:p>
    <w:p w14:paraId="4424D32A" w14:textId="77777777" w:rsidR="000E049B" w:rsidRPr="00EC4919" w:rsidRDefault="000E049B" w:rsidP="00087823">
      <w:pPr>
        <w:pBdr>
          <w:top w:val="none" w:sz="0" w:space="0" w:color="auto"/>
          <w:left w:val="none" w:sz="0" w:space="0" w:color="auto"/>
          <w:bottom w:val="none" w:sz="0" w:space="0" w:color="auto"/>
          <w:right w:val="none" w:sz="0" w:space="0" w:color="auto"/>
          <w:bar w:val="none" w:sz="0" w:color="auto"/>
        </w:pBdr>
        <w:ind w:firstLine="720"/>
        <w:jc w:val="center"/>
        <w:rPr>
          <w:rFonts w:ascii="Cambria" w:hAnsi="Cambria" w:cs="Calibri"/>
          <w:caps/>
          <w:sz w:val="18"/>
          <w:szCs w:val="18"/>
          <w:lang w:val="es-ES"/>
        </w:rPr>
      </w:pPr>
      <w:r w:rsidRPr="00EC4919">
        <w:rPr>
          <w:rFonts w:ascii="Cambria" w:hAnsi="Cambria" w:cs="Calibri"/>
          <w:caps/>
          <w:snapToGrid w:val="0"/>
          <w:sz w:val="18"/>
          <w:szCs w:val="18"/>
          <w:lang w:val="es-ES"/>
        </w:rPr>
        <w:t xml:space="preserve">Pedro Julio Movilla Galarcio </w:t>
      </w:r>
    </w:p>
    <w:p w14:paraId="53C5C14E" w14:textId="77777777" w:rsidR="000E049B" w:rsidRPr="00EC4919" w:rsidRDefault="000E049B" w:rsidP="00087823">
      <w:pPr>
        <w:pBdr>
          <w:top w:val="none" w:sz="0" w:space="0" w:color="auto"/>
          <w:left w:val="none" w:sz="0" w:space="0" w:color="auto"/>
          <w:bottom w:val="none" w:sz="0" w:space="0" w:color="auto"/>
          <w:right w:val="none" w:sz="0" w:space="0" w:color="auto"/>
          <w:bar w:val="none" w:sz="0" w:color="auto"/>
        </w:pBdr>
        <w:ind w:firstLine="720"/>
        <w:jc w:val="center"/>
        <w:outlineLvl w:val="0"/>
        <w:rPr>
          <w:rFonts w:ascii="Cambria" w:hAnsi="Cambria" w:cs="Calibri"/>
          <w:sz w:val="18"/>
          <w:szCs w:val="18"/>
          <w:lang w:val="es-ES"/>
        </w:rPr>
      </w:pPr>
      <w:r w:rsidRPr="00EC4919">
        <w:rPr>
          <w:rFonts w:ascii="Cambria" w:hAnsi="Cambria" w:cs="Calibri"/>
          <w:sz w:val="18"/>
          <w:szCs w:val="18"/>
          <w:lang w:val="es-ES"/>
        </w:rPr>
        <w:t xml:space="preserve">COLOMBIA </w:t>
      </w:r>
    </w:p>
    <w:p w14:paraId="6495BF60" w14:textId="77777777" w:rsidR="000E049B" w:rsidRPr="00EC4919" w:rsidRDefault="000E049B" w:rsidP="00087823">
      <w:pPr>
        <w:pBdr>
          <w:top w:val="none" w:sz="0" w:space="0" w:color="auto"/>
          <w:left w:val="none" w:sz="0" w:space="0" w:color="auto"/>
          <w:bottom w:val="none" w:sz="0" w:space="0" w:color="auto"/>
          <w:right w:val="none" w:sz="0" w:space="0" w:color="auto"/>
          <w:bar w:val="none" w:sz="0" w:color="auto"/>
        </w:pBdr>
        <w:ind w:firstLine="720"/>
        <w:jc w:val="center"/>
        <w:rPr>
          <w:rFonts w:ascii="Cambria" w:hAnsi="Cambria" w:cs="Calibri"/>
          <w:sz w:val="18"/>
          <w:szCs w:val="18"/>
          <w:lang w:val="es-ES"/>
        </w:rPr>
      </w:pPr>
      <w:r w:rsidRPr="00EC4919">
        <w:rPr>
          <w:rFonts w:ascii="Cambria" w:hAnsi="Cambria" w:cs="Calibri"/>
          <w:sz w:val="18"/>
          <w:szCs w:val="18"/>
          <w:lang w:val="es-ES"/>
        </w:rPr>
        <w:t xml:space="preserve">24 </w:t>
      </w:r>
      <w:r w:rsidR="00AC537B">
        <w:rPr>
          <w:rFonts w:ascii="Cambria" w:hAnsi="Cambria" w:cs="Calibri"/>
          <w:sz w:val="18"/>
          <w:szCs w:val="18"/>
          <w:lang w:val="es-ES"/>
        </w:rPr>
        <w:t>de julio de</w:t>
      </w:r>
      <w:r w:rsidRPr="00EC4919">
        <w:rPr>
          <w:rFonts w:ascii="Cambria" w:hAnsi="Cambria" w:cs="Calibri"/>
          <w:sz w:val="18"/>
          <w:szCs w:val="18"/>
          <w:lang w:val="es-ES"/>
        </w:rPr>
        <w:t xml:space="preserve"> 2014</w:t>
      </w:r>
    </w:p>
    <w:p w14:paraId="5FDBB13F" w14:textId="77777777" w:rsidR="000E049B" w:rsidRPr="00EC4919" w:rsidRDefault="000E049B" w:rsidP="00087823">
      <w:pPr>
        <w:pBdr>
          <w:top w:val="none" w:sz="0" w:space="0" w:color="auto"/>
          <w:left w:val="none" w:sz="0" w:space="0" w:color="auto"/>
          <w:bottom w:val="none" w:sz="0" w:space="0" w:color="auto"/>
          <w:right w:val="none" w:sz="0" w:space="0" w:color="auto"/>
          <w:bar w:val="none" w:sz="0" w:color="auto"/>
        </w:pBdr>
        <w:ind w:firstLine="720"/>
        <w:rPr>
          <w:rFonts w:ascii="Cambria" w:hAnsi="Cambria" w:cs="Calibri"/>
          <w:b/>
          <w:sz w:val="20"/>
          <w:szCs w:val="20"/>
          <w:lang w:val="es-ES"/>
        </w:rPr>
      </w:pPr>
    </w:p>
    <w:p w14:paraId="0A2BA2E5" w14:textId="77777777" w:rsidR="000E049B" w:rsidRPr="0032414F" w:rsidRDefault="000E049B" w:rsidP="00087823">
      <w:pPr>
        <w:pBdr>
          <w:top w:val="none" w:sz="0" w:space="0" w:color="auto"/>
          <w:left w:val="none" w:sz="0" w:space="0" w:color="auto"/>
          <w:bottom w:val="none" w:sz="0" w:space="0" w:color="auto"/>
          <w:right w:val="none" w:sz="0" w:space="0" w:color="auto"/>
          <w:bar w:val="none" w:sz="0" w:color="auto"/>
        </w:pBdr>
        <w:ind w:firstLine="720"/>
        <w:rPr>
          <w:rFonts w:ascii="Cambria" w:hAnsi="Cambria" w:cs="Calibri"/>
          <w:b/>
          <w:sz w:val="20"/>
          <w:szCs w:val="20"/>
          <w:lang w:val="es-ES"/>
        </w:rPr>
      </w:pPr>
    </w:p>
    <w:p w14:paraId="4714D8F9" w14:textId="77777777" w:rsidR="000E049B" w:rsidRPr="003E5E53" w:rsidRDefault="000E049B" w:rsidP="00087823">
      <w:pPr>
        <w:pStyle w:val="Style1"/>
        <w:numPr>
          <w:ilvl w:val="0"/>
          <w:numId w:val="105"/>
        </w:numPr>
        <w:ind w:left="0" w:firstLine="720"/>
        <w:rPr>
          <w:rFonts w:ascii="Cambria" w:hAnsi="Cambria"/>
          <w:sz w:val="20"/>
        </w:rPr>
      </w:pPr>
      <w:r w:rsidRPr="003E5E53">
        <w:rPr>
          <w:rFonts w:ascii="Cambria" w:hAnsi="Cambria"/>
          <w:sz w:val="20"/>
        </w:rPr>
        <w:t xml:space="preserve">RESUMEN </w:t>
      </w:r>
    </w:p>
    <w:p w14:paraId="05D4A1A0" w14:textId="77777777" w:rsidR="000E049B" w:rsidRPr="00EC4919" w:rsidRDefault="000E049B" w:rsidP="00087823">
      <w:pPr>
        <w:pStyle w:val="Textoindependiente"/>
        <w:pBdr>
          <w:top w:val="none" w:sz="0" w:space="0" w:color="auto"/>
          <w:left w:val="none" w:sz="0" w:space="0" w:color="auto"/>
          <w:bottom w:val="none" w:sz="0" w:space="0" w:color="auto"/>
          <w:right w:val="none" w:sz="0" w:space="0" w:color="auto"/>
          <w:bar w:val="none" w:sz="0" w:color="auto"/>
        </w:pBdr>
        <w:spacing w:after="0"/>
        <w:jc w:val="both"/>
        <w:rPr>
          <w:rFonts w:ascii="Cambria" w:hAnsi="Cambria" w:cs="Calibri"/>
          <w:snapToGrid w:val="0"/>
          <w:sz w:val="20"/>
          <w:szCs w:val="20"/>
          <w:lang w:val="es-ES"/>
        </w:rPr>
      </w:pPr>
    </w:p>
    <w:p w14:paraId="49493072" w14:textId="77777777" w:rsidR="000E049B" w:rsidRPr="00EC4919" w:rsidRDefault="000E049B" w:rsidP="00087823">
      <w:pPr>
        <w:pStyle w:val="Textoindependiente"/>
        <w:numPr>
          <w:ilvl w:val="0"/>
          <w:numId w:val="102"/>
        </w:numPr>
        <w:pBdr>
          <w:top w:val="none" w:sz="0" w:space="0" w:color="auto"/>
          <w:left w:val="none" w:sz="0" w:space="0" w:color="auto"/>
          <w:bottom w:val="none" w:sz="0" w:space="0" w:color="auto"/>
          <w:right w:val="none" w:sz="0" w:space="0" w:color="auto"/>
          <w:bar w:val="none" w:sz="0" w:color="auto"/>
        </w:pBdr>
        <w:spacing w:after="0"/>
        <w:ind w:left="0" w:firstLine="720"/>
        <w:jc w:val="both"/>
        <w:rPr>
          <w:rFonts w:ascii="Cambria" w:hAnsi="Cambria" w:cs="Calibri"/>
          <w:snapToGrid w:val="0"/>
          <w:sz w:val="20"/>
          <w:szCs w:val="20"/>
          <w:lang w:val="es-ES"/>
        </w:rPr>
      </w:pPr>
      <w:r w:rsidRPr="00EC4919">
        <w:rPr>
          <w:rFonts w:ascii="Cambria" w:hAnsi="Cambria" w:cs="Calibri"/>
          <w:snapToGrid w:val="0"/>
          <w:sz w:val="20"/>
          <w:szCs w:val="20"/>
          <w:lang w:val="es-ES"/>
        </w:rPr>
        <w:t>El 17 de junio de 1996, la CIDH (en adelante “la Comisión Interamericana” o “la CIDH”) recibió una petición presentada por la Corporación Colectivo de Abogados “José Alvear Restrepo”, (en adelante “los peticionarios”), en la cual se alega la violación por parte de la República de Colombia (en adelante “el Estado” o “el Estado colombiano”) de los artículos 3 (reconocimiento de la personalidad jurídica),  4 (derecho a la vida), 5 (derecho a la integridad personal), 7 (libertad personal), 8 (garantías judiciales) y 25 (protección judicial) en relación con la obligación de respetar y garantizar los derechos, contenida en el artículo 1.1 de la Convención Americana sobre Derechos Humanos (en lo sucesivo la "Convención Americana" o “Convención”); así como al artículo I b) de la Convención Interamericana sobre Desaparición Forzada de Personas (en adelante “CIDFP”) en perjuicio de Pedro Julio Movilla Galarcio y sus familiares</w:t>
      </w:r>
      <w:r w:rsidRPr="00EC4919">
        <w:rPr>
          <w:rStyle w:val="Refdenotaalpie"/>
          <w:rFonts w:ascii="Cambria" w:hAnsi="Cambria" w:cs="Calibri"/>
          <w:snapToGrid w:val="0"/>
          <w:sz w:val="20"/>
          <w:szCs w:val="20"/>
          <w:lang w:val="es-ES"/>
        </w:rPr>
        <w:footnoteReference w:id="2"/>
      </w:r>
      <w:r w:rsidRPr="00EC4919">
        <w:rPr>
          <w:rFonts w:ascii="Cambria" w:hAnsi="Cambria" w:cs="Calibri"/>
          <w:snapToGrid w:val="0"/>
          <w:sz w:val="20"/>
          <w:szCs w:val="20"/>
          <w:lang w:val="es-ES"/>
        </w:rPr>
        <w:t>.</w:t>
      </w:r>
    </w:p>
    <w:p w14:paraId="17D45D88" w14:textId="77777777" w:rsidR="000E049B" w:rsidRPr="00EC4919" w:rsidRDefault="000E049B" w:rsidP="00087823">
      <w:pPr>
        <w:pStyle w:val="Textoindependiente"/>
        <w:pBdr>
          <w:top w:val="none" w:sz="0" w:space="0" w:color="auto"/>
          <w:left w:val="none" w:sz="0" w:space="0" w:color="auto"/>
          <w:bottom w:val="none" w:sz="0" w:space="0" w:color="auto"/>
          <w:right w:val="none" w:sz="0" w:space="0" w:color="auto"/>
          <w:bar w:val="none" w:sz="0" w:color="auto"/>
        </w:pBdr>
        <w:spacing w:after="0"/>
        <w:jc w:val="both"/>
        <w:rPr>
          <w:rFonts w:ascii="Cambria" w:hAnsi="Cambria" w:cs="Calibri"/>
          <w:snapToGrid w:val="0"/>
          <w:sz w:val="20"/>
          <w:szCs w:val="20"/>
          <w:lang w:val="es-ES"/>
        </w:rPr>
      </w:pPr>
    </w:p>
    <w:p w14:paraId="4914F542" w14:textId="77777777" w:rsidR="000E049B" w:rsidRPr="00EC4919" w:rsidRDefault="000E049B" w:rsidP="001F1EE2">
      <w:pPr>
        <w:pStyle w:val="Textoindependiente"/>
        <w:numPr>
          <w:ilvl w:val="0"/>
          <w:numId w:val="102"/>
        </w:numPr>
        <w:pBdr>
          <w:top w:val="none" w:sz="0" w:space="0" w:color="auto"/>
          <w:left w:val="none" w:sz="0" w:space="0" w:color="auto"/>
          <w:bottom w:val="none" w:sz="0" w:space="0" w:color="auto"/>
          <w:right w:val="none" w:sz="0" w:space="0" w:color="auto"/>
          <w:bar w:val="none" w:sz="0" w:color="auto"/>
        </w:pBdr>
        <w:spacing w:after="0"/>
        <w:ind w:left="0" w:firstLine="720"/>
        <w:jc w:val="both"/>
        <w:rPr>
          <w:rFonts w:ascii="Cambria" w:hAnsi="Cambria" w:cs="Calibri"/>
          <w:snapToGrid w:val="0"/>
          <w:sz w:val="20"/>
          <w:szCs w:val="20"/>
          <w:lang w:val="es-ES"/>
        </w:rPr>
      </w:pPr>
      <w:r w:rsidRPr="00EC4919">
        <w:rPr>
          <w:rFonts w:ascii="Cambria" w:hAnsi="Cambria" w:cs="Calibri"/>
          <w:snapToGrid w:val="0"/>
          <w:sz w:val="20"/>
          <w:szCs w:val="20"/>
          <w:lang w:val="es-ES"/>
        </w:rPr>
        <w:t xml:space="preserve">Los peticionarios sostienen que el 13 de mayo de 1993 en Bogotá, Colombia, se habría dado la desaparición forzada de Pedro Julio Movilla Galarcio (en adelante “la presunta víctima”) la cual habría sido cometida por presuntos agentes estatales y que hasta la fecha no se habría juzgado a los responsables ni efectuado reparaciones por los hechos denunciados.  </w:t>
      </w:r>
    </w:p>
    <w:p w14:paraId="4411D06C" w14:textId="77777777" w:rsidR="000E049B" w:rsidRPr="00EC4919" w:rsidRDefault="000E049B" w:rsidP="00087823">
      <w:pPr>
        <w:pStyle w:val="Textoindependiente"/>
        <w:pBdr>
          <w:top w:val="none" w:sz="0" w:space="0" w:color="auto"/>
          <w:left w:val="none" w:sz="0" w:space="0" w:color="auto"/>
          <w:bottom w:val="none" w:sz="0" w:space="0" w:color="auto"/>
          <w:right w:val="none" w:sz="0" w:space="0" w:color="auto"/>
          <w:bar w:val="none" w:sz="0" w:color="auto"/>
        </w:pBdr>
        <w:spacing w:after="0"/>
        <w:jc w:val="both"/>
        <w:rPr>
          <w:rFonts w:ascii="Cambria" w:hAnsi="Cambria" w:cs="Calibri"/>
          <w:snapToGrid w:val="0"/>
          <w:sz w:val="20"/>
          <w:szCs w:val="20"/>
          <w:lang w:val="es-ES"/>
        </w:rPr>
      </w:pPr>
    </w:p>
    <w:p w14:paraId="7A75AB34" w14:textId="77777777" w:rsidR="000E049B" w:rsidRPr="00EC4919" w:rsidRDefault="000E049B" w:rsidP="001F1EE2">
      <w:pPr>
        <w:pStyle w:val="Textoindependiente"/>
        <w:numPr>
          <w:ilvl w:val="0"/>
          <w:numId w:val="102"/>
        </w:numPr>
        <w:pBdr>
          <w:top w:val="none" w:sz="0" w:space="0" w:color="auto"/>
          <w:left w:val="none" w:sz="0" w:space="0" w:color="auto"/>
          <w:bottom w:val="none" w:sz="0" w:space="0" w:color="auto"/>
          <w:right w:val="none" w:sz="0" w:space="0" w:color="auto"/>
          <w:bar w:val="none" w:sz="0" w:color="auto"/>
        </w:pBdr>
        <w:spacing w:after="0"/>
        <w:ind w:left="0" w:firstLine="720"/>
        <w:jc w:val="both"/>
        <w:rPr>
          <w:rFonts w:ascii="Cambria" w:hAnsi="Cambria" w:cs="Calibri"/>
          <w:snapToGrid w:val="0"/>
          <w:sz w:val="20"/>
          <w:szCs w:val="20"/>
          <w:lang w:val="es-ES"/>
        </w:rPr>
      </w:pPr>
      <w:r w:rsidRPr="00EC4919">
        <w:rPr>
          <w:rFonts w:ascii="Cambria" w:hAnsi="Cambria" w:cs="Calibri"/>
          <w:snapToGrid w:val="0"/>
          <w:sz w:val="20"/>
          <w:szCs w:val="20"/>
          <w:lang w:val="es-ES"/>
        </w:rPr>
        <w:t xml:space="preserve">El Estado alega que la petición es inadmisible debido a que las investigaciones penales continúan tramitándose y, en consecuencia, no se habrían agotado los recursos internos disponibles. </w:t>
      </w:r>
      <w:proofErr w:type="gramStart"/>
      <w:r w:rsidRPr="00EC4919">
        <w:rPr>
          <w:rFonts w:ascii="Cambria" w:hAnsi="Cambria" w:cs="Calibri"/>
          <w:snapToGrid w:val="0"/>
          <w:sz w:val="20"/>
          <w:szCs w:val="20"/>
          <w:lang w:val="es-ES"/>
        </w:rPr>
        <w:t>Asimismo</w:t>
      </w:r>
      <w:proofErr w:type="gramEnd"/>
      <w:r w:rsidRPr="00EC4919">
        <w:rPr>
          <w:rFonts w:ascii="Cambria" w:hAnsi="Cambria" w:cs="Calibri"/>
          <w:snapToGrid w:val="0"/>
          <w:sz w:val="20"/>
          <w:szCs w:val="20"/>
          <w:lang w:val="es-ES"/>
        </w:rPr>
        <w:t xml:space="preserve"> señaló que en el presente caso no existe un retardo injustificado de las investigaciones, debido a la complejidad del asunto y a la actividad de las autoridades judiciales. </w:t>
      </w:r>
    </w:p>
    <w:p w14:paraId="0F35E048" w14:textId="77777777" w:rsidR="000E049B" w:rsidRPr="00EC4919" w:rsidRDefault="000E049B" w:rsidP="00087823">
      <w:pPr>
        <w:pStyle w:val="Textoindependiente"/>
        <w:pBdr>
          <w:top w:val="none" w:sz="0" w:space="0" w:color="auto"/>
          <w:left w:val="none" w:sz="0" w:space="0" w:color="auto"/>
          <w:bottom w:val="none" w:sz="0" w:space="0" w:color="auto"/>
          <w:right w:val="none" w:sz="0" w:space="0" w:color="auto"/>
          <w:bar w:val="none" w:sz="0" w:color="auto"/>
        </w:pBdr>
        <w:spacing w:after="0"/>
        <w:jc w:val="both"/>
        <w:rPr>
          <w:rFonts w:ascii="Cambria" w:hAnsi="Cambria" w:cs="Calibri"/>
          <w:snapToGrid w:val="0"/>
          <w:sz w:val="20"/>
          <w:szCs w:val="20"/>
          <w:lang w:val="es-ES"/>
        </w:rPr>
      </w:pPr>
    </w:p>
    <w:p w14:paraId="20E9DD56" w14:textId="77777777" w:rsidR="000E049B" w:rsidRPr="00EC4919" w:rsidRDefault="000E049B" w:rsidP="001F1EE2">
      <w:pPr>
        <w:pStyle w:val="Textoindependiente"/>
        <w:numPr>
          <w:ilvl w:val="0"/>
          <w:numId w:val="102"/>
        </w:numPr>
        <w:pBdr>
          <w:top w:val="none" w:sz="0" w:space="0" w:color="auto"/>
          <w:left w:val="none" w:sz="0" w:space="0" w:color="auto"/>
          <w:bottom w:val="none" w:sz="0" w:space="0" w:color="auto"/>
          <w:right w:val="none" w:sz="0" w:space="0" w:color="auto"/>
          <w:bar w:val="none" w:sz="0" w:color="auto"/>
        </w:pBdr>
        <w:spacing w:after="0"/>
        <w:ind w:left="0" w:firstLine="720"/>
        <w:jc w:val="both"/>
        <w:rPr>
          <w:rFonts w:ascii="Cambria" w:hAnsi="Cambria" w:cs="Calibri"/>
          <w:snapToGrid w:val="0"/>
          <w:sz w:val="20"/>
          <w:szCs w:val="20"/>
          <w:lang w:val="es-ES"/>
        </w:rPr>
      </w:pPr>
      <w:r w:rsidRPr="00EC4919">
        <w:rPr>
          <w:rFonts w:ascii="Cambria" w:hAnsi="Cambria" w:cs="Calibri"/>
          <w:snapToGrid w:val="0"/>
          <w:sz w:val="20"/>
          <w:szCs w:val="20"/>
          <w:lang w:val="es-ES"/>
        </w:rPr>
        <w:t xml:space="preserve">Tras el análisis de las posiciones de las partes, la Comisión concluyó, sin prejuzgar sobre el fondo del asunto, que es competente para decidir sobre el reclamo presentado por los peticionarios, y que el caso es admisible a la luz de los artículos 46 y 47 de la Convención Americana por las presuntas violaciones a los derechos consagrados en los artículos </w:t>
      </w:r>
      <w:r w:rsidRPr="00EC4919">
        <w:rPr>
          <w:rFonts w:ascii="Cambria" w:hAnsi="Cambria" w:cs="Calibri"/>
          <w:sz w:val="20"/>
          <w:szCs w:val="20"/>
          <w:lang w:val="es-ES"/>
        </w:rPr>
        <w:t xml:space="preserve">3, 4, 5, 7, 8, 16 y 25 </w:t>
      </w:r>
      <w:r w:rsidRPr="00EC4919">
        <w:rPr>
          <w:rFonts w:ascii="Cambria" w:hAnsi="Cambria" w:cs="Calibri"/>
          <w:snapToGrid w:val="0"/>
          <w:sz w:val="20"/>
          <w:szCs w:val="20"/>
          <w:lang w:val="es-ES"/>
        </w:rPr>
        <w:t xml:space="preserve">de ese instrumento, en relación con su artículo 1.1 del mismo, así como al artículo I b) de la Convención Interamericana sobre Desaparición Forzada de Personas. </w:t>
      </w:r>
    </w:p>
    <w:p w14:paraId="46DCE20A" w14:textId="77777777" w:rsidR="000E049B" w:rsidRPr="00EC4919" w:rsidRDefault="000E049B" w:rsidP="001F1EE2">
      <w:pPr>
        <w:pStyle w:val="Style1"/>
        <w:numPr>
          <w:ilvl w:val="0"/>
          <w:numId w:val="0"/>
        </w:numPr>
        <w:ind w:firstLine="720"/>
        <w:rPr>
          <w:rFonts w:ascii="Cambria" w:hAnsi="Cambria"/>
          <w:snapToGrid w:val="0"/>
          <w:sz w:val="16"/>
          <w:szCs w:val="16"/>
          <w:lang w:val="es-ES"/>
        </w:rPr>
      </w:pPr>
    </w:p>
    <w:p w14:paraId="22D88382" w14:textId="77777777" w:rsidR="000E049B" w:rsidRPr="00EC4919" w:rsidRDefault="000E049B" w:rsidP="001F1EE2">
      <w:pPr>
        <w:pStyle w:val="Style1"/>
        <w:numPr>
          <w:ilvl w:val="0"/>
          <w:numId w:val="105"/>
        </w:numPr>
        <w:ind w:left="1440"/>
        <w:rPr>
          <w:rFonts w:ascii="Cambria" w:hAnsi="Cambria"/>
          <w:sz w:val="20"/>
          <w:lang w:val="es-ES"/>
        </w:rPr>
      </w:pPr>
      <w:r w:rsidRPr="00EC4919">
        <w:rPr>
          <w:rFonts w:ascii="Cambria" w:hAnsi="Cambria"/>
          <w:sz w:val="20"/>
          <w:lang w:val="es-ES"/>
        </w:rPr>
        <w:t>TRÁMITE ANTE LA CIDH</w:t>
      </w:r>
    </w:p>
    <w:p w14:paraId="6739DEF3" w14:textId="77777777" w:rsidR="000E049B" w:rsidRPr="00EC4919" w:rsidRDefault="000E049B" w:rsidP="00087823">
      <w:pPr>
        <w:pStyle w:val="Textoindependiente"/>
        <w:pBdr>
          <w:top w:val="none" w:sz="0" w:space="0" w:color="auto"/>
          <w:left w:val="none" w:sz="0" w:space="0" w:color="auto"/>
          <w:bottom w:val="none" w:sz="0" w:space="0" w:color="auto"/>
          <w:right w:val="none" w:sz="0" w:space="0" w:color="auto"/>
          <w:bar w:val="none" w:sz="0" w:color="auto"/>
        </w:pBdr>
        <w:spacing w:after="0"/>
        <w:jc w:val="both"/>
        <w:rPr>
          <w:rFonts w:ascii="Cambria" w:hAnsi="Cambria" w:cs="Calibri"/>
          <w:snapToGrid w:val="0"/>
          <w:sz w:val="20"/>
          <w:szCs w:val="20"/>
          <w:lang w:val="es-ES"/>
        </w:rPr>
      </w:pPr>
    </w:p>
    <w:p w14:paraId="322B107B" w14:textId="77777777" w:rsidR="000E049B" w:rsidRPr="00EC4919" w:rsidRDefault="000E049B" w:rsidP="001F1EE2">
      <w:pPr>
        <w:pStyle w:val="Textoindependiente"/>
        <w:numPr>
          <w:ilvl w:val="0"/>
          <w:numId w:val="102"/>
        </w:numPr>
        <w:pBdr>
          <w:top w:val="none" w:sz="0" w:space="0" w:color="auto"/>
          <w:left w:val="none" w:sz="0" w:space="0" w:color="auto"/>
          <w:bottom w:val="none" w:sz="0" w:space="0" w:color="auto"/>
          <w:right w:val="none" w:sz="0" w:space="0" w:color="auto"/>
          <w:bar w:val="none" w:sz="0" w:color="auto"/>
        </w:pBdr>
        <w:spacing w:after="0"/>
        <w:ind w:left="0" w:firstLine="720"/>
        <w:jc w:val="both"/>
        <w:rPr>
          <w:rFonts w:ascii="Cambria" w:hAnsi="Cambria" w:cs="Calibri"/>
          <w:snapToGrid w:val="0"/>
          <w:sz w:val="20"/>
          <w:szCs w:val="20"/>
          <w:lang w:val="es-ES"/>
        </w:rPr>
      </w:pPr>
      <w:r w:rsidRPr="00EC4919">
        <w:rPr>
          <w:rFonts w:ascii="Cambria" w:hAnsi="Cambria" w:cs="Calibri"/>
          <w:snapToGrid w:val="0"/>
          <w:sz w:val="20"/>
          <w:szCs w:val="20"/>
          <w:lang w:val="es-ES"/>
        </w:rPr>
        <w:t>La petición fue recibida el 17 de junio de 1996 y registrada bajo el No. 11.641. El 20 de junio de 1996 se trasladó la petición al Estado para que presentara sus observaciones las cuales fueron recibidas el 29 de noviembre de 1996.</w:t>
      </w:r>
    </w:p>
    <w:p w14:paraId="3924105B" w14:textId="77777777" w:rsidR="000E049B" w:rsidRPr="00EC4919" w:rsidRDefault="000E049B" w:rsidP="00087823">
      <w:pPr>
        <w:pStyle w:val="Textoindependiente"/>
        <w:pBdr>
          <w:top w:val="none" w:sz="0" w:space="0" w:color="auto"/>
          <w:left w:val="none" w:sz="0" w:space="0" w:color="auto"/>
          <w:bottom w:val="none" w:sz="0" w:space="0" w:color="auto"/>
          <w:right w:val="none" w:sz="0" w:space="0" w:color="auto"/>
          <w:bar w:val="none" w:sz="0" w:color="auto"/>
        </w:pBdr>
        <w:spacing w:after="0"/>
        <w:jc w:val="both"/>
        <w:rPr>
          <w:rFonts w:ascii="Cambria" w:hAnsi="Cambria" w:cs="Calibri"/>
          <w:snapToGrid w:val="0"/>
          <w:sz w:val="20"/>
          <w:szCs w:val="20"/>
          <w:lang w:val="es-ES"/>
        </w:rPr>
      </w:pPr>
    </w:p>
    <w:p w14:paraId="37944C73" w14:textId="77777777" w:rsidR="000E049B" w:rsidRDefault="000E049B" w:rsidP="00AC537B">
      <w:pPr>
        <w:pStyle w:val="Textoindependiente"/>
        <w:numPr>
          <w:ilvl w:val="0"/>
          <w:numId w:val="102"/>
        </w:numPr>
        <w:pBdr>
          <w:top w:val="none" w:sz="0" w:space="0" w:color="auto"/>
          <w:left w:val="none" w:sz="0" w:space="0" w:color="auto"/>
          <w:bottom w:val="none" w:sz="0" w:space="0" w:color="auto"/>
          <w:right w:val="none" w:sz="0" w:space="0" w:color="auto"/>
          <w:bar w:val="none" w:sz="0" w:color="auto"/>
        </w:pBdr>
        <w:spacing w:after="0"/>
        <w:ind w:left="0" w:firstLine="720"/>
        <w:jc w:val="both"/>
        <w:rPr>
          <w:rFonts w:ascii="Cambria" w:hAnsi="Cambria" w:cs="Calibri"/>
          <w:snapToGrid w:val="0"/>
          <w:sz w:val="20"/>
          <w:szCs w:val="20"/>
          <w:lang w:val="es-ES"/>
        </w:rPr>
      </w:pPr>
      <w:r w:rsidRPr="00EC4919">
        <w:rPr>
          <w:rFonts w:ascii="Cambria" w:hAnsi="Cambria" w:cs="Calibri"/>
          <w:snapToGrid w:val="0"/>
          <w:sz w:val="20"/>
          <w:szCs w:val="20"/>
          <w:lang w:val="es-ES"/>
        </w:rPr>
        <w:t xml:space="preserve">Posteriormente, la Comisión recibió información de los peticionarios en las siguientes fechas: 18 de junio de 1997, 18 de mayo de 1998, 17 de agosto de 1998 y 25 de septiembre de 1998. Por su parte, recibió observaciones del Estado el 20 de diciembre de 1996, 1 de mayo de 1997, 22 de enero de 1998, 22 de julio de 1998 y 27 de octubre de 1998. La información adicional y las observaciones fueron debidamente trasladadas a las partes. </w:t>
      </w:r>
    </w:p>
    <w:p w14:paraId="4F45A600" w14:textId="77777777" w:rsidR="00AC537B" w:rsidRPr="00EC4919" w:rsidRDefault="00AC537B" w:rsidP="00AC537B">
      <w:pPr>
        <w:pStyle w:val="Textoindependiente"/>
        <w:pBdr>
          <w:top w:val="none" w:sz="0" w:space="0" w:color="auto"/>
          <w:left w:val="none" w:sz="0" w:space="0" w:color="auto"/>
          <w:bottom w:val="none" w:sz="0" w:space="0" w:color="auto"/>
          <w:right w:val="none" w:sz="0" w:space="0" w:color="auto"/>
          <w:bar w:val="none" w:sz="0" w:color="auto"/>
        </w:pBdr>
        <w:spacing w:after="0"/>
        <w:jc w:val="both"/>
        <w:rPr>
          <w:rFonts w:ascii="Cambria" w:hAnsi="Cambria" w:cs="Calibri"/>
          <w:snapToGrid w:val="0"/>
          <w:sz w:val="20"/>
          <w:szCs w:val="20"/>
          <w:lang w:val="es-ES"/>
        </w:rPr>
      </w:pPr>
    </w:p>
    <w:p w14:paraId="3DFE401E" w14:textId="77777777" w:rsidR="000E049B" w:rsidRPr="00EC4919" w:rsidRDefault="000E049B" w:rsidP="001F1EE2">
      <w:pPr>
        <w:pStyle w:val="Textoindependiente"/>
        <w:numPr>
          <w:ilvl w:val="0"/>
          <w:numId w:val="102"/>
        </w:numPr>
        <w:pBdr>
          <w:top w:val="none" w:sz="0" w:space="0" w:color="auto"/>
          <w:left w:val="none" w:sz="0" w:space="0" w:color="auto"/>
          <w:bottom w:val="none" w:sz="0" w:space="0" w:color="auto"/>
          <w:right w:val="none" w:sz="0" w:space="0" w:color="auto"/>
          <w:bar w:val="none" w:sz="0" w:color="auto"/>
        </w:pBdr>
        <w:spacing w:after="0"/>
        <w:ind w:left="0" w:firstLine="720"/>
        <w:jc w:val="both"/>
        <w:rPr>
          <w:rFonts w:ascii="Cambria" w:hAnsi="Cambria" w:cs="Calibri"/>
          <w:snapToGrid w:val="0"/>
          <w:sz w:val="20"/>
          <w:szCs w:val="20"/>
          <w:lang w:val="es-ES"/>
        </w:rPr>
      </w:pPr>
      <w:r w:rsidRPr="00EC4919">
        <w:rPr>
          <w:rFonts w:ascii="Cambria" w:hAnsi="Cambria" w:cs="Calibri"/>
          <w:snapToGrid w:val="0"/>
          <w:sz w:val="20"/>
          <w:szCs w:val="20"/>
          <w:lang w:val="es-ES"/>
        </w:rPr>
        <w:t xml:space="preserve">El 22 de octubre de 2008, la CIDH solicitó información actualizada sobre el asunto.  La respuesta del Estado se recibió el 21 de noviembre de 2008. El 11 de agosto de 2010 la CIDH reiteró la solicitud de información a los peticionarios. El 6 de febrero de 2013 los peticionarios presentaron su </w:t>
      </w:r>
      <w:r w:rsidRPr="00EC4919">
        <w:rPr>
          <w:rFonts w:ascii="Cambria" w:hAnsi="Cambria" w:cs="Calibri"/>
          <w:snapToGrid w:val="0"/>
          <w:sz w:val="20"/>
          <w:szCs w:val="20"/>
          <w:lang w:val="es-ES"/>
        </w:rPr>
        <w:lastRenderedPageBreak/>
        <w:t xml:space="preserve">respuesta, la cual fue trasladada al Estado para su conocimiento. </w:t>
      </w:r>
      <w:proofErr w:type="gramStart"/>
      <w:r w:rsidRPr="00EC4919">
        <w:rPr>
          <w:rFonts w:ascii="Cambria" w:hAnsi="Cambria" w:cs="Calibri"/>
          <w:snapToGrid w:val="0"/>
          <w:sz w:val="20"/>
          <w:szCs w:val="20"/>
          <w:lang w:val="es-ES"/>
        </w:rPr>
        <w:t>Finalmente</w:t>
      </w:r>
      <w:proofErr w:type="gramEnd"/>
      <w:r w:rsidRPr="00EC4919">
        <w:rPr>
          <w:rFonts w:ascii="Cambria" w:hAnsi="Cambria" w:cs="Calibri"/>
          <w:snapToGrid w:val="0"/>
          <w:sz w:val="20"/>
          <w:szCs w:val="20"/>
          <w:lang w:val="es-ES"/>
        </w:rPr>
        <w:t xml:space="preserve"> el Estado envió información adicional el 6 de mayo de 2014 que fue enviada a los peticionarios para su conocimiento.  </w:t>
      </w:r>
    </w:p>
    <w:p w14:paraId="5DEE8AE0" w14:textId="77777777" w:rsidR="000E049B" w:rsidRPr="00EC4919" w:rsidRDefault="000E049B" w:rsidP="00087823">
      <w:pPr>
        <w:pStyle w:val="Style1"/>
        <w:numPr>
          <w:ilvl w:val="0"/>
          <w:numId w:val="0"/>
        </w:numPr>
        <w:rPr>
          <w:rFonts w:ascii="Cambria" w:hAnsi="Cambria"/>
          <w:snapToGrid w:val="0"/>
          <w:sz w:val="20"/>
          <w:lang w:val="es-ES"/>
        </w:rPr>
      </w:pPr>
    </w:p>
    <w:p w14:paraId="23529442" w14:textId="77777777" w:rsidR="000E049B" w:rsidRPr="00EC4919" w:rsidRDefault="000E049B" w:rsidP="001F1EE2">
      <w:pPr>
        <w:pStyle w:val="Style1"/>
        <w:numPr>
          <w:ilvl w:val="0"/>
          <w:numId w:val="105"/>
        </w:numPr>
        <w:ind w:left="1440"/>
        <w:rPr>
          <w:rFonts w:ascii="Cambria" w:hAnsi="Cambria"/>
          <w:snapToGrid w:val="0"/>
          <w:sz w:val="20"/>
          <w:lang w:val="es-ES"/>
        </w:rPr>
      </w:pPr>
      <w:r w:rsidRPr="00EC4919">
        <w:rPr>
          <w:rFonts w:ascii="Cambria" w:hAnsi="Cambria"/>
          <w:sz w:val="20"/>
          <w:lang w:val="es-ES"/>
        </w:rPr>
        <w:t>POSICIÓN DE LAS PARTES</w:t>
      </w:r>
    </w:p>
    <w:p w14:paraId="320E7C7F" w14:textId="77777777" w:rsidR="000E049B" w:rsidRPr="00EC4919" w:rsidRDefault="000E049B" w:rsidP="001F1EE2">
      <w:pPr>
        <w:pStyle w:val="Style1"/>
        <w:numPr>
          <w:ilvl w:val="0"/>
          <w:numId w:val="0"/>
        </w:numPr>
        <w:ind w:firstLine="720"/>
        <w:rPr>
          <w:rFonts w:ascii="Cambria" w:hAnsi="Cambria"/>
          <w:snapToGrid w:val="0"/>
          <w:sz w:val="20"/>
          <w:lang w:val="es-ES"/>
        </w:rPr>
      </w:pPr>
    </w:p>
    <w:p w14:paraId="70CAE9C7" w14:textId="77777777" w:rsidR="000E049B" w:rsidRPr="00EC4919" w:rsidRDefault="000E049B" w:rsidP="001F1EE2">
      <w:pPr>
        <w:pStyle w:val="Sinespaciado"/>
        <w:numPr>
          <w:ilvl w:val="0"/>
          <w:numId w:val="104"/>
        </w:numPr>
        <w:ind w:left="0" w:firstLine="720"/>
        <w:rPr>
          <w:rFonts w:ascii="Cambria" w:hAnsi="Cambria"/>
          <w:b/>
          <w:snapToGrid w:val="0"/>
          <w:sz w:val="20"/>
          <w:szCs w:val="20"/>
          <w:lang w:val="es-ES"/>
        </w:rPr>
      </w:pPr>
      <w:r w:rsidRPr="00EC4919">
        <w:rPr>
          <w:rFonts w:ascii="Cambria" w:hAnsi="Cambria"/>
          <w:b/>
          <w:sz w:val="20"/>
          <w:szCs w:val="20"/>
          <w:lang w:val="es-ES"/>
        </w:rPr>
        <w:t xml:space="preserve">Posición de los peticionarios </w:t>
      </w:r>
    </w:p>
    <w:p w14:paraId="337768BC" w14:textId="77777777" w:rsidR="000E049B" w:rsidRPr="00EC4919" w:rsidRDefault="000E049B" w:rsidP="00087823">
      <w:pPr>
        <w:pStyle w:val="Textoindependiente"/>
        <w:pBdr>
          <w:top w:val="none" w:sz="0" w:space="0" w:color="auto"/>
          <w:left w:val="none" w:sz="0" w:space="0" w:color="auto"/>
          <w:bottom w:val="none" w:sz="0" w:space="0" w:color="auto"/>
          <w:right w:val="none" w:sz="0" w:space="0" w:color="auto"/>
          <w:bar w:val="none" w:sz="0" w:color="auto"/>
        </w:pBdr>
        <w:spacing w:after="0"/>
        <w:jc w:val="both"/>
        <w:rPr>
          <w:rFonts w:ascii="Cambria" w:hAnsi="Cambria" w:cs="Calibri"/>
          <w:snapToGrid w:val="0"/>
          <w:sz w:val="20"/>
          <w:szCs w:val="20"/>
          <w:lang w:val="es-ES"/>
        </w:rPr>
      </w:pPr>
    </w:p>
    <w:p w14:paraId="06F9CE70" w14:textId="77777777" w:rsidR="000E049B" w:rsidRPr="00EC4919" w:rsidRDefault="000E049B" w:rsidP="00087823">
      <w:pPr>
        <w:pStyle w:val="Textoindependiente"/>
        <w:numPr>
          <w:ilvl w:val="0"/>
          <w:numId w:val="102"/>
        </w:numPr>
        <w:pBdr>
          <w:top w:val="none" w:sz="0" w:space="0" w:color="auto"/>
          <w:left w:val="none" w:sz="0" w:space="0" w:color="auto"/>
          <w:bottom w:val="none" w:sz="0" w:space="0" w:color="auto"/>
          <w:right w:val="none" w:sz="0" w:space="0" w:color="auto"/>
          <w:bar w:val="none" w:sz="0" w:color="auto"/>
        </w:pBdr>
        <w:spacing w:after="0"/>
        <w:ind w:left="0" w:firstLine="720"/>
        <w:jc w:val="both"/>
        <w:rPr>
          <w:rFonts w:ascii="Cambria" w:hAnsi="Cambria" w:cs="Calibri"/>
          <w:snapToGrid w:val="0"/>
          <w:sz w:val="20"/>
          <w:szCs w:val="20"/>
          <w:lang w:val="es-ES"/>
        </w:rPr>
      </w:pPr>
      <w:r w:rsidRPr="00EC4919">
        <w:rPr>
          <w:rFonts w:ascii="Cambria" w:hAnsi="Cambria" w:cs="Calibri"/>
          <w:snapToGrid w:val="0"/>
          <w:sz w:val="20"/>
          <w:szCs w:val="20"/>
          <w:lang w:val="es-ES"/>
        </w:rPr>
        <w:t xml:space="preserve">Los peticionarios señalan que Pedro Julio Movilla Galarcio fue miembro de la junta directiva del sindicato del Instituto Colombiano para la Reforma Agraria, miembro del Comité Obrero Popular en el departamento de Córdoba y militante del Partido Comunista de Colombia Marxista-Leninista. Indican </w:t>
      </w:r>
      <w:proofErr w:type="gramStart"/>
      <w:r w:rsidRPr="00EC4919">
        <w:rPr>
          <w:rFonts w:ascii="Cambria" w:hAnsi="Cambria" w:cs="Calibri"/>
          <w:snapToGrid w:val="0"/>
          <w:sz w:val="20"/>
          <w:szCs w:val="20"/>
          <w:lang w:val="es-ES"/>
        </w:rPr>
        <w:t>que</w:t>
      </w:r>
      <w:proofErr w:type="gramEnd"/>
      <w:r w:rsidRPr="00EC4919">
        <w:rPr>
          <w:rFonts w:ascii="Cambria" w:hAnsi="Cambria" w:cs="Calibri"/>
          <w:snapToGrid w:val="0"/>
          <w:sz w:val="20"/>
          <w:szCs w:val="20"/>
          <w:lang w:val="es-ES"/>
        </w:rPr>
        <w:t xml:space="preserve"> tras haber recibido diversas amenazas y hostigamientos por parte del Ejército, la policía nacional y la Dirección de Policía Judicial e Investigación (DIJIN), el señor Movilla se habría visto forzado a trasladarse con su familia primero a Medellín y luego a Bogotá. Al respecto, </w:t>
      </w:r>
      <w:r w:rsidRPr="00EC4919">
        <w:rPr>
          <w:rFonts w:ascii="Cambria" w:hAnsi="Cambria"/>
          <w:sz w:val="20"/>
          <w:szCs w:val="20"/>
          <w:lang w:val="es-ES"/>
        </w:rPr>
        <w:t>la esposa del señor Movilla habría declarado que su esposo y su familia estarían siendo seguidos por organismos de la seguridad del Estado y que habrían sido víctimas de amenazas y hostigamientos debido a la actividad que su esposo desarrollaba como líder sindical y activista de izquierda.</w:t>
      </w:r>
    </w:p>
    <w:p w14:paraId="387165DF" w14:textId="77777777" w:rsidR="000E049B" w:rsidRPr="00EC4919" w:rsidRDefault="000E049B" w:rsidP="00087823">
      <w:pPr>
        <w:pStyle w:val="Textoindependiente"/>
        <w:pBdr>
          <w:top w:val="none" w:sz="0" w:space="0" w:color="auto"/>
          <w:left w:val="none" w:sz="0" w:space="0" w:color="auto"/>
          <w:bottom w:val="none" w:sz="0" w:space="0" w:color="auto"/>
          <w:right w:val="none" w:sz="0" w:space="0" w:color="auto"/>
          <w:bar w:val="none" w:sz="0" w:color="auto"/>
        </w:pBdr>
        <w:spacing w:after="0"/>
        <w:jc w:val="both"/>
        <w:rPr>
          <w:rFonts w:ascii="Cambria" w:hAnsi="Cambria" w:cs="Calibri"/>
          <w:snapToGrid w:val="0"/>
          <w:sz w:val="20"/>
          <w:szCs w:val="20"/>
          <w:lang w:val="es-ES"/>
        </w:rPr>
      </w:pPr>
    </w:p>
    <w:p w14:paraId="715DE4EA" w14:textId="77777777" w:rsidR="000E049B" w:rsidRPr="00EC4919" w:rsidRDefault="000E049B" w:rsidP="001F1EE2">
      <w:pPr>
        <w:pStyle w:val="Textoindependiente"/>
        <w:numPr>
          <w:ilvl w:val="0"/>
          <w:numId w:val="102"/>
        </w:numPr>
        <w:pBdr>
          <w:top w:val="none" w:sz="0" w:space="0" w:color="auto"/>
          <w:left w:val="none" w:sz="0" w:space="0" w:color="auto"/>
          <w:bottom w:val="none" w:sz="0" w:space="0" w:color="auto"/>
          <w:right w:val="none" w:sz="0" w:space="0" w:color="auto"/>
          <w:bar w:val="none" w:sz="0" w:color="auto"/>
        </w:pBdr>
        <w:spacing w:after="0"/>
        <w:ind w:left="0" w:firstLine="720"/>
        <w:jc w:val="both"/>
        <w:rPr>
          <w:rFonts w:ascii="Cambria" w:hAnsi="Cambria" w:cs="Calibri"/>
          <w:snapToGrid w:val="0"/>
          <w:sz w:val="20"/>
          <w:szCs w:val="20"/>
          <w:lang w:val="es-ES"/>
        </w:rPr>
      </w:pPr>
      <w:r w:rsidRPr="00EC4919">
        <w:rPr>
          <w:rFonts w:ascii="Cambria" w:hAnsi="Cambria" w:cs="Calibri"/>
          <w:snapToGrid w:val="0"/>
          <w:sz w:val="20"/>
          <w:szCs w:val="20"/>
          <w:lang w:val="es-ES"/>
        </w:rPr>
        <w:t xml:space="preserve">Los hechos de la presente petición habrían ocurrido el 13 de mayo de 1993, luego de que el señor Movilla dejara a su hija a las 8:00 am en la escuela John F. Kennedy ubicada en la Carrera 68 con Avenida primero de mayo en la ciudad de Bogotá. La presunta víctima se habría comprometido a buscar a su hija a las 11:00 am, desde ese momento se desconocería el paradero del señor Movilla. </w:t>
      </w:r>
      <w:r w:rsidRPr="00EC4919">
        <w:rPr>
          <w:rFonts w:ascii="Cambria" w:hAnsi="Cambria"/>
          <w:sz w:val="20"/>
          <w:szCs w:val="20"/>
          <w:lang w:val="es-ES"/>
        </w:rPr>
        <w:t xml:space="preserve">Alegan que ese día desde tempranas horas, padres de otros alumnos y profesores habrían notado la presencia de tres motos cuyos conductores estarían armados con ametralladoras. </w:t>
      </w:r>
    </w:p>
    <w:p w14:paraId="3A23DB18" w14:textId="77777777" w:rsidR="000E049B" w:rsidRPr="00EC4919" w:rsidRDefault="000E049B" w:rsidP="00087823">
      <w:pPr>
        <w:pBdr>
          <w:top w:val="none" w:sz="0" w:space="0" w:color="auto"/>
          <w:left w:val="none" w:sz="0" w:space="0" w:color="auto"/>
          <w:bottom w:val="none" w:sz="0" w:space="0" w:color="auto"/>
          <w:right w:val="none" w:sz="0" w:space="0" w:color="auto"/>
          <w:bar w:val="none" w:sz="0" w:color="auto"/>
        </w:pBdr>
        <w:jc w:val="both"/>
        <w:rPr>
          <w:rFonts w:ascii="Cambria" w:hAnsi="Cambria"/>
          <w:sz w:val="20"/>
          <w:szCs w:val="20"/>
          <w:lang w:val="es-ES"/>
        </w:rPr>
      </w:pPr>
    </w:p>
    <w:p w14:paraId="0C990BC0"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Señalan por otra parte que ese mismo día en los alrededores del colegio, aproximadamente a las 9:00 am, habría ocurrido la presunta detención del señor Pedro Julián Pabón Díaz por parte de agentes de la policía nacional tras haber realizado disparos al aire en estado de embriaguez.</w:t>
      </w:r>
    </w:p>
    <w:p w14:paraId="66648B08" w14:textId="77777777" w:rsidR="000E049B" w:rsidRPr="00EC4919" w:rsidRDefault="000E049B" w:rsidP="00087823">
      <w:pPr>
        <w:pBdr>
          <w:top w:val="none" w:sz="0" w:space="0" w:color="auto"/>
          <w:left w:val="none" w:sz="0" w:space="0" w:color="auto"/>
          <w:bottom w:val="none" w:sz="0" w:space="0" w:color="auto"/>
          <w:right w:val="none" w:sz="0" w:space="0" w:color="auto"/>
          <w:bar w:val="none" w:sz="0" w:color="auto"/>
        </w:pBdr>
        <w:jc w:val="both"/>
        <w:rPr>
          <w:rFonts w:ascii="Cambria" w:hAnsi="Cambria"/>
          <w:sz w:val="20"/>
          <w:szCs w:val="20"/>
          <w:lang w:val="es-ES"/>
        </w:rPr>
      </w:pPr>
    </w:p>
    <w:p w14:paraId="3A369A48"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 xml:space="preserve">Aducen que este hecho simultáneo genera alrededor del presente caso una serie de vacíos fácticos que no habrían sido aclarados ni desvirtuados por el Estado en relación a la desaparición forzada del señor </w:t>
      </w:r>
      <w:proofErr w:type="gramStart"/>
      <w:r w:rsidRPr="00EC4919">
        <w:rPr>
          <w:rFonts w:ascii="Cambria" w:hAnsi="Cambria"/>
          <w:sz w:val="20"/>
          <w:szCs w:val="20"/>
          <w:lang w:val="es-ES"/>
        </w:rPr>
        <w:t>Movilla,  ya</w:t>
      </w:r>
      <w:proofErr w:type="gramEnd"/>
      <w:r w:rsidRPr="00EC4919">
        <w:rPr>
          <w:rFonts w:ascii="Cambria" w:hAnsi="Cambria"/>
          <w:sz w:val="20"/>
          <w:szCs w:val="20"/>
          <w:lang w:val="es-ES"/>
        </w:rPr>
        <w:t xml:space="preserve"> que habría ocurrido una detención en el mismo lugar a la misma hora de personas con nombres similares y que portaban ropa del mismo color. </w:t>
      </w:r>
    </w:p>
    <w:p w14:paraId="5BC996F8" w14:textId="77777777" w:rsidR="000E049B" w:rsidRPr="00EC4919" w:rsidRDefault="000E049B" w:rsidP="00087823">
      <w:pPr>
        <w:pBdr>
          <w:top w:val="none" w:sz="0" w:space="0" w:color="auto"/>
          <w:left w:val="none" w:sz="0" w:space="0" w:color="auto"/>
          <w:bottom w:val="none" w:sz="0" w:space="0" w:color="auto"/>
          <w:right w:val="none" w:sz="0" w:space="0" w:color="auto"/>
          <w:bar w:val="none" w:sz="0" w:color="auto"/>
        </w:pBdr>
        <w:jc w:val="both"/>
        <w:rPr>
          <w:rFonts w:ascii="Cambria" w:hAnsi="Cambria"/>
          <w:sz w:val="20"/>
          <w:szCs w:val="20"/>
          <w:lang w:val="es-ES"/>
        </w:rPr>
      </w:pPr>
    </w:p>
    <w:p w14:paraId="5FB187A0"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 xml:space="preserve">Por otro lado, señalan que se habría determinado que el señor Pabón Díaz trabajaría como informante de la DIJIN y que el arma que presuntamente portaba el día de su detención pertenecería a un funcionario de la policía. Los peticionarios indican que hasta la fecha el Estado no habría tomado declaración al señor Pabón Díaz con el fin de aclarar su presunta detención ocurrida el mismo día que la desaparición del señor Movilla, así como su supuesta pertenencia a la red de informantes de la DIJIN, y los motivos por los que portaría un arma que pertenecería a un miembro activo de la policía nacional. </w:t>
      </w:r>
    </w:p>
    <w:p w14:paraId="38ACF5AB" w14:textId="77777777" w:rsidR="000E049B" w:rsidRPr="00EC4919" w:rsidRDefault="000E049B" w:rsidP="00087823">
      <w:pPr>
        <w:pBdr>
          <w:top w:val="none" w:sz="0" w:space="0" w:color="auto"/>
          <w:left w:val="none" w:sz="0" w:space="0" w:color="auto"/>
          <w:bottom w:val="none" w:sz="0" w:space="0" w:color="auto"/>
          <w:right w:val="none" w:sz="0" w:space="0" w:color="auto"/>
          <w:bar w:val="none" w:sz="0" w:color="auto"/>
        </w:pBdr>
        <w:jc w:val="both"/>
        <w:rPr>
          <w:rFonts w:ascii="Cambria" w:hAnsi="Cambria"/>
          <w:sz w:val="20"/>
          <w:szCs w:val="20"/>
          <w:lang w:val="es-ES"/>
        </w:rPr>
      </w:pPr>
    </w:p>
    <w:p w14:paraId="5E597437" w14:textId="77777777" w:rsidR="000E049B" w:rsidRDefault="000E049B" w:rsidP="00087823">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sz w:val="20"/>
          <w:szCs w:val="20"/>
          <w:lang w:val="es-ES"/>
        </w:rPr>
      </w:pPr>
      <w:r w:rsidRPr="00AC537B">
        <w:rPr>
          <w:rFonts w:ascii="Cambria" w:hAnsi="Cambria"/>
          <w:sz w:val="20"/>
          <w:szCs w:val="20"/>
          <w:lang w:val="es-ES"/>
        </w:rPr>
        <w:t xml:space="preserve">Afirman que para la fecha de los hechos el señor Movilla habría sido objeto de seguimientos por parte del servicio de inteligencia militar, Brigada XIII del ejército nacional, quienes lo habrían identificado como miembro disidente del Ejército Popular de Liberación. En cuanto a este hecho consideran que existiría una falta de claridad en las investigaciones sobre los motivos por los que el ejército colombiano realizaba actividades de inteligencia en relación a la presunta víctima, </w:t>
      </w:r>
      <w:proofErr w:type="gramStart"/>
      <w:r w:rsidRPr="00AC537B">
        <w:rPr>
          <w:rFonts w:ascii="Cambria" w:hAnsi="Cambria"/>
          <w:sz w:val="20"/>
          <w:szCs w:val="20"/>
          <w:lang w:val="es-ES"/>
        </w:rPr>
        <w:t>ya que</w:t>
      </w:r>
      <w:proofErr w:type="gramEnd"/>
      <w:r w:rsidRPr="00AC537B">
        <w:rPr>
          <w:rFonts w:ascii="Cambria" w:hAnsi="Cambria"/>
          <w:sz w:val="20"/>
          <w:szCs w:val="20"/>
          <w:lang w:val="es-ES"/>
        </w:rPr>
        <w:t xml:space="preserve"> a pesar del reporte existente sobre presuntas actividades de inteligencia, únicamente se habría aportado al proceso penal un documento con información parcial y en clave militar. </w:t>
      </w:r>
    </w:p>
    <w:p w14:paraId="28CC4CAE" w14:textId="77777777" w:rsidR="00AC537B" w:rsidRPr="00AC537B" w:rsidRDefault="00AC537B" w:rsidP="00AC537B">
      <w:pPr>
        <w:pBdr>
          <w:top w:val="none" w:sz="0" w:space="0" w:color="auto"/>
          <w:left w:val="none" w:sz="0" w:space="0" w:color="auto"/>
          <w:bottom w:val="none" w:sz="0" w:space="0" w:color="auto"/>
          <w:right w:val="none" w:sz="0" w:space="0" w:color="auto"/>
          <w:bar w:val="none" w:sz="0" w:color="auto"/>
        </w:pBdr>
        <w:jc w:val="both"/>
        <w:rPr>
          <w:rFonts w:ascii="Cambria" w:hAnsi="Cambria"/>
          <w:sz w:val="20"/>
          <w:szCs w:val="20"/>
          <w:lang w:val="es-ES"/>
        </w:rPr>
      </w:pPr>
    </w:p>
    <w:p w14:paraId="40A67BDD"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 xml:space="preserve">Con respecto a las investigaciones penales adelantadas los peticionarios consideran que las diligencias practicadas habrían estado orientadas a establecer que Pedro Movilla era miembro del Ejército Popular de Liberación con el fin de señalarlo como guerrillero. Alegan además que habrían excedido el plazo razonable, al haber transcurrido más de veinte años desde la desaparición de la presunta víctima. Señalan que a pesar de que existirían elementos probatorios que conducirían a la responsabilidad de integrantes de la fuerza pública y de por lo menos un particular que habría participado con aquiescencia o complicidad de los agentes del Estado, las investigaciones aún se encontrarían en etapa de investigación previa o habrían sido </w:t>
      </w:r>
      <w:r w:rsidRPr="00EC4919">
        <w:rPr>
          <w:rFonts w:ascii="Cambria" w:hAnsi="Cambria"/>
          <w:sz w:val="20"/>
          <w:szCs w:val="20"/>
          <w:lang w:val="es-ES"/>
        </w:rPr>
        <w:lastRenderedPageBreak/>
        <w:t xml:space="preserve">archivadas provisionalmente sin que se identificara a los responsables. Por ello, en cuanto al cumplimiento con el requisito del previo agotamiento de los recursos internos alegan que resulta aplicable la excepción prevista en el artículo 46.2 c). </w:t>
      </w:r>
    </w:p>
    <w:p w14:paraId="4DEAA028" w14:textId="77777777" w:rsidR="000E049B" w:rsidRPr="00EC4919" w:rsidRDefault="000E049B" w:rsidP="00087823">
      <w:pPr>
        <w:pBdr>
          <w:top w:val="none" w:sz="0" w:space="0" w:color="auto"/>
          <w:left w:val="none" w:sz="0" w:space="0" w:color="auto"/>
          <w:bottom w:val="none" w:sz="0" w:space="0" w:color="auto"/>
          <w:right w:val="none" w:sz="0" w:space="0" w:color="auto"/>
          <w:bar w:val="none" w:sz="0" w:color="auto"/>
        </w:pBdr>
        <w:jc w:val="both"/>
        <w:rPr>
          <w:rFonts w:ascii="Cambria" w:hAnsi="Cambria"/>
          <w:sz w:val="20"/>
          <w:szCs w:val="20"/>
          <w:lang w:val="es-ES"/>
        </w:rPr>
      </w:pPr>
    </w:p>
    <w:p w14:paraId="3D0EF453"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 xml:space="preserve">En cuanto a los procesos iniciados a nivel interno, el 19 de mayo de 1993 los peticionarios habrían interpuesto habeas corpus ante el Juez 54 Penal de Circuito de Bogotá. El 5 de junio de 1996 se habría suspendido provisionalmente la investigación por no encontrar pruebas para determinar a los responsables. El 24 de octubre del mismo año se habría revocado dicha resolución con el fin de continuar con las diligencias para determinar a los responsables. Para la fecha el proceso penal se encontraría en etapa de investigación previa. </w:t>
      </w:r>
    </w:p>
    <w:p w14:paraId="01BFED2C" w14:textId="77777777" w:rsidR="000E049B" w:rsidRPr="00EC4919" w:rsidRDefault="000E049B" w:rsidP="00087823">
      <w:pPr>
        <w:pBdr>
          <w:top w:val="none" w:sz="0" w:space="0" w:color="auto"/>
          <w:left w:val="none" w:sz="0" w:space="0" w:color="auto"/>
          <w:bottom w:val="none" w:sz="0" w:space="0" w:color="auto"/>
          <w:right w:val="none" w:sz="0" w:space="0" w:color="auto"/>
          <w:bar w:val="none" w:sz="0" w:color="auto"/>
        </w:pBdr>
        <w:jc w:val="both"/>
        <w:rPr>
          <w:rFonts w:ascii="Cambria" w:hAnsi="Cambria"/>
          <w:sz w:val="20"/>
          <w:szCs w:val="20"/>
          <w:lang w:val="es-ES"/>
        </w:rPr>
      </w:pPr>
    </w:p>
    <w:p w14:paraId="3AFA5C5E"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 xml:space="preserve">Adicionalmente señalan que el Código de Procedimiento Penal vigente para el momento disponía que mientras el caso estuviese en periodo preliminar no se admitiría demanda de parte civil. Una vez dicha disposición fue modificada, los peticionarios indican haber interpuesto demanda de parte civil que habría sido declarada inadmisible el 21 de enero de 2003. Finalmente, alegan que en febrero de 2011 la habrían presentado nuevamente, admitiéndose el 26 de mayo de 2011. </w:t>
      </w:r>
    </w:p>
    <w:p w14:paraId="31B66282" w14:textId="77777777" w:rsidR="000E049B" w:rsidRPr="00EC4919" w:rsidRDefault="000E049B" w:rsidP="00087823">
      <w:pPr>
        <w:pBdr>
          <w:top w:val="none" w:sz="0" w:space="0" w:color="auto"/>
          <w:left w:val="none" w:sz="0" w:space="0" w:color="auto"/>
          <w:bottom w:val="none" w:sz="0" w:space="0" w:color="auto"/>
          <w:right w:val="none" w:sz="0" w:space="0" w:color="auto"/>
          <w:bar w:val="none" w:sz="0" w:color="auto"/>
        </w:pBdr>
        <w:jc w:val="both"/>
        <w:rPr>
          <w:rFonts w:ascii="Cambria" w:hAnsi="Cambria"/>
          <w:sz w:val="20"/>
          <w:szCs w:val="20"/>
          <w:lang w:val="es-ES"/>
        </w:rPr>
      </w:pPr>
    </w:p>
    <w:p w14:paraId="3CEDF656"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 xml:space="preserve">Por otro lado, se habría iniciado un proceso disciplinario en atención a la queja interpuesta por la esposa de la presunta víctima ante la Procuraduría General de la Nación, que se encontraría en etapa de indagación preliminar. El 17 de febrero de 1998 se habría ordenado el archivo de las diligencias disciplinarias, auto que habría sido apelado por los peticionarios y revocado por el Procurador General de la Nación el 8 de julio de 1998. Sin embargo, el 23 de enero de 2001 la Procuraduría habría resuelto archivar de manera provisional la investigación. </w:t>
      </w:r>
    </w:p>
    <w:p w14:paraId="1010044E"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sz w:val="20"/>
          <w:szCs w:val="20"/>
          <w:lang w:val="es-ES"/>
        </w:rPr>
      </w:pPr>
    </w:p>
    <w:p w14:paraId="5181ED9D"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sz w:val="20"/>
          <w:szCs w:val="20"/>
          <w:lang w:val="es-ES"/>
        </w:rPr>
      </w:pPr>
      <w:r w:rsidRPr="00EC4919">
        <w:rPr>
          <w:rFonts w:ascii="Cambria" w:hAnsi="Cambria"/>
          <w:sz w:val="20"/>
          <w:szCs w:val="20"/>
          <w:lang w:val="es-ES"/>
        </w:rPr>
        <w:t>Los peticionarios señalan haber interpuesto acción de reparación directa ante el Tribunal Administrativo de Cundinamarca – Sección Tercera, y que fue admitida el 19 de mayo de 1995. El Tribunal se habría pronunciado el 30 de octubre de 2001 desestimando las pretensiones señalando que no se habría probado la responsabilidad del Estado. Indican que dicha decisión fue apelada y posteriormente confirmada por el Consejo de Estado el 23 de junio de 2011.</w:t>
      </w:r>
    </w:p>
    <w:p w14:paraId="0085929B"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b/>
          <w:snapToGrid w:val="0"/>
          <w:sz w:val="20"/>
          <w:szCs w:val="20"/>
          <w:lang w:val="es-ES"/>
        </w:rPr>
      </w:pPr>
    </w:p>
    <w:p w14:paraId="1F55ED5F" w14:textId="77777777" w:rsidR="000E049B" w:rsidRPr="00EC4919" w:rsidRDefault="000E049B" w:rsidP="001F1EE2">
      <w:pPr>
        <w:numPr>
          <w:ilvl w:val="0"/>
          <w:numId w:val="104"/>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b/>
          <w:snapToGrid w:val="0"/>
          <w:sz w:val="20"/>
          <w:szCs w:val="20"/>
          <w:lang w:val="es-ES"/>
        </w:rPr>
      </w:pPr>
      <w:r w:rsidRPr="00EC4919">
        <w:rPr>
          <w:rFonts w:ascii="Cambria" w:hAnsi="Cambria"/>
          <w:b/>
          <w:sz w:val="20"/>
          <w:szCs w:val="20"/>
          <w:lang w:val="es-ES"/>
        </w:rPr>
        <w:t xml:space="preserve">Posición del Estado </w:t>
      </w:r>
    </w:p>
    <w:p w14:paraId="3E801DAB"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snapToGrid w:val="0"/>
          <w:sz w:val="20"/>
          <w:szCs w:val="20"/>
          <w:lang w:val="es-ES"/>
        </w:rPr>
      </w:pPr>
    </w:p>
    <w:p w14:paraId="53FF0B63"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 xml:space="preserve">En cuanto a los hechos el Estado considera que habría una confusión por parte de los peticionarios de dos incidentes distintos que habrían tenido lugar en horas de la mañana del 13 de mayo de 1993; por un </w:t>
      </w:r>
      <w:proofErr w:type="gramStart"/>
      <w:r w:rsidRPr="00EC4919">
        <w:rPr>
          <w:rFonts w:ascii="Cambria" w:hAnsi="Cambria"/>
          <w:sz w:val="20"/>
          <w:szCs w:val="20"/>
          <w:lang w:val="es-ES"/>
        </w:rPr>
        <w:t>lado</w:t>
      </w:r>
      <w:proofErr w:type="gramEnd"/>
      <w:r w:rsidRPr="00EC4919">
        <w:rPr>
          <w:rFonts w:ascii="Cambria" w:hAnsi="Cambria"/>
          <w:sz w:val="20"/>
          <w:szCs w:val="20"/>
          <w:lang w:val="es-ES"/>
        </w:rPr>
        <w:t xml:space="preserve"> la desaparición del señor Pedro Julio Movilla Galarcio y por otro, aquellos relacionados a la detención de Pedro Julián Pabón Díaz. </w:t>
      </w:r>
    </w:p>
    <w:p w14:paraId="7A64CA73"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snapToGrid w:val="0"/>
          <w:sz w:val="20"/>
          <w:szCs w:val="20"/>
          <w:lang w:val="es-ES"/>
        </w:rPr>
      </w:pPr>
    </w:p>
    <w:p w14:paraId="07B796CA" w14:textId="77777777" w:rsidR="000E049B" w:rsidRPr="00AC537B" w:rsidRDefault="000E049B" w:rsidP="00AC537B">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sz w:val="16"/>
          <w:szCs w:val="16"/>
          <w:lang w:val="es-ES"/>
        </w:rPr>
      </w:pPr>
      <w:r w:rsidRPr="00EC4919">
        <w:rPr>
          <w:rFonts w:ascii="Cambria" w:hAnsi="Cambria"/>
          <w:sz w:val="20"/>
          <w:szCs w:val="20"/>
          <w:lang w:val="es-ES"/>
        </w:rPr>
        <w:t xml:space="preserve">Al respecto señala que el 13 de mayo de 1993, aproximadamente a las 8:00 am el señor Movilla llevó a su hija al colegio John F. Kennedy, comprometiéndose a recogerla a las 11:00 am y desde ese entonces se encontraría desaparecido. De otra forma contemporánea en inmediaciones del colegio alrededor de las 9:00 am miembros de la policía nacional habrían detenido al señor Pabón Díaz quien se encontraría en estado de embriaguez haciendo disparos al aire. El señor Pabón Díaz habría sido retenido y se le habría decomisado el arma, una </w:t>
      </w:r>
      <w:proofErr w:type="gramStart"/>
      <w:r w:rsidRPr="00EC4919">
        <w:rPr>
          <w:rFonts w:ascii="Cambria" w:hAnsi="Cambria"/>
          <w:sz w:val="20"/>
          <w:szCs w:val="20"/>
          <w:lang w:val="es-ES"/>
        </w:rPr>
        <w:t>vez  cumplidos</w:t>
      </w:r>
      <w:proofErr w:type="gramEnd"/>
      <w:r w:rsidRPr="00EC4919">
        <w:rPr>
          <w:rFonts w:ascii="Cambria" w:hAnsi="Cambria"/>
          <w:sz w:val="20"/>
          <w:szCs w:val="20"/>
          <w:lang w:val="es-ES"/>
        </w:rPr>
        <w:t xml:space="preserve"> los requisitos del decomiso se le habría dejado en libertad. </w:t>
      </w:r>
    </w:p>
    <w:p w14:paraId="29208459" w14:textId="77777777" w:rsidR="00AC537B" w:rsidRPr="00EC4919" w:rsidRDefault="00AC537B" w:rsidP="00AC537B">
      <w:pPr>
        <w:pBdr>
          <w:top w:val="none" w:sz="0" w:space="0" w:color="auto"/>
          <w:left w:val="none" w:sz="0" w:space="0" w:color="auto"/>
          <w:bottom w:val="none" w:sz="0" w:space="0" w:color="auto"/>
          <w:right w:val="none" w:sz="0" w:space="0" w:color="auto"/>
          <w:bar w:val="none" w:sz="0" w:color="auto"/>
        </w:pBdr>
        <w:jc w:val="both"/>
        <w:rPr>
          <w:rFonts w:ascii="Cambria" w:hAnsi="Cambria"/>
          <w:sz w:val="16"/>
          <w:szCs w:val="16"/>
          <w:lang w:val="es-ES"/>
        </w:rPr>
      </w:pPr>
    </w:p>
    <w:p w14:paraId="5F821050"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 xml:space="preserve">El Estado sostiene que la presente petición debe ser declarada inadmisible por no cumplir con el requisito de previo agotamiento de los recursos internos consagrado en el artículo 46.1 a) de la Convención. Asimismo, estima que serían inaplicables las excepciones al agotamiento de los recursos internos contenidas en el artículo 46.2 b) y c). </w:t>
      </w:r>
    </w:p>
    <w:p w14:paraId="1BB8BFEE"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sz w:val="20"/>
          <w:szCs w:val="20"/>
          <w:lang w:val="es-ES"/>
        </w:rPr>
      </w:pPr>
    </w:p>
    <w:p w14:paraId="19A7D266"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 xml:space="preserve">Al respecto señala que a nivel interno existe un proceso penal que se encontraría en etapa de trámite, por lo que los peticionarios no habrían agotado la acción penal. Indica que la investigación penal radicada bajo el No. 096 habría sido conocida por diferentes autoridades tanto jurisdiccionales como investigativas que habrían realizado múltiples esfuerzos para esclarecer los hechos, pero que dicha labor habría sido imposible hasta el momento. </w:t>
      </w:r>
    </w:p>
    <w:p w14:paraId="563F4ABA"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sz w:val="20"/>
          <w:szCs w:val="20"/>
          <w:lang w:val="es-ES"/>
        </w:rPr>
      </w:pPr>
    </w:p>
    <w:p w14:paraId="552299D6"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lastRenderedPageBreak/>
        <w:t xml:space="preserve">Sostiene que las investigaciones se habrían conducido de forma diligente y en un plazo razonable dado a la complejidad del caso. Señala que las circunstancias en que se dio la desaparición del señor Movilla habrían dificultado en alto grado la actividad investigativa ya que surgieron diversas hipótesis sobre su desaparición que habrían requerido diferentes líneas lógicas de investigación. Indica además que se debe considerar que los avances en los procesos penales deben ser analizados en el contexto de la situación colombiana cuya complejidad hace dispendiosa la administración de justicia. </w:t>
      </w:r>
    </w:p>
    <w:p w14:paraId="2B747F89"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sz w:val="20"/>
          <w:szCs w:val="20"/>
          <w:lang w:val="es-ES"/>
        </w:rPr>
      </w:pPr>
    </w:p>
    <w:p w14:paraId="2F4D679D"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 xml:space="preserve">En cuanto a la actividad de las autoridades judiciales señala que tanto en el proceso penal como en el disciplinario se habría desarrollado una intensa actividad investigativa, y que las autoridades habrían ordenado la práctica de pruebas encaminadas a establecer si efectivamente el señor Movilla habría sido objeto de actividades de inteligencia militar y si </w:t>
      </w:r>
      <w:proofErr w:type="gramStart"/>
      <w:r w:rsidRPr="00EC4919">
        <w:rPr>
          <w:rFonts w:ascii="Cambria" w:hAnsi="Cambria"/>
          <w:sz w:val="20"/>
          <w:szCs w:val="20"/>
          <w:lang w:val="es-ES"/>
        </w:rPr>
        <w:t>habría</w:t>
      </w:r>
      <w:proofErr w:type="gramEnd"/>
      <w:r w:rsidRPr="00EC4919">
        <w:rPr>
          <w:rFonts w:ascii="Cambria" w:hAnsi="Cambria"/>
          <w:sz w:val="20"/>
          <w:szCs w:val="20"/>
          <w:lang w:val="es-ES"/>
        </w:rPr>
        <w:t xml:space="preserve"> sido sujeto de seguimiento por parte de miembros de la fuerza pública. Sostiene que a pesar de la gran labor investigativa que se habría desplegado, no se habrían conseguido pruebas conducentes que permitiesen establecer el móvil y el autor de la desaparición del señor Movilla.</w:t>
      </w:r>
    </w:p>
    <w:p w14:paraId="478CB865"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sz w:val="20"/>
          <w:szCs w:val="20"/>
          <w:lang w:val="es-ES"/>
        </w:rPr>
      </w:pPr>
    </w:p>
    <w:p w14:paraId="7C8AC3AB"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 xml:space="preserve">Adicionalmente aduce que la desaparición del señor Movilla no caracterizaría una violación a la Convención. Señala que este hecho no le sería imputable al Estado ya que hasta el momento no existiría prueba que vincule a miembros de la </w:t>
      </w:r>
      <w:proofErr w:type="gramStart"/>
      <w:r w:rsidRPr="00EC4919">
        <w:rPr>
          <w:rFonts w:ascii="Cambria" w:hAnsi="Cambria"/>
          <w:sz w:val="20"/>
          <w:szCs w:val="20"/>
          <w:lang w:val="es-ES"/>
        </w:rPr>
        <w:t>autoridad pública</w:t>
      </w:r>
      <w:proofErr w:type="gramEnd"/>
      <w:r w:rsidRPr="00EC4919">
        <w:rPr>
          <w:rFonts w:ascii="Cambria" w:hAnsi="Cambria"/>
          <w:sz w:val="20"/>
          <w:szCs w:val="20"/>
          <w:lang w:val="es-ES"/>
        </w:rPr>
        <w:t xml:space="preserve"> del Estado colombiano con la desaparición del señor Movilla. Asimismo, destaca que no existiría nexo alguno entre la desaparición de la presunta víctima y la detención del señor Pabón Díaz. </w:t>
      </w:r>
      <w:proofErr w:type="gramStart"/>
      <w:r w:rsidRPr="00EC4919">
        <w:rPr>
          <w:rFonts w:ascii="Cambria" w:hAnsi="Cambria"/>
          <w:sz w:val="20"/>
          <w:szCs w:val="20"/>
          <w:lang w:val="es-ES"/>
        </w:rPr>
        <w:t>Señala</w:t>
      </w:r>
      <w:proofErr w:type="gramEnd"/>
      <w:r w:rsidRPr="00EC4919">
        <w:rPr>
          <w:rFonts w:ascii="Cambria" w:hAnsi="Cambria"/>
          <w:sz w:val="20"/>
          <w:szCs w:val="20"/>
          <w:lang w:val="es-ES"/>
        </w:rPr>
        <w:t xml:space="preserve"> además, que contrario a lo que establecen los peticionarios, se le habría tomado declaración jurada al señor Pabón Díaz en diligencia practicada el 18 de marzo de 2013. </w:t>
      </w:r>
    </w:p>
    <w:p w14:paraId="7281742C" w14:textId="77777777" w:rsidR="000E049B" w:rsidRPr="00EC4919" w:rsidRDefault="000E049B" w:rsidP="00AC4770">
      <w:pPr>
        <w:pStyle w:val="Style1"/>
        <w:numPr>
          <w:ilvl w:val="0"/>
          <w:numId w:val="0"/>
        </w:numPr>
        <w:ind w:left="720"/>
        <w:rPr>
          <w:rFonts w:ascii="Cambria" w:hAnsi="Cambria"/>
          <w:snapToGrid w:val="0"/>
          <w:sz w:val="20"/>
          <w:lang w:val="es-ES"/>
        </w:rPr>
      </w:pPr>
    </w:p>
    <w:p w14:paraId="6B52C254" w14:textId="77777777" w:rsidR="000E049B" w:rsidRPr="00EC4919" w:rsidRDefault="000E049B" w:rsidP="001F1EE2">
      <w:pPr>
        <w:pStyle w:val="Style1"/>
        <w:numPr>
          <w:ilvl w:val="0"/>
          <w:numId w:val="105"/>
        </w:numPr>
        <w:ind w:left="1440"/>
        <w:rPr>
          <w:rFonts w:ascii="Cambria" w:hAnsi="Cambria"/>
          <w:snapToGrid w:val="0"/>
          <w:sz w:val="20"/>
          <w:lang w:val="es-ES"/>
        </w:rPr>
      </w:pPr>
      <w:r w:rsidRPr="00EC4919">
        <w:rPr>
          <w:rFonts w:ascii="Cambria" w:hAnsi="Cambria"/>
          <w:sz w:val="20"/>
          <w:lang w:val="es-ES"/>
        </w:rPr>
        <w:t xml:space="preserve">ANÁLISIS SOBRE COMPETENCIA Y ADMISIBILIDAD </w:t>
      </w:r>
    </w:p>
    <w:p w14:paraId="60F60494"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ind w:left="720"/>
        <w:rPr>
          <w:rFonts w:ascii="Cambria" w:hAnsi="Cambria"/>
          <w:b/>
          <w:snapToGrid w:val="0"/>
          <w:sz w:val="20"/>
          <w:szCs w:val="20"/>
          <w:lang w:val="es-ES"/>
        </w:rPr>
      </w:pPr>
    </w:p>
    <w:p w14:paraId="591A898A" w14:textId="77777777" w:rsidR="000E049B" w:rsidRPr="00EC4919" w:rsidRDefault="000E049B" w:rsidP="001F1EE2">
      <w:pPr>
        <w:numPr>
          <w:ilvl w:val="0"/>
          <w:numId w:val="106"/>
        </w:numPr>
        <w:pBdr>
          <w:top w:val="none" w:sz="0" w:space="0" w:color="auto"/>
          <w:left w:val="none" w:sz="0" w:space="0" w:color="auto"/>
          <w:bottom w:val="none" w:sz="0" w:space="0" w:color="auto"/>
          <w:right w:val="none" w:sz="0" w:space="0" w:color="auto"/>
          <w:bar w:val="none" w:sz="0" w:color="auto"/>
        </w:pBdr>
        <w:ind w:left="1440" w:hanging="720"/>
        <w:rPr>
          <w:rFonts w:ascii="Cambria" w:hAnsi="Cambria"/>
          <w:b/>
          <w:snapToGrid w:val="0"/>
          <w:sz w:val="20"/>
          <w:szCs w:val="20"/>
          <w:lang w:val="es-ES"/>
        </w:rPr>
      </w:pPr>
      <w:r w:rsidRPr="00EC4919">
        <w:rPr>
          <w:rFonts w:ascii="Cambria" w:hAnsi="Cambria"/>
          <w:b/>
          <w:sz w:val="20"/>
          <w:szCs w:val="20"/>
          <w:lang w:val="es-ES"/>
        </w:rPr>
        <w:t xml:space="preserve">Competencia </w:t>
      </w:r>
    </w:p>
    <w:p w14:paraId="6A1B62EC"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snapToGrid w:val="0"/>
          <w:sz w:val="20"/>
          <w:szCs w:val="20"/>
          <w:lang w:val="es-ES"/>
        </w:rPr>
      </w:pPr>
    </w:p>
    <w:p w14:paraId="37AEF83D"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cs="Calibri"/>
          <w:sz w:val="20"/>
          <w:szCs w:val="20"/>
          <w:lang w:val="es-ES"/>
        </w:rPr>
        <w:t xml:space="preserve">Los peticionarios se encuentran facultados, en principio, por el artículo 44 de la Convención Americana para presentar peticiones ante la Comisión. Las presuntas víctimas son personas naturales respecto de quienes el Estado se comprometió a garantizar los derechos consagrados en la Convención Americana y la Convención Interamericana sobre Desaparición Forzada de Personas. En lo concerniente al Estado, la Comisión señala que Colombia es un Estado parte de la Convención Americana desde el 31 de julio de 1973 y de la Convención Interamericana sobre Desaparición Forzada de Personas desde el 4 de abril de 2005, fechas en que depositó sus instrumentos de ratificación, respectivamente. Por lo tanto, la Comisión tiene competencia </w:t>
      </w:r>
      <w:proofErr w:type="spellStart"/>
      <w:r w:rsidRPr="00EC4919">
        <w:rPr>
          <w:rFonts w:ascii="Cambria" w:hAnsi="Cambria" w:cs="Calibri"/>
          <w:i/>
          <w:sz w:val="20"/>
          <w:szCs w:val="20"/>
          <w:lang w:val="es-ES"/>
        </w:rPr>
        <w:t>ratione</w:t>
      </w:r>
      <w:proofErr w:type="spellEnd"/>
      <w:r w:rsidRPr="00EC4919">
        <w:rPr>
          <w:rFonts w:ascii="Cambria" w:hAnsi="Cambria" w:cs="Calibri"/>
          <w:i/>
          <w:sz w:val="20"/>
          <w:szCs w:val="20"/>
          <w:lang w:val="es-ES"/>
        </w:rPr>
        <w:t xml:space="preserve"> </w:t>
      </w:r>
      <w:proofErr w:type="spellStart"/>
      <w:r w:rsidRPr="00EC4919">
        <w:rPr>
          <w:rFonts w:ascii="Cambria" w:hAnsi="Cambria" w:cs="Calibri"/>
          <w:i/>
          <w:sz w:val="20"/>
          <w:szCs w:val="20"/>
          <w:lang w:val="es-ES"/>
        </w:rPr>
        <w:t>personae</w:t>
      </w:r>
      <w:proofErr w:type="spellEnd"/>
      <w:r w:rsidRPr="00EC4919">
        <w:rPr>
          <w:rFonts w:ascii="Cambria" w:hAnsi="Cambria" w:cs="Calibri"/>
          <w:sz w:val="20"/>
          <w:szCs w:val="20"/>
          <w:lang w:val="es-ES"/>
        </w:rPr>
        <w:t xml:space="preserve"> para examinar la petición. </w:t>
      </w:r>
    </w:p>
    <w:p w14:paraId="4E760357"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sz w:val="20"/>
          <w:szCs w:val="20"/>
          <w:lang w:val="es-ES"/>
        </w:rPr>
      </w:pPr>
    </w:p>
    <w:p w14:paraId="206B0FE0"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cs="Calibri"/>
          <w:sz w:val="20"/>
          <w:szCs w:val="20"/>
          <w:lang w:val="es-ES"/>
        </w:rPr>
        <w:t xml:space="preserve">Asimismo, la Comisión tiene competencia </w:t>
      </w:r>
      <w:proofErr w:type="spellStart"/>
      <w:r w:rsidRPr="00EC4919">
        <w:rPr>
          <w:rFonts w:ascii="Cambria" w:hAnsi="Cambria" w:cs="Calibri"/>
          <w:i/>
          <w:sz w:val="20"/>
          <w:szCs w:val="20"/>
          <w:lang w:val="es-ES"/>
        </w:rPr>
        <w:t>ratione</w:t>
      </w:r>
      <w:proofErr w:type="spellEnd"/>
      <w:r w:rsidRPr="00EC4919">
        <w:rPr>
          <w:rFonts w:ascii="Cambria" w:hAnsi="Cambria" w:cs="Calibri"/>
          <w:i/>
          <w:sz w:val="20"/>
          <w:szCs w:val="20"/>
          <w:lang w:val="es-ES"/>
        </w:rPr>
        <w:t xml:space="preserve"> </w:t>
      </w:r>
      <w:proofErr w:type="spellStart"/>
      <w:r w:rsidRPr="00EC4919">
        <w:rPr>
          <w:rFonts w:ascii="Cambria" w:hAnsi="Cambria" w:cs="Calibri"/>
          <w:i/>
          <w:sz w:val="20"/>
          <w:szCs w:val="20"/>
          <w:lang w:val="es-ES"/>
        </w:rPr>
        <w:t>temporis</w:t>
      </w:r>
      <w:proofErr w:type="spellEnd"/>
      <w:r w:rsidRPr="00EC4919">
        <w:rPr>
          <w:rFonts w:ascii="Cambria" w:hAnsi="Cambria" w:cs="Calibri"/>
          <w:sz w:val="20"/>
          <w:szCs w:val="20"/>
          <w:lang w:val="es-ES"/>
        </w:rPr>
        <w:t xml:space="preserve"> por cuanto la obligación de respetar y garantizar los derechos protegidos en la Convención Americana ya se encontraba en vigor para el Estado en la fecha en que habrían ocurrido los hechos alegados en la petición.  La Comisión observa que la Convención sobre Desaparición Forzada </w:t>
      </w:r>
      <w:proofErr w:type="gramStart"/>
      <w:r w:rsidRPr="00EC4919">
        <w:rPr>
          <w:rFonts w:ascii="Cambria" w:hAnsi="Cambria" w:cs="Calibri"/>
          <w:sz w:val="20"/>
          <w:szCs w:val="20"/>
          <w:lang w:val="es-ES"/>
        </w:rPr>
        <w:t>entró en vigencia</w:t>
      </w:r>
      <w:proofErr w:type="gramEnd"/>
      <w:r w:rsidRPr="00EC4919">
        <w:rPr>
          <w:rFonts w:ascii="Cambria" w:hAnsi="Cambria" w:cs="Calibri"/>
          <w:sz w:val="20"/>
          <w:szCs w:val="20"/>
          <w:lang w:val="es-ES"/>
        </w:rPr>
        <w:t xml:space="preserve"> para Colombia el 4 de abril de 2005.  Por lo tanto, la CIDH tiene competencia </w:t>
      </w:r>
      <w:proofErr w:type="spellStart"/>
      <w:r w:rsidRPr="00EC4919">
        <w:rPr>
          <w:rFonts w:ascii="Cambria" w:hAnsi="Cambria" w:cs="Calibri"/>
          <w:i/>
          <w:sz w:val="20"/>
          <w:szCs w:val="20"/>
          <w:lang w:val="es-ES"/>
        </w:rPr>
        <w:t>ratione</w:t>
      </w:r>
      <w:proofErr w:type="spellEnd"/>
      <w:r w:rsidRPr="00EC4919">
        <w:rPr>
          <w:rFonts w:ascii="Cambria" w:hAnsi="Cambria" w:cs="Calibri"/>
          <w:i/>
          <w:sz w:val="20"/>
          <w:szCs w:val="20"/>
          <w:lang w:val="es-ES"/>
        </w:rPr>
        <w:t xml:space="preserve"> </w:t>
      </w:r>
      <w:proofErr w:type="spellStart"/>
      <w:r w:rsidRPr="00EC4919">
        <w:rPr>
          <w:rFonts w:ascii="Cambria" w:hAnsi="Cambria" w:cs="Calibri"/>
          <w:i/>
          <w:sz w:val="20"/>
          <w:szCs w:val="20"/>
          <w:lang w:val="es-ES"/>
        </w:rPr>
        <w:t>temporis</w:t>
      </w:r>
      <w:proofErr w:type="spellEnd"/>
      <w:r w:rsidRPr="00EC4919">
        <w:rPr>
          <w:rFonts w:ascii="Cambria" w:hAnsi="Cambria" w:cs="Calibri"/>
          <w:sz w:val="20"/>
          <w:szCs w:val="20"/>
          <w:lang w:val="es-ES"/>
        </w:rPr>
        <w:t xml:space="preserve"> respecto de la obligación contemplada en el artículo I de dicha Convención respecto de los hechos posteriores a esta fecha en lo que se refiere a la presunta continuidad y falta de esclarecimiento del delito de desaparición forzada</w:t>
      </w:r>
      <w:r w:rsidRPr="00EC4919">
        <w:rPr>
          <w:rStyle w:val="Refdenotaalpie"/>
          <w:rFonts w:ascii="Cambria" w:hAnsi="Cambria" w:cs="Calibri"/>
          <w:sz w:val="20"/>
          <w:szCs w:val="20"/>
          <w:lang w:val="es-ES"/>
        </w:rPr>
        <w:footnoteReference w:id="3"/>
      </w:r>
      <w:r w:rsidRPr="00EC4919">
        <w:rPr>
          <w:rFonts w:ascii="Cambria" w:hAnsi="Cambria" w:cs="Calibri"/>
          <w:sz w:val="20"/>
          <w:szCs w:val="20"/>
          <w:lang w:val="es-ES"/>
        </w:rPr>
        <w:t>.</w:t>
      </w:r>
    </w:p>
    <w:p w14:paraId="464CD419"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sz w:val="20"/>
          <w:szCs w:val="20"/>
          <w:lang w:val="es-ES"/>
        </w:rPr>
      </w:pPr>
    </w:p>
    <w:p w14:paraId="0C71A71D"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cs="Calibri"/>
          <w:sz w:val="20"/>
          <w:szCs w:val="20"/>
          <w:lang w:val="es-ES"/>
        </w:rPr>
        <w:t xml:space="preserve">La Comisión tiene competencia </w:t>
      </w:r>
      <w:proofErr w:type="spellStart"/>
      <w:r w:rsidRPr="00EC4919">
        <w:rPr>
          <w:rFonts w:ascii="Cambria" w:hAnsi="Cambria" w:cs="Calibri"/>
          <w:i/>
          <w:sz w:val="20"/>
          <w:szCs w:val="20"/>
          <w:lang w:val="es-ES"/>
        </w:rPr>
        <w:t>ratione</w:t>
      </w:r>
      <w:proofErr w:type="spellEnd"/>
      <w:r w:rsidRPr="00EC4919">
        <w:rPr>
          <w:rFonts w:ascii="Cambria" w:hAnsi="Cambria" w:cs="Calibri"/>
          <w:i/>
          <w:sz w:val="20"/>
          <w:szCs w:val="20"/>
          <w:lang w:val="es-ES"/>
        </w:rPr>
        <w:t xml:space="preserve"> loci</w:t>
      </w:r>
      <w:r w:rsidRPr="00EC4919">
        <w:rPr>
          <w:rFonts w:ascii="Cambria" w:hAnsi="Cambria" w:cs="Calibri"/>
          <w:sz w:val="20"/>
          <w:szCs w:val="20"/>
          <w:lang w:val="es-ES"/>
        </w:rPr>
        <w:t xml:space="preserve"> para conocer la petición por cuanto en ella se alegan violaciones de derechos protegidos en la Convención Americana que habrían tenido lugar dentro del territorio de Colombia, Estado Parte en dicho tratado. Finalmente, la Comisión tiene competencia </w:t>
      </w:r>
      <w:proofErr w:type="spellStart"/>
      <w:r w:rsidRPr="00EC4919">
        <w:rPr>
          <w:rFonts w:ascii="Cambria" w:hAnsi="Cambria" w:cs="Calibri"/>
          <w:i/>
          <w:sz w:val="20"/>
          <w:szCs w:val="20"/>
          <w:lang w:val="es-ES"/>
        </w:rPr>
        <w:t>ratione</w:t>
      </w:r>
      <w:proofErr w:type="spellEnd"/>
      <w:r w:rsidRPr="00EC4919">
        <w:rPr>
          <w:rFonts w:ascii="Cambria" w:hAnsi="Cambria" w:cs="Calibri"/>
          <w:i/>
          <w:sz w:val="20"/>
          <w:szCs w:val="20"/>
          <w:lang w:val="es-ES"/>
        </w:rPr>
        <w:t xml:space="preserve"> </w:t>
      </w:r>
      <w:proofErr w:type="spellStart"/>
      <w:r w:rsidRPr="00EC4919">
        <w:rPr>
          <w:rFonts w:ascii="Cambria" w:hAnsi="Cambria" w:cs="Calibri"/>
          <w:i/>
          <w:sz w:val="20"/>
          <w:szCs w:val="20"/>
          <w:lang w:val="es-ES"/>
        </w:rPr>
        <w:t>materiae</w:t>
      </w:r>
      <w:proofErr w:type="spellEnd"/>
      <w:r w:rsidRPr="00EC4919">
        <w:rPr>
          <w:rFonts w:ascii="Cambria" w:hAnsi="Cambria" w:cs="Calibri"/>
          <w:sz w:val="20"/>
          <w:szCs w:val="20"/>
          <w:lang w:val="es-ES"/>
        </w:rPr>
        <w:t xml:space="preserve">, porque en la petición se denuncian posibles violaciones a derechos humanos protegidos por la Convención Americana y las disposiciones aplicables de la Convención Interamericana sobre Desaparición Forzada de Personas. </w:t>
      </w:r>
    </w:p>
    <w:p w14:paraId="7F24C9D0"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ind w:left="720"/>
        <w:rPr>
          <w:rFonts w:ascii="Cambria" w:hAnsi="Cambria" w:cs="Calibri"/>
          <w:b/>
          <w:snapToGrid w:val="0"/>
          <w:sz w:val="20"/>
          <w:szCs w:val="20"/>
          <w:lang w:val="es-ES"/>
        </w:rPr>
      </w:pPr>
    </w:p>
    <w:p w14:paraId="415F3F4D" w14:textId="77777777" w:rsidR="000E049B" w:rsidRPr="00EC4919" w:rsidRDefault="000E049B" w:rsidP="001F1EE2">
      <w:pPr>
        <w:numPr>
          <w:ilvl w:val="0"/>
          <w:numId w:val="106"/>
        </w:numPr>
        <w:pBdr>
          <w:top w:val="none" w:sz="0" w:space="0" w:color="auto"/>
          <w:left w:val="none" w:sz="0" w:space="0" w:color="auto"/>
          <w:bottom w:val="none" w:sz="0" w:space="0" w:color="auto"/>
          <w:right w:val="none" w:sz="0" w:space="0" w:color="auto"/>
          <w:bar w:val="none" w:sz="0" w:color="auto"/>
        </w:pBdr>
        <w:ind w:left="1440" w:hanging="720"/>
        <w:rPr>
          <w:rFonts w:ascii="Cambria" w:hAnsi="Cambria" w:cs="Calibri"/>
          <w:b/>
          <w:snapToGrid w:val="0"/>
          <w:sz w:val="20"/>
          <w:szCs w:val="20"/>
          <w:lang w:val="es-ES"/>
        </w:rPr>
      </w:pPr>
      <w:r w:rsidRPr="00EC4919">
        <w:rPr>
          <w:rFonts w:ascii="Cambria" w:hAnsi="Cambria"/>
          <w:b/>
          <w:sz w:val="20"/>
          <w:szCs w:val="20"/>
          <w:lang w:val="es-ES"/>
        </w:rPr>
        <w:lastRenderedPageBreak/>
        <w:t xml:space="preserve">Requisitos de Admisibilidad </w:t>
      </w:r>
    </w:p>
    <w:p w14:paraId="7E0C47DB"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ind w:left="720"/>
        <w:rPr>
          <w:rFonts w:ascii="Cambria" w:hAnsi="Cambria" w:cs="Calibri"/>
          <w:b/>
          <w:snapToGrid w:val="0"/>
          <w:sz w:val="20"/>
          <w:szCs w:val="20"/>
          <w:lang w:val="es-ES"/>
        </w:rPr>
      </w:pPr>
    </w:p>
    <w:p w14:paraId="382DA96D" w14:textId="77777777" w:rsidR="000E049B" w:rsidRPr="00EC4919" w:rsidRDefault="000E049B" w:rsidP="001F1EE2">
      <w:pPr>
        <w:numPr>
          <w:ilvl w:val="0"/>
          <w:numId w:val="107"/>
        </w:numPr>
        <w:pBdr>
          <w:top w:val="none" w:sz="0" w:space="0" w:color="auto"/>
          <w:left w:val="none" w:sz="0" w:space="0" w:color="auto"/>
          <w:bottom w:val="none" w:sz="0" w:space="0" w:color="auto"/>
          <w:right w:val="none" w:sz="0" w:space="0" w:color="auto"/>
          <w:bar w:val="none" w:sz="0" w:color="auto"/>
        </w:pBdr>
        <w:ind w:left="1440" w:hanging="720"/>
        <w:rPr>
          <w:rFonts w:ascii="Cambria" w:hAnsi="Cambria" w:cs="Calibri"/>
          <w:b/>
          <w:snapToGrid w:val="0"/>
          <w:sz w:val="20"/>
          <w:szCs w:val="20"/>
          <w:lang w:val="es-ES"/>
        </w:rPr>
      </w:pPr>
      <w:r w:rsidRPr="00EC4919">
        <w:rPr>
          <w:rFonts w:ascii="Cambria" w:hAnsi="Cambria"/>
          <w:b/>
          <w:sz w:val="20"/>
          <w:szCs w:val="20"/>
          <w:lang w:val="es-ES"/>
        </w:rPr>
        <w:t>Agotamiento de los recursos internos</w:t>
      </w:r>
    </w:p>
    <w:p w14:paraId="4AC980A8"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sz w:val="20"/>
          <w:szCs w:val="20"/>
          <w:lang w:val="es-ES"/>
        </w:rPr>
      </w:pPr>
    </w:p>
    <w:p w14:paraId="2F598081"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z w:val="20"/>
          <w:szCs w:val="20"/>
          <w:lang w:val="es-ES"/>
        </w:rPr>
      </w:pPr>
      <w:r w:rsidRPr="00EC4919">
        <w:rPr>
          <w:rFonts w:ascii="Cambria" w:hAnsi="Cambria" w:cs="Calibri"/>
          <w:sz w:val="20"/>
          <w:szCs w:val="20"/>
          <w:lang w:val="es-ES"/>
        </w:rPr>
        <w:t>El artículo 46.1 a) de la Convención Americana dispone que, para que sea admisible una denuncia presentada ante la Comisión, es necesario que se hayan interpuesto y agotado los recursos internos conforme a los principios del derecho internacional generalmente reconocidos.  Por su parte, el artículo 46.2 de la Convención especifica que este requisito no se aplica cuando a) no exista en la legislación interna del Estado de que se trata el debido proceso legal para la protección del derecho o derechos que se alega han sido violados; b) no se haya permitido al presunto lesionado en sus derechos el acceso a los recursos a la jurisdicción interna, o haya sido impedido de agotarlos; o c) haya retardo injustificado en la decisión sobre los mencionados recursos.</w:t>
      </w:r>
    </w:p>
    <w:p w14:paraId="17A395AE"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sz w:val="20"/>
          <w:szCs w:val="20"/>
          <w:lang w:val="es-ES"/>
        </w:rPr>
      </w:pPr>
    </w:p>
    <w:p w14:paraId="79B1EC41"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cs="Calibri"/>
          <w:sz w:val="20"/>
          <w:szCs w:val="20"/>
          <w:lang w:val="es-ES"/>
        </w:rPr>
        <w:t xml:space="preserve">El Estado alega que no se satisface el requisito del previo agotamiento de los recursos de la jurisdicción interna, dado que existen procesos pendientes en el fuero penal ordinario; y que, por la complejidad del asunto y la actuación desplegada por las autoridades internas, no resultarían aplicables las excepciones contenidas en el artículo 46.2 de la Convención.  Por su parte, los peticionarios alegan que resulta aplicable la excepción prevista en el artículo 46.2 c) de la Convención en vista de que han transcurrido más de veinte años desde que ocurrieron los hechos y del inicio de la investigación penal sin que se haya establecido las responsabilidades penales correspondientes. </w:t>
      </w:r>
    </w:p>
    <w:p w14:paraId="39C174B9"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snapToGrid w:val="0"/>
          <w:sz w:val="20"/>
          <w:szCs w:val="20"/>
          <w:lang w:val="es-ES"/>
        </w:rPr>
      </w:pPr>
    </w:p>
    <w:p w14:paraId="4DA7A177"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cs="Calibri"/>
          <w:sz w:val="20"/>
          <w:szCs w:val="20"/>
          <w:lang w:val="es-ES"/>
        </w:rPr>
        <w:t>En vista de los alegatos de las partes, corresponde en primer término, aclarar cuáles son los recursos internos que deben ser agotados, a la luz de la jurisprudencia del sistema interamericano.  La Comisión observa que el objeto de la presente petición se refiere a los hechos relacionados con la presunta desaparición forzada de Pedro Julio Movilla Galarcio y a los aspectos relacionados con las investigaciones de las circunstancias en que tuvieron lugar dichos hechos.  Los precedentes establecidos por la Comisión señalan que toda vez que se cometa un presunto delito perseguible de oficio, el Estado tiene la obligación de promover e impulsar el proceso penal</w:t>
      </w:r>
      <w:r w:rsidRPr="00EC4919">
        <w:rPr>
          <w:rStyle w:val="Refdenotaalpie"/>
          <w:rFonts w:ascii="Cambria" w:hAnsi="Cambria" w:cs="Calibri"/>
          <w:sz w:val="20"/>
          <w:szCs w:val="20"/>
          <w:lang w:val="es-ES"/>
        </w:rPr>
        <w:footnoteReference w:id="4"/>
      </w:r>
      <w:r w:rsidRPr="00EC4919">
        <w:rPr>
          <w:rFonts w:ascii="Cambria" w:hAnsi="Cambria" w:cs="Calibri"/>
          <w:sz w:val="20"/>
          <w:szCs w:val="20"/>
          <w:lang w:val="es-ES"/>
        </w:rPr>
        <w:t xml:space="preserve"> y que, en esos casos, éste constituye la vía idónea para esclarecer los hechos, juzgar a los responsables y establecer las sanciones penales correspondientes, además de posibilitar otros modos de reparación de tipo pecuniario. </w:t>
      </w:r>
    </w:p>
    <w:p w14:paraId="32EA3E47"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sz w:val="20"/>
          <w:szCs w:val="20"/>
          <w:lang w:val="es-ES"/>
        </w:rPr>
      </w:pPr>
    </w:p>
    <w:p w14:paraId="5F6400C8"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cs="Calibri"/>
          <w:sz w:val="20"/>
          <w:szCs w:val="20"/>
          <w:lang w:val="es-ES"/>
        </w:rPr>
        <w:t xml:space="preserve">La Comisión ha señalado </w:t>
      </w:r>
      <w:proofErr w:type="gramStart"/>
      <w:r w:rsidRPr="00EC4919">
        <w:rPr>
          <w:rFonts w:ascii="Cambria" w:hAnsi="Cambria" w:cs="Calibri"/>
          <w:sz w:val="20"/>
          <w:szCs w:val="20"/>
          <w:lang w:val="es-ES"/>
        </w:rPr>
        <w:t>que</w:t>
      </w:r>
      <w:proofErr w:type="gramEnd"/>
      <w:r w:rsidRPr="00EC4919">
        <w:rPr>
          <w:rFonts w:ascii="Cambria" w:hAnsi="Cambria" w:cs="Calibri"/>
          <w:sz w:val="20"/>
          <w:szCs w:val="20"/>
          <w:lang w:val="es-ES"/>
        </w:rPr>
        <w:t xml:space="preserve"> como regla general, una investigación penal debe realizarse prontamente para proteger los intereses de las víctimas, preservar la prueba e incluso salvaguardar los derechos de toda persona que en el contexto de la investigación sea considerada sospechosa</w:t>
      </w:r>
      <w:r w:rsidRPr="00EC4919">
        <w:rPr>
          <w:rStyle w:val="Refdenotaalpie"/>
          <w:rFonts w:ascii="Cambria" w:hAnsi="Cambria" w:cs="Calibri"/>
          <w:sz w:val="20"/>
          <w:szCs w:val="20"/>
          <w:lang w:val="es-ES"/>
        </w:rPr>
        <w:footnoteReference w:id="5"/>
      </w:r>
      <w:r w:rsidRPr="00EC4919">
        <w:rPr>
          <w:rFonts w:ascii="Cambria" w:hAnsi="Cambria" w:cs="Calibri"/>
          <w:sz w:val="20"/>
          <w:szCs w:val="20"/>
          <w:lang w:val="es-ES"/>
        </w:rPr>
        <w:t xml:space="preserve">. La Comisión observa que la información aportada por ambas partes indica que la investigación destinada al esclarecimiento de los hechos continúa abierta, sin que se haya establecido la responsabilidad en la autoría material e intelectual por los hechos de la presente petición.  Por lo tanto, dadas las características de la petición y el lapso transcurrido desde los hechos materia del reclamo, la Comisión considera que resulta aplicable la excepción prevista en el artículo 46.2 c) de la Convención respecto del retardo injustificado en el desarrollo de los procesos judiciales internos, por lo que el requisito previsto en materia de agotamiento de recursos internos no resulta exigible. </w:t>
      </w:r>
    </w:p>
    <w:p w14:paraId="1A7EF471" w14:textId="77777777" w:rsidR="000E049B" w:rsidRPr="00A037D2"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sz w:val="20"/>
          <w:szCs w:val="20"/>
          <w:lang w:val="es-ES"/>
        </w:rPr>
      </w:pPr>
    </w:p>
    <w:p w14:paraId="1374493A"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 xml:space="preserve">La invocación de las excepciones a la regla de agotamiento de los recursos internos previstas en el artículo 46.2 de la Convención se encuentra estrechamente ligada a la determinación de posibles violaciones a ciertos derechos en ella consagrados, tales como las garantías de acceso a la justicia.  Sin embargo, el artículo 46.2, por su naturaleza y objeto, es una norma con contenido autónomo </w:t>
      </w:r>
      <w:r w:rsidRPr="00EC4919">
        <w:rPr>
          <w:rFonts w:ascii="Cambria" w:hAnsi="Cambria"/>
          <w:i/>
          <w:iCs/>
          <w:sz w:val="20"/>
          <w:szCs w:val="20"/>
          <w:lang w:val="es-ES"/>
        </w:rPr>
        <w:t>vis á vis</w:t>
      </w:r>
      <w:r w:rsidRPr="00EC4919">
        <w:rPr>
          <w:rFonts w:ascii="Cambria" w:hAnsi="Cambria"/>
          <w:sz w:val="20"/>
          <w:szCs w:val="20"/>
          <w:lang w:val="es-ES"/>
        </w:rPr>
        <w:t xml:space="preserve"> las normas sustantivas de la Convención.  Por lo tanto, la determinación de si las excepciones a la regla de agotamiento de los recursos internos resultan aplicables al caso en cuestión debe llevarse a cabo de manera </w:t>
      </w:r>
      <w:r w:rsidRPr="00EC4919">
        <w:rPr>
          <w:rFonts w:ascii="Cambria" w:hAnsi="Cambria"/>
          <w:sz w:val="20"/>
          <w:szCs w:val="20"/>
          <w:lang w:val="es-ES"/>
        </w:rPr>
        <w:lastRenderedPageBreak/>
        <w:t>previa y separada del análisis del fondo del asunto, ya que depende de un estándar de apreciación distinto de aquél utilizado para determinar la posible violación de los artículos 8 y 25 de la Convención.  Cabe aclarar que las causas y los efectos que impidieron el agotamiento de los recursos internos serán analizados en el informe que adopte la Comisión sobre el fondo de la controversia, a fin de constatar si configuran violaciones a la Convención Americana.</w:t>
      </w:r>
    </w:p>
    <w:p w14:paraId="6F29F60E" w14:textId="77777777" w:rsidR="000E049B" w:rsidRPr="00A037D2" w:rsidRDefault="000E049B" w:rsidP="00AC4770">
      <w:pPr>
        <w:pBdr>
          <w:top w:val="none" w:sz="0" w:space="0" w:color="auto"/>
          <w:left w:val="none" w:sz="0" w:space="0" w:color="auto"/>
          <w:bottom w:val="none" w:sz="0" w:space="0" w:color="auto"/>
          <w:right w:val="none" w:sz="0" w:space="0" w:color="auto"/>
          <w:bar w:val="none" w:sz="0" w:color="auto"/>
        </w:pBdr>
        <w:ind w:left="720"/>
        <w:rPr>
          <w:rFonts w:ascii="Cambria" w:hAnsi="Cambria" w:cs="Calibri"/>
          <w:b/>
          <w:snapToGrid w:val="0"/>
          <w:sz w:val="20"/>
          <w:szCs w:val="20"/>
          <w:lang w:val="es-ES"/>
        </w:rPr>
      </w:pPr>
    </w:p>
    <w:p w14:paraId="37D17BEF" w14:textId="77777777" w:rsidR="000E049B" w:rsidRPr="00EC4919" w:rsidRDefault="000E049B" w:rsidP="001F1EE2">
      <w:pPr>
        <w:numPr>
          <w:ilvl w:val="0"/>
          <w:numId w:val="107"/>
        </w:numPr>
        <w:pBdr>
          <w:top w:val="none" w:sz="0" w:space="0" w:color="auto"/>
          <w:left w:val="none" w:sz="0" w:space="0" w:color="auto"/>
          <w:bottom w:val="none" w:sz="0" w:space="0" w:color="auto"/>
          <w:right w:val="none" w:sz="0" w:space="0" w:color="auto"/>
          <w:bar w:val="none" w:sz="0" w:color="auto"/>
        </w:pBdr>
        <w:ind w:left="1440" w:hanging="720"/>
        <w:rPr>
          <w:rFonts w:ascii="Cambria" w:hAnsi="Cambria" w:cs="Calibri"/>
          <w:b/>
          <w:snapToGrid w:val="0"/>
          <w:sz w:val="20"/>
          <w:szCs w:val="20"/>
          <w:lang w:val="es-ES"/>
        </w:rPr>
      </w:pPr>
      <w:r w:rsidRPr="00EC4919">
        <w:rPr>
          <w:rFonts w:ascii="Cambria" w:hAnsi="Cambria"/>
          <w:b/>
          <w:sz w:val="20"/>
          <w:szCs w:val="20"/>
          <w:lang w:val="es-ES"/>
        </w:rPr>
        <w:t>Plazo de presentación de la petición</w:t>
      </w:r>
    </w:p>
    <w:p w14:paraId="7A8C5B9C" w14:textId="77777777" w:rsidR="000E049B" w:rsidRPr="00A037D2"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snapToGrid w:val="0"/>
          <w:sz w:val="20"/>
          <w:szCs w:val="20"/>
          <w:lang w:val="es-ES"/>
        </w:rPr>
      </w:pPr>
    </w:p>
    <w:p w14:paraId="75A35D10"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Conforme a lo establecido en el artículo 46.1 b) de la Convención Americana para que una petición sea admitida por la Comisión se requiere que sea presentada dentro del plazo de seis meses a partir de la fecha en que el presunto lesionado en sus derechos haya sido notificado de la decisión definitiva.  El artículo 32 del Reglamento de la Comisión establece que en los casos en los cuales resulten aplicables las excepciones al previo agotamiento de los recursos internos, la petición deberá presentarse dentro de un plazo razonable, a criterio de la Comisión.  A tal efecto, la Comisión debe considerar la fecha en que haya ocurrido la presunta violación de los derechos y las circunstancias de cada caso.</w:t>
      </w:r>
    </w:p>
    <w:p w14:paraId="17363683" w14:textId="77777777" w:rsidR="000E049B" w:rsidRPr="00A037D2"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sz w:val="20"/>
          <w:szCs w:val="20"/>
          <w:lang w:val="es-ES"/>
        </w:rPr>
      </w:pPr>
    </w:p>
    <w:p w14:paraId="15D5F145"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 xml:space="preserve">En el reclamo bajo estudio, la Comisión ha concluido que resulta procedente la aplicación de la excepción del requisito de agotamiento de los recursos internos, por lo que corresponde a la CIDH analizar si la petición fue presentada en un plazo razonable de acuerdo con las circunstancias específicas.  </w:t>
      </w:r>
      <w:r w:rsidRPr="00EC4919">
        <w:rPr>
          <w:rFonts w:ascii="Cambria" w:hAnsi="Cambria" w:cs="Calibri"/>
          <w:sz w:val="20"/>
          <w:szCs w:val="20"/>
          <w:lang w:val="es-ES"/>
        </w:rPr>
        <w:t>En el presente asunto, la petición fue recibida el 17 de junio de 1996 y los hechos materia del reclamo iniciaron el 13 de mayo de 1993 y sus efectos en términos de la alegada falta de resultados de la administración de justicia se extenderían hasta el presente.  Por lo tanto, en vista del contexto y las características de la presente petición, así como el hecho de que los procesos penales se encuentran pendientes, la Comisión considera que la petición fue presentada dentro de un plazo razonable y que debe darse por satisfecho el requisito de admisibilidad referente al plazo de presentación</w:t>
      </w:r>
      <w:r w:rsidRPr="00EC4919">
        <w:rPr>
          <w:rFonts w:ascii="Cambria" w:hAnsi="Cambria"/>
          <w:sz w:val="20"/>
          <w:szCs w:val="20"/>
          <w:lang w:val="es-ES"/>
        </w:rPr>
        <w:t>.</w:t>
      </w:r>
    </w:p>
    <w:p w14:paraId="4B95A7F3"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ind w:left="720"/>
        <w:rPr>
          <w:rFonts w:ascii="Cambria" w:hAnsi="Cambria" w:cs="Calibri"/>
          <w:b/>
          <w:snapToGrid w:val="0"/>
          <w:sz w:val="20"/>
          <w:szCs w:val="20"/>
          <w:lang w:val="es-ES"/>
        </w:rPr>
      </w:pPr>
    </w:p>
    <w:p w14:paraId="475904D8" w14:textId="77777777" w:rsidR="000E049B" w:rsidRPr="00EC4919" w:rsidRDefault="000E049B" w:rsidP="001F1EE2">
      <w:pPr>
        <w:numPr>
          <w:ilvl w:val="0"/>
          <w:numId w:val="107"/>
        </w:numPr>
        <w:pBdr>
          <w:top w:val="none" w:sz="0" w:space="0" w:color="auto"/>
          <w:left w:val="none" w:sz="0" w:space="0" w:color="auto"/>
          <w:bottom w:val="none" w:sz="0" w:space="0" w:color="auto"/>
          <w:right w:val="none" w:sz="0" w:space="0" w:color="auto"/>
          <w:bar w:val="none" w:sz="0" w:color="auto"/>
        </w:pBdr>
        <w:ind w:firstLine="0"/>
        <w:rPr>
          <w:rFonts w:ascii="Cambria" w:hAnsi="Cambria" w:cs="Calibri"/>
          <w:b/>
          <w:snapToGrid w:val="0"/>
          <w:sz w:val="20"/>
          <w:szCs w:val="20"/>
          <w:lang w:val="es-ES"/>
        </w:rPr>
      </w:pPr>
      <w:r w:rsidRPr="00EC4919">
        <w:rPr>
          <w:rFonts w:ascii="Cambria" w:hAnsi="Cambria"/>
          <w:b/>
          <w:sz w:val="20"/>
          <w:szCs w:val="20"/>
          <w:lang w:val="es-ES"/>
        </w:rPr>
        <w:t>Duplicación de procedimientos y cosa juzgada internacional</w:t>
      </w:r>
    </w:p>
    <w:p w14:paraId="3D1BBE11" w14:textId="77777777" w:rsidR="000E049B" w:rsidRPr="00A037D2"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snapToGrid w:val="0"/>
          <w:sz w:val="20"/>
          <w:szCs w:val="20"/>
          <w:lang w:val="es-ES"/>
        </w:rPr>
      </w:pPr>
    </w:p>
    <w:p w14:paraId="6C5765B8"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cs="Calibri"/>
          <w:sz w:val="20"/>
          <w:szCs w:val="20"/>
          <w:lang w:val="es-ES"/>
        </w:rPr>
        <w:t>No surge del expediente que la materia de la petición se encuentre pendiente de otro procedimiento de arreglo internacional, ni que reproduzca una petición ya examinada por éste u otro órgano internacional.  Por lo tanto, corresponde dar por cumplidos los requisitos establecidos en los artículos 46.1 c) y 47 d) de la Convención.</w:t>
      </w:r>
    </w:p>
    <w:p w14:paraId="6FE631FC" w14:textId="77777777" w:rsidR="000E049B" w:rsidRPr="00A037D2" w:rsidRDefault="000E049B" w:rsidP="00AC4770">
      <w:pPr>
        <w:pBdr>
          <w:top w:val="none" w:sz="0" w:space="0" w:color="auto"/>
          <w:left w:val="none" w:sz="0" w:space="0" w:color="auto"/>
          <w:bottom w:val="none" w:sz="0" w:space="0" w:color="auto"/>
          <w:right w:val="none" w:sz="0" w:space="0" w:color="auto"/>
          <w:bar w:val="none" w:sz="0" w:color="auto"/>
        </w:pBdr>
        <w:ind w:left="720"/>
        <w:rPr>
          <w:rFonts w:ascii="Cambria" w:hAnsi="Cambria" w:cs="Calibri"/>
          <w:b/>
          <w:snapToGrid w:val="0"/>
          <w:sz w:val="20"/>
          <w:szCs w:val="20"/>
          <w:lang w:val="es-ES"/>
        </w:rPr>
      </w:pPr>
    </w:p>
    <w:p w14:paraId="6D189159" w14:textId="77777777" w:rsidR="000E049B" w:rsidRPr="00EC4919" w:rsidRDefault="000E049B" w:rsidP="001F1EE2">
      <w:pPr>
        <w:numPr>
          <w:ilvl w:val="0"/>
          <w:numId w:val="107"/>
        </w:numPr>
        <w:pBdr>
          <w:top w:val="none" w:sz="0" w:space="0" w:color="auto"/>
          <w:left w:val="none" w:sz="0" w:space="0" w:color="auto"/>
          <w:bottom w:val="none" w:sz="0" w:space="0" w:color="auto"/>
          <w:right w:val="none" w:sz="0" w:space="0" w:color="auto"/>
          <w:bar w:val="none" w:sz="0" w:color="auto"/>
        </w:pBdr>
        <w:ind w:firstLine="0"/>
        <w:rPr>
          <w:rFonts w:ascii="Cambria" w:hAnsi="Cambria" w:cs="Calibri"/>
          <w:b/>
          <w:snapToGrid w:val="0"/>
          <w:sz w:val="20"/>
          <w:szCs w:val="20"/>
          <w:lang w:val="es-ES"/>
        </w:rPr>
      </w:pPr>
      <w:r w:rsidRPr="00EC4919">
        <w:rPr>
          <w:rFonts w:ascii="Cambria" w:hAnsi="Cambria"/>
          <w:b/>
          <w:sz w:val="20"/>
          <w:szCs w:val="20"/>
          <w:lang w:val="es-ES"/>
        </w:rPr>
        <w:t xml:space="preserve">Caracterización de los hechos alegados </w:t>
      </w:r>
    </w:p>
    <w:p w14:paraId="628CE676" w14:textId="77777777" w:rsidR="000E049B" w:rsidRPr="00A037D2"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snapToGrid w:val="0"/>
          <w:sz w:val="20"/>
          <w:szCs w:val="20"/>
          <w:lang w:val="es-ES"/>
        </w:rPr>
      </w:pPr>
    </w:p>
    <w:p w14:paraId="527222B2"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 xml:space="preserve">A los fines de admisibilidad, corresponde a la Comisión decidir si en la petición se exponen hechos que podrían caracterizar una violación, como estipula el artículo 47 b) de la Convención Americana, si la petición es “manifiestamente infundada” o si es “evidente su total improcedencia”, según el inciso c) del mismo artículo. En esta etapa procesal corresponde a la Comisión realizar una evaluación </w:t>
      </w:r>
      <w:r w:rsidRPr="00EC4919">
        <w:rPr>
          <w:rFonts w:ascii="Cambria" w:hAnsi="Cambria"/>
          <w:i/>
          <w:sz w:val="20"/>
          <w:szCs w:val="20"/>
          <w:lang w:val="es-ES"/>
        </w:rPr>
        <w:t>prima facie</w:t>
      </w:r>
      <w:r w:rsidRPr="00EC4919">
        <w:rPr>
          <w:rFonts w:ascii="Cambria" w:hAnsi="Cambria"/>
          <w:sz w:val="20"/>
          <w:szCs w:val="20"/>
          <w:lang w:val="es-ES"/>
        </w:rPr>
        <w:t>, no con el objeto de establecer presuntas violaciones a la Convención Americana, sino para examinar si la petición denuncia hechos que potencialmente podrían configurar violaciones a derechos garantizados en dicho instrumento. Este examen no implica prejuzgamiento ni anticipo de la opinión de méritos del asunto</w:t>
      </w:r>
      <w:r w:rsidRPr="00EC4919">
        <w:rPr>
          <w:rStyle w:val="Refdenotaalpie"/>
          <w:rFonts w:ascii="Cambria" w:hAnsi="Cambria"/>
          <w:sz w:val="20"/>
          <w:szCs w:val="20"/>
          <w:lang w:val="es-ES"/>
        </w:rPr>
        <w:footnoteReference w:id="6"/>
      </w:r>
      <w:r w:rsidRPr="00EC4919">
        <w:rPr>
          <w:rFonts w:ascii="Cambria" w:hAnsi="Cambria"/>
          <w:sz w:val="20"/>
          <w:szCs w:val="20"/>
          <w:lang w:val="es-ES"/>
        </w:rPr>
        <w:t>.</w:t>
      </w:r>
    </w:p>
    <w:p w14:paraId="7FA9DABB"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iCs/>
          <w:sz w:val="20"/>
          <w:szCs w:val="20"/>
          <w:lang w:val="es-ES"/>
        </w:rPr>
      </w:pPr>
    </w:p>
    <w:p w14:paraId="3239307F" w14:textId="77777777" w:rsidR="00AC537B" w:rsidRPr="00AC537B" w:rsidRDefault="000E049B" w:rsidP="00AC537B">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z w:val="20"/>
          <w:szCs w:val="20"/>
          <w:lang w:val="es-ES"/>
        </w:rPr>
      </w:pPr>
      <w:r w:rsidRPr="00AC537B">
        <w:rPr>
          <w:rFonts w:ascii="Cambria" w:hAnsi="Cambria"/>
          <w:iCs/>
          <w:sz w:val="20"/>
          <w:szCs w:val="20"/>
          <w:lang w:val="es-ES"/>
        </w:rPr>
        <w:t>Ni la Convención Americana ni el Reglamento de la CIDH exigen a los peticionarios identificar los derechos específicos que se alegan violados por parte del Estado en el asunto sometido a la Comisión, aunque los peticionarios pueden hacerlo. En cambio, corresponde a la Comisión, con base en la jurisprudencia del sistema, determinar en sus informes de admisibilidad, qué disposición de los instrumentos interamericanos relevantes es aplicable y podría concluirse que habría sido violada si los hechos alegados son probados mediante evidencia suficiente y argumentos legales.</w:t>
      </w:r>
    </w:p>
    <w:p w14:paraId="570635A7" w14:textId="77777777" w:rsidR="00AC537B" w:rsidRPr="00AC537B" w:rsidRDefault="00AC537B" w:rsidP="00AC537B">
      <w:pPr>
        <w:pBdr>
          <w:top w:val="none" w:sz="0" w:space="0" w:color="auto"/>
          <w:left w:val="none" w:sz="0" w:space="0" w:color="auto"/>
          <w:bottom w:val="none" w:sz="0" w:space="0" w:color="auto"/>
          <w:right w:val="none" w:sz="0" w:space="0" w:color="auto"/>
          <w:bar w:val="none" w:sz="0" w:color="auto"/>
        </w:pBdr>
        <w:jc w:val="both"/>
        <w:rPr>
          <w:rFonts w:ascii="Cambria" w:hAnsi="Cambria" w:cs="Calibri"/>
          <w:sz w:val="20"/>
          <w:szCs w:val="20"/>
          <w:lang w:val="es-ES"/>
        </w:rPr>
      </w:pPr>
    </w:p>
    <w:p w14:paraId="24452661" w14:textId="77777777" w:rsidR="000E049B" w:rsidRPr="00EC4919" w:rsidRDefault="00AC537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cs="Calibri"/>
          <w:sz w:val="20"/>
          <w:szCs w:val="20"/>
          <w:lang w:val="es-ES"/>
        </w:rPr>
        <w:lastRenderedPageBreak/>
        <w:t xml:space="preserve"> </w:t>
      </w:r>
      <w:r w:rsidR="000E049B" w:rsidRPr="00EC4919">
        <w:rPr>
          <w:rFonts w:ascii="Cambria" w:hAnsi="Cambria" w:cs="Calibri"/>
          <w:sz w:val="20"/>
          <w:szCs w:val="20"/>
          <w:lang w:val="es-ES"/>
        </w:rPr>
        <w:t xml:space="preserve">En vista de los elementos de hecho y de derecho presentados por las partes y la naturaleza del asunto puesto bajo su conocimiento, la CIDH considera que los alegatos de los peticionarios sobre el alcance de la presunta responsabilidad estatal respecto de los hechos materia del reclamo podrían caracterizar posibles violaciones a los derechos contenidos en los artículos 3, 4, 5, 7, 8 y 25 en concordancia con el artículo 1.1 de la Convención Americana en perjuicio de Pedro Julio Movilla Galarcio. Por otro lado, la CIDH considera que los alegatos de los peticionarios respecto de las presuntas violaciones a la integridad personal y a las garantías judiciales y a la protección judicial, podrían caracterizar violaciones a los artículos 5, 8 y 25 de la Convención Americana en perjuicio de los familiares de la presunta víctima. Asimismo, dada la naturaleza de las alegadas violaciones descritas en esta petición –lo que incluye la alegada desaparición forzada y su falta de esclarecimiento judicial– la Comisión considera que corresponde analizar en la etapa de fondo la posible responsabilidad del Estado por la presunta violación al artículo I b) de la Convención Interamericana sobre Desaparición Forzada de Personas. </w:t>
      </w:r>
    </w:p>
    <w:p w14:paraId="0BDE217F"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sz w:val="20"/>
          <w:szCs w:val="20"/>
          <w:lang w:val="es-ES"/>
        </w:rPr>
      </w:pPr>
    </w:p>
    <w:p w14:paraId="63B7B8D6"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sz w:val="20"/>
          <w:szCs w:val="20"/>
          <w:lang w:val="es-ES"/>
        </w:rPr>
        <w:t>Finalmente, la CIDH considera que los alegatos referentes a la posible relación entre la alegada desaparición de la presunta víctima y las actividades que ésta realizaba como activista sindical, así como la falta de esclarecimiento judicial sobre estos hechos, de ser probada, podría constituir una violación al artículo 16 de la Convención Americana.</w:t>
      </w:r>
    </w:p>
    <w:p w14:paraId="1A3AD052" w14:textId="77777777" w:rsidR="000E049B" w:rsidRPr="00EC4919" w:rsidRDefault="000E049B" w:rsidP="00AC4770">
      <w:pPr>
        <w:pStyle w:val="Style1"/>
        <w:numPr>
          <w:ilvl w:val="0"/>
          <w:numId w:val="0"/>
        </w:numPr>
        <w:ind w:left="720"/>
        <w:rPr>
          <w:rFonts w:ascii="Cambria" w:hAnsi="Cambria"/>
          <w:snapToGrid w:val="0"/>
          <w:sz w:val="16"/>
          <w:szCs w:val="16"/>
          <w:lang w:val="es-ES"/>
        </w:rPr>
      </w:pPr>
    </w:p>
    <w:p w14:paraId="5D56A6D0" w14:textId="77777777" w:rsidR="000E049B" w:rsidRPr="00EC4919" w:rsidRDefault="000E049B" w:rsidP="001F1EE2">
      <w:pPr>
        <w:pStyle w:val="Style1"/>
        <w:numPr>
          <w:ilvl w:val="0"/>
          <w:numId w:val="105"/>
        </w:numPr>
        <w:ind w:left="1440"/>
        <w:rPr>
          <w:rFonts w:ascii="Cambria" w:hAnsi="Cambria"/>
          <w:snapToGrid w:val="0"/>
          <w:sz w:val="20"/>
          <w:lang w:val="es-ES"/>
        </w:rPr>
      </w:pPr>
      <w:r w:rsidRPr="00EC4919">
        <w:rPr>
          <w:rFonts w:ascii="Cambria" w:hAnsi="Cambria"/>
          <w:sz w:val="20"/>
          <w:lang w:val="es-ES"/>
        </w:rPr>
        <w:t>CONCLUSIONES</w:t>
      </w:r>
    </w:p>
    <w:p w14:paraId="604A6F46"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snapToGrid w:val="0"/>
          <w:sz w:val="20"/>
          <w:szCs w:val="20"/>
          <w:lang w:val="es-ES"/>
        </w:rPr>
      </w:pPr>
    </w:p>
    <w:p w14:paraId="229BB7FC" w14:textId="77777777" w:rsidR="000E049B" w:rsidRPr="00EC4919" w:rsidRDefault="000E049B" w:rsidP="001F1EE2">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cs="Calibri"/>
          <w:sz w:val="20"/>
          <w:szCs w:val="20"/>
          <w:lang w:val="es-ES"/>
        </w:rPr>
        <w:t xml:space="preserve">La Comisión concluye que es competente para examinar los reclamos presentados por los peticionarios sobre la presunta violación de los artículos 3, 4, 5, 7, 8, 16 y 25 en concordancia con el artículo 1.1 de la Convención Americana, y el artículo I b) de la Convención Interamericana sobre Desaparición Forzada de Personas; y que éstos son admisibles, conforme a los requisitos establecidos en los artículos 46 y 47 de la Convención Americana.  </w:t>
      </w:r>
    </w:p>
    <w:p w14:paraId="4AEDF312" w14:textId="77777777" w:rsidR="000E049B" w:rsidRPr="00EC4919" w:rsidRDefault="000E049B" w:rsidP="005A2B10">
      <w:pPr>
        <w:pBdr>
          <w:top w:val="none" w:sz="0" w:space="0" w:color="auto"/>
          <w:left w:val="none" w:sz="0" w:space="0" w:color="auto"/>
          <w:bottom w:val="none" w:sz="0" w:space="0" w:color="auto"/>
          <w:right w:val="none" w:sz="0" w:space="0" w:color="auto"/>
          <w:bar w:val="none" w:sz="0" w:color="auto"/>
        </w:pBdr>
        <w:ind w:firstLine="720"/>
        <w:jc w:val="both"/>
        <w:rPr>
          <w:rFonts w:ascii="Cambria" w:hAnsi="Cambria" w:cs="Calibri"/>
          <w:snapToGrid w:val="0"/>
          <w:sz w:val="20"/>
          <w:szCs w:val="20"/>
          <w:lang w:val="es-ES"/>
        </w:rPr>
      </w:pPr>
    </w:p>
    <w:p w14:paraId="2592E00B" w14:textId="77777777" w:rsidR="000E049B" w:rsidRPr="00EC4919" w:rsidRDefault="000E049B" w:rsidP="005A2B10">
      <w:pPr>
        <w:numPr>
          <w:ilvl w:val="0"/>
          <w:numId w:val="102"/>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b/>
          <w:sz w:val="20"/>
          <w:szCs w:val="20"/>
          <w:lang w:val="es-ES"/>
        </w:rPr>
      </w:pPr>
      <w:r w:rsidRPr="00EC4919">
        <w:rPr>
          <w:rFonts w:ascii="Cambria" w:hAnsi="Cambria" w:cs="Calibri"/>
          <w:sz w:val="20"/>
          <w:szCs w:val="20"/>
          <w:lang w:val="es-ES"/>
        </w:rPr>
        <w:t>Con fundamento en los argumentos de hecho y de derecho antes expuestos.</w:t>
      </w:r>
    </w:p>
    <w:p w14:paraId="0EA9CC0F" w14:textId="77777777" w:rsidR="000E049B" w:rsidRPr="00EC4919" w:rsidRDefault="000E049B" w:rsidP="00DF13EA">
      <w:pPr>
        <w:pBdr>
          <w:top w:val="none" w:sz="0" w:space="0" w:color="auto"/>
          <w:left w:val="none" w:sz="0" w:space="0" w:color="auto"/>
          <w:bottom w:val="none" w:sz="0" w:space="0" w:color="auto"/>
          <w:right w:val="none" w:sz="0" w:space="0" w:color="auto"/>
          <w:bar w:val="none" w:sz="0" w:color="auto"/>
        </w:pBdr>
        <w:jc w:val="center"/>
        <w:rPr>
          <w:rFonts w:ascii="Cambria" w:hAnsi="Cambria" w:cs="Calibri"/>
          <w:b/>
          <w:sz w:val="20"/>
          <w:szCs w:val="20"/>
          <w:lang w:val="es-ES"/>
        </w:rPr>
      </w:pPr>
    </w:p>
    <w:p w14:paraId="2306088F" w14:textId="77777777" w:rsidR="000E049B" w:rsidRPr="00EC4919" w:rsidRDefault="000E049B" w:rsidP="00DF13EA">
      <w:pPr>
        <w:pBdr>
          <w:top w:val="none" w:sz="0" w:space="0" w:color="auto"/>
          <w:left w:val="none" w:sz="0" w:space="0" w:color="auto"/>
          <w:bottom w:val="none" w:sz="0" w:space="0" w:color="auto"/>
          <w:right w:val="none" w:sz="0" w:space="0" w:color="auto"/>
          <w:bar w:val="none" w:sz="0" w:color="auto"/>
        </w:pBdr>
        <w:jc w:val="center"/>
        <w:rPr>
          <w:rFonts w:ascii="Cambria" w:hAnsi="Cambria" w:cs="Calibri"/>
          <w:b/>
          <w:sz w:val="20"/>
          <w:szCs w:val="20"/>
          <w:lang w:val="es-ES"/>
        </w:rPr>
      </w:pPr>
      <w:r w:rsidRPr="00EC4919">
        <w:rPr>
          <w:rFonts w:ascii="Cambria" w:hAnsi="Cambria" w:cs="Calibri"/>
          <w:b/>
          <w:sz w:val="20"/>
          <w:szCs w:val="20"/>
          <w:lang w:val="es-ES"/>
        </w:rPr>
        <w:t>LA COMISIÓN INTERAMERICANA DE DERECHOS HUMANOS</w:t>
      </w:r>
    </w:p>
    <w:p w14:paraId="398316C3" w14:textId="77777777" w:rsidR="000E049B" w:rsidRPr="00EC4919" w:rsidRDefault="000E049B" w:rsidP="00DF13EA">
      <w:pPr>
        <w:pBdr>
          <w:top w:val="none" w:sz="0" w:space="0" w:color="auto"/>
          <w:left w:val="none" w:sz="0" w:space="0" w:color="auto"/>
          <w:bottom w:val="none" w:sz="0" w:space="0" w:color="auto"/>
          <w:right w:val="none" w:sz="0" w:space="0" w:color="auto"/>
          <w:bar w:val="none" w:sz="0" w:color="auto"/>
        </w:pBdr>
        <w:jc w:val="center"/>
        <w:rPr>
          <w:rFonts w:ascii="Cambria" w:hAnsi="Cambria" w:cs="Calibri"/>
          <w:b/>
          <w:sz w:val="20"/>
          <w:szCs w:val="20"/>
          <w:lang w:val="es-ES"/>
        </w:rPr>
      </w:pPr>
    </w:p>
    <w:p w14:paraId="750D153F" w14:textId="77777777" w:rsidR="000E049B" w:rsidRPr="00EC4919" w:rsidRDefault="000E049B" w:rsidP="00DF13EA">
      <w:pPr>
        <w:pBdr>
          <w:top w:val="none" w:sz="0" w:space="0" w:color="auto"/>
          <w:left w:val="none" w:sz="0" w:space="0" w:color="auto"/>
          <w:bottom w:val="none" w:sz="0" w:space="0" w:color="auto"/>
          <w:right w:val="none" w:sz="0" w:space="0" w:color="auto"/>
          <w:bar w:val="none" w:sz="0" w:color="auto"/>
        </w:pBdr>
        <w:rPr>
          <w:rFonts w:ascii="Cambria" w:hAnsi="Cambria" w:cs="Calibri"/>
          <w:b/>
          <w:sz w:val="20"/>
          <w:szCs w:val="20"/>
          <w:lang w:val="es-ES"/>
        </w:rPr>
      </w:pPr>
      <w:r w:rsidRPr="00EC4919">
        <w:rPr>
          <w:rFonts w:ascii="Cambria" w:hAnsi="Cambria" w:cs="Calibri"/>
          <w:b/>
          <w:sz w:val="20"/>
          <w:szCs w:val="20"/>
          <w:lang w:val="es-ES"/>
        </w:rPr>
        <w:t>DECIDE</w:t>
      </w:r>
    </w:p>
    <w:p w14:paraId="11F50CFF" w14:textId="77777777" w:rsidR="000E049B" w:rsidRPr="00EC4919" w:rsidRDefault="000E049B" w:rsidP="00DF13EA">
      <w:pPr>
        <w:pBdr>
          <w:top w:val="none" w:sz="0" w:space="0" w:color="auto"/>
          <w:left w:val="none" w:sz="0" w:space="0" w:color="auto"/>
          <w:bottom w:val="none" w:sz="0" w:space="0" w:color="auto"/>
          <w:right w:val="none" w:sz="0" w:space="0" w:color="auto"/>
          <w:bar w:val="none" w:sz="0" w:color="auto"/>
        </w:pBdr>
        <w:rPr>
          <w:rFonts w:ascii="Cambria" w:hAnsi="Cambria" w:cs="Calibri"/>
          <w:b/>
          <w:sz w:val="20"/>
          <w:szCs w:val="20"/>
          <w:lang w:val="es-ES"/>
        </w:rPr>
      </w:pPr>
    </w:p>
    <w:p w14:paraId="010056E7" w14:textId="77777777" w:rsidR="000E049B" w:rsidRPr="00EC4919" w:rsidRDefault="000E049B" w:rsidP="001F1EE2">
      <w:pPr>
        <w:numPr>
          <w:ilvl w:val="0"/>
          <w:numId w:val="108"/>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cs="Calibri"/>
          <w:sz w:val="20"/>
          <w:szCs w:val="20"/>
          <w:lang w:val="es-ES"/>
        </w:rPr>
        <w:t>Declarar admisible la presente petición con relación a los artículos 3, 4, 5, 7, 8, 16 y 25 en concordancia con el artículo 1.1 de la Convención Americana; y al artículo I b) de la Convención Interamericana sobre Desaparición Forzada de Personas.</w:t>
      </w:r>
    </w:p>
    <w:p w14:paraId="05127B3E"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sz w:val="20"/>
          <w:szCs w:val="20"/>
          <w:lang w:val="es-ES"/>
        </w:rPr>
      </w:pPr>
    </w:p>
    <w:p w14:paraId="310EAA28" w14:textId="77777777" w:rsidR="000E049B" w:rsidRPr="00EC4919" w:rsidRDefault="000E049B" w:rsidP="001F1EE2">
      <w:pPr>
        <w:numPr>
          <w:ilvl w:val="0"/>
          <w:numId w:val="108"/>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cs="Calibri"/>
          <w:sz w:val="20"/>
          <w:szCs w:val="20"/>
          <w:lang w:val="es-ES"/>
        </w:rPr>
        <w:t>Notificar esta decisión al Estado colombiano y a los peticionarios.</w:t>
      </w:r>
    </w:p>
    <w:p w14:paraId="1AA27B16"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sz w:val="20"/>
          <w:szCs w:val="20"/>
          <w:lang w:val="es-ES"/>
        </w:rPr>
      </w:pPr>
    </w:p>
    <w:p w14:paraId="6658B82B" w14:textId="77777777" w:rsidR="000E049B" w:rsidRPr="00EC4919" w:rsidRDefault="000E049B" w:rsidP="001F1EE2">
      <w:pPr>
        <w:numPr>
          <w:ilvl w:val="0"/>
          <w:numId w:val="108"/>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cs="Calibri"/>
          <w:sz w:val="20"/>
          <w:szCs w:val="20"/>
          <w:lang w:val="es-ES"/>
        </w:rPr>
        <w:t>Continuar con el análisis del fondo de la cuestión.</w:t>
      </w:r>
    </w:p>
    <w:p w14:paraId="749E4284" w14:textId="77777777" w:rsidR="000E049B" w:rsidRPr="00EC4919" w:rsidRDefault="000E049B" w:rsidP="00AC4770">
      <w:pPr>
        <w:pBdr>
          <w:top w:val="none" w:sz="0" w:space="0" w:color="auto"/>
          <w:left w:val="none" w:sz="0" w:space="0" w:color="auto"/>
          <w:bottom w:val="none" w:sz="0" w:space="0" w:color="auto"/>
          <w:right w:val="none" w:sz="0" w:space="0" w:color="auto"/>
          <w:bar w:val="none" w:sz="0" w:color="auto"/>
        </w:pBdr>
        <w:jc w:val="both"/>
        <w:rPr>
          <w:rFonts w:ascii="Cambria" w:hAnsi="Cambria" w:cs="Calibri"/>
          <w:sz w:val="20"/>
          <w:szCs w:val="20"/>
          <w:lang w:val="es-ES"/>
        </w:rPr>
      </w:pPr>
    </w:p>
    <w:p w14:paraId="766AB1E5" w14:textId="77777777" w:rsidR="000E049B" w:rsidRPr="00EC4919" w:rsidRDefault="000E049B" w:rsidP="001F1EE2">
      <w:pPr>
        <w:numPr>
          <w:ilvl w:val="0"/>
          <w:numId w:val="108"/>
        </w:numPr>
        <w:pBdr>
          <w:top w:val="none" w:sz="0" w:space="0" w:color="auto"/>
          <w:left w:val="none" w:sz="0" w:space="0" w:color="auto"/>
          <w:bottom w:val="none" w:sz="0" w:space="0" w:color="auto"/>
          <w:right w:val="none" w:sz="0" w:space="0" w:color="auto"/>
          <w:bar w:val="none" w:sz="0" w:color="auto"/>
        </w:pBdr>
        <w:ind w:left="0" w:firstLine="720"/>
        <w:jc w:val="both"/>
        <w:rPr>
          <w:rFonts w:ascii="Cambria" w:hAnsi="Cambria" w:cs="Calibri"/>
          <w:snapToGrid w:val="0"/>
          <w:sz w:val="20"/>
          <w:szCs w:val="20"/>
          <w:lang w:val="es-ES"/>
        </w:rPr>
      </w:pPr>
      <w:r w:rsidRPr="00EC4919">
        <w:rPr>
          <w:rFonts w:ascii="Cambria" w:hAnsi="Cambria" w:cs="Calibri"/>
          <w:sz w:val="20"/>
          <w:szCs w:val="20"/>
          <w:lang w:val="es-ES"/>
        </w:rPr>
        <w:t>Publicar esta decisión e incluirla en su Informe Anual a la Asamblea General de la OEA.</w:t>
      </w:r>
    </w:p>
    <w:p w14:paraId="7637866A" w14:textId="77777777" w:rsidR="000E049B" w:rsidRPr="00EC4919" w:rsidRDefault="000E049B" w:rsidP="005A2B10">
      <w:pPr>
        <w:pBdr>
          <w:top w:val="none" w:sz="0" w:space="0" w:color="auto"/>
          <w:left w:val="none" w:sz="0" w:space="0" w:color="auto"/>
          <w:bottom w:val="none" w:sz="0" w:space="0" w:color="auto"/>
          <w:right w:val="none" w:sz="0" w:space="0" w:color="auto"/>
          <w:bar w:val="none" w:sz="0" w:color="auto"/>
        </w:pBdr>
        <w:jc w:val="both"/>
        <w:rPr>
          <w:rFonts w:ascii="Cambria" w:hAnsi="Cambria" w:cs="Calibri"/>
          <w:snapToGrid w:val="0"/>
          <w:sz w:val="20"/>
          <w:szCs w:val="20"/>
          <w:lang w:val="es-ES"/>
        </w:rPr>
      </w:pPr>
    </w:p>
    <w:p w14:paraId="4B2C83D2" w14:textId="77777777" w:rsidR="00A037D2" w:rsidRPr="003E5E53" w:rsidRDefault="00A037D2" w:rsidP="00A037D2">
      <w:pPr>
        <w:pStyle w:val="Textoindependiente"/>
        <w:pBdr>
          <w:top w:val="none" w:sz="0" w:space="0" w:color="auto"/>
          <w:left w:val="none" w:sz="0" w:space="0" w:color="auto"/>
          <w:bottom w:val="none" w:sz="0" w:space="0" w:color="auto"/>
          <w:right w:val="none" w:sz="0" w:space="0" w:color="auto"/>
          <w:bar w:val="none" w:sz="0" w:color="auto"/>
        </w:pBdr>
        <w:suppressAutoHyphens/>
        <w:spacing w:after="0"/>
        <w:ind w:firstLine="720"/>
        <w:jc w:val="both"/>
        <w:rPr>
          <w:rFonts w:ascii="Cambria" w:hAnsi="Cambria" w:cs="Arial"/>
          <w:noProof/>
          <w:spacing w:val="-2"/>
          <w:sz w:val="20"/>
          <w:szCs w:val="20"/>
          <w:lang w:val="es-CL"/>
        </w:rPr>
      </w:pPr>
      <w:r w:rsidRPr="003E5E53">
        <w:rPr>
          <w:rFonts w:ascii="Cambria" w:hAnsi="Cambria" w:cs="Arial"/>
          <w:noProof/>
          <w:spacing w:val="-2"/>
          <w:sz w:val="20"/>
          <w:szCs w:val="20"/>
          <w:lang w:val="es-CL"/>
        </w:rPr>
        <w:t>Dado y firmado en la ciudad de Washington, D.C., a los 21 días del mes de julio de 2014.  (Firmado): Tracy Robinson, Presidenta;Rose-Marie Belle Antoine, Primera Vicepresidenta; Felipe González, Segundo Vicepresidente; José de Jesús Orozco Henríquez, Rosa María Ortiz, Paulo Vannuchi y James L. Cavallaro, Miembros de la Comisión.</w:t>
      </w:r>
    </w:p>
    <w:p w14:paraId="05C9FE1D" w14:textId="77777777" w:rsidR="00AC537B" w:rsidRPr="003E5E53" w:rsidRDefault="00AC537B" w:rsidP="00A037D2">
      <w:pPr>
        <w:pStyle w:val="Textoindependiente"/>
        <w:pBdr>
          <w:top w:val="none" w:sz="0" w:space="0" w:color="auto"/>
          <w:left w:val="none" w:sz="0" w:space="0" w:color="auto"/>
          <w:bottom w:val="none" w:sz="0" w:space="0" w:color="auto"/>
          <w:right w:val="none" w:sz="0" w:space="0" w:color="auto"/>
          <w:bar w:val="none" w:sz="0" w:color="auto"/>
        </w:pBdr>
        <w:suppressAutoHyphens/>
        <w:spacing w:after="0"/>
        <w:ind w:firstLine="720"/>
        <w:jc w:val="both"/>
        <w:rPr>
          <w:rFonts w:ascii="Cambria" w:hAnsi="Cambria" w:cs="Arial"/>
          <w:noProof/>
          <w:spacing w:val="-2"/>
          <w:sz w:val="20"/>
          <w:szCs w:val="20"/>
          <w:lang w:val="es-CL"/>
        </w:rPr>
      </w:pPr>
    </w:p>
    <w:p w14:paraId="31264473" w14:textId="77777777" w:rsidR="00A037D2" w:rsidRPr="003E5E53" w:rsidRDefault="00A037D2" w:rsidP="00A037D2">
      <w:pPr>
        <w:pStyle w:val="Textoindependiente"/>
        <w:pBdr>
          <w:top w:val="none" w:sz="0" w:space="0" w:color="auto"/>
          <w:left w:val="none" w:sz="0" w:space="0" w:color="auto"/>
          <w:bottom w:val="none" w:sz="0" w:space="0" w:color="auto"/>
          <w:right w:val="none" w:sz="0" w:space="0" w:color="auto"/>
          <w:bar w:val="none" w:sz="0" w:color="auto"/>
        </w:pBdr>
        <w:suppressAutoHyphens/>
        <w:spacing w:after="0"/>
        <w:ind w:firstLine="720"/>
        <w:jc w:val="both"/>
        <w:rPr>
          <w:rFonts w:ascii="Cambria" w:hAnsi="Cambria" w:cs="Arial"/>
          <w:noProof/>
          <w:sz w:val="20"/>
          <w:szCs w:val="20"/>
          <w:lang w:val="es-CL"/>
        </w:rPr>
      </w:pPr>
      <w:r w:rsidRPr="003E5E53">
        <w:rPr>
          <w:rFonts w:ascii="Cambria" w:hAnsi="Cambria" w:cs="Arial"/>
          <w:noProof/>
          <w:spacing w:val="-2"/>
          <w:sz w:val="20"/>
          <w:szCs w:val="20"/>
          <w:lang w:val="es-CL"/>
        </w:rPr>
        <w:t xml:space="preserve">El que suscribe, Emilio Álvarez Icaza L., en su carácter de </w:t>
      </w:r>
      <w:r w:rsidRPr="003E5E53">
        <w:rPr>
          <w:rFonts w:ascii="Cambria" w:hAnsi="Cambria" w:cs="Arial"/>
          <w:noProof/>
          <w:sz w:val="20"/>
          <w:szCs w:val="20"/>
          <w:lang w:val="es-CL"/>
        </w:rPr>
        <w:t>Secretario Ejecutivo de la Comisión Interamericana de Derechos Humanos, de conformidad con el artículo 49 del Reglamento de la Comisión, certifica que es copia fiel del original depositado en los archivos de la Secretaría de la CIDH.</w:t>
      </w:r>
    </w:p>
    <w:p w14:paraId="241CC62C" w14:textId="77777777" w:rsidR="000E049B" w:rsidRDefault="000E049B" w:rsidP="005A2B10">
      <w:pPr>
        <w:pBdr>
          <w:top w:val="none" w:sz="0" w:space="0" w:color="auto"/>
          <w:left w:val="none" w:sz="0" w:space="0" w:color="auto"/>
          <w:bottom w:val="none" w:sz="0" w:space="0" w:color="auto"/>
          <w:right w:val="none" w:sz="0" w:space="0" w:color="auto"/>
          <w:bar w:val="none" w:sz="0" w:color="auto"/>
        </w:pBdr>
        <w:suppressAutoHyphens/>
        <w:jc w:val="both"/>
        <w:rPr>
          <w:rFonts w:ascii="Cambria" w:hAnsi="Cambria"/>
          <w:spacing w:val="-2"/>
          <w:sz w:val="20"/>
          <w:szCs w:val="20"/>
          <w:lang w:val="es-SV"/>
        </w:rPr>
      </w:pPr>
    </w:p>
    <w:p w14:paraId="7EEB4A04" w14:textId="77777777" w:rsidR="000E049B" w:rsidRDefault="000E049B" w:rsidP="005A2B10">
      <w:pPr>
        <w:pBdr>
          <w:top w:val="none" w:sz="0" w:space="0" w:color="auto"/>
          <w:left w:val="none" w:sz="0" w:space="0" w:color="auto"/>
          <w:bottom w:val="none" w:sz="0" w:space="0" w:color="auto"/>
          <w:right w:val="none" w:sz="0" w:space="0" w:color="auto"/>
          <w:bar w:val="none" w:sz="0" w:color="auto"/>
        </w:pBdr>
        <w:suppressAutoHyphens/>
        <w:jc w:val="both"/>
        <w:rPr>
          <w:rFonts w:ascii="Cambria" w:hAnsi="Cambria"/>
          <w:spacing w:val="-2"/>
          <w:sz w:val="20"/>
          <w:szCs w:val="20"/>
          <w:lang w:val="es-SV"/>
        </w:rPr>
      </w:pPr>
    </w:p>
    <w:p w14:paraId="238378F6" w14:textId="77777777" w:rsidR="00AC537B" w:rsidRPr="00EC4919" w:rsidRDefault="00AC537B" w:rsidP="005A2B10">
      <w:pPr>
        <w:pBdr>
          <w:top w:val="none" w:sz="0" w:space="0" w:color="auto"/>
          <w:left w:val="none" w:sz="0" w:space="0" w:color="auto"/>
          <w:bottom w:val="none" w:sz="0" w:space="0" w:color="auto"/>
          <w:right w:val="none" w:sz="0" w:space="0" w:color="auto"/>
          <w:bar w:val="none" w:sz="0" w:color="auto"/>
        </w:pBdr>
        <w:suppressAutoHyphens/>
        <w:jc w:val="both"/>
        <w:rPr>
          <w:rFonts w:ascii="Cambria" w:hAnsi="Cambria"/>
          <w:spacing w:val="-2"/>
          <w:sz w:val="20"/>
          <w:szCs w:val="20"/>
          <w:lang w:val="es-SV"/>
        </w:rPr>
      </w:pPr>
    </w:p>
    <w:p w14:paraId="05C43270" w14:textId="77777777" w:rsidR="000E049B" w:rsidRPr="00EC4919" w:rsidRDefault="000E049B" w:rsidP="005A2B10">
      <w:pPr>
        <w:pBdr>
          <w:top w:val="none" w:sz="0" w:space="0" w:color="auto"/>
          <w:left w:val="none" w:sz="0" w:space="0" w:color="auto"/>
          <w:bottom w:val="none" w:sz="0" w:space="0" w:color="auto"/>
          <w:right w:val="none" w:sz="0" w:space="0" w:color="auto"/>
          <w:bar w:val="none" w:sz="0" w:color="auto"/>
        </w:pBdr>
        <w:suppressAutoHyphens/>
        <w:jc w:val="center"/>
        <w:rPr>
          <w:rFonts w:ascii="Cambria" w:hAnsi="Cambria"/>
          <w:spacing w:val="-2"/>
          <w:sz w:val="20"/>
          <w:szCs w:val="20"/>
          <w:lang w:val="es-SV"/>
        </w:rPr>
      </w:pPr>
      <w:r w:rsidRPr="00EC4919">
        <w:rPr>
          <w:rFonts w:ascii="Cambria" w:hAnsi="Cambria"/>
          <w:spacing w:val="-2"/>
          <w:sz w:val="20"/>
          <w:szCs w:val="20"/>
          <w:lang w:val="es-SV"/>
        </w:rPr>
        <w:t>Emilio Álvarez Icaza L.</w:t>
      </w:r>
    </w:p>
    <w:p w14:paraId="52CFA796" w14:textId="77777777" w:rsidR="000E049B" w:rsidRPr="00AC537B" w:rsidRDefault="000E049B" w:rsidP="00AC537B">
      <w:pPr>
        <w:pBdr>
          <w:top w:val="none" w:sz="0" w:space="0" w:color="auto"/>
          <w:left w:val="none" w:sz="0" w:space="0" w:color="auto"/>
          <w:bottom w:val="none" w:sz="0" w:space="0" w:color="auto"/>
          <w:right w:val="none" w:sz="0" w:space="0" w:color="auto"/>
          <w:bar w:val="none" w:sz="0" w:color="auto"/>
        </w:pBdr>
        <w:suppressAutoHyphens/>
        <w:jc w:val="center"/>
        <w:rPr>
          <w:rFonts w:ascii="Cambria" w:hAnsi="Cambria"/>
          <w:sz w:val="20"/>
          <w:szCs w:val="20"/>
          <w:lang w:val="es-SV"/>
        </w:rPr>
      </w:pPr>
      <w:r w:rsidRPr="00EC4919">
        <w:rPr>
          <w:rFonts w:ascii="Cambria" w:hAnsi="Cambria"/>
          <w:spacing w:val="-2"/>
          <w:sz w:val="20"/>
          <w:szCs w:val="20"/>
          <w:lang w:val="es-SV"/>
        </w:rPr>
        <w:t>Secretario Ejecutivo</w:t>
      </w:r>
    </w:p>
    <w:sectPr w:rsidR="000E049B" w:rsidRPr="00AC537B" w:rsidSect="00934A2C">
      <w:headerReference w:type="even" r:id="rId7"/>
      <w:headerReference w:type="default" r:id="rId8"/>
      <w:footerReference w:type="default" r:id="rId9"/>
      <w:footerReference w:type="first" r:id="rId10"/>
      <w:type w:val="oddPage"/>
      <w:pgSz w:w="12240" w:h="15840"/>
      <w:pgMar w:top="1440" w:right="1440" w:bottom="1440" w:left="1440" w:header="720" w:footer="720" w:gutter="0"/>
      <w:pgNumType w:start="1"/>
      <w:cols w:space="720"/>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19DE6C" w14:textId="77777777" w:rsidR="008D0E06" w:rsidRDefault="008D0E06">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1AB394B6" w14:textId="77777777" w:rsidR="008D0E06" w:rsidRDefault="008D0E06">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C7FBD" w14:textId="77777777" w:rsidR="00FD07D5" w:rsidRPr="00934A2C" w:rsidRDefault="00FD07D5">
    <w:pPr>
      <w:pStyle w:val="Piedepgina"/>
      <w:pBdr>
        <w:top w:val="none" w:sz="0" w:space="0" w:color="auto"/>
        <w:left w:val="none" w:sz="0" w:space="0" w:color="auto"/>
        <w:bottom w:val="none" w:sz="0" w:space="0" w:color="auto"/>
        <w:right w:val="none" w:sz="0" w:space="0" w:color="auto"/>
        <w:bar w:val="none" w:sz="0" w:color="auto"/>
      </w:pBdr>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3E5E53">
      <w:rPr>
        <w:noProof/>
        <w:sz w:val="16"/>
        <w:szCs w:val="22"/>
      </w:rPr>
      <w:t>7</w:t>
    </w:r>
    <w:r w:rsidRPr="00934A2C">
      <w:rPr>
        <w:sz w:val="16"/>
        <w:szCs w:val="22"/>
      </w:rPr>
      <w:fldChar w:fldCharType="end"/>
    </w:r>
  </w:p>
  <w:p w14:paraId="4C1D6E72" w14:textId="77777777" w:rsidR="00FD07D5" w:rsidRDefault="00FD07D5">
    <w:pPr>
      <w:pStyle w:val="Piedepgina"/>
      <w:pBdr>
        <w:top w:val="none" w:sz="0" w:space="0" w:color="auto"/>
        <w:left w:val="none" w:sz="0" w:space="0" w:color="auto"/>
        <w:bottom w:val="none" w:sz="0" w:space="0" w:color="auto"/>
        <w:right w:val="none" w:sz="0" w:space="0" w:color="auto"/>
        <w:bar w:val="none" w:sz="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24D37" w14:textId="77777777" w:rsidR="00FD07D5" w:rsidRPr="00934A2C" w:rsidRDefault="00FD07D5">
    <w:pPr>
      <w:pStyle w:val="Piedepgina"/>
      <w:pBdr>
        <w:top w:val="none" w:sz="0" w:space="0" w:color="auto"/>
        <w:left w:val="none" w:sz="0" w:space="0" w:color="auto"/>
        <w:bottom w:val="none" w:sz="0" w:space="0" w:color="auto"/>
        <w:right w:val="none" w:sz="0" w:space="0" w:color="auto"/>
        <w:bar w:val="none" w:sz="0" w:color="auto"/>
      </w:pBdr>
      <w:jc w:val="center"/>
      <w:rPr>
        <w:sz w:val="16"/>
        <w:szCs w:val="22"/>
      </w:rPr>
    </w:pPr>
  </w:p>
  <w:p w14:paraId="11792CD9" w14:textId="77777777" w:rsidR="00FD07D5" w:rsidRDefault="00FD07D5">
    <w:pPr>
      <w:pStyle w:val="Piedepgina"/>
      <w:pBdr>
        <w:top w:val="none" w:sz="0" w:space="0" w:color="auto"/>
        <w:left w:val="none" w:sz="0" w:space="0" w:color="auto"/>
        <w:bottom w:val="none" w:sz="0" w:space="0" w:color="auto"/>
        <w:right w:val="none" w:sz="0" w:space="0" w:color="auto"/>
        <w:bar w:val="none" w:sz="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53925" w14:textId="77777777" w:rsidR="008D0E06" w:rsidRDefault="008D0E06">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7F654BF5" w14:textId="77777777" w:rsidR="008D0E06" w:rsidRDefault="008D0E06">
      <w:pPr>
        <w:pBdr>
          <w:top w:val="none" w:sz="0" w:space="0" w:color="auto"/>
          <w:left w:val="none" w:sz="0" w:space="0" w:color="auto"/>
          <w:bottom w:val="none" w:sz="0" w:space="0" w:color="auto"/>
          <w:right w:val="none" w:sz="0" w:space="0" w:color="auto"/>
          <w:bar w:val="none" w:sz="0" w:color="auto"/>
        </w:pBdr>
      </w:pPr>
      <w:r>
        <w:continuationSeparator/>
      </w:r>
    </w:p>
  </w:footnote>
  <w:footnote w:type="continuationNotice" w:id="1">
    <w:p w14:paraId="2151DFB6" w14:textId="77777777" w:rsidR="008D0E06" w:rsidRDefault="008D0E06">
      <w:pPr>
        <w:pBdr>
          <w:top w:val="none" w:sz="0" w:space="0" w:color="auto"/>
          <w:left w:val="none" w:sz="0" w:space="0" w:color="auto"/>
          <w:bottom w:val="none" w:sz="0" w:space="0" w:color="auto"/>
          <w:right w:val="none" w:sz="0" w:space="0" w:color="auto"/>
          <w:bar w:val="none" w:sz="0" w:color="auto"/>
        </w:pBdr>
      </w:pPr>
    </w:p>
  </w:footnote>
  <w:footnote w:id="2">
    <w:p w14:paraId="7F767C59" w14:textId="77777777" w:rsidR="00FD07D5" w:rsidRPr="006D3114" w:rsidRDefault="00FD07D5" w:rsidP="001F1EE2">
      <w:pPr>
        <w:pStyle w:val="Textonotapie"/>
        <w:pBdr>
          <w:top w:val="none" w:sz="0" w:space="0" w:color="auto"/>
          <w:left w:val="none" w:sz="0" w:space="0" w:color="auto"/>
          <w:bottom w:val="none" w:sz="0" w:space="0" w:color="auto"/>
          <w:right w:val="none" w:sz="0" w:space="0" w:color="auto"/>
          <w:bar w:val="none" w:sz="0" w:color="auto"/>
        </w:pBdr>
        <w:ind w:firstLine="720"/>
        <w:jc w:val="both"/>
        <w:rPr>
          <w:lang w:val="es-ES"/>
        </w:rPr>
      </w:pPr>
      <w:r w:rsidRPr="00715C0F">
        <w:rPr>
          <w:rStyle w:val="Refdenotaalpie"/>
          <w:rFonts w:ascii="Cambria" w:hAnsi="Cambria" w:cs="Calibri"/>
          <w:color w:val="auto"/>
          <w:sz w:val="16"/>
          <w:szCs w:val="16"/>
        </w:rPr>
        <w:footnoteRef/>
      </w:r>
      <w:r w:rsidRPr="00715C0F">
        <w:rPr>
          <w:rFonts w:ascii="Cambria" w:hAnsi="Cambria"/>
          <w:color w:val="auto"/>
          <w:sz w:val="16"/>
          <w:szCs w:val="16"/>
          <w:lang w:val="es-MX"/>
        </w:rPr>
        <w:t xml:space="preserve"> </w:t>
      </w:r>
      <w:proofErr w:type="gramStart"/>
      <w:r w:rsidRPr="00715C0F">
        <w:rPr>
          <w:rFonts w:ascii="Cambria" w:hAnsi="Cambria"/>
          <w:color w:val="auto"/>
          <w:sz w:val="16"/>
          <w:szCs w:val="16"/>
          <w:lang w:val="es-MX"/>
        </w:rPr>
        <w:t>De acuerdo a</w:t>
      </w:r>
      <w:proofErr w:type="gramEnd"/>
      <w:r w:rsidRPr="00715C0F">
        <w:rPr>
          <w:rFonts w:ascii="Cambria" w:hAnsi="Cambria"/>
          <w:color w:val="auto"/>
          <w:sz w:val="16"/>
          <w:szCs w:val="16"/>
          <w:lang w:val="es-MX"/>
        </w:rPr>
        <w:t xml:space="preserve"> lo informado por el peticionario, los familiares son: </w:t>
      </w:r>
      <w:r w:rsidRPr="00715C0F">
        <w:rPr>
          <w:rFonts w:ascii="Cambria" w:hAnsi="Cambria"/>
          <w:color w:val="auto"/>
          <w:sz w:val="16"/>
          <w:szCs w:val="16"/>
          <w:lang w:val="es-CO"/>
        </w:rPr>
        <w:t xml:space="preserve">Candelaria </w:t>
      </w:r>
      <w:proofErr w:type="spellStart"/>
      <w:r w:rsidRPr="00715C0F">
        <w:rPr>
          <w:rFonts w:ascii="Cambria" w:hAnsi="Cambria"/>
          <w:color w:val="auto"/>
          <w:sz w:val="16"/>
          <w:szCs w:val="16"/>
          <w:lang w:val="es-CO"/>
        </w:rPr>
        <w:t>Nurys</w:t>
      </w:r>
      <w:proofErr w:type="spellEnd"/>
      <w:r w:rsidRPr="00715C0F">
        <w:rPr>
          <w:rFonts w:ascii="Cambria" w:hAnsi="Cambria"/>
          <w:color w:val="auto"/>
          <w:sz w:val="16"/>
          <w:szCs w:val="16"/>
          <w:lang w:val="es-CO"/>
        </w:rPr>
        <w:t xml:space="preserve"> Vergara Carriazo; Carlos Julio Movilla Vergara; José Antonio Movilla Vergara y Jenny Movilla Vergara.</w:t>
      </w:r>
      <w:r w:rsidRPr="00715C0F">
        <w:rPr>
          <w:rFonts w:ascii="Cambria" w:hAnsi="Cambria"/>
          <w:color w:val="auto"/>
          <w:sz w:val="16"/>
          <w:szCs w:val="16"/>
          <w:lang w:val="es-MX"/>
        </w:rPr>
        <w:t xml:space="preserve"> </w:t>
      </w:r>
    </w:p>
  </w:footnote>
  <w:footnote w:id="3">
    <w:p w14:paraId="7F8D55CB" w14:textId="77777777" w:rsidR="00FD07D5" w:rsidRPr="006D3114" w:rsidRDefault="00FD07D5" w:rsidP="001F1EE2">
      <w:pPr>
        <w:pStyle w:val="Textonotapie"/>
        <w:pBdr>
          <w:top w:val="none" w:sz="0" w:space="0" w:color="auto"/>
          <w:left w:val="none" w:sz="0" w:space="0" w:color="auto"/>
          <w:bottom w:val="none" w:sz="0" w:space="0" w:color="auto"/>
          <w:right w:val="none" w:sz="0" w:space="0" w:color="auto"/>
          <w:bar w:val="none" w:sz="0" w:color="auto"/>
        </w:pBdr>
        <w:spacing w:after="120"/>
        <w:ind w:firstLine="720"/>
        <w:jc w:val="both"/>
        <w:rPr>
          <w:lang w:val="pt-BR"/>
        </w:rPr>
      </w:pPr>
      <w:r w:rsidRPr="00715C0F">
        <w:rPr>
          <w:rStyle w:val="Refdenotaalpie"/>
          <w:rFonts w:ascii="Cambria" w:hAnsi="Cambria" w:cs="Calibri"/>
          <w:color w:val="auto"/>
          <w:sz w:val="16"/>
          <w:szCs w:val="16"/>
        </w:rPr>
        <w:footnoteRef/>
      </w:r>
      <w:r w:rsidRPr="00715C0F">
        <w:rPr>
          <w:rFonts w:ascii="Cambria" w:hAnsi="Cambria"/>
          <w:color w:val="auto"/>
          <w:sz w:val="16"/>
          <w:szCs w:val="16"/>
          <w:lang w:val="es-ES"/>
        </w:rPr>
        <w:t xml:space="preserve"> Ver, CIDH, Informe No. 65/09, Petición 616-06, Admisibilidad, </w:t>
      </w:r>
      <w:r w:rsidRPr="00715C0F">
        <w:rPr>
          <w:rFonts w:ascii="Cambria" w:hAnsi="Cambria"/>
          <w:iCs/>
          <w:color w:val="auto"/>
          <w:sz w:val="16"/>
          <w:szCs w:val="16"/>
          <w:lang w:val="es-ES"/>
        </w:rPr>
        <w:t>Juan Carlos Flores Bedregal</w:t>
      </w:r>
      <w:r w:rsidRPr="00715C0F">
        <w:rPr>
          <w:rFonts w:ascii="Cambria" w:hAnsi="Cambria"/>
          <w:color w:val="auto"/>
          <w:sz w:val="16"/>
          <w:szCs w:val="16"/>
          <w:lang w:val="es-ES"/>
        </w:rPr>
        <w:t xml:space="preserve">, Bolivia, 4 de agosto de 2009, párr. 45; e </w:t>
      </w:r>
      <w:r w:rsidRPr="00715C0F">
        <w:rPr>
          <w:rFonts w:ascii="Cambria" w:hAnsi="Cambria"/>
          <w:color w:val="auto"/>
          <w:sz w:val="16"/>
          <w:szCs w:val="16"/>
          <w:lang w:val="es-ES_tradnl"/>
        </w:rPr>
        <w:t xml:space="preserve">Informe No. 72/07, Petición 319-01, Admisibilidad, </w:t>
      </w:r>
      <w:r w:rsidRPr="00715C0F">
        <w:rPr>
          <w:rFonts w:ascii="Cambria" w:hAnsi="Cambria"/>
          <w:iCs/>
          <w:color w:val="auto"/>
          <w:sz w:val="16"/>
          <w:szCs w:val="16"/>
          <w:lang w:val="es-ES_tradnl"/>
        </w:rPr>
        <w:t>Edgar Quiroga y Gildardo Fuentes</w:t>
      </w:r>
      <w:r w:rsidRPr="00715C0F">
        <w:rPr>
          <w:rFonts w:ascii="Cambria" w:hAnsi="Cambria"/>
          <w:color w:val="auto"/>
          <w:sz w:val="16"/>
          <w:szCs w:val="16"/>
          <w:lang w:val="es-ES"/>
        </w:rPr>
        <w:t xml:space="preserve">, Colombia, </w:t>
      </w:r>
      <w:r w:rsidRPr="00715C0F">
        <w:rPr>
          <w:rFonts w:ascii="Cambria" w:hAnsi="Cambria"/>
          <w:color w:val="auto"/>
          <w:sz w:val="16"/>
          <w:szCs w:val="16"/>
          <w:lang w:val="es-ES_tradnl"/>
        </w:rPr>
        <w:t xml:space="preserve">15 de octubre de 2007, párr. </w:t>
      </w:r>
      <w:r w:rsidRPr="00715C0F">
        <w:rPr>
          <w:rFonts w:ascii="Cambria" w:hAnsi="Cambria"/>
          <w:color w:val="auto"/>
          <w:sz w:val="16"/>
          <w:szCs w:val="16"/>
          <w:lang w:val="pt-BR"/>
        </w:rPr>
        <w:t>44.</w:t>
      </w:r>
    </w:p>
  </w:footnote>
  <w:footnote w:id="4">
    <w:p w14:paraId="6C214980" w14:textId="77777777" w:rsidR="00FD07D5" w:rsidRPr="006D3114" w:rsidRDefault="00FD07D5" w:rsidP="001F1EE2">
      <w:pPr>
        <w:pBdr>
          <w:top w:val="none" w:sz="0" w:space="0" w:color="auto"/>
          <w:left w:val="none" w:sz="0" w:space="0" w:color="auto"/>
          <w:bottom w:val="none" w:sz="0" w:space="0" w:color="auto"/>
          <w:right w:val="none" w:sz="0" w:space="0" w:color="auto"/>
          <w:bar w:val="none" w:sz="0" w:color="auto"/>
        </w:pBdr>
        <w:spacing w:after="120"/>
        <w:ind w:firstLine="720"/>
        <w:jc w:val="both"/>
        <w:rPr>
          <w:lang w:val="es-ES"/>
        </w:rPr>
      </w:pPr>
      <w:r w:rsidRPr="00715C0F">
        <w:rPr>
          <w:rStyle w:val="Refdenotaalpie"/>
          <w:rFonts w:ascii="Cambria" w:hAnsi="Cambria" w:cs="Calibri"/>
          <w:sz w:val="16"/>
          <w:szCs w:val="16"/>
        </w:rPr>
        <w:footnoteRef/>
      </w:r>
      <w:r w:rsidRPr="00715C0F">
        <w:rPr>
          <w:rFonts w:ascii="Cambria" w:hAnsi="Cambria" w:cs="Calibri"/>
          <w:sz w:val="16"/>
          <w:szCs w:val="16"/>
          <w:lang w:val="pt-BR"/>
        </w:rPr>
        <w:t xml:space="preserve"> CIDH, Informe No. 52/97, Caso 11.218, Fondo, Arges Sequeira Mangas, Nicaragua, Informe Anual de la CIDH 1997, párrs. </w:t>
      </w:r>
      <w:r w:rsidRPr="00715C0F">
        <w:rPr>
          <w:rFonts w:ascii="Cambria" w:hAnsi="Cambria" w:cs="Calibri"/>
          <w:sz w:val="16"/>
          <w:szCs w:val="16"/>
          <w:lang w:val="es-MX"/>
        </w:rPr>
        <w:t xml:space="preserve">96 y 97.  Ver también Informe No. 55/97, Caso 11.137, Fondo, </w:t>
      </w:r>
      <w:r w:rsidRPr="00715C0F">
        <w:rPr>
          <w:rFonts w:ascii="Cambria" w:hAnsi="Cambria" w:cs="Calibri"/>
          <w:sz w:val="16"/>
          <w:szCs w:val="16"/>
          <w:lang w:val="es-ES_tradnl"/>
        </w:rPr>
        <w:t xml:space="preserve">Abella y otros, Argentina, </w:t>
      </w:r>
      <w:r w:rsidRPr="00715C0F">
        <w:rPr>
          <w:rFonts w:ascii="Cambria" w:hAnsi="Cambria" w:cs="Calibri"/>
          <w:sz w:val="16"/>
          <w:szCs w:val="16"/>
          <w:lang w:val="es-MX"/>
        </w:rPr>
        <w:t>párr. 392.</w:t>
      </w:r>
    </w:p>
  </w:footnote>
  <w:footnote w:id="5">
    <w:p w14:paraId="540D9DF9" w14:textId="77777777" w:rsidR="00FD07D5" w:rsidRPr="006D3114" w:rsidRDefault="00FD07D5" w:rsidP="001F1EE2">
      <w:pPr>
        <w:pBdr>
          <w:top w:val="none" w:sz="0" w:space="0" w:color="auto"/>
          <w:left w:val="none" w:sz="0" w:space="0" w:color="auto"/>
          <w:bottom w:val="none" w:sz="0" w:space="0" w:color="auto"/>
          <w:right w:val="none" w:sz="0" w:space="0" w:color="auto"/>
          <w:bar w:val="none" w:sz="0" w:color="auto"/>
        </w:pBdr>
        <w:spacing w:after="120"/>
        <w:ind w:firstLine="720"/>
        <w:jc w:val="both"/>
        <w:rPr>
          <w:lang w:val="es-ES"/>
        </w:rPr>
      </w:pPr>
      <w:r w:rsidRPr="00715C0F">
        <w:rPr>
          <w:rStyle w:val="Refdenotaalpie"/>
          <w:rFonts w:ascii="Cambria" w:hAnsi="Cambria" w:cs="Calibri"/>
          <w:sz w:val="16"/>
          <w:szCs w:val="16"/>
        </w:rPr>
        <w:footnoteRef/>
      </w:r>
      <w:r w:rsidRPr="00715C0F">
        <w:rPr>
          <w:rFonts w:ascii="Cambria" w:hAnsi="Cambria" w:cs="Calibri"/>
          <w:sz w:val="16"/>
          <w:szCs w:val="16"/>
          <w:lang w:val="es-ES_tradnl"/>
        </w:rPr>
        <w:t xml:space="preserve"> CIDH, Informe No. 151/11, Petición 1077-06, Admisibilidad, Luis </w:t>
      </w:r>
      <w:proofErr w:type="spellStart"/>
      <w:r w:rsidRPr="00715C0F">
        <w:rPr>
          <w:rFonts w:ascii="Cambria" w:hAnsi="Cambria" w:cs="Calibri"/>
          <w:sz w:val="16"/>
          <w:szCs w:val="16"/>
          <w:lang w:val="es-ES_tradnl"/>
        </w:rPr>
        <w:t>Giován</w:t>
      </w:r>
      <w:proofErr w:type="spellEnd"/>
      <w:r w:rsidRPr="00715C0F">
        <w:rPr>
          <w:rFonts w:ascii="Cambria" w:hAnsi="Cambria" w:cs="Calibri"/>
          <w:sz w:val="16"/>
          <w:szCs w:val="16"/>
          <w:lang w:val="es-ES_tradnl"/>
        </w:rPr>
        <w:t xml:space="preserve"> Laverde Moreno y Otros, Colombia, 2 de noviembre de 2011, párr. 28.</w:t>
      </w:r>
    </w:p>
  </w:footnote>
  <w:footnote w:id="6">
    <w:p w14:paraId="297237A5" w14:textId="77777777" w:rsidR="00FD07D5" w:rsidRDefault="00FD07D5" w:rsidP="001F1EE2">
      <w:pPr>
        <w:pBdr>
          <w:top w:val="none" w:sz="0" w:space="0" w:color="auto"/>
          <w:left w:val="none" w:sz="0" w:space="0" w:color="auto"/>
          <w:bottom w:val="none" w:sz="0" w:space="0" w:color="auto"/>
          <w:right w:val="none" w:sz="0" w:space="0" w:color="auto"/>
          <w:bar w:val="none" w:sz="0" w:color="auto"/>
        </w:pBdr>
        <w:tabs>
          <w:tab w:val="left" w:pos="720"/>
          <w:tab w:val="left" w:pos="900"/>
        </w:tabs>
      </w:pPr>
      <w:r w:rsidRPr="00715C0F">
        <w:rPr>
          <w:rFonts w:ascii="Cambria" w:hAnsi="Cambria"/>
          <w:sz w:val="16"/>
          <w:szCs w:val="16"/>
          <w:lang w:val="es-CO"/>
        </w:rPr>
        <w:tab/>
      </w:r>
      <w:r w:rsidRPr="00715C0F">
        <w:rPr>
          <w:rStyle w:val="Refdenotaalpie"/>
          <w:rFonts w:ascii="Cambria" w:hAnsi="Cambria"/>
          <w:sz w:val="16"/>
          <w:szCs w:val="16"/>
        </w:rPr>
        <w:footnoteRef/>
      </w:r>
      <w:r w:rsidRPr="00715C0F">
        <w:rPr>
          <w:rStyle w:val="Refdenotaalpie"/>
          <w:rFonts w:ascii="Cambria" w:hAnsi="Cambria"/>
          <w:sz w:val="16"/>
          <w:szCs w:val="16"/>
          <w:lang w:val="es-CO"/>
        </w:rPr>
        <w:t xml:space="preserve"> </w:t>
      </w:r>
      <w:r w:rsidRPr="00715C0F">
        <w:rPr>
          <w:rFonts w:ascii="Cambria" w:hAnsi="Cambria"/>
          <w:sz w:val="16"/>
          <w:szCs w:val="16"/>
          <w:lang w:val="es-CO"/>
        </w:rPr>
        <w:t xml:space="preserve"> </w:t>
      </w:r>
      <w:r w:rsidRPr="00715C0F">
        <w:rPr>
          <w:rFonts w:ascii="Cambria" w:hAnsi="Cambria"/>
          <w:sz w:val="16"/>
          <w:szCs w:val="16"/>
          <w:lang w:val="es-MX"/>
        </w:rPr>
        <w:t>Ver, CIDH, Informe No. 21/04, Petición 12.190, Admisibilidad, José Luís Tapia González y otros, Chile, 24 de febrero de2004, párr. 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217AD" w14:textId="77777777" w:rsidR="00FD07D5" w:rsidRDefault="00FD07D5" w:rsidP="00B54CDF">
    <w:pPr>
      <w:pStyle w:val="Encabezado"/>
      <w:framePr w:wrap="around" w:vAnchor="text" w:hAnchor="margin" w:xAlign="center" w:y="1"/>
      <w:rPr>
        <w:rStyle w:val="Nmerodepgina"/>
        <w:rFonts w:eastAsia="Times New Roman" w:cs="Univers"/>
      </w:rPr>
    </w:pPr>
    <w:r>
      <w:rPr>
        <w:rStyle w:val="Nmerodepgina"/>
        <w:rFonts w:eastAsia="Times New Roman" w:cs="Univers"/>
      </w:rPr>
      <w:fldChar w:fldCharType="begin"/>
    </w:r>
    <w:r>
      <w:rPr>
        <w:rStyle w:val="Nmerodepgina"/>
        <w:rFonts w:eastAsia="Times New Roman" w:cs="Univers"/>
      </w:rPr>
      <w:instrText xml:space="preserve">PAGE  </w:instrText>
    </w:r>
    <w:r>
      <w:rPr>
        <w:rStyle w:val="Nmerodepgina"/>
        <w:rFonts w:eastAsia="Times New Roman" w:cs="Univers"/>
      </w:rPr>
      <w:fldChar w:fldCharType="end"/>
    </w:r>
  </w:p>
  <w:p w14:paraId="2C93103B" w14:textId="77777777" w:rsidR="00FD07D5" w:rsidRDefault="00FD07D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964CB" w14:textId="686D3718" w:rsidR="00FD07D5" w:rsidRPr="00EC7D62" w:rsidRDefault="00FD07D5"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Times New Roman" w:hAnsi="Calibri" w:cs="Calibri"/>
        <w:b/>
        <w:bCs/>
        <w:color w:val="000000"/>
        <w:position w:val="0"/>
        <w:sz w:val="22"/>
        <w:szCs w:val="22"/>
        <w:u w:val="single" w:color="000000"/>
      </w:rPr>
    </w:lvl>
    <w:lvl w:ilvl="1">
      <w:start w:val="1"/>
      <w:numFmt w:val="decimal"/>
      <w:lvlText w:val="%1.%2."/>
      <w:lvlJc w:val="left"/>
      <w:pPr>
        <w:tabs>
          <w:tab w:val="num" w:pos="720"/>
        </w:tabs>
        <w:ind w:left="720" w:hanging="360"/>
      </w:pPr>
      <w:rPr>
        <w:rFonts w:ascii="Trebuchet MS" w:eastAsia="Times New Roman" w:hAnsi="Trebuchet MS" w:cs="Trebuchet MS"/>
        <w:b/>
        <w:bCs/>
        <w:color w:val="000000"/>
        <w:position w:val="0"/>
        <w:sz w:val="22"/>
        <w:szCs w:val="22"/>
        <w:u w:val="single" w:color="000000"/>
      </w:rPr>
    </w:lvl>
    <w:lvl w:ilvl="2">
      <w:start w:val="1"/>
      <w:numFmt w:val="decimal"/>
      <w:lvlText w:val="%1.%2.%3."/>
      <w:lvlJc w:val="left"/>
      <w:pPr>
        <w:tabs>
          <w:tab w:val="num" w:pos="1020"/>
        </w:tabs>
        <w:ind w:left="1020" w:hanging="660"/>
      </w:pPr>
      <w:rPr>
        <w:rFonts w:ascii="Calibri" w:eastAsia="Times New Roman" w:hAnsi="Calibri" w:cs="Calibri"/>
        <w:b/>
        <w:bCs/>
        <w:color w:val="000000"/>
        <w:position w:val="0"/>
        <w:sz w:val="22"/>
        <w:szCs w:val="22"/>
        <w:u w:val="single" w:color="000000"/>
      </w:rPr>
    </w:lvl>
    <w:lvl w:ilvl="3">
      <w:start w:val="1"/>
      <w:numFmt w:val="decimal"/>
      <w:lvlText w:val="%1.%2.%3.%4."/>
      <w:lvlJc w:val="left"/>
      <w:pPr>
        <w:tabs>
          <w:tab w:val="num" w:pos="1020"/>
        </w:tabs>
        <w:ind w:left="1020" w:hanging="660"/>
      </w:pPr>
      <w:rPr>
        <w:rFonts w:ascii="Calibri" w:eastAsia="Times New Roman" w:hAnsi="Calibri" w:cs="Calibri"/>
        <w:b/>
        <w:bCs/>
        <w:color w:val="000000"/>
        <w:position w:val="0"/>
        <w:sz w:val="22"/>
        <w:szCs w:val="22"/>
        <w:u w:val="single" w:color="000000"/>
      </w:rPr>
    </w:lvl>
    <w:lvl w:ilvl="4">
      <w:start w:val="1"/>
      <w:numFmt w:val="decimal"/>
      <w:lvlText w:val="%1.%2.%3.%4.%5."/>
      <w:lvlJc w:val="left"/>
      <w:pPr>
        <w:tabs>
          <w:tab w:val="num" w:pos="1350"/>
        </w:tabs>
        <w:ind w:left="1350" w:hanging="990"/>
      </w:pPr>
      <w:rPr>
        <w:rFonts w:ascii="Calibri" w:eastAsia="Times New Roman" w:hAnsi="Calibri" w:cs="Calibri"/>
        <w:b/>
        <w:bCs/>
        <w:color w:val="000000"/>
        <w:position w:val="0"/>
        <w:sz w:val="22"/>
        <w:szCs w:val="22"/>
        <w:u w:val="single" w:color="000000"/>
      </w:rPr>
    </w:lvl>
    <w:lvl w:ilvl="5">
      <w:start w:val="1"/>
      <w:numFmt w:val="decimal"/>
      <w:lvlText w:val="%1.%2.%3.%4.%5.%6."/>
      <w:lvlJc w:val="left"/>
      <w:pPr>
        <w:tabs>
          <w:tab w:val="num" w:pos="1350"/>
        </w:tabs>
        <w:ind w:left="1350" w:hanging="990"/>
      </w:pPr>
      <w:rPr>
        <w:rFonts w:ascii="Calibri" w:eastAsia="Times New Roman" w:hAnsi="Calibri" w:cs="Calibri"/>
        <w:b/>
        <w:bCs/>
        <w:color w:val="000000"/>
        <w:position w:val="0"/>
        <w:sz w:val="22"/>
        <w:szCs w:val="22"/>
        <w:u w:val="single" w:color="000000"/>
      </w:rPr>
    </w:lvl>
    <w:lvl w:ilvl="6">
      <w:start w:val="1"/>
      <w:numFmt w:val="decimal"/>
      <w:lvlText w:val="%1.%2.%3.%4.%5.%6.%7."/>
      <w:lvlJc w:val="left"/>
      <w:pPr>
        <w:tabs>
          <w:tab w:val="num" w:pos="1680"/>
        </w:tabs>
        <w:ind w:left="1680" w:hanging="1320"/>
      </w:pPr>
      <w:rPr>
        <w:rFonts w:ascii="Calibri" w:eastAsia="Times New Roman" w:hAnsi="Calibri" w:cs="Calibri"/>
        <w:b/>
        <w:bCs/>
        <w:color w:val="000000"/>
        <w:position w:val="0"/>
        <w:sz w:val="22"/>
        <w:szCs w:val="22"/>
        <w:u w:val="single" w:color="000000"/>
      </w:rPr>
    </w:lvl>
    <w:lvl w:ilvl="7">
      <w:start w:val="1"/>
      <w:numFmt w:val="decimal"/>
      <w:lvlText w:val="%1.%2.%3.%4.%5.%6.%7.%8."/>
      <w:lvlJc w:val="left"/>
      <w:pPr>
        <w:tabs>
          <w:tab w:val="num" w:pos="1680"/>
        </w:tabs>
        <w:ind w:left="1680" w:hanging="1320"/>
      </w:pPr>
      <w:rPr>
        <w:rFonts w:ascii="Calibri" w:eastAsia="Times New Roman" w:hAnsi="Calibri" w:cs="Calibri"/>
        <w:b/>
        <w:bCs/>
        <w:color w:val="000000"/>
        <w:position w:val="0"/>
        <w:sz w:val="22"/>
        <w:szCs w:val="22"/>
        <w:u w:val="single" w:color="000000"/>
      </w:rPr>
    </w:lvl>
    <w:lvl w:ilvl="8">
      <w:start w:val="1"/>
      <w:numFmt w:val="decimal"/>
      <w:lvlText w:val="%1.%2.%3.%4.%5.%6.%7.%8.%9."/>
      <w:lvlJc w:val="left"/>
      <w:pPr>
        <w:tabs>
          <w:tab w:val="num" w:pos="2010"/>
        </w:tabs>
        <w:ind w:left="2010" w:hanging="1650"/>
      </w:pPr>
      <w:rPr>
        <w:rFonts w:ascii="Calibri" w:eastAsia="Times New Roman" w:hAnsi="Calibri" w:cs="Calibri"/>
        <w:b/>
        <w:bCs/>
        <w:color w:val="000000"/>
        <w:position w:val="0"/>
        <w:sz w:val="22"/>
        <w:szCs w:val="22"/>
        <w:u w:val="single" w:color="000000"/>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3" w15:restartNumberingAfterBreak="0">
    <w:nsid w:val="0A5E79E3"/>
    <w:multiLevelType w:val="multilevel"/>
    <w:tmpl w:val="E38020DC"/>
    <w:lvl w:ilvl="0">
      <w:start w:val="1"/>
      <w:numFmt w:val="decimal"/>
      <w:lvlText w:val="%1."/>
      <w:lvlJc w:val="left"/>
      <w:pPr>
        <w:tabs>
          <w:tab w:val="num" w:pos="690"/>
        </w:tabs>
        <w:ind w:left="690" w:hanging="330"/>
      </w:pPr>
      <w:rPr>
        <w:rFonts w:ascii="Calibri" w:eastAsia="Times New Roman" w:hAnsi="Calibri" w:cs="Calibri"/>
        <w:color w:val="000000"/>
        <w:position w:val="0"/>
        <w:sz w:val="22"/>
        <w:szCs w:val="22"/>
        <w:u w:color="000000"/>
      </w:rPr>
    </w:lvl>
    <w:lvl w:ilvl="1">
      <w:start w:val="1"/>
      <w:numFmt w:val="lowerLetter"/>
      <w:lvlText w:val="%2."/>
      <w:lvlJc w:val="left"/>
      <w:pPr>
        <w:tabs>
          <w:tab w:val="num" w:pos="1440"/>
        </w:tabs>
        <w:ind w:left="1440" w:hanging="360"/>
      </w:pPr>
      <w:rPr>
        <w:rFonts w:ascii="Calibri" w:eastAsia="Times New Roman" w:hAnsi="Calibri" w:cs="Calibri" w:hint="default"/>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690"/>
        </w:tabs>
        <w:ind w:left="69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imes New Roman" w:hAnsi="Trebuchet MS"/>
        <w:color w:val="000000"/>
        <w:position w:val="0"/>
        <w:sz w:val="24"/>
        <w:u w:color="000000"/>
      </w:rPr>
    </w:lvl>
    <w:lvl w:ilvl="1">
      <w:start w:val="1"/>
      <w:numFmt w:val="bullet"/>
      <w:lvlText w:val="o"/>
      <w:lvlJc w:val="left"/>
      <w:pPr>
        <w:tabs>
          <w:tab w:val="num" w:pos="1410"/>
        </w:tabs>
        <w:ind w:left="1410" w:hanging="330"/>
      </w:pPr>
      <w:rPr>
        <w:rFonts w:ascii="Calibri" w:eastAsia="Times New Roman" w:hAnsi="Calibri"/>
        <w:color w:val="000000"/>
        <w:position w:val="0"/>
        <w:sz w:val="22"/>
        <w:u w:color="000000"/>
      </w:rPr>
    </w:lvl>
    <w:lvl w:ilvl="2">
      <w:start w:val="1"/>
      <w:numFmt w:val="bullet"/>
      <w:lvlText w:val="▪"/>
      <w:lvlJc w:val="left"/>
      <w:pPr>
        <w:tabs>
          <w:tab w:val="num" w:pos="2130"/>
        </w:tabs>
        <w:ind w:left="2130" w:hanging="330"/>
      </w:pPr>
      <w:rPr>
        <w:rFonts w:ascii="Calibri" w:eastAsia="Times New Roman" w:hAnsi="Calibri"/>
        <w:color w:val="000000"/>
        <w:position w:val="0"/>
        <w:sz w:val="22"/>
        <w:u w:color="000000"/>
      </w:rPr>
    </w:lvl>
    <w:lvl w:ilvl="3">
      <w:start w:val="1"/>
      <w:numFmt w:val="bullet"/>
      <w:lvlText w:val="•"/>
      <w:lvlJc w:val="left"/>
      <w:pPr>
        <w:tabs>
          <w:tab w:val="num" w:pos="2850"/>
        </w:tabs>
        <w:ind w:left="2850" w:hanging="330"/>
      </w:pPr>
      <w:rPr>
        <w:rFonts w:ascii="Calibri" w:eastAsia="Times New Roman" w:hAnsi="Calibri"/>
        <w:color w:val="000000"/>
        <w:position w:val="0"/>
        <w:sz w:val="22"/>
        <w:u w:color="000000"/>
      </w:rPr>
    </w:lvl>
    <w:lvl w:ilvl="4">
      <w:start w:val="1"/>
      <w:numFmt w:val="bullet"/>
      <w:lvlText w:val="o"/>
      <w:lvlJc w:val="left"/>
      <w:pPr>
        <w:tabs>
          <w:tab w:val="num" w:pos="3570"/>
        </w:tabs>
        <w:ind w:left="3570" w:hanging="330"/>
      </w:pPr>
      <w:rPr>
        <w:rFonts w:ascii="Calibri" w:eastAsia="Times New Roman" w:hAnsi="Calibri"/>
        <w:color w:val="000000"/>
        <w:position w:val="0"/>
        <w:sz w:val="22"/>
        <w:u w:color="000000"/>
      </w:rPr>
    </w:lvl>
    <w:lvl w:ilvl="5">
      <w:start w:val="1"/>
      <w:numFmt w:val="bullet"/>
      <w:lvlText w:val="▪"/>
      <w:lvlJc w:val="left"/>
      <w:pPr>
        <w:tabs>
          <w:tab w:val="num" w:pos="4290"/>
        </w:tabs>
        <w:ind w:left="4290" w:hanging="330"/>
      </w:pPr>
      <w:rPr>
        <w:rFonts w:ascii="Calibri" w:eastAsia="Times New Roman" w:hAnsi="Calibri"/>
        <w:color w:val="000000"/>
        <w:position w:val="0"/>
        <w:sz w:val="22"/>
        <w:u w:color="000000"/>
      </w:rPr>
    </w:lvl>
    <w:lvl w:ilvl="6">
      <w:start w:val="1"/>
      <w:numFmt w:val="bullet"/>
      <w:lvlText w:val="•"/>
      <w:lvlJc w:val="left"/>
      <w:pPr>
        <w:tabs>
          <w:tab w:val="num" w:pos="5010"/>
        </w:tabs>
        <w:ind w:left="5010" w:hanging="330"/>
      </w:pPr>
      <w:rPr>
        <w:rFonts w:ascii="Calibri" w:eastAsia="Times New Roman" w:hAnsi="Calibri"/>
        <w:color w:val="000000"/>
        <w:position w:val="0"/>
        <w:sz w:val="22"/>
        <w:u w:color="000000"/>
      </w:rPr>
    </w:lvl>
    <w:lvl w:ilvl="7">
      <w:start w:val="1"/>
      <w:numFmt w:val="bullet"/>
      <w:lvlText w:val="o"/>
      <w:lvlJc w:val="left"/>
      <w:pPr>
        <w:tabs>
          <w:tab w:val="num" w:pos="5730"/>
        </w:tabs>
        <w:ind w:left="5730" w:hanging="330"/>
      </w:pPr>
      <w:rPr>
        <w:rFonts w:ascii="Calibri" w:eastAsia="Times New Roman" w:hAnsi="Calibri"/>
        <w:color w:val="000000"/>
        <w:position w:val="0"/>
        <w:sz w:val="22"/>
        <w:u w:color="000000"/>
      </w:rPr>
    </w:lvl>
    <w:lvl w:ilvl="8">
      <w:start w:val="1"/>
      <w:numFmt w:val="bullet"/>
      <w:lvlText w:val="▪"/>
      <w:lvlJc w:val="left"/>
      <w:pPr>
        <w:tabs>
          <w:tab w:val="num" w:pos="6450"/>
        </w:tabs>
        <w:ind w:left="6450" w:hanging="330"/>
      </w:pPr>
      <w:rPr>
        <w:rFonts w:ascii="Calibri" w:eastAsia="Times New Roman" w:hAnsi="Calibri"/>
        <w:color w:val="000000"/>
        <w:position w:val="0"/>
        <w:sz w:val="22"/>
        <w:u w:color="000000"/>
      </w:rPr>
    </w:lvl>
  </w:abstractNum>
  <w:abstractNum w:abstractNumId="5" w15:restartNumberingAfterBreak="0">
    <w:nsid w:val="101E009B"/>
    <w:multiLevelType w:val="hybridMultilevel"/>
    <w:tmpl w:val="CBA873A0"/>
    <w:lvl w:ilvl="0" w:tplc="BBD42514">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2BA2819"/>
    <w:multiLevelType w:val="multilevel"/>
    <w:tmpl w:val="DE3EA646"/>
    <w:lvl w:ilvl="0">
      <w:start w:val="1"/>
      <w:numFmt w:val="bullet"/>
      <w:lvlText w:val="•"/>
      <w:lvlJc w:val="left"/>
      <w:pPr>
        <w:tabs>
          <w:tab w:val="num" w:pos="720"/>
        </w:tabs>
        <w:ind w:left="720" w:hanging="360"/>
      </w:pPr>
      <w:rPr>
        <w:rFonts w:ascii="Trebuchet MS" w:eastAsia="Times New Roman" w:hAnsi="Trebuchet MS"/>
        <w:color w:val="000000"/>
        <w:position w:val="0"/>
        <w:sz w:val="24"/>
        <w:u w:color="000000"/>
      </w:rPr>
    </w:lvl>
    <w:lvl w:ilvl="1">
      <w:start w:val="1"/>
      <w:numFmt w:val="bullet"/>
      <w:lvlText w:val="o"/>
      <w:lvlJc w:val="left"/>
      <w:pPr>
        <w:tabs>
          <w:tab w:val="num" w:pos="1410"/>
        </w:tabs>
        <w:ind w:left="1410" w:hanging="330"/>
      </w:pPr>
      <w:rPr>
        <w:rFonts w:ascii="Calibri" w:eastAsia="Times New Roman" w:hAnsi="Calibri"/>
        <w:color w:val="000000"/>
        <w:position w:val="0"/>
        <w:sz w:val="22"/>
        <w:u w:color="000000"/>
      </w:rPr>
    </w:lvl>
    <w:lvl w:ilvl="2">
      <w:start w:val="1"/>
      <w:numFmt w:val="bullet"/>
      <w:lvlText w:val="▪"/>
      <w:lvlJc w:val="left"/>
      <w:pPr>
        <w:tabs>
          <w:tab w:val="num" w:pos="2130"/>
        </w:tabs>
        <w:ind w:left="2130" w:hanging="330"/>
      </w:pPr>
      <w:rPr>
        <w:rFonts w:ascii="Calibri" w:eastAsia="Times New Roman" w:hAnsi="Calibri"/>
        <w:color w:val="000000"/>
        <w:position w:val="0"/>
        <w:sz w:val="22"/>
        <w:u w:color="000000"/>
      </w:rPr>
    </w:lvl>
    <w:lvl w:ilvl="3">
      <w:start w:val="1"/>
      <w:numFmt w:val="bullet"/>
      <w:lvlText w:val="•"/>
      <w:lvlJc w:val="left"/>
      <w:pPr>
        <w:tabs>
          <w:tab w:val="num" w:pos="2850"/>
        </w:tabs>
        <w:ind w:left="2850" w:hanging="330"/>
      </w:pPr>
      <w:rPr>
        <w:rFonts w:ascii="Calibri" w:eastAsia="Times New Roman" w:hAnsi="Calibri"/>
        <w:color w:val="000000"/>
        <w:position w:val="0"/>
        <w:sz w:val="22"/>
        <w:u w:color="000000"/>
      </w:rPr>
    </w:lvl>
    <w:lvl w:ilvl="4">
      <w:start w:val="1"/>
      <w:numFmt w:val="bullet"/>
      <w:lvlText w:val="o"/>
      <w:lvlJc w:val="left"/>
      <w:pPr>
        <w:tabs>
          <w:tab w:val="num" w:pos="3570"/>
        </w:tabs>
        <w:ind w:left="3570" w:hanging="330"/>
      </w:pPr>
      <w:rPr>
        <w:rFonts w:ascii="Calibri" w:eastAsia="Times New Roman" w:hAnsi="Calibri"/>
        <w:color w:val="000000"/>
        <w:position w:val="0"/>
        <w:sz w:val="22"/>
        <w:u w:color="000000"/>
      </w:rPr>
    </w:lvl>
    <w:lvl w:ilvl="5">
      <w:start w:val="1"/>
      <w:numFmt w:val="bullet"/>
      <w:lvlText w:val="▪"/>
      <w:lvlJc w:val="left"/>
      <w:pPr>
        <w:tabs>
          <w:tab w:val="num" w:pos="4290"/>
        </w:tabs>
        <w:ind w:left="4290" w:hanging="330"/>
      </w:pPr>
      <w:rPr>
        <w:rFonts w:ascii="Calibri" w:eastAsia="Times New Roman" w:hAnsi="Calibri"/>
        <w:color w:val="000000"/>
        <w:position w:val="0"/>
        <w:sz w:val="22"/>
        <w:u w:color="000000"/>
      </w:rPr>
    </w:lvl>
    <w:lvl w:ilvl="6">
      <w:start w:val="1"/>
      <w:numFmt w:val="bullet"/>
      <w:lvlText w:val="•"/>
      <w:lvlJc w:val="left"/>
      <w:pPr>
        <w:tabs>
          <w:tab w:val="num" w:pos="5010"/>
        </w:tabs>
        <w:ind w:left="5010" w:hanging="330"/>
      </w:pPr>
      <w:rPr>
        <w:rFonts w:ascii="Calibri" w:eastAsia="Times New Roman" w:hAnsi="Calibri"/>
        <w:color w:val="000000"/>
        <w:position w:val="0"/>
        <w:sz w:val="22"/>
        <w:u w:color="000000"/>
      </w:rPr>
    </w:lvl>
    <w:lvl w:ilvl="7">
      <w:start w:val="1"/>
      <w:numFmt w:val="bullet"/>
      <w:lvlText w:val="o"/>
      <w:lvlJc w:val="left"/>
      <w:pPr>
        <w:tabs>
          <w:tab w:val="num" w:pos="5730"/>
        </w:tabs>
        <w:ind w:left="5730" w:hanging="330"/>
      </w:pPr>
      <w:rPr>
        <w:rFonts w:ascii="Calibri" w:eastAsia="Times New Roman" w:hAnsi="Calibri"/>
        <w:color w:val="000000"/>
        <w:position w:val="0"/>
        <w:sz w:val="22"/>
        <w:u w:color="000000"/>
      </w:rPr>
    </w:lvl>
    <w:lvl w:ilvl="8">
      <w:start w:val="1"/>
      <w:numFmt w:val="bullet"/>
      <w:lvlText w:val="▪"/>
      <w:lvlJc w:val="left"/>
      <w:pPr>
        <w:tabs>
          <w:tab w:val="num" w:pos="6450"/>
        </w:tabs>
        <w:ind w:left="6450" w:hanging="330"/>
      </w:pPr>
      <w:rPr>
        <w:rFonts w:ascii="Calibri" w:eastAsia="Times New Roman" w:hAnsi="Calibri"/>
        <w:color w:val="000000"/>
        <w:position w:val="0"/>
        <w:sz w:val="22"/>
        <w:u w:color="000000"/>
      </w:rPr>
    </w:lvl>
  </w:abstractNum>
  <w:abstractNum w:abstractNumId="7"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Times New Roman" w:hAnsi="Calibri" w:cs="Calibri"/>
        <w:color w:val="000000"/>
        <w:position w:val="0"/>
        <w:sz w:val="22"/>
        <w:szCs w:val="22"/>
        <w:u w:color="000000"/>
      </w:rPr>
    </w:lvl>
    <w:lvl w:ilvl="1">
      <w:start w:val="1"/>
      <w:numFmt w:val="lowerLetter"/>
      <w:lvlText w:val="%2."/>
      <w:lvlJc w:val="left"/>
      <w:pPr>
        <w:tabs>
          <w:tab w:val="num" w:pos="1440"/>
        </w:tabs>
        <w:ind w:left="1440" w:hanging="360"/>
      </w:pPr>
      <w:rPr>
        <w:rFonts w:ascii="Trebuchet MS" w:eastAsia="Times New Roman" w:hAnsi="Trebuchet MS" w:cs="Trebuchet M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690"/>
        </w:tabs>
        <w:ind w:left="69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8"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imes New Roman" w:hAnsi="Trebuchet MS" w:cs="Trebuchet MS"/>
        <w:b/>
        <w:bCs/>
        <w:color w:val="000000"/>
        <w:position w:val="0"/>
        <w:sz w:val="22"/>
        <w:szCs w:val="22"/>
        <w:u w:color="000000"/>
      </w:rPr>
    </w:lvl>
    <w:lvl w:ilvl="1">
      <w:start w:val="1"/>
      <w:numFmt w:val="decimal"/>
      <w:lvlText w:val="%1.%2."/>
      <w:lvlJc w:val="left"/>
      <w:pPr>
        <w:tabs>
          <w:tab w:val="num" w:pos="690"/>
        </w:tabs>
        <w:ind w:left="690" w:hanging="330"/>
      </w:pPr>
      <w:rPr>
        <w:rFonts w:ascii="Calibri" w:eastAsia="Times New Roman" w:hAnsi="Calibri" w:cs="Calibri"/>
        <w:b/>
        <w:bCs/>
        <w:color w:val="000000"/>
        <w:position w:val="0"/>
        <w:sz w:val="22"/>
        <w:szCs w:val="22"/>
        <w:u w:color="000000"/>
      </w:rPr>
    </w:lvl>
    <w:lvl w:ilvl="2">
      <w:start w:val="1"/>
      <w:numFmt w:val="decimal"/>
      <w:lvlText w:val="%1.%2.%3."/>
      <w:lvlJc w:val="left"/>
      <w:pPr>
        <w:tabs>
          <w:tab w:val="num" w:pos="1020"/>
        </w:tabs>
        <w:ind w:left="1020" w:hanging="660"/>
      </w:pPr>
      <w:rPr>
        <w:rFonts w:ascii="Calibri" w:eastAsia="Times New Roman" w:hAnsi="Calibri" w:cs="Calibri"/>
        <w:b/>
        <w:bCs/>
        <w:color w:val="000000"/>
        <w:position w:val="0"/>
        <w:sz w:val="22"/>
        <w:szCs w:val="22"/>
        <w:u w:color="000000"/>
      </w:rPr>
    </w:lvl>
    <w:lvl w:ilvl="3">
      <w:start w:val="1"/>
      <w:numFmt w:val="decimal"/>
      <w:lvlText w:val="%1.%2.%3.%4."/>
      <w:lvlJc w:val="left"/>
      <w:pPr>
        <w:tabs>
          <w:tab w:val="num" w:pos="1020"/>
        </w:tabs>
        <w:ind w:left="1020" w:hanging="660"/>
      </w:pPr>
      <w:rPr>
        <w:rFonts w:ascii="Calibri" w:eastAsia="Times New Roman" w:hAnsi="Calibri" w:cs="Calibri"/>
        <w:b/>
        <w:bCs/>
        <w:color w:val="000000"/>
        <w:position w:val="0"/>
        <w:sz w:val="22"/>
        <w:szCs w:val="22"/>
        <w:u w:color="000000"/>
      </w:rPr>
    </w:lvl>
    <w:lvl w:ilvl="4">
      <w:start w:val="1"/>
      <w:numFmt w:val="decimal"/>
      <w:lvlText w:val="%1.%2.%3.%4.%5."/>
      <w:lvlJc w:val="left"/>
      <w:pPr>
        <w:tabs>
          <w:tab w:val="num" w:pos="1350"/>
        </w:tabs>
        <w:ind w:left="1350" w:hanging="990"/>
      </w:pPr>
      <w:rPr>
        <w:rFonts w:ascii="Calibri" w:eastAsia="Times New Roman" w:hAnsi="Calibri" w:cs="Calibri"/>
        <w:b/>
        <w:bCs/>
        <w:color w:val="000000"/>
        <w:position w:val="0"/>
        <w:sz w:val="22"/>
        <w:szCs w:val="22"/>
        <w:u w:color="000000"/>
      </w:rPr>
    </w:lvl>
    <w:lvl w:ilvl="5">
      <w:start w:val="1"/>
      <w:numFmt w:val="decimal"/>
      <w:lvlText w:val="%1.%2.%3.%4.%5.%6."/>
      <w:lvlJc w:val="left"/>
      <w:pPr>
        <w:tabs>
          <w:tab w:val="num" w:pos="1350"/>
        </w:tabs>
        <w:ind w:left="1350" w:hanging="990"/>
      </w:pPr>
      <w:rPr>
        <w:rFonts w:ascii="Calibri" w:eastAsia="Times New Roman" w:hAnsi="Calibri" w:cs="Calibri"/>
        <w:b/>
        <w:bCs/>
        <w:color w:val="000000"/>
        <w:position w:val="0"/>
        <w:sz w:val="22"/>
        <w:szCs w:val="22"/>
        <w:u w:color="000000"/>
      </w:rPr>
    </w:lvl>
    <w:lvl w:ilvl="6">
      <w:start w:val="1"/>
      <w:numFmt w:val="decimal"/>
      <w:lvlText w:val="%1.%2.%3.%4.%5.%6.%7."/>
      <w:lvlJc w:val="left"/>
      <w:pPr>
        <w:tabs>
          <w:tab w:val="num" w:pos="1680"/>
        </w:tabs>
        <w:ind w:left="1680" w:hanging="1320"/>
      </w:pPr>
      <w:rPr>
        <w:rFonts w:ascii="Calibri" w:eastAsia="Times New Roman" w:hAnsi="Calibri" w:cs="Calibri"/>
        <w:b/>
        <w:bCs/>
        <w:color w:val="000000"/>
        <w:position w:val="0"/>
        <w:sz w:val="22"/>
        <w:szCs w:val="22"/>
        <w:u w:color="000000"/>
      </w:rPr>
    </w:lvl>
    <w:lvl w:ilvl="7">
      <w:start w:val="1"/>
      <w:numFmt w:val="decimal"/>
      <w:lvlText w:val="%1.%2.%3.%4.%5.%6.%7.%8."/>
      <w:lvlJc w:val="left"/>
      <w:pPr>
        <w:tabs>
          <w:tab w:val="num" w:pos="1680"/>
        </w:tabs>
        <w:ind w:left="1680" w:hanging="1320"/>
      </w:pPr>
      <w:rPr>
        <w:rFonts w:ascii="Calibri" w:eastAsia="Times New Roman" w:hAnsi="Calibri" w:cs="Calibri"/>
        <w:b/>
        <w:bCs/>
        <w:color w:val="000000"/>
        <w:position w:val="0"/>
        <w:sz w:val="22"/>
        <w:szCs w:val="22"/>
        <w:u w:color="000000"/>
      </w:rPr>
    </w:lvl>
    <w:lvl w:ilvl="8">
      <w:start w:val="1"/>
      <w:numFmt w:val="decimal"/>
      <w:lvlText w:val="%1.%2.%3.%4.%5.%6.%7.%8.%9."/>
      <w:lvlJc w:val="left"/>
      <w:pPr>
        <w:tabs>
          <w:tab w:val="num" w:pos="2010"/>
        </w:tabs>
        <w:ind w:left="2010" w:hanging="1650"/>
      </w:pPr>
      <w:rPr>
        <w:rFonts w:ascii="Calibri" w:eastAsia="Times New Roman" w:hAnsi="Calibri" w:cs="Calibri"/>
        <w:b/>
        <w:bCs/>
        <w:color w:val="000000"/>
        <w:position w:val="0"/>
        <w:sz w:val="22"/>
        <w:szCs w:val="22"/>
        <w:u w:color="000000"/>
      </w:rPr>
    </w:lvl>
  </w:abstractNum>
  <w:abstractNum w:abstractNumId="9"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10"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11"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12"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13"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14"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15"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16"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17" w15:restartNumberingAfterBreak="0">
    <w:nsid w:val="2B372751"/>
    <w:multiLevelType w:val="hybridMultilevel"/>
    <w:tmpl w:val="2CBC870E"/>
    <w:lvl w:ilvl="0" w:tplc="C69032CA">
      <w:start w:val="1"/>
      <w:numFmt w:val="decimal"/>
      <w:lvlText w:val="%1."/>
      <w:lvlJc w:val="left"/>
      <w:pPr>
        <w:ind w:left="1044" w:hanging="504"/>
      </w:pPr>
      <w:rPr>
        <w:rFonts w:ascii="Cambria" w:hAnsi="Cambria" w:cs="Times New Roman" w:hint="default"/>
        <w:b w:val="0"/>
        <w:sz w:val="20"/>
        <w:szCs w:val="20"/>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19"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20"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21" w15:restartNumberingAfterBreak="0">
    <w:nsid w:val="2ED1551D"/>
    <w:multiLevelType w:val="multilevel"/>
    <w:tmpl w:val="4FDE8266"/>
    <w:lvl w:ilvl="0">
      <w:start w:val="1"/>
      <w:numFmt w:val="decimal"/>
      <w:lvlText w:val="%1."/>
      <w:lvlJc w:val="left"/>
      <w:pPr>
        <w:ind w:left="1044" w:hanging="504"/>
      </w:pPr>
      <w:rPr>
        <w:rFonts w:cs="Times New Roman" w:hint="default"/>
        <w:b w:val="0"/>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2" w15:restartNumberingAfterBreak="0">
    <w:nsid w:val="31CB6708"/>
    <w:multiLevelType w:val="multilevel"/>
    <w:tmpl w:val="B6544A0C"/>
    <w:lvl w:ilvl="0">
      <w:start w:val="1"/>
      <w:numFmt w:val="decimal"/>
      <w:lvlText w:val="%1."/>
      <w:lvlJc w:val="left"/>
      <w:pPr>
        <w:tabs>
          <w:tab w:val="num" w:pos="720"/>
        </w:tabs>
        <w:ind w:left="720" w:hanging="36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23"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24"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25"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Times New Roman" w:hAnsi="Calibri" w:cs="Calibri"/>
        <w:color w:val="000000"/>
        <w:position w:val="0"/>
        <w:sz w:val="22"/>
        <w:szCs w:val="22"/>
        <w:u w:color="000000"/>
      </w:rPr>
    </w:lvl>
    <w:lvl w:ilvl="1">
      <w:start w:val="1"/>
      <w:numFmt w:val="lowerLetter"/>
      <w:lvlText w:val="%2."/>
      <w:lvlJc w:val="left"/>
      <w:pPr>
        <w:tabs>
          <w:tab w:val="num" w:pos="1440"/>
        </w:tabs>
        <w:ind w:left="1440" w:hanging="360"/>
      </w:pPr>
      <w:rPr>
        <w:rFonts w:ascii="Trebuchet MS" w:eastAsia="Times New Roman" w:hAnsi="Trebuchet MS" w:cs="Trebuchet M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26"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27" w15:restartNumberingAfterBreak="0">
    <w:nsid w:val="363418E0"/>
    <w:multiLevelType w:val="hybridMultilevel"/>
    <w:tmpl w:val="D9F4012E"/>
    <w:lvl w:ilvl="0" w:tplc="6EF2BC78">
      <w:start w:val="2"/>
      <w:numFmt w:val="lowerLetter"/>
      <w:lvlText w:val="%1."/>
      <w:lvlJc w:val="left"/>
      <w:pPr>
        <w:ind w:left="1440" w:hanging="360"/>
      </w:pPr>
      <w:rPr>
        <w:rFonts w:eastAsia="Times New Roman" w:cs="Calibri"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29"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imes New Roman" w:hAnsi="Trebuchet MS"/>
        <w:color w:val="000000"/>
        <w:position w:val="0"/>
        <w:sz w:val="24"/>
        <w:u w:color="000000"/>
      </w:rPr>
    </w:lvl>
    <w:lvl w:ilvl="1">
      <w:start w:val="1"/>
      <w:numFmt w:val="bullet"/>
      <w:lvlText w:val="o"/>
      <w:lvlJc w:val="left"/>
      <w:pPr>
        <w:tabs>
          <w:tab w:val="num" w:pos="1410"/>
        </w:tabs>
        <w:ind w:left="1410" w:hanging="330"/>
      </w:pPr>
      <w:rPr>
        <w:rFonts w:ascii="Calibri" w:eastAsia="Times New Roman" w:hAnsi="Calibri"/>
        <w:color w:val="000000"/>
        <w:position w:val="0"/>
        <w:sz w:val="22"/>
        <w:u w:color="000000"/>
      </w:rPr>
    </w:lvl>
    <w:lvl w:ilvl="2">
      <w:start w:val="1"/>
      <w:numFmt w:val="bullet"/>
      <w:lvlText w:val="▪"/>
      <w:lvlJc w:val="left"/>
      <w:pPr>
        <w:tabs>
          <w:tab w:val="num" w:pos="2130"/>
        </w:tabs>
        <w:ind w:left="2130" w:hanging="330"/>
      </w:pPr>
      <w:rPr>
        <w:rFonts w:ascii="Calibri" w:eastAsia="Times New Roman" w:hAnsi="Calibri"/>
        <w:color w:val="000000"/>
        <w:position w:val="0"/>
        <w:sz w:val="22"/>
        <w:u w:color="000000"/>
      </w:rPr>
    </w:lvl>
    <w:lvl w:ilvl="3">
      <w:start w:val="1"/>
      <w:numFmt w:val="bullet"/>
      <w:lvlText w:val="•"/>
      <w:lvlJc w:val="left"/>
      <w:pPr>
        <w:tabs>
          <w:tab w:val="num" w:pos="2850"/>
        </w:tabs>
        <w:ind w:left="2850" w:hanging="330"/>
      </w:pPr>
      <w:rPr>
        <w:rFonts w:ascii="Calibri" w:eastAsia="Times New Roman" w:hAnsi="Calibri"/>
        <w:color w:val="000000"/>
        <w:position w:val="0"/>
        <w:sz w:val="22"/>
        <w:u w:color="000000"/>
      </w:rPr>
    </w:lvl>
    <w:lvl w:ilvl="4">
      <w:start w:val="1"/>
      <w:numFmt w:val="bullet"/>
      <w:lvlText w:val="o"/>
      <w:lvlJc w:val="left"/>
      <w:pPr>
        <w:tabs>
          <w:tab w:val="num" w:pos="3570"/>
        </w:tabs>
        <w:ind w:left="3570" w:hanging="330"/>
      </w:pPr>
      <w:rPr>
        <w:rFonts w:ascii="Calibri" w:eastAsia="Times New Roman" w:hAnsi="Calibri"/>
        <w:color w:val="000000"/>
        <w:position w:val="0"/>
        <w:sz w:val="22"/>
        <w:u w:color="000000"/>
      </w:rPr>
    </w:lvl>
    <w:lvl w:ilvl="5">
      <w:start w:val="1"/>
      <w:numFmt w:val="bullet"/>
      <w:lvlText w:val="▪"/>
      <w:lvlJc w:val="left"/>
      <w:pPr>
        <w:tabs>
          <w:tab w:val="num" w:pos="4290"/>
        </w:tabs>
        <w:ind w:left="4290" w:hanging="330"/>
      </w:pPr>
      <w:rPr>
        <w:rFonts w:ascii="Calibri" w:eastAsia="Times New Roman" w:hAnsi="Calibri"/>
        <w:color w:val="000000"/>
        <w:position w:val="0"/>
        <w:sz w:val="22"/>
        <w:u w:color="000000"/>
      </w:rPr>
    </w:lvl>
    <w:lvl w:ilvl="6">
      <w:start w:val="1"/>
      <w:numFmt w:val="bullet"/>
      <w:lvlText w:val="•"/>
      <w:lvlJc w:val="left"/>
      <w:pPr>
        <w:tabs>
          <w:tab w:val="num" w:pos="5010"/>
        </w:tabs>
        <w:ind w:left="5010" w:hanging="330"/>
      </w:pPr>
      <w:rPr>
        <w:rFonts w:ascii="Calibri" w:eastAsia="Times New Roman" w:hAnsi="Calibri"/>
        <w:color w:val="000000"/>
        <w:position w:val="0"/>
        <w:sz w:val="22"/>
        <w:u w:color="000000"/>
      </w:rPr>
    </w:lvl>
    <w:lvl w:ilvl="7">
      <w:start w:val="1"/>
      <w:numFmt w:val="bullet"/>
      <w:lvlText w:val="o"/>
      <w:lvlJc w:val="left"/>
      <w:pPr>
        <w:tabs>
          <w:tab w:val="num" w:pos="5730"/>
        </w:tabs>
        <w:ind w:left="5730" w:hanging="330"/>
      </w:pPr>
      <w:rPr>
        <w:rFonts w:ascii="Calibri" w:eastAsia="Times New Roman" w:hAnsi="Calibri"/>
        <w:color w:val="000000"/>
        <w:position w:val="0"/>
        <w:sz w:val="22"/>
        <w:u w:color="000000"/>
      </w:rPr>
    </w:lvl>
    <w:lvl w:ilvl="8">
      <w:start w:val="1"/>
      <w:numFmt w:val="bullet"/>
      <w:lvlText w:val="▪"/>
      <w:lvlJc w:val="left"/>
      <w:pPr>
        <w:tabs>
          <w:tab w:val="num" w:pos="6450"/>
        </w:tabs>
        <w:ind w:left="6450" w:hanging="330"/>
      </w:pPr>
      <w:rPr>
        <w:rFonts w:ascii="Calibri" w:eastAsia="Times New Roman" w:hAnsi="Calibri"/>
        <w:color w:val="000000"/>
        <w:position w:val="0"/>
        <w:sz w:val="22"/>
        <w:u w:color="000000"/>
      </w:rPr>
    </w:lvl>
  </w:abstractNum>
  <w:abstractNum w:abstractNumId="30"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31"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32" w15:restartNumberingAfterBreak="0">
    <w:nsid w:val="41A62E9A"/>
    <w:multiLevelType w:val="hybridMultilevel"/>
    <w:tmpl w:val="3FE24E86"/>
    <w:lvl w:ilvl="0" w:tplc="D020ECDC">
      <w:start w:val="1"/>
      <w:numFmt w:val="upperRoman"/>
      <w:pStyle w:val="Style1"/>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42DF19D7"/>
    <w:multiLevelType w:val="multilevel"/>
    <w:tmpl w:val="E7265BB0"/>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34"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35"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bullet"/>
      <w:lvlText w:val="•"/>
      <w:lvlJc w:val="left"/>
      <w:pPr>
        <w:tabs>
          <w:tab w:val="num" w:pos="1740"/>
        </w:tabs>
        <w:ind w:left="1740" w:hanging="660"/>
      </w:pPr>
      <w:rPr>
        <w:rFonts w:ascii="Calibri" w:eastAsia="Times New Roman" w:hAnsi="Calibri"/>
        <w:color w:val="000000"/>
        <w:position w:val="0"/>
        <w:sz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36"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37"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38" w15:restartNumberingAfterBreak="0">
    <w:nsid w:val="490F0C1F"/>
    <w:multiLevelType w:val="hybridMultilevel"/>
    <w:tmpl w:val="98D0FB36"/>
    <w:lvl w:ilvl="0" w:tplc="10BEC2AA">
      <w:start w:val="1"/>
      <w:numFmt w:val="decimal"/>
      <w:lvlText w:val="%1."/>
      <w:lvlJc w:val="left"/>
      <w:pPr>
        <w:ind w:left="1044" w:hanging="504"/>
      </w:pPr>
      <w:rPr>
        <w:rFonts w:ascii="Cambria" w:hAnsi="Cambria" w:cs="Times New Roman" w:hint="default"/>
        <w:b w:val="0"/>
        <w:sz w:val="20"/>
        <w:szCs w:val="20"/>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492723E7"/>
    <w:multiLevelType w:val="multilevel"/>
    <w:tmpl w:val="0CF8CC36"/>
    <w:lvl w:ilvl="0">
      <w:start w:val="1"/>
      <w:numFmt w:val="decimal"/>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40" w15:restartNumberingAfterBreak="0">
    <w:nsid w:val="4A207B30"/>
    <w:multiLevelType w:val="multilevel"/>
    <w:tmpl w:val="677A4662"/>
    <w:lvl w:ilvl="0">
      <w:start w:val="1"/>
      <w:numFmt w:val="lowerLetter"/>
      <w:lvlText w:val="%1."/>
      <w:lvlJc w:val="left"/>
      <w:pPr>
        <w:tabs>
          <w:tab w:val="num" w:pos="720"/>
        </w:tabs>
        <w:ind w:left="720" w:hanging="360"/>
      </w:pPr>
      <w:rPr>
        <w:rFonts w:ascii="Calibri" w:eastAsia="Times New Roman" w:hAnsi="Calibri" w:cs="Trebuchet MS" w:hint="default"/>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41"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imes New Roman" w:hAnsi="Trebuchet MS" w:cs="Trebuchet MS"/>
        <w:b/>
        <w:bCs/>
        <w:color w:val="000000"/>
        <w:position w:val="0"/>
        <w:sz w:val="22"/>
        <w:szCs w:val="22"/>
        <w:u w:val="single" w:color="000000"/>
      </w:rPr>
    </w:lvl>
    <w:lvl w:ilvl="1">
      <w:start w:val="1"/>
      <w:numFmt w:val="lowerLetter"/>
      <w:lvlText w:val="%2."/>
      <w:lvlJc w:val="left"/>
      <w:pPr>
        <w:tabs>
          <w:tab w:val="num" w:pos="1770"/>
        </w:tabs>
        <w:ind w:left="1770" w:hanging="330"/>
      </w:pPr>
      <w:rPr>
        <w:rFonts w:ascii="Calibri" w:eastAsia="Times New Roman" w:hAnsi="Calibri" w:cs="Calibri"/>
        <w:b/>
        <w:bCs/>
        <w:color w:val="000000"/>
        <w:position w:val="0"/>
        <w:sz w:val="22"/>
        <w:szCs w:val="22"/>
        <w:u w:val="single" w:color="000000"/>
      </w:rPr>
    </w:lvl>
    <w:lvl w:ilvl="2">
      <w:start w:val="1"/>
      <w:numFmt w:val="lowerRoman"/>
      <w:lvlText w:val="%3."/>
      <w:lvlJc w:val="left"/>
      <w:pPr>
        <w:tabs>
          <w:tab w:val="num" w:pos="2495"/>
        </w:tabs>
        <w:ind w:left="2495" w:hanging="271"/>
      </w:pPr>
      <w:rPr>
        <w:rFonts w:ascii="Calibri" w:eastAsia="Times New Roman" w:hAnsi="Calibri" w:cs="Calibri"/>
        <w:b/>
        <w:bCs/>
        <w:color w:val="000000"/>
        <w:position w:val="0"/>
        <w:sz w:val="22"/>
        <w:szCs w:val="22"/>
        <w:u w:val="single" w:color="000000"/>
      </w:rPr>
    </w:lvl>
    <w:lvl w:ilvl="3">
      <w:start w:val="1"/>
      <w:numFmt w:val="decimal"/>
      <w:lvlText w:val="%4."/>
      <w:lvlJc w:val="left"/>
      <w:pPr>
        <w:tabs>
          <w:tab w:val="num" w:pos="3210"/>
        </w:tabs>
        <w:ind w:left="3210" w:hanging="330"/>
      </w:pPr>
      <w:rPr>
        <w:rFonts w:ascii="Calibri" w:eastAsia="Times New Roman" w:hAnsi="Calibri" w:cs="Calibri"/>
        <w:b/>
        <w:bCs/>
        <w:color w:val="000000"/>
        <w:position w:val="0"/>
        <w:sz w:val="22"/>
        <w:szCs w:val="22"/>
        <w:u w:val="single" w:color="000000"/>
      </w:rPr>
    </w:lvl>
    <w:lvl w:ilvl="4">
      <w:start w:val="1"/>
      <w:numFmt w:val="lowerLetter"/>
      <w:lvlText w:val="%5."/>
      <w:lvlJc w:val="left"/>
      <w:pPr>
        <w:tabs>
          <w:tab w:val="num" w:pos="3930"/>
        </w:tabs>
        <w:ind w:left="3930" w:hanging="330"/>
      </w:pPr>
      <w:rPr>
        <w:rFonts w:ascii="Calibri" w:eastAsia="Times New Roman" w:hAnsi="Calibri" w:cs="Calibri"/>
        <w:b/>
        <w:bCs/>
        <w:color w:val="000000"/>
        <w:position w:val="0"/>
        <w:sz w:val="22"/>
        <w:szCs w:val="22"/>
        <w:u w:val="single" w:color="000000"/>
      </w:rPr>
    </w:lvl>
    <w:lvl w:ilvl="5">
      <w:start w:val="1"/>
      <w:numFmt w:val="lowerRoman"/>
      <w:lvlText w:val="%6."/>
      <w:lvlJc w:val="left"/>
      <w:pPr>
        <w:tabs>
          <w:tab w:val="num" w:pos="4655"/>
        </w:tabs>
        <w:ind w:left="4655" w:hanging="271"/>
      </w:pPr>
      <w:rPr>
        <w:rFonts w:ascii="Calibri" w:eastAsia="Times New Roman" w:hAnsi="Calibri" w:cs="Calibri"/>
        <w:b/>
        <w:bCs/>
        <w:color w:val="000000"/>
        <w:position w:val="0"/>
        <w:sz w:val="22"/>
        <w:szCs w:val="22"/>
        <w:u w:val="single" w:color="000000"/>
      </w:rPr>
    </w:lvl>
    <w:lvl w:ilvl="6">
      <w:start w:val="1"/>
      <w:numFmt w:val="decimal"/>
      <w:lvlText w:val="%7."/>
      <w:lvlJc w:val="left"/>
      <w:pPr>
        <w:tabs>
          <w:tab w:val="num" w:pos="5370"/>
        </w:tabs>
        <w:ind w:left="5370" w:hanging="330"/>
      </w:pPr>
      <w:rPr>
        <w:rFonts w:ascii="Calibri" w:eastAsia="Times New Roman" w:hAnsi="Calibri" w:cs="Calibri"/>
        <w:b/>
        <w:bCs/>
        <w:color w:val="000000"/>
        <w:position w:val="0"/>
        <w:sz w:val="22"/>
        <w:szCs w:val="22"/>
        <w:u w:val="single" w:color="000000"/>
      </w:rPr>
    </w:lvl>
    <w:lvl w:ilvl="7">
      <w:start w:val="1"/>
      <w:numFmt w:val="lowerLetter"/>
      <w:lvlText w:val="%8."/>
      <w:lvlJc w:val="left"/>
      <w:pPr>
        <w:tabs>
          <w:tab w:val="num" w:pos="6090"/>
        </w:tabs>
        <w:ind w:left="6090" w:hanging="330"/>
      </w:pPr>
      <w:rPr>
        <w:rFonts w:ascii="Calibri" w:eastAsia="Times New Roman" w:hAnsi="Calibri" w:cs="Calibri"/>
        <w:b/>
        <w:bCs/>
        <w:color w:val="000000"/>
        <w:position w:val="0"/>
        <w:sz w:val="22"/>
        <w:szCs w:val="22"/>
        <w:u w:val="single" w:color="000000"/>
      </w:rPr>
    </w:lvl>
    <w:lvl w:ilvl="8">
      <w:start w:val="1"/>
      <w:numFmt w:val="lowerRoman"/>
      <w:lvlText w:val="%9."/>
      <w:lvlJc w:val="left"/>
      <w:pPr>
        <w:tabs>
          <w:tab w:val="num" w:pos="6815"/>
        </w:tabs>
        <w:ind w:left="6815" w:hanging="271"/>
      </w:pPr>
      <w:rPr>
        <w:rFonts w:ascii="Calibri" w:eastAsia="Times New Roman" w:hAnsi="Calibri" w:cs="Calibri"/>
        <w:b/>
        <w:bCs/>
        <w:color w:val="000000"/>
        <w:position w:val="0"/>
        <w:sz w:val="22"/>
        <w:szCs w:val="22"/>
        <w:u w:val="single" w:color="000000"/>
      </w:rPr>
    </w:lvl>
  </w:abstractNum>
  <w:abstractNum w:abstractNumId="42"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Times New Roman" w:hAnsi="Calibri" w:cs="Calibri"/>
        <w:b/>
        <w:bCs/>
        <w:color w:val="000000"/>
        <w:position w:val="0"/>
        <w:sz w:val="22"/>
        <w:szCs w:val="22"/>
        <w:u w:val="single"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val="single"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val="single" w:color="000000"/>
      </w:rPr>
    </w:lvl>
    <w:lvl w:ilvl="3">
      <w:start w:val="1"/>
      <w:numFmt w:val="decimal"/>
      <w:lvlText w:val="%4."/>
      <w:lvlJc w:val="left"/>
      <w:pPr>
        <w:tabs>
          <w:tab w:val="num" w:pos="720"/>
        </w:tabs>
        <w:ind w:left="720" w:hanging="360"/>
      </w:pPr>
      <w:rPr>
        <w:rFonts w:ascii="Trebuchet MS" w:eastAsia="Times New Roman" w:hAnsi="Trebuchet MS" w:cs="Trebuchet MS"/>
        <w:b/>
        <w:bCs/>
        <w:color w:val="000000"/>
        <w:position w:val="0"/>
        <w:sz w:val="22"/>
        <w:szCs w:val="22"/>
        <w:u w:val="single"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val="single"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val="single"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val="single"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val="single"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val="single" w:color="000000"/>
      </w:rPr>
    </w:lvl>
  </w:abstractNum>
  <w:abstractNum w:abstractNumId="43"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44"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45"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46" w15:restartNumberingAfterBreak="0">
    <w:nsid w:val="51B0238D"/>
    <w:multiLevelType w:val="hybridMultilevel"/>
    <w:tmpl w:val="3E8A94E0"/>
    <w:lvl w:ilvl="0" w:tplc="C806284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48"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imes New Roman" w:hAnsi="Trebuchet MS" w:cs="Trebuchet MS"/>
        <w:b/>
        <w:bCs/>
        <w:color w:val="000000"/>
        <w:position w:val="0"/>
        <w:sz w:val="22"/>
        <w:szCs w:val="22"/>
        <w:u w:val="single"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val="single"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val="single"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val="single"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val="single"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val="single"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val="single"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val="single"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val="single" w:color="000000"/>
      </w:rPr>
    </w:lvl>
  </w:abstractNum>
  <w:abstractNum w:abstractNumId="49"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50"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51"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imes New Roman" w:hAnsi="Trebuchet MS" w:cs="Trebuchet MS"/>
        <w:b/>
        <w:bC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color="000000"/>
      </w:rPr>
    </w:lvl>
  </w:abstractNum>
  <w:abstractNum w:abstractNumId="52" w15:restartNumberingAfterBreak="0">
    <w:nsid w:val="68C47893"/>
    <w:multiLevelType w:val="hybridMultilevel"/>
    <w:tmpl w:val="D0D2858C"/>
    <w:lvl w:ilvl="0" w:tplc="E23EE400">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Times New Roman" w:hAnsi="Calibri" w:cs="Calibri"/>
        <w:b/>
        <w:bCs/>
        <w:color w:val="000000"/>
        <w:position w:val="0"/>
        <w:sz w:val="22"/>
        <w:szCs w:val="22"/>
        <w:u w:val="single" w:color="000000"/>
      </w:rPr>
    </w:lvl>
    <w:lvl w:ilvl="1">
      <w:start w:val="2"/>
      <w:numFmt w:val="decimal"/>
      <w:lvlText w:val="%1.%2."/>
      <w:lvlJc w:val="left"/>
      <w:pPr>
        <w:tabs>
          <w:tab w:val="num" w:pos="720"/>
        </w:tabs>
        <w:ind w:left="720" w:hanging="360"/>
      </w:pPr>
      <w:rPr>
        <w:rFonts w:ascii="Trebuchet MS" w:eastAsia="Times New Roman" w:hAnsi="Trebuchet MS" w:cs="Trebuchet MS"/>
        <w:b/>
        <w:bCs/>
        <w:color w:val="000000"/>
        <w:position w:val="0"/>
        <w:sz w:val="22"/>
        <w:szCs w:val="22"/>
        <w:u w:val="single" w:color="000000"/>
      </w:rPr>
    </w:lvl>
    <w:lvl w:ilvl="2">
      <w:start w:val="1"/>
      <w:numFmt w:val="decimal"/>
      <w:lvlText w:val="%1.%2.%3."/>
      <w:lvlJc w:val="left"/>
      <w:pPr>
        <w:tabs>
          <w:tab w:val="num" w:pos="1020"/>
        </w:tabs>
        <w:ind w:left="1020" w:hanging="660"/>
      </w:pPr>
      <w:rPr>
        <w:rFonts w:ascii="Calibri" w:eastAsia="Times New Roman" w:hAnsi="Calibri" w:cs="Calibri"/>
        <w:b/>
        <w:bCs/>
        <w:color w:val="000000"/>
        <w:position w:val="0"/>
        <w:sz w:val="22"/>
        <w:szCs w:val="22"/>
        <w:u w:val="single" w:color="000000"/>
      </w:rPr>
    </w:lvl>
    <w:lvl w:ilvl="3">
      <w:start w:val="1"/>
      <w:numFmt w:val="decimal"/>
      <w:lvlText w:val="%1.%2.%3.%4."/>
      <w:lvlJc w:val="left"/>
      <w:pPr>
        <w:tabs>
          <w:tab w:val="num" w:pos="1020"/>
        </w:tabs>
        <w:ind w:left="1020" w:hanging="660"/>
      </w:pPr>
      <w:rPr>
        <w:rFonts w:ascii="Calibri" w:eastAsia="Times New Roman" w:hAnsi="Calibri" w:cs="Calibri"/>
        <w:b/>
        <w:bCs/>
        <w:color w:val="000000"/>
        <w:position w:val="0"/>
        <w:sz w:val="22"/>
        <w:szCs w:val="22"/>
        <w:u w:val="single" w:color="000000"/>
      </w:rPr>
    </w:lvl>
    <w:lvl w:ilvl="4">
      <w:start w:val="1"/>
      <w:numFmt w:val="decimal"/>
      <w:lvlText w:val="%1.%2.%3.%4.%5."/>
      <w:lvlJc w:val="left"/>
      <w:pPr>
        <w:tabs>
          <w:tab w:val="num" w:pos="1350"/>
        </w:tabs>
        <w:ind w:left="1350" w:hanging="990"/>
      </w:pPr>
      <w:rPr>
        <w:rFonts w:ascii="Calibri" w:eastAsia="Times New Roman" w:hAnsi="Calibri" w:cs="Calibri"/>
        <w:b/>
        <w:bCs/>
        <w:color w:val="000000"/>
        <w:position w:val="0"/>
        <w:sz w:val="22"/>
        <w:szCs w:val="22"/>
        <w:u w:val="single" w:color="000000"/>
      </w:rPr>
    </w:lvl>
    <w:lvl w:ilvl="5">
      <w:start w:val="1"/>
      <w:numFmt w:val="decimal"/>
      <w:lvlText w:val="%1.%2.%3.%4.%5.%6."/>
      <w:lvlJc w:val="left"/>
      <w:pPr>
        <w:tabs>
          <w:tab w:val="num" w:pos="1350"/>
        </w:tabs>
        <w:ind w:left="1350" w:hanging="990"/>
      </w:pPr>
      <w:rPr>
        <w:rFonts w:ascii="Calibri" w:eastAsia="Times New Roman" w:hAnsi="Calibri" w:cs="Calibri"/>
        <w:b/>
        <w:bCs/>
        <w:color w:val="000000"/>
        <w:position w:val="0"/>
        <w:sz w:val="22"/>
        <w:szCs w:val="22"/>
        <w:u w:val="single" w:color="000000"/>
      </w:rPr>
    </w:lvl>
    <w:lvl w:ilvl="6">
      <w:start w:val="1"/>
      <w:numFmt w:val="decimal"/>
      <w:lvlText w:val="%1.%2.%3.%4.%5.%6.%7."/>
      <w:lvlJc w:val="left"/>
      <w:pPr>
        <w:tabs>
          <w:tab w:val="num" w:pos="1680"/>
        </w:tabs>
        <w:ind w:left="1680" w:hanging="1320"/>
      </w:pPr>
      <w:rPr>
        <w:rFonts w:ascii="Calibri" w:eastAsia="Times New Roman" w:hAnsi="Calibri" w:cs="Calibri"/>
        <w:b/>
        <w:bCs/>
        <w:color w:val="000000"/>
        <w:position w:val="0"/>
        <w:sz w:val="22"/>
        <w:szCs w:val="22"/>
        <w:u w:val="single" w:color="000000"/>
      </w:rPr>
    </w:lvl>
    <w:lvl w:ilvl="7">
      <w:start w:val="1"/>
      <w:numFmt w:val="decimal"/>
      <w:lvlText w:val="%1.%2.%3.%4.%5.%6.%7.%8."/>
      <w:lvlJc w:val="left"/>
      <w:pPr>
        <w:tabs>
          <w:tab w:val="num" w:pos="1680"/>
        </w:tabs>
        <w:ind w:left="1680" w:hanging="1320"/>
      </w:pPr>
      <w:rPr>
        <w:rFonts w:ascii="Calibri" w:eastAsia="Times New Roman" w:hAnsi="Calibri" w:cs="Calibri"/>
        <w:b/>
        <w:bCs/>
        <w:color w:val="000000"/>
        <w:position w:val="0"/>
        <w:sz w:val="22"/>
        <w:szCs w:val="22"/>
        <w:u w:val="single" w:color="000000"/>
      </w:rPr>
    </w:lvl>
    <w:lvl w:ilvl="8">
      <w:start w:val="1"/>
      <w:numFmt w:val="decimal"/>
      <w:lvlText w:val="%1.%2.%3.%4.%5.%6.%7.%8.%9."/>
      <w:lvlJc w:val="left"/>
      <w:pPr>
        <w:tabs>
          <w:tab w:val="num" w:pos="2010"/>
        </w:tabs>
        <w:ind w:left="2010" w:hanging="1650"/>
      </w:pPr>
      <w:rPr>
        <w:rFonts w:ascii="Calibri" w:eastAsia="Times New Roman" w:hAnsi="Calibri" w:cs="Calibri"/>
        <w:b/>
        <w:bCs/>
        <w:color w:val="000000"/>
        <w:position w:val="0"/>
        <w:sz w:val="22"/>
        <w:szCs w:val="22"/>
        <w:u w:val="single" w:color="000000"/>
      </w:rPr>
    </w:lvl>
  </w:abstractNum>
  <w:abstractNum w:abstractNumId="54" w15:restartNumberingAfterBreak="0">
    <w:nsid w:val="6A772C1F"/>
    <w:multiLevelType w:val="multilevel"/>
    <w:tmpl w:val="CB540D3E"/>
    <w:lvl w:ilvl="0">
      <w:start w:val="1"/>
      <w:numFmt w:val="decimal"/>
      <w:lvlText w:val="%1"/>
      <w:lvlJc w:val="left"/>
      <w:pPr>
        <w:ind w:left="360" w:hanging="360"/>
      </w:pPr>
      <w:rPr>
        <w:rFonts w:eastAsia="Times New Roman" w:cs="Calibri" w:hint="default"/>
      </w:rPr>
    </w:lvl>
    <w:lvl w:ilvl="1">
      <w:start w:val="2"/>
      <w:numFmt w:val="decimal"/>
      <w:lvlText w:val="%1.%2"/>
      <w:lvlJc w:val="left"/>
      <w:pPr>
        <w:ind w:left="1068" w:hanging="360"/>
      </w:pPr>
      <w:rPr>
        <w:rFonts w:eastAsia="Times New Roman" w:cs="Calibri" w:hint="default"/>
      </w:rPr>
    </w:lvl>
    <w:lvl w:ilvl="2">
      <w:start w:val="1"/>
      <w:numFmt w:val="decimal"/>
      <w:lvlText w:val="%1.%2.%3"/>
      <w:lvlJc w:val="left"/>
      <w:pPr>
        <w:ind w:left="2136" w:hanging="720"/>
      </w:pPr>
      <w:rPr>
        <w:rFonts w:eastAsia="Times New Roman" w:cs="Calibri" w:hint="default"/>
      </w:rPr>
    </w:lvl>
    <w:lvl w:ilvl="3">
      <w:start w:val="1"/>
      <w:numFmt w:val="decimal"/>
      <w:lvlText w:val="%1.%2.%3.%4"/>
      <w:lvlJc w:val="left"/>
      <w:pPr>
        <w:ind w:left="2844" w:hanging="720"/>
      </w:pPr>
      <w:rPr>
        <w:rFonts w:eastAsia="Times New Roman" w:cs="Calibri" w:hint="default"/>
      </w:rPr>
    </w:lvl>
    <w:lvl w:ilvl="4">
      <w:start w:val="1"/>
      <w:numFmt w:val="decimal"/>
      <w:lvlText w:val="%1.%2.%3.%4.%5"/>
      <w:lvlJc w:val="left"/>
      <w:pPr>
        <w:ind w:left="3912" w:hanging="1080"/>
      </w:pPr>
      <w:rPr>
        <w:rFonts w:eastAsia="Times New Roman" w:cs="Calibri" w:hint="default"/>
      </w:rPr>
    </w:lvl>
    <w:lvl w:ilvl="5">
      <w:start w:val="1"/>
      <w:numFmt w:val="decimal"/>
      <w:lvlText w:val="%1.%2.%3.%4.%5.%6"/>
      <w:lvlJc w:val="left"/>
      <w:pPr>
        <w:ind w:left="4620" w:hanging="1080"/>
      </w:pPr>
      <w:rPr>
        <w:rFonts w:eastAsia="Times New Roman" w:cs="Calibri" w:hint="default"/>
      </w:rPr>
    </w:lvl>
    <w:lvl w:ilvl="6">
      <w:start w:val="1"/>
      <w:numFmt w:val="decimal"/>
      <w:lvlText w:val="%1.%2.%3.%4.%5.%6.%7"/>
      <w:lvlJc w:val="left"/>
      <w:pPr>
        <w:ind w:left="5688" w:hanging="1440"/>
      </w:pPr>
      <w:rPr>
        <w:rFonts w:eastAsia="Times New Roman" w:cs="Calibri" w:hint="default"/>
      </w:rPr>
    </w:lvl>
    <w:lvl w:ilvl="7">
      <w:start w:val="1"/>
      <w:numFmt w:val="decimal"/>
      <w:lvlText w:val="%1.%2.%3.%4.%5.%6.%7.%8"/>
      <w:lvlJc w:val="left"/>
      <w:pPr>
        <w:ind w:left="6396" w:hanging="1440"/>
      </w:pPr>
      <w:rPr>
        <w:rFonts w:eastAsia="Times New Roman" w:cs="Calibri" w:hint="default"/>
      </w:rPr>
    </w:lvl>
    <w:lvl w:ilvl="8">
      <w:start w:val="1"/>
      <w:numFmt w:val="decimal"/>
      <w:lvlText w:val="%1.%2.%3.%4.%5.%6.%7.%8.%9"/>
      <w:lvlJc w:val="left"/>
      <w:pPr>
        <w:ind w:left="7464" w:hanging="1800"/>
      </w:pPr>
      <w:rPr>
        <w:rFonts w:eastAsia="Times New Roman" w:cs="Calibri" w:hint="default"/>
      </w:rPr>
    </w:lvl>
  </w:abstractNum>
  <w:abstractNum w:abstractNumId="55"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690"/>
        </w:tabs>
        <w:ind w:left="69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56" w15:restartNumberingAfterBreak="0">
    <w:nsid w:val="70786ED7"/>
    <w:multiLevelType w:val="hybridMultilevel"/>
    <w:tmpl w:val="0004DB54"/>
    <w:lvl w:ilvl="0" w:tplc="69020C3E">
      <w:start w:val="1"/>
      <w:numFmt w:val="upperRoman"/>
      <w:pStyle w:val="Ttulo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15:restartNumberingAfterBreak="0">
    <w:nsid w:val="745A711E"/>
    <w:multiLevelType w:val="multilevel"/>
    <w:tmpl w:val="ED88159C"/>
    <w:styleLink w:val="List41"/>
    <w:lvl w:ilvl="0">
      <w:start w:val="1"/>
      <w:numFmt w:val="decimal"/>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58" w15:restartNumberingAfterBreak="0">
    <w:nsid w:val="769866C8"/>
    <w:multiLevelType w:val="multilevel"/>
    <w:tmpl w:val="E38020DC"/>
    <w:lvl w:ilvl="0">
      <w:start w:val="1"/>
      <w:numFmt w:val="decimal"/>
      <w:lvlText w:val="%1."/>
      <w:lvlJc w:val="left"/>
      <w:pPr>
        <w:tabs>
          <w:tab w:val="num" w:pos="690"/>
        </w:tabs>
        <w:ind w:left="690" w:hanging="330"/>
      </w:pPr>
      <w:rPr>
        <w:rFonts w:ascii="Calibri" w:eastAsia="Times New Roman" w:hAnsi="Calibri" w:cs="Calibri"/>
        <w:color w:val="000000"/>
        <w:position w:val="0"/>
        <w:sz w:val="22"/>
        <w:szCs w:val="22"/>
        <w:u w:color="000000"/>
      </w:rPr>
    </w:lvl>
    <w:lvl w:ilvl="1">
      <w:start w:val="1"/>
      <w:numFmt w:val="lowerLetter"/>
      <w:lvlText w:val="%2."/>
      <w:lvlJc w:val="left"/>
      <w:pPr>
        <w:tabs>
          <w:tab w:val="num" w:pos="1440"/>
        </w:tabs>
        <w:ind w:left="1440" w:hanging="360"/>
      </w:pPr>
      <w:rPr>
        <w:rFonts w:ascii="Calibri" w:eastAsia="Times New Roman" w:hAnsi="Calibri" w:cs="Calibri" w:hint="default"/>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690"/>
        </w:tabs>
        <w:ind w:left="69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59" w15:restartNumberingAfterBreak="0">
    <w:nsid w:val="78C26FCF"/>
    <w:multiLevelType w:val="multilevel"/>
    <w:tmpl w:val="2FCAD168"/>
    <w:styleLink w:val="List31"/>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60"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imes New Roman" w:hAnsi="Trebuchet MS"/>
        <w:b/>
        <w:color w:val="000000"/>
        <w:position w:val="0"/>
        <w:sz w:val="24"/>
        <w:u w:color="000000"/>
      </w:rPr>
    </w:lvl>
    <w:lvl w:ilvl="1">
      <w:start w:val="1"/>
      <w:numFmt w:val="bullet"/>
      <w:lvlText w:val="o"/>
      <w:lvlJc w:val="left"/>
      <w:pPr>
        <w:tabs>
          <w:tab w:val="num" w:pos="1410"/>
        </w:tabs>
        <w:ind w:left="1410" w:hanging="330"/>
      </w:pPr>
      <w:rPr>
        <w:rFonts w:ascii="Calibri" w:eastAsia="Times New Roman" w:hAnsi="Calibri"/>
        <w:b/>
        <w:color w:val="000000"/>
        <w:position w:val="0"/>
        <w:sz w:val="22"/>
        <w:u w:color="000000"/>
      </w:rPr>
    </w:lvl>
    <w:lvl w:ilvl="2">
      <w:start w:val="1"/>
      <w:numFmt w:val="bullet"/>
      <w:lvlText w:val="▪"/>
      <w:lvlJc w:val="left"/>
      <w:pPr>
        <w:tabs>
          <w:tab w:val="num" w:pos="2130"/>
        </w:tabs>
        <w:ind w:left="2130" w:hanging="330"/>
      </w:pPr>
      <w:rPr>
        <w:rFonts w:ascii="Calibri" w:eastAsia="Times New Roman" w:hAnsi="Calibri"/>
        <w:b/>
        <w:color w:val="000000"/>
        <w:position w:val="0"/>
        <w:sz w:val="22"/>
        <w:u w:color="000000"/>
      </w:rPr>
    </w:lvl>
    <w:lvl w:ilvl="3">
      <w:start w:val="1"/>
      <w:numFmt w:val="bullet"/>
      <w:lvlText w:val="•"/>
      <w:lvlJc w:val="left"/>
      <w:pPr>
        <w:tabs>
          <w:tab w:val="num" w:pos="2850"/>
        </w:tabs>
        <w:ind w:left="2850" w:hanging="330"/>
      </w:pPr>
      <w:rPr>
        <w:rFonts w:ascii="Calibri" w:eastAsia="Times New Roman" w:hAnsi="Calibri"/>
        <w:b/>
        <w:color w:val="000000"/>
        <w:position w:val="0"/>
        <w:sz w:val="22"/>
        <w:u w:color="000000"/>
      </w:rPr>
    </w:lvl>
    <w:lvl w:ilvl="4">
      <w:start w:val="1"/>
      <w:numFmt w:val="bullet"/>
      <w:lvlText w:val="o"/>
      <w:lvlJc w:val="left"/>
      <w:pPr>
        <w:tabs>
          <w:tab w:val="num" w:pos="3570"/>
        </w:tabs>
        <w:ind w:left="3570" w:hanging="330"/>
      </w:pPr>
      <w:rPr>
        <w:rFonts w:ascii="Calibri" w:eastAsia="Times New Roman" w:hAnsi="Calibri"/>
        <w:b/>
        <w:color w:val="000000"/>
        <w:position w:val="0"/>
        <w:sz w:val="22"/>
        <w:u w:color="000000"/>
      </w:rPr>
    </w:lvl>
    <w:lvl w:ilvl="5">
      <w:start w:val="1"/>
      <w:numFmt w:val="bullet"/>
      <w:lvlText w:val="▪"/>
      <w:lvlJc w:val="left"/>
      <w:pPr>
        <w:tabs>
          <w:tab w:val="num" w:pos="4290"/>
        </w:tabs>
        <w:ind w:left="4290" w:hanging="330"/>
      </w:pPr>
      <w:rPr>
        <w:rFonts w:ascii="Calibri" w:eastAsia="Times New Roman" w:hAnsi="Calibri"/>
        <w:b/>
        <w:color w:val="000000"/>
        <w:position w:val="0"/>
        <w:sz w:val="22"/>
        <w:u w:color="000000"/>
      </w:rPr>
    </w:lvl>
    <w:lvl w:ilvl="6">
      <w:start w:val="1"/>
      <w:numFmt w:val="bullet"/>
      <w:lvlText w:val="•"/>
      <w:lvlJc w:val="left"/>
      <w:pPr>
        <w:tabs>
          <w:tab w:val="num" w:pos="5010"/>
        </w:tabs>
        <w:ind w:left="5010" w:hanging="330"/>
      </w:pPr>
      <w:rPr>
        <w:rFonts w:ascii="Calibri" w:eastAsia="Times New Roman" w:hAnsi="Calibri"/>
        <w:b/>
        <w:color w:val="000000"/>
        <w:position w:val="0"/>
        <w:sz w:val="22"/>
        <w:u w:color="000000"/>
      </w:rPr>
    </w:lvl>
    <w:lvl w:ilvl="7">
      <w:start w:val="1"/>
      <w:numFmt w:val="bullet"/>
      <w:lvlText w:val="o"/>
      <w:lvlJc w:val="left"/>
      <w:pPr>
        <w:tabs>
          <w:tab w:val="num" w:pos="5730"/>
        </w:tabs>
        <w:ind w:left="5730" w:hanging="330"/>
      </w:pPr>
      <w:rPr>
        <w:rFonts w:ascii="Calibri" w:eastAsia="Times New Roman" w:hAnsi="Calibri"/>
        <w:b/>
        <w:color w:val="000000"/>
        <w:position w:val="0"/>
        <w:sz w:val="22"/>
        <w:u w:color="000000"/>
      </w:rPr>
    </w:lvl>
    <w:lvl w:ilvl="8">
      <w:start w:val="1"/>
      <w:numFmt w:val="bullet"/>
      <w:lvlText w:val="▪"/>
      <w:lvlJc w:val="left"/>
      <w:pPr>
        <w:tabs>
          <w:tab w:val="num" w:pos="6450"/>
        </w:tabs>
        <w:ind w:left="6450" w:hanging="330"/>
      </w:pPr>
      <w:rPr>
        <w:rFonts w:ascii="Calibri" w:eastAsia="Times New Roman" w:hAnsi="Calibri"/>
        <w:b/>
        <w:color w:val="000000"/>
        <w:position w:val="0"/>
        <w:sz w:val="22"/>
        <w:u w:color="000000"/>
      </w:rPr>
    </w:lvl>
  </w:abstractNum>
  <w:abstractNum w:abstractNumId="61"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62"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63"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64" w15:restartNumberingAfterBreak="0">
    <w:nsid w:val="7CFA696D"/>
    <w:multiLevelType w:val="hybridMultilevel"/>
    <w:tmpl w:val="711480F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imes New Roman" w:hAnsi="Trebuchet MS" w:cs="Trebuchet MS"/>
        <w:color w:val="000000"/>
        <w:position w:val="0"/>
        <w:sz w:val="22"/>
        <w:szCs w:val="22"/>
        <w:u w:color="000000"/>
      </w:rPr>
    </w:lvl>
    <w:lvl w:ilvl="1">
      <w:start w:val="1"/>
      <w:numFmt w:val="lowerLetter"/>
      <w:lvlText w:val="%2."/>
      <w:lvlJc w:val="left"/>
      <w:pPr>
        <w:tabs>
          <w:tab w:val="num" w:pos="1410"/>
        </w:tabs>
        <w:ind w:left="1410" w:hanging="330"/>
      </w:pPr>
      <w:rPr>
        <w:rFonts w:ascii="Calibri" w:eastAsia="Times New Roman" w:hAnsi="Calibri" w:cs="Calibri"/>
        <w:color w:val="000000"/>
        <w:position w:val="0"/>
        <w:sz w:val="22"/>
        <w:szCs w:val="22"/>
        <w:u w:color="000000"/>
      </w:rPr>
    </w:lvl>
    <w:lvl w:ilvl="2">
      <w:start w:val="1"/>
      <w:numFmt w:val="lowerRoman"/>
      <w:lvlText w:val="%3."/>
      <w:lvlJc w:val="left"/>
      <w:pPr>
        <w:tabs>
          <w:tab w:val="num" w:pos="2135"/>
        </w:tabs>
        <w:ind w:left="2135" w:hanging="271"/>
      </w:pPr>
      <w:rPr>
        <w:rFonts w:ascii="Calibri" w:eastAsia="Times New Roman" w:hAnsi="Calibri" w:cs="Calibri"/>
        <w:color w:val="000000"/>
        <w:position w:val="0"/>
        <w:sz w:val="22"/>
        <w:szCs w:val="22"/>
        <w:u w:color="000000"/>
      </w:rPr>
    </w:lvl>
    <w:lvl w:ilvl="3">
      <w:start w:val="1"/>
      <w:numFmt w:val="decimal"/>
      <w:lvlText w:val="%4."/>
      <w:lvlJc w:val="left"/>
      <w:pPr>
        <w:tabs>
          <w:tab w:val="num" w:pos="2850"/>
        </w:tabs>
        <w:ind w:left="2850" w:hanging="330"/>
      </w:pPr>
      <w:rPr>
        <w:rFonts w:ascii="Calibri" w:eastAsia="Times New Roman" w:hAnsi="Calibri" w:cs="Calibri"/>
        <w:color w:val="000000"/>
        <w:position w:val="0"/>
        <w:sz w:val="22"/>
        <w:szCs w:val="22"/>
        <w:u w:color="000000"/>
      </w:rPr>
    </w:lvl>
    <w:lvl w:ilvl="4">
      <w:start w:val="1"/>
      <w:numFmt w:val="lowerLetter"/>
      <w:lvlText w:val="%5."/>
      <w:lvlJc w:val="left"/>
      <w:pPr>
        <w:tabs>
          <w:tab w:val="num" w:pos="3570"/>
        </w:tabs>
        <w:ind w:left="3570" w:hanging="330"/>
      </w:pPr>
      <w:rPr>
        <w:rFonts w:ascii="Calibri" w:eastAsia="Times New Roman" w:hAnsi="Calibri" w:cs="Calibri"/>
        <w:color w:val="000000"/>
        <w:position w:val="0"/>
        <w:sz w:val="22"/>
        <w:szCs w:val="22"/>
        <w:u w:color="000000"/>
      </w:rPr>
    </w:lvl>
    <w:lvl w:ilvl="5">
      <w:start w:val="1"/>
      <w:numFmt w:val="lowerRoman"/>
      <w:lvlText w:val="%6."/>
      <w:lvlJc w:val="left"/>
      <w:pPr>
        <w:tabs>
          <w:tab w:val="num" w:pos="4295"/>
        </w:tabs>
        <w:ind w:left="4295" w:hanging="271"/>
      </w:pPr>
      <w:rPr>
        <w:rFonts w:ascii="Calibri" w:eastAsia="Times New Roman" w:hAnsi="Calibri" w:cs="Calibri"/>
        <w:color w:val="000000"/>
        <w:position w:val="0"/>
        <w:sz w:val="22"/>
        <w:szCs w:val="22"/>
        <w:u w:color="000000"/>
      </w:rPr>
    </w:lvl>
    <w:lvl w:ilvl="6">
      <w:start w:val="1"/>
      <w:numFmt w:val="decimal"/>
      <w:lvlText w:val="%7."/>
      <w:lvlJc w:val="left"/>
      <w:pPr>
        <w:tabs>
          <w:tab w:val="num" w:pos="5010"/>
        </w:tabs>
        <w:ind w:left="5010" w:hanging="330"/>
      </w:pPr>
      <w:rPr>
        <w:rFonts w:ascii="Calibri" w:eastAsia="Times New Roman" w:hAnsi="Calibri" w:cs="Calibri"/>
        <w:color w:val="000000"/>
        <w:position w:val="0"/>
        <w:sz w:val="22"/>
        <w:szCs w:val="22"/>
        <w:u w:color="000000"/>
      </w:rPr>
    </w:lvl>
    <w:lvl w:ilvl="7">
      <w:start w:val="1"/>
      <w:numFmt w:val="lowerLetter"/>
      <w:lvlText w:val="%8."/>
      <w:lvlJc w:val="left"/>
      <w:pPr>
        <w:tabs>
          <w:tab w:val="num" w:pos="5730"/>
        </w:tabs>
        <w:ind w:left="5730" w:hanging="330"/>
      </w:pPr>
      <w:rPr>
        <w:rFonts w:ascii="Calibri" w:eastAsia="Times New Roman" w:hAnsi="Calibri" w:cs="Calibri"/>
        <w:color w:val="000000"/>
        <w:position w:val="0"/>
        <w:sz w:val="22"/>
        <w:szCs w:val="22"/>
        <w:u w:color="000000"/>
      </w:rPr>
    </w:lvl>
    <w:lvl w:ilvl="8">
      <w:start w:val="1"/>
      <w:numFmt w:val="lowerRoman"/>
      <w:lvlText w:val="%9."/>
      <w:lvlJc w:val="left"/>
      <w:pPr>
        <w:tabs>
          <w:tab w:val="num" w:pos="6455"/>
        </w:tabs>
        <w:ind w:left="6455" w:hanging="271"/>
      </w:pPr>
      <w:rPr>
        <w:rFonts w:ascii="Calibri" w:eastAsia="Times New Roman" w:hAnsi="Calibri" w:cs="Calibri"/>
        <w:color w:val="000000"/>
        <w:position w:val="0"/>
        <w:sz w:val="22"/>
        <w:szCs w:val="22"/>
        <w:u w:color="000000"/>
      </w:rPr>
    </w:lvl>
  </w:abstractNum>
  <w:abstractNum w:abstractNumId="66"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imes New Roman" w:hAnsi="Trebuchet MS" w:cs="Trebuchet MS"/>
        <w:b/>
        <w:bCs/>
        <w:color w:val="000000"/>
        <w:position w:val="0"/>
        <w:sz w:val="22"/>
        <w:szCs w:val="22"/>
        <w:u w:val="single" w:color="000000"/>
      </w:rPr>
    </w:lvl>
    <w:lvl w:ilvl="1">
      <w:start w:val="1"/>
      <w:numFmt w:val="lowerLetter"/>
      <w:lvlText w:val="%2."/>
      <w:lvlJc w:val="left"/>
      <w:pPr>
        <w:tabs>
          <w:tab w:val="num" w:pos="1410"/>
        </w:tabs>
        <w:ind w:left="1410" w:hanging="330"/>
      </w:pPr>
      <w:rPr>
        <w:rFonts w:ascii="Calibri" w:eastAsia="Times New Roman" w:hAnsi="Calibri" w:cs="Calibri"/>
        <w:b/>
        <w:bCs/>
        <w:color w:val="000000"/>
        <w:position w:val="0"/>
        <w:sz w:val="22"/>
        <w:szCs w:val="22"/>
        <w:u w:val="single" w:color="000000"/>
      </w:rPr>
    </w:lvl>
    <w:lvl w:ilvl="2">
      <w:start w:val="1"/>
      <w:numFmt w:val="lowerRoman"/>
      <w:lvlText w:val="%3."/>
      <w:lvlJc w:val="left"/>
      <w:pPr>
        <w:tabs>
          <w:tab w:val="num" w:pos="2135"/>
        </w:tabs>
        <w:ind w:left="2135" w:hanging="271"/>
      </w:pPr>
      <w:rPr>
        <w:rFonts w:ascii="Calibri" w:eastAsia="Times New Roman" w:hAnsi="Calibri" w:cs="Calibri"/>
        <w:b/>
        <w:bCs/>
        <w:color w:val="000000"/>
        <w:position w:val="0"/>
        <w:sz w:val="22"/>
        <w:szCs w:val="22"/>
        <w:u w:val="single" w:color="000000"/>
      </w:rPr>
    </w:lvl>
    <w:lvl w:ilvl="3">
      <w:start w:val="1"/>
      <w:numFmt w:val="decimal"/>
      <w:lvlText w:val="%4."/>
      <w:lvlJc w:val="left"/>
      <w:pPr>
        <w:tabs>
          <w:tab w:val="num" w:pos="2850"/>
        </w:tabs>
        <w:ind w:left="2850" w:hanging="330"/>
      </w:pPr>
      <w:rPr>
        <w:rFonts w:ascii="Calibri" w:eastAsia="Times New Roman" w:hAnsi="Calibri" w:cs="Calibri"/>
        <w:b/>
        <w:bCs/>
        <w:color w:val="000000"/>
        <w:position w:val="0"/>
        <w:sz w:val="22"/>
        <w:szCs w:val="22"/>
        <w:u w:val="single" w:color="000000"/>
      </w:rPr>
    </w:lvl>
    <w:lvl w:ilvl="4">
      <w:start w:val="1"/>
      <w:numFmt w:val="lowerLetter"/>
      <w:lvlText w:val="%5."/>
      <w:lvlJc w:val="left"/>
      <w:pPr>
        <w:tabs>
          <w:tab w:val="num" w:pos="3570"/>
        </w:tabs>
        <w:ind w:left="3570" w:hanging="330"/>
      </w:pPr>
      <w:rPr>
        <w:rFonts w:ascii="Calibri" w:eastAsia="Times New Roman" w:hAnsi="Calibri" w:cs="Calibri"/>
        <w:b/>
        <w:bCs/>
        <w:color w:val="000000"/>
        <w:position w:val="0"/>
        <w:sz w:val="22"/>
        <w:szCs w:val="22"/>
        <w:u w:val="single" w:color="000000"/>
      </w:rPr>
    </w:lvl>
    <w:lvl w:ilvl="5">
      <w:start w:val="1"/>
      <w:numFmt w:val="lowerRoman"/>
      <w:lvlText w:val="%6."/>
      <w:lvlJc w:val="left"/>
      <w:pPr>
        <w:tabs>
          <w:tab w:val="num" w:pos="4295"/>
        </w:tabs>
        <w:ind w:left="4295" w:hanging="271"/>
      </w:pPr>
      <w:rPr>
        <w:rFonts w:ascii="Calibri" w:eastAsia="Times New Roman" w:hAnsi="Calibri" w:cs="Calibri"/>
        <w:b/>
        <w:bCs/>
        <w:color w:val="000000"/>
        <w:position w:val="0"/>
        <w:sz w:val="22"/>
        <w:szCs w:val="22"/>
        <w:u w:val="single" w:color="000000"/>
      </w:rPr>
    </w:lvl>
    <w:lvl w:ilvl="6">
      <w:start w:val="1"/>
      <w:numFmt w:val="decimal"/>
      <w:lvlText w:val="%7."/>
      <w:lvlJc w:val="left"/>
      <w:pPr>
        <w:tabs>
          <w:tab w:val="num" w:pos="5010"/>
        </w:tabs>
        <w:ind w:left="5010" w:hanging="330"/>
      </w:pPr>
      <w:rPr>
        <w:rFonts w:ascii="Calibri" w:eastAsia="Times New Roman" w:hAnsi="Calibri" w:cs="Calibri"/>
        <w:b/>
        <w:bCs/>
        <w:color w:val="000000"/>
        <w:position w:val="0"/>
        <w:sz w:val="22"/>
        <w:szCs w:val="22"/>
        <w:u w:val="single" w:color="000000"/>
      </w:rPr>
    </w:lvl>
    <w:lvl w:ilvl="7">
      <w:start w:val="1"/>
      <w:numFmt w:val="lowerLetter"/>
      <w:lvlText w:val="%8."/>
      <w:lvlJc w:val="left"/>
      <w:pPr>
        <w:tabs>
          <w:tab w:val="num" w:pos="5730"/>
        </w:tabs>
        <w:ind w:left="5730" w:hanging="330"/>
      </w:pPr>
      <w:rPr>
        <w:rFonts w:ascii="Calibri" w:eastAsia="Times New Roman" w:hAnsi="Calibri" w:cs="Calibri"/>
        <w:b/>
        <w:bCs/>
        <w:color w:val="000000"/>
        <w:position w:val="0"/>
        <w:sz w:val="22"/>
        <w:szCs w:val="22"/>
        <w:u w:val="single" w:color="000000"/>
      </w:rPr>
    </w:lvl>
    <w:lvl w:ilvl="8">
      <w:start w:val="1"/>
      <w:numFmt w:val="lowerRoman"/>
      <w:lvlText w:val="%9."/>
      <w:lvlJc w:val="left"/>
      <w:pPr>
        <w:tabs>
          <w:tab w:val="num" w:pos="6455"/>
        </w:tabs>
        <w:ind w:left="6455" w:hanging="271"/>
      </w:pPr>
      <w:rPr>
        <w:rFonts w:ascii="Calibri" w:eastAsia="Times New Roman" w:hAnsi="Calibri" w:cs="Calibri"/>
        <w:b/>
        <w:bCs/>
        <w:color w:val="000000"/>
        <w:position w:val="0"/>
        <w:sz w:val="22"/>
        <w:szCs w:val="22"/>
        <w:u w:val="single" w:color="000000"/>
      </w:rPr>
    </w:lvl>
  </w:abstractNum>
  <w:num w:numId="1">
    <w:abstractNumId w:val="30"/>
    <w:lvlOverride w:ilvl="0">
      <w:lvl w:ilvl="0">
        <w:start w:val="1"/>
        <w:numFmt w:val="upperRoman"/>
        <w:lvlText w:val="%1."/>
        <w:lvlJc w:val="left"/>
        <w:pPr>
          <w:tabs>
            <w:tab w:val="num" w:pos="1080"/>
          </w:tabs>
          <w:ind w:left="1080" w:hanging="720"/>
        </w:pPr>
        <w:rPr>
          <w:rFonts w:ascii="Calibri" w:eastAsia="Times New Roman" w:hAnsi="Calibri" w:cs="Calibri" w:hint="default"/>
          <w:b/>
          <w:bCs/>
          <w:color w:val="000000"/>
          <w:position w:val="0"/>
          <w:sz w:val="22"/>
          <w:szCs w:val="22"/>
          <w:u w:color="000000"/>
        </w:rPr>
      </w:lvl>
    </w:lvlOverride>
  </w:num>
  <w:num w:numId="2">
    <w:abstractNumId w:val="4"/>
  </w:num>
  <w:num w:numId="3">
    <w:abstractNumId w:val="45"/>
    <w:lvlOverride w:ilvl="0">
      <w:lvl w:ilvl="0">
        <w:start w:val="1"/>
        <w:numFmt w:val="upperLetter"/>
        <w:lvlText w:val="%1."/>
        <w:lvlJc w:val="left"/>
        <w:pPr>
          <w:tabs>
            <w:tab w:val="num" w:pos="720"/>
          </w:tabs>
          <w:ind w:left="720" w:hanging="360"/>
        </w:pPr>
        <w:rPr>
          <w:rFonts w:ascii="Calibri" w:eastAsia="Times New Roman" w:hAnsi="Calibri" w:cs="Calibri" w:hint="default"/>
          <w:b/>
          <w:bCs/>
          <w:color w:val="000000"/>
          <w:position w:val="0"/>
          <w:sz w:val="22"/>
          <w:szCs w:val="22"/>
          <w:u w:color="000000"/>
        </w:rPr>
      </w:lvl>
    </w:lvlOverride>
  </w:num>
  <w:num w:numId="4">
    <w:abstractNumId w:val="22"/>
    <w:lvlOverride w:ilvl="0">
      <w:lvl w:ilvl="0">
        <w:start w:val="1"/>
        <w:numFmt w:val="decimal"/>
        <w:lvlText w:val="%1."/>
        <w:lvlJc w:val="left"/>
        <w:pPr>
          <w:tabs>
            <w:tab w:val="num" w:pos="720"/>
          </w:tabs>
          <w:ind w:left="720" w:hanging="360"/>
        </w:pPr>
        <w:rPr>
          <w:rFonts w:ascii="Calibri" w:eastAsia="Times New Roman" w:hAnsi="Calibri" w:cs="Calibri" w:hint="default"/>
          <w:b/>
          <w:bCs/>
          <w:color w:val="000000"/>
          <w:position w:val="0"/>
          <w:sz w:val="22"/>
          <w:szCs w:val="22"/>
          <w:u w:color="000000"/>
        </w:rPr>
      </w:lvl>
    </w:lvlOverride>
  </w:num>
  <w:num w:numId="5">
    <w:abstractNumId w:val="6"/>
  </w:num>
  <w:num w:numId="6">
    <w:abstractNumId w:val="49"/>
    <w:lvlOverride w:ilvl="0">
      <w:lvl w:ilvl="0">
        <w:start w:val="1"/>
        <w:numFmt w:val="decimal"/>
        <w:lvlText w:val="%1."/>
        <w:lvlJc w:val="left"/>
        <w:pPr>
          <w:tabs>
            <w:tab w:val="num" w:pos="720"/>
          </w:tabs>
          <w:ind w:left="720" w:hanging="360"/>
        </w:pPr>
        <w:rPr>
          <w:rFonts w:ascii="Calibri" w:eastAsia="Times New Roman" w:hAnsi="Calibri" w:cs="Trebuchet MS" w:hint="default"/>
          <w:b/>
          <w:bCs/>
          <w:i w:val="0"/>
          <w:color w:val="000000"/>
          <w:position w:val="0"/>
          <w:sz w:val="22"/>
          <w:szCs w:val="22"/>
          <w:u w:color="000000"/>
        </w:rPr>
      </w:lvl>
    </w:lvlOverride>
  </w:num>
  <w:num w:numId="7">
    <w:abstractNumId w:val="60"/>
  </w:num>
  <w:num w:numId="8">
    <w:abstractNumId w:val="23"/>
  </w:num>
  <w:num w:numId="9">
    <w:abstractNumId w:val="51"/>
  </w:num>
  <w:num w:numId="10">
    <w:abstractNumId w:val="14"/>
    <w:lvlOverride w:ilvl="0">
      <w:lvl w:ilvl="0">
        <w:start w:val="1"/>
        <w:numFmt w:val="upperLetter"/>
        <w:lvlText w:val="%1."/>
        <w:lvlJc w:val="left"/>
        <w:pPr>
          <w:tabs>
            <w:tab w:val="num" w:pos="1080"/>
          </w:tabs>
          <w:ind w:left="1080" w:hanging="720"/>
        </w:pPr>
        <w:rPr>
          <w:rFonts w:ascii="Calibri" w:eastAsia="Times New Roman" w:hAnsi="Calibri" w:cs="Calibri" w:hint="default"/>
          <w:b/>
          <w:bCs/>
          <w:color w:val="000000"/>
          <w:position w:val="0"/>
          <w:sz w:val="22"/>
          <w:szCs w:val="22"/>
          <w:u w:color="000000"/>
        </w:rPr>
      </w:lvl>
    </w:lvlOverride>
  </w:num>
  <w:num w:numId="11">
    <w:abstractNumId w:val="29"/>
  </w:num>
  <w:num w:numId="12">
    <w:abstractNumId w:val="58"/>
  </w:num>
  <w:num w:numId="13">
    <w:abstractNumId w:val="36"/>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14">
    <w:abstractNumId w:val="9"/>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15">
    <w:abstractNumId w:val="8"/>
    <w:lvlOverride w:ilvl="0">
      <w:lvl w:ilvl="0">
        <w:start w:val="2"/>
        <w:numFmt w:val="decimal"/>
        <w:lvlText w:val="%1."/>
        <w:lvlJc w:val="left"/>
        <w:pPr>
          <w:tabs>
            <w:tab w:val="num" w:pos="720"/>
          </w:tabs>
          <w:ind w:left="720" w:hanging="360"/>
        </w:pPr>
        <w:rPr>
          <w:rFonts w:ascii="Calibri" w:eastAsia="Times New Roman" w:hAnsi="Calibri" w:cs="Calibri" w:hint="default"/>
          <w:b/>
          <w:bCs/>
          <w:color w:val="000000"/>
          <w:position w:val="0"/>
          <w:sz w:val="22"/>
          <w:szCs w:val="22"/>
          <w:u w:color="000000"/>
        </w:rPr>
      </w:lvl>
    </w:lvlOverride>
  </w:num>
  <w:num w:numId="16">
    <w:abstractNumId w:val="19"/>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17">
    <w:abstractNumId w:val="24"/>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18">
    <w:abstractNumId w:val="11"/>
    <w:lvlOverride w:ilvl="0">
      <w:lvl w:ilvl="0">
        <w:start w:val="2"/>
        <w:numFmt w:val="upperLetter"/>
        <w:lvlText w:val="%1."/>
        <w:lvlJc w:val="left"/>
        <w:pPr>
          <w:tabs>
            <w:tab w:val="num" w:pos="720"/>
          </w:tabs>
          <w:ind w:left="720" w:hanging="360"/>
        </w:pPr>
        <w:rPr>
          <w:rFonts w:ascii="Calibri" w:eastAsia="Times New Roman" w:hAnsi="Calibri" w:cs="Calibri" w:hint="default"/>
          <w:b/>
          <w:bCs/>
          <w:color w:val="000000"/>
          <w:position w:val="0"/>
          <w:sz w:val="22"/>
          <w:szCs w:val="22"/>
          <w:u w:color="000000"/>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start w:val="1"/>
        <w:numFmt w:val="decimal"/>
        <w:lvlText w:val="%4."/>
        <w:lvlJc w:val="left"/>
        <w:pPr>
          <w:tabs>
            <w:tab w:val="num" w:pos="2850"/>
          </w:tabs>
          <w:ind w:left="2850" w:hanging="330"/>
        </w:pPr>
        <w:rPr>
          <w:rFonts w:ascii="Calibri" w:eastAsia="Times New Roman" w:hAnsi="Calibri" w:cs="Calibri"/>
          <w:b w:val="0"/>
          <w:bCs/>
          <w:color w:val="000000"/>
          <w:position w:val="0"/>
          <w:sz w:val="22"/>
          <w:szCs w:val="22"/>
          <w:u w:color="000000"/>
        </w:rPr>
      </w:lvl>
    </w:lvlOverride>
  </w:num>
  <w:num w:numId="19">
    <w:abstractNumId w:val="55"/>
    <w:lvlOverride w:ilvl="0">
      <w:lvl w:ilvl="0">
        <w:start w:val="2"/>
        <w:numFmt w:val="decimal"/>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20">
    <w:abstractNumId w:val="7"/>
  </w:num>
  <w:num w:numId="21">
    <w:abstractNumId w:val="39"/>
    <w:lvlOverride w:ilvl="0">
      <w:lvl w:ilvl="0">
        <w:start w:val="1"/>
        <w:numFmt w:val="lowerLetter"/>
        <w:lvlText w:val="%1."/>
        <w:lvlJc w:val="left"/>
        <w:pPr>
          <w:ind w:left="720" w:hanging="360"/>
        </w:pPr>
        <w:rPr>
          <w:rFonts w:cs="Times New Roman"/>
        </w:rPr>
      </w:lvl>
    </w:lvlOverride>
    <w:lvlOverride w:ilvl="1">
      <w:lvl w:ilvl="1" w:tentative="1">
        <w:start w:val="1"/>
        <w:numFmt w:val="lowerLetter"/>
        <w:lvlText w:val="%2."/>
        <w:lvlJc w:val="left"/>
        <w:pPr>
          <w:ind w:left="1440" w:hanging="360"/>
        </w:pPr>
        <w:rPr>
          <w:rFonts w:cs="Times New Roman"/>
        </w:rPr>
      </w:lvl>
    </w:lvlOverride>
    <w:lvlOverride w:ilvl="2">
      <w:lvl w:ilvl="2" w:tentative="1">
        <w:start w:val="1"/>
        <w:numFmt w:val="lowerRoman"/>
        <w:lvlText w:val="%3."/>
        <w:lvlJc w:val="right"/>
        <w:pPr>
          <w:ind w:left="2160" w:hanging="180"/>
        </w:pPr>
        <w:rPr>
          <w:rFonts w:cs="Times New Roman"/>
        </w:rPr>
      </w:lvl>
    </w:lvlOverride>
    <w:lvlOverride w:ilvl="3">
      <w:lvl w:ilvl="3" w:tentative="1">
        <w:start w:val="1"/>
        <w:numFmt w:val="decimal"/>
        <w:lvlText w:val="%4."/>
        <w:lvlJc w:val="left"/>
        <w:pPr>
          <w:ind w:left="2880" w:hanging="360"/>
        </w:pPr>
        <w:rPr>
          <w:rFonts w:cs="Times New Roman"/>
        </w:rPr>
      </w:lvl>
    </w:lvlOverride>
    <w:lvlOverride w:ilvl="4">
      <w:lvl w:ilvl="4" w:tentative="1">
        <w:start w:val="1"/>
        <w:numFmt w:val="lowerLetter"/>
        <w:lvlText w:val="%5."/>
        <w:lvlJc w:val="left"/>
        <w:pPr>
          <w:ind w:left="3600" w:hanging="360"/>
        </w:pPr>
        <w:rPr>
          <w:rFonts w:cs="Times New Roman"/>
        </w:rPr>
      </w:lvl>
    </w:lvlOverride>
    <w:lvlOverride w:ilvl="5">
      <w:lvl w:ilvl="5" w:tentative="1">
        <w:start w:val="1"/>
        <w:numFmt w:val="lowerRoman"/>
        <w:lvlText w:val="%6."/>
        <w:lvlJc w:val="right"/>
        <w:pPr>
          <w:ind w:left="4320" w:hanging="180"/>
        </w:pPr>
        <w:rPr>
          <w:rFonts w:cs="Times New Roman"/>
        </w:rPr>
      </w:lvl>
    </w:lvlOverride>
    <w:lvlOverride w:ilvl="6">
      <w:lvl w:ilvl="6" w:tentative="1">
        <w:start w:val="1"/>
        <w:numFmt w:val="decimal"/>
        <w:lvlText w:val="%7."/>
        <w:lvlJc w:val="left"/>
        <w:pPr>
          <w:ind w:left="5040" w:hanging="360"/>
        </w:pPr>
        <w:rPr>
          <w:rFonts w:cs="Times New Roman"/>
        </w:rPr>
      </w:lvl>
    </w:lvlOverride>
    <w:lvlOverride w:ilvl="7">
      <w:lvl w:ilvl="7" w:tentative="1">
        <w:start w:val="1"/>
        <w:numFmt w:val="lowerLetter"/>
        <w:lvlText w:val="%8."/>
        <w:lvlJc w:val="left"/>
        <w:pPr>
          <w:ind w:left="5760" w:hanging="360"/>
        </w:pPr>
        <w:rPr>
          <w:rFonts w:cs="Times New Roman"/>
        </w:rPr>
      </w:lvl>
    </w:lvlOverride>
    <w:lvlOverride w:ilvl="8">
      <w:lvl w:ilvl="8" w:tentative="1">
        <w:start w:val="1"/>
        <w:numFmt w:val="lowerRoman"/>
        <w:lvlText w:val="%9."/>
        <w:lvlJc w:val="right"/>
        <w:pPr>
          <w:ind w:left="6480" w:hanging="180"/>
        </w:pPr>
        <w:rPr>
          <w:rFonts w:cs="Times New Roman"/>
        </w:rPr>
      </w:lvl>
    </w:lvlOverride>
  </w:num>
  <w:num w:numId="22">
    <w:abstractNumId w:val="25"/>
    <w:lvlOverride w:ilvl="0">
      <w:lvl w:ilvl="0">
        <w:start w:val="1"/>
        <w:numFmt w:val="decimal"/>
        <w:lvlText w:val="%1."/>
        <w:lvlJc w:val="left"/>
        <w:pPr>
          <w:ind w:left="1440" w:hanging="360"/>
        </w:pPr>
        <w:rPr>
          <w:rFonts w:cs="Times New Roman" w:hint="default"/>
          <w:color w:val="auto"/>
        </w:rPr>
      </w:lvl>
    </w:lvlOverride>
    <w:lvlOverride w:ilvl="1">
      <w:lvl w:ilvl="1">
        <w:start w:val="1"/>
        <w:numFmt w:val="lowerLetter"/>
        <w:lvlText w:val="%2."/>
        <w:lvlJc w:val="left"/>
        <w:pPr>
          <w:ind w:left="2160" w:hanging="360"/>
        </w:pPr>
        <w:rPr>
          <w:rFonts w:cs="Times New Roman"/>
        </w:rPr>
      </w:lvl>
    </w:lvlOverride>
    <w:lvlOverride w:ilvl="2">
      <w:lvl w:ilvl="2" w:tentative="1">
        <w:start w:val="1"/>
        <w:numFmt w:val="lowerRoman"/>
        <w:lvlText w:val="%3."/>
        <w:lvlJc w:val="right"/>
        <w:pPr>
          <w:ind w:left="2880" w:hanging="180"/>
        </w:pPr>
        <w:rPr>
          <w:rFonts w:cs="Times New Roman"/>
        </w:rPr>
      </w:lvl>
    </w:lvlOverride>
    <w:lvlOverride w:ilvl="3">
      <w:lvl w:ilvl="3" w:tentative="1">
        <w:start w:val="1"/>
        <w:numFmt w:val="decimal"/>
        <w:lvlText w:val="%4."/>
        <w:lvlJc w:val="left"/>
        <w:pPr>
          <w:ind w:left="3600" w:hanging="360"/>
        </w:pPr>
        <w:rPr>
          <w:rFonts w:cs="Times New Roman"/>
        </w:rPr>
      </w:lvl>
    </w:lvlOverride>
    <w:lvlOverride w:ilvl="4">
      <w:lvl w:ilvl="4" w:tentative="1">
        <w:start w:val="1"/>
        <w:numFmt w:val="lowerLetter"/>
        <w:lvlText w:val="%5."/>
        <w:lvlJc w:val="left"/>
        <w:pPr>
          <w:ind w:left="4320" w:hanging="360"/>
        </w:pPr>
        <w:rPr>
          <w:rFonts w:cs="Times New Roman"/>
        </w:rPr>
      </w:lvl>
    </w:lvlOverride>
    <w:lvlOverride w:ilvl="5">
      <w:lvl w:ilvl="5" w:tentative="1">
        <w:start w:val="1"/>
        <w:numFmt w:val="lowerRoman"/>
        <w:lvlText w:val="%6."/>
        <w:lvlJc w:val="right"/>
        <w:pPr>
          <w:ind w:left="5040" w:hanging="180"/>
        </w:pPr>
        <w:rPr>
          <w:rFonts w:cs="Times New Roman"/>
        </w:rPr>
      </w:lvl>
    </w:lvlOverride>
    <w:lvlOverride w:ilvl="6">
      <w:lvl w:ilvl="6" w:tentative="1">
        <w:start w:val="1"/>
        <w:numFmt w:val="decimal"/>
        <w:lvlText w:val="%7."/>
        <w:lvlJc w:val="left"/>
        <w:pPr>
          <w:ind w:left="5760" w:hanging="360"/>
        </w:pPr>
        <w:rPr>
          <w:rFonts w:cs="Times New Roman"/>
        </w:rPr>
      </w:lvl>
    </w:lvlOverride>
    <w:lvlOverride w:ilvl="7">
      <w:lvl w:ilvl="7" w:tentative="1">
        <w:start w:val="1"/>
        <w:numFmt w:val="lowerLetter"/>
        <w:lvlText w:val="%8."/>
        <w:lvlJc w:val="left"/>
        <w:pPr>
          <w:ind w:left="6480" w:hanging="360"/>
        </w:pPr>
        <w:rPr>
          <w:rFonts w:cs="Times New Roman"/>
        </w:rPr>
      </w:lvl>
    </w:lvlOverride>
    <w:lvlOverride w:ilvl="8">
      <w:lvl w:ilvl="8" w:tentative="1">
        <w:start w:val="1"/>
        <w:numFmt w:val="lowerRoman"/>
        <w:lvlText w:val="%9."/>
        <w:lvlJc w:val="right"/>
        <w:pPr>
          <w:ind w:left="7200" w:hanging="180"/>
        </w:pPr>
        <w:rPr>
          <w:rFonts w:cs="Times New Roman"/>
        </w:rPr>
      </w:lvl>
    </w:lvlOverride>
  </w:num>
  <w:num w:numId="23">
    <w:abstractNumId w:val="10"/>
    <w:lvlOverride w:ilvl="0">
      <w:lvl w:ilvl="0">
        <w:start w:val="6"/>
        <w:numFmt w:val="decimal"/>
        <w:lvlText w:val="%1."/>
        <w:lvlJc w:val="left"/>
        <w:pPr>
          <w:tabs>
            <w:tab w:val="num" w:pos="360"/>
          </w:tabs>
          <w:ind w:left="360" w:hanging="360"/>
        </w:pPr>
        <w:rPr>
          <w:rFonts w:ascii="Calibri" w:eastAsia="Times New Roman" w:hAnsi="Calibri" w:cs="Calibri" w:hint="default"/>
          <w:color w:val="000000"/>
          <w:position w:val="0"/>
          <w:sz w:val="22"/>
          <w:szCs w:val="22"/>
          <w:u w:color="000000"/>
        </w:rPr>
      </w:lvl>
    </w:lvlOverride>
  </w:num>
  <w:num w:numId="24">
    <w:abstractNumId w:val="48"/>
    <w:lvlOverride w:ilvl="0">
      <w:lvl w:ilvl="0">
        <w:start w:val="1"/>
        <w:numFmt w:val="decimal"/>
        <w:lvlText w:val="%1."/>
        <w:lvlJc w:val="left"/>
        <w:pPr>
          <w:tabs>
            <w:tab w:val="num" w:pos="720"/>
          </w:tabs>
          <w:ind w:left="720" w:hanging="360"/>
        </w:pPr>
        <w:rPr>
          <w:rFonts w:ascii="Calibri" w:eastAsia="Times New Roman" w:hAnsi="Calibri" w:cs="Calibri" w:hint="default"/>
          <w:b/>
          <w:bCs/>
          <w:color w:val="000000"/>
          <w:position w:val="0"/>
          <w:sz w:val="22"/>
          <w:szCs w:val="22"/>
          <w:u w:val="none"/>
        </w:rPr>
      </w:lvl>
    </w:lvlOverride>
  </w:num>
  <w:num w:numId="25">
    <w:abstractNumId w:val="2"/>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26">
    <w:abstractNumId w:val="65"/>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27">
    <w:abstractNumId w:val="50"/>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28">
    <w:abstractNumId w:val="28"/>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29">
    <w:abstractNumId w:val="34"/>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30">
    <w:abstractNumId w:val="31"/>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31">
    <w:abstractNumId w:val="59"/>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32">
    <w:abstractNumId w:val="63"/>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33">
    <w:abstractNumId w:val="20"/>
    <w:lvlOverride w:ilvl="0">
      <w:lvl w:ilvl="0">
        <w:start w:val="1"/>
        <w:numFmt w:val="lowerLetter"/>
        <w:lvlText w:val="%1."/>
        <w:lvlJc w:val="left"/>
        <w:pPr>
          <w:ind w:left="720" w:hanging="360"/>
        </w:pPr>
        <w:rPr>
          <w:rFonts w:cs="Times New Roman"/>
        </w:rPr>
      </w:lvl>
    </w:lvlOverride>
    <w:lvlOverride w:ilvl="1">
      <w:lvl w:ilvl="1" w:tentative="1">
        <w:start w:val="1"/>
        <w:numFmt w:val="lowerLetter"/>
        <w:lvlText w:val="%2."/>
        <w:lvlJc w:val="left"/>
        <w:pPr>
          <w:ind w:left="1440" w:hanging="360"/>
        </w:pPr>
        <w:rPr>
          <w:rFonts w:cs="Times New Roman"/>
        </w:rPr>
      </w:lvl>
    </w:lvlOverride>
    <w:lvlOverride w:ilvl="2">
      <w:lvl w:ilvl="2" w:tentative="1">
        <w:start w:val="1"/>
        <w:numFmt w:val="lowerRoman"/>
        <w:lvlText w:val="%3."/>
        <w:lvlJc w:val="right"/>
        <w:pPr>
          <w:ind w:left="2160" w:hanging="180"/>
        </w:pPr>
        <w:rPr>
          <w:rFonts w:cs="Times New Roman"/>
        </w:rPr>
      </w:lvl>
    </w:lvlOverride>
    <w:lvlOverride w:ilvl="3">
      <w:lvl w:ilvl="3" w:tentative="1">
        <w:start w:val="1"/>
        <w:numFmt w:val="decimal"/>
        <w:lvlText w:val="%4."/>
        <w:lvlJc w:val="left"/>
        <w:pPr>
          <w:ind w:left="2880" w:hanging="360"/>
        </w:pPr>
        <w:rPr>
          <w:rFonts w:cs="Times New Roman"/>
        </w:rPr>
      </w:lvl>
    </w:lvlOverride>
    <w:lvlOverride w:ilvl="4">
      <w:lvl w:ilvl="4" w:tentative="1">
        <w:start w:val="1"/>
        <w:numFmt w:val="lowerLetter"/>
        <w:lvlText w:val="%5."/>
        <w:lvlJc w:val="left"/>
        <w:pPr>
          <w:ind w:left="3600" w:hanging="360"/>
        </w:pPr>
        <w:rPr>
          <w:rFonts w:cs="Times New Roman"/>
        </w:rPr>
      </w:lvl>
    </w:lvlOverride>
    <w:lvlOverride w:ilvl="5">
      <w:lvl w:ilvl="5" w:tentative="1">
        <w:start w:val="1"/>
        <w:numFmt w:val="lowerRoman"/>
        <w:lvlText w:val="%6."/>
        <w:lvlJc w:val="right"/>
        <w:pPr>
          <w:ind w:left="4320" w:hanging="180"/>
        </w:pPr>
        <w:rPr>
          <w:rFonts w:cs="Times New Roman"/>
        </w:rPr>
      </w:lvl>
    </w:lvlOverride>
    <w:lvlOverride w:ilvl="6">
      <w:lvl w:ilvl="6" w:tentative="1">
        <w:start w:val="1"/>
        <w:numFmt w:val="decimal"/>
        <w:lvlText w:val="%7."/>
        <w:lvlJc w:val="left"/>
        <w:pPr>
          <w:ind w:left="5040" w:hanging="360"/>
        </w:pPr>
        <w:rPr>
          <w:rFonts w:cs="Times New Roman"/>
        </w:rPr>
      </w:lvl>
    </w:lvlOverride>
    <w:lvlOverride w:ilvl="7">
      <w:lvl w:ilvl="7" w:tentative="1">
        <w:start w:val="1"/>
        <w:numFmt w:val="lowerLetter"/>
        <w:lvlText w:val="%8."/>
        <w:lvlJc w:val="left"/>
        <w:pPr>
          <w:ind w:left="5760" w:hanging="360"/>
        </w:pPr>
        <w:rPr>
          <w:rFonts w:cs="Times New Roman"/>
        </w:rPr>
      </w:lvl>
    </w:lvlOverride>
    <w:lvlOverride w:ilvl="8">
      <w:lvl w:ilvl="8" w:tentative="1">
        <w:start w:val="1"/>
        <w:numFmt w:val="lowerRoman"/>
        <w:lvlText w:val="%9."/>
        <w:lvlJc w:val="right"/>
        <w:pPr>
          <w:ind w:left="6480" w:hanging="180"/>
        </w:pPr>
        <w:rPr>
          <w:rFonts w:cs="Times New Roman"/>
        </w:rPr>
      </w:lvl>
    </w:lvlOverride>
  </w:num>
  <w:num w:numId="34">
    <w:abstractNumId w:val="41"/>
    <w:lvlOverride w:ilvl="0">
      <w:lvl w:ilvl="0">
        <w:start w:val="1"/>
        <w:numFmt w:val="decimal"/>
        <w:lvlText w:val="%1."/>
        <w:lvlJc w:val="left"/>
        <w:pPr>
          <w:tabs>
            <w:tab w:val="num" w:pos="720"/>
          </w:tabs>
          <w:ind w:left="720" w:hanging="360"/>
        </w:pPr>
        <w:rPr>
          <w:rFonts w:ascii="Calibri" w:eastAsia="Times New Roman" w:hAnsi="Calibri" w:cs="Calibri" w:hint="default"/>
          <w:b/>
          <w:bCs/>
          <w:color w:val="000000"/>
          <w:position w:val="0"/>
          <w:sz w:val="22"/>
          <w:szCs w:val="22"/>
          <w:u w:val="none"/>
        </w:rPr>
      </w:lvl>
    </w:lvlOverride>
  </w:num>
  <w:num w:numId="35">
    <w:abstractNumId w:val="18"/>
  </w:num>
  <w:num w:numId="36">
    <w:abstractNumId w:val="1"/>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37">
    <w:abstractNumId w:val="62"/>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38">
    <w:abstractNumId w:val="35"/>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39">
    <w:abstractNumId w:val="61"/>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40">
    <w:abstractNumId w:val="13"/>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41">
    <w:abstractNumId w:val="57"/>
    <w:lvlOverride w:ilvl="0">
      <w:lvl w:ilvl="0">
        <w:start w:val="1"/>
        <w:numFmt w:val="lowerLetter"/>
        <w:lvlText w:val="%1."/>
        <w:lvlJc w:val="left"/>
        <w:pPr>
          <w:ind w:left="720" w:hanging="360"/>
        </w:pPr>
        <w:rPr>
          <w:rFonts w:cs="Times New Roman"/>
        </w:rPr>
      </w:lvl>
    </w:lvlOverride>
    <w:lvlOverride w:ilvl="1">
      <w:lvl w:ilvl="1" w:tentative="1">
        <w:start w:val="1"/>
        <w:numFmt w:val="lowerLetter"/>
        <w:lvlText w:val="%2."/>
        <w:lvlJc w:val="left"/>
        <w:pPr>
          <w:ind w:left="1440" w:hanging="360"/>
        </w:pPr>
        <w:rPr>
          <w:rFonts w:cs="Times New Roman"/>
        </w:rPr>
      </w:lvl>
    </w:lvlOverride>
    <w:lvlOverride w:ilvl="2">
      <w:lvl w:ilvl="2" w:tentative="1">
        <w:start w:val="1"/>
        <w:numFmt w:val="lowerRoman"/>
        <w:lvlText w:val="%3."/>
        <w:lvlJc w:val="right"/>
        <w:pPr>
          <w:ind w:left="2160" w:hanging="180"/>
        </w:pPr>
        <w:rPr>
          <w:rFonts w:cs="Times New Roman"/>
        </w:rPr>
      </w:lvl>
    </w:lvlOverride>
    <w:lvlOverride w:ilvl="3">
      <w:lvl w:ilvl="3" w:tentative="1">
        <w:start w:val="1"/>
        <w:numFmt w:val="decimal"/>
        <w:lvlText w:val="%4."/>
        <w:lvlJc w:val="left"/>
        <w:pPr>
          <w:ind w:left="2880" w:hanging="360"/>
        </w:pPr>
        <w:rPr>
          <w:rFonts w:cs="Times New Roman"/>
        </w:rPr>
      </w:lvl>
    </w:lvlOverride>
    <w:lvlOverride w:ilvl="4">
      <w:lvl w:ilvl="4" w:tentative="1">
        <w:start w:val="1"/>
        <w:numFmt w:val="lowerLetter"/>
        <w:lvlText w:val="%5."/>
        <w:lvlJc w:val="left"/>
        <w:pPr>
          <w:ind w:left="3600" w:hanging="360"/>
        </w:pPr>
        <w:rPr>
          <w:rFonts w:cs="Times New Roman"/>
        </w:rPr>
      </w:lvl>
    </w:lvlOverride>
    <w:lvlOverride w:ilvl="5">
      <w:lvl w:ilvl="5" w:tentative="1">
        <w:start w:val="1"/>
        <w:numFmt w:val="lowerRoman"/>
        <w:lvlText w:val="%6."/>
        <w:lvlJc w:val="right"/>
        <w:pPr>
          <w:ind w:left="4320" w:hanging="180"/>
        </w:pPr>
        <w:rPr>
          <w:rFonts w:cs="Times New Roman"/>
        </w:rPr>
      </w:lvl>
    </w:lvlOverride>
    <w:lvlOverride w:ilvl="6">
      <w:lvl w:ilvl="6" w:tentative="1">
        <w:start w:val="1"/>
        <w:numFmt w:val="decimal"/>
        <w:lvlText w:val="%7."/>
        <w:lvlJc w:val="left"/>
        <w:pPr>
          <w:ind w:left="5040" w:hanging="360"/>
        </w:pPr>
        <w:rPr>
          <w:rFonts w:cs="Times New Roman"/>
        </w:rPr>
      </w:lvl>
    </w:lvlOverride>
    <w:lvlOverride w:ilvl="7">
      <w:lvl w:ilvl="7" w:tentative="1">
        <w:start w:val="1"/>
        <w:numFmt w:val="lowerLetter"/>
        <w:lvlText w:val="%8."/>
        <w:lvlJc w:val="left"/>
        <w:pPr>
          <w:ind w:left="5760" w:hanging="360"/>
        </w:pPr>
        <w:rPr>
          <w:rFonts w:cs="Times New Roman"/>
        </w:rPr>
      </w:lvl>
    </w:lvlOverride>
    <w:lvlOverride w:ilvl="8">
      <w:lvl w:ilvl="8" w:tentative="1">
        <w:start w:val="1"/>
        <w:numFmt w:val="lowerRoman"/>
        <w:lvlText w:val="%9."/>
        <w:lvlJc w:val="right"/>
        <w:pPr>
          <w:ind w:left="6480" w:hanging="180"/>
        </w:pPr>
        <w:rPr>
          <w:rFonts w:cs="Times New Roman"/>
        </w:rPr>
      </w:lvl>
    </w:lvlOverride>
  </w:num>
  <w:num w:numId="42">
    <w:abstractNumId w:val="42"/>
    <w:lvlOverride w:ilvl="0">
      <w:lvl w:ilvl="0">
        <w:numFmt w:val="decimal"/>
        <w:lvlText w:val=""/>
        <w:lvlJc w:val="left"/>
        <w:rPr>
          <w:rFonts w:cs="Times New Roman"/>
        </w:r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start w:val="1"/>
        <w:numFmt w:val="decimal"/>
        <w:lvlText w:val="%4."/>
        <w:lvlJc w:val="left"/>
        <w:pPr>
          <w:tabs>
            <w:tab w:val="num" w:pos="720"/>
          </w:tabs>
          <w:ind w:left="720" w:hanging="360"/>
        </w:pPr>
        <w:rPr>
          <w:rFonts w:ascii="Calibri" w:eastAsia="Times New Roman" w:hAnsi="Calibri" w:cs="Calibri" w:hint="default"/>
          <w:b/>
          <w:bCs/>
          <w:color w:val="000000"/>
          <w:position w:val="0"/>
          <w:sz w:val="22"/>
          <w:szCs w:val="22"/>
          <w:u w:val="none"/>
        </w:rPr>
      </w:lvl>
    </w:lvlOverride>
  </w:num>
  <w:num w:numId="43">
    <w:abstractNumId w:val="15"/>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44">
    <w:abstractNumId w:val="44"/>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45">
    <w:abstractNumId w:val="12"/>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46">
    <w:abstractNumId w:val="16"/>
    <w:lvlOverride w:ilvl="0">
      <w:lvl w:ilvl="0">
        <w:start w:val="1"/>
        <w:numFmt w:val="decimal"/>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47">
    <w:abstractNumId w:val="26"/>
    <w:lvlOverride w:ilvl="0">
      <w:lvl w:ilvl="0">
        <w:start w:val="1"/>
        <w:numFmt w:val="lowerLetter"/>
        <w:lvlText w:val="%1."/>
        <w:lvlJc w:val="left"/>
        <w:pPr>
          <w:ind w:left="720" w:hanging="360"/>
        </w:pPr>
        <w:rPr>
          <w:rFonts w:cs="Times New Roman"/>
        </w:rPr>
      </w:lvl>
    </w:lvlOverride>
    <w:lvlOverride w:ilvl="1">
      <w:lvl w:ilvl="1" w:tentative="1">
        <w:start w:val="1"/>
        <w:numFmt w:val="lowerLetter"/>
        <w:lvlText w:val="%2."/>
        <w:lvlJc w:val="left"/>
        <w:pPr>
          <w:ind w:left="1440" w:hanging="360"/>
        </w:pPr>
        <w:rPr>
          <w:rFonts w:cs="Times New Roman"/>
        </w:rPr>
      </w:lvl>
    </w:lvlOverride>
    <w:lvlOverride w:ilvl="2">
      <w:lvl w:ilvl="2" w:tentative="1">
        <w:start w:val="1"/>
        <w:numFmt w:val="lowerRoman"/>
        <w:lvlText w:val="%3."/>
        <w:lvlJc w:val="right"/>
        <w:pPr>
          <w:ind w:left="2160" w:hanging="180"/>
        </w:pPr>
        <w:rPr>
          <w:rFonts w:cs="Times New Roman"/>
        </w:rPr>
      </w:lvl>
    </w:lvlOverride>
    <w:lvlOverride w:ilvl="3">
      <w:lvl w:ilvl="3" w:tentative="1">
        <w:start w:val="1"/>
        <w:numFmt w:val="decimal"/>
        <w:lvlText w:val="%4."/>
        <w:lvlJc w:val="left"/>
        <w:pPr>
          <w:ind w:left="2880" w:hanging="360"/>
        </w:pPr>
        <w:rPr>
          <w:rFonts w:cs="Times New Roman"/>
        </w:rPr>
      </w:lvl>
    </w:lvlOverride>
    <w:lvlOverride w:ilvl="4">
      <w:lvl w:ilvl="4" w:tentative="1">
        <w:start w:val="1"/>
        <w:numFmt w:val="lowerLetter"/>
        <w:lvlText w:val="%5."/>
        <w:lvlJc w:val="left"/>
        <w:pPr>
          <w:ind w:left="3600" w:hanging="360"/>
        </w:pPr>
        <w:rPr>
          <w:rFonts w:cs="Times New Roman"/>
        </w:rPr>
      </w:lvl>
    </w:lvlOverride>
    <w:lvlOverride w:ilvl="5">
      <w:lvl w:ilvl="5" w:tentative="1">
        <w:start w:val="1"/>
        <w:numFmt w:val="lowerRoman"/>
        <w:lvlText w:val="%6."/>
        <w:lvlJc w:val="right"/>
        <w:pPr>
          <w:ind w:left="4320" w:hanging="180"/>
        </w:pPr>
        <w:rPr>
          <w:rFonts w:cs="Times New Roman"/>
        </w:rPr>
      </w:lvl>
    </w:lvlOverride>
    <w:lvlOverride w:ilvl="6">
      <w:lvl w:ilvl="6" w:tentative="1">
        <w:start w:val="1"/>
        <w:numFmt w:val="decimal"/>
        <w:lvlText w:val="%7."/>
        <w:lvlJc w:val="left"/>
        <w:pPr>
          <w:ind w:left="5040" w:hanging="360"/>
        </w:pPr>
        <w:rPr>
          <w:rFonts w:cs="Times New Roman"/>
        </w:rPr>
      </w:lvl>
    </w:lvlOverride>
    <w:lvlOverride w:ilvl="7">
      <w:lvl w:ilvl="7" w:tentative="1">
        <w:start w:val="1"/>
        <w:numFmt w:val="lowerLetter"/>
        <w:lvlText w:val="%8."/>
        <w:lvlJc w:val="left"/>
        <w:pPr>
          <w:ind w:left="5760" w:hanging="360"/>
        </w:pPr>
        <w:rPr>
          <w:rFonts w:cs="Times New Roman"/>
        </w:rPr>
      </w:lvl>
    </w:lvlOverride>
    <w:lvlOverride w:ilvl="8">
      <w:lvl w:ilvl="8" w:tentative="1">
        <w:start w:val="1"/>
        <w:numFmt w:val="lowerRoman"/>
        <w:lvlText w:val="%9."/>
        <w:lvlJc w:val="right"/>
        <w:pPr>
          <w:ind w:left="6480" w:hanging="180"/>
        </w:pPr>
        <w:rPr>
          <w:rFonts w:cs="Times New Roman"/>
        </w:rPr>
      </w:lvl>
    </w:lvlOverride>
  </w:num>
  <w:num w:numId="48">
    <w:abstractNumId w:val="66"/>
    <w:lvlOverride w:ilvl="0">
      <w:lvl w:ilvl="0">
        <w:start w:val="1"/>
        <w:numFmt w:val="decimal"/>
        <w:lvlText w:val="%1."/>
        <w:lvlJc w:val="left"/>
        <w:pPr>
          <w:tabs>
            <w:tab w:val="num" w:pos="720"/>
          </w:tabs>
          <w:ind w:left="720" w:hanging="360"/>
        </w:pPr>
        <w:rPr>
          <w:rFonts w:ascii="Calibri" w:eastAsia="Times New Roman" w:hAnsi="Calibri" w:cs="Calibri" w:hint="default"/>
          <w:b/>
          <w:bCs/>
          <w:color w:val="000000"/>
          <w:position w:val="0"/>
          <w:sz w:val="22"/>
          <w:szCs w:val="22"/>
          <w:u w:val="none"/>
        </w:rPr>
      </w:lvl>
    </w:lvlOverride>
  </w:num>
  <w:num w:numId="49">
    <w:abstractNumId w:val="43"/>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50">
    <w:abstractNumId w:val="37"/>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51">
    <w:abstractNumId w:val="33"/>
    <w:lvlOverride w:ilvl="0">
      <w:lvl w:ilvl="0">
        <w:start w:val="1"/>
        <w:numFmt w:val="lowerLetter"/>
        <w:lvlText w:val="%1."/>
        <w:lvlJc w:val="left"/>
        <w:pPr>
          <w:tabs>
            <w:tab w:val="num" w:pos="720"/>
          </w:tabs>
          <w:ind w:left="720" w:hanging="360"/>
        </w:pPr>
        <w:rPr>
          <w:rFonts w:ascii="Calibri" w:eastAsia="Times New Roman" w:hAnsi="Calibri" w:cs="Calibri" w:hint="default"/>
          <w:color w:val="000000"/>
          <w:position w:val="0"/>
          <w:sz w:val="22"/>
          <w:szCs w:val="22"/>
          <w:u w:color="000000"/>
        </w:rPr>
      </w:lvl>
    </w:lvlOverride>
  </w:num>
  <w:num w:numId="52">
    <w:abstractNumId w:val="47"/>
  </w:num>
  <w:num w:numId="53">
    <w:abstractNumId w:val="0"/>
  </w:num>
  <w:num w:numId="54">
    <w:abstractNumId w:val="41"/>
  </w:num>
  <w:num w:numId="55">
    <w:abstractNumId w:val="42"/>
  </w:num>
  <w:num w:numId="56">
    <w:abstractNumId w:val="48"/>
  </w:num>
  <w:num w:numId="57">
    <w:abstractNumId w:val="1"/>
  </w:num>
  <w:num w:numId="58">
    <w:abstractNumId w:val="2"/>
  </w:num>
  <w:num w:numId="59">
    <w:abstractNumId w:val="8"/>
  </w:num>
  <w:num w:numId="60">
    <w:abstractNumId w:val="9"/>
  </w:num>
  <w:num w:numId="61">
    <w:abstractNumId w:val="10"/>
  </w:num>
  <w:num w:numId="62">
    <w:abstractNumId w:val="11"/>
  </w:num>
  <w:num w:numId="63">
    <w:abstractNumId w:val="12"/>
  </w:num>
  <w:num w:numId="64">
    <w:abstractNumId w:val="13"/>
  </w:num>
  <w:num w:numId="65">
    <w:abstractNumId w:val="14"/>
  </w:num>
  <w:num w:numId="66">
    <w:abstractNumId w:val="15"/>
  </w:num>
  <w:num w:numId="67">
    <w:abstractNumId w:val="16"/>
  </w:num>
  <w:num w:numId="68">
    <w:abstractNumId w:val="19"/>
  </w:num>
  <w:num w:numId="69">
    <w:abstractNumId w:val="20"/>
  </w:num>
  <w:num w:numId="70">
    <w:abstractNumId w:val="24"/>
  </w:num>
  <w:num w:numId="71">
    <w:abstractNumId w:val="25"/>
  </w:num>
  <w:num w:numId="72">
    <w:abstractNumId w:val="26"/>
  </w:num>
  <w:num w:numId="73">
    <w:abstractNumId w:val="28"/>
  </w:num>
  <w:num w:numId="74">
    <w:abstractNumId w:val="30"/>
  </w:num>
  <w:num w:numId="75">
    <w:abstractNumId w:val="31"/>
  </w:num>
  <w:num w:numId="76">
    <w:abstractNumId w:val="33"/>
  </w:num>
  <w:num w:numId="77">
    <w:abstractNumId w:val="34"/>
  </w:num>
  <w:num w:numId="78">
    <w:abstractNumId w:val="35"/>
  </w:num>
  <w:num w:numId="79">
    <w:abstractNumId w:val="36"/>
  </w:num>
  <w:num w:numId="80">
    <w:abstractNumId w:val="37"/>
  </w:num>
  <w:num w:numId="81">
    <w:abstractNumId w:val="39"/>
  </w:num>
  <w:num w:numId="82">
    <w:abstractNumId w:val="43"/>
  </w:num>
  <w:num w:numId="83">
    <w:abstractNumId w:val="44"/>
  </w:num>
  <w:num w:numId="84">
    <w:abstractNumId w:val="50"/>
  </w:num>
  <w:num w:numId="85">
    <w:abstractNumId w:val="53"/>
  </w:num>
  <w:num w:numId="86">
    <w:abstractNumId w:val="55"/>
  </w:num>
  <w:num w:numId="87">
    <w:abstractNumId w:val="57"/>
  </w:num>
  <w:num w:numId="88">
    <w:abstractNumId w:val="59"/>
  </w:num>
  <w:num w:numId="89">
    <w:abstractNumId w:val="61"/>
  </w:num>
  <w:num w:numId="90">
    <w:abstractNumId w:val="62"/>
  </w:num>
  <w:num w:numId="91">
    <w:abstractNumId w:val="63"/>
  </w:num>
  <w:num w:numId="92">
    <w:abstractNumId w:val="65"/>
  </w:num>
  <w:num w:numId="93">
    <w:abstractNumId w:val="66"/>
  </w:num>
  <w:num w:numId="94">
    <w:abstractNumId w:val="22"/>
  </w:num>
  <w:num w:numId="95">
    <w:abstractNumId w:val="45"/>
  </w:num>
  <w:num w:numId="96">
    <w:abstractNumId w:val="56"/>
  </w:num>
  <w:num w:numId="97">
    <w:abstractNumId w:val="54"/>
  </w:num>
  <w:num w:numId="98">
    <w:abstractNumId w:val="49"/>
  </w:num>
  <w:num w:numId="99">
    <w:abstractNumId w:val="40"/>
  </w:num>
  <w:num w:numId="100">
    <w:abstractNumId w:val="3"/>
  </w:num>
  <w:num w:numId="101">
    <w:abstractNumId w:val="27"/>
  </w:num>
  <w:num w:numId="102">
    <w:abstractNumId w:val="38"/>
  </w:num>
  <w:num w:numId="103">
    <w:abstractNumId w:val="32"/>
  </w:num>
  <w:num w:numId="104">
    <w:abstractNumId w:val="64"/>
  </w:num>
  <w:num w:numId="105">
    <w:abstractNumId w:val="5"/>
  </w:num>
  <w:num w:numId="106">
    <w:abstractNumId w:val="52"/>
  </w:num>
  <w:num w:numId="107">
    <w:abstractNumId w:val="46"/>
  </w:num>
  <w:num w:numId="108">
    <w:abstractNumId w:val="17"/>
  </w:num>
  <w:num w:numId="109">
    <w:abstractNumId w:val="2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36F"/>
    <w:rsid w:val="00000CDA"/>
    <w:rsid w:val="00006E1F"/>
    <w:rsid w:val="000070D7"/>
    <w:rsid w:val="0001788C"/>
    <w:rsid w:val="00040C3A"/>
    <w:rsid w:val="0006030C"/>
    <w:rsid w:val="000716C5"/>
    <w:rsid w:val="00075E23"/>
    <w:rsid w:val="00087823"/>
    <w:rsid w:val="0009344A"/>
    <w:rsid w:val="0009585B"/>
    <w:rsid w:val="000A392E"/>
    <w:rsid w:val="000A575F"/>
    <w:rsid w:val="000D10DB"/>
    <w:rsid w:val="000E049B"/>
    <w:rsid w:val="000E5EB5"/>
    <w:rsid w:val="001018AE"/>
    <w:rsid w:val="00107131"/>
    <w:rsid w:val="0010736F"/>
    <w:rsid w:val="00113F73"/>
    <w:rsid w:val="00121CC2"/>
    <w:rsid w:val="00133EE5"/>
    <w:rsid w:val="00167A34"/>
    <w:rsid w:val="001A7870"/>
    <w:rsid w:val="001C1B41"/>
    <w:rsid w:val="001D65EF"/>
    <w:rsid w:val="001F1EE2"/>
    <w:rsid w:val="002105BC"/>
    <w:rsid w:val="00210D35"/>
    <w:rsid w:val="002250A3"/>
    <w:rsid w:val="00235217"/>
    <w:rsid w:val="00246D1F"/>
    <w:rsid w:val="00247403"/>
    <w:rsid w:val="00247542"/>
    <w:rsid w:val="0025051D"/>
    <w:rsid w:val="00266B61"/>
    <w:rsid w:val="0026712A"/>
    <w:rsid w:val="002704DB"/>
    <w:rsid w:val="002A0AAE"/>
    <w:rsid w:val="002A5820"/>
    <w:rsid w:val="002A6026"/>
    <w:rsid w:val="002B78C4"/>
    <w:rsid w:val="002C4670"/>
    <w:rsid w:val="002D2B26"/>
    <w:rsid w:val="002D736C"/>
    <w:rsid w:val="002D7EA2"/>
    <w:rsid w:val="002E187C"/>
    <w:rsid w:val="00302733"/>
    <w:rsid w:val="003107CE"/>
    <w:rsid w:val="00314078"/>
    <w:rsid w:val="0032414F"/>
    <w:rsid w:val="0033169F"/>
    <w:rsid w:val="00334F9F"/>
    <w:rsid w:val="00346C95"/>
    <w:rsid w:val="00351DE7"/>
    <w:rsid w:val="00356185"/>
    <w:rsid w:val="00360380"/>
    <w:rsid w:val="00386CF0"/>
    <w:rsid w:val="003C676B"/>
    <w:rsid w:val="003D0CFF"/>
    <w:rsid w:val="003D3BC2"/>
    <w:rsid w:val="003E5E53"/>
    <w:rsid w:val="003E6CA1"/>
    <w:rsid w:val="004029C0"/>
    <w:rsid w:val="004077BD"/>
    <w:rsid w:val="00414688"/>
    <w:rsid w:val="004165C2"/>
    <w:rsid w:val="00441ECB"/>
    <w:rsid w:val="00467B7E"/>
    <w:rsid w:val="004719C3"/>
    <w:rsid w:val="00477592"/>
    <w:rsid w:val="00486F1C"/>
    <w:rsid w:val="0049419D"/>
    <w:rsid w:val="004C20D2"/>
    <w:rsid w:val="004C4B62"/>
    <w:rsid w:val="004C54C9"/>
    <w:rsid w:val="004D6025"/>
    <w:rsid w:val="004E2649"/>
    <w:rsid w:val="00501399"/>
    <w:rsid w:val="0050633D"/>
    <w:rsid w:val="00507BC4"/>
    <w:rsid w:val="005128E4"/>
    <w:rsid w:val="005133DB"/>
    <w:rsid w:val="00525560"/>
    <w:rsid w:val="00544C49"/>
    <w:rsid w:val="005516A1"/>
    <w:rsid w:val="0057402A"/>
    <w:rsid w:val="005771D0"/>
    <w:rsid w:val="0059191A"/>
    <w:rsid w:val="005921FF"/>
    <w:rsid w:val="005A2B10"/>
    <w:rsid w:val="005A6D0E"/>
    <w:rsid w:val="005B52B0"/>
    <w:rsid w:val="005B6806"/>
    <w:rsid w:val="005C4225"/>
    <w:rsid w:val="005D42ED"/>
    <w:rsid w:val="005F0DAD"/>
    <w:rsid w:val="005F0F33"/>
    <w:rsid w:val="00600DEB"/>
    <w:rsid w:val="00602AD3"/>
    <w:rsid w:val="00625041"/>
    <w:rsid w:val="00627C9F"/>
    <w:rsid w:val="006311E9"/>
    <w:rsid w:val="00632354"/>
    <w:rsid w:val="00642810"/>
    <w:rsid w:val="00652333"/>
    <w:rsid w:val="0068009E"/>
    <w:rsid w:val="006A17D2"/>
    <w:rsid w:val="006A73E6"/>
    <w:rsid w:val="006B2D5C"/>
    <w:rsid w:val="006C4EB1"/>
    <w:rsid w:val="006D3114"/>
    <w:rsid w:val="006E0166"/>
    <w:rsid w:val="006E7B34"/>
    <w:rsid w:val="0070697F"/>
    <w:rsid w:val="00715C0F"/>
    <w:rsid w:val="0072199C"/>
    <w:rsid w:val="007253B8"/>
    <w:rsid w:val="00725521"/>
    <w:rsid w:val="0073741F"/>
    <w:rsid w:val="0076006C"/>
    <w:rsid w:val="0076643F"/>
    <w:rsid w:val="007949FA"/>
    <w:rsid w:val="007A5817"/>
    <w:rsid w:val="007B60E9"/>
    <w:rsid w:val="007B6CC3"/>
    <w:rsid w:val="007C3334"/>
    <w:rsid w:val="007D2B98"/>
    <w:rsid w:val="007E21BC"/>
    <w:rsid w:val="00803F1C"/>
    <w:rsid w:val="0080600E"/>
    <w:rsid w:val="00817612"/>
    <w:rsid w:val="00825E57"/>
    <w:rsid w:val="00832DBE"/>
    <w:rsid w:val="008338A4"/>
    <w:rsid w:val="00837C45"/>
    <w:rsid w:val="00844730"/>
    <w:rsid w:val="008457C2"/>
    <w:rsid w:val="00855211"/>
    <w:rsid w:val="00857A82"/>
    <w:rsid w:val="00873836"/>
    <w:rsid w:val="00875FE6"/>
    <w:rsid w:val="00881331"/>
    <w:rsid w:val="00885737"/>
    <w:rsid w:val="0088630C"/>
    <w:rsid w:val="00890650"/>
    <w:rsid w:val="00897E12"/>
    <w:rsid w:val="008A7E0F"/>
    <w:rsid w:val="008B12F5"/>
    <w:rsid w:val="008B1D73"/>
    <w:rsid w:val="008D0E06"/>
    <w:rsid w:val="008D4ACF"/>
    <w:rsid w:val="008E3759"/>
    <w:rsid w:val="008F1912"/>
    <w:rsid w:val="008F37F8"/>
    <w:rsid w:val="008F68F6"/>
    <w:rsid w:val="0090270B"/>
    <w:rsid w:val="009041DC"/>
    <w:rsid w:val="00920A58"/>
    <w:rsid w:val="00920A8C"/>
    <w:rsid w:val="00934A2C"/>
    <w:rsid w:val="0096692A"/>
    <w:rsid w:val="0096706E"/>
    <w:rsid w:val="00975C4E"/>
    <w:rsid w:val="00981FBA"/>
    <w:rsid w:val="00997BC5"/>
    <w:rsid w:val="009A4F41"/>
    <w:rsid w:val="009B381B"/>
    <w:rsid w:val="009D7611"/>
    <w:rsid w:val="009E0B61"/>
    <w:rsid w:val="009E3890"/>
    <w:rsid w:val="009E53DE"/>
    <w:rsid w:val="00A037D2"/>
    <w:rsid w:val="00A04D98"/>
    <w:rsid w:val="00A328B3"/>
    <w:rsid w:val="00A50FCF"/>
    <w:rsid w:val="00A528D1"/>
    <w:rsid w:val="00A610CD"/>
    <w:rsid w:val="00A769C5"/>
    <w:rsid w:val="00AA09A2"/>
    <w:rsid w:val="00AC19CB"/>
    <w:rsid w:val="00AC4770"/>
    <w:rsid w:val="00AC537B"/>
    <w:rsid w:val="00AE5488"/>
    <w:rsid w:val="00AE6F91"/>
    <w:rsid w:val="00AF0603"/>
    <w:rsid w:val="00AF5571"/>
    <w:rsid w:val="00B0145E"/>
    <w:rsid w:val="00B30539"/>
    <w:rsid w:val="00B314DB"/>
    <w:rsid w:val="00B3718B"/>
    <w:rsid w:val="00B4632A"/>
    <w:rsid w:val="00B530F1"/>
    <w:rsid w:val="00B54CDF"/>
    <w:rsid w:val="00BA276C"/>
    <w:rsid w:val="00BA7C59"/>
    <w:rsid w:val="00BB306F"/>
    <w:rsid w:val="00BD4B89"/>
    <w:rsid w:val="00BF6FD8"/>
    <w:rsid w:val="00BF7806"/>
    <w:rsid w:val="00C03680"/>
    <w:rsid w:val="00C054DF"/>
    <w:rsid w:val="00C21762"/>
    <w:rsid w:val="00C24543"/>
    <w:rsid w:val="00C256A2"/>
    <w:rsid w:val="00C51515"/>
    <w:rsid w:val="00C5660B"/>
    <w:rsid w:val="00C66B72"/>
    <w:rsid w:val="00C9567A"/>
    <w:rsid w:val="00CB212D"/>
    <w:rsid w:val="00CB2660"/>
    <w:rsid w:val="00CC5E90"/>
    <w:rsid w:val="00CD046C"/>
    <w:rsid w:val="00CE076C"/>
    <w:rsid w:val="00CE5199"/>
    <w:rsid w:val="00CE66D5"/>
    <w:rsid w:val="00CF637A"/>
    <w:rsid w:val="00D059DE"/>
    <w:rsid w:val="00D13FCE"/>
    <w:rsid w:val="00D306D1"/>
    <w:rsid w:val="00D34786"/>
    <w:rsid w:val="00D47A8E"/>
    <w:rsid w:val="00D52D14"/>
    <w:rsid w:val="00D712D3"/>
    <w:rsid w:val="00D71422"/>
    <w:rsid w:val="00D72DC6"/>
    <w:rsid w:val="00D7558D"/>
    <w:rsid w:val="00D81D92"/>
    <w:rsid w:val="00DA7B5F"/>
    <w:rsid w:val="00DB6C74"/>
    <w:rsid w:val="00DC11E7"/>
    <w:rsid w:val="00DC7023"/>
    <w:rsid w:val="00DC769A"/>
    <w:rsid w:val="00DD3D86"/>
    <w:rsid w:val="00DF13EA"/>
    <w:rsid w:val="00E0340B"/>
    <w:rsid w:val="00E219C7"/>
    <w:rsid w:val="00E43157"/>
    <w:rsid w:val="00E461CE"/>
    <w:rsid w:val="00E720CA"/>
    <w:rsid w:val="00E84EB5"/>
    <w:rsid w:val="00E85662"/>
    <w:rsid w:val="00E8789F"/>
    <w:rsid w:val="00E92C4D"/>
    <w:rsid w:val="00E97B71"/>
    <w:rsid w:val="00EA3D34"/>
    <w:rsid w:val="00EB454D"/>
    <w:rsid w:val="00EC4919"/>
    <w:rsid w:val="00EC7D62"/>
    <w:rsid w:val="00ED4DBA"/>
    <w:rsid w:val="00ED76BE"/>
    <w:rsid w:val="00EF619B"/>
    <w:rsid w:val="00F00B55"/>
    <w:rsid w:val="00F02AD1"/>
    <w:rsid w:val="00F02E9F"/>
    <w:rsid w:val="00F253CC"/>
    <w:rsid w:val="00F37106"/>
    <w:rsid w:val="00F519CF"/>
    <w:rsid w:val="00F56BA5"/>
    <w:rsid w:val="00F60E22"/>
    <w:rsid w:val="00F917D1"/>
    <w:rsid w:val="00F9653B"/>
    <w:rsid w:val="00FB62CF"/>
    <w:rsid w:val="00FD07D5"/>
    <w:rsid w:val="00FD3C3B"/>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7B4EDC"/>
  <w15:chartTrackingRefBased/>
  <w15:docId w15:val="{4F124F30-C05C-4383-910F-E4AA8E346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es-AR" w:eastAsia="es-A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2ED"/>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paragraph" w:styleId="Ttulo1">
    <w:name w:val="heading 1"/>
    <w:basedOn w:val="Normal"/>
    <w:next w:val="Normal"/>
    <w:link w:val="Ttulo1Car"/>
    <w:uiPriority w:val="99"/>
    <w:qFormat/>
    <w:rsid w:val="00D81D92"/>
    <w:pPr>
      <w:keepNext/>
      <w:keepLines/>
      <w:numPr>
        <w:numId w:val="96"/>
      </w:numPr>
      <w:spacing w:before="480"/>
      <w:outlineLvl w:val="0"/>
    </w:pPr>
    <w:rPr>
      <w:rFonts w:ascii="Cambria" w:hAnsi="Cambria"/>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D81D92"/>
    <w:rPr>
      <w:rFonts w:ascii="Cambria" w:hAnsi="Cambria" w:cs="Times New Roman"/>
      <w:b/>
      <w:bCs/>
      <w:color w:val="365F91"/>
      <w:sz w:val="28"/>
      <w:szCs w:val="28"/>
      <w:lang w:val="en-US" w:eastAsia="en-US"/>
    </w:rPr>
  </w:style>
  <w:style w:type="character" w:styleId="Hipervnculo">
    <w:name w:val="Hyperlink"/>
    <w:uiPriority w:val="99"/>
    <w:rsid w:val="005D42ED"/>
    <w:rPr>
      <w:rFonts w:cs="Times New Roman"/>
      <w:u w:val="single"/>
    </w:rPr>
  </w:style>
  <w:style w:type="paragraph" w:customStyle="1" w:styleId="Cabeceraypie">
    <w:name w:val="Cabecera y pie"/>
    <w:uiPriority w:val="99"/>
    <w:rsid w:val="005D42ED"/>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Arial Unicode MS" w:cs="Arial Unicode MS"/>
      <w:color w:val="000000"/>
      <w:sz w:val="24"/>
      <w:szCs w:val="24"/>
      <w:lang w:val="es-ES" w:eastAsia="es-ES"/>
    </w:rPr>
  </w:style>
  <w:style w:type="paragraph" w:styleId="Piedepgina">
    <w:name w:val="footer"/>
    <w:basedOn w:val="Normal"/>
    <w:link w:val="PiedepginaCar"/>
    <w:uiPriority w:val="99"/>
    <w:rsid w:val="005D42ED"/>
    <w:pPr>
      <w:tabs>
        <w:tab w:val="center" w:pos="4513"/>
        <w:tab w:val="right" w:pos="9026"/>
      </w:tabs>
    </w:pPr>
    <w:rPr>
      <w:rFonts w:ascii="Cambria" w:hAnsi="Cambria" w:cs="Cambria"/>
      <w:color w:val="000000"/>
      <w:u w:color="000000"/>
      <w:lang w:eastAsia="es-ES"/>
    </w:rPr>
  </w:style>
  <w:style w:type="character" w:customStyle="1" w:styleId="PiedepginaCar">
    <w:name w:val="Pie de página Car"/>
    <w:link w:val="Piedepgina"/>
    <w:uiPriority w:val="99"/>
    <w:locked/>
    <w:rsid w:val="00A50FCF"/>
    <w:rPr>
      <w:rFonts w:ascii="Cambria" w:hAnsi="Cambria" w:cs="Cambria"/>
      <w:color w:val="000000"/>
      <w:sz w:val="24"/>
      <w:szCs w:val="24"/>
      <w:u w:color="000000"/>
      <w:lang w:val="en-US" w:eastAsia="es-ES" w:bidi="ar-SA"/>
    </w:rPr>
  </w:style>
  <w:style w:type="paragraph" w:customStyle="1" w:styleId="Cuerpo">
    <w:name w:val="Cuerpo"/>
    <w:uiPriority w:val="99"/>
    <w:rsid w:val="005D42ED"/>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mbria" w:hAnsi="Cambria" w:cs="Cambria"/>
      <w:color w:val="000000"/>
      <w:sz w:val="24"/>
      <w:szCs w:val="24"/>
      <w:u w:color="000000"/>
      <w:lang w:val="es-ES" w:eastAsia="es-ES"/>
    </w:rPr>
  </w:style>
  <w:style w:type="paragraph" w:styleId="Sangradetextonormal">
    <w:name w:val="Body Text Indent"/>
    <w:basedOn w:val="Normal"/>
    <w:link w:val="SangradetextonormalCar"/>
    <w:uiPriority w:val="99"/>
    <w:rsid w:val="005D42ED"/>
    <w:pPr>
      <w:ind w:left="2160" w:hanging="720"/>
    </w:pPr>
    <w:rPr>
      <w:color w:val="000000"/>
      <w:u w:color="000000"/>
      <w:lang w:val="es-ES_tradnl" w:eastAsia="es-ES"/>
    </w:rPr>
  </w:style>
  <w:style w:type="character" w:customStyle="1" w:styleId="SangradetextonormalCar">
    <w:name w:val="Sangría de texto normal Car"/>
    <w:link w:val="Sangradetextonormal"/>
    <w:uiPriority w:val="99"/>
    <w:semiHidden/>
    <w:locked/>
    <w:rsid w:val="00ED4DBA"/>
    <w:rPr>
      <w:rFonts w:cs="Times New Roman"/>
      <w:sz w:val="24"/>
      <w:szCs w:val="24"/>
    </w:rPr>
  </w:style>
  <w:style w:type="paragraph" w:styleId="Prrafodelista">
    <w:name w:val="List Paragraph"/>
    <w:basedOn w:val="Normal"/>
    <w:uiPriority w:val="99"/>
    <w:qFormat/>
    <w:rsid w:val="005D42ED"/>
    <w:pPr>
      <w:ind w:left="720"/>
    </w:pPr>
    <w:rPr>
      <w:rFonts w:ascii="Cambria" w:hAnsi="Cambria" w:cs="Cambria"/>
      <w:color w:val="000000"/>
      <w:u w:color="000000"/>
      <w:lang w:eastAsia="es-ES"/>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
    <w:basedOn w:val="Normal"/>
    <w:link w:val="TextonotapieCar1"/>
    <w:uiPriority w:val="99"/>
    <w:rsid w:val="005D42ED"/>
    <w:rPr>
      <w:rFonts w:ascii="Calibri" w:hAnsi="Calibri" w:cs="Calibri"/>
      <w:color w:val="000000"/>
      <w:sz w:val="20"/>
      <w:szCs w:val="20"/>
      <w:u w:color="000000"/>
      <w:lang w:eastAsia="es-ES"/>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link w:val="Textonotapie"/>
    <w:uiPriority w:val="99"/>
    <w:semiHidden/>
    <w:locked/>
    <w:rsid w:val="00ED4DBA"/>
    <w:rPr>
      <w:rFonts w:cs="Times New Roman"/>
      <w:sz w:val="20"/>
      <w:szCs w:val="20"/>
    </w:rPr>
  </w:style>
  <w:style w:type="paragraph" w:styleId="Textodeglobo">
    <w:name w:val="Balloon Text"/>
    <w:basedOn w:val="Normal"/>
    <w:link w:val="TextodegloboCar"/>
    <w:uiPriority w:val="99"/>
    <w:semiHidden/>
    <w:rsid w:val="009B381B"/>
    <w:rPr>
      <w:rFonts w:ascii="Tahoma" w:hAnsi="Tahoma" w:cs="Tahoma"/>
      <w:sz w:val="16"/>
      <w:szCs w:val="16"/>
    </w:rPr>
  </w:style>
  <w:style w:type="character" w:customStyle="1" w:styleId="TextodegloboCar">
    <w:name w:val="Texto de globo Car"/>
    <w:link w:val="Textodeglobo"/>
    <w:uiPriority w:val="99"/>
    <w:semiHidden/>
    <w:locked/>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ar w:val="none" w:sz="0" w:color="auto"/>
      </w:pBdr>
      <w:tabs>
        <w:tab w:val="center" w:pos="4320"/>
        <w:tab w:val="right" w:pos="8640"/>
      </w:tabs>
      <w:snapToGrid w:val="0"/>
    </w:pPr>
    <w:rPr>
      <w:rFonts w:ascii="Univers" w:hAnsi="Univers" w:cs="Univers"/>
    </w:rPr>
  </w:style>
  <w:style w:type="character" w:customStyle="1" w:styleId="EncabezadoCar">
    <w:name w:val="Encabezado Car"/>
    <w:aliases w:val="encabezado Car"/>
    <w:link w:val="Encabezado"/>
    <w:uiPriority w:val="99"/>
    <w:locked/>
    <w:rsid w:val="00D81D92"/>
    <w:rPr>
      <w:rFonts w:ascii="Univers" w:hAnsi="Univers" w:cs="Univers"/>
      <w:sz w:val="24"/>
      <w:szCs w:val="24"/>
      <w:lang w:val="en-US" w:eastAsia="en-US"/>
    </w:rPr>
  </w:style>
  <w:style w:type="table" w:styleId="Sombreadomedio1-nfasis1">
    <w:name w:val="Medium Shading 1 Accent 1"/>
    <w:basedOn w:val="Tablanormal"/>
    <w:uiPriority w:val="99"/>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styleId="TDC2">
    <w:name w:val="toc 2"/>
    <w:basedOn w:val="Normal"/>
    <w:next w:val="Normal"/>
    <w:autoRedefine/>
    <w:uiPriority w:val="99"/>
    <w:rsid w:val="005C4225"/>
    <w:pPr>
      <w:tabs>
        <w:tab w:val="left" w:pos="1440"/>
        <w:tab w:val="right" w:leader="dot" w:pos="9350"/>
      </w:tabs>
      <w:spacing w:after="100"/>
      <w:ind w:left="1440" w:hanging="720"/>
    </w:pPr>
  </w:style>
  <w:style w:type="paragraph" w:styleId="TDC1">
    <w:name w:val="toc 1"/>
    <w:basedOn w:val="Normal"/>
    <w:next w:val="Normal"/>
    <w:autoRedefine/>
    <w:uiPriority w:val="99"/>
    <w:rsid w:val="005C4225"/>
    <w:pPr>
      <w:spacing w:after="100"/>
    </w:pPr>
    <w:rPr>
      <w:rFonts w:ascii="Calibri" w:hAnsi="Calibri"/>
      <w:sz w:val="22"/>
    </w:rPr>
  </w:style>
  <w:style w:type="paragraph" w:styleId="TDC3">
    <w:name w:val="toc 3"/>
    <w:basedOn w:val="Normal"/>
    <w:next w:val="Normal"/>
    <w:autoRedefine/>
    <w:uiPriority w:val="99"/>
    <w:rsid w:val="005C4225"/>
    <w:pPr>
      <w:tabs>
        <w:tab w:val="left" w:pos="880"/>
        <w:tab w:val="right" w:leader="dot" w:pos="9350"/>
      </w:tabs>
      <w:spacing w:after="100"/>
      <w:ind w:left="2160" w:hanging="720"/>
    </w:pPr>
  </w:style>
  <w:style w:type="paragraph" w:styleId="TDC4">
    <w:name w:val="toc 4"/>
    <w:basedOn w:val="Normal"/>
    <w:next w:val="Normal"/>
    <w:autoRedefine/>
    <w:uiPriority w:val="99"/>
    <w:rsid w:val="005C4225"/>
    <w:pPr>
      <w:spacing w:after="100"/>
      <w:ind w:left="720"/>
    </w:pPr>
  </w:style>
  <w:style w:type="character" w:styleId="Nmerodepgina">
    <w:name w:val="page number"/>
    <w:uiPriority w:val="99"/>
    <w:rsid w:val="00040C3A"/>
    <w:rPr>
      <w:rFonts w:cs="Times New Roman"/>
    </w:rPr>
  </w:style>
  <w:style w:type="paragraph" w:styleId="Textoindependiente">
    <w:name w:val="Body Text"/>
    <w:basedOn w:val="Normal"/>
    <w:link w:val="TextoindependienteCar"/>
    <w:uiPriority w:val="99"/>
    <w:rsid w:val="001F1EE2"/>
    <w:pPr>
      <w:spacing w:after="120"/>
    </w:pPr>
  </w:style>
  <w:style w:type="character" w:customStyle="1" w:styleId="TextoindependienteCar">
    <w:name w:val="Texto independiente Car"/>
    <w:link w:val="Textoindependiente"/>
    <w:uiPriority w:val="99"/>
    <w:semiHidden/>
    <w:locked/>
    <w:rsid w:val="0096692A"/>
    <w:rPr>
      <w:rFonts w:cs="Times New Roman"/>
      <w:sz w:val="24"/>
      <w:szCs w:val="24"/>
    </w:rPr>
  </w:style>
  <w:style w:type="character" w:customStyle="1" w:styleId="FAFuChar1">
    <w:name w:val="FA Fu Char1"/>
    <w:aliases w:val="Footnote Text Char Char Char Char Char Char1,Footnote Text Char Char Char Char Char11,Footnote reference Char1,Footnote Text Char Char Char Char11,Footnote Text Cha Char1,FA Fußnotentext Char1,FA Fuﬂnotentext Char1,Texto nota pie Car Char"/>
    <w:uiPriority w:val="99"/>
    <w:locked/>
    <w:rsid w:val="001F1EE2"/>
  </w:style>
  <w:style w:type="character" w:styleId="Refdenotaalpie">
    <w:name w:val="footnote reference"/>
    <w:aliases w:val="Footnotes refss,Texto de nota al pie,Appel note de bas de page,referencia nota al pie,BVI fnr,Footnote number,f,Ref. de nota al pie."/>
    <w:uiPriority w:val="99"/>
    <w:rsid w:val="001F1EE2"/>
    <w:rPr>
      <w:rFonts w:cs="Times New Roman"/>
      <w:vertAlign w:val="superscript"/>
    </w:rPr>
  </w:style>
  <w:style w:type="paragraph" w:styleId="Sinespaciado">
    <w:name w:val="No Spacing"/>
    <w:uiPriority w:val="99"/>
    <w:qFormat/>
    <w:rsid w:val="001F1EE2"/>
    <w:rPr>
      <w:rFonts w:ascii="Calibri" w:hAnsi="Calibri"/>
      <w:sz w:val="22"/>
      <w:szCs w:val="22"/>
      <w:lang w:val="en-US" w:eastAsia="en-US"/>
    </w:rPr>
  </w:style>
  <w:style w:type="paragraph" w:customStyle="1" w:styleId="Style1">
    <w:name w:val="Style1"/>
    <w:basedOn w:val="Normal"/>
    <w:link w:val="Style1Char"/>
    <w:uiPriority w:val="99"/>
    <w:rsid w:val="001F1EE2"/>
    <w:pPr>
      <w:numPr>
        <w:numId w:val="103"/>
      </w:numPr>
      <w:pBdr>
        <w:top w:val="none" w:sz="0" w:space="0" w:color="auto"/>
        <w:left w:val="none" w:sz="0" w:space="0" w:color="auto"/>
        <w:bottom w:val="none" w:sz="0" w:space="0" w:color="auto"/>
        <w:right w:val="none" w:sz="0" w:space="0" w:color="auto"/>
        <w:bar w:val="none" w:sz="0" w:color="auto"/>
      </w:pBdr>
    </w:pPr>
    <w:rPr>
      <w:rFonts w:ascii="Calibri" w:hAnsi="Calibri"/>
      <w:b/>
      <w:sz w:val="22"/>
      <w:szCs w:val="20"/>
      <w:lang w:val="es-PE"/>
    </w:rPr>
  </w:style>
  <w:style w:type="character" w:customStyle="1" w:styleId="Style1Char">
    <w:name w:val="Style1 Char"/>
    <w:link w:val="Style1"/>
    <w:uiPriority w:val="99"/>
    <w:locked/>
    <w:rsid w:val="001F1EE2"/>
    <w:rPr>
      <w:rFonts w:ascii="Calibri" w:hAnsi="Calibri"/>
      <w:b/>
      <w:sz w:val="22"/>
      <w:lang w:val="es-PE" w:eastAsia="en-US"/>
    </w:rPr>
  </w:style>
  <w:style w:type="numbering" w:customStyle="1" w:styleId="List16">
    <w:name w:val="List 16"/>
    <w:rsid w:val="00E05883"/>
    <w:pPr>
      <w:numPr>
        <w:numId w:val="53"/>
      </w:numPr>
    </w:pPr>
  </w:style>
  <w:style w:type="numbering" w:customStyle="1" w:styleId="List36">
    <w:name w:val="List 36"/>
    <w:rsid w:val="00E05883"/>
    <w:pPr>
      <w:numPr>
        <w:numId w:val="57"/>
      </w:numPr>
    </w:pPr>
  </w:style>
  <w:style w:type="numbering" w:customStyle="1" w:styleId="List25">
    <w:name w:val="List 25"/>
    <w:rsid w:val="00E05883"/>
    <w:pPr>
      <w:numPr>
        <w:numId w:val="58"/>
      </w:numPr>
    </w:pPr>
  </w:style>
  <w:style w:type="numbering" w:customStyle="1" w:styleId="List1">
    <w:name w:val="List 1"/>
    <w:rsid w:val="00E05883"/>
    <w:pPr>
      <w:numPr>
        <w:numId w:val="2"/>
      </w:numPr>
    </w:pPr>
  </w:style>
  <w:style w:type="numbering" w:customStyle="1" w:styleId="List11">
    <w:name w:val="List 11"/>
    <w:rsid w:val="00E05883"/>
    <w:pPr>
      <w:numPr>
        <w:numId w:val="20"/>
      </w:numPr>
    </w:pPr>
  </w:style>
  <w:style w:type="numbering" w:customStyle="1" w:styleId="List15">
    <w:name w:val="List 15"/>
    <w:rsid w:val="00E05883"/>
    <w:pPr>
      <w:numPr>
        <w:numId w:val="59"/>
      </w:numPr>
    </w:pPr>
  </w:style>
  <w:style w:type="numbering" w:customStyle="1" w:styleId="List14">
    <w:name w:val="List 14"/>
    <w:rsid w:val="00E05883"/>
    <w:pPr>
      <w:numPr>
        <w:numId w:val="60"/>
      </w:numPr>
    </w:pPr>
  </w:style>
  <w:style w:type="numbering" w:customStyle="1" w:styleId="List23">
    <w:name w:val="List 23"/>
    <w:rsid w:val="00E05883"/>
    <w:pPr>
      <w:numPr>
        <w:numId w:val="61"/>
      </w:numPr>
    </w:pPr>
  </w:style>
  <w:style w:type="numbering" w:customStyle="1" w:styleId="List19">
    <w:name w:val="List 19"/>
    <w:rsid w:val="00E05883"/>
    <w:pPr>
      <w:numPr>
        <w:numId w:val="62"/>
      </w:numPr>
    </w:pPr>
  </w:style>
  <w:style w:type="numbering" w:customStyle="1" w:styleId="List45">
    <w:name w:val="List 45"/>
    <w:rsid w:val="00E05883"/>
    <w:pPr>
      <w:numPr>
        <w:numId w:val="63"/>
      </w:numPr>
    </w:pPr>
  </w:style>
  <w:style w:type="numbering" w:customStyle="1" w:styleId="List40">
    <w:name w:val="List 40"/>
    <w:rsid w:val="00E05883"/>
    <w:pPr>
      <w:numPr>
        <w:numId w:val="64"/>
      </w:numPr>
    </w:pPr>
  </w:style>
  <w:style w:type="numbering" w:customStyle="1" w:styleId="List9">
    <w:name w:val="List 9"/>
    <w:rsid w:val="00E05883"/>
    <w:pPr>
      <w:numPr>
        <w:numId w:val="65"/>
      </w:numPr>
    </w:pPr>
  </w:style>
  <w:style w:type="numbering" w:customStyle="1" w:styleId="List43">
    <w:name w:val="List 43"/>
    <w:rsid w:val="00E05883"/>
    <w:pPr>
      <w:numPr>
        <w:numId w:val="66"/>
      </w:numPr>
    </w:pPr>
  </w:style>
  <w:style w:type="numbering" w:customStyle="1" w:styleId="List46">
    <w:name w:val="List 46"/>
    <w:rsid w:val="00E05883"/>
    <w:pPr>
      <w:numPr>
        <w:numId w:val="67"/>
      </w:numPr>
    </w:pPr>
  </w:style>
  <w:style w:type="numbering" w:customStyle="1" w:styleId="List35">
    <w:name w:val="List 35"/>
    <w:rsid w:val="00E05883"/>
    <w:pPr>
      <w:numPr>
        <w:numId w:val="35"/>
      </w:numPr>
    </w:pPr>
  </w:style>
  <w:style w:type="numbering" w:customStyle="1" w:styleId="List17">
    <w:name w:val="List 17"/>
    <w:rsid w:val="00E05883"/>
    <w:pPr>
      <w:numPr>
        <w:numId w:val="68"/>
      </w:numPr>
    </w:pPr>
  </w:style>
  <w:style w:type="numbering" w:customStyle="1" w:styleId="List33">
    <w:name w:val="List 33"/>
    <w:rsid w:val="00E05883"/>
    <w:pPr>
      <w:numPr>
        <w:numId w:val="69"/>
      </w:numPr>
    </w:pPr>
  </w:style>
  <w:style w:type="numbering" w:customStyle="1" w:styleId="List7">
    <w:name w:val="List 7"/>
    <w:rsid w:val="00E05883"/>
    <w:pPr>
      <w:numPr>
        <w:numId w:val="8"/>
      </w:numPr>
    </w:pPr>
  </w:style>
  <w:style w:type="numbering" w:customStyle="1" w:styleId="List18">
    <w:name w:val="List 18"/>
    <w:rsid w:val="00E05883"/>
    <w:pPr>
      <w:numPr>
        <w:numId w:val="70"/>
      </w:numPr>
    </w:pPr>
  </w:style>
  <w:style w:type="numbering" w:customStyle="1" w:styleId="List22">
    <w:name w:val="List 22"/>
    <w:rsid w:val="00E05883"/>
    <w:pPr>
      <w:numPr>
        <w:numId w:val="71"/>
      </w:numPr>
    </w:pPr>
  </w:style>
  <w:style w:type="numbering" w:customStyle="1" w:styleId="List47">
    <w:name w:val="List 47"/>
    <w:rsid w:val="00E05883"/>
    <w:pPr>
      <w:numPr>
        <w:numId w:val="72"/>
      </w:numPr>
    </w:pPr>
  </w:style>
  <w:style w:type="numbering" w:customStyle="1" w:styleId="List28">
    <w:name w:val="List 28"/>
    <w:rsid w:val="00E05883"/>
    <w:pPr>
      <w:numPr>
        <w:numId w:val="73"/>
      </w:numPr>
    </w:pPr>
  </w:style>
  <w:style w:type="numbering" w:customStyle="1" w:styleId="List10">
    <w:name w:val="List 10"/>
    <w:rsid w:val="00E05883"/>
    <w:pPr>
      <w:numPr>
        <w:numId w:val="11"/>
      </w:numPr>
    </w:pPr>
  </w:style>
  <w:style w:type="numbering" w:customStyle="1" w:styleId="List0">
    <w:name w:val="List 0"/>
    <w:rsid w:val="00E05883"/>
    <w:pPr>
      <w:numPr>
        <w:numId w:val="74"/>
      </w:numPr>
    </w:pPr>
  </w:style>
  <w:style w:type="numbering" w:customStyle="1" w:styleId="List30">
    <w:name w:val="List 30"/>
    <w:rsid w:val="00E05883"/>
    <w:pPr>
      <w:numPr>
        <w:numId w:val="75"/>
      </w:numPr>
    </w:pPr>
  </w:style>
  <w:style w:type="numbering" w:customStyle="1" w:styleId="List29">
    <w:name w:val="List 29"/>
    <w:rsid w:val="00E05883"/>
    <w:pPr>
      <w:numPr>
        <w:numId w:val="77"/>
      </w:numPr>
    </w:pPr>
  </w:style>
  <w:style w:type="numbering" w:customStyle="1" w:styleId="List38">
    <w:name w:val="List 38"/>
    <w:rsid w:val="00E05883"/>
    <w:pPr>
      <w:numPr>
        <w:numId w:val="78"/>
      </w:numPr>
    </w:pPr>
  </w:style>
  <w:style w:type="numbering" w:customStyle="1" w:styleId="List12">
    <w:name w:val="List 12"/>
    <w:rsid w:val="00E05883"/>
    <w:pPr>
      <w:numPr>
        <w:numId w:val="79"/>
      </w:numPr>
    </w:pPr>
  </w:style>
  <w:style w:type="numbering" w:customStyle="1" w:styleId="List50">
    <w:name w:val="List 50"/>
    <w:rsid w:val="00E05883"/>
    <w:pPr>
      <w:numPr>
        <w:numId w:val="80"/>
      </w:numPr>
    </w:pPr>
  </w:style>
  <w:style w:type="numbering" w:customStyle="1" w:styleId="List34">
    <w:name w:val="List 34"/>
    <w:rsid w:val="00E05883"/>
    <w:pPr>
      <w:numPr>
        <w:numId w:val="54"/>
      </w:numPr>
    </w:pPr>
  </w:style>
  <w:style w:type="numbering" w:customStyle="1" w:styleId="List42">
    <w:name w:val="List 42"/>
    <w:rsid w:val="00E05883"/>
    <w:pPr>
      <w:numPr>
        <w:numId w:val="55"/>
      </w:numPr>
    </w:pPr>
  </w:style>
  <w:style w:type="numbering" w:customStyle="1" w:styleId="List49">
    <w:name w:val="List 49"/>
    <w:rsid w:val="00E05883"/>
    <w:pPr>
      <w:numPr>
        <w:numId w:val="82"/>
      </w:numPr>
    </w:pPr>
  </w:style>
  <w:style w:type="numbering" w:customStyle="1" w:styleId="List44">
    <w:name w:val="List 44"/>
    <w:rsid w:val="00E05883"/>
    <w:pPr>
      <w:numPr>
        <w:numId w:val="83"/>
      </w:numPr>
    </w:pPr>
  </w:style>
  <w:style w:type="numbering" w:customStyle="1" w:styleId="List21">
    <w:name w:val="List 21"/>
    <w:rsid w:val="00E05883"/>
    <w:pPr>
      <w:numPr>
        <w:numId w:val="95"/>
      </w:numPr>
    </w:pPr>
  </w:style>
  <w:style w:type="numbering" w:customStyle="1" w:styleId="List52">
    <w:name w:val="List 52"/>
    <w:rsid w:val="00E05883"/>
    <w:pPr>
      <w:numPr>
        <w:numId w:val="52"/>
      </w:numPr>
    </w:pPr>
  </w:style>
  <w:style w:type="numbering" w:customStyle="1" w:styleId="List24">
    <w:name w:val="List 24"/>
    <w:rsid w:val="00E05883"/>
    <w:pPr>
      <w:numPr>
        <w:numId w:val="56"/>
      </w:numPr>
    </w:pPr>
  </w:style>
  <w:style w:type="numbering" w:customStyle="1" w:styleId="List51">
    <w:name w:val="List 51"/>
    <w:rsid w:val="00E05883"/>
    <w:pPr>
      <w:numPr>
        <w:numId w:val="98"/>
      </w:numPr>
    </w:pPr>
  </w:style>
  <w:style w:type="numbering" w:customStyle="1" w:styleId="List27">
    <w:name w:val="List 27"/>
    <w:rsid w:val="00E05883"/>
    <w:pPr>
      <w:numPr>
        <w:numId w:val="84"/>
      </w:numPr>
    </w:pPr>
  </w:style>
  <w:style w:type="numbering" w:customStyle="1" w:styleId="List8">
    <w:name w:val="List 8"/>
    <w:rsid w:val="00E05883"/>
    <w:pPr>
      <w:numPr>
        <w:numId w:val="9"/>
      </w:numPr>
    </w:pPr>
  </w:style>
  <w:style w:type="numbering" w:customStyle="1" w:styleId="List13">
    <w:name w:val="List 13"/>
    <w:rsid w:val="00E05883"/>
    <w:pPr>
      <w:numPr>
        <w:numId w:val="85"/>
      </w:numPr>
    </w:pPr>
  </w:style>
  <w:style w:type="numbering" w:customStyle="1" w:styleId="List20">
    <w:name w:val="List 20"/>
    <w:rsid w:val="00E05883"/>
    <w:pPr>
      <w:numPr>
        <w:numId w:val="86"/>
      </w:numPr>
    </w:pPr>
  </w:style>
  <w:style w:type="numbering" w:customStyle="1" w:styleId="List41">
    <w:name w:val="List 41"/>
    <w:rsid w:val="00E05883"/>
    <w:pPr>
      <w:numPr>
        <w:numId w:val="87"/>
      </w:numPr>
    </w:pPr>
  </w:style>
  <w:style w:type="numbering" w:customStyle="1" w:styleId="List31">
    <w:name w:val="List 31"/>
    <w:rsid w:val="00E05883"/>
    <w:pPr>
      <w:numPr>
        <w:numId w:val="88"/>
      </w:numPr>
    </w:pPr>
  </w:style>
  <w:style w:type="numbering" w:customStyle="1" w:styleId="List6">
    <w:name w:val="List 6"/>
    <w:rsid w:val="00E05883"/>
    <w:pPr>
      <w:numPr>
        <w:numId w:val="7"/>
      </w:numPr>
    </w:pPr>
  </w:style>
  <w:style w:type="numbering" w:customStyle="1" w:styleId="List39">
    <w:name w:val="List 39"/>
    <w:rsid w:val="00E05883"/>
    <w:pPr>
      <w:numPr>
        <w:numId w:val="89"/>
      </w:numPr>
    </w:pPr>
  </w:style>
  <w:style w:type="numbering" w:customStyle="1" w:styleId="List37">
    <w:name w:val="List 37"/>
    <w:rsid w:val="00E05883"/>
    <w:pPr>
      <w:numPr>
        <w:numId w:val="90"/>
      </w:numPr>
    </w:pPr>
  </w:style>
  <w:style w:type="numbering" w:customStyle="1" w:styleId="List32">
    <w:name w:val="List 32"/>
    <w:rsid w:val="00E05883"/>
    <w:pPr>
      <w:numPr>
        <w:numId w:val="91"/>
      </w:numPr>
    </w:pPr>
  </w:style>
  <w:style w:type="numbering" w:customStyle="1" w:styleId="List26">
    <w:name w:val="List 26"/>
    <w:rsid w:val="00E05883"/>
    <w:pPr>
      <w:numPr>
        <w:numId w:val="92"/>
      </w:numPr>
    </w:pPr>
  </w:style>
  <w:style w:type="numbering" w:customStyle="1" w:styleId="List48">
    <w:name w:val="List 48"/>
    <w:rsid w:val="00E05883"/>
    <w:pPr>
      <w:numPr>
        <w:numId w:val="9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58444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4123</Words>
  <Characters>22681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CIDH</dc:creator>
  <cp:keywords/>
  <cp:lastModifiedBy>Liliana Tojo</cp:lastModifiedBy>
  <cp:revision>2</cp:revision>
  <cp:lastPrinted>2014-07-31T13:33:00Z</cp:lastPrinted>
  <dcterms:created xsi:type="dcterms:W3CDTF">2020-11-16T15:59:00Z</dcterms:created>
  <dcterms:modified xsi:type="dcterms:W3CDTF">2020-11-16T15:59:00Z</dcterms:modified>
</cp:coreProperties>
</file>