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0ABDD" w14:textId="77777777" w:rsidR="00E100D7" w:rsidRPr="00E100D7" w:rsidRDefault="00E100D7" w:rsidP="00B10467">
      <w:pPr>
        <w:suppressAutoHyphens/>
        <w:spacing w:after="0" w:line="240" w:lineRule="auto"/>
        <w:jc w:val="right"/>
        <w:rPr>
          <w:rFonts w:cs="Calibri"/>
          <w:sz w:val="20"/>
          <w:szCs w:val="20"/>
          <w:lang w:val="es-CO"/>
        </w:rPr>
      </w:pPr>
    </w:p>
    <w:p w14:paraId="5B9E0C8F" w14:textId="77777777" w:rsidR="00251530" w:rsidRPr="00E100D7" w:rsidRDefault="00FC36F7" w:rsidP="00B10467">
      <w:pPr>
        <w:suppressAutoHyphens/>
        <w:spacing w:after="0" w:line="240" w:lineRule="auto"/>
        <w:jc w:val="right"/>
        <w:rPr>
          <w:rFonts w:cs="Calibri"/>
          <w:b/>
          <w:sz w:val="20"/>
          <w:szCs w:val="20"/>
          <w:lang w:val="es-CO"/>
        </w:rPr>
      </w:pPr>
      <w:r w:rsidRPr="00E100D7">
        <w:rPr>
          <w:rFonts w:cs="Calibri"/>
          <w:sz w:val="20"/>
          <w:szCs w:val="20"/>
          <w:lang w:val="es-CO"/>
        </w:rPr>
        <w:t>8 de julio</w:t>
      </w:r>
      <w:r w:rsidR="0038611D" w:rsidRPr="00E100D7">
        <w:rPr>
          <w:rFonts w:cs="Calibri"/>
          <w:sz w:val="20"/>
          <w:szCs w:val="20"/>
          <w:lang w:val="es-CO"/>
        </w:rPr>
        <w:t xml:space="preserve"> </w:t>
      </w:r>
      <w:r w:rsidR="00251530" w:rsidRPr="00E100D7">
        <w:rPr>
          <w:rFonts w:cs="Calibri"/>
          <w:sz w:val="20"/>
          <w:szCs w:val="20"/>
          <w:lang w:val="es-CO"/>
        </w:rPr>
        <w:t>de 20</w:t>
      </w:r>
      <w:r w:rsidR="0038611D" w:rsidRPr="00E100D7">
        <w:rPr>
          <w:rFonts w:cs="Calibri"/>
          <w:sz w:val="20"/>
          <w:szCs w:val="20"/>
          <w:lang w:val="es-CO"/>
        </w:rPr>
        <w:t>20</w:t>
      </w:r>
    </w:p>
    <w:p w14:paraId="5954AA88" w14:textId="77777777" w:rsidR="00CF1AB0" w:rsidRPr="00E100D7" w:rsidRDefault="00CF1AB0" w:rsidP="00B10467">
      <w:pPr>
        <w:tabs>
          <w:tab w:val="left" w:pos="720"/>
          <w:tab w:val="center" w:pos="6480"/>
        </w:tabs>
        <w:spacing w:after="0" w:line="240" w:lineRule="auto"/>
        <w:jc w:val="both"/>
        <w:rPr>
          <w:rFonts w:cs="Calibri"/>
          <w:b/>
          <w:sz w:val="20"/>
          <w:szCs w:val="20"/>
          <w:lang w:val="es-CO"/>
        </w:rPr>
      </w:pPr>
    </w:p>
    <w:p w14:paraId="201F026B" w14:textId="77777777" w:rsidR="00251530" w:rsidRPr="00E100D7" w:rsidRDefault="00E100D7" w:rsidP="00B10467">
      <w:pPr>
        <w:tabs>
          <w:tab w:val="left" w:pos="720"/>
          <w:tab w:val="center" w:pos="6480"/>
        </w:tabs>
        <w:spacing w:after="0" w:line="240" w:lineRule="auto"/>
        <w:jc w:val="both"/>
        <w:rPr>
          <w:rFonts w:cs="Calibri"/>
          <w:b/>
          <w:sz w:val="20"/>
          <w:szCs w:val="20"/>
          <w:lang w:val="es-CO"/>
        </w:rPr>
      </w:pPr>
      <w:r w:rsidRPr="00E100D7">
        <w:rPr>
          <w:rFonts w:cs="Calibri"/>
          <w:b/>
          <w:sz w:val="20"/>
          <w:szCs w:val="20"/>
          <w:lang w:val="es-CO"/>
        </w:rPr>
        <w:t>REF</w:t>
      </w:r>
      <w:r w:rsidR="00251530" w:rsidRPr="00E100D7">
        <w:rPr>
          <w:rFonts w:cs="Calibri"/>
          <w:b/>
          <w:sz w:val="20"/>
          <w:szCs w:val="20"/>
          <w:lang w:val="es-CO"/>
        </w:rPr>
        <w:t>.:</w:t>
      </w:r>
      <w:bookmarkStart w:id="0" w:name="Peticion_n"/>
      <w:bookmarkEnd w:id="0"/>
      <w:r w:rsidRPr="00E100D7">
        <w:rPr>
          <w:rFonts w:cs="Calibri"/>
          <w:b/>
          <w:sz w:val="20"/>
          <w:szCs w:val="20"/>
          <w:lang w:val="es-CO"/>
        </w:rPr>
        <w:tab/>
        <w:t xml:space="preserve">Caso Nº </w:t>
      </w:r>
      <w:r w:rsidR="003B00EE" w:rsidRPr="00E100D7">
        <w:rPr>
          <w:rFonts w:cs="Calibri"/>
          <w:b/>
          <w:sz w:val="20"/>
          <w:szCs w:val="20"/>
          <w:lang w:val="es-CO"/>
        </w:rPr>
        <w:t>12.380</w:t>
      </w:r>
    </w:p>
    <w:p w14:paraId="60AC82A2" w14:textId="77777777" w:rsidR="003B00EE" w:rsidRPr="00E100D7" w:rsidRDefault="003B00EE" w:rsidP="00B10467">
      <w:pPr>
        <w:tabs>
          <w:tab w:val="left" w:pos="720"/>
          <w:tab w:val="center" w:pos="6480"/>
        </w:tabs>
        <w:spacing w:after="0" w:line="240" w:lineRule="auto"/>
        <w:ind w:left="720"/>
        <w:jc w:val="both"/>
        <w:rPr>
          <w:rFonts w:eastAsia="Times New Roman" w:cs="Calibri"/>
          <w:b/>
          <w:sz w:val="20"/>
          <w:szCs w:val="20"/>
          <w:lang w:val="es-ES"/>
        </w:rPr>
      </w:pPr>
      <w:r w:rsidRPr="00E100D7">
        <w:rPr>
          <w:rFonts w:eastAsia="Times New Roman" w:cs="Calibri"/>
          <w:b/>
          <w:sz w:val="20"/>
          <w:szCs w:val="20"/>
          <w:lang w:val="es-ES"/>
        </w:rPr>
        <w:t xml:space="preserve">Miembros de la Corporación Colectivo de </w:t>
      </w:r>
      <w:r w:rsidR="00F64DF0" w:rsidRPr="00E100D7">
        <w:rPr>
          <w:rFonts w:eastAsia="Times New Roman" w:cs="Calibri"/>
          <w:b/>
          <w:sz w:val="20"/>
          <w:szCs w:val="20"/>
          <w:lang w:val="es-ES"/>
        </w:rPr>
        <w:t>Abogados "José Alve</w:t>
      </w:r>
      <w:r w:rsidRPr="00E100D7">
        <w:rPr>
          <w:rFonts w:eastAsia="Times New Roman" w:cs="Calibri"/>
          <w:b/>
          <w:sz w:val="20"/>
          <w:szCs w:val="20"/>
          <w:lang w:val="es-ES"/>
        </w:rPr>
        <w:t>ar Restrepo”</w:t>
      </w:r>
    </w:p>
    <w:p w14:paraId="551C70CB" w14:textId="77777777" w:rsidR="00251530" w:rsidRPr="00E100D7" w:rsidRDefault="00FC36F7" w:rsidP="00B10467">
      <w:pPr>
        <w:tabs>
          <w:tab w:val="left" w:pos="720"/>
          <w:tab w:val="center" w:pos="6480"/>
        </w:tabs>
        <w:spacing w:after="0" w:line="240" w:lineRule="auto"/>
        <w:ind w:left="720"/>
        <w:jc w:val="both"/>
        <w:rPr>
          <w:rFonts w:cs="Calibri"/>
          <w:b/>
          <w:sz w:val="20"/>
          <w:szCs w:val="20"/>
          <w:lang w:val="es-ES_tradnl"/>
        </w:rPr>
      </w:pPr>
      <w:r w:rsidRPr="00E100D7">
        <w:rPr>
          <w:rFonts w:cs="Calibri"/>
          <w:b/>
          <w:sz w:val="20"/>
          <w:szCs w:val="20"/>
          <w:lang w:val="es-ES_tradnl"/>
        </w:rPr>
        <w:t>Colombia</w:t>
      </w:r>
    </w:p>
    <w:p w14:paraId="3F2003D2" w14:textId="77777777" w:rsidR="00251530" w:rsidRPr="00E100D7" w:rsidRDefault="00251530" w:rsidP="00B10467">
      <w:pPr>
        <w:tabs>
          <w:tab w:val="left" w:pos="720"/>
          <w:tab w:val="center" w:pos="6480"/>
        </w:tabs>
        <w:spacing w:after="0" w:line="240" w:lineRule="auto"/>
        <w:jc w:val="both"/>
        <w:rPr>
          <w:rFonts w:cs="Calibri"/>
          <w:sz w:val="20"/>
          <w:szCs w:val="20"/>
          <w:lang w:val="es-PE"/>
        </w:rPr>
      </w:pPr>
    </w:p>
    <w:p w14:paraId="4A3F7498" w14:textId="77777777" w:rsidR="00E100D7" w:rsidRPr="00E100D7" w:rsidRDefault="00E100D7" w:rsidP="00B10467">
      <w:pPr>
        <w:tabs>
          <w:tab w:val="left" w:pos="720"/>
          <w:tab w:val="center" w:pos="6480"/>
        </w:tabs>
        <w:spacing w:after="0" w:line="240" w:lineRule="auto"/>
        <w:jc w:val="both"/>
        <w:rPr>
          <w:rFonts w:cs="Calibri"/>
          <w:sz w:val="20"/>
          <w:szCs w:val="20"/>
          <w:lang w:val="es-PE"/>
        </w:rPr>
      </w:pPr>
    </w:p>
    <w:p w14:paraId="7F68B4DF" w14:textId="77777777" w:rsidR="00251530" w:rsidRPr="00E100D7" w:rsidRDefault="00251530" w:rsidP="00B10467">
      <w:pPr>
        <w:tabs>
          <w:tab w:val="left" w:pos="720"/>
          <w:tab w:val="center" w:pos="6480"/>
        </w:tabs>
        <w:spacing w:after="0" w:line="240" w:lineRule="auto"/>
        <w:jc w:val="both"/>
        <w:rPr>
          <w:rFonts w:cs="Calibri"/>
          <w:sz w:val="20"/>
          <w:szCs w:val="20"/>
          <w:lang w:val="es-PE"/>
        </w:rPr>
      </w:pPr>
      <w:r w:rsidRPr="00E100D7">
        <w:rPr>
          <w:rFonts w:cs="Calibri"/>
          <w:sz w:val="20"/>
          <w:szCs w:val="20"/>
          <w:lang w:val="es-PE"/>
        </w:rPr>
        <w:t>Señor Secretario:</w:t>
      </w:r>
    </w:p>
    <w:p w14:paraId="6EEFBE0E" w14:textId="77777777" w:rsidR="00251530" w:rsidRPr="00E100D7" w:rsidRDefault="00251530" w:rsidP="00B10467">
      <w:pPr>
        <w:spacing w:after="0" w:line="240" w:lineRule="auto"/>
        <w:rPr>
          <w:rFonts w:cs="Calibri"/>
          <w:sz w:val="20"/>
          <w:szCs w:val="20"/>
          <w:lang w:val="es-CO"/>
        </w:rPr>
      </w:pPr>
    </w:p>
    <w:p w14:paraId="7E5B006A" w14:textId="77777777" w:rsidR="0038611D" w:rsidRPr="00E100D7" w:rsidRDefault="00251530" w:rsidP="0038611D">
      <w:pPr>
        <w:widowControl w:val="0"/>
        <w:autoSpaceDE w:val="0"/>
        <w:autoSpaceDN w:val="0"/>
        <w:adjustRightInd w:val="0"/>
        <w:spacing w:after="0" w:line="240" w:lineRule="auto"/>
        <w:ind w:firstLine="720"/>
        <w:jc w:val="both"/>
        <w:rPr>
          <w:rFonts w:cs="Calibri"/>
          <w:sz w:val="20"/>
          <w:szCs w:val="20"/>
          <w:lang w:val="es-CO"/>
        </w:rPr>
      </w:pPr>
      <w:r w:rsidRPr="00E100D7">
        <w:rPr>
          <w:rFonts w:cs="Calibri"/>
          <w:sz w:val="20"/>
          <w:szCs w:val="20"/>
          <w:lang w:val="es-CO"/>
        </w:rPr>
        <w:t>Tengo el agrado de dirigirme a usted</w:t>
      </w:r>
      <w:r w:rsidR="00927010" w:rsidRPr="00E100D7">
        <w:rPr>
          <w:rFonts w:cs="Calibri"/>
          <w:sz w:val="20"/>
          <w:szCs w:val="20"/>
          <w:lang w:val="es-CO"/>
        </w:rPr>
        <w:t>,</w:t>
      </w:r>
      <w:r w:rsidRPr="00E100D7">
        <w:rPr>
          <w:rFonts w:cs="Calibri"/>
          <w:sz w:val="20"/>
          <w:szCs w:val="20"/>
          <w:lang w:val="es-CO"/>
        </w:rPr>
        <w:t xml:space="preserve"> en nombre de la Comisión Interamericana de Derechos Humanos</w:t>
      </w:r>
      <w:r w:rsidR="00927010" w:rsidRPr="00E100D7">
        <w:rPr>
          <w:rFonts w:cs="Calibri"/>
          <w:sz w:val="20"/>
          <w:szCs w:val="20"/>
          <w:lang w:val="es-CO"/>
        </w:rPr>
        <w:t>,</w:t>
      </w:r>
      <w:r w:rsidRPr="00E100D7">
        <w:rPr>
          <w:rFonts w:cs="Calibri"/>
          <w:sz w:val="20"/>
          <w:szCs w:val="20"/>
          <w:lang w:val="es-CO"/>
        </w:rPr>
        <w:t xml:space="preserve"> con el objeto de someter a la jurisdicción de la Honorable Corte Interame</w:t>
      </w:r>
      <w:r w:rsidR="00927010" w:rsidRPr="00E100D7">
        <w:rPr>
          <w:rFonts w:cs="Calibri"/>
          <w:sz w:val="20"/>
          <w:szCs w:val="20"/>
          <w:lang w:val="es-CO"/>
        </w:rPr>
        <w:t>ricana de Derechos Humanos, el C</w:t>
      </w:r>
      <w:r w:rsidRPr="00E100D7">
        <w:rPr>
          <w:rFonts w:cs="Calibri"/>
          <w:sz w:val="20"/>
          <w:szCs w:val="20"/>
          <w:lang w:val="es-CO"/>
        </w:rPr>
        <w:t>aso</w:t>
      </w:r>
      <w:r w:rsidR="003B00EE" w:rsidRPr="00E100D7">
        <w:rPr>
          <w:rFonts w:cs="Calibri"/>
          <w:sz w:val="20"/>
          <w:szCs w:val="20"/>
          <w:lang w:val="es-CO"/>
        </w:rPr>
        <w:t xml:space="preserve"> No.</w:t>
      </w:r>
      <w:r w:rsidRPr="00E100D7">
        <w:rPr>
          <w:rFonts w:cs="Calibri"/>
          <w:sz w:val="20"/>
          <w:szCs w:val="20"/>
          <w:lang w:val="es-CO"/>
        </w:rPr>
        <w:t xml:space="preserve"> </w:t>
      </w:r>
      <w:r w:rsidR="003B00EE" w:rsidRPr="00E100D7">
        <w:rPr>
          <w:rFonts w:cs="Calibri"/>
          <w:sz w:val="20"/>
          <w:szCs w:val="20"/>
          <w:lang w:val="es-CO"/>
        </w:rPr>
        <w:t>12.380</w:t>
      </w:r>
      <w:r w:rsidRPr="00E100D7">
        <w:rPr>
          <w:rFonts w:cs="Calibri"/>
          <w:sz w:val="20"/>
          <w:szCs w:val="20"/>
          <w:lang w:val="es-CO"/>
        </w:rPr>
        <w:t xml:space="preserve"> – </w:t>
      </w:r>
      <w:r w:rsidR="003B00EE" w:rsidRPr="00E100D7">
        <w:rPr>
          <w:rFonts w:eastAsia="Times New Roman" w:cs="Calibri"/>
          <w:sz w:val="20"/>
          <w:szCs w:val="20"/>
          <w:lang w:val="es-ES"/>
        </w:rPr>
        <w:t xml:space="preserve">Miembros de la Corporación Colectivo de </w:t>
      </w:r>
      <w:r w:rsidR="00F64DF0" w:rsidRPr="00E100D7">
        <w:rPr>
          <w:rFonts w:eastAsia="Times New Roman" w:cs="Calibri"/>
          <w:sz w:val="20"/>
          <w:szCs w:val="20"/>
          <w:lang w:val="es-ES"/>
        </w:rPr>
        <w:t>Abogados "José Alve</w:t>
      </w:r>
      <w:r w:rsidR="003B00EE" w:rsidRPr="00E100D7">
        <w:rPr>
          <w:rFonts w:eastAsia="Times New Roman" w:cs="Calibri"/>
          <w:sz w:val="20"/>
          <w:szCs w:val="20"/>
          <w:lang w:val="es-ES"/>
        </w:rPr>
        <w:t>ar Restrepo”</w:t>
      </w:r>
      <w:r w:rsidR="00392CF0" w:rsidRPr="00E100D7">
        <w:rPr>
          <w:rFonts w:eastAsia="Times New Roman" w:cs="Calibri"/>
          <w:sz w:val="20"/>
          <w:szCs w:val="20"/>
          <w:lang w:val="es-ES"/>
        </w:rPr>
        <w:t xml:space="preserve"> - CAJAR</w:t>
      </w:r>
      <w:r w:rsidR="003B00EE" w:rsidRPr="00E100D7">
        <w:rPr>
          <w:rFonts w:eastAsia="Times New Roman" w:cs="Calibri"/>
          <w:b/>
          <w:sz w:val="20"/>
          <w:szCs w:val="20"/>
          <w:lang w:val="es-ES"/>
        </w:rPr>
        <w:t xml:space="preserve"> </w:t>
      </w:r>
      <w:r w:rsidRPr="00E100D7">
        <w:rPr>
          <w:rFonts w:cs="Calibri"/>
          <w:sz w:val="20"/>
          <w:szCs w:val="20"/>
          <w:lang w:val="es-CO"/>
        </w:rPr>
        <w:t xml:space="preserve">respecto de la República de </w:t>
      </w:r>
      <w:r w:rsidR="003B00EE" w:rsidRPr="00E100D7">
        <w:rPr>
          <w:rFonts w:cs="Calibri"/>
          <w:sz w:val="20"/>
          <w:szCs w:val="20"/>
          <w:lang w:val="es-CO"/>
        </w:rPr>
        <w:t>Colombia</w:t>
      </w:r>
      <w:r w:rsidRPr="00E100D7">
        <w:rPr>
          <w:rFonts w:cs="Calibri"/>
          <w:sz w:val="20"/>
          <w:szCs w:val="20"/>
          <w:lang w:val="es-CO"/>
        </w:rPr>
        <w:t xml:space="preserve"> (en adelante “el Estado”, </w:t>
      </w:r>
      <w:r w:rsidR="0038611D" w:rsidRPr="00E100D7">
        <w:rPr>
          <w:rFonts w:cs="Calibri"/>
          <w:sz w:val="20"/>
          <w:szCs w:val="20"/>
          <w:lang w:val="es-CO"/>
        </w:rPr>
        <w:t xml:space="preserve">“el Estado </w:t>
      </w:r>
      <w:r w:rsidR="003B00EE" w:rsidRPr="00E100D7">
        <w:rPr>
          <w:rFonts w:cs="Calibri"/>
          <w:sz w:val="20"/>
          <w:szCs w:val="20"/>
          <w:lang w:val="es-CO"/>
        </w:rPr>
        <w:t>colombiano</w:t>
      </w:r>
      <w:r w:rsidR="0038611D" w:rsidRPr="00E100D7">
        <w:rPr>
          <w:rFonts w:cs="Calibri"/>
          <w:sz w:val="20"/>
          <w:szCs w:val="20"/>
          <w:lang w:val="es-CO"/>
        </w:rPr>
        <w:t>” o “</w:t>
      </w:r>
      <w:r w:rsidR="003B00EE" w:rsidRPr="00E100D7">
        <w:rPr>
          <w:rFonts w:cs="Calibri"/>
          <w:sz w:val="20"/>
          <w:szCs w:val="20"/>
          <w:lang w:val="es-CO"/>
        </w:rPr>
        <w:t>Colombia</w:t>
      </w:r>
      <w:r w:rsidR="0038611D" w:rsidRPr="00E100D7">
        <w:rPr>
          <w:rFonts w:cs="Calibri"/>
          <w:sz w:val="20"/>
          <w:szCs w:val="20"/>
          <w:lang w:val="es-CO"/>
        </w:rPr>
        <w:t xml:space="preserve">”). </w:t>
      </w:r>
    </w:p>
    <w:p w14:paraId="042BE0EA" w14:textId="77777777" w:rsidR="0038611D" w:rsidRPr="00E100D7" w:rsidRDefault="0038611D" w:rsidP="0038611D">
      <w:pPr>
        <w:widowControl w:val="0"/>
        <w:autoSpaceDE w:val="0"/>
        <w:autoSpaceDN w:val="0"/>
        <w:adjustRightInd w:val="0"/>
        <w:spacing w:after="0" w:line="240" w:lineRule="auto"/>
        <w:ind w:firstLine="720"/>
        <w:jc w:val="both"/>
        <w:rPr>
          <w:rFonts w:cs="Calibri"/>
          <w:sz w:val="20"/>
          <w:szCs w:val="20"/>
          <w:lang w:val="es-CO"/>
        </w:rPr>
      </w:pPr>
    </w:p>
    <w:p w14:paraId="226034F8" w14:textId="77777777" w:rsidR="00D43FD7" w:rsidRPr="00E100D7" w:rsidRDefault="00251530" w:rsidP="00F25715">
      <w:pPr>
        <w:spacing w:after="0" w:line="240" w:lineRule="auto"/>
        <w:ind w:firstLine="720"/>
        <w:jc w:val="both"/>
        <w:rPr>
          <w:rFonts w:cs="Calibri"/>
          <w:sz w:val="20"/>
          <w:szCs w:val="20"/>
          <w:lang w:val="es-ES"/>
        </w:rPr>
      </w:pPr>
      <w:r w:rsidRPr="00E100D7">
        <w:rPr>
          <w:rFonts w:cs="Calibri"/>
          <w:sz w:val="20"/>
          <w:szCs w:val="20"/>
          <w:lang w:val="es-ES"/>
        </w:rPr>
        <w:t xml:space="preserve">El presente caso se </w:t>
      </w:r>
      <w:r w:rsidR="00392CF0" w:rsidRPr="00E100D7">
        <w:rPr>
          <w:rFonts w:cs="Calibri"/>
          <w:sz w:val="20"/>
          <w:szCs w:val="20"/>
          <w:lang w:val="es-ES"/>
        </w:rPr>
        <w:t>relaciona con hechos de violencia, intimidación, hostigamiento y amenazas en contra de los miembros del CAJAR desde la década de 1990 y hasta la actualidad, vinculados a sus actividades de defensa de los derechos humanos.</w:t>
      </w:r>
      <w:r w:rsidR="00F25715" w:rsidRPr="00E100D7">
        <w:rPr>
          <w:rFonts w:cs="Calibri"/>
          <w:sz w:val="20"/>
          <w:szCs w:val="20"/>
          <w:lang w:val="es-ES"/>
        </w:rPr>
        <w:t xml:space="preserve"> </w:t>
      </w:r>
      <w:r w:rsidR="00F25715" w:rsidRPr="00E100D7">
        <w:rPr>
          <w:rFonts w:eastAsia="Times New Roman" w:cs="Calibri"/>
          <w:color w:val="000000"/>
          <w:sz w:val="20"/>
          <w:szCs w:val="20"/>
          <w:lang w:val="es-US"/>
        </w:rPr>
        <w:t>L</w:t>
      </w:r>
      <w:r w:rsidR="00F25715" w:rsidRPr="00E100D7">
        <w:rPr>
          <w:rFonts w:cs="Calibri"/>
          <w:sz w:val="20"/>
          <w:szCs w:val="20"/>
          <w:lang w:val="es-ES"/>
        </w:rPr>
        <w:t xml:space="preserve">a Comisión consideró que </w:t>
      </w:r>
      <w:r w:rsidR="009879DE" w:rsidRPr="00E100D7">
        <w:rPr>
          <w:rFonts w:cs="Calibri"/>
          <w:sz w:val="20"/>
          <w:szCs w:val="20"/>
          <w:lang w:val="es-ES"/>
        </w:rPr>
        <w:t>para el análisis d</w:t>
      </w:r>
      <w:r w:rsidR="00F25715" w:rsidRPr="00E100D7">
        <w:rPr>
          <w:rFonts w:cs="Calibri"/>
          <w:sz w:val="20"/>
          <w:szCs w:val="20"/>
          <w:lang w:val="es-ES"/>
        </w:rPr>
        <w:t xml:space="preserve">el presente caso </w:t>
      </w:r>
      <w:r w:rsidR="009879DE" w:rsidRPr="00E100D7">
        <w:rPr>
          <w:rFonts w:cs="Calibri"/>
          <w:sz w:val="20"/>
          <w:szCs w:val="20"/>
          <w:lang w:val="es-ES"/>
        </w:rPr>
        <w:t>e</w:t>
      </w:r>
      <w:r w:rsidR="009A6CE1" w:rsidRPr="00E100D7">
        <w:rPr>
          <w:rFonts w:cs="Calibri"/>
          <w:sz w:val="20"/>
          <w:szCs w:val="20"/>
          <w:lang w:val="es-ES"/>
        </w:rPr>
        <w:t>ra</w:t>
      </w:r>
      <w:r w:rsidR="009879DE" w:rsidRPr="00E100D7">
        <w:rPr>
          <w:rFonts w:cs="Calibri"/>
          <w:sz w:val="20"/>
          <w:szCs w:val="20"/>
          <w:lang w:val="es-ES"/>
        </w:rPr>
        <w:t xml:space="preserve"> necesario atender a la interrelación que tienen</w:t>
      </w:r>
      <w:r w:rsidR="00F25715" w:rsidRPr="00E100D7">
        <w:rPr>
          <w:rFonts w:cs="Calibri"/>
          <w:sz w:val="20"/>
          <w:szCs w:val="20"/>
          <w:lang w:val="es-ES"/>
        </w:rPr>
        <w:t xml:space="preserve"> los deberes de respeto y garantía </w:t>
      </w:r>
      <w:r w:rsidR="009879DE" w:rsidRPr="00E100D7">
        <w:rPr>
          <w:rFonts w:cs="Calibri"/>
          <w:sz w:val="20"/>
          <w:szCs w:val="20"/>
          <w:lang w:val="es-ES"/>
        </w:rPr>
        <w:t xml:space="preserve">para los derechos de las personas defensoras </w:t>
      </w:r>
      <w:r w:rsidR="00F25715" w:rsidRPr="00E100D7">
        <w:rPr>
          <w:rFonts w:cs="Calibri"/>
          <w:sz w:val="20"/>
          <w:szCs w:val="20"/>
          <w:lang w:val="es-ES"/>
        </w:rPr>
        <w:t>y resaltó el vínculo inescindible entre una investigación adecuada y el deber de prevención en este tipo de casos</w:t>
      </w:r>
      <w:r w:rsidR="009879DE" w:rsidRPr="00E100D7">
        <w:rPr>
          <w:rFonts w:cs="Calibri"/>
          <w:sz w:val="20"/>
          <w:szCs w:val="20"/>
          <w:lang w:val="es-ES"/>
        </w:rPr>
        <w:t>.</w:t>
      </w:r>
      <w:r w:rsidR="00F25715" w:rsidRPr="00E100D7" w:rsidDel="00F25715">
        <w:rPr>
          <w:rFonts w:cs="Calibri"/>
          <w:sz w:val="20"/>
          <w:szCs w:val="20"/>
          <w:lang w:val="es-ES"/>
        </w:rPr>
        <w:t xml:space="preserve"> </w:t>
      </w:r>
    </w:p>
    <w:p w14:paraId="5FDCDE44" w14:textId="77777777" w:rsidR="00D43FD7" w:rsidRPr="00E100D7" w:rsidRDefault="00D43FD7" w:rsidP="004E1087">
      <w:pPr>
        <w:spacing w:after="0" w:line="240" w:lineRule="auto"/>
        <w:jc w:val="both"/>
        <w:rPr>
          <w:rFonts w:cs="Calibri"/>
          <w:sz w:val="20"/>
          <w:szCs w:val="20"/>
          <w:lang w:val="es-ES"/>
        </w:rPr>
      </w:pPr>
    </w:p>
    <w:p w14:paraId="3747BE2E" w14:textId="77777777" w:rsidR="002E57DC" w:rsidRPr="00E100D7" w:rsidRDefault="0091534B" w:rsidP="004E1087">
      <w:pPr>
        <w:spacing w:after="0" w:line="240" w:lineRule="auto"/>
        <w:ind w:firstLine="720"/>
        <w:jc w:val="both"/>
        <w:rPr>
          <w:rFonts w:eastAsia="Times New Roman" w:cs="Calibri"/>
          <w:color w:val="000000"/>
          <w:sz w:val="20"/>
          <w:szCs w:val="20"/>
          <w:lang w:val="es-US"/>
        </w:rPr>
      </w:pPr>
      <w:r w:rsidRPr="00E100D7">
        <w:rPr>
          <w:rFonts w:cs="Calibri"/>
          <w:sz w:val="20"/>
          <w:szCs w:val="20"/>
          <w:lang w:val="es-ES"/>
        </w:rPr>
        <w:t>En</w:t>
      </w:r>
      <w:r w:rsidR="00ED4E7C" w:rsidRPr="00E100D7">
        <w:rPr>
          <w:rFonts w:cs="Calibri"/>
          <w:sz w:val="20"/>
          <w:szCs w:val="20"/>
          <w:lang w:val="es-ES"/>
        </w:rPr>
        <w:t xml:space="preserve"> su informe de fondo, </w:t>
      </w:r>
      <w:r w:rsidRPr="00E100D7">
        <w:rPr>
          <w:rFonts w:cs="Calibri"/>
          <w:sz w:val="20"/>
          <w:szCs w:val="20"/>
          <w:lang w:val="es-ES"/>
        </w:rPr>
        <w:t xml:space="preserve">la Comisión destacó que los miembros del CAJAR han sido víctimas </w:t>
      </w:r>
      <w:r w:rsidRPr="00E100D7">
        <w:rPr>
          <w:rFonts w:eastAsia="Times New Roman" w:cs="Calibri"/>
          <w:sz w:val="20"/>
          <w:szCs w:val="20"/>
          <w:u w:color="000000"/>
          <w:lang w:val="es-US" w:eastAsia="es-ES"/>
        </w:rPr>
        <w:t>de</w:t>
      </w:r>
      <w:r w:rsidR="00F25715" w:rsidRPr="00E100D7">
        <w:rPr>
          <w:rFonts w:eastAsia="Times New Roman" w:cs="Calibri"/>
          <w:sz w:val="20"/>
          <w:szCs w:val="20"/>
          <w:u w:color="000000"/>
          <w:lang w:val="es-US" w:eastAsia="es-ES"/>
        </w:rPr>
        <w:t xml:space="preserve"> múltiples eventos de amenazas, hostigamientos y seguimientos en diversos lugares por parte de personas cuya identidad no se encuentra acreditada, a fin de establecer si se trató o no de agentes estatales. Sin embargo, teniendo en cuenta </w:t>
      </w:r>
      <w:r w:rsidRPr="00E100D7">
        <w:rPr>
          <w:rFonts w:eastAsia="Times New Roman" w:cs="Calibri"/>
          <w:sz w:val="20"/>
          <w:szCs w:val="20"/>
          <w:u w:color="000000"/>
          <w:lang w:val="es-US" w:eastAsia="es-ES"/>
        </w:rPr>
        <w:t>que el Estado realizó</w:t>
      </w:r>
      <w:r w:rsidR="00F25715" w:rsidRPr="00E100D7">
        <w:rPr>
          <w:rFonts w:eastAsia="Times New Roman" w:cs="Calibri"/>
          <w:sz w:val="20"/>
          <w:szCs w:val="20"/>
          <w:u w:color="000000"/>
          <w:lang w:val="es-US" w:eastAsia="es-ES"/>
        </w:rPr>
        <w:t xml:space="preserve"> labores arbitrarias de inteligencia </w:t>
      </w:r>
      <w:r w:rsidR="00CF7EA6" w:rsidRPr="00E100D7">
        <w:rPr>
          <w:rFonts w:eastAsia="Times New Roman" w:cs="Calibri"/>
          <w:sz w:val="20"/>
          <w:szCs w:val="20"/>
          <w:u w:color="000000"/>
          <w:lang w:val="es-US" w:eastAsia="es-ES"/>
        </w:rPr>
        <w:t>qu</w:t>
      </w:r>
      <w:r w:rsidRPr="00E100D7">
        <w:rPr>
          <w:rFonts w:eastAsia="Times New Roman" w:cs="Calibri"/>
          <w:sz w:val="20"/>
          <w:szCs w:val="20"/>
          <w:u w:color="000000"/>
          <w:lang w:val="es-US" w:eastAsia="es-ES"/>
        </w:rPr>
        <w:t xml:space="preserve">e </w:t>
      </w:r>
      <w:r w:rsidR="00BB4EBF" w:rsidRPr="00E100D7">
        <w:rPr>
          <w:rFonts w:eastAsia="Times New Roman" w:cs="Calibri"/>
          <w:sz w:val="20"/>
          <w:szCs w:val="20"/>
          <w:u w:color="000000"/>
          <w:lang w:val="es-US" w:eastAsia="es-ES"/>
        </w:rPr>
        <w:t>incluyó incluso</w:t>
      </w:r>
      <w:r w:rsidR="00F25715" w:rsidRPr="00E100D7">
        <w:rPr>
          <w:rFonts w:eastAsia="Times New Roman" w:cs="Calibri"/>
          <w:sz w:val="20"/>
          <w:szCs w:val="20"/>
          <w:u w:color="000000"/>
          <w:lang w:val="es-US" w:eastAsia="es-ES"/>
        </w:rPr>
        <w:t xml:space="preserve"> la entrega de dicha información a paramilitares, </w:t>
      </w:r>
      <w:r w:rsidRPr="00E100D7">
        <w:rPr>
          <w:rFonts w:eastAsia="Times New Roman" w:cs="Calibri"/>
          <w:sz w:val="20"/>
          <w:szCs w:val="20"/>
          <w:u w:color="000000"/>
          <w:lang w:val="es-US" w:eastAsia="es-ES"/>
        </w:rPr>
        <w:t>así como</w:t>
      </w:r>
      <w:r w:rsidR="00F25715" w:rsidRPr="00E100D7">
        <w:rPr>
          <w:rFonts w:eastAsia="Times New Roman" w:cs="Calibri"/>
          <w:sz w:val="20"/>
          <w:szCs w:val="20"/>
          <w:u w:color="000000"/>
          <w:lang w:val="es-US" w:eastAsia="es-ES"/>
        </w:rPr>
        <w:t xml:space="preserve"> pronunciamientos estigmatizantes por parte de altos funcionarios </w:t>
      </w:r>
      <w:r w:rsidR="00F25715" w:rsidRPr="00E100D7">
        <w:rPr>
          <w:rFonts w:cs="Calibri"/>
          <w:sz w:val="20"/>
          <w:szCs w:val="20"/>
          <w:lang w:val="es-ES"/>
        </w:rPr>
        <w:t>en las cuales vinculaban a los miembros del CAJAR con la guerrilla, la Comisión consideró que tales acciones contribuyeron</w:t>
      </w:r>
      <w:r w:rsidR="00F25715" w:rsidRPr="00E100D7">
        <w:rPr>
          <w:rFonts w:eastAsia="Times New Roman" w:cs="Calibri"/>
          <w:sz w:val="20"/>
          <w:szCs w:val="20"/>
          <w:u w:color="000000"/>
          <w:lang w:val="es-US" w:eastAsia="es-ES"/>
        </w:rPr>
        <w:t xml:space="preserve"> </w:t>
      </w:r>
      <w:r w:rsidR="009879DE" w:rsidRPr="00E100D7">
        <w:rPr>
          <w:rFonts w:cs="Calibri"/>
          <w:sz w:val="20"/>
          <w:szCs w:val="20"/>
          <w:lang w:val="es-ES"/>
        </w:rPr>
        <w:t>activamente</w:t>
      </w:r>
      <w:r w:rsidR="009879DE" w:rsidRPr="00E100D7">
        <w:rPr>
          <w:rFonts w:eastAsia="Times New Roman" w:cs="Calibri"/>
          <w:sz w:val="20"/>
          <w:szCs w:val="20"/>
          <w:u w:color="000000"/>
          <w:lang w:val="es-US" w:eastAsia="es-ES"/>
        </w:rPr>
        <w:t xml:space="preserve"> </w:t>
      </w:r>
      <w:r w:rsidR="00F25715" w:rsidRPr="00E100D7">
        <w:rPr>
          <w:rFonts w:eastAsia="Times New Roman" w:cs="Calibri"/>
          <w:sz w:val="20"/>
          <w:szCs w:val="20"/>
          <w:u w:color="000000"/>
          <w:lang w:val="es-US" w:eastAsia="es-ES"/>
        </w:rPr>
        <w:t xml:space="preserve">a la materialización de tales hechos de violencia. </w:t>
      </w:r>
      <w:r w:rsidR="00ED4E7C" w:rsidRPr="00E100D7">
        <w:rPr>
          <w:rFonts w:eastAsia="Times New Roman" w:cs="Calibri"/>
          <w:sz w:val="20"/>
          <w:szCs w:val="20"/>
          <w:u w:color="000000"/>
          <w:lang w:val="es-US" w:eastAsia="es-ES"/>
        </w:rPr>
        <w:t xml:space="preserve">Conforme fue establecido por la Comisión, </w:t>
      </w:r>
      <w:r w:rsidR="00ED4E7C" w:rsidRPr="00E100D7">
        <w:rPr>
          <w:rFonts w:eastAsia="Times New Roman" w:cs="Calibri"/>
          <w:color w:val="000000"/>
          <w:sz w:val="20"/>
          <w:szCs w:val="20"/>
          <w:lang w:val="es-US"/>
        </w:rPr>
        <w:t>e</w:t>
      </w:r>
      <w:r w:rsidR="002E57DC" w:rsidRPr="00E100D7">
        <w:rPr>
          <w:rFonts w:eastAsia="Times New Roman" w:cs="Calibri"/>
          <w:color w:val="000000"/>
          <w:sz w:val="20"/>
          <w:szCs w:val="20"/>
          <w:lang w:val="es-US"/>
        </w:rPr>
        <w:t>sta situación constituye, no sólo un grave incumplimiento del deber d</w:t>
      </w:r>
      <w:r w:rsidR="009879DE" w:rsidRPr="00E100D7">
        <w:rPr>
          <w:rFonts w:eastAsia="Times New Roman" w:cs="Calibri"/>
          <w:color w:val="000000"/>
          <w:sz w:val="20"/>
          <w:szCs w:val="20"/>
          <w:lang w:val="es-US"/>
        </w:rPr>
        <w:t xml:space="preserve">e protección, sino que se </w:t>
      </w:r>
      <w:r w:rsidR="00CF7EA6" w:rsidRPr="00E100D7">
        <w:rPr>
          <w:rFonts w:eastAsia="Times New Roman" w:cs="Calibri"/>
          <w:color w:val="000000"/>
          <w:sz w:val="20"/>
          <w:szCs w:val="20"/>
          <w:lang w:val="es-US"/>
        </w:rPr>
        <w:t>trató</w:t>
      </w:r>
      <w:r w:rsidR="009879DE" w:rsidRPr="00E100D7">
        <w:rPr>
          <w:rFonts w:eastAsia="Times New Roman" w:cs="Calibri"/>
          <w:color w:val="000000"/>
          <w:sz w:val="20"/>
          <w:szCs w:val="20"/>
          <w:lang w:val="es-US"/>
        </w:rPr>
        <w:t xml:space="preserve"> </w:t>
      </w:r>
      <w:r w:rsidR="002E57DC" w:rsidRPr="00E100D7">
        <w:rPr>
          <w:rFonts w:eastAsia="Times New Roman" w:cs="Calibri"/>
          <w:color w:val="000000"/>
          <w:sz w:val="20"/>
          <w:szCs w:val="20"/>
          <w:lang w:val="es-US"/>
        </w:rPr>
        <w:t>de acciones abiertamente contrarias a dicho deber, con las implicaciones necesarias en la atribución de responsabilidad al Estado por los hechos de violencia, amenaza y hostigamiento contra el CAJAR</w:t>
      </w:r>
      <w:r w:rsidR="00ED4E7C" w:rsidRPr="00E100D7">
        <w:rPr>
          <w:rFonts w:eastAsia="Times New Roman" w:cs="Calibri"/>
          <w:color w:val="000000"/>
          <w:sz w:val="20"/>
          <w:szCs w:val="20"/>
          <w:lang w:val="es-US"/>
        </w:rPr>
        <w:t xml:space="preserve">. </w:t>
      </w:r>
      <w:r w:rsidR="00F25715" w:rsidRPr="00E100D7">
        <w:rPr>
          <w:rFonts w:cs="Calibri"/>
          <w:sz w:val="20"/>
          <w:szCs w:val="20"/>
          <w:lang w:val="es-ES"/>
        </w:rPr>
        <w:t xml:space="preserve"> </w:t>
      </w:r>
      <w:r w:rsidR="00F25715" w:rsidRPr="00E100D7">
        <w:rPr>
          <w:rFonts w:eastAsia="Times New Roman" w:cs="Calibri"/>
          <w:color w:val="000000"/>
          <w:sz w:val="20"/>
          <w:szCs w:val="20"/>
          <w:lang w:val="es-US"/>
        </w:rPr>
        <w:t xml:space="preserve"> </w:t>
      </w:r>
    </w:p>
    <w:p w14:paraId="5657BEA1" w14:textId="77777777" w:rsidR="0091534B" w:rsidRPr="00E100D7" w:rsidRDefault="0091534B" w:rsidP="004E1087">
      <w:pPr>
        <w:spacing w:after="0" w:line="240" w:lineRule="auto"/>
        <w:ind w:firstLine="720"/>
        <w:jc w:val="both"/>
        <w:rPr>
          <w:rFonts w:eastAsia="Times New Roman" w:cs="Calibri"/>
          <w:color w:val="000000"/>
          <w:sz w:val="20"/>
          <w:szCs w:val="20"/>
          <w:lang w:val="es-US"/>
        </w:rPr>
      </w:pPr>
    </w:p>
    <w:p w14:paraId="7F39111C" w14:textId="77777777" w:rsidR="0091534B" w:rsidRPr="00E100D7" w:rsidRDefault="0091534B" w:rsidP="0091534B">
      <w:pPr>
        <w:spacing w:after="0" w:line="240" w:lineRule="auto"/>
        <w:ind w:firstLine="720"/>
        <w:jc w:val="both"/>
        <w:rPr>
          <w:rFonts w:cs="Calibri"/>
          <w:sz w:val="20"/>
          <w:szCs w:val="20"/>
          <w:lang w:val="es-US"/>
        </w:rPr>
      </w:pPr>
      <w:r w:rsidRPr="00E100D7">
        <w:rPr>
          <w:rFonts w:cs="Calibri"/>
          <w:sz w:val="20"/>
          <w:szCs w:val="20"/>
          <w:lang w:val="es-ES"/>
        </w:rPr>
        <w:t xml:space="preserve">Específicamente en relación con las actividades de inteligencia, la Comisión </w:t>
      </w:r>
      <w:r w:rsidR="00077699" w:rsidRPr="00E100D7">
        <w:rPr>
          <w:rFonts w:cs="Calibri"/>
          <w:sz w:val="20"/>
          <w:szCs w:val="20"/>
          <w:lang w:val="es-ES"/>
        </w:rPr>
        <w:t>estableció que</w:t>
      </w:r>
      <w:r w:rsidRPr="00E100D7">
        <w:rPr>
          <w:rFonts w:cs="Calibri"/>
          <w:sz w:val="20"/>
          <w:szCs w:val="20"/>
          <w:lang w:val="es-ES"/>
        </w:rPr>
        <w:t xml:space="preserve"> las labores del Departamento Administrativo de Seguridad (DAS</w:t>
      </w:r>
      <w:r w:rsidR="00BB4EBF" w:rsidRPr="00E100D7">
        <w:rPr>
          <w:rFonts w:cs="Calibri"/>
          <w:sz w:val="20"/>
          <w:szCs w:val="20"/>
          <w:lang w:val="es-ES"/>
        </w:rPr>
        <w:t>)</w:t>
      </w:r>
      <w:r w:rsidRPr="00E100D7">
        <w:rPr>
          <w:rFonts w:cs="Calibri"/>
          <w:sz w:val="20"/>
          <w:szCs w:val="20"/>
          <w:lang w:val="es-ES"/>
        </w:rPr>
        <w:t xml:space="preserve"> a través de un grupo especial de inteligencia estratégica </w:t>
      </w:r>
      <w:r w:rsidRPr="00E100D7">
        <w:rPr>
          <w:rFonts w:cs="Calibri"/>
          <w:sz w:val="20"/>
          <w:szCs w:val="20"/>
          <w:lang w:val="es-US"/>
        </w:rPr>
        <w:t xml:space="preserve">incluyeron monitorear las actividades laborales de los miembros del CAJAR; interceptar sus llamadas de teléfonos fijos y celulares, y correos electrónicos; </w:t>
      </w:r>
      <w:r w:rsidR="00FD3365" w:rsidRPr="00E100D7">
        <w:rPr>
          <w:rFonts w:cs="Calibri"/>
          <w:sz w:val="20"/>
          <w:szCs w:val="20"/>
          <w:lang w:val="es-US"/>
        </w:rPr>
        <w:t>y realizar</w:t>
      </w:r>
      <w:r w:rsidRPr="00E100D7">
        <w:rPr>
          <w:rFonts w:cs="Calibri"/>
          <w:sz w:val="20"/>
          <w:szCs w:val="20"/>
          <w:lang w:val="es-US"/>
        </w:rPr>
        <w:t xml:space="preserve"> fichas personales de cada integrante que incluyen datos personales. </w:t>
      </w:r>
      <w:r w:rsidR="00BB4EBF" w:rsidRPr="00E100D7">
        <w:rPr>
          <w:rFonts w:cs="Calibri"/>
          <w:sz w:val="20"/>
          <w:szCs w:val="20"/>
          <w:lang w:val="es-US"/>
        </w:rPr>
        <w:t>El</w:t>
      </w:r>
      <w:r w:rsidRPr="00E100D7">
        <w:rPr>
          <w:rFonts w:cs="Calibri"/>
          <w:sz w:val="20"/>
          <w:szCs w:val="20"/>
          <w:lang w:val="es-US"/>
        </w:rPr>
        <w:t xml:space="preserve"> Estado no satisfizo el requisito de legalidad para la realización de las actividades de seguimiento y vigilancia a los miembros del CAJAR. </w:t>
      </w:r>
      <w:r w:rsidR="002B28F1" w:rsidRPr="00E100D7">
        <w:rPr>
          <w:rFonts w:cs="Calibri"/>
          <w:sz w:val="20"/>
          <w:szCs w:val="20"/>
          <w:lang w:val="es-US"/>
        </w:rPr>
        <w:t xml:space="preserve">Dichas actividades se realizaron sin ningún tipo de control judicial. </w:t>
      </w:r>
      <w:r w:rsidRPr="00E100D7">
        <w:rPr>
          <w:rFonts w:cs="Calibri"/>
          <w:sz w:val="20"/>
          <w:szCs w:val="20"/>
          <w:lang w:val="es-US"/>
        </w:rPr>
        <w:t>Además, en cuanto a la posible justificación de dicha interferencia, el Estado no invocó finalidad legítima alguna perseguida mediante tales labores de inteligencia seguidas contra los miembros del CAJAR ni presentó elemento alguno que permitiera efectuar un análisis de idoneidad, necesidad y proporcionalidad de tales medidas a la luz de una posible finalidad legítima. En este sentido, la Comisión determinó ilegalidad y arbitrariedad de las labores de inteligencia del DAS</w:t>
      </w:r>
      <w:r w:rsidR="00BB4EBF" w:rsidRPr="00E100D7">
        <w:rPr>
          <w:rFonts w:cs="Calibri"/>
          <w:sz w:val="20"/>
          <w:szCs w:val="20"/>
          <w:lang w:val="es-US"/>
        </w:rPr>
        <w:t xml:space="preserve"> en perjuicio de</w:t>
      </w:r>
      <w:r w:rsidRPr="00E100D7">
        <w:rPr>
          <w:rFonts w:cs="Calibri"/>
          <w:sz w:val="20"/>
          <w:szCs w:val="20"/>
          <w:lang w:val="es-US"/>
        </w:rPr>
        <w:t xml:space="preserve"> los integrantes del CAJAR. </w:t>
      </w:r>
    </w:p>
    <w:p w14:paraId="4B524B38" w14:textId="77777777" w:rsidR="00ED4E7C" w:rsidRPr="00E100D7" w:rsidRDefault="00ED4E7C" w:rsidP="004E1087">
      <w:pPr>
        <w:spacing w:after="0" w:line="240" w:lineRule="auto"/>
        <w:jc w:val="both"/>
        <w:rPr>
          <w:rFonts w:eastAsia="Times New Roman" w:cs="Calibri"/>
          <w:color w:val="000000"/>
          <w:sz w:val="20"/>
          <w:szCs w:val="20"/>
          <w:lang w:val="es-US"/>
        </w:rPr>
      </w:pPr>
    </w:p>
    <w:p w14:paraId="2F1C7A7D" w14:textId="77777777" w:rsidR="00E100D7" w:rsidRPr="00E100D7" w:rsidRDefault="00E100D7" w:rsidP="004E1087">
      <w:pPr>
        <w:spacing w:after="0" w:line="240" w:lineRule="auto"/>
        <w:jc w:val="both"/>
        <w:rPr>
          <w:rFonts w:eastAsia="Times New Roman" w:cs="Calibri"/>
          <w:color w:val="000000"/>
          <w:sz w:val="20"/>
          <w:szCs w:val="20"/>
          <w:lang w:val="es-US"/>
        </w:rPr>
      </w:pPr>
    </w:p>
    <w:p w14:paraId="7293CA66" w14:textId="77777777" w:rsidR="00E100D7" w:rsidRPr="00E100D7" w:rsidRDefault="00E100D7" w:rsidP="00E100D7">
      <w:pPr>
        <w:tabs>
          <w:tab w:val="left" w:pos="720"/>
          <w:tab w:val="center" w:pos="6480"/>
        </w:tabs>
        <w:spacing w:after="0" w:line="240" w:lineRule="auto"/>
        <w:jc w:val="both"/>
        <w:rPr>
          <w:rFonts w:cs="Calibri"/>
          <w:sz w:val="20"/>
          <w:szCs w:val="20"/>
          <w:lang w:val="es-ES_tradnl"/>
        </w:rPr>
      </w:pPr>
    </w:p>
    <w:p w14:paraId="2AC8A5B7" w14:textId="77777777" w:rsidR="00E100D7" w:rsidRPr="00E100D7" w:rsidRDefault="00E100D7" w:rsidP="00E100D7">
      <w:pPr>
        <w:spacing w:after="0" w:line="240" w:lineRule="auto"/>
        <w:jc w:val="both"/>
        <w:rPr>
          <w:rFonts w:cs="Calibri"/>
          <w:snapToGrid w:val="0"/>
          <w:sz w:val="20"/>
          <w:szCs w:val="20"/>
          <w:lang w:val="es-CO"/>
        </w:rPr>
      </w:pPr>
      <w:r w:rsidRPr="00E100D7">
        <w:rPr>
          <w:rFonts w:cs="Calibri"/>
          <w:snapToGrid w:val="0"/>
          <w:sz w:val="20"/>
          <w:szCs w:val="20"/>
          <w:lang w:val="es-CO"/>
        </w:rPr>
        <w:t>Señor</w:t>
      </w:r>
    </w:p>
    <w:p w14:paraId="6E8A1E4A" w14:textId="77777777" w:rsidR="00E100D7" w:rsidRPr="00E100D7" w:rsidRDefault="00E100D7" w:rsidP="00E100D7">
      <w:pPr>
        <w:suppressAutoHyphens/>
        <w:spacing w:after="0" w:line="240" w:lineRule="auto"/>
        <w:jc w:val="both"/>
        <w:rPr>
          <w:rFonts w:cs="Calibri"/>
          <w:snapToGrid w:val="0"/>
          <w:sz w:val="20"/>
          <w:szCs w:val="20"/>
          <w:lang w:val="es-CO"/>
        </w:rPr>
      </w:pPr>
      <w:r w:rsidRPr="00E100D7">
        <w:rPr>
          <w:rFonts w:cs="Calibri"/>
          <w:snapToGrid w:val="0"/>
          <w:sz w:val="20"/>
          <w:szCs w:val="20"/>
          <w:lang w:val="es-CO"/>
        </w:rPr>
        <w:t>Pablo Saavedra Alessandri</w:t>
      </w:r>
    </w:p>
    <w:p w14:paraId="43B901A8" w14:textId="77777777" w:rsidR="00E100D7" w:rsidRPr="00E100D7" w:rsidRDefault="00E100D7" w:rsidP="00E100D7">
      <w:pPr>
        <w:suppressAutoHyphens/>
        <w:spacing w:after="0" w:line="240" w:lineRule="auto"/>
        <w:jc w:val="both"/>
        <w:rPr>
          <w:rFonts w:cs="Calibri"/>
          <w:snapToGrid w:val="0"/>
          <w:sz w:val="20"/>
          <w:szCs w:val="20"/>
          <w:lang w:val="es-CO"/>
        </w:rPr>
      </w:pPr>
      <w:r w:rsidRPr="00E100D7">
        <w:rPr>
          <w:rFonts w:cs="Calibri"/>
          <w:snapToGrid w:val="0"/>
          <w:sz w:val="20"/>
          <w:szCs w:val="20"/>
          <w:lang w:val="es-CO"/>
        </w:rPr>
        <w:t>Secretario</w:t>
      </w:r>
    </w:p>
    <w:p w14:paraId="2B815EC7" w14:textId="77777777" w:rsidR="00E100D7" w:rsidRPr="00E100D7" w:rsidRDefault="00E100D7" w:rsidP="00E100D7">
      <w:pPr>
        <w:suppressAutoHyphens/>
        <w:spacing w:after="0" w:line="240" w:lineRule="auto"/>
        <w:jc w:val="both"/>
        <w:rPr>
          <w:rFonts w:cs="Calibri"/>
          <w:snapToGrid w:val="0"/>
          <w:sz w:val="20"/>
          <w:szCs w:val="20"/>
          <w:lang w:val="es-ES_tradnl"/>
        </w:rPr>
      </w:pPr>
      <w:r w:rsidRPr="00E100D7">
        <w:rPr>
          <w:rFonts w:cs="Calibri"/>
          <w:snapToGrid w:val="0"/>
          <w:sz w:val="20"/>
          <w:szCs w:val="20"/>
          <w:lang w:val="es-ES_tradnl"/>
        </w:rPr>
        <w:t>Corte Interamericana de Derechos Humanos</w:t>
      </w:r>
    </w:p>
    <w:p w14:paraId="1D1DBC7B" w14:textId="77777777" w:rsidR="00E100D7" w:rsidRPr="00E100D7" w:rsidRDefault="00E100D7" w:rsidP="00E100D7">
      <w:pPr>
        <w:suppressAutoHyphens/>
        <w:spacing w:after="0" w:line="240" w:lineRule="auto"/>
        <w:jc w:val="both"/>
        <w:rPr>
          <w:rFonts w:cs="Calibri"/>
          <w:snapToGrid w:val="0"/>
          <w:sz w:val="20"/>
          <w:szCs w:val="20"/>
          <w:lang w:val="es-ES_tradnl"/>
        </w:rPr>
      </w:pPr>
      <w:r w:rsidRPr="00E100D7">
        <w:rPr>
          <w:rFonts w:cs="Calibri"/>
          <w:snapToGrid w:val="0"/>
          <w:sz w:val="20"/>
          <w:szCs w:val="20"/>
          <w:lang w:val="es-ES_tradnl"/>
        </w:rPr>
        <w:t>San José, Costa Rica</w:t>
      </w:r>
    </w:p>
    <w:p w14:paraId="18D47967" w14:textId="77777777" w:rsidR="00ED4E7C" w:rsidRPr="00E100D7" w:rsidRDefault="00BB4EBF" w:rsidP="00ED4E7C">
      <w:pPr>
        <w:spacing w:after="0" w:line="240" w:lineRule="auto"/>
        <w:ind w:firstLine="720"/>
        <w:jc w:val="both"/>
        <w:rPr>
          <w:rFonts w:cs="Calibri"/>
          <w:sz w:val="20"/>
          <w:szCs w:val="20"/>
          <w:lang w:val="es-ES"/>
        </w:rPr>
      </w:pPr>
      <w:r w:rsidRPr="00E100D7">
        <w:rPr>
          <w:rFonts w:cs="Calibri"/>
          <w:sz w:val="20"/>
          <w:szCs w:val="20"/>
          <w:lang w:val="es-ES"/>
        </w:rPr>
        <w:lastRenderedPageBreak/>
        <w:t>La Comisión</w:t>
      </w:r>
      <w:r w:rsidR="00ED4E7C" w:rsidRPr="00E100D7">
        <w:rPr>
          <w:rFonts w:cs="Calibri"/>
          <w:sz w:val="20"/>
          <w:szCs w:val="20"/>
          <w:lang w:val="es-ES"/>
        </w:rPr>
        <w:t xml:space="preserve"> consideró </w:t>
      </w:r>
      <w:r w:rsidRPr="00E100D7">
        <w:rPr>
          <w:rFonts w:cs="Calibri"/>
          <w:sz w:val="20"/>
          <w:szCs w:val="20"/>
          <w:lang w:val="es-ES"/>
        </w:rPr>
        <w:t>que,</w:t>
      </w:r>
      <w:r w:rsidR="00ED4E7C" w:rsidRPr="00E100D7">
        <w:rPr>
          <w:rFonts w:cs="Calibri"/>
          <w:sz w:val="20"/>
          <w:szCs w:val="20"/>
          <w:lang w:val="es-ES"/>
        </w:rPr>
        <w:t xml:space="preserve"> </w:t>
      </w:r>
      <w:r w:rsidR="0091534B" w:rsidRPr="00E100D7">
        <w:rPr>
          <w:rFonts w:cs="Calibri"/>
          <w:sz w:val="20"/>
          <w:szCs w:val="20"/>
          <w:lang w:val="es-ES"/>
        </w:rPr>
        <w:t xml:space="preserve">si bien el Estado adoptó </w:t>
      </w:r>
      <w:r w:rsidR="00ED4E7C" w:rsidRPr="00E100D7">
        <w:rPr>
          <w:rFonts w:cs="Calibri"/>
          <w:sz w:val="20"/>
          <w:szCs w:val="20"/>
          <w:lang w:val="es-ES"/>
        </w:rPr>
        <w:t xml:space="preserve">medidas materiales de protección </w:t>
      </w:r>
      <w:r w:rsidR="0091534B" w:rsidRPr="00E100D7">
        <w:rPr>
          <w:rFonts w:cs="Calibri"/>
          <w:sz w:val="20"/>
          <w:szCs w:val="20"/>
          <w:lang w:val="es-ES"/>
        </w:rPr>
        <w:t>física a favor de integrantes del CAJAR</w:t>
      </w:r>
      <w:r w:rsidR="00ED4E7C" w:rsidRPr="00E100D7">
        <w:rPr>
          <w:rFonts w:cs="Calibri"/>
          <w:sz w:val="20"/>
          <w:szCs w:val="20"/>
          <w:lang w:val="es-ES"/>
        </w:rPr>
        <w:t xml:space="preserve">, </w:t>
      </w:r>
      <w:r w:rsidR="0091534B" w:rsidRPr="00E100D7">
        <w:rPr>
          <w:rFonts w:cs="Calibri"/>
          <w:sz w:val="20"/>
          <w:szCs w:val="20"/>
          <w:lang w:val="es-ES"/>
        </w:rPr>
        <w:t xml:space="preserve">tales medidas </w:t>
      </w:r>
      <w:r w:rsidR="00ED4E7C" w:rsidRPr="00E100D7">
        <w:rPr>
          <w:rFonts w:cs="Calibri"/>
          <w:sz w:val="20"/>
          <w:szCs w:val="20"/>
          <w:lang w:val="es-ES"/>
        </w:rPr>
        <w:t xml:space="preserve">evaluadas a la par de un contexto de falta de esclarecimiento e impunidad total de los hechos denunciados, de labores arbitrarias de inteligencia y seguimiento, así como de pronunciamientos estigmatizantes por parte de altos funcionarios, </w:t>
      </w:r>
      <w:r w:rsidR="00ED4E7C" w:rsidRPr="00E100D7">
        <w:rPr>
          <w:rFonts w:cs="Calibri"/>
          <w:sz w:val="20"/>
          <w:szCs w:val="20"/>
          <w:lang w:val="es-US"/>
        </w:rPr>
        <w:t xml:space="preserve">resultaban manifiestamente insuficientes </w:t>
      </w:r>
      <w:r w:rsidR="00ED4E7C" w:rsidRPr="00E100D7">
        <w:rPr>
          <w:rFonts w:cs="Calibri"/>
          <w:sz w:val="20"/>
          <w:szCs w:val="20"/>
          <w:lang w:val="es-ES"/>
        </w:rPr>
        <w:t xml:space="preserve">para acreditar que el Estado cumpliera su deber de protección. Por el contrario, todas las acciones descritas constituyen una violación al deber de respeto, al haberse hecho parte el propio Estado del riesgo enfrentado por el CAJAR, así como al mostrarse tolerante y aquiescente respecto de los hechos en su contra. </w:t>
      </w:r>
    </w:p>
    <w:p w14:paraId="2A42192B" w14:textId="77777777" w:rsidR="0091534B" w:rsidRPr="00E100D7" w:rsidRDefault="0091534B" w:rsidP="00ED4E7C">
      <w:pPr>
        <w:spacing w:after="0" w:line="240" w:lineRule="auto"/>
        <w:ind w:firstLine="720"/>
        <w:jc w:val="both"/>
        <w:rPr>
          <w:rFonts w:cs="Calibri"/>
          <w:sz w:val="20"/>
          <w:szCs w:val="20"/>
          <w:lang w:val="es-ES"/>
        </w:rPr>
      </w:pPr>
    </w:p>
    <w:p w14:paraId="44CC5BAA" w14:textId="77777777" w:rsidR="00ED4E7C" w:rsidRPr="00E100D7" w:rsidRDefault="0091534B" w:rsidP="00ED4E7C">
      <w:pPr>
        <w:spacing w:after="0" w:line="240" w:lineRule="auto"/>
        <w:ind w:firstLine="720"/>
        <w:jc w:val="both"/>
        <w:rPr>
          <w:rFonts w:cs="Calibri"/>
          <w:sz w:val="20"/>
          <w:szCs w:val="20"/>
          <w:lang w:val="es-ES"/>
        </w:rPr>
      </w:pPr>
      <w:r w:rsidRPr="00E100D7">
        <w:rPr>
          <w:rFonts w:cs="Calibri"/>
          <w:sz w:val="20"/>
          <w:szCs w:val="20"/>
          <w:lang w:val="es-ES"/>
        </w:rPr>
        <w:t>En esas circunstancias, la Comisión concluyó que t</w:t>
      </w:r>
      <w:r w:rsidR="00ED4E7C" w:rsidRPr="00E100D7">
        <w:rPr>
          <w:rFonts w:cs="Calibri"/>
          <w:sz w:val="20"/>
          <w:szCs w:val="20"/>
          <w:lang w:val="es-ES"/>
        </w:rPr>
        <w:t>ales acciones y omisiones de parte del Estado afectaron las actividades regulares de la organización</w:t>
      </w:r>
      <w:r w:rsidRPr="00E100D7">
        <w:rPr>
          <w:rFonts w:cs="Calibri"/>
          <w:sz w:val="20"/>
          <w:szCs w:val="20"/>
          <w:lang w:val="es-ES"/>
        </w:rPr>
        <w:t>, y</w:t>
      </w:r>
      <w:r w:rsidR="00ED4E7C" w:rsidRPr="00E100D7">
        <w:rPr>
          <w:rFonts w:cs="Calibri"/>
          <w:sz w:val="20"/>
          <w:szCs w:val="20"/>
          <w:lang w:val="es-ES"/>
        </w:rPr>
        <w:t xml:space="preserve"> se tradujeron </w:t>
      </w:r>
      <w:r w:rsidR="00BE30DC" w:rsidRPr="00E100D7">
        <w:rPr>
          <w:rFonts w:cs="Calibri"/>
          <w:sz w:val="20"/>
          <w:szCs w:val="20"/>
          <w:lang w:val="es-ES"/>
        </w:rPr>
        <w:t xml:space="preserve">generaron un </w:t>
      </w:r>
      <w:r w:rsidRPr="00E100D7">
        <w:rPr>
          <w:rFonts w:cs="Calibri"/>
          <w:sz w:val="20"/>
          <w:szCs w:val="20"/>
          <w:lang w:val="es-ES"/>
        </w:rPr>
        <w:t xml:space="preserve">efecto amedrentador para que los integrantes del CAJAR </w:t>
      </w:r>
      <w:r w:rsidR="00A77006" w:rsidRPr="00E100D7">
        <w:rPr>
          <w:rFonts w:cs="Calibri"/>
          <w:sz w:val="20"/>
          <w:szCs w:val="20"/>
          <w:lang w:val="es-ES"/>
        </w:rPr>
        <w:t xml:space="preserve">ejercieran su libertad de expresión y asociación en </w:t>
      </w:r>
      <w:r w:rsidRPr="00E100D7">
        <w:rPr>
          <w:rFonts w:cs="Calibri"/>
          <w:sz w:val="20"/>
          <w:szCs w:val="20"/>
          <w:lang w:val="es-ES"/>
        </w:rPr>
        <w:t xml:space="preserve">sus labores de </w:t>
      </w:r>
      <w:r w:rsidR="00ED4E7C" w:rsidRPr="00E100D7">
        <w:rPr>
          <w:rFonts w:cs="Calibri"/>
          <w:sz w:val="20"/>
          <w:szCs w:val="20"/>
          <w:lang w:val="es-ES"/>
        </w:rPr>
        <w:t xml:space="preserve">defensa de los derechos humanos.  </w:t>
      </w:r>
    </w:p>
    <w:p w14:paraId="6EE568D0" w14:textId="77777777" w:rsidR="0091534B" w:rsidRPr="00E100D7" w:rsidRDefault="0091534B" w:rsidP="004E1087">
      <w:pPr>
        <w:spacing w:after="0" w:line="240" w:lineRule="auto"/>
        <w:jc w:val="both"/>
        <w:rPr>
          <w:rFonts w:cs="Calibri"/>
          <w:sz w:val="20"/>
          <w:szCs w:val="20"/>
          <w:lang w:val="es-US"/>
        </w:rPr>
      </w:pPr>
    </w:p>
    <w:p w14:paraId="71F2EE84" w14:textId="77777777" w:rsidR="00BE30DC" w:rsidRPr="00E100D7" w:rsidRDefault="0091534B" w:rsidP="00BE30DC">
      <w:pPr>
        <w:spacing w:after="0" w:line="240" w:lineRule="auto"/>
        <w:ind w:firstLine="720"/>
        <w:jc w:val="both"/>
        <w:rPr>
          <w:rFonts w:cs="Calibri"/>
          <w:sz w:val="20"/>
          <w:szCs w:val="20"/>
          <w:lang w:val="es-ES"/>
        </w:rPr>
      </w:pPr>
      <w:r w:rsidRPr="00E100D7">
        <w:rPr>
          <w:rFonts w:cs="Calibri"/>
          <w:sz w:val="20"/>
          <w:szCs w:val="20"/>
          <w:lang w:val="es-ES"/>
        </w:rPr>
        <w:t>La Comisión</w:t>
      </w:r>
      <w:r w:rsidR="00F3544B" w:rsidRPr="00E100D7">
        <w:rPr>
          <w:rFonts w:cs="Calibri"/>
          <w:sz w:val="20"/>
          <w:szCs w:val="20"/>
          <w:lang w:val="es-ES"/>
        </w:rPr>
        <w:t xml:space="preserve"> </w:t>
      </w:r>
      <w:r w:rsidRPr="00E100D7">
        <w:rPr>
          <w:rFonts w:cs="Calibri"/>
          <w:sz w:val="20"/>
          <w:szCs w:val="20"/>
          <w:lang w:val="es-ES"/>
        </w:rPr>
        <w:t>notó</w:t>
      </w:r>
      <w:r w:rsidR="009879DE" w:rsidRPr="00E100D7">
        <w:rPr>
          <w:rFonts w:cs="Calibri"/>
          <w:sz w:val="20"/>
          <w:szCs w:val="20"/>
          <w:lang w:val="es-ES"/>
        </w:rPr>
        <w:t xml:space="preserve"> </w:t>
      </w:r>
      <w:r w:rsidR="00F3544B" w:rsidRPr="00E100D7">
        <w:rPr>
          <w:rFonts w:cs="Calibri"/>
          <w:sz w:val="20"/>
          <w:szCs w:val="20"/>
          <w:lang w:val="es-ES"/>
        </w:rPr>
        <w:t xml:space="preserve">que el Estado no </w:t>
      </w:r>
      <w:r w:rsidR="00ED4E7C" w:rsidRPr="00E100D7">
        <w:rPr>
          <w:rFonts w:cs="Calibri"/>
          <w:sz w:val="20"/>
          <w:szCs w:val="20"/>
          <w:lang w:val="es-ES"/>
        </w:rPr>
        <w:t>realizó</w:t>
      </w:r>
      <w:r w:rsidR="00F3544B" w:rsidRPr="00E100D7">
        <w:rPr>
          <w:rFonts w:cs="Calibri"/>
          <w:sz w:val="20"/>
          <w:szCs w:val="20"/>
          <w:lang w:val="es-ES"/>
        </w:rPr>
        <w:t xml:space="preserve"> una investigación seria y exhaustiva encaminada al conocimiento de la verdad sobre los hechos, a la individualización de los responsables, a desentrañar las fuentes de riesgo que enfrentaba el CAJAR mediante investigaciones diligentes en conjunto y tomando en cuenta el contexto y a imponer las sanciones respectivas. Así, la Comisión consideró que el Estado no ha proporcionado a las víctimas un recurso idóneo para atender sus reclamaciones relacionadas con el acceso a la información de la base de datos de inteligencia militar</w:t>
      </w:r>
      <w:r w:rsidR="009879DE" w:rsidRPr="00E100D7">
        <w:rPr>
          <w:rFonts w:cs="Calibri"/>
          <w:sz w:val="20"/>
          <w:szCs w:val="20"/>
          <w:lang w:val="es-ES"/>
        </w:rPr>
        <w:t>.</w:t>
      </w:r>
      <w:r w:rsidRPr="00E100D7">
        <w:rPr>
          <w:rFonts w:cs="Calibri"/>
          <w:sz w:val="20"/>
          <w:szCs w:val="20"/>
          <w:lang w:val="es-ES"/>
        </w:rPr>
        <w:t xml:space="preserve"> </w:t>
      </w:r>
      <w:r w:rsidR="00BB4EBF" w:rsidRPr="00E100D7">
        <w:rPr>
          <w:rFonts w:cs="Calibri"/>
          <w:sz w:val="20"/>
          <w:szCs w:val="20"/>
          <w:lang w:val="es-ES"/>
        </w:rPr>
        <w:t>Finalmente, l</w:t>
      </w:r>
      <w:r w:rsidRPr="00E100D7">
        <w:rPr>
          <w:rFonts w:cs="Calibri"/>
          <w:sz w:val="20"/>
          <w:szCs w:val="20"/>
          <w:lang w:val="es-ES"/>
        </w:rPr>
        <w:t xml:space="preserve">a situación vivida por las víctimas generó gran inseguridad y un temor fundado, lo cual provocó el exilio de varios miembros del CAJAR junto con sus respectivas familias, que tenían entre sus integrantes a sus hijos, menores de edad. </w:t>
      </w:r>
    </w:p>
    <w:p w14:paraId="0FB54102" w14:textId="77777777" w:rsidR="00BE30DC" w:rsidRPr="00E100D7" w:rsidRDefault="00BE30DC" w:rsidP="00BE30DC">
      <w:pPr>
        <w:spacing w:after="0" w:line="240" w:lineRule="auto"/>
        <w:ind w:firstLine="720"/>
        <w:jc w:val="both"/>
        <w:rPr>
          <w:rFonts w:cs="Calibri"/>
          <w:sz w:val="20"/>
          <w:szCs w:val="20"/>
          <w:lang w:val="es-ES"/>
        </w:rPr>
      </w:pPr>
    </w:p>
    <w:p w14:paraId="378B915D" w14:textId="77777777" w:rsidR="00BE30DC" w:rsidRPr="00E100D7" w:rsidRDefault="00BE30DC" w:rsidP="00BE30DC">
      <w:pPr>
        <w:spacing w:after="0" w:line="240" w:lineRule="auto"/>
        <w:ind w:firstLine="720"/>
        <w:jc w:val="both"/>
        <w:rPr>
          <w:rFonts w:cs="Calibri"/>
          <w:sz w:val="20"/>
          <w:szCs w:val="20"/>
          <w:lang w:val="es-ES"/>
        </w:rPr>
      </w:pPr>
      <w:r w:rsidRPr="00E100D7">
        <w:rPr>
          <w:rFonts w:cs="Calibri"/>
          <w:sz w:val="20"/>
          <w:szCs w:val="20"/>
          <w:lang w:val="es-ES"/>
        </w:rPr>
        <w:t xml:space="preserve">Con base en lo anterior, </w:t>
      </w:r>
      <w:r w:rsidRPr="00E100D7">
        <w:rPr>
          <w:rFonts w:cs="Calibri"/>
          <w:sz w:val="20"/>
          <w:szCs w:val="20"/>
          <w:lang w:val="es-US"/>
        </w:rPr>
        <w:t xml:space="preserve">la Comisión Interamericana concluyó que el Estado de Colombia es responsable por la violación de los derechos a la vida, integridad personal, garantías judiciales, protección de la honra y dignidad, libertad de expresión, libertad de asociación, derechos del niño, circulación y residencia, y protección judicial, establecidos en los artículos 4.1, 5.1, 8.1, 11, 13.1, 16.1, 19, 22.1 y 25.1 de la Convención Americana, en relación con las obligaciones establecidas en el artículo 1.1 del mismo instrumento.  </w:t>
      </w:r>
    </w:p>
    <w:p w14:paraId="00547A00" w14:textId="77777777" w:rsidR="00841921" w:rsidRPr="00E100D7" w:rsidRDefault="00841921" w:rsidP="004E1087">
      <w:pPr>
        <w:widowControl w:val="0"/>
        <w:autoSpaceDE w:val="0"/>
        <w:autoSpaceDN w:val="0"/>
        <w:adjustRightInd w:val="0"/>
        <w:spacing w:after="0" w:line="240" w:lineRule="auto"/>
        <w:jc w:val="both"/>
        <w:rPr>
          <w:rFonts w:cs="Calibri"/>
          <w:sz w:val="20"/>
          <w:szCs w:val="20"/>
          <w:lang w:val="es-ES"/>
        </w:rPr>
      </w:pPr>
    </w:p>
    <w:p w14:paraId="43D903FA" w14:textId="77777777" w:rsidR="00251530" w:rsidRPr="00E100D7" w:rsidRDefault="00251530" w:rsidP="00B10467">
      <w:pPr>
        <w:widowControl w:val="0"/>
        <w:autoSpaceDE w:val="0"/>
        <w:autoSpaceDN w:val="0"/>
        <w:adjustRightInd w:val="0"/>
        <w:spacing w:after="0" w:line="240" w:lineRule="auto"/>
        <w:ind w:firstLine="720"/>
        <w:jc w:val="both"/>
        <w:rPr>
          <w:rFonts w:cs="Calibri"/>
          <w:sz w:val="20"/>
          <w:szCs w:val="20"/>
          <w:lang w:val="es-CO"/>
        </w:rPr>
      </w:pPr>
      <w:r w:rsidRPr="00E100D7">
        <w:rPr>
          <w:rFonts w:cs="Calibri"/>
          <w:sz w:val="20"/>
          <w:szCs w:val="20"/>
          <w:lang w:val="es-CO"/>
        </w:rPr>
        <w:t xml:space="preserve">El Estado </w:t>
      </w:r>
      <w:r w:rsidR="00DC3674" w:rsidRPr="00E100D7">
        <w:rPr>
          <w:rFonts w:cs="Calibri"/>
          <w:sz w:val="20"/>
          <w:szCs w:val="20"/>
          <w:lang w:val="es-CO"/>
        </w:rPr>
        <w:t xml:space="preserve">de </w:t>
      </w:r>
      <w:r w:rsidR="00852398" w:rsidRPr="00E100D7">
        <w:rPr>
          <w:rFonts w:cs="Calibri"/>
          <w:sz w:val="20"/>
          <w:szCs w:val="20"/>
          <w:lang w:val="es-CO"/>
        </w:rPr>
        <w:t>Colombia</w:t>
      </w:r>
      <w:r w:rsidR="00DC3674" w:rsidRPr="00E100D7">
        <w:rPr>
          <w:rFonts w:cs="Calibri"/>
          <w:sz w:val="20"/>
          <w:szCs w:val="20"/>
          <w:lang w:val="es-CO"/>
        </w:rPr>
        <w:t xml:space="preserve"> </w:t>
      </w:r>
      <w:r w:rsidRPr="00E100D7">
        <w:rPr>
          <w:rFonts w:cs="Calibri"/>
          <w:sz w:val="20"/>
          <w:szCs w:val="20"/>
          <w:lang w:val="es-CO"/>
        </w:rPr>
        <w:t xml:space="preserve">ratificó la Convención Americana sobre Derechos Humanos el </w:t>
      </w:r>
      <w:r w:rsidR="00852398" w:rsidRPr="00E100D7">
        <w:rPr>
          <w:rFonts w:cs="Calibri"/>
          <w:sz w:val="20"/>
          <w:szCs w:val="20"/>
          <w:lang w:val="es-CO"/>
        </w:rPr>
        <w:t>31 de julio de 1973</w:t>
      </w:r>
      <w:r w:rsidRPr="00E100D7">
        <w:rPr>
          <w:rFonts w:cs="Calibri"/>
          <w:sz w:val="20"/>
          <w:szCs w:val="20"/>
          <w:lang w:val="es-CO"/>
        </w:rPr>
        <w:t xml:space="preserve"> y aceptó la competencia contenciosa de la Corte el 21 de </w:t>
      </w:r>
      <w:r w:rsidR="00852398" w:rsidRPr="00E100D7">
        <w:rPr>
          <w:rFonts w:cs="Calibri"/>
          <w:sz w:val="20"/>
          <w:szCs w:val="20"/>
          <w:lang w:val="es-CO"/>
        </w:rPr>
        <w:t>junio de 1985</w:t>
      </w:r>
      <w:r w:rsidRPr="00E100D7">
        <w:rPr>
          <w:rFonts w:cs="Calibri"/>
          <w:sz w:val="20"/>
          <w:szCs w:val="20"/>
          <w:lang w:val="es-CO"/>
        </w:rPr>
        <w:t xml:space="preserve">. </w:t>
      </w:r>
      <w:r w:rsidR="00927010" w:rsidRPr="00E100D7">
        <w:rPr>
          <w:rFonts w:cs="Calibri"/>
          <w:sz w:val="20"/>
          <w:szCs w:val="20"/>
          <w:lang w:val="es-CO"/>
        </w:rPr>
        <w:t xml:space="preserve"> </w:t>
      </w:r>
    </w:p>
    <w:p w14:paraId="777A6D94" w14:textId="77777777" w:rsidR="00251530" w:rsidRPr="00E100D7" w:rsidRDefault="00251530" w:rsidP="00B10467">
      <w:pPr>
        <w:spacing w:after="0" w:line="240" w:lineRule="auto"/>
        <w:jc w:val="both"/>
        <w:rPr>
          <w:rFonts w:cs="Calibri"/>
          <w:snapToGrid w:val="0"/>
          <w:sz w:val="20"/>
          <w:szCs w:val="20"/>
          <w:lang w:val="es-CO"/>
        </w:rPr>
      </w:pPr>
    </w:p>
    <w:p w14:paraId="2ECAB43D" w14:textId="77777777" w:rsidR="00251530" w:rsidRPr="00E100D7" w:rsidRDefault="00251530" w:rsidP="00B10467">
      <w:pPr>
        <w:widowControl w:val="0"/>
        <w:autoSpaceDE w:val="0"/>
        <w:autoSpaceDN w:val="0"/>
        <w:adjustRightInd w:val="0"/>
        <w:spacing w:after="0" w:line="240" w:lineRule="auto"/>
        <w:ind w:firstLine="720"/>
        <w:jc w:val="both"/>
        <w:rPr>
          <w:rFonts w:cs="Calibri"/>
          <w:sz w:val="20"/>
          <w:szCs w:val="20"/>
          <w:lang w:val="es-CO"/>
        </w:rPr>
      </w:pPr>
      <w:r w:rsidRPr="00E100D7">
        <w:rPr>
          <w:rFonts w:cs="Calibri"/>
          <w:sz w:val="20"/>
          <w:szCs w:val="20"/>
          <w:lang w:val="es-CO"/>
        </w:rPr>
        <w:t>La Comisión ha designado a</w:t>
      </w:r>
      <w:r w:rsidR="00F726E7" w:rsidRPr="00E100D7">
        <w:rPr>
          <w:rFonts w:cs="Calibri"/>
          <w:sz w:val="20"/>
          <w:szCs w:val="20"/>
          <w:lang w:val="es-CO"/>
        </w:rPr>
        <w:t xml:space="preserve"> </w:t>
      </w:r>
      <w:r w:rsidRPr="00E100D7">
        <w:rPr>
          <w:rFonts w:cs="Calibri"/>
          <w:sz w:val="20"/>
          <w:szCs w:val="20"/>
          <w:lang w:val="es-CO"/>
        </w:rPr>
        <w:t>l</w:t>
      </w:r>
      <w:r w:rsidR="00F726E7" w:rsidRPr="00E100D7">
        <w:rPr>
          <w:rFonts w:cs="Calibri"/>
          <w:sz w:val="20"/>
          <w:szCs w:val="20"/>
          <w:lang w:val="es-CO"/>
        </w:rPr>
        <w:t>a Comisionada</w:t>
      </w:r>
      <w:r w:rsidRPr="00E100D7">
        <w:rPr>
          <w:rFonts w:cs="Calibri"/>
          <w:sz w:val="20"/>
          <w:szCs w:val="20"/>
          <w:lang w:val="es-CO"/>
        </w:rPr>
        <w:t xml:space="preserve"> </w:t>
      </w:r>
      <w:r w:rsidR="00F726E7" w:rsidRPr="00E100D7">
        <w:rPr>
          <w:rFonts w:cs="Calibri"/>
          <w:sz w:val="20"/>
          <w:szCs w:val="20"/>
          <w:lang w:val="es-CO"/>
        </w:rPr>
        <w:t>Antonia Urrejola</w:t>
      </w:r>
      <w:r w:rsidR="00A50962" w:rsidRPr="00E100D7">
        <w:rPr>
          <w:rFonts w:cs="Calibri"/>
          <w:sz w:val="20"/>
          <w:szCs w:val="20"/>
          <w:lang w:val="es-CO"/>
        </w:rPr>
        <w:t xml:space="preserve">, </w:t>
      </w:r>
      <w:r w:rsidRPr="00E100D7">
        <w:rPr>
          <w:rFonts w:cs="Calibri"/>
          <w:sz w:val="20"/>
          <w:szCs w:val="20"/>
          <w:lang w:val="es-CO"/>
        </w:rPr>
        <w:t xml:space="preserve">al Secretario Ejecutivo </w:t>
      </w:r>
      <w:r w:rsidR="000933BD" w:rsidRPr="00E100D7">
        <w:rPr>
          <w:rFonts w:cs="Calibri"/>
          <w:sz w:val="20"/>
          <w:szCs w:val="20"/>
          <w:lang w:val="es-CO"/>
        </w:rPr>
        <w:t>Paulo Abrão</w:t>
      </w:r>
      <w:r w:rsidR="00A50962" w:rsidRPr="00E100D7">
        <w:rPr>
          <w:rFonts w:cs="Calibri"/>
          <w:sz w:val="20"/>
          <w:szCs w:val="20"/>
          <w:lang w:val="es-CO"/>
        </w:rPr>
        <w:t xml:space="preserve"> y al Relator Especial para la Libertad de Expresión Edison Lanza como su delegada y delegados</w:t>
      </w:r>
      <w:r w:rsidRPr="00E100D7">
        <w:rPr>
          <w:rFonts w:cs="Calibri"/>
          <w:sz w:val="20"/>
          <w:szCs w:val="20"/>
          <w:lang w:val="es-CO"/>
        </w:rPr>
        <w:t xml:space="preserve">. Asimismo, </w:t>
      </w:r>
      <w:r w:rsidR="003175D8" w:rsidRPr="00E100D7">
        <w:rPr>
          <w:rFonts w:cs="Calibri"/>
          <w:sz w:val="20"/>
          <w:szCs w:val="20"/>
          <w:lang w:val="es-CO"/>
        </w:rPr>
        <w:t>Marisol Blanchard, Secretaria Ejecutiva Adjunt</w:t>
      </w:r>
      <w:r w:rsidR="00077699" w:rsidRPr="00E100D7">
        <w:rPr>
          <w:rFonts w:cs="Calibri"/>
          <w:sz w:val="20"/>
          <w:szCs w:val="20"/>
          <w:lang w:val="es-CO"/>
        </w:rPr>
        <w:t xml:space="preserve">a, Jorge Humberto Meza Flores, </w:t>
      </w:r>
      <w:r w:rsidR="00F726E7" w:rsidRPr="00E100D7">
        <w:rPr>
          <w:rFonts w:cs="Calibri"/>
          <w:sz w:val="20"/>
          <w:szCs w:val="20"/>
          <w:lang w:val="es-CO"/>
        </w:rPr>
        <w:t>Erick Acuña Pereda</w:t>
      </w:r>
      <w:r w:rsidR="00077699" w:rsidRPr="00E100D7">
        <w:rPr>
          <w:rFonts w:cs="Calibri"/>
          <w:sz w:val="20"/>
          <w:szCs w:val="20"/>
          <w:lang w:val="es-CO"/>
        </w:rPr>
        <w:t xml:space="preserve"> y Cecilia La Hoz</w:t>
      </w:r>
      <w:r w:rsidR="008F541D" w:rsidRPr="00E100D7">
        <w:rPr>
          <w:rFonts w:cs="Calibri"/>
          <w:sz w:val="20"/>
          <w:szCs w:val="20"/>
          <w:lang w:val="es-CO"/>
        </w:rPr>
        <w:t>,</w:t>
      </w:r>
      <w:r w:rsidR="00077699" w:rsidRPr="00E100D7">
        <w:rPr>
          <w:rFonts w:cs="Calibri"/>
          <w:sz w:val="20"/>
          <w:szCs w:val="20"/>
          <w:lang w:val="es-CO"/>
        </w:rPr>
        <w:t xml:space="preserve"> especialistas </w:t>
      </w:r>
      <w:r w:rsidRPr="00E100D7">
        <w:rPr>
          <w:rFonts w:cs="Calibri"/>
          <w:sz w:val="20"/>
          <w:szCs w:val="20"/>
          <w:lang w:val="es-CO"/>
        </w:rPr>
        <w:t>de la Secretaría Ejecutiva de la CIDH, actuarán como asesor</w:t>
      </w:r>
      <w:r w:rsidR="003175D8" w:rsidRPr="00E100D7">
        <w:rPr>
          <w:rFonts w:cs="Calibri"/>
          <w:sz w:val="20"/>
          <w:szCs w:val="20"/>
          <w:lang w:val="es-CO"/>
        </w:rPr>
        <w:t>a</w:t>
      </w:r>
      <w:r w:rsidR="00077699" w:rsidRPr="00E100D7">
        <w:rPr>
          <w:rFonts w:cs="Calibri"/>
          <w:sz w:val="20"/>
          <w:szCs w:val="20"/>
          <w:lang w:val="es-CO"/>
        </w:rPr>
        <w:t>s</w:t>
      </w:r>
      <w:r w:rsidR="003175D8" w:rsidRPr="00E100D7">
        <w:rPr>
          <w:rFonts w:cs="Calibri"/>
          <w:sz w:val="20"/>
          <w:szCs w:val="20"/>
          <w:lang w:val="es-CO"/>
        </w:rPr>
        <w:t xml:space="preserve"> y asesores</w:t>
      </w:r>
      <w:r w:rsidRPr="00E100D7">
        <w:rPr>
          <w:rFonts w:cs="Calibri"/>
          <w:sz w:val="20"/>
          <w:szCs w:val="20"/>
          <w:lang w:val="es-CO"/>
        </w:rPr>
        <w:t xml:space="preserve"> legales.</w:t>
      </w:r>
    </w:p>
    <w:p w14:paraId="31714A2C" w14:textId="77777777" w:rsidR="00251530" w:rsidRPr="00E100D7" w:rsidRDefault="00251530" w:rsidP="00B10467">
      <w:pPr>
        <w:autoSpaceDE w:val="0"/>
        <w:autoSpaceDN w:val="0"/>
        <w:adjustRightInd w:val="0"/>
        <w:spacing w:after="0" w:line="240" w:lineRule="auto"/>
        <w:ind w:right="480"/>
        <w:jc w:val="both"/>
        <w:rPr>
          <w:rFonts w:cs="Calibri"/>
          <w:b/>
          <w:sz w:val="20"/>
          <w:szCs w:val="20"/>
          <w:lang w:val="es-CO"/>
        </w:rPr>
      </w:pPr>
    </w:p>
    <w:p w14:paraId="623754CC" w14:textId="77777777" w:rsidR="004E4A7E" w:rsidRPr="00E100D7" w:rsidRDefault="00251530" w:rsidP="00A017AF">
      <w:pPr>
        <w:widowControl w:val="0"/>
        <w:autoSpaceDE w:val="0"/>
        <w:autoSpaceDN w:val="0"/>
        <w:adjustRightInd w:val="0"/>
        <w:spacing w:after="0" w:line="240" w:lineRule="auto"/>
        <w:ind w:firstLine="720"/>
        <w:jc w:val="both"/>
        <w:rPr>
          <w:rFonts w:cs="Calibri"/>
          <w:sz w:val="20"/>
          <w:szCs w:val="20"/>
          <w:lang w:val="es-AR"/>
        </w:rPr>
      </w:pPr>
      <w:r w:rsidRPr="00E100D7">
        <w:rPr>
          <w:rFonts w:cs="Calibri"/>
          <w:sz w:val="20"/>
          <w:szCs w:val="20"/>
          <w:lang w:val="es-CO"/>
        </w:rPr>
        <w:t xml:space="preserve">De conformidad con el artículo 35 del Reglamento de la Corte Interamericana, la Comisión adjunta </w:t>
      </w:r>
      <w:r w:rsidR="003175D8" w:rsidRPr="00E100D7">
        <w:rPr>
          <w:rFonts w:cs="Calibri"/>
          <w:sz w:val="20"/>
          <w:szCs w:val="20"/>
          <w:lang w:val="es-CO"/>
        </w:rPr>
        <w:t xml:space="preserve">copia del Informe de Fondo </w:t>
      </w:r>
      <w:r w:rsidR="00EE4146" w:rsidRPr="00E100D7">
        <w:rPr>
          <w:rFonts w:cs="Calibri"/>
          <w:sz w:val="20"/>
          <w:szCs w:val="20"/>
          <w:lang w:val="es-CO"/>
        </w:rPr>
        <w:t xml:space="preserve">No. </w:t>
      </w:r>
      <w:r w:rsidR="00F726E7" w:rsidRPr="00E100D7">
        <w:rPr>
          <w:rFonts w:cs="Calibri"/>
          <w:sz w:val="20"/>
          <w:szCs w:val="20"/>
          <w:lang w:val="es-CO"/>
        </w:rPr>
        <w:t>57</w:t>
      </w:r>
      <w:r w:rsidR="00BE3F28" w:rsidRPr="00E100D7">
        <w:rPr>
          <w:rFonts w:cs="Calibri"/>
          <w:sz w:val="20"/>
          <w:szCs w:val="20"/>
          <w:lang w:val="es-CO"/>
        </w:rPr>
        <w:t>/</w:t>
      </w:r>
      <w:r w:rsidRPr="00E100D7">
        <w:rPr>
          <w:rFonts w:cs="Calibri"/>
          <w:sz w:val="20"/>
          <w:szCs w:val="20"/>
          <w:lang w:val="es-CO"/>
        </w:rPr>
        <w:t>1</w:t>
      </w:r>
      <w:r w:rsidR="003175D8" w:rsidRPr="00E100D7">
        <w:rPr>
          <w:rFonts w:cs="Calibri"/>
          <w:sz w:val="20"/>
          <w:szCs w:val="20"/>
          <w:lang w:val="es-CO"/>
        </w:rPr>
        <w:t>9</w:t>
      </w:r>
      <w:r w:rsidRPr="00E100D7">
        <w:rPr>
          <w:rFonts w:cs="Calibri"/>
          <w:sz w:val="20"/>
          <w:szCs w:val="20"/>
          <w:lang w:val="es-CO"/>
        </w:rPr>
        <w:t xml:space="preserve"> elaborado en observancia del artículo 50 de la Convención, así como copia de la totalidad del expediente ante la Comisión Interamericana (Apéndice I) y los anexos ut</w:t>
      </w:r>
      <w:r w:rsidR="003175D8" w:rsidRPr="00E100D7">
        <w:rPr>
          <w:rFonts w:cs="Calibri"/>
          <w:sz w:val="20"/>
          <w:szCs w:val="20"/>
          <w:lang w:val="es-CO"/>
        </w:rPr>
        <w:t xml:space="preserve">ilizados en la elaboración </w:t>
      </w:r>
      <w:r w:rsidR="00C17BD2" w:rsidRPr="00E100D7">
        <w:rPr>
          <w:rFonts w:cs="Calibri"/>
          <w:sz w:val="20"/>
          <w:szCs w:val="20"/>
          <w:lang w:val="es-CO"/>
        </w:rPr>
        <w:t>de dicho informe</w:t>
      </w:r>
      <w:r w:rsidRPr="00E100D7">
        <w:rPr>
          <w:rFonts w:cs="Calibri"/>
          <w:sz w:val="20"/>
          <w:szCs w:val="20"/>
          <w:lang w:val="es-CO"/>
        </w:rPr>
        <w:t xml:space="preserve"> (Anexos). </w:t>
      </w:r>
      <w:r w:rsidR="00C17BD2" w:rsidRPr="00E100D7">
        <w:rPr>
          <w:rFonts w:cs="Calibri"/>
          <w:sz w:val="20"/>
          <w:szCs w:val="20"/>
          <w:lang w:val="es-CO"/>
        </w:rPr>
        <w:t>El</w:t>
      </w:r>
      <w:r w:rsidRPr="00E100D7">
        <w:rPr>
          <w:rFonts w:cs="Calibri"/>
          <w:sz w:val="20"/>
          <w:szCs w:val="20"/>
          <w:lang w:val="es-CO"/>
        </w:rPr>
        <w:t xml:space="preserve"> </w:t>
      </w:r>
      <w:r w:rsidR="003175D8" w:rsidRPr="00E100D7">
        <w:rPr>
          <w:rFonts w:cs="Calibri"/>
          <w:sz w:val="20"/>
          <w:szCs w:val="20"/>
          <w:lang w:val="es-CO"/>
        </w:rPr>
        <w:t>I</w:t>
      </w:r>
      <w:r w:rsidRPr="00E100D7">
        <w:rPr>
          <w:rFonts w:cs="Calibri"/>
          <w:sz w:val="20"/>
          <w:szCs w:val="20"/>
          <w:lang w:val="es-CO"/>
        </w:rPr>
        <w:t xml:space="preserve">nforme de </w:t>
      </w:r>
      <w:r w:rsidR="003175D8" w:rsidRPr="00E100D7">
        <w:rPr>
          <w:rFonts w:cs="Calibri"/>
          <w:sz w:val="20"/>
          <w:szCs w:val="20"/>
          <w:lang w:val="es-CO"/>
        </w:rPr>
        <w:t>F</w:t>
      </w:r>
      <w:r w:rsidRPr="00E100D7">
        <w:rPr>
          <w:rFonts w:cs="Calibri"/>
          <w:sz w:val="20"/>
          <w:szCs w:val="20"/>
          <w:lang w:val="es-CO"/>
        </w:rPr>
        <w:t xml:space="preserve">ondo </w:t>
      </w:r>
      <w:r w:rsidRPr="00E100D7">
        <w:rPr>
          <w:rFonts w:cs="Calibri"/>
          <w:sz w:val="20"/>
          <w:szCs w:val="20"/>
          <w:lang w:val="es-AR"/>
        </w:rPr>
        <w:t xml:space="preserve">fue notificado al Estado de </w:t>
      </w:r>
      <w:r w:rsidR="00C17BD2" w:rsidRPr="00E100D7">
        <w:rPr>
          <w:rFonts w:cs="Calibri"/>
          <w:sz w:val="20"/>
          <w:szCs w:val="20"/>
          <w:lang w:val="es-AR"/>
        </w:rPr>
        <w:t>Colombia</w:t>
      </w:r>
      <w:r w:rsidRPr="00E100D7">
        <w:rPr>
          <w:rFonts w:cs="Calibri"/>
          <w:sz w:val="20"/>
          <w:szCs w:val="20"/>
          <w:lang w:val="es-AR"/>
        </w:rPr>
        <w:t xml:space="preserve"> mediante comunicación de</w:t>
      </w:r>
      <w:r w:rsidR="00077699" w:rsidRPr="00E100D7">
        <w:rPr>
          <w:rFonts w:cs="Calibri"/>
          <w:sz w:val="20"/>
          <w:szCs w:val="20"/>
          <w:lang w:val="es-AR"/>
        </w:rPr>
        <w:t xml:space="preserve"> 8</w:t>
      </w:r>
      <w:r w:rsidR="00E85C6B" w:rsidRPr="00E100D7">
        <w:rPr>
          <w:rFonts w:cs="Calibri"/>
          <w:sz w:val="20"/>
          <w:szCs w:val="20"/>
          <w:lang w:val="es-AR"/>
        </w:rPr>
        <w:t xml:space="preserve"> de octubre de </w:t>
      </w:r>
      <w:r w:rsidR="009879DE" w:rsidRPr="00E100D7">
        <w:rPr>
          <w:rFonts w:cs="Calibri"/>
          <w:sz w:val="20"/>
          <w:szCs w:val="20"/>
          <w:lang w:val="es-AR"/>
        </w:rPr>
        <w:t>2019 otorgándole</w:t>
      </w:r>
      <w:r w:rsidRPr="00E100D7">
        <w:rPr>
          <w:rFonts w:cs="Calibri"/>
          <w:sz w:val="20"/>
          <w:szCs w:val="20"/>
          <w:lang w:val="es-AR"/>
        </w:rPr>
        <w:t xml:space="preserve"> un plazo de dos meses para informar sobre el cumplimiento de las </w:t>
      </w:r>
      <w:r w:rsidRPr="00E100D7">
        <w:rPr>
          <w:rFonts w:cs="Calibri"/>
          <w:sz w:val="20"/>
          <w:szCs w:val="20"/>
          <w:lang w:val="es-CO"/>
        </w:rPr>
        <w:t>recomendaciones</w:t>
      </w:r>
      <w:r w:rsidR="00A017AF" w:rsidRPr="00E100D7">
        <w:rPr>
          <w:rFonts w:cs="Calibri"/>
          <w:sz w:val="20"/>
          <w:szCs w:val="20"/>
          <w:lang w:val="es-AR"/>
        </w:rPr>
        <w:t xml:space="preserve">. Luego de que la CIDH otorgara dos prórrogas al Estado colombiano, éste solicitó una tercera prórroga y no presentó información sustantiva que revelara avances </w:t>
      </w:r>
      <w:r w:rsidR="004E4A7E" w:rsidRPr="00E100D7">
        <w:rPr>
          <w:rFonts w:cs="Calibri"/>
          <w:sz w:val="20"/>
          <w:szCs w:val="20"/>
          <w:lang w:val="es-AR"/>
        </w:rPr>
        <w:t xml:space="preserve">relevantes en el cumplimiento de las recomendaciones </w:t>
      </w:r>
      <w:r w:rsidR="00EE4146" w:rsidRPr="00E100D7">
        <w:rPr>
          <w:rFonts w:cs="Calibri"/>
          <w:sz w:val="20"/>
          <w:szCs w:val="20"/>
          <w:lang w:val="es-AR"/>
        </w:rPr>
        <w:t>contenidas en el mismo</w:t>
      </w:r>
      <w:r w:rsidR="004E4A7E" w:rsidRPr="00E100D7">
        <w:rPr>
          <w:rFonts w:cs="Calibri"/>
          <w:sz w:val="20"/>
          <w:szCs w:val="20"/>
          <w:lang w:val="es-AR"/>
        </w:rPr>
        <w:t xml:space="preserve">. </w:t>
      </w:r>
      <w:r w:rsidR="008D6BD7" w:rsidRPr="00E100D7">
        <w:rPr>
          <w:rFonts w:cs="Calibri"/>
          <w:sz w:val="20"/>
          <w:szCs w:val="20"/>
          <w:lang w:val="es-AR"/>
        </w:rPr>
        <w:t xml:space="preserve">Asimismo, la Comisión </w:t>
      </w:r>
      <w:r w:rsidR="0091534B" w:rsidRPr="00E100D7">
        <w:rPr>
          <w:rFonts w:cs="Calibri"/>
          <w:sz w:val="20"/>
          <w:szCs w:val="20"/>
          <w:lang w:val="es-AR"/>
        </w:rPr>
        <w:t>notó con preocupación</w:t>
      </w:r>
      <w:r w:rsidR="008D6BD7" w:rsidRPr="00E100D7">
        <w:rPr>
          <w:rFonts w:cs="Calibri"/>
          <w:sz w:val="20"/>
          <w:szCs w:val="20"/>
          <w:lang w:val="es-AR"/>
        </w:rPr>
        <w:t xml:space="preserve"> la información aportada por los peticionarios que denunciaba la posible continuidad de actividades de inteligencia en contra de integrantes del CAJAR. </w:t>
      </w:r>
    </w:p>
    <w:p w14:paraId="7FBCF5A4" w14:textId="77777777" w:rsidR="00251530" w:rsidRPr="00E100D7" w:rsidRDefault="00251530" w:rsidP="00B10467">
      <w:pPr>
        <w:widowControl w:val="0"/>
        <w:autoSpaceDE w:val="0"/>
        <w:autoSpaceDN w:val="0"/>
        <w:adjustRightInd w:val="0"/>
        <w:spacing w:after="0" w:line="240" w:lineRule="auto"/>
        <w:ind w:firstLine="720"/>
        <w:jc w:val="both"/>
        <w:rPr>
          <w:rFonts w:cs="Calibri"/>
          <w:sz w:val="20"/>
          <w:szCs w:val="20"/>
          <w:lang w:val="es-AR"/>
        </w:rPr>
      </w:pPr>
      <w:r w:rsidRPr="00E100D7">
        <w:rPr>
          <w:rFonts w:cs="Calibri"/>
          <w:sz w:val="20"/>
          <w:szCs w:val="20"/>
          <w:lang w:val="es-AR"/>
        </w:rPr>
        <w:t xml:space="preserve"> </w:t>
      </w:r>
      <w:r w:rsidRPr="00E100D7">
        <w:rPr>
          <w:rFonts w:cs="Calibri"/>
          <w:sz w:val="20"/>
          <w:szCs w:val="20"/>
          <w:lang w:val="es-AR"/>
        </w:rPr>
        <w:tab/>
      </w:r>
      <w:r w:rsidRPr="00E100D7">
        <w:rPr>
          <w:rFonts w:cs="Calibri"/>
          <w:sz w:val="20"/>
          <w:szCs w:val="20"/>
          <w:lang w:val="es-AR"/>
        </w:rPr>
        <w:tab/>
      </w:r>
    </w:p>
    <w:p w14:paraId="0F288520" w14:textId="77777777" w:rsidR="00E3024D" w:rsidRPr="00E100D7" w:rsidRDefault="00251530" w:rsidP="00B10467">
      <w:pPr>
        <w:widowControl w:val="0"/>
        <w:autoSpaceDE w:val="0"/>
        <w:autoSpaceDN w:val="0"/>
        <w:adjustRightInd w:val="0"/>
        <w:spacing w:after="0" w:line="240" w:lineRule="auto"/>
        <w:ind w:firstLine="720"/>
        <w:jc w:val="both"/>
        <w:rPr>
          <w:rFonts w:cs="Calibri"/>
          <w:sz w:val="20"/>
          <w:szCs w:val="20"/>
          <w:lang w:val="es-AR"/>
        </w:rPr>
      </w:pPr>
      <w:r w:rsidRPr="00E100D7">
        <w:rPr>
          <w:rFonts w:cs="Calibri"/>
          <w:sz w:val="20"/>
          <w:szCs w:val="20"/>
          <w:lang w:val="es-AR"/>
        </w:rPr>
        <w:t>En consecuencia, la Comisión decidió</w:t>
      </w:r>
      <w:r w:rsidR="00E85C6B" w:rsidRPr="00E100D7">
        <w:rPr>
          <w:rFonts w:cs="Calibri"/>
          <w:sz w:val="20"/>
          <w:szCs w:val="20"/>
          <w:lang w:val="es-AR"/>
        </w:rPr>
        <w:t xml:space="preserve"> no otorgar una nueva prórroga y</w:t>
      </w:r>
      <w:r w:rsidR="004E4A7E" w:rsidRPr="00E100D7">
        <w:rPr>
          <w:rFonts w:cs="Calibri"/>
          <w:sz w:val="20"/>
          <w:szCs w:val="20"/>
          <w:lang w:val="es-AR"/>
        </w:rPr>
        <w:t xml:space="preserve"> </w:t>
      </w:r>
      <w:r w:rsidRPr="00E100D7">
        <w:rPr>
          <w:rFonts w:cs="Calibri"/>
          <w:sz w:val="20"/>
          <w:szCs w:val="20"/>
          <w:lang w:val="es-AR"/>
        </w:rPr>
        <w:t xml:space="preserve">someter el presente caso a la jurisdicción de la Corte Interamericana por la </w:t>
      </w:r>
      <w:r w:rsidRPr="00E100D7">
        <w:rPr>
          <w:rFonts w:cs="Calibri"/>
          <w:sz w:val="20"/>
          <w:szCs w:val="20"/>
          <w:lang w:val="es-CO"/>
        </w:rPr>
        <w:t>necesidad</w:t>
      </w:r>
      <w:r w:rsidRPr="00E100D7">
        <w:rPr>
          <w:rFonts w:cs="Calibri"/>
          <w:sz w:val="20"/>
          <w:szCs w:val="20"/>
          <w:lang w:val="es-AR"/>
        </w:rPr>
        <w:t xml:space="preserve"> de obtención de justicia para la</w:t>
      </w:r>
      <w:r w:rsidR="00A017AF" w:rsidRPr="00E100D7">
        <w:rPr>
          <w:rFonts w:cs="Calibri"/>
          <w:sz w:val="20"/>
          <w:szCs w:val="20"/>
          <w:lang w:val="es-AR"/>
        </w:rPr>
        <w:t>s</w:t>
      </w:r>
      <w:r w:rsidRPr="00E100D7">
        <w:rPr>
          <w:rFonts w:cs="Calibri"/>
          <w:sz w:val="20"/>
          <w:szCs w:val="20"/>
          <w:lang w:val="es-AR"/>
        </w:rPr>
        <w:t xml:space="preserve"> víctima</w:t>
      </w:r>
      <w:r w:rsidR="00A017AF" w:rsidRPr="00E100D7">
        <w:rPr>
          <w:rFonts w:cs="Calibri"/>
          <w:sz w:val="20"/>
          <w:szCs w:val="20"/>
          <w:lang w:val="es-AR"/>
        </w:rPr>
        <w:t>s</w:t>
      </w:r>
      <w:r w:rsidRPr="00E100D7">
        <w:rPr>
          <w:rFonts w:cs="Calibri"/>
          <w:sz w:val="20"/>
          <w:szCs w:val="20"/>
          <w:lang w:val="es-AR"/>
        </w:rPr>
        <w:t xml:space="preserve">. </w:t>
      </w:r>
      <w:r w:rsidRPr="00E100D7">
        <w:rPr>
          <w:rFonts w:cs="Calibri"/>
          <w:sz w:val="20"/>
          <w:szCs w:val="20"/>
          <w:lang w:val="es-CO"/>
        </w:rPr>
        <w:t>La Comisión Interamericana somete a la jurisdicción de la Corte la totalidad de los hechos y violaciones de derechos humanos descritos en e</w:t>
      </w:r>
      <w:r w:rsidR="00EE4146" w:rsidRPr="00E100D7">
        <w:rPr>
          <w:rFonts w:cs="Calibri"/>
          <w:sz w:val="20"/>
          <w:szCs w:val="20"/>
          <w:lang w:val="es-CO"/>
        </w:rPr>
        <w:t>l Informe de F</w:t>
      </w:r>
      <w:r w:rsidRPr="00E100D7">
        <w:rPr>
          <w:rFonts w:cs="Calibri"/>
          <w:sz w:val="20"/>
          <w:szCs w:val="20"/>
          <w:lang w:val="es-CO"/>
        </w:rPr>
        <w:t xml:space="preserve">ondo </w:t>
      </w:r>
      <w:r w:rsidR="00EE4146" w:rsidRPr="00E100D7">
        <w:rPr>
          <w:rFonts w:cs="Calibri"/>
          <w:sz w:val="20"/>
          <w:szCs w:val="20"/>
          <w:lang w:val="es-CO"/>
        </w:rPr>
        <w:t xml:space="preserve">No. </w:t>
      </w:r>
      <w:r w:rsidR="00A017AF" w:rsidRPr="00E100D7">
        <w:rPr>
          <w:rFonts w:cs="Calibri"/>
          <w:sz w:val="20"/>
          <w:szCs w:val="20"/>
          <w:lang w:val="es-CO"/>
        </w:rPr>
        <w:t>57</w:t>
      </w:r>
      <w:r w:rsidRPr="00E100D7">
        <w:rPr>
          <w:rFonts w:cs="Calibri"/>
          <w:sz w:val="20"/>
          <w:szCs w:val="20"/>
          <w:lang w:val="es-CO"/>
        </w:rPr>
        <w:t>/1</w:t>
      </w:r>
      <w:r w:rsidR="00EE4146" w:rsidRPr="00E100D7">
        <w:rPr>
          <w:rFonts w:cs="Calibri"/>
          <w:sz w:val="20"/>
          <w:szCs w:val="20"/>
          <w:lang w:val="es-CO"/>
        </w:rPr>
        <w:t>9</w:t>
      </w:r>
      <w:r w:rsidRPr="00E100D7">
        <w:rPr>
          <w:rFonts w:cs="Calibri"/>
          <w:sz w:val="20"/>
          <w:szCs w:val="20"/>
          <w:lang w:val="es-CO"/>
        </w:rPr>
        <w:t xml:space="preserve">. </w:t>
      </w:r>
    </w:p>
    <w:p w14:paraId="2087C982" w14:textId="77777777" w:rsidR="00E3024D" w:rsidRPr="00E100D7" w:rsidRDefault="00E3024D" w:rsidP="00B10467">
      <w:pPr>
        <w:widowControl w:val="0"/>
        <w:autoSpaceDE w:val="0"/>
        <w:autoSpaceDN w:val="0"/>
        <w:adjustRightInd w:val="0"/>
        <w:spacing w:after="0" w:line="240" w:lineRule="auto"/>
        <w:ind w:firstLine="720"/>
        <w:jc w:val="both"/>
        <w:rPr>
          <w:rFonts w:cs="Calibri"/>
          <w:sz w:val="20"/>
          <w:szCs w:val="20"/>
          <w:lang w:val="es-AR"/>
        </w:rPr>
      </w:pPr>
    </w:p>
    <w:p w14:paraId="144A5280" w14:textId="77777777" w:rsidR="00E3024D" w:rsidRPr="00E100D7" w:rsidRDefault="00251530" w:rsidP="00B10467">
      <w:pPr>
        <w:widowControl w:val="0"/>
        <w:autoSpaceDE w:val="0"/>
        <w:autoSpaceDN w:val="0"/>
        <w:adjustRightInd w:val="0"/>
        <w:spacing w:after="0" w:line="240" w:lineRule="auto"/>
        <w:ind w:firstLine="720"/>
        <w:jc w:val="both"/>
        <w:rPr>
          <w:rFonts w:cs="Calibri"/>
          <w:sz w:val="20"/>
          <w:szCs w:val="20"/>
          <w:lang w:val="es-ES"/>
        </w:rPr>
      </w:pPr>
      <w:r w:rsidRPr="00E100D7">
        <w:rPr>
          <w:rFonts w:cs="Calibri"/>
          <w:sz w:val="20"/>
          <w:szCs w:val="20"/>
          <w:lang w:val="es-CO"/>
        </w:rPr>
        <w:lastRenderedPageBreak/>
        <w:t>En ese sentido, la Comisión solicita a la Corte que concluya y declare la responsabilidad internacional del</w:t>
      </w:r>
      <w:r w:rsidRPr="00E100D7">
        <w:rPr>
          <w:rFonts w:cs="Calibri"/>
          <w:sz w:val="20"/>
          <w:szCs w:val="20"/>
          <w:lang w:val="es-CL"/>
        </w:rPr>
        <w:t xml:space="preserve"> Estado de </w:t>
      </w:r>
      <w:r w:rsidR="00A017AF" w:rsidRPr="00E100D7">
        <w:rPr>
          <w:rFonts w:cs="Calibri"/>
          <w:sz w:val="20"/>
          <w:szCs w:val="20"/>
          <w:lang w:val="es-CO"/>
        </w:rPr>
        <w:t>Colombia</w:t>
      </w:r>
      <w:r w:rsidR="00E3024D" w:rsidRPr="00E100D7">
        <w:rPr>
          <w:rFonts w:cs="Calibri"/>
          <w:sz w:val="20"/>
          <w:szCs w:val="20"/>
          <w:lang w:val="es-CO"/>
        </w:rPr>
        <w:t xml:space="preserve"> por</w:t>
      </w:r>
      <w:r w:rsidRPr="00E100D7">
        <w:rPr>
          <w:rFonts w:cs="Calibri"/>
          <w:sz w:val="20"/>
          <w:szCs w:val="20"/>
          <w:lang w:val="es-CL"/>
        </w:rPr>
        <w:t xml:space="preserve"> </w:t>
      </w:r>
      <w:r w:rsidR="00E3024D" w:rsidRPr="00E100D7">
        <w:rPr>
          <w:rFonts w:eastAsia="Times New Roman" w:cs="Calibri"/>
          <w:color w:val="000000"/>
          <w:sz w:val="20"/>
          <w:szCs w:val="20"/>
          <w:u w:color="000000"/>
          <w:lang w:val="es-ES" w:eastAsia="es-ES"/>
        </w:rPr>
        <w:t xml:space="preserve">la violación de los derechos </w:t>
      </w:r>
      <w:r w:rsidR="00867FAB" w:rsidRPr="00E100D7">
        <w:rPr>
          <w:rFonts w:cs="Calibri"/>
          <w:sz w:val="20"/>
          <w:szCs w:val="20"/>
          <w:lang w:val="es-ES"/>
        </w:rPr>
        <w:t>a la vida, integridad personal, garantías judiciales, protección de la honra y dignidad, libertad de expresión, libertad de asociación, derechos del niño, circulación y residencia, y protección judicial, establecidos en los artículos 4.1, 5.1, 8.1, 11, 13, 16, 19, 22 y 25.1 de la Convención Americana, en relación con las obligaciones establecidas en el artículo 1.1 del mismo instrumento, en perjuicio d</w:t>
      </w:r>
      <w:r w:rsidR="00A50DDA" w:rsidRPr="00E100D7">
        <w:rPr>
          <w:rFonts w:cs="Calibri"/>
          <w:sz w:val="20"/>
          <w:szCs w:val="20"/>
          <w:lang w:val="es-ES"/>
        </w:rPr>
        <w:t>e las personas indicadas en el Informe de F</w:t>
      </w:r>
      <w:r w:rsidR="00867FAB" w:rsidRPr="00E100D7">
        <w:rPr>
          <w:rFonts w:cs="Calibri"/>
          <w:sz w:val="20"/>
          <w:szCs w:val="20"/>
          <w:lang w:val="es-ES"/>
        </w:rPr>
        <w:t>ondo.</w:t>
      </w:r>
    </w:p>
    <w:p w14:paraId="024BBCEA" w14:textId="77777777" w:rsidR="00E60D84" w:rsidRPr="00E100D7" w:rsidRDefault="00E60D84" w:rsidP="00B10467">
      <w:pPr>
        <w:widowControl w:val="0"/>
        <w:autoSpaceDE w:val="0"/>
        <w:autoSpaceDN w:val="0"/>
        <w:adjustRightInd w:val="0"/>
        <w:spacing w:after="0" w:line="240" w:lineRule="auto"/>
        <w:ind w:firstLine="720"/>
        <w:jc w:val="both"/>
        <w:rPr>
          <w:rFonts w:cs="Calibri"/>
          <w:sz w:val="20"/>
          <w:szCs w:val="20"/>
          <w:lang w:val="es-ES"/>
        </w:rPr>
      </w:pPr>
    </w:p>
    <w:p w14:paraId="2E9B0A44" w14:textId="77777777" w:rsidR="000731F0" w:rsidRPr="00E100D7" w:rsidRDefault="00E60D84" w:rsidP="00A71EEE">
      <w:pPr>
        <w:widowControl w:val="0"/>
        <w:autoSpaceDE w:val="0"/>
        <w:autoSpaceDN w:val="0"/>
        <w:adjustRightInd w:val="0"/>
        <w:spacing w:after="0" w:line="240" w:lineRule="auto"/>
        <w:ind w:firstLine="720"/>
        <w:jc w:val="both"/>
        <w:rPr>
          <w:rFonts w:cs="Calibri"/>
          <w:sz w:val="20"/>
          <w:szCs w:val="20"/>
          <w:lang w:val="es-ES"/>
        </w:rPr>
      </w:pPr>
      <w:r w:rsidRPr="00E100D7">
        <w:rPr>
          <w:rFonts w:cs="Calibri"/>
          <w:sz w:val="20"/>
          <w:szCs w:val="20"/>
          <w:lang w:val="es-ES"/>
        </w:rPr>
        <w:t>Respecto de la identificación de las víctimas</w:t>
      </w:r>
      <w:r w:rsidR="0083438B" w:rsidRPr="00E100D7">
        <w:rPr>
          <w:rFonts w:cs="Calibri"/>
          <w:sz w:val="20"/>
          <w:szCs w:val="20"/>
          <w:lang w:val="es-ES"/>
        </w:rPr>
        <w:t xml:space="preserve"> </w:t>
      </w:r>
      <w:r w:rsidR="008D6BD7" w:rsidRPr="00E100D7">
        <w:rPr>
          <w:rFonts w:cs="Calibri"/>
          <w:sz w:val="20"/>
          <w:szCs w:val="20"/>
          <w:lang w:val="es-ES"/>
        </w:rPr>
        <w:t>del presente caso</w:t>
      </w:r>
      <w:r w:rsidRPr="00E100D7">
        <w:rPr>
          <w:rFonts w:cs="Calibri"/>
          <w:sz w:val="20"/>
          <w:szCs w:val="20"/>
          <w:lang w:val="es-ES"/>
        </w:rPr>
        <w:t>,</w:t>
      </w:r>
      <w:r w:rsidR="00A30FC7" w:rsidRPr="00E100D7">
        <w:rPr>
          <w:rFonts w:cs="Calibri"/>
          <w:sz w:val="20"/>
          <w:szCs w:val="20"/>
          <w:lang w:val="es-ES"/>
        </w:rPr>
        <w:t xml:space="preserve"> </w:t>
      </w:r>
      <w:r w:rsidRPr="00E100D7">
        <w:rPr>
          <w:rFonts w:cs="Calibri"/>
          <w:sz w:val="20"/>
          <w:szCs w:val="20"/>
          <w:lang w:val="es-ES"/>
        </w:rPr>
        <w:t>la Comisión</w:t>
      </w:r>
      <w:r w:rsidR="0090394C" w:rsidRPr="00E100D7">
        <w:rPr>
          <w:rFonts w:cs="Calibri"/>
          <w:sz w:val="20"/>
          <w:szCs w:val="20"/>
          <w:lang w:val="es-ES"/>
        </w:rPr>
        <w:t xml:space="preserve"> </w:t>
      </w:r>
      <w:r w:rsidR="008D6BD7" w:rsidRPr="00E100D7">
        <w:rPr>
          <w:rFonts w:cs="Calibri"/>
          <w:sz w:val="20"/>
          <w:szCs w:val="20"/>
          <w:lang w:val="es-ES"/>
        </w:rPr>
        <w:t xml:space="preserve">considera pertinente </w:t>
      </w:r>
      <w:r w:rsidR="00056D2B" w:rsidRPr="00E100D7">
        <w:rPr>
          <w:rFonts w:cs="Calibri"/>
          <w:sz w:val="20"/>
          <w:szCs w:val="20"/>
          <w:lang w:val="es-ES"/>
        </w:rPr>
        <w:t>clarificar que de acuerdo con</w:t>
      </w:r>
      <w:r w:rsidR="00077699" w:rsidRPr="00E100D7">
        <w:rPr>
          <w:rFonts w:cs="Calibri"/>
          <w:sz w:val="20"/>
          <w:szCs w:val="20"/>
          <w:lang w:val="es-ES"/>
        </w:rPr>
        <w:t xml:space="preserve"> el propio informe de fondo existe un </w:t>
      </w:r>
      <w:r w:rsidR="00056D2B" w:rsidRPr="00E100D7">
        <w:rPr>
          <w:rFonts w:cs="Calibri"/>
          <w:sz w:val="20"/>
          <w:szCs w:val="20"/>
          <w:lang w:val="es-ES"/>
        </w:rPr>
        <w:t xml:space="preserve">carácter determinable de los integrantes </w:t>
      </w:r>
      <w:r w:rsidR="000731F0" w:rsidRPr="00E100D7">
        <w:rPr>
          <w:rFonts w:cs="Calibri"/>
          <w:sz w:val="20"/>
          <w:szCs w:val="20"/>
          <w:lang w:val="es-ES"/>
        </w:rPr>
        <w:t>del CAJAR y sus familiares durante el periodo al que se refiere este informe, y en consideración de información aportada por la parte peticionaria y no controvertida por el Estado</w:t>
      </w:r>
      <w:r w:rsidR="009A6CE1" w:rsidRPr="00E100D7">
        <w:rPr>
          <w:rStyle w:val="Refdenotaalpie"/>
          <w:rFonts w:cs="Calibri"/>
          <w:sz w:val="20"/>
          <w:szCs w:val="20"/>
          <w:lang w:val="es-ES"/>
        </w:rPr>
        <w:footnoteReference w:id="1"/>
      </w:r>
      <w:r w:rsidR="000731F0" w:rsidRPr="00E100D7">
        <w:rPr>
          <w:rFonts w:cs="Calibri"/>
          <w:sz w:val="20"/>
          <w:szCs w:val="20"/>
          <w:lang w:val="es-ES"/>
        </w:rPr>
        <w:t xml:space="preserve">, las victimas del presente caso </w:t>
      </w:r>
      <w:r w:rsidR="00B27334" w:rsidRPr="00E100D7">
        <w:rPr>
          <w:rFonts w:cs="Calibri"/>
          <w:sz w:val="20"/>
          <w:szCs w:val="20"/>
          <w:lang w:val="es-ES"/>
        </w:rPr>
        <w:t>se encuentran en el Anexo a la presente comunicación.</w:t>
      </w:r>
    </w:p>
    <w:p w14:paraId="0CE5A175" w14:textId="77777777" w:rsidR="00B27334" w:rsidRPr="00E100D7" w:rsidRDefault="00B27334" w:rsidP="00B27334">
      <w:pPr>
        <w:widowControl w:val="0"/>
        <w:autoSpaceDE w:val="0"/>
        <w:autoSpaceDN w:val="0"/>
        <w:adjustRightInd w:val="0"/>
        <w:spacing w:after="0" w:line="240" w:lineRule="auto"/>
        <w:jc w:val="both"/>
        <w:rPr>
          <w:rFonts w:cs="Calibri"/>
          <w:sz w:val="20"/>
          <w:szCs w:val="20"/>
          <w:lang w:val="es-ES"/>
        </w:rPr>
      </w:pPr>
    </w:p>
    <w:p w14:paraId="606FCC4F" w14:textId="77777777" w:rsidR="003F281D" w:rsidRPr="00E100D7" w:rsidRDefault="00B27334" w:rsidP="00B27334">
      <w:pPr>
        <w:widowControl w:val="0"/>
        <w:autoSpaceDE w:val="0"/>
        <w:autoSpaceDN w:val="0"/>
        <w:adjustRightInd w:val="0"/>
        <w:spacing w:after="0" w:line="240" w:lineRule="auto"/>
        <w:ind w:firstLine="720"/>
        <w:jc w:val="both"/>
        <w:rPr>
          <w:rFonts w:cs="Calibri"/>
          <w:sz w:val="20"/>
          <w:szCs w:val="20"/>
          <w:lang w:val="es-AR"/>
        </w:rPr>
      </w:pPr>
      <w:r w:rsidRPr="00E100D7">
        <w:rPr>
          <w:rFonts w:cs="Calibri"/>
          <w:sz w:val="20"/>
          <w:szCs w:val="20"/>
          <w:lang w:val="es-ES"/>
        </w:rPr>
        <w:t>Al respecto, la Comisió</w:t>
      </w:r>
      <w:r w:rsidR="000731F0" w:rsidRPr="00E100D7">
        <w:rPr>
          <w:rFonts w:cs="Calibri"/>
          <w:sz w:val="20"/>
          <w:szCs w:val="20"/>
          <w:lang w:val="es-ES"/>
        </w:rPr>
        <w:t xml:space="preserve">n se permite hacer las siguientes consideraciones. </w:t>
      </w:r>
      <w:r w:rsidRPr="00E100D7">
        <w:rPr>
          <w:rFonts w:cs="Calibri"/>
          <w:sz w:val="20"/>
          <w:szCs w:val="20"/>
          <w:lang w:val="es-ES"/>
        </w:rPr>
        <w:t>De manera preliminar</w:t>
      </w:r>
      <w:r w:rsidR="00056D2B" w:rsidRPr="00E100D7">
        <w:rPr>
          <w:rFonts w:cs="Calibri"/>
          <w:sz w:val="20"/>
          <w:szCs w:val="20"/>
          <w:lang w:val="es-ES"/>
        </w:rPr>
        <w:t xml:space="preserve">, </w:t>
      </w:r>
      <w:r w:rsidRPr="00E100D7">
        <w:rPr>
          <w:rFonts w:cs="Calibri"/>
          <w:sz w:val="20"/>
          <w:szCs w:val="20"/>
          <w:lang w:val="es-ES"/>
        </w:rPr>
        <w:t>l</w:t>
      </w:r>
      <w:r w:rsidR="0090394C" w:rsidRPr="00E100D7">
        <w:rPr>
          <w:rFonts w:cs="Calibri"/>
          <w:sz w:val="20"/>
          <w:szCs w:val="20"/>
          <w:lang w:val="es-ES"/>
        </w:rPr>
        <w:t>a CIDH</w:t>
      </w:r>
      <w:r w:rsidR="00A30FC7" w:rsidRPr="00E100D7">
        <w:rPr>
          <w:rFonts w:cs="Calibri"/>
          <w:sz w:val="20"/>
          <w:szCs w:val="20"/>
          <w:lang w:val="es-ES"/>
        </w:rPr>
        <w:t xml:space="preserve"> </w:t>
      </w:r>
      <w:r w:rsidR="00E60D84" w:rsidRPr="00E100D7">
        <w:rPr>
          <w:rFonts w:cs="Calibri"/>
          <w:sz w:val="20"/>
          <w:szCs w:val="20"/>
          <w:lang w:val="es-ES"/>
        </w:rPr>
        <w:t xml:space="preserve">recuerda </w:t>
      </w:r>
      <w:r w:rsidR="008D6BD7" w:rsidRPr="00E100D7">
        <w:rPr>
          <w:rFonts w:cs="Calibri"/>
          <w:sz w:val="20"/>
          <w:szCs w:val="20"/>
          <w:lang w:val="es-ES"/>
        </w:rPr>
        <w:t>que,</w:t>
      </w:r>
      <w:r w:rsidR="00E60D84" w:rsidRPr="00E100D7">
        <w:rPr>
          <w:rFonts w:cs="Calibri"/>
          <w:sz w:val="20"/>
          <w:szCs w:val="20"/>
          <w:lang w:val="es-ES"/>
        </w:rPr>
        <w:t xml:space="preserve"> e</w:t>
      </w:r>
      <w:r w:rsidR="00E5205D" w:rsidRPr="00E100D7">
        <w:rPr>
          <w:rFonts w:cs="Calibri"/>
          <w:sz w:val="20"/>
          <w:szCs w:val="20"/>
          <w:lang w:val="es-ES"/>
        </w:rPr>
        <w:t xml:space="preserve">n el marco del sistema de peticiones y casos individuales, corresponde identificar en la mayor medida de lo posible a la totalidad de presuntas víctimas. No obstante, existen determinadas situaciones en las cuales dicha determinación presenta desafíos. Es por ello </w:t>
      </w:r>
      <w:r w:rsidR="0091534B" w:rsidRPr="00E100D7">
        <w:rPr>
          <w:rFonts w:cs="Calibri"/>
          <w:sz w:val="20"/>
          <w:szCs w:val="20"/>
          <w:lang w:val="es-ES"/>
        </w:rPr>
        <w:t>que,</w:t>
      </w:r>
      <w:r w:rsidR="00E5205D" w:rsidRPr="00E100D7">
        <w:rPr>
          <w:rFonts w:cs="Calibri"/>
          <w:sz w:val="20"/>
          <w:szCs w:val="20"/>
          <w:lang w:val="es-ES"/>
        </w:rPr>
        <w:t xml:space="preserve"> en tales supuestos, es necesario tomar en cuenta distintos elementos para el análisis de </w:t>
      </w:r>
      <w:r w:rsidR="00E5205D" w:rsidRPr="00E100D7">
        <w:rPr>
          <w:rFonts w:cs="Calibri"/>
          <w:bCs/>
          <w:sz w:val="20"/>
          <w:szCs w:val="20"/>
          <w:lang w:val="es-ES"/>
        </w:rPr>
        <w:t xml:space="preserve">la determinación de las víctimas </w:t>
      </w:r>
      <w:r w:rsidR="00E5205D" w:rsidRPr="00E100D7">
        <w:rPr>
          <w:rFonts w:cs="Calibri"/>
          <w:sz w:val="20"/>
          <w:szCs w:val="20"/>
          <w:lang w:val="es-ES"/>
        </w:rPr>
        <w:t>bajo ciertos estándares de razonabilidad y flexibilidad.</w:t>
      </w:r>
    </w:p>
    <w:p w14:paraId="3BFDE57D" w14:textId="77777777" w:rsidR="00B27334" w:rsidRPr="00E100D7" w:rsidRDefault="00B27334" w:rsidP="00B27334">
      <w:pPr>
        <w:widowControl w:val="0"/>
        <w:autoSpaceDE w:val="0"/>
        <w:autoSpaceDN w:val="0"/>
        <w:adjustRightInd w:val="0"/>
        <w:spacing w:after="0" w:line="240" w:lineRule="auto"/>
        <w:ind w:firstLine="720"/>
        <w:jc w:val="both"/>
        <w:rPr>
          <w:rFonts w:cs="Calibri"/>
          <w:sz w:val="20"/>
          <w:szCs w:val="20"/>
          <w:lang w:val="es-AR"/>
        </w:rPr>
      </w:pPr>
    </w:p>
    <w:p w14:paraId="1659D0BE" w14:textId="77777777" w:rsidR="00FA4F0C" w:rsidRPr="00E100D7" w:rsidRDefault="004E1087" w:rsidP="00FA4F0C">
      <w:pPr>
        <w:widowControl w:val="0"/>
        <w:autoSpaceDE w:val="0"/>
        <w:autoSpaceDN w:val="0"/>
        <w:adjustRightInd w:val="0"/>
        <w:spacing w:after="0" w:line="240" w:lineRule="auto"/>
        <w:ind w:firstLine="720"/>
        <w:jc w:val="both"/>
        <w:rPr>
          <w:rFonts w:cs="Calibri"/>
          <w:sz w:val="20"/>
          <w:szCs w:val="20"/>
          <w:lang w:val="es-ES"/>
        </w:rPr>
      </w:pPr>
      <w:r w:rsidRPr="00E100D7">
        <w:rPr>
          <w:rFonts w:cs="Calibri"/>
          <w:sz w:val="20"/>
          <w:szCs w:val="20"/>
          <w:lang w:val="es-ES"/>
        </w:rPr>
        <w:t>En</w:t>
      </w:r>
      <w:r w:rsidR="00A71EEE" w:rsidRPr="00E100D7">
        <w:rPr>
          <w:rFonts w:cs="Calibri"/>
          <w:sz w:val="20"/>
          <w:szCs w:val="20"/>
          <w:lang w:val="es-ES"/>
        </w:rPr>
        <w:t xml:space="preserve"> </w:t>
      </w:r>
      <w:r w:rsidR="00D25E51" w:rsidRPr="00E100D7">
        <w:rPr>
          <w:rFonts w:cs="Calibri"/>
          <w:sz w:val="20"/>
          <w:szCs w:val="20"/>
          <w:lang w:val="es-ES"/>
        </w:rPr>
        <w:t>relación con la Sección V.C del Informe de Fondo,</w:t>
      </w:r>
      <w:r w:rsidR="00E5205D" w:rsidRPr="00E100D7">
        <w:rPr>
          <w:rFonts w:cs="Calibri"/>
          <w:sz w:val="20"/>
          <w:szCs w:val="20"/>
          <w:lang w:val="es-ES"/>
        </w:rPr>
        <w:t xml:space="preserve"> </w:t>
      </w:r>
      <w:r w:rsidR="003F281D" w:rsidRPr="00E100D7">
        <w:rPr>
          <w:rFonts w:cs="Calibri"/>
          <w:sz w:val="20"/>
          <w:szCs w:val="20"/>
          <w:lang w:val="es-ES"/>
        </w:rPr>
        <w:t>la Comis</w:t>
      </w:r>
      <w:r w:rsidR="00430A84" w:rsidRPr="00E100D7">
        <w:rPr>
          <w:rFonts w:cs="Calibri"/>
          <w:sz w:val="20"/>
          <w:szCs w:val="20"/>
          <w:lang w:val="es-ES"/>
        </w:rPr>
        <w:t xml:space="preserve">ión resalta que </w:t>
      </w:r>
      <w:r w:rsidR="00D25E51" w:rsidRPr="00E100D7">
        <w:rPr>
          <w:rFonts w:cs="Calibri"/>
          <w:sz w:val="20"/>
          <w:szCs w:val="20"/>
          <w:lang w:val="es-ES"/>
        </w:rPr>
        <w:t xml:space="preserve">se declaró la responsabilidad internacional del Estado por los derechos incluidos en dicho apartado en perjuicio de </w:t>
      </w:r>
      <w:r w:rsidR="00A30FC7" w:rsidRPr="00E100D7">
        <w:rPr>
          <w:rFonts w:cs="Calibri"/>
          <w:sz w:val="20"/>
          <w:szCs w:val="20"/>
          <w:lang w:val="es-ES"/>
        </w:rPr>
        <w:t>“</w:t>
      </w:r>
      <w:r w:rsidR="00D25E51" w:rsidRPr="00E100D7">
        <w:rPr>
          <w:rFonts w:cs="Calibri"/>
          <w:sz w:val="20"/>
          <w:szCs w:val="20"/>
          <w:lang w:val="es-ES"/>
        </w:rPr>
        <w:t xml:space="preserve">los miembros </w:t>
      </w:r>
      <w:r w:rsidR="00803314" w:rsidRPr="00E100D7">
        <w:rPr>
          <w:rFonts w:cs="Calibri"/>
          <w:sz w:val="20"/>
          <w:szCs w:val="20"/>
          <w:lang w:val="es-ES"/>
        </w:rPr>
        <w:t>de</w:t>
      </w:r>
      <w:r w:rsidR="00D25E51" w:rsidRPr="00E100D7">
        <w:rPr>
          <w:rFonts w:cs="Calibri"/>
          <w:sz w:val="20"/>
          <w:szCs w:val="20"/>
          <w:lang w:val="es-ES"/>
        </w:rPr>
        <w:t>l CAJAR</w:t>
      </w:r>
      <w:r w:rsidR="00A30FC7" w:rsidRPr="00E100D7">
        <w:rPr>
          <w:rFonts w:cs="Calibri"/>
          <w:sz w:val="20"/>
          <w:szCs w:val="20"/>
          <w:lang w:val="es-ES"/>
        </w:rPr>
        <w:t>”</w:t>
      </w:r>
      <w:r w:rsidR="003F7110" w:rsidRPr="00E100D7">
        <w:rPr>
          <w:rFonts w:cs="Calibri"/>
          <w:sz w:val="20"/>
          <w:szCs w:val="20"/>
          <w:lang w:val="es-ES"/>
        </w:rPr>
        <w:t xml:space="preserve">, </w:t>
      </w:r>
      <w:r w:rsidR="003F7110" w:rsidRPr="00E100D7">
        <w:rPr>
          <w:rFonts w:cs="Calibri"/>
          <w:sz w:val="20"/>
          <w:szCs w:val="20"/>
          <w:lang w:val="es-US"/>
        </w:rPr>
        <w:t>refiriéndose a quienes “para la época en que se realizaron las labores de inteligencia, pertenecían al CAJAR”</w:t>
      </w:r>
      <w:r w:rsidR="00D25E51" w:rsidRPr="00E100D7">
        <w:rPr>
          <w:rFonts w:cs="Calibri"/>
          <w:sz w:val="20"/>
          <w:szCs w:val="20"/>
          <w:lang w:val="es-ES"/>
        </w:rPr>
        <w:t>.</w:t>
      </w:r>
      <w:r w:rsidR="0086406A" w:rsidRPr="00E100D7">
        <w:rPr>
          <w:rFonts w:cs="Calibri"/>
          <w:sz w:val="20"/>
          <w:szCs w:val="20"/>
          <w:lang w:val="es-ES"/>
        </w:rPr>
        <w:t xml:space="preserve"> </w:t>
      </w:r>
      <w:r w:rsidR="00FA4F0C" w:rsidRPr="00E100D7">
        <w:rPr>
          <w:rFonts w:cs="Calibri"/>
          <w:sz w:val="20"/>
          <w:szCs w:val="20"/>
          <w:lang w:val="es-ES"/>
        </w:rPr>
        <w:t xml:space="preserve">De esta forma, la Comisión entiende que dentro de dicho grupo de personas se encuentran las 17 víctimas individualizadas en la Sección V.B y V.E del Informe de Fondo, las cuales son miembros del CAJAR. Asimismo, </w:t>
      </w:r>
      <w:r w:rsidR="00077699" w:rsidRPr="00E100D7">
        <w:rPr>
          <w:rFonts w:cs="Calibri"/>
          <w:sz w:val="20"/>
          <w:szCs w:val="20"/>
          <w:lang w:val="es-ES"/>
        </w:rPr>
        <w:t>la Comisión</w:t>
      </w:r>
      <w:r w:rsidR="00FA4F0C" w:rsidRPr="00E100D7">
        <w:rPr>
          <w:rFonts w:cs="Calibri"/>
          <w:sz w:val="20"/>
          <w:szCs w:val="20"/>
          <w:lang w:val="es-ES"/>
        </w:rPr>
        <w:t xml:space="preserve"> toma nota de la información proporcionada por la parte peticionaria durante el proceso ante la CIDH sobre los miembros del CAJAR, conformada por las 17 víctimas ya individualizadas, y 16 personas más. La Comisión observa que el Estado no controvirtió que tales personas fueran miembros del CAJAR. </w:t>
      </w:r>
    </w:p>
    <w:p w14:paraId="0EA9C4D2" w14:textId="77777777" w:rsidR="00FA4F0C" w:rsidRPr="00E100D7" w:rsidRDefault="00FA4F0C" w:rsidP="00FA4F0C">
      <w:pPr>
        <w:widowControl w:val="0"/>
        <w:autoSpaceDE w:val="0"/>
        <w:autoSpaceDN w:val="0"/>
        <w:adjustRightInd w:val="0"/>
        <w:spacing w:after="0" w:line="240" w:lineRule="auto"/>
        <w:ind w:firstLine="720"/>
        <w:jc w:val="both"/>
        <w:rPr>
          <w:rFonts w:cs="Calibri"/>
          <w:sz w:val="20"/>
          <w:szCs w:val="20"/>
          <w:lang w:val="es-ES"/>
        </w:rPr>
      </w:pPr>
    </w:p>
    <w:p w14:paraId="21F05DD2" w14:textId="77777777" w:rsidR="00FA4F0C" w:rsidRPr="00E100D7" w:rsidRDefault="00FA4F0C" w:rsidP="00FA4F0C">
      <w:pPr>
        <w:widowControl w:val="0"/>
        <w:autoSpaceDE w:val="0"/>
        <w:autoSpaceDN w:val="0"/>
        <w:adjustRightInd w:val="0"/>
        <w:spacing w:after="0" w:line="240" w:lineRule="auto"/>
        <w:ind w:firstLine="720"/>
        <w:jc w:val="both"/>
        <w:rPr>
          <w:rFonts w:cs="Calibri"/>
          <w:sz w:val="20"/>
          <w:szCs w:val="20"/>
          <w:lang w:val="es-ES"/>
        </w:rPr>
      </w:pPr>
      <w:r w:rsidRPr="00E100D7">
        <w:rPr>
          <w:rFonts w:cs="Calibri"/>
          <w:sz w:val="20"/>
          <w:szCs w:val="20"/>
          <w:lang w:val="es-ES"/>
        </w:rPr>
        <w:t>Respecto de la Sección V.D del Informe de Fondo, la CIDH resalta que se declaró la responsabilidad internacional del Estado por los derechos incluidos en dicho apartado en perjuicio de 4 miembros identificados del CAJAR y “sus respectivas familias”. La Comisión toma nota de la información proporcionada por la parte peticionaria durante el proceso ante la CIDH sobre los familiares de las cuatro víctimas. La Comisión observa que el Estado no controvirtió, salvo para una persona, que tales personas sean los familiares de las víctimas.</w:t>
      </w:r>
    </w:p>
    <w:p w14:paraId="1D4BF73D" w14:textId="77777777" w:rsidR="004538D7" w:rsidRPr="00E100D7" w:rsidRDefault="004538D7" w:rsidP="00B27334">
      <w:pPr>
        <w:widowControl w:val="0"/>
        <w:autoSpaceDE w:val="0"/>
        <w:autoSpaceDN w:val="0"/>
        <w:adjustRightInd w:val="0"/>
        <w:spacing w:after="0" w:line="240" w:lineRule="auto"/>
        <w:jc w:val="both"/>
        <w:rPr>
          <w:rFonts w:cs="Calibri"/>
          <w:sz w:val="20"/>
          <w:szCs w:val="20"/>
          <w:lang w:val="es-ES"/>
        </w:rPr>
      </w:pPr>
    </w:p>
    <w:p w14:paraId="0658B09C" w14:textId="77777777" w:rsidR="00D35C3A" w:rsidRPr="00E100D7" w:rsidRDefault="004538D7" w:rsidP="00465116">
      <w:pPr>
        <w:widowControl w:val="0"/>
        <w:autoSpaceDE w:val="0"/>
        <w:autoSpaceDN w:val="0"/>
        <w:adjustRightInd w:val="0"/>
        <w:spacing w:after="0" w:line="240" w:lineRule="auto"/>
        <w:ind w:firstLine="720"/>
        <w:jc w:val="both"/>
        <w:rPr>
          <w:rFonts w:cs="Calibri"/>
          <w:sz w:val="20"/>
          <w:szCs w:val="20"/>
          <w:lang w:val="es-ES"/>
        </w:rPr>
      </w:pPr>
      <w:r w:rsidRPr="00E100D7">
        <w:rPr>
          <w:rFonts w:cs="Calibri"/>
          <w:sz w:val="20"/>
          <w:szCs w:val="20"/>
          <w:lang w:val="es-ES"/>
        </w:rPr>
        <w:t xml:space="preserve">La Comisión resalta que la información proporcionada por la parte peticionaria sobre la identificación de las víctimas </w:t>
      </w:r>
      <w:r w:rsidR="00465116" w:rsidRPr="00E100D7">
        <w:rPr>
          <w:rFonts w:cs="Calibri"/>
          <w:sz w:val="20"/>
          <w:szCs w:val="20"/>
          <w:lang w:val="es-ES"/>
        </w:rPr>
        <w:t>fue reiterada en la etapa de transición luego de la notificación del Informe de Fondo, sin que se recibieran observaciones de parte del Estado.</w:t>
      </w:r>
      <w:r w:rsidR="00077699" w:rsidRPr="00E100D7">
        <w:rPr>
          <w:rFonts w:cs="Calibri"/>
          <w:sz w:val="20"/>
          <w:szCs w:val="20"/>
          <w:lang w:val="es-ES"/>
        </w:rPr>
        <w:t xml:space="preserve"> </w:t>
      </w:r>
    </w:p>
    <w:p w14:paraId="137C1529" w14:textId="77777777" w:rsidR="00465116" w:rsidRPr="00E100D7" w:rsidRDefault="00465116" w:rsidP="00465116">
      <w:pPr>
        <w:widowControl w:val="0"/>
        <w:autoSpaceDE w:val="0"/>
        <w:autoSpaceDN w:val="0"/>
        <w:adjustRightInd w:val="0"/>
        <w:spacing w:after="0" w:line="240" w:lineRule="auto"/>
        <w:ind w:firstLine="720"/>
        <w:jc w:val="both"/>
        <w:rPr>
          <w:rFonts w:cs="Calibri"/>
          <w:sz w:val="20"/>
          <w:szCs w:val="20"/>
          <w:lang w:val="es-ES"/>
        </w:rPr>
      </w:pPr>
    </w:p>
    <w:p w14:paraId="1A447A1F" w14:textId="77777777" w:rsidR="00337695" w:rsidRPr="00E100D7" w:rsidRDefault="00436158" w:rsidP="00337695">
      <w:pPr>
        <w:widowControl w:val="0"/>
        <w:autoSpaceDE w:val="0"/>
        <w:autoSpaceDN w:val="0"/>
        <w:adjustRightInd w:val="0"/>
        <w:spacing w:after="0" w:line="240" w:lineRule="auto"/>
        <w:ind w:firstLine="720"/>
        <w:jc w:val="both"/>
        <w:rPr>
          <w:rFonts w:cs="Calibri"/>
          <w:sz w:val="20"/>
          <w:szCs w:val="20"/>
          <w:lang w:val="es-ES"/>
        </w:rPr>
      </w:pPr>
      <w:r w:rsidRPr="00E100D7">
        <w:rPr>
          <w:rFonts w:cs="Calibri"/>
          <w:sz w:val="20"/>
          <w:szCs w:val="20"/>
          <w:lang w:val="es-ES"/>
        </w:rPr>
        <w:t xml:space="preserve">Sin </w:t>
      </w:r>
      <w:r w:rsidR="0091534B" w:rsidRPr="00E100D7">
        <w:rPr>
          <w:rFonts w:cs="Calibri"/>
          <w:sz w:val="20"/>
          <w:szCs w:val="20"/>
          <w:lang w:val="es-ES"/>
        </w:rPr>
        <w:t>perjuicio de lo anterior</w:t>
      </w:r>
      <w:r w:rsidR="00A71EEE" w:rsidRPr="00E100D7">
        <w:rPr>
          <w:rFonts w:cs="Calibri"/>
          <w:sz w:val="20"/>
          <w:szCs w:val="20"/>
          <w:lang w:val="es-ES"/>
        </w:rPr>
        <w:t>,</w:t>
      </w:r>
      <w:r w:rsidRPr="00E100D7">
        <w:rPr>
          <w:rFonts w:cs="Calibri"/>
          <w:sz w:val="20"/>
          <w:szCs w:val="20"/>
          <w:lang w:val="es-ES"/>
        </w:rPr>
        <w:t xml:space="preserve"> la </w:t>
      </w:r>
      <w:r w:rsidR="00337695" w:rsidRPr="00E100D7">
        <w:rPr>
          <w:rFonts w:cs="Calibri"/>
          <w:sz w:val="20"/>
          <w:szCs w:val="20"/>
          <w:lang w:val="es-ES"/>
        </w:rPr>
        <w:t xml:space="preserve">Comisión reconoce </w:t>
      </w:r>
      <w:r w:rsidR="0086406A" w:rsidRPr="00E100D7">
        <w:rPr>
          <w:rFonts w:cs="Calibri"/>
          <w:sz w:val="20"/>
          <w:szCs w:val="20"/>
          <w:lang w:val="es-ES"/>
        </w:rPr>
        <w:t>que</w:t>
      </w:r>
      <w:r w:rsidR="00337695" w:rsidRPr="00E100D7">
        <w:rPr>
          <w:rFonts w:cs="Calibri"/>
          <w:sz w:val="20"/>
          <w:szCs w:val="20"/>
          <w:lang w:val="es-ES"/>
        </w:rPr>
        <w:t xml:space="preserve"> las vulneraciones identificadas en el Informe de Fondo se dieron en un amplio marco temporal de varias décadas en contra de un colectivo de personas, debido a su vinculación con una organización. La Comisión también resalta que un componente de este caso se refiere a las labores de inteligencia</w:t>
      </w:r>
      <w:r w:rsidR="00D35C3A" w:rsidRPr="00E100D7">
        <w:rPr>
          <w:rFonts w:cs="Calibri"/>
          <w:sz w:val="20"/>
          <w:szCs w:val="20"/>
          <w:lang w:val="es-ES"/>
        </w:rPr>
        <w:t xml:space="preserve"> realizadas por el Estado, las cuales, por su propia naturaleza, ha implicado dificultades al acceso de registros e información de las víctimas.</w:t>
      </w:r>
    </w:p>
    <w:p w14:paraId="500DC1E4" w14:textId="77777777" w:rsidR="00337695" w:rsidRPr="00E100D7" w:rsidRDefault="00337695" w:rsidP="00337695">
      <w:pPr>
        <w:widowControl w:val="0"/>
        <w:autoSpaceDE w:val="0"/>
        <w:autoSpaceDN w:val="0"/>
        <w:adjustRightInd w:val="0"/>
        <w:spacing w:after="0" w:line="240" w:lineRule="auto"/>
        <w:jc w:val="both"/>
        <w:rPr>
          <w:rFonts w:cs="Calibri"/>
          <w:sz w:val="20"/>
          <w:szCs w:val="20"/>
          <w:lang w:val="es-ES"/>
        </w:rPr>
      </w:pPr>
    </w:p>
    <w:p w14:paraId="3AD41E5F" w14:textId="77777777" w:rsidR="00E50484" w:rsidRPr="00E100D7" w:rsidRDefault="00337695" w:rsidP="00E50484">
      <w:pPr>
        <w:widowControl w:val="0"/>
        <w:autoSpaceDE w:val="0"/>
        <w:autoSpaceDN w:val="0"/>
        <w:adjustRightInd w:val="0"/>
        <w:spacing w:after="0" w:line="240" w:lineRule="auto"/>
        <w:ind w:firstLine="720"/>
        <w:jc w:val="both"/>
        <w:rPr>
          <w:rFonts w:cs="Calibri"/>
          <w:sz w:val="20"/>
          <w:szCs w:val="20"/>
          <w:lang w:val="es-ES"/>
        </w:rPr>
      </w:pPr>
      <w:r w:rsidRPr="00E100D7">
        <w:rPr>
          <w:rFonts w:cs="Calibri"/>
          <w:sz w:val="20"/>
          <w:szCs w:val="20"/>
          <w:lang w:val="es-ES"/>
        </w:rPr>
        <w:t>Por lo señalado</w:t>
      </w:r>
      <w:r w:rsidR="0090394C" w:rsidRPr="00E100D7">
        <w:rPr>
          <w:rFonts w:cs="Calibri"/>
          <w:sz w:val="20"/>
          <w:szCs w:val="20"/>
          <w:lang w:val="es-ES"/>
        </w:rPr>
        <w:t>, la Comisión solicita</w:t>
      </w:r>
      <w:r w:rsidR="004C6C4F" w:rsidRPr="00E100D7">
        <w:rPr>
          <w:rFonts w:cs="Calibri"/>
          <w:sz w:val="20"/>
          <w:szCs w:val="20"/>
          <w:lang w:val="es-ES"/>
        </w:rPr>
        <w:t xml:space="preserve"> a la Corte</w:t>
      </w:r>
      <w:r w:rsidR="0090394C" w:rsidRPr="00E100D7">
        <w:rPr>
          <w:rFonts w:cs="Calibri"/>
          <w:sz w:val="20"/>
          <w:szCs w:val="20"/>
          <w:lang w:val="es-ES"/>
        </w:rPr>
        <w:t xml:space="preserve"> que</w:t>
      </w:r>
      <w:r w:rsidR="004C6C4F" w:rsidRPr="00E100D7">
        <w:rPr>
          <w:rFonts w:cs="Calibri"/>
          <w:sz w:val="20"/>
          <w:szCs w:val="20"/>
          <w:lang w:val="es-ES"/>
        </w:rPr>
        <w:t xml:space="preserve"> tome en cuenta, para la </w:t>
      </w:r>
      <w:r w:rsidR="003136C4" w:rsidRPr="00E100D7">
        <w:rPr>
          <w:rFonts w:cs="Calibri"/>
          <w:sz w:val="20"/>
          <w:szCs w:val="20"/>
          <w:lang w:val="es-ES"/>
        </w:rPr>
        <w:t xml:space="preserve">individualización </w:t>
      </w:r>
      <w:r w:rsidR="004C6C4F" w:rsidRPr="00E100D7">
        <w:rPr>
          <w:rFonts w:cs="Calibri"/>
          <w:sz w:val="20"/>
          <w:szCs w:val="20"/>
          <w:lang w:val="es-ES"/>
        </w:rPr>
        <w:t xml:space="preserve">de las víctimas en su Informe de Fondo No. 57/19, la </w:t>
      </w:r>
      <w:r w:rsidR="00A71EEE" w:rsidRPr="00E100D7">
        <w:rPr>
          <w:rFonts w:cs="Calibri"/>
          <w:sz w:val="20"/>
          <w:szCs w:val="20"/>
          <w:lang w:val="es-ES"/>
        </w:rPr>
        <w:t>aclaración</w:t>
      </w:r>
      <w:r w:rsidR="0086406A" w:rsidRPr="00E100D7">
        <w:rPr>
          <w:rFonts w:cs="Calibri"/>
          <w:sz w:val="20"/>
          <w:szCs w:val="20"/>
          <w:lang w:val="es-ES"/>
        </w:rPr>
        <w:t xml:space="preserve"> </w:t>
      </w:r>
      <w:r w:rsidR="004C6C4F" w:rsidRPr="00E100D7">
        <w:rPr>
          <w:rFonts w:cs="Calibri"/>
          <w:sz w:val="20"/>
          <w:szCs w:val="20"/>
          <w:lang w:val="es-ES"/>
        </w:rPr>
        <w:t xml:space="preserve">realizada </w:t>
      </w:r>
      <w:r w:rsidR="0090394C" w:rsidRPr="00E100D7">
        <w:rPr>
          <w:rFonts w:cs="Calibri"/>
          <w:sz w:val="20"/>
          <w:szCs w:val="20"/>
          <w:lang w:val="es-ES"/>
        </w:rPr>
        <w:t>en la presente Nota de Remisión</w:t>
      </w:r>
      <w:r w:rsidR="003136C4" w:rsidRPr="00E100D7">
        <w:rPr>
          <w:rFonts w:cs="Calibri"/>
          <w:sz w:val="20"/>
          <w:szCs w:val="20"/>
          <w:lang w:val="es-ES"/>
        </w:rPr>
        <w:t xml:space="preserve"> respecto de los nombres con los cuales cuenta la Comisión, enfatizando que tales víctimas resultan del carácter determinable de los miembros del CAJAR y sus familiares, señaladas en el </w:t>
      </w:r>
      <w:r w:rsidR="00077699" w:rsidRPr="00E100D7">
        <w:rPr>
          <w:rFonts w:cs="Calibri"/>
          <w:sz w:val="20"/>
          <w:szCs w:val="20"/>
          <w:lang w:val="es-ES"/>
        </w:rPr>
        <w:t xml:space="preserve">propio </w:t>
      </w:r>
      <w:r w:rsidR="003136C4" w:rsidRPr="00E100D7">
        <w:rPr>
          <w:rFonts w:cs="Calibri"/>
          <w:sz w:val="20"/>
          <w:szCs w:val="20"/>
          <w:lang w:val="es-ES"/>
        </w:rPr>
        <w:t>informe de fondo como víctimas del caso</w:t>
      </w:r>
      <w:r w:rsidR="00A77006" w:rsidRPr="00E100D7">
        <w:rPr>
          <w:rFonts w:cs="Calibri"/>
          <w:sz w:val="20"/>
          <w:szCs w:val="20"/>
          <w:lang w:val="es-ES"/>
        </w:rPr>
        <w:t xml:space="preserve"> y conforme a la información aportada en el </w:t>
      </w:r>
      <w:r w:rsidR="00A77006" w:rsidRPr="00E100D7">
        <w:rPr>
          <w:rFonts w:cs="Calibri"/>
          <w:sz w:val="20"/>
          <w:szCs w:val="20"/>
          <w:lang w:val="es-ES"/>
        </w:rPr>
        <w:lastRenderedPageBreak/>
        <w:t>trámite ante ésta</w:t>
      </w:r>
      <w:r w:rsidR="0090394C" w:rsidRPr="00E100D7">
        <w:rPr>
          <w:rFonts w:cs="Calibri"/>
          <w:sz w:val="20"/>
          <w:szCs w:val="20"/>
          <w:lang w:val="es-ES"/>
        </w:rPr>
        <w:t xml:space="preserve">. </w:t>
      </w:r>
      <w:r w:rsidR="00EA1C15" w:rsidRPr="00E100D7">
        <w:rPr>
          <w:rFonts w:cs="Calibri"/>
          <w:sz w:val="20"/>
          <w:szCs w:val="20"/>
          <w:lang w:val="es-ES"/>
        </w:rPr>
        <w:t>L</w:t>
      </w:r>
      <w:r w:rsidR="0090394C" w:rsidRPr="00E100D7">
        <w:rPr>
          <w:rFonts w:cs="Calibri"/>
          <w:sz w:val="20"/>
          <w:szCs w:val="20"/>
          <w:lang w:val="es-ES"/>
        </w:rPr>
        <w:t xml:space="preserve">a Comisión considera que dicha </w:t>
      </w:r>
      <w:r w:rsidR="00436158" w:rsidRPr="00E100D7">
        <w:rPr>
          <w:rFonts w:cs="Calibri"/>
          <w:sz w:val="20"/>
          <w:szCs w:val="20"/>
          <w:lang w:val="es-ES"/>
        </w:rPr>
        <w:t xml:space="preserve">precisión </w:t>
      </w:r>
      <w:r w:rsidR="0090394C" w:rsidRPr="00E100D7">
        <w:rPr>
          <w:rFonts w:cs="Calibri"/>
          <w:sz w:val="20"/>
          <w:szCs w:val="20"/>
          <w:lang w:val="es-ES"/>
        </w:rPr>
        <w:t xml:space="preserve">resulta compatible con el artículo 35.1 del Reglamento de la Corte Interamericana, </w:t>
      </w:r>
      <w:r w:rsidR="004C6C4F" w:rsidRPr="00E100D7">
        <w:rPr>
          <w:rFonts w:cs="Calibri"/>
          <w:sz w:val="20"/>
          <w:szCs w:val="20"/>
          <w:lang w:val="es-ES"/>
        </w:rPr>
        <w:t>en tanto</w:t>
      </w:r>
      <w:r w:rsidR="0090394C" w:rsidRPr="00E100D7">
        <w:rPr>
          <w:rFonts w:cs="Calibri"/>
          <w:sz w:val="20"/>
          <w:szCs w:val="20"/>
          <w:lang w:val="es-ES"/>
        </w:rPr>
        <w:t xml:space="preserve"> </w:t>
      </w:r>
      <w:r w:rsidR="00436158" w:rsidRPr="00E100D7">
        <w:rPr>
          <w:rFonts w:cs="Calibri"/>
          <w:sz w:val="20"/>
          <w:szCs w:val="20"/>
          <w:lang w:val="es-ES"/>
        </w:rPr>
        <w:t>la</w:t>
      </w:r>
      <w:r w:rsidR="007F16F7" w:rsidRPr="00E100D7">
        <w:rPr>
          <w:rFonts w:cs="Calibri"/>
          <w:sz w:val="20"/>
          <w:szCs w:val="20"/>
          <w:lang w:val="es-ES"/>
        </w:rPr>
        <w:t xml:space="preserve"> identificación de las víctimas se </w:t>
      </w:r>
      <w:r w:rsidR="004C6C4F" w:rsidRPr="00E100D7">
        <w:rPr>
          <w:rFonts w:cs="Calibri"/>
          <w:sz w:val="20"/>
          <w:szCs w:val="20"/>
          <w:lang w:val="es-ES"/>
        </w:rPr>
        <w:t>ha realizado</w:t>
      </w:r>
      <w:r w:rsidR="007F16F7" w:rsidRPr="00E100D7">
        <w:rPr>
          <w:rFonts w:cs="Calibri"/>
          <w:sz w:val="20"/>
          <w:szCs w:val="20"/>
          <w:lang w:val="es-ES"/>
        </w:rPr>
        <w:t xml:space="preserve"> al momento del sometimiento del caso ante éste Tribunal. </w:t>
      </w:r>
      <w:r w:rsidR="00D35C3A" w:rsidRPr="00E100D7">
        <w:rPr>
          <w:rFonts w:cs="Calibri"/>
          <w:sz w:val="20"/>
          <w:szCs w:val="20"/>
          <w:lang w:val="es-ES"/>
        </w:rPr>
        <w:t>Sin perjuicio de lo señalado,</w:t>
      </w:r>
      <w:r w:rsidR="00436158" w:rsidRPr="00E100D7">
        <w:rPr>
          <w:rFonts w:cs="Calibri"/>
          <w:sz w:val="20"/>
          <w:szCs w:val="20"/>
          <w:lang w:val="es-ES"/>
        </w:rPr>
        <w:t xml:space="preserve"> como ha sido expuesto,</w:t>
      </w:r>
      <w:r w:rsidR="00D35C3A" w:rsidRPr="00E100D7">
        <w:rPr>
          <w:rFonts w:cs="Calibri"/>
          <w:sz w:val="20"/>
          <w:szCs w:val="20"/>
          <w:lang w:val="es-ES"/>
        </w:rPr>
        <w:t xml:space="preserve"> la CIDH resalta que las dificultades mencionadas para la identificación de víctimas es un criterio a tomar en cuenta </w:t>
      </w:r>
      <w:r w:rsidR="00077699" w:rsidRPr="00E100D7">
        <w:rPr>
          <w:rFonts w:cs="Calibri"/>
          <w:sz w:val="20"/>
          <w:szCs w:val="20"/>
          <w:lang w:val="es-ES"/>
        </w:rPr>
        <w:t xml:space="preserve">a su vez </w:t>
      </w:r>
      <w:r w:rsidR="00D35C3A" w:rsidRPr="00E100D7">
        <w:rPr>
          <w:rFonts w:cs="Calibri"/>
          <w:sz w:val="20"/>
          <w:szCs w:val="20"/>
          <w:lang w:val="es-ES"/>
        </w:rPr>
        <w:t xml:space="preserve">para que, en </w:t>
      </w:r>
      <w:r w:rsidR="004C6C4F" w:rsidRPr="00E100D7">
        <w:rPr>
          <w:rFonts w:cs="Calibri"/>
          <w:sz w:val="20"/>
          <w:szCs w:val="20"/>
          <w:lang w:val="es-ES"/>
        </w:rPr>
        <w:t>el procedimiento ante la Corte</w:t>
      </w:r>
      <w:r w:rsidR="00D35C3A" w:rsidRPr="00E100D7">
        <w:rPr>
          <w:rFonts w:cs="Calibri"/>
          <w:sz w:val="20"/>
          <w:szCs w:val="20"/>
          <w:lang w:val="es-ES"/>
        </w:rPr>
        <w:t xml:space="preserve">, </w:t>
      </w:r>
      <w:r w:rsidR="00656249" w:rsidRPr="00E100D7">
        <w:rPr>
          <w:rFonts w:cs="Calibri"/>
          <w:sz w:val="20"/>
          <w:szCs w:val="20"/>
          <w:lang w:val="es-ES"/>
        </w:rPr>
        <w:t xml:space="preserve">se pueda </w:t>
      </w:r>
      <w:r w:rsidR="004C6C4F" w:rsidRPr="00E100D7">
        <w:rPr>
          <w:rFonts w:cs="Calibri"/>
          <w:sz w:val="20"/>
          <w:szCs w:val="20"/>
          <w:lang w:val="es-ES"/>
        </w:rPr>
        <w:t>justifica</w:t>
      </w:r>
      <w:r w:rsidR="00656249" w:rsidRPr="00E100D7">
        <w:rPr>
          <w:rFonts w:cs="Calibri"/>
          <w:sz w:val="20"/>
          <w:szCs w:val="20"/>
          <w:lang w:val="es-ES"/>
        </w:rPr>
        <w:t>r</w:t>
      </w:r>
      <w:r w:rsidR="004C6C4F" w:rsidRPr="00E100D7">
        <w:rPr>
          <w:rFonts w:cs="Calibri"/>
          <w:sz w:val="20"/>
          <w:szCs w:val="20"/>
          <w:lang w:val="es-ES"/>
        </w:rPr>
        <w:t xml:space="preserve"> </w:t>
      </w:r>
      <w:r w:rsidR="009E6BEB" w:rsidRPr="00E100D7">
        <w:rPr>
          <w:rFonts w:cs="Calibri"/>
          <w:sz w:val="20"/>
          <w:szCs w:val="20"/>
          <w:lang w:val="es-ES"/>
        </w:rPr>
        <w:t xml:space="preserve">en el presente caso </w:t>
      </w:r>
      <w:r w:rsidR="004C6C4F" w:rsidRPr="00E100D7">
        <w:rPr>
          <w:rFonts w:cs="Calibri"/>
          <w:sz w:val="20"/>
          <w:szCs w:val="20"/>
          <w:lang w:val="es-ES"/>
        </w:rPr>
        <w:t>la aplicación del artículo 35.2 del Reglamento de la Corte</w:t>
      </w:r>
      <w:r w:rsidR="00656249" w:rsidRPr="00E100D7">
        <w:rPr>
          <w:rFonts w:cs="Calibri"/>
          <w:sz w:val="20"/>
          <w:szCs w:val="20"/>
          <w:lang w:val="es-ES"/>
        </w:rPr>
        <w:t xml:space="preserve">, </w:t>
      </w:r>
      <w:r w:rsidR="00A71EEE" w:rsidRPr="00E100D7">
        <w:rPr>
          <w:rFonts w:cs="Calibri"/>
          <w:sz w:val="20"/>
          <w:szCs w:val="20"/>
          <w:lang w:val="es-ES"/>
        </w:rPr>
        <w:t>teniendo en cuenta lo</w:t>
      </w:r>
      <w:r w:rsidR="00656249" w:rsidRPr="00E100D7">
        <w:rPr>
          <w:rFonts w:cs="Calibri"/>
          <w:sz w:val="20"/>
          <w:szCs w:val="20"/>
          <w:lang w:val="es-ES"/>
        </w:rPr>
        <w:t xml:space="preserve"> señalado por la parte peticionaria en la etapa de transición del caso</w:t>
      </w:r>
      <w:r w:rsidR="00A71EEE" w:rsidRPr="00E100D7">
        <w:rPr>
          <w:rFonts w:cs="Calibri"/>
          <w:sz w:val="20"/>
          <w:szCs w:val="20"/>
          <w:lang w:val="es-ES"/>
        </w:rPr>
        <w:t xml:space="preserve"> en cuanto a la imposibilidad de cerrar de manera def</w:t>
      </w:r>
      <w:r w:rsidR="00C11A15" w:rsidRPr="00E100D7">
        <w:rPr>
          <w:rFonts w:cs="Calibri"/>
          <w:sz w:val="20"/>
          <w:szCs w:val="20"/>
          <w:lang w:val="es-ES"/>
        </w:rPr>
        <w:t>initiva el universo de víctimas, h</w:t>
      </w:r>
      <w:r w:rsidR="00A71EEE" w:rsidRPr="00E100D7">
        <w:rPr>
          <w:rFonts w:cs="Calibri"/>
          <w:sz w:val="20"/>
          <w:szCs w:val="20"/>
          <w:lang w:val="es-ES"/>
        </w:rPr>
        <w:t xml:space="preserve">asta que el Estado comparta la totalidad de la información sobre la afectación a todos los </w:t>
      </w:r>
      <w:r w:rsidR="00C11A15" w:rsidRPr="00E100D7">
        <w:rPr>
          <w:rFonts w:cs="Calibri"/>
          <w:sz w:val="20"/>
          <w:szCs w:val="20"/>
          <w:lang w:val="es-ES"/>
        </w:rPr>
        <w:t>integrantes del CAJAR</w:t>
      </w:r>
      <w:r w:rsidR="003F7110" w:rsidRPr="00E100D7">
        <w:rPr>
          <w:rFonts w:cs="Calibri"/>
          <w:sz w:val="20"/>
          <w:szCs w:val="20"/>
          <w:lang w:val="es-ES"/>
        </w:rPr>
        <w:t xml:space="preserve"> y sus familiares</w:t>
      </w:r>
      <w:r w:rsidR="00C11A15" w:rsidRPr="00E100D7">
        <w:rPr>
          <w:rFonts w:cs="Calibri"/>
          <w:sz w:val="20"/>
          <w:szCs w:val="20"/>
          <w:lang w:val="es-ES"/>
        </w:rPr>
        <w:t>.</w:t>
      </w:r>
    </w:p>
    <w:p w14:paraId="769DF47B" w14:textId="77777777" w:rsidR="00E5205D" w:rsidRPr="00E100D7" w:rsidRDefault="00E5205D" w:rsidP="00E5205D">
      <w:pPr>
        <w:autoSpaceDE w:val="0"/>
        <w:autoSpaceDN w:val="0"/>
        <w:adjustRightInd w:val="0"/>
        <w:spacing w:after="0" w:line="240" w:lineRule="auto"/>
        <w:ind w:right="480"/>
        <w:jc w:val="both"/>
        <w:rPr>
          <w:rFonts w:cs="Calibri"/>
          <w:sz w:val="20"/>
          <w:szCs w:val="20"/>
          <w:lang w:val="es-AR"/>
        </w:rPr>
      </w:pPr>
    </w:p>
    <w:p w14:paraId="24B907F3" w14:textId="77777777" w:rsidR="00251530" w:rsidRPr="00E100D7" w:rsidRDefault="00EA1C15" w:rsidP="004C6C4F">
      <w:pPr>
        <w:widowControl w:val="0"/>
        <w:autoSpaceDE w:val="0"/>
        <w:autoSpaceDN w:val="0"/>
        <w:adjustRightInd w:val="0"/>
        <w:spacing w:after="0" w:line="240" w:lineRule="auto"/>
        <w:ind w:firstLine="720"/>
        <w:jc w:val="both"/>
        <w:rPr>
          <w:rFonts w:cs="Calibri"/>
          <w:sz w:val="20"/>
          <w:szCs w:val="20"/>
          <w:lang w:val="es-CO"/>
        </w:rPr>
      </w:pPr>
      <w:r w:rsidRPr="00E100D7">
        <w:rPr>
          <w:rFonts w:cs="Calibri"/>
          <w:sz w:val="20"/>
          <w:szCs w:val="20"/>
          <w:lang w:val="es-ES"/>
        </w:rPr>
        <w:t>La</w:t>
      </w:r>
      <w:r w:rsidR="00251530" w:rsidRPr="00E100D7">
        <w:rPr>
          <w:rFonts w:cs="Calibri"/>
          <w:sz w:val="20"/>
          <w:szCs w:val="20"/>
          <w:lang w:val="es-CO"/>
        </w:rPr>
        <w:t xml:space="preserve"> Comisión solicita a la Corte que establezca las siguientes medidas de reparación:</w:t>
      </w:r>
    </w:p>
    <w:p w14:paraId="6972B317" w14:textId="77777777" w:rsidR="00B10467" w:rsidRPr="00E100D7" w:rsidRDefault="00B10467" w:rsidP="00A50DDA">
      <w:pPr>
        <w:spacing w:after="0" w:line="240" w:lineRule="auto"/>
        <w:rPr>
          <w:rFonts w:cs="Calibri"/>
          <w:sz w:val="20"/>
          <w:szCs w:val="20"/>
          <w:lang w:val="es-CO"/>
        </w:rPr>
      </w:pPr>
    </w:p>
    <w:p w14:paraId="704D73EF" w14:textId="77777777" w:rsidR="00A50DDA" w:rsidRPr="00E100D7" w:rsidRDefault="00A50DDA" w:rsidP="00A50DDA">
      <w:pPr>
        <w:pStyle w:val="Textoindependiente3"/>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720"/>
          <w:tab w:val="left" w:pos="990"/>
        </w:tabs>
        <w:spacing w:after="0"/>
        <w:ind w:left="720" w:firstLine="0"/>
        <w:jc w:val="both"/>
        <w:rPr>
          <w:rFonts w:ascii="Calibri" w:hAnsi="Calibri" w:cs="Calibri"/>
          <w:sz w:val="20"/>
          <w:szCs w:val="20"/>
        </w:rPr>
      </w:pPr>
      <w:r w:rsidRPr="00E100D7">
        <w:rPr>
          <w:rFonts w:ascii="Calibri" w:hAnsi="Calibri" w:cs="Calibri"/>
          <w:sz w:val="20"/>
          <w:szCs w:val="20"/>
        </w:rPr>
        <w:t xml:space="preserve">Reparar integralmente las violaciones a derechos humanos declaradas en el presente informe tanto en el aspecto material como moral sufridas por las víctimas del caso. Esto incluye tanto una indemnización como medidas de satisfacción. </w:t>
      </w:r>
    </w:p>
    <w:p w14:paraId="66659E52" w14:textId="77777777" w:rsidR="00A50DDA" w:rsidRPr="00E100D7" w:rsidRDefault="00A50DDA" w:rsidP="00A50DDA">
      <w:pPr>
        <w:pStyle w:val="Textoindependiente3"/>
        <w:tabs>
          <w:tab w:val="num" w:pos="720"/>
        </w:tabs>
        <w:spacing w:after="0"/>
        <w:ind w:left="720"/>
        <w:jc w:val="both"/>
        <w:rPr>
          <w:rFonts w:ascii="Calibri" w:hAnsi="Calibri" w:cs="Calibri"/>
          <w:sz w:val="20"/>
          <w:szCs w:val="20"/>
        </w:rPr>
      </w:pPr>
    </w:p>
    <w:p w14:paraId="63778B6D" w14:textId="77777777" w:rsidR="00A50DDA" w:rsidRPr="00E100D7" w:rsidRDefault="00A50DDA" w:rsidP="00A50DDA">
      <w:pPr>
        <w:pStyle w:val="Textoindependiente3"/>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720"/>
          <w:tab w:val="left" w:pos="990"/>
        </w:tabs>
        <w:spacing w:after="0"/>
        <w:ind w:left="720" w:firstLine="0"/>
        <w:jc w:val="both"/>
        <w:rPr>
          <w:rFonts w:ascii="Calibri" w:hAnsi="Calibri" w:cs="Calibri"/>
          <w:sz w:val="20"/>
          <w:szCs w:val="20"/>
        </w:rPr>
      </w:pPr>
      <w:r w:rsidRPr="00E100D7">
        <w:rPr>
          <w:rFonts w:ascii="Calibri" w:hAnsi="Calibri" w:cs="Calibri"/>
          <w:sz w:val="20"/>
          <w:szCs w:val="20"/>
        </w:rPr>
        <w:t xml:space="preserve">Desarrollar y completar las investigaciones judiciales, administrativas y disciplinarias de manera imparcial, efectiva, y expedita, con el objeto de establecer las responsabilidades correspondientes por las violaciones cometidas en este caso. </w:t>
      </w:r>
    </w:p>
    <w:p w14:paraId="7C2CB40E" w14:textId="77777777" w:rsidR="00A50DDA" w:rsidRPr="00E100D7" w:rsidRDefault="00A50DDA" w:rsidP="00A50DDA">
      <w:pPr>
        <w:pStyle w:val="Textoindependiente3"/>
        <w:tabs>
          <w:tab w:val="num" w:pos="720"/>
        </w:tabs>
        <w:spacing w:after="0"/>
        <w:ind w:left="720"/>
        <w:jc w:val="both"/>
        <w:rPr>
          <w:rFonts w:ascii="Calibri" w:hAnsi="Calibri" w:cs="Calibri"/>
          <w:sz w:val="20"/>
          <w:szCs w:val="20"/>
        </w:rPr>
      </w:pPr>
    </w:p>
    <w:p w14:paraId="5A0466A9" w14:textId="77777777" w:rsidR="00A50DDA" w:rsidRPr="00E100D7" w:rsidRDefault="00A50DDA" w:rsidP="00A50DDA">
      <w:pPr>
        <w:pStyle w:val="Textoindependiente3"/>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720"/>
          <w:tab w:val="left" w:pos="990"/>
        </w:tabs>
        <w:spacing w:after="0"/>
        <w:ind w:left="720" w:firstLine="0"/>
        <w:jc w:val="both"/>
        <w:rPr>
          <w:rFonts w:ascii="Calibri" w:eastAsia="Times New Roman" w:hAnsi="Calibri" w:cs="Calibri"/>
          <w:sz w:val="20"/>
          <w:szCs w:val="20"/>
          <w:bdr w:val="none" w:sz="0" w:space="0" w:color="auto"/>
        </w:rPr>
      </w:pPr>
      <w:r w:rsidRPr="00E100D7">
        <w:rPr>
          <w:rFonts w:ascii="Calibri" w:eastAsia="Times New Roman" w:hAnsi="Calibri" w:cs="Calibri"/>
          <w:sz w:val="20"/>
          <w:szCs w:val="20"/>
          <w:bdr w:val="none" w:sz="0" w:space="0" w:color="auto"/>
        </w:rPr>
        <w:t>Garantizar que en todos los procesos de adopción, implementación, monitoreo y levantamiento de medidas especiales de protección se garantice la participación efectiva de las víctimas. En particular, la Comisión recomienda al Estado que asegure que el personal que participa en los esquemas de seguridad para las víctimas sea designado con la participación y concertación de los beneficiarios de tal manera que les genere confianza.</w:t>
      </w:r>
    </w:p>
    <w:p w14:paraId="75E338AF" w14:textId="77777777" w:rsidR="00A50DDA" w:rsidRPr="00E100D7" w:rsidRDefault="00A50DDA" w:rsidP="00A50DDA">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0"/>
        <w:ind w:left="720"/>
        <w:jc w:val="both"/>
        <w:rPr>
          <w:rFonts w:ascii="Calibri" w:eastAsia="Times New Roman" w:hAnsi="Calibri" w:cs="Calibri"/>
          <w:sz w:val="20"/>
          <w:szCs w:val="20"/>
          <w:bdr w:val="none" w:sz="0" w:space="0" w:color="auto"/>
        </w:rPr>
      </w:pPr>
    </w:p>
    <w:p w14:paraId="290282DE" w14:textId="77777777" w:rsidR="00A50DDA" w:rsidRPr="00E100D7" w:rsidRDefault="00A50DDA" w:rsidP="00A50DDA">
      <w:pPr>
        <w:pStyle w:val="Textoindependiente3"/>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720"/>
          <w:tab w:val="left" w:pos="990"/>
        </w:tabs>
        <w:spacing w:after="0"/>
        <w:ind w:left="720" w:firstLine="0"/>
        <w:jc w:val="both"/>
        <w:rPr>
          <w:rFonts w:ascii="Calibri" w:eastAsia="Times New Roman" w:hAnsi="Calibri" w:cs="Calibri"/>
          <w:sz w:val="20"/>
          <w:szCs w:val="20"/>
          <w:bdr w:val="none" w:sz="0" w:space="0" w:color="auto"/>
        </w:rPr>
      </w:pPr>
      <w:r w:rsidRPr="00E100D7">
        <w:rPr>
          <w:rFonts w:ascii="Calibri" w:eastAsia="Times New Roman" w:hAnsi="Calibri" w:cs="Calibri"/>
          <w:sz w:val="20"/>
          <w:szCs w:val="20"/>
          <w:bdr w:val="none" w:sz="0" w:space="0" w:color="auto"/>
        </w:rPr>
        <w:t>Asegurar el acceso de las víctimas a sus datos en los archivos de inteligencia y, en caso lo deseen, soliciten su corrección, actualización o, en su caso, depuración de los archivos de inteligencia.</w:t>
      </w:r>
    </w:p>
    <w:p w14:paraId="60634AB3" w14:textId="77777777" w:rsidR="00A50DDA" w:rsidRPr="00E100D7" w:rsidRDefault="00A50DDA" w:rsidP="00A50DDA">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0"/>
        <w:ind w:left="720"/>
        <w:jc w:val="both"/>
        <w:rPr>
          <w:rFonts w:ascii="Calibri" w:hAnsi="Calibri" w:cs="Calibri"/>
          <w:sz w:val="20"/>
          <w:szCs w:val="20"/>
        </w:rPr>
      </w:pPr>
    </w:p>
    <w:p w14:paraId="5C359CE0" w14:textId="77777777" w:rsidR="00A50DDA" w:rsidRPr="00E100D7" w:rsidRDefault="00A50DDA" w:rsidP="00A50DDA">
      <w:pPr>
        <w:pStyle w:val="Textoindependiente3"/>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720"/>
          <w:tab w:val="left" w:pos="990"/>
        </w:tabs>
        <w:spacing w:after="0"/>
        <w:ind w:left="720" w:firstLine="0"/>
        <w:jc w:val="both"/>
        <w:rPr>
          <w:rFonts w:ascii="Calibri" w:hAnsi="Calibri" w:cs="Calibri"/>
          <w:sz w:val="20"/>
          <w:szCs w:val="20"/>
        </w:rPr>
      </w:pPr>
      <w:r w:rsidRPr="00E100D7">
        <w:rPr>
          <w:rFonts w:ascii="Calibri" w:hAnsi="Calibri" w:cs="Calibri"/>
          <w:sz w:val="20"/>
          <w:szCs w:val="20"/>
        </w:rPr>
        <w:t xml:space="preserve">Adoptar medidas de carácter legislativo, institucional y judicial orientadas a reducir la exposición al riesgo de las defensoras y defensores de derechos humanos. En ese sentido, el Estado debe: </w:t>
      </w:r>
    </w:p>
    <w:p w14:paraId="0FD03424" w14:textId="77777777" w:rsidR="00A50DDA" w:rsidRPr="00E100D7" w:rsidRDefault="00A50DDA" w:rsidP="00A50DDA">
      <w:pPr>
        <w:pStyle w:val="Textoindependiente3"/>
        <w:tabs>
          <w:tab w:val="num" w:pos="1440"/>
        </w:tabs>
        <w:spacing w:after="0"/>
        <w:ind w:left="1440"/>
        <w:jc w:val="both"/>
        <w:rPr>
          <w:rFonts w:ascii="Calibri" w:hAnsi="Calibri" w:cs="Calibri"/>
          <w:sz w:val="20"/>
          <w:szCs w:val="20"/>
        </w:rPr>
      </w:pPr>
    </w:p>
    <w:p w14:paraId="416CF8BC" w14:textId="77777777" w:rsidR="00A50DDA" w:rsidRPr="00E100D7" w:rsidRDefault="00A50DDA" w:rsidP="00A50DDA">
      <w:pPr>
        <w:pStyle w:val="Textoindependiente3"/>
        <w:tabs>
          <w:tab w:val="left" w:pos="1260"/>
        </w:tabs>
        <w:spacing w:after="0"/>
        <w:ind w:left="990"/>
        <w:jc w:val="both"/>
        <w:rPr>
          <w:rFonts w:ascii="Calibri" w:hAnsi="Calibri" w:cs="Calibri"/>
          <w:sz w:val="20"/>
          <w:szCs w:val="20"/>
        </w:rPr>
      </w:pPr>
      <w:r w:rsidRPr="00E100D7">
        <w:rPr>
          <w:rFonts w:ascii="Calibri" w:hAnsi="Calibri" w:cs="Calibri"/>
          <w:sz w:val="20"/>
          <w:szCs w:val="20"/>
        </w:rPr>
        <w:t xml:space="preserve">5.1. </w:t>
      </w:r>
      <w:r w:rsidRPr="00E100D7">
        <w:rPr>
          <w:rFonts w:ascii="Calibri" w:hAnsi="Calibri" w:cs="Calibri"/>
          <w:sz w:val="20"/>
          <w:szCs w:val="20"/>
        </w:rPr>
        <w:tab/>
        <w:t xml:space="preserve">Fortalecer la capacidad institucional para combatir el patrón de impunidad frente a casos de amenazas y muertes de defensoras y defensores, mediante la elaboración de protocolos de investigación que teniendo en cuenta los riesgos inherentes a la labor de defensa de los derechos humanos permitan un desarrollo exhaustivo de la investigación bajo esta hipótesis.  </w:t>
      </w:r>
    </w:p>
    <w:p w14:paraId="0C8F0BDB" w14:textId="77777777" w:rsidR="00A50DDA" w:rsidRPr="00E100D7" w:rsidRDefault="00A50DDA" w:rsidP="00A50DDA">
      <w:pPr>
        <w:pStyle w:val="Textoindependiente3"/>
        <w:tabs>
          <w:tab w:val="left" w:pos="990"/>
          <w:tab w:val="left" w:pos="1260"/>
        </w:tabs>
        <w:spacing w:after="0"/>
        <w:ind w:left="990"/>
        <w:jc w:val="both"/>
        <w:rPr>
          <w:rFonts w:ascii="Calibri" w:hAnsi="Calibri" w:cs="Calibri"/>
          <w:sz w:val="20"/>
          <w:szCs w:val="20"/>
        </w:rPr>
      </w:pPr>
    </w:p>
    <w:p w14:paraId="66C695F1" w14:textId="77777777" w:rsidR="00A50DDA" w:rsidRPr="00E100D7" w:rsidRDefault="00A50DDA" w:rsidP="00A50DDA">
      <w:pPr>
        <w:tabs>
          <w:tab w:val="left" w:pos="990"/>
          <w:tab w:val="left" w:pos="1260"/>
        </w:tabs>
        <w:spacing w:after="0" w:line="240" w:lineRule="auto"/>
        <w:ind w:left="990"/>
        <w:jc w:val="both"/>
        <w:rPr>
          <w:rFonts w:cs="Calibri"/>
          <w:sz w:val="20"/>
          <w:szCs w:val="20"/>
          <w:lang w:val="es-US"/>
        </w:rPr>
      </w:pPr>
      <w:r w:rsidRPr="00E100D7">
        <w:rPr>
          <w:rFonts w:cs="Calibri"/>
          <w:sz w:val="20"/>
          <w:szCs w:val="20"/>
          <w:lang w:val="es-US"/>
        </w:rPr>
        <w:t>5.2. Desarrollar medidas adecuadas y expeditas de respuesta institucional que permitan proteger eficazmente a defensoras y defensores de derechos humanos en situaciones de riesgo. En concreto, adoptar medidas para asegurar la implementación efectiva las medidas especiales de protección dictados por los órganos del sistema interamericano.</w:t>
      </w:r>
    </w:p>
    <w:p w14:paraId="6B732008" w14:textId="77777777" w:rsidR="00A50DDA" w:rsidRPr="00E100D7" w:rsidRDefault="00A50DDA" w:rsidP="00A50DDA">
      <w:pPr>
        <w:tabs>
          <w:tab w:val="left" w:pos="990"/>
          <w:tab w:val="left" w:pos="1260"/>
        </w:tabs>
        <w:spacing w:after="0" w:line="240" w:lineRule="auto"/>
        <w:ind w:left="990"/>
        <w:jc w:val="both"/>
        <w:rPr>
          <w:rFonts w:cs="Calibri"/>
          <w:sz w:val="20"/>
          <w:szCs w:val="20"/>
          <w:lang w:val="es-US"/>
        </w:rPr>
      </w:pPr>
    </w:p>
    <w:p w14:paraId="3AA0B8CF" w14:textId="77777777" w:rsidR="00A50DDA" w:rsidRPr="00E100D7" w:rsidRDefault="00A50DDA" w:rsidP="00A50DDA">
      <w:pPr>
        <w:tabs>
          <w:tab w:val="left" w:pos="990"/>
          <w:tab w:val="left" w:pos="1260"/>
        </w:tabs>
        <w:spacing w:after="0" w:line="240" w:lineRule="auto"/>
        <w:ind w:left="990"/>
        <w:jc w:val="both"/>
        <w:rPr>
          <w:rFonts w:cs="Calibri"/>
          <w:sz w:val="20"/>
          <w:szCs w:val="20"/>
          <w:lang w:val="es-US"/>
        </w:rPr>
      </w:pPr>
      <w:r w:rsidRPr="00E100D7">
        <w:rPr>
          <w:rFonts w:cs="Calibri"/>
          <w:sz w:val="20"/>
          <w:szCs w:val="20"/>
          <w:lang w:val="es-US"/>
        </w:rPr>
        <w:t>5.3. Abstenerse de realizar labores de inteligencia que impliquen limitaciones arbitrarias a los derechos a la vida privada y libertad de expresión, en los términos establecidos en el presente informe de fondo. En particular, el Estado deberá asegurar que cualquier injerencia en dichos derechos como resultado de labores de inteligencia cumplan con los estándares de legalidad, finalidad imperiosa, necesidad y proporcionalidad. La regulación en la materia deberá evitar el otorgamiento de facultades excesivamente vagas, incluir una definición precisa de seguridad nacional, establecer la necesidad de autorización y supervisión judicial independiente y, en general, deberá estar informada por los principios de excepcionalidad y transparencia. Finalmente, las personas afectadas deberán contar con recursos idóneos y efectivos para obtener el acceso a datos personales que consten en archivos de inteligencia, así como para solicitar su corrección, actualización o depuración.</w:t>
      </w:r>
    </w:p>
    <w:p w14:paraId="42DEB83D" w14:textId="77777777" w:rsidR="00EA1C15" w:rsidRPr="00E100D7" w:rsidRDefault="00251530" w:rsidP="00736188">
      <w:pPr>
        <w:spacing w:after="0" w:line="240" w:lineRule="auto"/>
        <w:ind w:firstLine="720"/>
        <w:jc w:val="both"/>
        <w:rPr>
          <w:rFonts w:eastAsia="Times New Roman" w:cs="Calibri"/>
          <w:sz w:val="20"/>
          <w:szCs w:val="20"/>
          <w:lang w:val="es-CO"/>
        </w:rPr>
      </w:pPr>
      <w:r w:rsidRPr="00E100D7">
        <w:rPr>
          <w:rFonts w:cs="Calibri"/>
          <w:sz w:val="20"/>
          <w:szCs w:val="20"/>
          <w:lang w:val="es-CL"/>
        </w:rPr>
        <w:lastRenderedPageBreak/>
        <w:t xml:space="preserve">Además de la necesidad de obtención de justicia por la falta de cumplimiento de las recomendaciones del </w:t>
      </w:r>
      <w:r w:rsidR="00AF21ED" w:rsidRPr="00E100D7">
        <w:rPr>
          <w:rFonts w:cs="Calibri"/>
          <w:sz w:val="20"/>
          <w:szCs w:val="20"/>
          <w:lang w:val="es-CL"/>
        </w:rPr>
        <w:t>I</w:t>
      </w:r>
      <w:r w:rsidRPr="00E100D7">
        <w:rPr>
          <w:rFonts w:cs="Calibri"/>
          <w:sz w:val="20"/>
          <w:szCs w:val="20"/>
          <w:lang w:val="es-CO"/>
        </w:rPr>
        <w:t>nforme</w:t>
      </w:r>
      <w:r w:rsidRPr="00E100D7">
        <w:rPr>
          <w:rFonts w:cs="Calibri"/>
          <w:sz w:val="20"/>
          <w:szCs w:val="20"/>
          <w:lang w:val="es-CL"/>
        </w:rPr>
        <w:t xml:space="preserve"> de </w:t>
      </w:r>
      <w:r w:rsidR="00AF21ED" w:rsidRPr="00E100D7">
        <w:rPr>
          <w:rFonts w:cs="Calibri"/>
          <w:sz w:val="20"/>
          <w:szCs w:val="20"/>
          <w:lang w:val="es-CL"/>
        </w:rPr>
        <w:t>F</w:t>
      </w:r>
      <w:r w:rsidRPr="00E100D7">
        <w:rPr>
          <w:rFonts w:cs="Calibri"/>
          <w:sz w:val="20"/>
          <w:szCs w:val="20"/>
          <w:lang w:val="es-CL"/>
        </w:rPr>
        <w:t>ondo</w:t>
      </w:r>
      <w:r w:rsidR="00A50DDA" w:rsidRPr="00E100D7">
        <w:rPr>
          <w:rFonts w:cs="Calibri"/>
          <w:sz w:val="20"/>
          <w:szCs w:val="20"/>
          <w:lang w:val="es-CL"/>
        </w:rPr>
        <w:t xml:space="preserve"> No. 57</w:t>
      </w:r>
      <w:r w:rsidR="00AF21ED" w:rsidRPr="00E100D7">
        <w:rPr>
          <w:rFonts w:cs="Calibri"/>
          <w:sz w:val="20"/>
          <w:szCs w:val="20"/>
          <w:lang w:val="es-CL"/>
        </w:rPr>
        <w:t>/19</w:t>
      </w:r>
      <w:r w:rsidRPr="00E100D7">
        <w:rPr>
          <w:rFonts w:cs="Calibri"/>
          <w:sz w:val="20"/>
          <w:szCs w:val="20"/>
          <w:lang w:val="es-CL"/>
        </w:rPr>
        <w:t xml:space="preserve">, la Comisión considera que el caso presenta cuestiones de orden público interamericano. </w:t>
      </w:r>
      <w:r w:rsidR="00AF21ED" w:rsidRPr="00E100D7">
        <w:rPr>
          <w:rFonts w:cs="Calibri"/>
          <w:sz w:val="20"/>
          <w:szCs w:val="20"/>
          <w:lang w:val="es-CL"/>
        </w:rPr>
        <w:t>E</w:t>
      </w:r>
      <w:r w:rsidR="00DC3674" w:rsidRPr="00E100D7">
        <w:rPr>
          <w:rFonts w:cs="Calibri"/>
          <w:sz w:val="20"/>
          <w:szCs w:val="20"/>
          <w:lang w:val="es-CL"/>
        </w:rPr>
        <w:t xml:space="preserve">specíficamente, </w:t>
      </w:r>
      <w:r w:rsidR="00AF21ED" w:rsidRPr="00E100D7">
        <w:rPr>
          <w:rFonts w:cs="Calibri"/>
          <w:sz w:val="20"/>
          <w:szCs w:val="20"/>
          <w:lang w:val="es-CO"/>
        </w:rPr>
        <w:t xml:space="preserve">permitiría a la Corte Interamericana </w:t>
      </w:r>
      <w:r w:rsidR="00EA1C15" w:rsidRPr="00E100D7">
        <w:rPr>
          <w:rFonts w:eastAsia="Times New Roman" w:cs="Calibri"/>
          <w:sz w:val="20"/>
          <w:szCs w:val="20"/>
          <w:lang w:val="es-CO"/>
        </w:rPr>
        <w:t xml:space="preserve">profundizar </w:t>
      </w:r>
      <w:r w:rsidR="00157876" w:rsidRPr="00E100D7">
        <w:rPr>
          <w:rFonts w:eastAsia="Times New Roman" w:cs="Calibri"/>
          <w:sz w:val="20"/>
          <w:szCs w:val="20"/>
          <w:lang w:val="es-CO"/>
        </w:rPr>
        <w:t xml:space="preserve">su jurisprudencia </w:t>
      </w:r>
      <w:r w:rsidR="00EA1C15" w:rsidRPr="00E100D7">
        <w:rPr>
          <w:rFonts w:eastAsia="Times New Roman" w:cs="Calibri"/>
          <w:sz w:val="20"/>
          <w:szCs w:val="20"/>
          <w:lang w:val="es-CO"/>
        </w:rPr>
        <w:t xml:space="preserve">y obligaciones estatales </w:t>
      </w:r>
      <w:r w:rsidR="00157876" w:rsidRPr="00E100D7">
        <w:rPr>
          <w:rFonts w:eastAsia="Times New Roman" w:cs="Calibri"/>
          <w:sz w:val="20"/>
          <w:szCs w:val="20"/>
          <w:lang w:val="es-CO"/>
        </w:rPr>
        <w:t>en materia de actividades de inteligencia del Estado, tales como interferencia e interceptación de correos electrónicos, telefonía móvil e internet</w:t>
      </w:r>
      <w:r w:rsidR="00EA1C15" w:rsidRPr="00E100D7">
        <w:rPr>
          <w:rFonts w:eastAsia="Times New Roman" w:cs="Calibri"/>
          <w:sz w:val="20"/>
          <w:szCs w:val="20"/>
          <w:lang w:val="es-CO"/>
        </w:rPr>
        <w:t xml:space="preserve">, particularmente cuando involucran a personas defensoras de derechos humanos. </w:t>
      </w:r>
      <w:r w:rsidR="00736188" w:rsidRPr="00E100D7">
        <w:rPr>
          <w:rFonts w:eastAsia="Times New Roman" w:cs="Calibri"/>
          <w:sz w:val="20"/>
          <w:szCs w:val="20"/>
          <w:lang w:val="es-CO"/>
        </w:rPr>
        <w:t>Asimismo, l</w:t>
      </w:r>
      <w:r w:rsidR="00EA1C15" w:rsidRPr="00E100D7">
        <w:rPr>
          <w:rFonts w:eastAsia="Times New Roman" w:cs="Calibri"/>
          <w:sz w:val="20"/>
          <w:szCs w:val="20"/>
          <w:lang w:val="es-CO"/>
        </w:rPr>
        <w:t>a Corte podrá pronunciar</w:t>
      </w:r>
      <w:r w:rsidR="00736188" w:rsidRPr="00E100D7">
        <w:rPr>
          <w:rFonts w:eastAsia="Times New Roman" w:cs="Calibri"/>
          <w:sz w:val="20"/>
          <w:szCs w:val="20"/>
          <w:lang w:val="es-CO"/>
        </w:rPr>
        <w:t>se</w:t>
      </w:r>
      <w:r w:rsidR="00EA1C15" w:rsidRPr="00E100D7">
        <w:rPr>
          <w:rFonts w:eastAsia="Times New Roman" w:cs="Calibri"/>
          <w:sz w:val="20"/>
          <w:szCs w:val="20"/>
          <w:lang w:val="es-CO"/>
        </w:rPr>
        <w:t xml:space="preserve"> sobre las implicaciones que tiene en la responsabilidad del Estado la realización de actividades inteligencia en el respeto y garantía de </w:t>
      </w:r>
      <w:r w:rsidR="00736188" w:rsidRPr="00E100D7">
        <w:rPr>
          <w:rFonts w:eastAsia="Times New Roman" w:cs="Calibri"/>
          <w:sz w:val="20"/>
          <w:szCs w:val="20"/>
          <w:lang w:val="es-CO"/>
        </w:rPr>
        <w:t>varios</w:t>
      </w:r>
      <w:r w:rsidR="00EA1C15" w:rsidRPr="00E100D7">
        <w:rPr>
          <w:rFonts w:eastAsia="Times New Roman" w:cs="Calibri"/>
          <w:sz w:val="20"/>
          <w:szCs w:val="20"/>
          <w:lang w:val="es-CO"/>
        </w:rPr>
        <w:t xml:space="preserve"> derechos, como la vida privada y honra y dignidad, la integridad personal, libertad de asociación y libertad de expresión, de personas defensoras de derechos humanos, cuando son víctimas de amenazas, hostigamientos o amenazas relacionadas con sus labores. </w:t>
      </w:r>
      <w:r w:rsidR="00736188" w:rsidRPr="00E100D7">
        <w:rPr>
          <w:rFonts w:eastAsia="Times New Roman" w:cs="Calibri"/>
          <w:sz w:val="20"/>
          <w:szCs w:val="20"/>
          <w:lang w:val="es-CO"/>
        </w:rPr>
        <w:t>Finalmente, la Comisión considera que la</w:t>
      </w:r>
      <w:r w:rsidR="00EA1C15" w:rsidRPr="00E100D7">
        <w:rPr>
          <w:rFonts w:eastAsia="Times New Roman" w:cs="Calibri"/>
          <w:sz w:val="20"/>
          <w:szCs w:val="20"/>
          <w:lang w:val="es-CO"/>
        </w:rPr>
        <w:t xml:space="preserve"> podrá desarrollar cuáles son las obligaciones que tiene el Estado en materia de protección y reparación integral a personas defensoras </w:t>
      </w:r>
      <w:r w:rsidR="00736188" w:rsidRPr="00E100D7">
        <w:rPr>
          <w:rFonts w:eastAsia="Times New Roman" w:cs="Calibri"/>
          <w:sz w:val="20"/>
          <w:szCs w:val="20"/>
          <w:lang w:val="es-CO"/>
        </w:rPr>
        <w:t>cuando se ven afectados como resultado de injerencias arbitrarias a través tales actividades de inteligencia.</w:t>
      </w:r>
    </w:p>
    <w:p w14:paraId="754ECA3C" w14:textId="77777777" w:rsidR="00AF21ED" w:rsidRPr="00E100D7" w:rsidRDefault="00AF21ED" w:rsidP="004E1087">
      <w:pPr>
        <w:spacing w:after="0" w:line="240" w:lineRule="auto"/>
        <w:ind w:firstLine="720"/>
        <w:jc w:val="both"/>
        <w:rPr>
          <w:rFonts w:cs="Calibri"/>
          <w:sz w:val="20"/>
          <w:szCs w:val="20"/>
          <w:lang w:val="es-CL"/>
        </w:rPr>
      </w:pPr>
    </w:p>
    <w:p w14:paraId="6AB143F9" w14:textId="77777777" w:rsidR="00251530" w:rsidRPr="00E100D7" w:rsidRDefault="00251530" w:rsidP="00B10467">
      <w:pPr>
        <w:widowControl w:val="0"/>
        <w:autoSpaceDE w:val="0"/>
        <w:autoSpaceDN w:val="0"/>
        <w:adjustRightInd w:val="0"/>
        <w:spacing w:after="0" w:line="240" w:lineRule="auto"/>
        <w:ind w:firstLine="720"/>
        <w:jc w:val="both"/>
        <w:rPr>
          <w:rFonts w:cs="Calibri"/>
          <w:sz w:val="20"/>
          <w:szCs w:val="20"/>
          <w:lang w:val="es-CL"/>
        </w:rPr>
      </w:pPr>
      <w:r w:rsidRPr="00E100D7">
        <w:rPr>
          <w:rFonts w:cs="Calibri"/>
          <w:sz w:val="20"/>
          <w:szCs w:val="20"/>
          <w:lang w:val="es-CL"/>
        </w:rPr>
        <w:t xml:space="preserve">En virtud de que estas cuestiones afectan de manera relevante el orden público interamericano, de conformidad </w:t>
      </w:r>
      <w:r w:rsidRPr="00E100D7">
        <w:rPr>
          <w:rFonts w:eastAsia="Times New Roman" w:cs="Calibri"/>
          <w:sz w:val="20"/>
          <w:szCs w:val="20"/>
          <w:lang w:val="es-CO"/>
        </w:rPr>
        <w:t>con</w:t>
      </w:r>
      <w:r w:rsidRPr="00E100D7">
        <w:rPr>
          <w:rFonts w:cs="Calibri"/>
          <w:sz w:val="20"/>
          <w:szCs w:val="20"/>
          <w:lang w:val="es-CL"/>
        </w:rPr>
        <w:t xml:space="preserve"> el artículo 35.1 f) del Reglamento de la Corte Interamericana, la Comisión se permite ofrecer la siguiente</w:t>
      </w:r>
      <w:r w:rsidR="00157876" w:rsidRPr="00E100D7">
        <w:rPr>
          <w:rFonts w:cs="Calibri"/>
          <w:sz w:val="20"/>
          <w:szCs w:val="20"/>
          <w:lang w:val="es-CL"/>
        </w:rPr>
        <w:t xml:space="preserve"> declaración</w:t>
      </w:r>
      <w:r w:rsidRPr="00E100D7">
        <w:rPr>
          <w:rFonts w:cs="Calibri"/>
          <w:sz w:val="20"/>
          <w:szCs w:val="20"/>
          <w:lang w:val="es-CL"/>
        </w:rPr>
        <w:t xml:space="preserve"> pericial:</w:t>
      </w:r>
    </w:p>
    <w:p w14:paraId="2D89A21E" w14:textId="77777777" w:rsidR="00251530" w:rsidRPr="00E100D7" w:rsidRDefault="00251530" w:rsidP="00B10467">
      <w:pPr>
        <w:autoSpaceDE w:val="0"/>
        <w:autoSpaceDN w:val="0"/>
        <w:adjustRightInd w:val="0"/>
        <w:spacing w:after="0" w:line="240" w:lineRule="auto"/>
        <w:ind w:right="480"/>
        <w:jc w:val="both"/>
        <w:rPr>
          <w:rFonts w:cs="Calibri"/>
          <w:sz w:val="20"/>
          <w:szCs w:val="20"/>
          <w:lang w:val="es-CL"/>
        </w:rPr>
      </w:pPr>
    </w:p>
    <w:p w14:paraId="141D19A4" w14:textId="77777777" w:rsidR="00736188" w:rsidRPr="00E100D7" w:rsidRDefault="00251530" w:rsidP="004E1087">
      <w:pPr>
        <w:widowControl w:val="0"/>
        <w:autoSpaceDE w:val="0"/>
        <w:autoSpaceDN w:val="0"/>
        <w:adjustRightInd w:val="0"/>
        <w:spacing w:after="0" w:line="240" w:lineRule="auto"/>
        <w:ind w:firstLine="720"/>
        <w:jc w:val="both"/>
        <w:rPr>
          <w:rFonts w:eastAsia="Times New Roman" w:cs="Calibri"/>
          <w:sz w:val="20"/>
          <w:szCs w:val="20"/>
          <w:lang w:val="es-CO"/>
        </w:rPr>
      </w:pPr>
      <w:r w:rsidRPr="00E100D7">
        <w:rPr>
          <w:rFonts w:cs="Calibri"/>
          <w:b/>
          <w:sz w:val="20"/>
          <w:szCs w:val="20"/>
          <w:lang w:val="es-ES_tradnl"/>
        </w:rPr>
        <w:t>Perito/a cuyo nombre será informado a la brevedad</w:t>
      </w:r>
      <w:r w:rsidRPr="00E100D7">
        <w:rPr>
          <w:rFonts w:cs="Calibri"/>
          <w:sz w:val="20"/>
          <w:szCs w:val="20"/>
          <w:lang w:val="es-ES_tradnl"/>
        </w:rPr>
        <w:t xml:space="preserve">, quien declarará </w:t>
      </w:r>
      <w:r w:rsidR="0077407E" w:rsidRPr="00E100D7">
        <w:rPr>
          <w:rFonts w:cs="Calibri"/>
          <w:sz w:val="20"/>
          <w:szCs w:val="20"/>
          <w:lang w:val="es-ES_tradnl"/>
        </w:rPr>
        <w:t>sobre</w:t>
      </w:r>
      <w:r w:rsidR="00580556" w:rsidRPr="00E100D7">
        <w:rPr>
          <w:rFonts w:cs="Calibri"/>
          <w:sz w:val="20"/>
          <w:szCs w:val="20"/>
          <w:lang w:val="es-ES_tradnl"/>
        </w:rPr>
        <w:t xml:space="preserve"> </w:t>
      </w:r>
      <w:r w:rsidR="001C27A0" w:rsidRPr="00E100D7">
        <w:rPr>
          <w:rFonts w:cs="Calibri"/>
          <w:sz w:val="20"/>
          <w:szCs w:val="20"/>
          <w:lang w:val="es-ES_tradnl"/>
        </w:rPr>
        <w:t xml:space="preserve">las </w:t>
      </w:r>
      <w:r w:rsidR="00FB6F5E" w:rsidRPr="00E100D7">
        <w:rPr>
          <w:rFonts w:eastAsia="Times New Roman" w:cs="Calibri"/>
          <w:sz w:val="20"/>
          <w:szCs w:val="20"/>
          <w:lang w:val="es-CO"/>
        </w:rPr>
        <w:t xml:space="preserve">obligaciones internacionales de los Estados frente a </w:t>
      </w:r>
      <w:r w:rsidR="00736188" w:rsidRPr="00E100D7">
        <w:rPr>
          <w:rFonts w:eastAsia="Times New Roman" w:cs="Calibri"/>
          <w:sz w:val="20"/>
          <w:szCs w:val="20"/>
          <w:lang w:val="es-CO"/>
        </w:rPr>
        <w:t>actividades de inteligencia del Estado, tales como interferencia e interceptación de correos electrónicos, telefonía móvil e internet, particularmente cuando involucran a personas defensoras de derechos humanos. Asimismo, el perito/a desarrollará cuáles son las implicaciones que puede tener en la responsabilidad del Estado la realización de actividades inteligencia en el respeto y garantía de varios derechos, como la vida</w:t>
      </w:r>
      <w:r w:rsidR="009E6BEB" w:rsidRPr="00E100D7">
        <w:rPr>
          <w:rFonts w:eastAsia="Times New Roman" w:cs="Calibri"/>
          <w:sz w:val="20"/>
          <w:szCs w:val="20"/>
          <w:lang w:val="es-CO"/>
        </w:rPr>
        <w:t>, vida</w:t>
      </w:r>
      <w:r w:rsidR="00736188" w:rsidRPr="00E100D7">
        <w:rPr>
          <w:rFonts w:eastAsia="Times New Roman" w:cs="Calibri"/>
          <w:sz w:val="20"/>
          <w:szCs w:val="20"/>
          <w:lang w:val="es-CO"/>
        </w:rPr>
        <w:t xml:space="preserve"> privada y honra y dignidad, la integridad personal, libertad de asociación y libertad de expresión, de personas defensoras de derechos humanos, cuando son víctimas de amenazas, hostigamientos o amenazas relacionadas con sus labores. Finalmente, el perit</w:t>
      </w:r>
      <w:r w:rsidR="009E6BEB" w:rsidRPr="00E100D7">
        <w:rPr>
          <w:rFonts w:eastAsia="Times New Roman" w:cs="Calibri"/>
          <w:sz w:val="20"/>
          <w:szCs w:val="20"/>
          <w:lang w:val="es-CO"/>
        </w:rPr>
        <w:t>o</w:t>
      </w:r>
      <w:r w:rsidR="00736188" w:rsidRPr="00E100D7">
        <w:rPr>
          <w:rFonts w:eastAsia="Times New Roman" w:cs="Calibri"/>
          <w:sz w:val="20"/>
          <w:szCs w:val="20"/>
          <w:lang w:val="es-CO"/>
        </w:rPr>
        <w:t xml:space="preserve">/a se referirá a las obligaciones </w:t>
      </w:r>
      <w:r w:rsidR="00077699" w:rsidRPr="00E100D7">
        <w:rPr>
          <w:rFonts w:eastAsia="Times New Roman" w:cs="Calibri"/>
          <w:sz w:val="20"/>
          <w:szCs w:val="20"/>
          <w:lang w:val="es-CO"/>
        </w:rPr>
        <w:t>estatales en</w:t>
      </w:r>
      <w:r w:rsidR="00736188" w:rsidRPr="00E100D7">
        <w:rPr>
          <w:rFonts w:eastAsia="Times New Roman" w:cs="Calibri"/>
          <w:sz w:val="20"/>
          <w:szCs w:val="20"/>
          <w:lang w:val="es-CO"/>
        </w:rPr>
        <w:t xml:space="preserve"> materia de protección y reparación integral a personas defensoras cuando se ven afectados como resultado de injerencias arbitrarias a través tales actividades de inteligencia.</w:t>
      </w:r>
    </w:p>
    <w:p w14:paraId="3B6D59A8" w14:textId="77777777" w:rsidR="00251530" w:rsidRPr="00E100D7" w:rsidRDefault="00251530" w:rsidP="001C27A0">
      <w:pPr>
        <w:widowControl w:val="0"/>
        <w:autoSpaceDE w:val="0"/>
        <w:autoSpaceDN w:val="0"/>
        <w:adjustRightInd w:val="0"/>
        <w:spacing w:after="0" w:line="240" w:lineRule="auto"/>
        <w:jc w:val="both"/>
        <w:rPr>
          <w:rFonts w:eastAsia="Times New Roman" w:cs="Calibri"/>
          <w:sz w:val="20"/>
          <w:szCs w:val="20"/>
          <w:lang w:val="es-CO"/>
        </w:rPr>
      </w:pPr>
    </w:p>
    <w:p w14:paraId="6D155AE5" w14:textId="77777777" w:rsidR="00251530" w:rsidRPr="00E100D7" w:rsidRDefault="00251530" w:rsidP="00B10467">
      <w:pPr>
        <w:widowControl w:val="0"/>
        <w:autoSpaceDE w:val="0"/>
        <w:autoSpaceDN w:val="0"/>
        <w:adjustRightInd w:val="0"/>
        <w:spacing w:after="0" w:line="240" w:lineRule="auto"/>
        <w:ind w:firstLine="720"/>
        <w:jc w:val="both"/>
        <w:rPr>
          <w:rFonts w:cs="Calibri"/>
          <w:sz w:val="20"/>
          <w:szCs w:val="20"/>
          <w:lang w:val="es-CO"/>
        </w:rPr>
      </w:pPr>
      <w:r w:rsidRPr="00E100D7">
        <w:rPr>
          <w:rFonts w:cs="Calibri"/>
          <w:sz w:val="20"/>
          <w:szCs w:val="20"/>
          <w:lang w:val="es-AR"/>
        </w:rPr>
        <w:t xml:space="preserve">El CV del/la perito/a ofrecido/a </w:t>
      </w:r>
      <w:r w:rsidRPr="00E100D7">
        <w:rPr>
          <w:rFonts w:cs="Calibri"/>
          <w:sz w:val="20"/>
          <w:szCs w:val="20"/>
          <w:lang w:val="es-CO"/>
        </w:rPr>
        <w:t xml:space="preserve">será incluido en los anexos al </w:t>
      </w:r>
      <w:r w:rsidR="00580556" w:rsidRPr="00E100D7">
        <w:rPr>
          <w:rFonts w:cs="Calibri"/>
          <w:sz w:val="20"/>
          <w:szCs w:val="20"/>
          <w:lang w:val="es-CO"/>
        </w:rPr>
        <w:t>I</w:t>
      </w:r>
      <w:r w:rsidRPr="00E100D7">
        <w:rPr>
          <w:rFonts w:cs="Calibri"/>
          <w:sz w:val="20"/>
          <w:szCs w:val="20"/>
          <w:lang w:val="es-CO"/>
        </w:rPr>
        <w:t xml:space="preserve">nforme de </w:t>
      </w:r>
      <w:r w:rsidR="00580556" w:rsidRPr="00E100D7">
        <w:rPr>
          <w:rFonts w:cs="Calibri"/>
          <w:sz w:val="20"/>
          <w:szCs w:val="20"/>
          <w:lang w:val="es-CO"/>
        </w:rPr>
        <w:t>F</w:t>
      </w:r>
      <w:r w:rsidRPr="00E100D7">
        <w:rPr>
          <w:rFonts w:cs="Calibri"/>
          <w:sz w:val="20"/>
          <w:szCs w:val="20"/>
          <w:lang w:val="es-CO"/>
        </w:rPr>
        <w:t xml:space="preserve">ondo </w:t>
      </w:r>
      <w:r w:rsidR="0079204A" w:rsidRPr="00E100D7">
        <w:rPr>
          <w:rFonts w:cs="Calibri"/>
          <w:sz w:val="20"/>
          <w:szCs w:val="20"/>
          <w:lang w:val="es-CO"/>
        </w:rPr>
        <w:t>No. 57</w:t>
      </w:r>
      <w:r w:rsidRPr="00E100D7">
        <w:rPr>
          <w:rFonts w:cs="Calibri"/>
          <w:sz w:val="20"/>
          <w:szCs w:val="20"/>
          <w:lang w:val="es-CO"/>
        </w:rPr>
        <w:t>/1</w:t>
      </w:r>
      <w:r w:rsidR="00580556" w:rsidRPr="00E100D7">
        <w:rPr>
          <w:rFonts w:cs="Calibri"/>
          <w:sz w:val="20"/>
          <w:szCs w:val="20"/>
          <w:lang w:val="es-CO"/>
        </w:rPr>
        <w:t>9</w:t>
      </w:r>
      <w:r w:rsidRPr="00E100D7">
        <w:rPr>
          <w:rFonts w:cs="Calibri"/>
          <w:sz w:val="20"/>
          <w:szCs w:val="20"/>
          <w:lang w:val="es-CO"/>
        </w:rPr>
        <w:t xml:space="preserve">. </w:t>
      </w:r>
      <w:r w:rsidR="002450AA" w:rsidRPr="00E100D7">
        <w:rPr>
          <w:rFonts w:cs="Calibri"/>
          <w:sz w:val="20"/>
          <w:szCs w:val="20"/>
          <w:lang w:val="es-CO"/>
        </w:rPr>
        <w:t xml:space="preserve"> </w:t>
      </w:r>
      <w:r w:rsidRPr="00E100D7">
        <w:rPr>
          <w:rFonts w:cs="Calibri"/>
          <w:sz w:val="20"/>
          <w:szCs w:val="20"/>
          <w:lang w:val="es-ES_tradnl"/>
        </w:rPr>
        <w:t xml:space="preserve">La Comisión pone en conocimiento de la Corte </w:t>
      </w:r>
      <w:r w:rsidR="008106B9" w:rsidRPr="00E100D7">
        <w:rPr>
          <w:rFonts w:cs="Calibri"/>
          <w:sz w:val="20"/>
          <w:szCs w:val="20"/>
          <w:lang w:val="es-ES_tradnl"/>
        </w:rPr>
        <w:t>los siguientes datos de quien ha actuado como peticionari</w:t>
      </w:r>
      <w:r w:rsidR="00580556" w:rsidRPr="00E100D7">
        <w:rPr>
          <w:rFonts w:cs="Calibri"/>
          <w:sz w:val="20"/>
          <w:szCs w:val="20"/>
          <w:lang w:val="es-ES_tradnl"/>
        </w:rPr>
        <w:t>a</w:t>
      </w:r>
      <w:r w:rsidR="008106B9" w:rsidRPr="00E100D7">
        <w:rPr>
          <w:rFonts w:cs="Calibri"/>
          <w:sz w:val="20"/>
          <w:szCs w:val="20"/>
          <w:lang w:val="es-ES_tradnl"/>
        </w:rPr>
        <w:t xml:space="preserve"> a lo largo del trámite interamericano: </w:t>
      </w:r>
    </w:p>
    <w:p w14:paraId="674CED5D" w14:textId="77777777" w:rsidR="00E100D7" w:rsidRPr="00E100D7" w:rsidRDefault="00E100D7" w:rsidP="00E100D7">
      <w:pPr>
        <w:spacing w:after="0" w:line="240" w:lineRule="auto"/>
        <w:jc w:val="center"/>
        <w:rPr>
          <w:rFonts w:cs="Calibri"/>
          <w:bCs/>
          <w:iCs/>
          <w:sz w:val="20"/>
          <w:szCs w:val="20"/>
          <w:lang w:val="es-ES"/>
        </w:rPr>
      </w:pPr>
      <w:r w:rsidRPr="00E100D7">
        <w:rPr>
          <w:rFonts w:cs="Calibri"/>
          <w:bCs/>
          <w:iCs/>
          <w:sz w:val="20"/>
          <w:szCs w:val="20"/>
          <w:lang w:val="es-ES"/>
        </w:rPr>
        <w:t>Corporación Colectivo de Abogados</w:t>
      </w:r>
    </w:p>
    <w:p w14:paraId="0D3AF177" w14:textId="77777777" w:rsidR="00E100D7" w:rsidRPr="00E100D7" w:rsidRDefault="00E100D7" w:rsidP="00E100D7">
      <w:pPr>
        <w:spacing w:after="0" w:line="240" w:lineRule="auto"/>
        <w:jc w:val="center"/>
        <w:rPr>
          <w:rFonts w:cs="Calibri"/>
          <w:bCs/>
          <w:iCs/>
          <w:sz w:val="20"/>
          <w:szCs w:val="20"/>
          <w:lang w:val="es-ES"/>
        </w:rPr>
      </w:pPr>
      <w:r w:rsidRPr="00E100D7">
        <w:rPr>
          <w:rFonts w:cs="Calibri"/>
          <w:bCs/>
          <w:iCs/>
          <w:sz w:val="20"/>
          <w:szCs w:val="20"/>
          <w:lang w:val="es-ES"/>
        </w:rPr>
        <w:t>José Alvear Restrepo - CAJAR</w:t>
      </w:r>
    </w:p>
    <w:p w14:paraId="294E0C31" w14:textId="77777777" w:rsidR="00E100D7" w:rsidRPr="00E266B4" w:rsidRDefault="00E266B4" w:rsidP="00E100D7">
      <w:pPr>
        <w:spacing w:after="0" w:line="240" w:lineRule="auto"/>
        <w:jc w:val="center"/>
        <w:rPr>
          <w:rFonts w:cs="Calibri"/>
          <w:bCs/>
          <w:iCs/>
          <w:sz w:val="20"/>
          <w:szCs w:val="20"/>
          <w:highlight w:val="black"/>
          <w:lang w:val="es-ES"/>
        </w:rPr>
      </w:pPr>
      <w:r w:rsidRPr="00E266B4">
        <w:rPr>
          <w:rFonts w:cs="Calibri"/>
          <w:bCs/>
          <w:iCs/>
          <w:sz w:val="20"/>
          <w:szCs w:val="20"/>
          <w:highlight w:val="black"/>
          <w:lang w:val="es-ES"/>
        </w:rPr>
        <w:t>XXXXXXXXXXXXXXXXXXXXXXXX</w:t>
      </w:r>
    </w:p>
    <w:p w14:paraId="323682DA" w14:textId="77777777" w:rsidR="00E100D7" w:rsidRPr="00E266B4" w:rsidRDefault="00E266B4" w:rsidP="00E100D7">
      <w:pPr>
        <w:spacing w:after="0" w:line="240" w:lineRule="auto"/>
        <w:jc w:val="center"/>
        <w:rPr>
          <w:rFonts w:cs="Calibri"/>
          <w:bCs/>
          <w:iCs/>
          <w:sz w:val="20"/>
          <w:szCs w:val="20"/>
          <w:highlight w:val="black"/>
          <w:lang w:val="es-ES"/>
        </w:rPr>
      </w:pPr>
      <w:r w:rsidRPr="00E266B4">
        <w:rPr>
          <w:rFonts w:cs="Calibri"/>
          <w:bCs/>
          <w:iCs/>
          <w:sz w:val="20"/>
          <w:szCs w:val="20"/>
          <w:highlight w:val="black"/>
          <w:lang w:val="es-ES"/>
        </w:rPr>
        <w:t>XXXXXXXXXXXXXXXXXXXXXXXXXXXXXX</w:t>
      </w:r>
    </w:p>
    <w:p w14:paraId="7046B0DF" w14:textId="77777777" w:rsidR="00E100D7" w:rsidRPr="00E266B4" w:rsidRDefault="00E266B4" w:rsidP="00E100D7">
      <w:pPr>
        <w:spacing w:after="0" w:line="240" w:lineRule="auto"/>
        <w:jc w:val="center"/>
        <w:rPr>
          <w:rFonts w:cs="Calibri"/>
          <w:bCs/>
          <w:iCs/>
          <w:sz w:val="20"/>
          <w:szCs w:val="20"/>
          <w:highlight w:val="black"/>
          <w:lang w:val="es-ES"/>
        </w:rPr>
      </w:pPr>
      <w:r w:rsidRPr="00E266B4">
        <w:rPr>
          <w:rFonts w:cs="Calibri"/>
          <w:bCs/>
          <w:iCs/>
          <w:sz w:val="20"/>
          <w:szCs w:val="20"/>
          <w:highlight w:val="black"/>
          <w:lang w:val="es-ES"/>
        </w:rPr>
        <w:t>XXXXXXXXXXXXXXXXXXXXXX</w:t>
      </w:r>
    </w:p>
    <w:p w14:paraId="62FC4662" w14:textId="77777777" w:rsidR="00E100D7" w:rsidRPr="00E100D7" w:rsidRDefault="00E100D7" w:rsidP="00E100D7">
      <w:pPr>
        <w:spacing w:after="0" w:line="240" w:lineRule="auto"/>
        <w:jc w:val="center"/>
        <w:rPr>
          <w:rFonts w:cs="Calibri"/>
          <w:bCs/>
          <w:iCs/>
          <w:sz w:val="20"/>
          <w:szCs w:val="20"/>
          <w:lang w:val="es-ES"/>
        </w:rPr>
      </w:pPr>
    </w:p>
    <w:p w14:paraId="032502AF" w14:textId="77777777" w:rsidR="00E100D7" w:rsidRPr="00E100D7" w:rsidRDefault="00E100D7" w:rsidP="00E100D7">
      <w:pPr>
        <w:spacing w:after="0" w:line="240" w:lineRule="auto"/>
        <w:jc w:val="center"/>
        <w:rPr>
          <w:rFonts w:cs="Calibri"/>
          <w:bCs/>
          <w:iCs/>
          <w:sz w:val="20"/>
          <w:szCs w:val="20"/>
          <w:lang w:val="es-ES"/>
        </w:rPr>
      </w:pPr>
      <w:r w:rsidRPr="00E100D7">
        <w:rPr>
          <w:rFonts w:cs="Calibri"/>
          <w:bCs/>
          <w:iCs/>
          <w:sz w:val="20"/>
          <w:szCs w:val="20"/>
          <w:lang w:val="es-ES"/>
        </w:rPr>
        <w:t>Centro por la Justicia y el Derecho Internacional</w:t>
      </w:r>
    </w:p>
    <w:p w14:paraId="3DE4A853" w14:textId="77777777" w:rsidR="00E100D7" w:rsidRPr="00E266B4" w:rsidRDefault="00E266B4" w:rsidP="00E100D7">
      <w:pPr>
        <w:spacing w:after="0" w:line="240" w:lineRule="auto"/>
        <w:jc w:val="center"/>
        <w:rPr>
          <w:rFonts w:cs="Calibri"/>
          <w:bCs/>
          <w:iCs/>
          <w:sz w:val="20"/>
          <w:szCs w:val="20"/>
          <w:highlight w:val="black"/>
          <w:lang w:val="es-ES"/>
        </w:rPr>
      </w:pPr>
      <w:r w:rsidRPr="00E266B4">
        <w:rPr>
          <w:rFonts w:cs="Calibri"/>
          <w:bCs/>
          <w:iCs/>
          <w:sz w:val="20"/>
          <w:szCs w:val="20"/>
          <w:highlight w:val="black"/>
          <w:lang w:val="es-ES"/>
        </w:rPr>
        <w:t>XXXXXXXXXXXXXXXXXXXXXXXXXXXXXX</w:t>
      </w:r>
    </w:p>
    <w:p w14:paraId="081A4D34" w14:textId="77777777" w:rsidR="00E100D7" w:rsidRPr="00E100D7" w:rsidRDefault="00E100D7" w:rsidP="00E100D7">
      <w:pPr>
        <w:spacing w:after="0" w:line="240" w:lineRule="auto"/>
        <w:jc w:val="center"/>
        <w:rPr>
          <w:rFonts w:cs="Calibri"/>
          <w:bCs/>
          <w:iCs/>
          <w:sz w:val="20"/>
          <w:szCs w:val="20"/>
          <w:lang w:val="es-ES"/>
        </w:rPr>
      </w:pPr>
    </w:p>
    <w:p w14:paraId="74106E39" w14:textId="77777777" w:rsidR="00E100D7" w:rsidRPr="00E100D7" w:rsidRDefault="00E100D7" w:rsidP="00E100D7">
      <w:pPr>
        <w:spacing w:after="0" w:line="240" w:lineRule="auto"/>
        <w:jc w:val="center"/>
        <w:rPr>
          <w:rFonts w:cs="Calibri"/>
          <w:bCs/>
          <w:iCs/>
          <w:sz w:val="20"/>
          <w:szCs w:val="20"/>
          <w:lang w:val="es-ES"/>
        </w:rPr>
      </w:pPr>
      <w:r w:rsidRPr="00E100D7">
        <w:rPr>
          <w:rFonts w:cs="Calibri"/>
          <w:bCs/>
          <w:iCs/>
          <w:sz w:val="20"/>
          <w:szCs w:val="20"/>
          <w:lang w:val="es-ES"/>
        </w:rPr>
        <w:t>Rafael Barrios</w:t>
      </w:r>
    </w:p>
    <w:p w14:paraId="35617299" w14:textId="77777777" w:rsidR="00E100D7" w:rsidRPr="00E266B4" w:rsidRDefault="00E266B4" w:rsidP="00E100D7">
      <w:pPr>
        <w:spacing w:after="0" w:line="240" w:lineRule="auto"/>
        <w:jc w:val="center"/>
        <w:rPr>
          <w:rFonts w:cs="Calibri"/>
          <w:bCs/>
          <w:iCs/>
          <w:sz w:val="20"/>
          <w:szCs w:val="20"/>
          <w:highlight w:val="black"/>
          <w:lang w:val="es-ES"/>
        </w:rPr>
      </w:pPr>
      <w:r w:rsidRPr="00E266B4">
        <w:rPr>
          <w:rFonts w:cs="Calibri"/>
          <w:bCs/>
          <w:iCs/>
          <w:sz w:val="20"/>
          <w:szCs w:val="20"/>
          <w:highlight w:val="black"/>
          <w:lang w:val="es-ES"/>
        </w:rPr>
        <w:t>XXXXXXXXXXXXXXXXXXXXXXX</w:t>
      </w:r>
    </w:p>
    <w:p w14:paraId="76763504" w14:textId="77777777" w:rsidR="00742334" w:rsidRPr="00E100D7" w:rsidRDefault="00742334" w:rsidP="00B10467">
      <w:pPr>
        <w:autoSpaceDE w:val="0"/>
        <w:autoSpaceDN w:val="0"/>
        <w:adjustRightInd w:val="0"/>
        <w:spacing w:after="0" w:line="240" w:lineRule="auto"/>
        <w:jc w:val="center"/>
        <w:rPr>
          <w:rFonts w:cs="Calibri"/>
          <w:sz w:val="20"/>
          <w:szCs w:val="20"/>
          <w:lang w:val="es-ES_tradnl"/>
        </w:rPr>
      </w:pPr>
    </w:p>
    <w:p w14:paraId="2FDCC7B3" w14:textId="77777777" w:rsidR="00E100D7" w:rsidRPr="00E100D7" w:rsidRDefault="00E100D7" w:rsidP="00B10467">
      <w:pPr>
        <w:autoSpaceDE w:val="0"/>
        <w:autoSpaceDN w:val="0"/>
        <w:adjustRightInd w:val="0"/>
        <w:spacing w:after="0" w:line="240" w:lineRule="auto"/>
        <w:jc w:val="center"/>
        <w:rPr>
          <w:rFonts w:cs="Calibri"/>
          <w:sz w:val="20"/>
          <w:szCs w:val="20"/>
          <w:lang w:val="es-ES_tradnl"/>
        </w:rPr>
      </w:pPr>
    </w:p>
    <w:p w14:paraId="43E5F193" w14:textId="77777777" w:rsidR="00251530" w:rsidRPr="00E100D7" w:rsidRDefault="00251530" w:rsidP="00B10467">
      <w:pPr>
        <w:tabs>
          <w:tab w:val="left" w:pos="0"/>
        </w:tabs>
        <w:spacing w:after="0" w:line="240" w:lineRule="auto"/>
        <w:ind w:firstLine="720"/>
        <w:jc w:val="both"/>
        <w:rPr>
          <w:rFonts w:cs="Calibri"/>
          <w:sz w:val="20"/>
          <w:szCs w:val="20"/>
          <w:lang w:val="es-CO"/>
        </w:rPr>
      </w:pPr>
      <w:r w:rsidRPr="00E100D7">
        <w:rPr>
          <w:rFonts w:cs="Calibri"/>
          <w:sz w:val="20"/>
          <w:szCs w:val="20"/>
          <w:lang w:val="es-CO"/>
        </w:rPr>
        <w:t>Aprovecho la oportunidad para saludar a usted muy atentamente,</w:t>
      </w:r>
    </w:p>
    <w:p w14:paraId="67715C2E" w14:textId="77777777" w:rsidR="00251530" w:rsidRPr="00E100D7" w:rsidRDefault="00251530" w:rsidP="00E100D7">
      <w:pPr>
        <w:suppressAutoHyphens/>
        <w:spacing w:after="0" w:line="240" w:lineRule="auto"/>
        <w:jc w:val="center"/>
        <w:rPr>
          <w:rFonts w:cs="Calibri"/>
          <w:snapToGrid w:val="0"/>
          <w:sz w:val="20"/>
          <w:szCs w:val="20"/>
          <w:lang w:val="es-CO"/>
        </w:rPr>
      </w:pPr>
    </w:p>
    <w:p w14:paraId="02EA515E" w14:textId="77777777" w:rsidR="00251530" w:rsidRPr="00E100D7" w:rsidRDefault="00580556" w:rsidP="0079204A">
      <w:pPr>
        <w:suppressAutoHyphens/>
        <w:spacing w:after="0" w:line="240" w:lineRule="auto"/>
        <w:jc w:val="center"/>
        <w:rPr>
          <w:rFonts w:cs="Calibri"/>
          <w:snapToGrid w:val="0"/>
          <w:sz w:val="20"/>
          <w:szCs w:val="20"/>
          <w:lang w:val="es-CO"/>
        </w:rPr>
      </w:pPr>
      <w:r w:rsidRPr="00E100D7">
        <w:rPr>
          <w:rFonts w:cs="Calibri"/>
          <w:snapToGrid w:val="0"/>
          <w:sz w:val="20"/>
          <w:szCs w:val="20"/>
          <w:lang w:val="es-CO"/>
        </w:rPr>
        <w:t>Marisol Blanchard</w:t>
      </w:r>
    </w:p>
    <w:p w14:paraId="724031E7" w14:textId="77777777" w:rsidR="007E2CE9" w:rsidRPr="00E100D7" w:rsidRDefault="00DA4AD1" w:rsidP="00E100D7">
      <w:pPr>
        <w:suppressAutoHyphens/>
        <w:spacing w:after="0" w:line="240" w:lineRule="auto"/>
        <w:jc w:val="center"/>
        <w:rPr>
          <w:rFonts w:cs="Calibri"/>
          <w:sz w:val="20"/>
          <w:szCs w:val="20"/>
          <w:lang w:val="es-CO"/>
        </w:rPr>
      </w:pPr>
      <w:r w:rsidRPr="00E100D7">
        <w:rPr>
          <w:rFonts w:cs="Calibri"/>
          <w:snapToGrid w:val="0"/>
          <w:sz w:val="20"/>
          <w:szCs w:val="20"/>
          <w:lang w:val="es-CO"/>
        </w:rPr>
        <w:t>Secretaria Ejecutiva Adjunta</w:t>
      </w:r>
    </w:p>
    <w:sectPr w:rsidR="007E2CE9" w:rsidRPr="00E100D7" w:rsidSect="005B4D9B">
      <w:headerReference w:type="default" r:id="rId8"/>
      <w:footerReference w:type="default" r:id="rId9"/>
      <w:type w:val="continuous"/>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E43FB" w14:textId="77777777" w:rsidR="00381217" w:rsidRDefault="00381217">
      <w:pPr>
        <w:spacing w:after="0" w:line="240" w:lineRule="auto"/>
      </w:pPr>
      <w:r>
        <w:separator/>
      </w:r>
    </w:p>
  </w:endnote>
  <w:endnote w:type="continuationSeparator" w:id="0">
    <w:p w14:paraId="7B205C21" w14:textId="77777777" w:rsidR="00381217" w:rsidRDefault="0038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E06B6" w14:textId="77777777" w:rsidR="002B28F1" w:rsidRDefault="002B28F1" w:rsidP="0062724F">
    <w:pPr>
      <w:pStyle w:val="Piedepgina"/>
      <w:spacing w:line="360" w:lineRule="auto"/>
    </w:pPr>
    <w:r>
      <w:pict w14:anchorId="0350A0A1">
        <v:rect id="_x0000_i1026" style="width:0;height:1.5pt" o:hralign="center" o:hrstd="t" o:hr="t" fillcolor="#a0a0a0" stroked="f"/>
      </w:pict>
    </w:r>
  </w:p>
  <w:p w14:paraId="02643AC7" w14:textId="74742E68" w:rsidR="002B28F1" w:rsidRDefault="00015E59" w:rsidP="0062724F">
    <w:pPr>
      <w:pStyle w:val="Piedepgina"/>
      <w:jc w:val="center"/>
    </w:pPr>
    <w:r w:rsidRPr="008A5CB5">
      <w:rPr>
        <w:noProof/>
      </w:rPr>
      <w:drawing>
        <wp:inline distT="0" distB="0" distL="0" distR="0" wp14:anchorId="72527CE1" wp14:editId="45A20A5B">
          <wp:extent cx="5114925" cy="323850"/>
          <wp:effectExtent l="0" t="0" r="0" b="0"/>
          <wp:docPr id="5"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ED0D8" w14:textId="77777777" w:rsidR="00381217" w:rsidRDefault="00381217">
      <w:pPr>
        <w:spacing w:after="0" w:line="240" w:lineRule="auto"/>
      </w:pPr>
      <w:r>
        <w:separator/>
      </w:r>
    </w:p>
  </w:footnote>
  <w:footnote w:type="continuationSeparator" w:id="0">
    <w:p w14:paraId="5B3FCA9F" w14:textId="77777777" w:rsidR="00381217" w:rsidRDefault="00381217">
      <w:pPr>
        <w:spacing w:after="0" w:line="240" w:lineRule="auto"/>
      </w:pPr>
      <w:r>
        <w:continuationSeparator/>
      </w:r>
    </w:p>
  </w:footnote>
  <w:footnote w:id="1">
    <w:p w14:paraId="472F0114" w14:textId="77777777" w:rsidR="002B28F1" w:rsidRPr="004E1087" w:rsidRDefault="002B28F1" w:rsidP="009A6CE1">
      <w:pPr>
        <w:pStyle w:val="Textonotapie"/>
        <w:spacing w:after="0" w:line="240" w:lineRule="auto"/>
        <w:jc w:val="both"/>
        <w:rPr>
          <w:sz w:val="16"/>
          <w:szCs w:val="16"/>
          <w:lang w:val="es-ES_tradnl"/>
        </w:rPr>
      </w:pPr>
      <w:r w:rsidRPr="009A6CE1">
        <w:rPr>
          <w:rStyle w:val="Refdenotaalpie"/>
          <w:rFonts w:ascii="Cambria" w:hAnsi="Cambria"/>
          <w:sz w:val="16"/>
          <w:szCs w:val="16"/>
        </w:rPr>
        <w:footnoteRef/>
      </w:r>
      <w:r w:rsidRPr="009A6CE1">
        <w:rPr>
          <w:rFonts w:ascii="Cambria" w:hAnsi="Cambria"/>
          <w:sz w:val="16"/>
          <w:szCs w:val="16"/>
          <w:lang w:val="es-US"/>
        </w:rPr>
        <w:t xml:space="preserve"> </w:t>
      </w:r>
      <w:r w:rsidRPr="009A6CE1">
        <w:rPr>
          <w:rFonts w:ascii="Cambria" w:hAnsi="Cambria"/>
          <w:sz w:val="16"/>
          <w:szCs w:val="16"/>
          <w:lang w:val="es-ES_tradnl"/>
        </w:rPr>
        <w:t>La CIDH toma nota de que el Estado indicó que Astrid Pilar Sánchez, debido a su condición de cuñada de Soraya Gutiérrez, no resultaría un familiar directo y sería requerido probar la afectación causada.</w:t>
      </w:r>
      <w:r w:rsidRPr="00524270">
        <w:rPr>
          <w:rFonts w:ascii="Cambria" w:hAnsi="Cambria"/>
          <w:sz w:val="16"/>
          <w:szCs w:val="16"/>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A35D1" w14:textId="670A3507" w:rsidR="002B28F1" w:rsidRDefault="00015E59" w:rsidP="0062724F">
    <w:pPr>
      <w:pStyle w:val="Encabezado"/>
    </w:pPr>
    <w:r w:rsidRPr="008A5CB5">
      <w:rPr>
        <w:noProof/>
      </w:rPr>
      <w:drawing>
        <wp:inline distT="0" distB="0" distL="0" distR="0" wp14:anchorId="0A98F23B" wp14:editId="7D55FE50">
          <wp:extent cx="2352675" cy="457200"/>
          <wp:effectExtent l="0" t="0" r="0" b="0"/>
          <wp:docPr id="3"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2B28F1">
      <w:tab/>
      <w:t xml:space="preserve">                                                                            </w:t>
    </w:r>
    <w:r w:rsidRPr="008A5CB5">
      <w:rPr>
        <w:noProof/>
      </w:rPr>
      <w:drawing>
        <wp:inline distT="0" distB="0" distL="0" distR="0" wp14:anchorId="28918971" wp14:editId="15A4A1BF">
          <wp:extent cx="1647825" cy="476250"/>
          <wp:effectExtent l="0" t="0" r="0" b="0"/>
          <wp:docPr id="4"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5C9F5948" w14:textId="77777777" w:rsidR="002B28F1" w:rsidRDefault="002B28F1" w:rsidP="0062724F">
    <w:pPr>
      <w:pStyle w:val="Encabezado"/>
    </w:pPr>
    <w:r>
      <w:pict w14:anchorId="2FA90C7B">
        <v:rect id="_x0000_i1025" style="width:0;height:1.5pt" o:hralign="center" o:hrstd="t" o:hr="t" fillcolor="#a0a0a0" stroked="f"/>
      </w:pict>
    </w:r>
  </w:p>
  <w:p w14:paraId="68310E7F" w14:textId="77777777" w:rsidR="002B28F1" w:rsidRDefault="002B28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52BB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2A4834"/>
    <w:multiLevelType w:val="hybridMultilevel"/>
    <w:tmpl w:val="8DF0B26A"/>
    <w:lvl w:ilvl="0" w:tplc="91A00AB4">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B7EC2"/>
    <w:multiLevelType w:val="hybridMultilevel"/>
    <w:tmpl w:val="5576FD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0D2FE4"/>
    <w:multiLevelType w:val="hybridMultilevel"/>
    <w:tmpl w:val="41B64F82"/>
    <w:lvl w:ilvl="0" w:tplc="221ABA5E">
      <w:start w:val="8"/>
      <w:numFmt w:val="bullet"/>
      <w:lvlText w:val="-"/>
      <w:lvlJc w:val="left"/>
      <w:pPr>
        <w:ind w:left="1080" w:hanging="360"/>
      </w:pPr>
      <w:rPr>
        <w:rFonts w:ascii="Cambria" w:eastAsia="Calibri" w:hAnsi="Cambria"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83EE9"/>
    <w:multiLevelType w:val="hybridMultilevel"/>
    <w:tmpl w:val="F7CE1F14"/>
    <w:lvl w:ilvl="0" w:tplc="C32AB916">
      <w:start w:val="1"/>
      <w:numFmt w:val="decimal"/>
      <w:lvlText w:val="%1."/>
      <w:lvlJc w:val="left"/>
      <w:pPr>
        <w:tabs>
          <w:tab w:val="num" w:pos="142"/>
        </w:tabs>
        <w:ind w:left="-578" w:firstLine="720"/>
      </w:pPr>
      <w:rPr>
        <w:rFonts w:ascii="Cambria" w:hAnsi="Cambria" w:hint="default"/>
        <w:b w:val="0"/>
        <w:i w:val="0"/>
        <w:color w:val="auto"/>
        <w:sz w:val="20"/>
        <w:szCs w:val="20"/>
        <w:lang w:val="es-ES"/>
      </w:rPr>
    </w:lvl>
    <w:lvl w:ilvl="1" w:tplc="1B26FCC0">
      <w:start w:val="25"/>
      <w:numFmt w:val="decimal"/>
      <w:lvlText w:val="%2."/>
      <w:lvlJc w:val="left"/>
      <w:pPr>
        <w:tabs>
          <w:tab w:val="num" w:pos="2520"/>
        </w:tabs>
        <w:ind w:left="2520" w:hanging="1440"/>
      </w:pPr>
      <w:rPr>
        <w:rFonts w:hint="default"/>
      </w:rPr>
    </w:lvl>
    <w:lvl w:ilvl="2" w:tplc="C6CE5EFA">
      <w:start w:val="1"/>
      <w:numFmt w:val="lowerLetter"/>
      <w:lvlText w:val="%3)"/>
      <w:lvlJc w:val="left"/>
      <w:pPr>
        <w:tabs>
          <w:tab w:val="num" w:pos="1080"/>
        </w:tabs>
        <w:ind w:left="108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CC5DE7"/>
    <w:multiLevelType w:val="hybridMultilevel"/>
    <w:tmpl w:val="5B309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146B17"/>
    <w:multiLevelType w:val="hybridMultilevel"/>
    <w:tmpl w:val="E286D0CA"/>
    <w:lvl w:ilvl="0" w:tplc="A31CD6B4">
      <w:start w:val="1"/>
      <w:numFmt w:val="decimal"/>
      <w:lvlText w:val="%1."/>
      <w:lvlJc w:val="left"/>
      <w:pPr>
        <w:tabs>
          <w:tab w:val="num" w:pos="2340"/>
        </w:tabs>
        <w:ind w:left="2340" w:hanging="1440"/>
      </w:pPr>
      <w:rPr>
        <w:rFonts w:ascii="Cambria" w:hAnsi="Cambria" w:hint="default"/>
        <w:b w:val="0"/>
        <w:i w:val="0"/>
        <w:sz w:val="20"/>
        <w:szCs w:val="20"/>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709F4CF0"/>
    <w:multiLevelType w:val="multilevel"/>
    <w:tmpl w:val="44BC761E"/>
    <w:lvl w:ilvl="0">
      <w:start w:val="1"/>
      <w:numFmt w:val="decimal"/>
      <w:lvlText w:val="%1."/>
      <w:lvlJc w:val="left"/>
      <w:pPr>
        <w:ind w:left="1080" w:hanging="360"/>
      </w:pPr>
      <w:rPr>
        <w:rFonts w:hint="default"/>
      </w:rPr>
    </w:lvl>
    <w:lvl w:ilvl="1">
      <w:start w:val="14"/>
      <w:numFmt w:val="decimal"/>
      <w:isLgl/>
      <w:lvlText w:val="%1.%2."/>
      <w:lvlJc w:val="left"/>
      <w:pPr>
        <w:ind w:left="1170" w:hanging="450"/>
      </w:pPr>
      <w:rPr>
        <w:rFonts w:eastAsia="Arial Unicode MS" w:cs="Times New Roman" w:hint="default"/>
        <w:color w:val="auto"/>
      </w:rPr>
    </w:lvl>
    <w:lvl w:ilvl="2">
      <w:start w:val="1"/>
      <w:numFmt w:val="decimal"/>
      <w:isLgl/>
      <w:lvlText w:val="%1.%2.%3."/>
      <w:lvlJc w:val="left"/>
      <w:pPr>
        <w:ind w:left="1440" w:hanging="720"/>
      </w:pPr>
      <w:rPr>
        <w:rFonts w:eastAsia="Arial Unicode MS" w:cs="Times New Roman" w:hint="default"/>
        <w:color w:val="auto"/>
      </w:rPr>
    </w:lvl>
    <w:lvl w:ilvl="3">
      <w:start w:val="1"/>
      <w:numFmt w:val="decimal"/>
      <w:isLgl/>
      <w:lvlText w:val="%1.%2.%3.%4."/>
      <w:lvlJc w:val="left"/>
      <w:pPr>
        <w:ind w:left="1440" w:hanging="720"/>
      </w:pPr>
      <w:rPr>
        <w:rFonts w:eastAsia="Arial Unicode MS" w:cs="Times New Roman" w:hint="default"/>
        <w:color w:val="auto"/>
      </w:rPr>
    </w:lvl>
    <w:lvl w:ilvl="4">
      <w:start w:val="1"/>
      <w:numFmt w:val="decimal"/>
      <w:isLgl/>
      <w:lvlText w:val="%1.%2.%3.%4.%5."/>
      <w:lvlJc w:val="left"/>
      <w:pPr>
        <w:ind w:left="1800" w:hanging="1080"/>
      </w:pPr>
      <w:rPr>
        <w:rFonts w:eastAsia="Arial Unicode MS" w:cs="Times New Roman" w:hint="default"/>
        <w:color w:val="auto"/>
      </w:rPr>
    </w:lvl>
    <w:lvl w:ilvl="5">
      <w:start w:val="1"/>
      <w:numFmt w:val="decimal"/>
      <w:isLgl/>
      <w:lvlText w:val="%1.%2.%3.%4.%5.%6."/>
      <w:lvlJc w:val="left"/>
      <w:pPr>
        <w:ind w:left="1800" w:hanging="1080"/>
      </w:pPr>
      <w:rPr>
        <w:rFonts w:eastAsia="Arial Unicode MS" w:cs="Times New Roman" w:hint="default"/>
        <w:color w:val="auto"/>
      </w:rPr>
    </w:lvl>
    <w:lvl w:ilvl="6">
      <w:start w:val="1"/>
      <w:numFmt w:val="decimal"/>
      <w:isLgl/>
      <w:lvlText w:val="%1.%2.%3.%4.%5.%6.%7."/>
      <w:lvlJc w:val="left"/>
      <w:pPr>
        <w:ind w:left="2160" w:hanging="1440"/>
      </w:pPr>
      <w:rPr>
        <w:rFonts w:eastAsia="Arial Unicode MS" w:cs="Times New Roman" w:hint="default"/>
        <w:color w:val="auto"/>
      </w:rPr>
    </w:lvl>
    <w:lvl w:ilvl="7">
      <w:start w:val="1"/>
      <w:numFmt w:val="decimal"/>
      <w:isLgl/>
      <w:lvlText w:val="%1.%2.%3.%4.%5.%6.%7.%8."/>
      <w:lvlJc w:val="left"/>
      <w:pPr>
        <w:ind w:left="2160" w:hanging="1440"/>
      </w:pPr>
      <w:rPr>
        <w:rFonts w:eastAsia="Arial Unicode MS" w:cs="Times New Roman" w:hint="default"/>
        <w:color w:val="auto"/>
      </w:rPr>
    </w:lvl>
    <w:lvl w:ilvl="8">
      <w:start w:val="1"/>
      <w:numFmt w:val="decimal"/>
      <w:isLgl/>
      <w:lvlText w:val="%1.%2.%3.%4.%5.%6.%7.%8.%9."/>
      <w:lvlJc w:val="left"/>
      <w:pPr>
        <w:ind w:left="2520" w:hanging="1800"/>
      </w:pPr>
      <w:rPr>
        <w:rFonts w:eastAsia="Arial Unicode MS" w:cs="Times New Roman" w:hint="default"/>
        <w:color w:val="auto"/>
      </w:rPr>
    </w:lvl>
  </w:abstractNum>
  <w:num w:numId="1">
    <w:abstractNumId w:val="9"/>
  </w:num>
  <w:num w:numId="2">
    <w:abstractNumId w:val="1"/>
  </w:num>
  <w:num w:numId="3">
    <w:abstractNumId w:val="4"/>
  </w:num>
  <w:num w:numId="4">
    <w:abstractNumId w:val="0"/>
  </w:num>
  <w:num w:numId="5">
    <w:abstractNumId w:val="6"/>
  </w:num>
  <w:num w:numId="6">
    <w:abstractNumId w:val="8"/>
  </w:num>
  <w:num w:numId="7">
    <w:abstractNumId w:val="3"/>
  </w:num>
  <w:num w:numId="8">
    <w:abstractNumId w:val="5"/>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30"/>
    <w:rsid w:val="00015E59"/>
    <w:rsid w:val="00041929"/>
    <w:rsid w:val="00056D2B"/>
    <w:rsid w:val="000731F0"/>
    <w:rsid w:val="00077699"/>
    <w:rsid w:val="0008211C"/>
    <w:rsid w:val="000933BD"/>
    <w:rsid w:val="000A4D7C"/>
    <w:rsid w:val="000C6AFC"/>
    <w:rsid w:val="000D37AC"/>
    <w:rsid w:val="000F4D9B"/>
    <w:rsid w:val="00104BFA"/>
    <w:rsid w:val="00113BFB"/>
    <w:rsid w:val="001531FF"/>
    <w:rsid w:val="00157876"/>
    <w:rsid w:val="001C27A0"/>
    <w:rsid w:val="001C2CC9"/>
    <w:rsid w:val="001E7791"/>
    <w:rsid w:val="002046C2"/>
    <w:rsid w:val="002366E8"/>
    <w:rsid w:val="002450AA"/>
    <w:rsid w:val="00245966"/>
    <w:rsid w:val="00251530"/>
    <w:rsid w:val="00274A40"/>
    <w:rsid w:val="002972D3"/>
    <w:rsid w:val="002B061F"/>
    <w:rsid w:val="002B28F1"/>
    <w:rsid w:val="002C1B58"/>
    <w:rsid w:val="002C22E4"/>
    <w:rsid w:val="002E57DC"/>
    <w:rsid w:val="003136C4"/>
    <w:rsid w:val="003175D8"/>
    <w:rsid w:val="00337695"/>
    <w:rsid w:val="00342E3D"/>
    <w:rsid w:val="00374388"/>
    <w:rsid w:val="00381217"/>
    <w:rsid w:val="0038611D"/>
    <w:rsid w:val="00392CF0"/>
    <w:rsid w:val="003B00EE"/>
    <w:rsid w:val="003B657C"/>
    <w:rsid w:val="003C1FC0"/>
    <w:rsid w:val="003E77F3"/>
    <w:rsid w:val="003F281D"/>
    <w:rsid w:val="003F7110"/>
    <w:rsid w:val="00422D3F"/>
    <w:rsid w:val="00430A84"/>
    <w:rsid w:val="004324DF"/>
    <w:rsid w:val="00436158"/>
    <w:rsid w:val="004538D7"/>
    <w:rsid w:val="0045699E"/>
    <w:rsid w:val="00465116"/>
    <w:rsid w:val="00485836"/>
    <w:rsid w:val="004A5EBE"/>
    <w:rsid w:val="004B4076"/>
    <w:rsid w:val="004C6BEC"/>
    <w:rsid w:val="004C6C4F"/>
    <w:rsid w:val="004E1087"/>
    <w:rsid w:val="004E4A7E"/>
    <w:rsid w:val="005074E4"/>
    <w:rsid w:val="00515874"/>
    <w:rsid w:val="00524270"/>
    <w:rsid w:val="0055690C"/>
    <w:rsid w:val="00580556"/>
    <w:rsid w:val="005A32EA"/>
    <w:rsid w:val="005B4D9B"/>
    <w:rsid w:val="0062724F"/>
    <w:rsid w:val="006458EC"/>
    <w:rsid w:val="00656249"/>
    <w:rsid w:val="00673082"/>
    <w:rsid w:val="0067480C"/>
    <w:rsid w:val="006A6638"/>
    <w:rsid w:val="006B06C1"/>
    <w:rsid w:val="006B40F2"/>
    <w:rsid w:val="006C35FB"/>
    <w:rsid w:val="00722BCA"/>
    <w:rsid w:val="00736188"/>
    <w:rsid w:val="00742334"/>
    <w:rsid w:val="00767063"/>
    <w:rsid w:val="0077407E"/>
    <w:rsid w:val="0079151B"/>
    <w:rsid w:val="0079204A"/>
    <w:rsid w:val="007C7908"/>
    <w:rsid w:val="007E2CE9"/>
    <w:rsid w:val="007E62C8"/>
    <w:rsid w:val="007F16F7"/>
    <w:rsid w:val="00803314"/>
    <w:rsid w:val="008106B9"/>
    <w:rsid w:val="00825FE0"/>
    <w:rsid w:val="0082634B"/>
    <w:rsid w:val="0083438B"/>
    <w:rsid w:val="00841921"/>
    <w:rsid w:val="00852398"/>
    <w:rsid w:val="0086406A"/>
    <w:rsid w:val="008649BB"/>
    <w:rsid w:val="00867FAB"/>
    <w:rsid w:val="008B02C6"/>
    <w:rsid w:val="008D6BD7"/>
    <w:rsid w:val="008E29E9"/>
    <w:rsid w:val="008E3FAA"/>
    <w:rsid w:val="008F541D"/>
    <w:rsid w:val="0090394C"/>
    <w:rsid w:val="0091534B"/>
    <w:rsid w:val="00927010"/>
    <w:rsid w:val="009514D6"/>
    <w:rsid w:val="00964313"/>
    <w:rsid w:val="00965D81"/>
    <w:rsid w:val="009734F0"/>
    <w:rsid w:val="009879DE"/>
    <w:rsid w:val="009A00C9"/>
    <w:rsid w:val="009A6CE1"/>
    <w:rsid w:val="009C16A6"/>
    <w:rsid w:val="009D5DC6"/>
    <w:rsid w:val="009E6BEB"/>
    <w:rsid w:val="00A017AF"/>
    <w:rsid w:val="00A200F1"/>
    <w:rsid w:val="00A30255"/>
    <w:rsid w:val="00A30FC7"/>
    <w:rsid w:val="00A33161"/>
    <w:rsid w:val="00A40D90"/>
    <w:rsid w:val="00A50962"/>
    <w:rsid w:val="00A50DDA"/>
    <w:rsid w:val="00A60B0E"/>
    <w:rsid w:val="00A6337C"/>
    <w:rsid w:val="00A71EEE"/>
    <w:rsid w:val="00A77006"/>
    <w:rsid w:val="00AC54A8"/>
    <w:rsid w:val="00AE355D"/>
    <w:rsid w:val="00AF21ED"/>
    <w:rsid w:val="00B00EF0"/>
    <w:rsid w:val="00B10467"/>
    <w:rsid w:val="00B16D85"/>
    <w:rsid w:val="00B27334"/>
    <w:rsid w:val="00B351E4"/>
    <w:rsid w:val="00BB4EBF"/>
    <w:rsid w:val="00BC65EB"/>
    <w:rsid w:val="00BD19E3"/>
    <w:rsid w:val="00BE30DC"/>
    <w:rsid w:val="00BE389D"/>
    <w:rsid w:val="00BE39C8"/>
    <w:rsid w:val="00BE3F28"/>
    <w:rsid w:val="00BE6C52"/>
    <w:rsid w:val="00C11A15"/>
    <w:rsid w:val="00C17BD2"/>
    <w:rsid w:val="00C70144"/>
    <w:rsid w:val="00C75663"/>
    <w:rsid w:val="00CB36B9"/>
    <w:rsid w:val="00CE3CE3"/>
    <w:rsid w:val="00CF1AB0"/>
    <w:rsid w:val="00CF7EA6"/>
    <w:rsid w:val="00D25E51"/>
    <w:rsid w:val="00D35C3A"/>
    <w:rsid w:val="00D43FD7"/>
    <w:rsid w:val="00D52AC4"/>
    <w:rsid w:val="00D57F7B"/>
    <w:rsid w:val="00D7718E"/>
    <w:rsid w:val="00DA4AD1"/>
    <w:rsid w:val="00DC3674"/>
    <w:rsid w:val="00DE4811"/>
    <w:rsid w:val="00E100D7"/>
    <w:rsid w:val="00E10482"/>
    <w:rsid w:val="00E266B4"/>
    <w:rsid w:val="00E3024D"/>
    <w:rsid w:val="00E414B0"/>
    <w:rsid w:val="00E50484"/>
    <w:rsid w:val="00E5205D"/>
    <w:rsid w:val="00E60D84"/>
    <w:rsid w:val="00E61031"/>
    <w:rsid w:val="00E74D43"/>
    <w:rsid w:val="00E85C6B"/>
    <w:rsid w:val="00EA1C15"/>
    <w:rsid w:val="00EA5942"/>
    <w:rsid w:val="00EB756D"/>
    <w:rsid w:val="00ED4E7C"/>
    <w:rsid w:val="00EE2FB6"/>
    <w:rsid w:val="00EE4146"/>
    <w:rsid w:val="00EF1F5D"/>
    <w:rsid w:val="00F25715"/>
    <w:rsid w:val="00F3544B"/>
    <w:rsid w:val="00F54367"/>
    <w:rsid w:val="00F64DF0"/>
    <w:rsid w:val="00F71348"/>
    <w:rsid w:val="00F726E7"/>
    <w:rsid w:val="00F97645"/>
    <w:rsid w:val="00FA4F0C"/>
    <w:rsid w:val="00FB6F5E"/>
    <w:rsid w:val="00FC36F7"/>
    <w:rsid w:val="00FD3365"/>
    <w:rsid w:val="00FE26C0"/>
    <w:rsid w:val="00FE78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343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1530"/>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251530"/>
    <w:rPr>
      <w:rFonts w:eastAsia="Batang"/>
      <w:sz w:val="22"/>
      <w:szCs w:val="22"/>
    </w:rPr>
  </w:style>
  <w:style w:type="paragraph" w:styleId="Piedepgina">
    <w:name w:val="footer"/>
    <w:basedOn w:val="Normal"/>
    <w:link w:val="PiedepginaCar"/>
    <w:rsid w:val="00251530"/>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251530"/>
    <w:rPr>
      <w:rFonts w:ascii="Times New Roman" w:eastAsia="Times New Roman" w:hAnsi="Times New Roman"/>
      <w:sz w:val="24"/>
      <w:szCs w:val="24"/>
      <w:lang w:val="es-ES" w:eastAsia="es-ES"/>
    </w:rPr>
  </w:style>
  <w:style w:type="paragraph" w:styleId="Sangradetextonormal">
    <w:name w:val="Body Text Indent"/>
    <w:link w:val="SangradetextonormalCar"/>
    <w:rsid w:val="0084192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841921"/>
    <w:rPr>
      <w:rFonts w:ascii="Times New Roman" w:eastAsia="Times New Roman" w:hAnsi="Times New Roman"/>
      <w:color w:val="000000"/>
      <w:sz w:val="24"/>
      <w:szCs w:val="24"/>
      <w:u w:color="000000"/>
      <w:bdr w:val="nil"/>
      <w:lang w:val="es-ES_tradnl" w:eastAsia="es-ES"/>
    </w:rPr>
  </w:style>
  <w:style w:type="paragraph" w:customStyle="1" w:styleId="MediumGrid1-Accent21">
    <w:name w:val="Medium Grid 1 - Accent 21"/>
    <w:uiPriority w:val="34"/>
    <w:qFormat/>
    <w:rsid w:val="00B1046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styleId="Hipervnculo">
    <w:name w:val="Hyperlink"/>
    <w:uiPriority w:val="99"/>
    <w:unhideWhenUsed/>
    <w:rsid w:val="002450AA"/>
    <w:rPr>
      <w:color w:val="0000FF"/>
      <w:u w:val="single"/>
    </w:rPr>
  </w:style>
  <w:style w:type="paragraph" w:styleId="Cuadrculamedia1-nfasis2">
    <w:name w:val="Medium Grid 1 Accent 2"/>
    <w:basedOn w:val="Normal"/>
    <w:uiPriority w:val="34"/>
    <w:qFormat/>
    <w:rsid w:val="00AF21ED"/>
    <w:pPr>
      <w:ind w:left="720"/>
    </w:pPr>
  </w:style>
  <w:style w:type="paragraph" w:styleId="Textoindependiente3">
    <w:name w:val="Body Text 3"/>
    <w:basedOn w:val="Normal"/>
    <w:link w:val="Textoindependiente3Car"/>
    <w:uiPriority w:val="99"/>
    <w:semiHidden/>
    <w:unhideWhenUsed/>
    <w:rsid w:val="00A50DDA"/>
    <w:pPr>
      <w:pBdr>
        <w:top w:val="nil"/>
        <w:left w:val="nil"/>
        <w:bottom w:val="nil"/>
        <w:right w:val="nil"/>
        <w:between w:val="nil"/>
        <w:bar w:val="nil"/>
      </w:pBdr>
      <w:spacing w:after="120" w:line="240" w:lineRule="auto"/>
    </w:pPr>
    <w:rPr>
      <w:rFonts w:ascii="Times New Roman" w:eastAsia="Arial Unicode MS" w:hAnsi="Times New Roman"/>
      <w:sz w:val="16"/>
      <w:szCs w:val="16"/>
      <w:bdr w:val="nil"/>
      <w:lang w:val="es-ES_tradnl"/>
    </w:rPr>
  </w:style>
  <w:style w:type="character" w:customStyle="1" w:styleId="Textoindependiente3Car">
    <w:name w:val="Texto independiente 3 Car"/>
    <w:link w:val="Textoindependiente3"/>
    <w:uiPriority w:val="99"/>
    <w:semiHidden/>
    <w:rsid w:val="00A50DDA"/>
    <w:rPr>
      <w:rFonts w:ascii="Times New Roman" w:eastAsia="Arial Unicode MS" w:hAnsi="Times New Roman"/>
      <w:sz w:val="16"/>
      <w:szCs w:val="16"/>
      <w:bdr w:val="nil"/>
      <w:lang w:val="es-ES_tradnl"/>
    </w:rPr>
  </w:style>
  <w:style w:type="paragraph" w:customStyle="1" w:styleId="Listavistosa-nfasis11">
    <w:name w:val="Lista vistosa - Énfasis 11"/>
    <w:aliases w:val="Párrafo de lista1,List Paragraph1,List Paragraph11,List Paragraph2"/>
    <w:basedOn w:val="Normal"/>
    <w:qFormat/>
    <w:rsid w:val="00E5205D"/>
    <w:pPr>
      <w:pBdr>
        <w:top w:val="nil"/>
        <w:left w:val="nil"/>
        <w:bottom w:val="nil"/>
        <w:right w:val="nil"/>
        <w:between w:val="nil"/>
        <w:bar w:val="nil"/>
      </w:pBdr>
      <w:spacing w:after="0" w:line="240" w:lineRule="auto"/>
      <w:ind w:left="720"/>
    </w:pPr>
    <w:rPr>
      <w:rFonts w:ascii="Times New Roman" w:eastAsia="Arial Unicode MS" w:hAnsi="Times New Roman"/>
      <w:sz w:val="24"/>
      <w:szCs w:val="24"/>
      <w:bdr w:val="nil"/>
    </w:rPr>
  </w:style>
  <w:style w:type="paragraph" w:styleId="Textonotapie">
    <w:name w:val="footnote text"/>
    <w:basedOn w:val="Normal"/>
    <w:link w:val="TextonotapieCar"/>
    <w:uiPriority w:val="99"/>
    <w:unhideWhenUsed/>
    <w:rsid w:val="007C7908"/>
    <w:rPr>
      <w:sz w:val="24"/>
      <w:szCs w:val="24"/>
    </w:rPr>
  </w:style>
  <w:style w:type="character" w:customStyle="1" w:styleId="TextonotapieCar">
    <w:name w:val="Texto nota pie Car"/>
    <w:link w:val="Textonotapie"/>
    <w:uiPriority w:val="99"/>
    <w:rsid w:val="007C7908"/>
    <w:rPr>
      <w:sz w:val="24"/>
      <w:szCs w:val="24"/>
    </w:rPr>
  </w:style>
  <w:style w:type="character" w:styleId="Refdenotaalpie">
    <w:name w:val="footnote reference"/>
    <w:uiPriority w:val="99"/>
    <w:unhideWhenUsed/>
    <w:rsid w:val="007C7908"/>
    <w:rPr>
      <w:vertAlign w:val="superscript"/>
    </w:rPr>
  </w:style>
  <w:style w:type="paragraph" w:styleId="Textodeglobo">
    <w:name w:val="Balloon Text"/>
    <w:basedOn w:val="Normal"/>
    <w:link w:val="TextodegloboCar"/>
    <w:uiPriority w:val="99"/>
    <w:semiHidden/>
    <w:unhideWhenUsed/>
    <w:rsid w:val="00EA5942"/>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EA5942"/>
    <w:rPr>
      <w:rFonts w:ascii="Segoe UI" w:hAnsi="Segoe UI" w:cs="Segoe UI"/>
      <w:sz w:val="18"/>
      <w:szCs w:val="18"/>
    </w:rPr>
  </w:style>
  <w:style w:type="character" w:styleId="Refdecomentario">
    <w:name w:val="annotation reference"/>
    <w:uiPriority w:val="99"/>
    <w:semiHidden/>
    <w:unhideWhenUsed/>
    <w:rsid w:val="00056D2B"/>
    <w:rPr>
      <w:sz w:val="16"/>
      <w:szCs w:val="16"/>
    </w:rPr>
  </w:style>
  <w:style w:type="paragraph" w:styleId="Textocomentario">
    <w:name w:val="annotation text"/>
    <w:basedOn w:val="Normal"/>
    <w:link w:val="TextocomentarioCar"/>
    <w:uiPriority w:val="99"/>
    <w:semiHidden/>
    <w:unhideWhenUsed/>
    <w:rsid w:val="00056D2B"/>
    <w:rPr>
      <w:sz w:val="20"/>
      <w:szCs w:val="20"/>
    </w:rPr>
  </w:style>
  <w:style w:type="character" w:customStyle="1" w:styleId="TextocomentarioCar">
    <w:name w:val="Texto comentario Car"/>
    <w:basedOn w:val="Fuentedeprrafopredeter"/>
    <w:link w:val="Textocomentario"/>
    <w:uiPriority w:val="99"/>
    <w:semiHidden/>
    <w:rsid w:val="00056D2B"/>
  </w:style>
  <w:style w:type="paragraph" w:styleId="Asuntodelcomentario">
    <w:name w:val="annotation subject"/>
    <w:basedOn w:val="Textocomentario"/>
    <w:next w:val="Textocomentario"/>
    <w:link w:val="AsuntodelcomentarioCar"/>
    <w:uiPriority w:val="99"/>
    <w:semiHidden/>
    <w:unhideWhenUsed/>
    <w:rsid w:val="00056D2B"/>
    <w:rPr>
      <w:b/>
      <w:bCs/>
    </w:rPr>
  </w:style>
  <w:style w:type="character" w:customStyle="1" w:styleId="AsuntodelcomentarioCar">
    <w:name w:val="Asunto del comentario Car"/>
    <w:link w:val="Asuntodelcomentario"/>
    <w:uiPriority w:val="99"/>
    <w:semiHidden/>
    <w:rsid w:val="00056D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320551">
      <w:bodyDiv w:val="1"/>
      <w:marLeft w:val="0"/>
      <w:marRight w:val="0"/>
      <w:marTop w:val="0"/>
      <w:marBottom w:val="0"/>
      <w:divBdr>
        <w:top w:val="none" w:sz="0" w:space="0" w:color="auto"/>
        <w:left w:val="none" w:sz="0" w:space="0" w:color="auto"/>
        <w:bottom w:val="none" w:sz="0" w:space="0" w:color="auto"/>
        <w:right w:val="none" w:sz="0" w:space="0" w:color="auto"/>
      </w:divBdr>
    </w:div>
    <w:div w:id="397556745">
      <w:bodyDiv w:val="1"/>
      <w:marLeft w:val="0"/>
      <w:marRight w:val="0"/>
      <w:marTop w:val="0"/>
      <w:marBottom w:val="0"/>
      <w:divBdr>
        <w:top w:val="none" w:sz="0" w:space="0" w:color="auto"/>
        <w:left w:val="none" w:sz="0" w:space="0" w:color="auto"/>
        <w:bottom w:val="none" w:sz="0" w:space="0" w:color="auto"/>
        <w:right w:val="none" w:sz="0" w:space="0" w:color="auto"/>
      </w:divBdr>
    </w:div>
    <w:div w:id="583758582">
      <w:bodyDiv w:val="1"/>
      <w:marLeft w:val="0"/>
      <w:marRight w:val="0"/>
      <w:marTop w:val="0"/>
      <w:marBottom w:val="0"/>
      <w:divBdr>
        <w:top w:val="none" w:sz="0" w:space="0" w:color="auto"/>
        <w:left w:val="none" w:sz="0" w:space="0" w:color="auto"/>
        <w:bottom w:val="none" w:sz="0" w:space="0" w:color="auto"/>
        <w:right w:val="none" w:sz="0" w:space="0" w:color="auto"/>
      </w:divBdr>
    </w:div>
    <w:div w:id="679091247">
      <w:bodyDiv w:val="1"/>
      <w:marLeft w:val="0"/>
      <w:marRight w:val="0"/>
      <w:marTop w:val="0"/>
      <w:marBottom w:val="0"/>
      <w:divBdr>
        <w:top w:val="none" w:sz="0" w:space="0" w:color="auto"/>
        <w:left w:val="none" w:sz="0" w:space="0" w:color="auto"/>
        <w:bottom w:val="none" w:sz="0" w:space="0" w:color="auto"/>
        <w:right w:val="none" w:sz="0" w:space="0" w:color="auto"/>
      </w:divBdr>
    </w:div>
    <w:div w:id="901791295">
      <w:bodyDiv w:val="1"/>
      <w:marLeft w:val="0"/>
      <w:marRight w:val="0"/>
      <w:marTop w:val="0"/>
      <w:marBottom w:val="0"/>
      <w:divBdr>
        <w:top w:val="none" w:sz="0" w:space="0" w:color="auto"/>
        <w:left w:val="none" w:sz="0" w:space="0" w:color="auto"/>
        <w:bottom w:val="none" w:sz="0" w:space="0" w:color="auto"/>
        <w:right w:val="none" w:sz="0" w:space="0" w:color="auto"/>
      </w:divBdr>
    </w:div>
    <w:div w:id="105612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0F97D-CBEA-4CDE-B796-7C274776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2966</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2020-11-17T19:44:00Z</dcterms:created>
  <dcterms:modified xsi:type="dcterms:W3CDTF">2020-11-17T19:44:00Z</dcterms:modified>
</cp:coreProperties>
</file>