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7B7D0" w14:textId="77777777" w:rsidR="00394820" w:rsidRPr="00DF239E" w:rsidRDefault="00394820" w:rsidP="00B45B3C">
      <w:pPr>
        <w:spacing w:after="0" w:line="240" w:lineRule="auto"/>
        <w:jc w:val="right"/>
        <w:rPr>
          <w:rFonts w:ascii="Cambria" w:hAnsi="Cambria" w:cs="Calibri"/>
          <w:color w:val="000000"/>
          <w:sz w:val="20"/>
          <w:szCs w:val="20"/>
          <w:lang w:val="es-ES"/>
        </w:rPr>
      </w:pPr>
    </w:p>
    <w:p w14:paraId="5BA398FA" w14:textId="77777777" w:rsidR="00162CE1" w:rsidRPr="00DF239E" w:rsidRDefault="000F4B43" w:rsidP="00B45B3C">
      <w:pPr>
        <w:spacing w:after="0" w:line="240" w:lineRule="auto"/>
        <w:jc w:val="right"/>
        <w:rPr>
          <w:rFonts w:ascii="Cambria" w:hAnsi="Cambria" w:cs="Calibri"/>
          <w:color w:val="000000"/>
          <w:sz w:val="20"/>
          <w:szCs w:val="20"/>
          <w:lang w:val="es-ES"/>
        </w:rPr>
      </w:pPr>
      <w:r>
        <w:rPr>
          <w:rFonts w:ascii="Cambria" w:hAnsi="Cambria" w:cs="Calibri"/>
          <w:color w:val="000000"/>
          <w:sz w:val="20"/>
          <w:szCs w:val="20"/>
          <w:lang w:val="es-ES"/>
        </w:rPr>
        <w:t>7</w:t>
      </w:r>
      <w:r w:rsidR="00DF239E" w:rsidRPr="00DF239E">
        <w:rPr>
          <w:rFonts w:ascii="Cambria" w:hAnsi="Cambria" w:cs="Calibri"/>
          <w:color w:val="000000"/>
          <w:sz w:val="20"/>
          <w:szCs w:val="20"/>
          <w:lang w:val="es-ES"/>
        </w:rPr>
        <w:t xml:space="preserve"> de agosto</w:t>
      </w:r>
      <w:r w:rsidR="00DE2CA0" w:rsidRPr="00DF239E">
        <w:rPr>
          <w:rFonts w:ascii="Cambria" w:hAnsi="Cambria" w:cs="Calibri"/>
          <w:color w:val="000000"/>
          <w:sz w:val="20"/>
          <w:szCs w:val="20"/>
          <w:lang w:val="es-ES"/>
        </w:rPr>
        <w:t xml:space="preserve"> de 2020</w:t>
      </w:r>
    </w:p>
    <w:p w14:paraId="2E3096BF" w14:textId="77777777" w:rsidR="00162CE1" w:rsidRPr="00DF239E" w:rsidRDefault="0042403B" w:rsidP="002E628E">
      <w:pPr>
        <w:spacing w:after="0" w:line="240" w:lineRule="auto"/>
        <w:jc w:val="both"/>
        <w:rPr>
          <w:rFonts w:ascii="Cambria" w:hAnsi="Cambria" w:cs="Calibri"/>
          <w:b/>
          <w:color w:val="000000"/>
          <w:sz w:val="20"/>
          <w:szCs w:val="20"/>
          <w:lang w:val="es-ES"/>
        </w:rPr>
      </w:pPr>
      <w:r w:rsidRPr="00DF239E">
        <w:rPr>
          <w:rFonts w:ascii="Cambria" w:hAnsi="Cambria" w:cs="Calibri"/>
          <w:b/>
          <w:color w:val="000000"/>
          <w:sz w:val="20"/>
          <w:szCs w:val="20"/>
          <w:lang w:val="es-ES"/>
        </w:rPr>
        <w:t>REF</w:t>
      </w:r>
      <w:r w:rsidR="00162CE1" w:rsidRPr="00DF239E">
        <w:rPr>
          <w:rFonts w:ascii="Cambria" w:hAnsi="Cambria" w:cs="Calibri"/>
          <w:b/>
          <w:color w:val="000000"/>
          <w:sz w:val="20"/>
          <w:szCs w:val="20"/>
          <w:lang w:val="es-ES"/>
        </w:rPr>
        <w:t>.:</w:t>
      </w:r>
      <w:bookmarkStart w:id="0" w:name="Peticion_n"/>
      <w:bookmarkEnd w:id="0"/>
      <w:r w:rsidR="00A2631B" w:rsidRPr="00DF239E">
        <w:rPr>
          <w:rFonts w:ascii="Cambria" w:hAnsi="Cambria" w:cs="Calibri"/>
          <w:b/>
          <w:color w:val="000000"/>
          <w:sz w:val="20"/>
          <w:szCs w:val="20"/>
          <w:lang w:val="es-ES"/>
        </w:rPr>
        <w:tab/>
        <w:t>Caso Nº</w:t>
      </w:r>
      <w:r w:rsidR="00162CE1" w:rsidRPr="00DF239E">
        <w:rPr>
          <w:rFonts w:ascii="Cambria" w:hAnsi="Cambria" w:cs="Calibri"/>
          <w:b/>
          <w:color w:val="000000"/>
          <w:sz w:val="20"/>
          <w:szCs w:val="20"/>
          <w:lang w:val="es-ES"/>
        </w:rPr>
        <w:t xml:space="preserve"> </w:t>
      </w:r>
      <w:r w:rsidR="000F4B43">
        <w:rPr>
          <w:rFonts w:ascii="Cambria" w:hAnsi="Cambria" w:cs="Calibri"/>
          <w:b/>
          <w:color w:val="000000"/>
          <w:sz w:val="20"/>
          <w:szCs w:val="20"/>
          <w:lang w:val="es-ES"/>
        </w:rPr>
        <w:t>13.082</w:t>
      </w:r>
    </w:p>
    <w:p w14:paraId="1913F4C1" w14:textId="77777777" w:rsidR="004C5616" w:rsidRPr="00DF239E" w:rsidRDefault="000F4B43" w:rsidP="002E628E">
      <w:pPr>
        <w:spacing w:after="0" w:line="240" w:lineRule="auto"/>
        <w:ind w:firstLine="720"/>
        <w:jc w:val="both"/>
        <w:rPr>
          <w:rFonts w:ascii="Cambria" w:hAnsi="Cambria" w:cs="Calibri"/>
          <w:b/>
          <w:color w:val="000000"/>
          <w:sz w:val="20"/>
          <w:szCs w:val="20"/>
          <w:lang w:val="es-ES"/>
        </w:rPr>
      </w:pPr>
      <w:r w:rsidRPr="000F4B43">
        <w:rPr>
          <w:rFonts w:ascii="Cambria" w:hAnsi="Cambria" w:cs="Calibri"/>
          <w:b/>
          <w:color w:val="000000"/>
          <w:sz w:val="20"/>
          <w:szCs w:val="20"/>
          <w:lang w:val="es-ES"/>
        </w:rPr>
        <w:t>Comunidad Indígena Maya Q’eqchi’ Agua Caliente</w:t>
      </w:r>
    </w:p>
    <w:p w14:paraId="2DA16203" w14:textId="77777777" w:rsidR="00DE2CA0" w:rsidRPr="000F4B43" w:rsidRDefault="000F4B43" w:rsidP="002E628E">
      <w:pPr>
        <w:spacing w:after="0" w:line="240" w:lineRule="auto"/>
        <w:ind w:firstLine="720"/>
        <w:jc w:val="both"/>
        <w:rPr>
          <w:rFonts w:ascii="Cambria" w:hAnsi="Cambria" w:cs="Calibri"/>
          <w:b/>
          <w:color w:val="000000"/>
          <w:sz w:val="20"/>
          <w:szCs w:val="20"/>
          <w:lang w:val="es-ES"/>
        </w:rPr>
      </w:pPr>
      <w:r w:rsidRPr="000F4B43">
        <w:rPr>
          <w:rFonts w:ascii="Cambria" w:hAnsi="Cambria" w:cs="Calibri"/>
          <w:b/>
          <w:color w:val="000000"/>
          <w:sz w:val="20"/>
          <w:szCs w:val="20"/>
          <w:lang w:val="es-ES"/>
        </w:rPr>
        <w:t>Guatemala</w:t>
      </w:r>
    </w:p>
    <w:p w14:paraId="2339D506" w14:textId="77777777" w:rsidR="00394820" w:rsidRPr="00DF239E" w:rsidRDefault="00394820" w:rsidP="002E628E">
      <w:pPr>
        <w:spacing w:after="0" w:line="240" w:lineRule="auto"/>
        <w:jc w:val="both"/>
        <w:rPr>
          <w:rFonts w:ascii="Cambria" w:hAnsi="Cambria" w:cs="Calibri"/>
          <w:b/>
          <w:color w:val="000000"/>
          <w:sz w:val="20"/>
          <w:szCs w:val="20"/>
          <w:lang w:val="es-ES"/>
        </w:rPr>
      </w:pPr>
    </w:p>
    <w:p w14:paraId="7CAE090A" w14:textId="77777777" w:rsidR="00162CE1" w:rsidRPr="00DF239E" w:rsidRDefault="00162CE1" w:rsidP="002E628E">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Señor Secretario:</w:t>
      </w:r>
    </w:p>
    <w:p w14:paraId="3B9DB7E0" w14:textId="77777777" w:rsidR="00162CE1" w:rsidRPr="00DF239E" w:rsidRDefault="00162CE1" w:rsidP="002E628E">
      <w:pPr>
        <w:spacing w:after="0" w:line="240" w:lineRule="auto"/>
        <w:jc w:val="both"/>
        <w:rPr>
          <w:rFonts w:ascii="Cambria" w:hAnsi="Cambria" w:cs="Calibri"/>
          <w:color w:val="000000"/>
          <w:sz w:val="20"/>
          <w:szCs w:val="20"/>
          <w:lang w:val="es-ES"/>
        </w:rPr>
      </w:pPr>
    </w:p>
    <w:p w14:paraId="2CA3CDF0" w14:textId="77777777" w:rsidR="000F4B43" w:rsidRPr="00316854" w:rsidRDefault="00DF239E" w:rsidP="000F4B43">
      <w:pPr>
        <w:pStyle w:val="parrafos"/>
        <w:tabs>
          <w:tab w:val="left" w:pos="360"/>
        </w:tabs>
      </w:pPr>
      <w:r>
        <w:rPr>
          <w:rFonts w:cs="Calibri"/>
          <w:lang w:val="es-ES"/>
        </w:rPr>
        <w:tab/>
      </w:r>
      <w:r>
        <w:rPr>
          <w:rFonts w:cs="Calibri"/>
          <w:lang w:val="es-ES"/>
        </w:rPr>
        <w:tab/>
      </w:r>
      <w:r w:rsidR="00162CE1" w:rsidRPr="00DF239E">
        <w:rPr>
          <w:rFonts w:cs="Calibri"/>
          <w:lang w:val="es-ES"/>
        </w:rPr>
        <w:t>Tengo el agrado de dirigirme a usted</w:t>
      </w:r>
      <w:r w:rsidR="0042403B" w:rsidRPr="00DF239E">
        <w:rPr>
          <w:rFonts w:cs="Calibri"/>
          <w:lang w:val="es-ES"/>
        </w:rPr>
        <w:t>,</w:t>
      </w:r>
      <w:r w:rsidR="00162CE1" w:rsidRPr="00DF239E">
        <w:rPr>
          <w:rFonts w:cs="Calibri"/>
          <w:lang w:val="es-ES"/>
        </w:rPr>
        <w:t xml:space="preserve"> en nombre de la Comisión Interamericana de Derechos Humanos</w:t>
      </w:r>
      <w:r w:rsidR="0042403B" w:rsidRPr="00DF239E">
        <w:rPr>
          <w:rFonts w:cs="Calibri"/>
          <w:lang w:val="es-ES"/>
        </w:rPr>
        <w:t>,</w:t>
      </w:r>
      <w:r w:rsidR="00162CE1" w:rsidRPr="00DF239E">
        <w:rPr>
          <w:rFonts w:cs="Calibri"/>
          <w:lang w:val="es-ES"/>
        </w:rPr>
        <w:t xml:space="preserve"> con el objeto de someter a la jurisdicción de la Honorable Corte Interame</w:t>
      </w:r>
      <w:r w:rsidR="009E433A" w:rsidRPr="00DF239E">
        <w:rPr>
          <w:rFonts w:cs="Calibri"/>
          <w:lang w:val="es-ES"/>
        </w:rPr>
        <w:t xml:space="preserve">ricana de Derechos Humanos, el </w:t>
      </w:r>
      <w:r w:rsidR="002E628E" w:rsidRPr="00DF239E">
        <w:rPr>
          <w:rFonts w:cs="Calibri"/>
          <w:lang w:val="es-ES"/>
        </w:rPr>
        <w:t>C</w:t>
      </w:r>
      <w:r w:rsidR="00162CE1" w:rsidRPr="00DF239E">
        <w:rPr>
          <w:rFonts w:cs="Calibri"/>
          <w:lang w:val="es-ES"/>
        </w:rPr>
        <w:t xml:space="preserve">aso </w:t>
      </w:r>
      <w:bookmarkStart w:id="1" w:name="Peticion_n1"/>
      <w:bookmarkEnd w:id="1"/>
      <w:r w:rsidR="000F4B43">
        <w:rPr>
          <w:rFonts w:cs="Calibri"/>
          <w:lang w:val="es-ES"/>
        </w:rPr>
        <w:t>13.082</w:t>
      </w:r>
      <w:r w:rsidR="009E433A" w:rsidRPr="00DF239E">
        <w:rPr>
          <w:rFonts w:cs="Calibri"/>
          <w:lang w:val="es-ES"/>
        </w:rPr>
        <w:t xml:space="preserve"> </w:t>
      </w:r>
      <w:r w:rsidR="00E31CFC" w:rsidRPr="00DF239E">
        <w:rPr>
          <w:rFonts w:cs="Calibri"/>
          <w:lang w:val="es-ES"/>
        </w:rPr>
        <w:t>–</w:t>
      </w:r>
      <w:r w:rsidR="00162CE1" w:rsidRPr="00DF239E">
        <w:rPr>
          <w:rFonts w:cs="Calibri"/>
          <w:lang w:val="es-ES"/>
        </w:rPr>
        <w:t xml:space="preserve"> </w:t>
      </w:r>
      <w:r w:rsidR="000F4B43" w:rsidRPr="000F4B43">
        <w:rPr>
          <w:rFonts w:cs="Calibri"/>
          <w:lang w:val="es-ES"/>
        </w:rPr>
        <w:t>Comunidad Indígena Maya Q’eqchi’ Agua Caliente</w:t>
      </w:r>
      <w:r w:rsidR="006634BE" w:rsidRPr="000F4B43">
        <w:rPr>
          <w:rFonts w:cs="Calibri"/>
          <w:lang w:val="es-ES"/>
        </w:rPr>
        <w:t>,</w:t>
      </w:r>
      <w:r w:rsidR="009E433A" w:rsidRPr="00DF239E">
        <w:rPr>
          <w:rFonts w:cs="Calibri"/>
          <w:lang w:val="es-ES"/>
        </w:rPr>
        <w:t xml:space="preserve"> </w:t>
      </w:r>
      <w:r w:rsidR="00CB0139" w:rsidRPr="00DF239E">
        <w:rPr>
          <w:rFonts w:cs="Calibri"/>
          <w:lang w:val="es-ES"/>
        </w:rPr>
        <w:t>de</w:t>
      </w:r>
      <w:r w:rsidR="004A2758" w:rsidRPr="00DF239E">
        <w:rPr>
          <w:rFonts w:cs="Calibri"/>
          <w:lang w:val="es-ES"/>
        </w:rPr>
        <w:t xml:space="preserve"> </w:t>
      </w:r>
      <w:r w:rsidR="00333497" w:rsidRPr="00DF239E">
        <w:rPr>
          <w:rFonts w:cs="Calibri"/>
          <w:lang w:val="es-ES"/>
        </w:rPr>
        <w:t xml:space="preserve">la República de </w:t>
      </w:r>
      <w:r w:rsidR="000F4B43">
        <w:rPr>
          <w:rFonts w:cs="Calibri"/>
          <w:lang w:val="es-ES"/>
        </w:rPr>
        <w:t>Guatemala</w:t>
      </w:r>
      <w:r w:rsidR="00162CE1" w:rsidRPr="00DF239E">
        <w:rPr>
          <w:rFonts w:cs="Calibri"/>
          <w:lang w:val="es-ES"/>
        </w:rPr>
        <w:t xml:space="preserve"> (en adelante “el Estado”, “el Estado </w:t>
      </w:r>
      <w:r w:rsidR="000F4B43">
        <w:rPr>
          <w:rFonts w:cs="Calibri"/>
          <w:lang w:val="es-ES"/>
        </w:rPr>
        <w:t>guatemalteco</w:t>
      </w:r>
      <w:r w:rsidR="00162CE1" w:rsidRPr="00DF239E">
        <w:rPr>
          <w:rFonts w:cs="Calibri"/>
          <w:lang w:val="es-ES"/>
        </w:rPr>
        <w:t>” o “</w:t>
      </w:r>
      <w:r w:rsidR="000F4B43">
        <w:rPr>
          <w:rFonts w:cs="Calibri"/>
          <w:lang w:val="es-ES"/>
        </w:rPr>
        <w:t>Guatemala</w:t>
      </w:r>
      <w:r w:rsidR="00162CE1" w:rsidRPr="00DF239E">
        <w:rPr>
          <w:rFonts w:cs="Calibri"/>
          <w:lang w:val="es-ES"/>
        </w:rPr>
        <w:t>”)</w:t>
      </w:r>
      <w:r w:rsidR="000F4B43">
        <w:rPr>
          <w:rFonts w:cs="Calibri"/>
          <w:lang w:val="es-ES"/>
        </w:rPr>
        <w:t>. El caso se refiere a</w:t>
      </w:r>
      <w:r w:rsidR="004C5616" w:rsidRPr="00DF239E">
        <w:rPr>
          <w:rFonts w:cs="Calibri"/>
          <w:lang w:val="es-ES"/>
        </w:rPr>
        <w:t xml:space="preserve"> </w:t>
      </w:r>
      <w:r w:rsidR="000F4B43" w:rsidRPr="00316854">
        <w:t xml:space="preserve">la responsabilidad internacional </w:t>
      </w:r>
      <w:r w:rsidR="007B1E42">
        <w:t>del Estado</w:t>
      </w:r>
      <w:r w:rsidR="000F4B43" w:rsidRPr="00316854">
        <w:t xml:space="preserve"> en perjuicio de la Comunidad Maya </w:t>
      </w:r>
      <w:r w:rsidR="000F4B43">
        <w:t>Q’eqchi’</w:t>
      </w:r>
      <w:r w:rsidR="000F4B43" w:rsidRPr="00316854">
        <w:t xml:space="preserve"> por la </w:t>
      </w:r>
      <w:r w:rsidR="000F4B43" w:rsidRPr="00316854">
        <w:rPr>
          <w:rFonts w:eastAsia="Times New Roman"/>
          <w:bdr w:val="none" w:sz="0" w:space="0" w:color="auto"/>
        </w:rPr>
        <w:t xml:space="preserve">falta de legislación interna para garantizar su derecho a la propiedad colectiva, el otorgamiento y establecimiento de </w:t>
      </w:r>
      <w:r w:rsidR="000F4B43">
        <w:rPr>
          <w:rFonts w:eastAsia="Times New Roman"/>
          <w:bdr w:val="none" w:sz="0" w:space="0" w:color="auto"/>
        </w:rPr>
        <w:t>un proyecto minero</w:t>
      </w:r>
      <w:r w:rsidR="000F4B43" w:rsidRPr="00316854">
        <w:rPr>
          <w:rFonts w:eastAsia="Times New Roman"/>
          <w:bdr w:val="none" w:sz="0" w:space="0" w:color="auto"/>
        </w:rPr>
        <w:t xml:space="preserve"> en su territorio, y la ausencia de recursos adecuados y efectivos para demandar el amparo de sus derechos. </w:t>
      </w:r>
    </w:p>
    <w:p w14:paraId="2320478E" w14:textId="77777777" w:rsidR="000F4B43" w:rsidRPr="001E4AB6" w:rsidRDefault="000F4B43" w:rsidP="000F4B43">
      <w:pPr>
        <w:pStyle w:val="parrafos"/>
        <w:tabs>
          <w:tab w:val="left" w:pos="360"/>
        </w:tabs>
        <w:rPr>
          <w:rFonts w:eastAsia="Times New Roman"/>
        </w:rPr>
      </w:pPr>
    </w:p>
    <w:p w14:paraId="2865E47C" w14:textId="77777777" w:rsidR="00232CA3" w:rsidRDefault="000F4B43" w:rsidP="000F4B43">
      <w:pPr>
        <w:pStyle w:val="parrafos"/>
        <w:tabs>
          <w:tab w:val="left" w:pos="360"/>
          <w:tab w:val="left" w:pos="450"/>
        </w:tabs>
        <w:rPr>
          <w:lang w:val="es-ES_tradnl"/>
        </w:rPr>
      </w:pPr>
      <w:r>
        <w:tab/>
      </w:r>
      <w:r>
        <w:tab/>
      </w:r>
      <w:r>
        <w:tab/>
      </w:r>
      <w:r>
        <w:rPr>
          <w:lang w:val="es-ES_tradnl"/>
        </w:rPr>
        <w:t xml:space="preserve">En su Informe de Fondo la CIDH observó que no existe controversia sobre el hecho que la Comunidad Agua Caliente no cuenta con un título de propiedad colectiva sobre sus tierras y territorios ancestrales, a pesar de múltiples gestiones realizadas por la comunidad durante más de cuatro décadas. </w:t>
      </w:r>
      <w:r>
        <w:rPr>
          <w:rFonts w:eastAsia="Times New Roman"/>
          <w:bdr w:val="none" w:sz="0" w:space="0" w:color="auto"/>
          <w:lang w:val="es-ES_tradnl"/>
        </w:rPr>
        <w:t xml:space="preserve">La CIDH evidenció las múltiples omisiones e irregularidades en la tramitación de la solicitud presentada por la comunidad para el otorgamiento de un título de propiedad colectiva, así como la falta de mecanismos internos </w:t>
      </w:r>
      <w:r w:rsidRPr="005D7CDD">
        <w:rPr>
          <w:rFonts w:eastAsia="Times New Roman"/>
          <w:bdr w:val="none" w:sz="0" w:space="0" w:color="auto"/>
          <w:lang w:val="es-ES_tradnl"/>
        </w:rPr>
        <w:t xml:space="preserve">para hacer efectivo el carácter colectivo de las tierras y territorios indígenas. </w:t>
      </w:r>
      <w:r>
        <w:rPr>
          <w:lang w:val="es-ES_tradnl" w:eastAsia="es-ES"/>
        </w:rPr>
        <w:t>Al respecto</w:t>
      </w:r>
      <w:r>
        <w:rPr>
          <w:rFonts w:eastAsia="Times New Roman"/>
          <w:bdr w:val="none" w:sz="0" w:space="0" w:color="auto"/>
          <w:lang w:val="es-ES_tradnl"/>
        </w:rPr>
        <w:t xml:space="preserve">, la Comisión subrayó que la normativa interna no solamente no reconoce el carácter colectivo de dichos territorios, sino que además se limita a establecer la propiedad individual de sus miembros, lo cual resulta contrario a la propia cosmovisión de los pueblos indígenas. </w:t>
      </w:r>
      <w:r>
        <w:rPr>
          <w:lang w:val="es-ES_tradnl"/>
        </w:rPr>
        <w:t>Con base en ello</w:t>
      </w:r>
      <w:r w:rsidRPr="006952C4">
        <w:rPr>
          <w:lang w:val="es-ES_tradnl"/>
        </w:rPr>
        <w:t>, la CIDH concluy</w:t>
      </w:r>
      <w:r>
        <w:rPr>
          <w:lang w:val="es-ES_tradnl"/>
        </w:rPr>
        <w:t>ó</w:t>
      </w:r>
      <w:r w:rsidRPr="006952C4">
        <w:rPr>
          <w:lang w:val="es-ES_tradnl"/>
        </w:rPr>
        <w:t xml:space="preserve"> que el Estado es responsable de la violación de los derechos al </w:t>
      </w:r>
      <w:r>
        <w:rPr>
          <w:lang w:val="es-ES_tradnl"/>
        </w:rPr>
        <w:t>reconocimiento a la</w:t>
      </w:r>
      <w:r w:rsidRPr="006952C4">
        <w:rPr>
          <w:lang w:val="es-ES_tradnl"/>
        </w:rPr>
        <w:t xml:space="preserve"> personalidad jurídica y del derecho a la propiedad colectiva</w:t>
      </w:r>
      <w:r w:rsidR="00232CA3">
        <w:rPr>
          <w:lang w:val="es-ES_tradnl"/>
        </w:rPr>
        <w:t>.</w:t>
      </w:r>
    </w:p>
    <w:p w14:paraId="67FB30FA" w14:textId="77777777" w:rsidR="000F4B43" w:rsidRDefault="000F4B43" w:rsidP="000F4B43">
      <w:pPr>
        <w:pStyle w:val="parrafos"/>
        <w:tabs>
          <w:tab w:val="left" w:pos="360"/>
          <w:tab w:val="left" w:pos="450"/>
        </w:tabs>
        <w:rPr>
          <w:lang w:val="es-ES_tradnl"/>
        </w:rPr>
      </w:pPr>
      <w:r w:rsidRPr="006952C4">
        <w:rPr>
          <w:lang w:val="es-ES_tradnl"/>
        </w:rPr>
        <w:t xml:space="preserve"> </w:t>
      </w:r>
    </w:p>
    <w:p w14:paraId="2A92CF0C" w14:textId="77777777" w:rsidR="000F4B43" w:rsidRPr="000C4F4D" w:rsidRDefault="000F4B43" w:rsidP="000F4B43">
      <w:pPr>
        <w:pStyle w:val="parrafos"/>
        <w:tabs>
          <w:tab w:val="left" w:pos="360"/>
          <w:tab w:val="left" w:pos="450"/>
        </w:tabs>
        <w:rPr>
          <w:rFonts w:eastAsia="Calibri"/>
          <w:bdr w:val="none" w:sz="0" w:space="0" w:color="auto"/>
          <w:lang w:val="es-ES_tradnl"/>
        </w:rPr>
      </w:pPr>
      <w:r>
        <w:rPr>
          <w:lang w:val="es-ES_tradnl"/>
        </w:rPr>
        <w:tab/>
      </w:r>
      <w:r>
        <w:rPr>
          <w:lang w:val="es-ES_tradnl"/>
        </w:rPr>
        <w:tab/>
      </w:r>
      <w:r>
        <w:rPr>
          <w:lang w:val="es-ES_tradnl"/>
        </w:rPr>
        <w:tab/>
        <w:t xml:space="preserve">Por otra parte, la CIDH observó además que </w:t>
      </w:r>
      <w:r w:rsidRPr="00B35329">
        <w:rPr>
          <w:rFonts w:eastAsia="Calibri"/>
          <w:bdr w:val="none" w:sz="0" w:space="0" w:color="auto"/>
          <w:lang w:val="es-CO"/>
        </w:rPr>
        <w:t>no existe controversia respecto de que el Estado guatemalteco otorgó una licencia de exploración y posteriormente de explotación para el proyecto minero “Fénix”, el cual abarca parte del territorio de la Comunidad Maya Q’</w:t>
      </w:r>
      <w:r>
        <w:rPr>
          <w:rFonts w:eastAsia="Calibri"/>
          <w:bdr w:val="none" w:sz="0" w:space="0" w:color="auto"/>
          <w:lang w:val="es-CO"/>
        </w:rPr>
        <w:t>eqchi</w:t>
      </w:r>
      <w:r w:rsidRPr="00B35329">
        <w:rPr>
          <w:rFonts w:eastAsia="Calibri"/>
          <w:bdr w:val="none" w:sz="0" w:space="0" w:color="auto"/>
          <w:lang w:val="es-CO"/>
        </w:rPr>
        <w:t>’ Agua Caliente.</w:t>
      </w:r>
      <w:r>
        <w:rPr>
          <w:rFonts w:eastAsia="Calibri"/>
          <w:bdr w:val="none" w:sz="0" w:space="0" w:color="auto"/>
          <w:lang w:val="es-CO"/>
        </w:rPr>
        <w:t xml:space="preserve"> Señaló asimismo que no existe información que acredite que el Estado </w:t>
      </w:r>
      <w:r w:rsidRPr="00731E9E">
        <w:rPr>
          <w:rFonts w:eastAsia="Times New Roman"/>
          <w:bdr w:val="none" w:sz="0" w:space="0" w:color="auto"/>
          <w:lang w:val="es-ES_tradnl"/>
        </w:rPr>
        <w:t>cumplió con el derecho a la consulta previa, libre e informada, al otorgar permisos, licencias y concesiones para la realización</w:t>
      </w:r>
      <w:r>
        <w:rPr>
          <w:rFonts w:eastAsia="Times New Roman"/>
          <w:bdr w:val="none" w:sz="0" w:space="0" w:color="auto"/>
          <w:lang w:val="es-ES_tradnl"/>
        </w:rPr>
        <w:t xml:space="preserve"> de dicho proyecto minero en tierras de la comunidad. </w:t>
      </w:r>
      <w:r>
        <w:rPr>
          <w:rFonts w:eastAsia="Calibri"/>
          <w:bdr w:val="none" w:sz="0" w:space="0" w:color="auto"/>
          <w:lang w:val="es-ES_tradnl"/>
        </w:rPr>
        <w:t>La</w:t>
      </w:r>
      <w:r w:rsidRPr="00532B40">
        <w:rPr>
          <w:rFonts w:eastAsia="Calibri"/>
          <w:bdr w:val="none" w:sz="0" w:space="0" w:color="auto"/>
          <w:lang w:val="es-MX"/>
        </w:rPr>
        <w:t xml:space="preserve"> Comisión consider</w:t>
      </w:r>
      <w:r>
        <w:rPr>
          <w:rFonts w:eastAsia="Calibri"/>
          <w:bdr w:val="none" w:sz="0" w:space="0" w:color="auto"/>
          <w:lang w:val="es-MX"/>
        </w:rPr>
        <w:t>ó</w:t>
      </w:r>
      <w:r w:rsidRPr="00532B40">
        <w:rPr>
          <w:rFonts w:eastAsia="Calibri"/>
          <w:bdr w:val="none" w:sz="0" w:space="0" w:color="auto"/>
          <w:lang w:val="es-MX"/>
        </w:rPr>
        <w:t xml:space="preserve"> que </w:t>
      </w:r>
      <w:r>
        <w:rPr>
          <w:rFonts w:eastAsia="Calibri"/>
          <w:bdr w:val="none" w:sz="0" w:space="0" w:color="auto"/>
          <w:lang w:val="es-MX"/>
        </w:rPr>
        <w:t>las</w:t>
      </w:r>
      <w:r w:rsidRPr="00532B40">
        <w:rPr>
          <w:rFonts w:eastAsia="Calibri"/>
          <w:bdr w:val="none" w:sz="0" w:space="0" w:color="auto"/>
          <w:lang w:val="es-MX"/>
        </w:rPr>
        <w:t xml:space="preserve"> omisiones</w:t>
      </w:r>
      <w:r>
        <w:rPr>
          <w:rFonts w:eastAsia="Calibri"/>
          <w:bdr w:val="none" w:sz="0" w:space="0" w:color="auto"/>
          <w:lang w:val="es-MX"/>
        </w:rPr>
        <w:t xml:space="preserve"> en la elaboración del estudio de impacto ambiental, así como de las licencias de exploración y explotación del proyecto minero </w:t>
      </w:r>
      <w:r w:rsidRPr="00532B40">
        <w:rPr>
          <w:rFonts w:eastAsia="Calibri"/>
          <w:bdr w:val="none" w:sz="0" w:space="0" w:color="auto"/>
          <w:lang w:val="es-MX"/>
        </w:rPr>
        <w:t>constituyen una violación</w:t>
      </w:r>
      <w:r>
        <w:rPr>
          <w:rFonts w:eastAsia="Calibri"/>
          <w:bdr w:val="none" w:sz="0" w:space="0" w:color="auto"/>
          <w:lang w:val="es-MX"/>
        </w:rPr>
        <w:t xml:space="preserve"> de los</w:t>
      </w:r>
      <w:r w:rsidRPr="00532B40">
        <w:rPr>
          <w:rFonts w:eastAsia="Calibri"/>
          <w:bdr w:val="none" w:sz="0" w:space="0" w:color="auto"/>
          <w:lang w:val="es-MX"/>
        </w:rPr>
        <w:t xml:space="preserve"> derecho</w:t>
      </w:r>
      <w:r>
        <w:rPr>
          <w:rFonts w:eastAsia="Calibri"/>
          <w:bdr w:val="none" w:sz="0" w:space="0" w:color="auto"/>
          <w:lang w:val="es-MX"/>
        </w:rPr>
        <w:t>s</w:t>
      </w:r>
      <w:r w:rsidRPr="00532B40">
        <w:rPr>
          <w:rFonts w:eastAsia="Calibri"/>
          <w:bdr w:val="none" w:sz="0" w:space="0" w:color="auto"/>
          <w:lang w:val="es-MX"/>
        </w:rPr>
        <w:t xml:space="preserve"> a la propiedad colectiva</w:t>
      </w:r>
      <w:r>
        <w:rPr>
          <w:rFonts w:eastAsia="Calibri"/>
          <w:bdr w:val="none" w:sz="0" w:space="0" w:color="auto"/>
          <w:lang w:val="es-MX"/>
        </w:rPr>
        <w:t>, al acceso a la información</w:t>
      </w:r>
      <w:r w:rsidR="00232CA3">
        <w:rPr>
          <w:rFonts w:eastAsia="Calibri"/>
          <w:bdr w:val="none" w:sz="0" w:space="0" w:color="auto"/>
          <w:lang w:val="es-MX"/>
        </w:rPr>
        <w:t>,</w:t>
      </w:r>
      <w:r w:rsidRPr="00532B40">
        <w:rPr>
          <w:rFonts w:eastAsia="Calibri"/>
          <w:bdr w:val="none" w:sz="0" w:space="0" w:color="auto"/>
          <w:lang w:val="es-MX"/>
        </w:rPr>
        <w:t xml:space="preserve"> </w:t>
      </w:r>
      <w:r>
        <w:rPr>
          <w:rFonts w:eastAsia="Calibri"/>
          <w:bdr w:val="none" w:sz="0" w:space="0" w:color="auto"/>
          <w:lang w:val="es-MX"/>
        </w:rPr>
        <w:t xml:space="preserve">y </w:t>
      </w:r>
      <w:r w:rsidRPr="00532B40">
        <w:rPr>
          <w:rFonts w:eastAsia="Calibri"/>
          <w:bdr w:val="none" w:sz="0" w:space="0" w:color="auto"/>
          <w:lang w:val="es-MX"/>
        </w:rPr>
        <w:t>a participar en los asu</w:t>
      </w:r>
      <w:r w:rsidR="00232CA3">
        <w:rPr>
          <w:rFonts w:eastAsia="Calibri"/>
          <w:bdr w:val="none" w:sz="0" w:space="0" w:color="auto"/>
          <w:lang w:val="es-MX"/>
        </w:rPr>
        <w:t>ntos susceptibles de afectarles</w:t>
      </w:r>
      <w:r w:rsidRPr="00532B40">
        <w:rPr>
          <w:rFonts w:eastAsia="Calibri"/>
          <w:bdr w:val="none" w:sz="0" w:space="0" w:color="auto"/>
          <w:lang w:val="es-MX"/>
        </w:rPr>
        <w:t>.</w:t>
      </w:r>
      <w:r w:rsidR="00232CA3">
        <w:rPr>
          <w:rFonts w:eastAsia="Calibri"/>
          <w:bdr w:val="none" w:sz="0" w:space="0" w:color="auto"/>
          <w:lang w:val="es-MX"/>
        </w:rPr>
        <w:t xml:space="preserve"> </w:t>
      </w:r>
      <w:r>
        <w:rPr>
          <w:rFonts w:eastAsia="Calibri"/>
          <w:bdr w:val="none" w:sz="0" w:space="0" w:color="auto"/>
          <w:lang w:val="es-MX"/>
        </w:rPr>
        <w:t xml:space="preserve">Por último, la Comisión concluyó que </w:t>
      </w:r>
      <w:r w:rsidRPr="00DA140B">
        <w:rPr>
          <w:rFonts w:eastAsia="Calibri"/>
          <w:bdr w:val="none" w:sz="0" w:space="0" w:color="auto"/>
          <w:lang w:val="es-ES_tradnl"/>
        </w:rPr>
        <w:t xml:space="preserve">se vulneraron los derechos </w:t>
      </w:r>
      <w:r w:rsidR="00232CA3">
        <w:rPr>
          <w:rFonts w:eastAsia="Calibri"/>
          <w:bdr w:val="none" w:sz="0" w:space="0" w:color="auto"/>
          <w:lang w:val="es-ES_tradnl"/>
        </w:rPr>
        <w:t xml:space="preserve">a las garantías judiciales y la protección judicial en perjuicio de la comunidad. </w:t>
      </w:r>
    </w:p>
    <w:p w14:paraId="5D1DCC3C" w14:textId="77777777" w:rsidR="00394820" w:rsidRDefault="00394820" w:rsidP="00DF239E">
      <w:pPr>
        <w:tabs>
          <w:tab w:val="left" w:pos="360"/>
        </w:tabs>
        <w:spacing w:after="0" w:line="240" w:lineRule="auto"/>
        <w:ind w:firstLine="720"/>
        <w:jc w:val="both"/>
        <w:rPr>
          <w:rFonts w:ascii="Cambria" w:hAnsi="Cambria"/>
          <w:sz w:val="20"/>
          <w:szCs w:val="20"/>
          <w:lang w:val="es-CO"/>
        </w:rPr>
      </w:pPr>
    </w:p>
    <w:p w14:paraId="5B310192" w14:textId="77777777" w:rsidR="004C11AF" w:rsidRPr="00DF239E" w:rsidRDefault="008A143D" w:rsidP="00B45B3C">
      <w:pPr>
        <w:pStyle w:val="Sangradetextonormal"/>
        <w:tabs>
          <w:tab w:val="left" w:pos="720"/>
          <w:tab w:val="left" w:pos="2880"/>
        </w:tabs>
        <w:spacing w:after="0" w:line="240" w:lineRule="auto"/>
        <w:ind w:left="0"/>
        <w:jc w:val="both"/>
        <w:rPr>
          <w:rFonts w:ascii="Cambria" w:hAnsi="Cambria" w:cs="Calibri"/>
          <w:color w:val="000000"/>
          <w:sz w:val="20"/>
          <w:szCs w:val="20"/>
          <w:lang w:val="es-PE"/>
        </w:rPr>
      </w:pPr>
      <w:r w:rsidRPr="00DF239E">
        <w:rPr>
          <w:rFonts w:ascii="Cambria" w:hAnsi="Cambria" w:cs="Calibri"/>
          <w:color w:val="000000"/>
          <w:sz w:val="20"/>
          <w:szCs w:val="20"/>
          <w:lang w:val="es-ES"/>
        </w:rPr>
        <w:tab/>
        <w:t xml:space="preserve">El Estado de </w:t>
      </w:r>
      <w:r w:rsidR="000F4B43">
        <w:rPr>
          <w:rFonts w:ascii="Cambria" w:hAnsi="Cambria" w:cs="Calibri"/>
          <w:color w:val="000000"/>
          <w:sz w:val="20"/>
          <w:szCs w:val="20"/>
          <w:lang w:val="es-ES"/>
        </w:rPr>
        <w:t>Guatemala</w:t>
      </w:r>
      <w:r w:rsidRPr="007D3DF3">
        <w:rPr>
          <w:rFonts w:ascii="Cambria" w:hAnsi="Cambria" w:cs="Calibri"/>
          <w:color w:val="000000"/>
          <w:sz w:val="20"/>
          <w:szCs w:val="20"/>
          <w:lang w:val="es-ES"/>
        </w:rPr>
        <w:t xml:space="preserve"> </w:t>
      </w:r>
      <w:r w:rsidR="00182ABB" w:rsidRPr="007D3DF3">
        <w:rPr>
          <w:rFonts w:ascii="Cambria" w:hAnsi="Cambria" w:cs="Calibri"/>
          <w:color w:val="000000"/>
          <w:sz w:val="20"/>
          <w:szCs w:val="20"/>
          <w:lang w:val="es-ES"/>
        </w:rPr>
        <w:t>depositó el instrumento de ratificación de</w:t>
      </w:r>
      <w:r w:rsidRPr="007D3DF3">
        <w:rPr>
          <w:rFonts w:ascii="Cambria" w:hAnsi="Cambria" w:cs="Calibri"/>
          <w:color w:val="000000"/>
          <w:sz w:val="20"/>
          <w:szCs w:val="20"/>
          <w:lang w:val="es-ES"/>
        </w:rPr>
        <w:t xml:space="preserve"> la Convención</w:t>
      </w:r>
      <w:r w:rsidRPr="00DF239E">
        <w:rPr>
          <w:rFonts w:ascii="Cambria" w:hAnsi="Cambria" w:cs="Calibri"/>
          <w:color w:val="000000"/>
          <w:sz w:val="20"/>
          <w:szCs w:val="20"/>
          <w:lang w:val="es-ES"/>
        </w:rPr>
        <w:t xml:space="preserve"> Americana sobre Derechos Humanos el</w:t>
      </w:r>
      <w:r w:rsidR="00182ABB">
        <w:rPr>
          <w:rFonts w:ascii="Cambria" w:hAnsi="Cambria" w:cs="Calibri"/>
          <w:color w:val="000000"/>
          <w:sz w:val="20"/>
          <w:szCs w:val="20"/>
          <w:lang w:val="es-ES"/>
        </w:rPr>
        <w:t xml:space="preserve"> </w:t>
      </w:r>
      <w:r w:rsidR="00C56ABB">
        <w:rPr>
          <w:rFonts w:ascii="Cambria" w:hAnsi="Cambria" w:cs="Calibri"/>
          <w:color w:val="000000"/>
          <w:sz w:val="20"/>
          <w:szCs w:val="20"/>
          <w:lang w:val="es-ES"/>
        </w:rPr>
        <w:t>25 de mayo de 1978</w:t>
      </w:r>
      <w:r w:rsidRPr="00DF239E">
        <w:rPr>
          <w:rFonts w:ascii="Cambria" w:hAnsi="Cambria" w:cs="Calibri"/>
          <w:color w:val="000000"/>
          <w:sz w:val="20"/>
          <w:szCs w:val="20"/>
          <w:lang w:val="es-ES"/>
        </w:rPr>
        <w:t xml:space="preserve"> y aceptó la competencia contenciosa de la Corte el </w:t>
      </w:r>
      <w:r w:rsidR="00C56ABB">
        <w:rPr>
          <w:rFonts w:ascii="Cambria" w:hAnsi="Cambria" w:cs="Calibri"/>
          <w:color w:val="000000"/>
          <w:sz w:val="20"/>
          <w:szCs w:val="20"/>
          <w:lang w:val="es-ES"/>
        </w:rPr>
        <w:t>9 de marzo de 1987</w:t>
      </w:r>
      <w:r w:rsidRPr="00DF239E">
        <w:rPr>
          <w:rFonts w:ascii="Cambria" w:hAnsi="Cambria" w:cs="Calibri"/>
          <w:color w:val="000000"/>
          <w:sz w:val="20"/>
          <w:szCs w:val="20"/>
          <w:lang w:val="es-ES"/>
        </w:rPr>
        <w:t>.</w:t>
      </w:r>
    </w:p>
    <w:p w14:paraId="02162DD6" w14:textId="77777777" w:rsidR="00387D83" w:rsidRDefault="00387D83" w:rsidP="00F8734F">
      <w:pPr>
        <w:tabs>
          <w:tab w:val="left" w:pos="720"/>
          <w:tab w:val="left" w:pos="1440"/>
        </w:tabs>
        <w:spacing w:after="0" w:line="240" w:lineRule="auto"/>
        <w:jc w:val="both"/>
        <w:rPr>
          <w:rFonts w:ascii="Cambria" w:hAnsi="Cambria" w:cs="Calibri"/>
          <w:color w:val="000000"/>
          <w:sz w:val="20"/>
          <w:szCs w:val="20"/>
          <w:lang w:val="es-PE"/>
        </w:rPr>
      </w:pPr>
    </w:p>
    <w:p w14:paraId="27E91E85" w14:textId="77777777" w:rsidR="00232CA3" w:rsidRPr="00DF239E" w:rsidRDefault="00232CA3" w:rsidP="00232CA3">
      <w:pPr>
        <w:spacing w:after="0" w:line="240" w:lineRule="auto"/>
        <w:ind w:firstLine="720"/>
        <w:jc w:val="both"/>
        <w:rPr>
          <w:rFonts w:ascii="Cambria" w:hAnsi="Cambria" w:cs="Calibri"/>
          <w:color w:val="000000"/>
          <w:sz w:val="20"/>
          <w:szCs w:val="20"/>
          <w:lang w:val="es-ES"/>
        </w:rPr>
      </w:pPr>
      <w:r w:rsidRPr="00DF239E">
        <w:rPr>
          <w:rFonts w:ascii="Cambria" w:hAnsi="Cambria" w:cs="Calibri"/>
          <w:color w:val="000000"/>
          <w:sz w:val="20"/>
          <w:szCs w:val="20"/>
          <w:lang w:val="es-ES"/>
        </w:rPr>
        <w:t xml:space="preserve">La Comisión ha designado a la Comisionada </w:t>
      </w:r>
      <w:r>
        <w:rPr>
          <w:rFonts w:ascii="Cambria" w:hAnsi="Cambria" w:cs="Calibri"/>
          <w:color w:val="000000"/>
          <w:sz w:val="20"/>
          <w:szCs w:val="20"/>
          <w:lang w:val="es-ES"/>
        </w:rPr>
        <w:t xml:space="preserve">Esmeralda Arosemena de Troitiño </w:t>
      </w:r>
      <w:r w:rsidRPr="00DF239E">
        <w:rPr>
          <w:rFonts w:ascii="Cambria" w:hAnsi="Cambria" w:cs="Calibri"/>
          <w:color w:val="000000"/>
          <w:sz w:val="20"/>
          <w:szCs w:val="20"/>
          <w:lang w:val="es-ES"/>
        </w:rPr>
        <w:t>y al Secretario Ejecutivo Paulo Abrão, como su</w:t>
      </w:r>
      <w:r>
        <w:rPr>
          <w:rFonts w:ascii="Cambria" w:hAnsi="Cambria" w:cs="Calibri"/>
          <w:color w:val="000000"/>
          <w:sz w:val="20"/>
          <w:szCs w:val="20"/>
          <w:lang w:val="es-ES"/>
        </w:rPr>
        <w:t xml:space="preserve"> delegada y </w:t>
      </w:r>
      <w:r w:rsidRPr="00DF239E">
        <w:rPr>
          <w:rFonts w:ascii="Cambria" w:hAnsi="Cambria" w:cs="Calibri"/>
          <w:color w:val="000000"/>
          <w:sz w:val="20"/>
          <w:szCs w:val="20"/>
          <w:lang w:val="es-ES"/>
        </w:rPr>
        <w:t xml:space="preserve">delegado. Asimismo, Marisol Blanchard Vera, Secretaria Ejecutiva Adjunta, Jorge Humberto Meza Flores y </w:t>
      </w:r>
      <w:r>
        <w:rPr>
          <w:rFonts w:ascii="Cambria" w:hAnsi="Cambria" w:cs="Calibri"/>
          <w:color w:val="000000"/>
          <w:sz w:val="20"/>
          <w:szCs w:val="20"/>
          <w:lang w:val="es-ES"/>
        </w:rPr>
        <w:t>Erick Acuña</w:t>
      </w:r>
      <w:r w:rsidRPr="00DF239E">
        <w:rPr>
          <w:rFonts w:ascii="Cambria" w:hAnsi="Cambria" w:cs="Calibri"/>
          <w:color w:val="000000"/>
          <w:sz w:val="20"/>
          <w:szCs w:val="20"/>
          <w:lang w:val="es-ES"/>
        </w:rPr>
        <w:t>, especialistas de la Secretaría Ejecutiva de la CIDH, actuarán como asesora y asesor</w:t>
      </w:r>
      <w:r>
        <w:rPr>
          <w:rFonts w:ascii="Cambria" w:hAnsi="Cambria" w:cs="Calibri"/>
          <w:color w:val="000000"/>
          <w:sz w:val="20"/>
          <w:szCs w:val="20"/>
          <w:lang w:val="es-ES"/>
        </w:rPr>
        <w:t>es</w:t>
      </w:r>
      <w:r w:rsidRPr="00DF239E">
        <w:rPr>
          <w:rFonts w:ascii="Cambria" w:hAnsi="Cambria" w:cs="Calibri"/>
          <w:color w:val="000000"/>
          <w:sz w:val="20"/>
          <w:szCs w:val="20"/>
          <w:lang w:val="es-ES"/>
        </w:rPr>
        <w:t xml:space="preserve"> legales. </w:t>
      </w:r>
    </w:p>
    <w:p w14:paraId="35449B80" w14:textId="77777777" w:rsidR="00232CA3" w:rsidRDefault="00232CA3" w:rsidP="00F8734F">
      <w:pPr>
        <w:tabs>
          <w:tab w:val="left" w:pos="720"/>
          <w:tab w:val="left" w:pos="1440"/>
        </w:tabs>
        <w:spacing w:after="0" w:line="240" w:lineRule="auto"/>
        <w:jc w:val="both"/>
        <w:rPr>
          <w:rFonts w:ascii="Cambria" w:hAnsi="Cambria" w:cs="Calibri"/>
          <w:color w:val="000000"/>
          <w:sz w:val="20"/>
          <w:szCs w:val="20"/>
          <w:lang w:val="es-ES"/>
        </w:rPr>
      </w:pPr>
    </w:p>
    <w:p w14:paraId="240E5D69" w14:textId="77777777" w:rsidR="00232CA3" w:rsidRPr="00232CA3" w:rsidRDefault="00232CA3" w:rsidP="00F8734F">
      <w:pPr>
        <w:tabs>
          <w:tab w:val="left" w:pos="720"/>
          <w:tab w:val="left" w:pos="1440"/>
        </w:tabs>
        <w:spacing w:after="0" w:line="240" w:lineRule="auto"/>
        <w:jc w:val="both"/>
        <w:rPr>
          <w:rFonts w:ascii="Cambria" w:hAnsi="Cambria" w:cs="Calibri"/>
          <w:color w:val="000000"/>
          <w:sz w:val="20"/>
          <w:szCs w:val="20"/>
          <w:lang w:val="es-ES"/>
        </w:rPr>
      </w:pPr>
    </w:p>
    <w:p w14:paraId="56224BCD" w14:textId="77777777" w:rsidR="00232CA3" w:rsidRPr="00DF239E" w:rsidRDefault="00232CA3" w:rsidP="00232CA3">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Señor</w:t>
      </w:r>
    </w:p>
    <w:p w14:paraId="7CC2DC53" w14:textId="77777777" w:rsidR="00232CA3" w:rsidRPr="00DF239E" w:rsidRDefault="00232CA3" w:rsidP="00232CA3">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Pablo Saavedra Alessandri</w:t>
      </w:r>
    </w:p>
    <w:p w14:paraId="5A8B48B9" w14:textId="77777777" w:rsidR="00232CA3" w:rsidRPr="00DF239E" w:rsidRDefault="00232CA3" w:rsidP="00232CA3">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Secretario</w:t>
      </w:r>
    </w:p>
    <w:p w14:paraId="2C71C2B1" w14:textId="77777777" w:rsidR="00232CA3" w:rsidRPr="00DF239E" w:rsidRDefault="00232CA3" w:rsidP="00232CA3">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Corte Interamericana de Derechos Humanos</w:t>
      </w:r>
    </w:p>
    <w:p w14:paraId="2346BFD8" w14:textId="77777777" w:rsidR="00232CA3" w:rsidRDefault="00232CA3" w:rsidP="00232CA3">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San José, Costa Rica</w:t>
      </w:r>
    </w:p>
    <w:p w14:paraId="6C3A7624" w14:textId="77777777" w:rsidR="00DF3621" w:rsidRPr="00DF239E" w:rsidRDefault="0042403B" w:rsidP="00F8734F">
      <w:pPr>
        <w:spacing w:after="0" w:line="240" w:lineRule="auto"/>
        <w:ind w:firstLine="720"/>
        <w:jc w:val="both"/>
        <w:rPr>
          <w:rFonts w:ascii="Cambria" w:hAnsi="Cambria" w:cs="Calibri"/>
          <w:color w:val="000000"/>
          <w:sz w:val="20"/>
          <w:szCs w:val="20"/>
          <w:lang w:val="es-ES"/>
        </w:rPr>
      </w:pPr>
      <w:r w:rsidRPr="00DF239E">
        <w:rPr>
          <w:rFonts w:ascii="Cambria" w:hAnsi="Cambria" w:cs="Calibri"/>
          <w:color w:val="000000"/>
          <w:sz w:val="20"/>
          <w:szCs w:val="20"/>
          <w:lang w:val="es-ES"/>
        </w:rPr>
        <w:lastRenderedPageBreak/>
        <w:t>De conformidad con el artículo 35 del Reglamento de la Corte Interamericana,</w:t>
      </w:r>
      <w:r w:rsidR="0090766E" w:rsidRPr="00DF239E">
        <w:rPr>
          <w:rFonts w:ascii="Cambria" w:hAnsi="Cambria" w:cs="Calibri"/>
          <w:color w:val="000000"/>
          <w:sz w:val="20"/>
          <w:szCs w:val="20"/>
          <w:lang w:val="es-ES"/>
        </w:rPr>
        <w:t xml:space="preserve"> la Comisión adjunta copia del I</w:t>
      </w:r>
      <w:r w:rsidRPr="00DF239E">
        <w:rPr>
          <w:rFonts w:ascii="Cambria" w:hAnsi="Cambria" w:cs="Calibri"/>
          <w:color w:val="000000"/>
          <w:sz w:val="20"/>
          <w:szCs w:val="20"/>
          <w:lang w:val="es-ES"/>
        </w:rPr>
        <w:t>nforme</w:t>
      </w:r>
      <w:r w:rsidR="0090766E" w:rsidRPr="00DF239E">
        <w:rPr>
          <w:rFonts w:ascii="Cambria" w:hAnsi="Cambria" w:cs="Calibri"/>
          <w:color w:val="000000"/>
          <w:sz w:val="20"/>
          <w:szCs w:val="20"/>
          <w:lang w:val="es-ES"/>
        </w:rPr>
        <w:t xml:space="preserve"> de Fondo No.</w:t>
      </w:r>
      <w:r w:rsidRPr="00DF239E">
        <w:rPr>
          <w:rFonts w:ascii="Cambria" w:hAnsi="Cambria" w:cs="Calibri"/>
          <w:color w:val="000000"/>
          <w:sz w:val="20"/>
          <w:szCs w:val="20"/>
          <w:lang w:val="es-ES"/>
        </w:rPr>
        <w:t xml:space="preserve"> </w:t>
      </w:r>
      <w:r w:rsidR="00C56ABB">
        <w:rPr>
          <w:rFonts w:ascii="Cambria" w:hAnsi="Cambria" w:cs="Calibri"/>
          <w:color w:val="000000"/>
          <w:sz w:val="20"/>
          <w:szCs w:val="20"/>
          <w:lang w:val="es-ES"/>
        </w:rPr>
        <w:t>11/20</w:t>
      </w:r>
      <w:r w:rsidRPr="00DF239E">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C56ABB">
        <w:rPr>
          <w:rFonts w:ascii="Cambria" w:hAnsi="Cambria" w:cs="Calibri"/>
          <w:color w:val="000000"/>
          <w:sz w:val="20"/>
          <w:szCs w:val="20"/>
          <w:lang w:val="es-ES"/>
        </w:rPr>
        <w:t>11/20</w:t>
      </w:r>
      <w:r w:rsidR="00625C17" w:rsidRPr="00DF239E">
        <w:rPr>
          <w:rFonts w:ascii="Cambria" w:hAnsi="Cambria" w:cs="Calibri"/>
          <w:color w:val="000000"/>
          <w:sz w:val="20"/>
          <w:szCs w:val="20"/>
          <w:lang w:val="es-ES"/>
        </w:rPr>
        <w:t xml:space="preserve"> </w:t>
      </w:r>
      <w:r w:rsidR="00F353B3" w:rsidRPr="00DF239E">
        <w:rPr>
          <w:rFonts w:ascii="Cambria" w:hAnsi="Cambria" w:cs="Calibri"/>
          <w:color w:val="000000"/>
          <w:sz w:val="20"/>
          <w:szCs w:val="20"/>
          <w:lang w:val="es-ES"/>
        </w:rPr>
        <w:t xml:space="preserve">(Anexos). </w:t>
      </w:r>
    </w:p>
    <w:p w14:paraId="19D33785" w14:textId="77777777" w:rsidR="00DF3621" w:rsidRPr="00DF239E" w:rsidRDefault="00DF3621" w:rsidP="00F8734F">
      <w:pPr>
        <w:spacing w:after="0" w:line="240" w:lineRule="auto"/>
        <w:ind w:firstLine="720"/>
        <w:jc w:val="both"/>
        <w:rPr>
          <w:rFonts w:ascii="Cambria" w:hAnsi="Cambria" w:cs="Calibri"/>
          <w:color w:val="000000"/>
          <w:sz w:val="20"/>
          <w:szCs w:val="20"/>
          <w:lang w:val="es-ES"/>
        </w:rPr>
      </w:pPr>
    </w:p>
    <w:p w14:paraId="5705A748" w14:textId="77777777" w:rsidR="005376D9" w:rsidRDefault="00F353B3" w:rsidP="00F8734F">
      <w:pPr>
        <w:tabs>
          <w:tab w:val="left" w:pos="810"/>
        </w:tabs>
        <w:spacing w:after="0" w:line="240" w:lineRule="auto"/>
        <w:ind w:firstLine="720"/>
        <w:jc w:val="both"/>
        <w:rPr>
          <w:rFonts w:ascii="Cambria" w:hAnsi="Cambria" w:cs="Calibri"/>
          <w:color w:val="000000"/>
          <w:sz w:val="20"/>
          <w:szCs w:val="20"/>
          <w:lang w:val="es-CO"/>
        </w:rPr>
      </w:pPr>
      <w:r w:rsidRPr="00DF239E">
        <w:rPr>
          <w:rFonts w:ascii="Cambria" w:hAnsi="Cambria" w:cs="Calibri"/>
          <w:color w:val="000000"/>
          <w:sz w:val="20"/>
          <w:szCs w:val="20"/>
          <w:lang w:val="es-ES"/>
        </w:rPr>
        <w:t>Dicho Informe de F</w:t>
      </w:r>
      <w:r w:rsidR="0042403B" w:rsidRPr="00DF239E">
        <w:rPr>
          <w:rFonts w:ascii="Cambria" w:hAnsi="Cambria" w:cs="Calibri"/>
          <w:color w:val="000000"/>
          <w:sz w:val="20"/>
          <w:szCs w:val="20"/>
          <w:lang w:val="es-ES"/>
        </w:rPr>
        <w:t xml:space="preserve">ondo fue notificado al Estado </w:t>
      </w:r>
      <w:r w:rsidR="00DF3621" w:rsidRPr="00DF239E">
        <w:rPr>
          <w:rFonts w:ascii="Cambria" w:hAnsi="Cambria" w:cs="Calibri"/>
          <w:color w:val="000000"/>
          <w:sz w:val="20"/>
          <w:szCs w:val="20"/>
          <w:lang w:val="es-ES"/>
        </w:rPr>
        <w:t>el</w:t>
      </w:r>
      <w:r w:rsidR="00036FC7" w:rsidRPr="00DF239E">
        <w:rPr>
          <w:rFonts w:ascii="Cambria" w:hAnsi="Cambria" w:cs="Calibri"/>
          <w:color w:val="000000"/>
          <w:sz w:val="20"/>
          <w:szCs w:val="20"/>
          <w:lang w:val="es-ES"/>
        </w:rPr>
        <w:t xml:space="preserve"> </w:t>
      </w:r>
      <w:r w:rsidR="00DC6F3E">
        <w:rPr>
          <w:rFonts w:ascii="Cambria" w:hAnsi="Cambria" w:cs="Calibri"/>
          <w:color w:val="000000"/>
          <w:sz w:val="20"/>
          <w:szCs w:val="20"/>
          <w:lang w:val="es-ES"/>
        </w:rPr>
        <w:t>7 de mayo de 2020</w:t>
      </w:r>
      <w:r w:rsidR="0042403B" w:rsidRPr="00DF239E">
        <w:rPr>
          <w:rFonts w:ascii="Cambria" w:hAnsi="Cambria" w:cs="Calibri"/>
          <w:color w:val="000000"/>
          <w:sz w:val="20"/>
          <w:szCs w:val="20"/>
          <w:lang w:val="es-ES"/>
        </w:rPr>
        <w:t xml:space="preserve">, otorgándole un plazo de dos meses para informar sobre el cumplimiento de las recomendaciones. </w:t>
      </w:r>
      <w:r w:rsidR="00DC6F3E">
        <w:rPr>
          <w:rFonts w:ascii="Cambria" w:hAnsi="Cambria" w:cs="Calibri"/>
          <w:color w:val="000000"/>
          <w:sz w:val="20"/>
          <w:szCs w:val="20"/>
          <w:lang w:val="es-ES"/>
        </w:rPr>
        <w:t>E</w:t>
      </w:r>
      <w:r w:rsidR="00DC6F3E" w:rsidRPr="005732E8">
        <w:rPr>
          <w:rFonts w:ascii="Cambria" w:eastAsia="Times New Roman" w:hAnsi="Cambria" w:cs="Cambria"/>
          <w:sz w:val="20"/>
          <w:szCs w:val="20"/>
          <w:lang w:val="es-CO"/>
        </w:rPr>
        <w:t xml:space="preserve">l </w:t>
      </w:r>
      <w:r w:rsidR="00DC6F3E">
        <w:rPr>
          <w:rFonts w:ascii="Cambria" w:eastAsia="Times New Roman" w:hAnsi="Cambria" w:cs="Cambria"/>
          <w:sz w:val="20"/>
          <w:szCs w:val="20"/>
          <w:lang w:val="es-CO"/>
        </w:rPr>
        <w:t xml:space="preserve">10 de julio de 2020 el </w:t>
      </w:r>
      <w:r w:rsidR="00DC6F3E" w:rsidRPr="005732E8">
        <w:rPr>
          <w:rFonts w:ascii="Cambria" w:eastAsia="Times New Roman" w:hAnsi="Cambria" w:cs="Cambria"/>
          <w:sz w:val="20"/>
          <w:szCs w:val="20"/>
          <w:lang w:val="es-CO"/>
        </w:rPr>
        <w:t xml:space="preserve">Estado </w:t>
      </w:r>
      <w:r w:rsidR="00DC6F3E">
        <w:rPr>
          <w:rFonts w:ascii="Cambria" w:eastAsia="Times New Roman" w:hAnsi="Cambria" w:cs="Cambria"/>
          <w:sz w:val="20"/>
          <w:szCs w:val="20"/>
          <w:lang w:val="es-CO"/>
        </w:rPr>
        <w:t>de Guatemala solicitó una prórroga. Sin embargo, el Estado no renunció</w:t>
      </w:r>
      <w:r w:rsidR="00DC6F3E">
        <w:rPr>
          <w:rFonts w:ascii="Cambria" w:hAnsi="Cambria" w:cs="Arial"/>
          <w:sz w:val="20"/>
          <w:szCs w:val="20"/>
          <w:lang w:val="es-ES"/>
        </w:rPr>
        <w:t xml:space="preserve"> a interponer una excepción preliminar de acuerdo a lo establecido en el artículo 46.1(b) del Reglamento de la Comisión, ni al momento de la solicitud de la prórroga ni posteriormente. </w:t>
      </w:r>
      <w:r w:rsidR="00182ABB">
        <w:rPr>
          <w:rFonts w:ascii="Cambria" w:hAnsi="Cambria" w:cs="Calibri"/>
          <w:color w:val="000000"/>
          <w:sz w:val="20"/>
          <w:szCs w:val="20"/>
          <w:lang w:val="es-ES"/>
        </w:rPr>
        <w:t>Con base en ello</w:t>
      </w:r>
      <w:r w:rsidR="005376D9" w:rsidRPr="00DF239E">
        <w:rPr>
          <w:rFonts w:ascii="Cambria" w:hAnsi="Cambria" w:cs="Calibri"/>
          <w:color w:val="000000"/>
          <w:sz w:val="20"/>
          <w:szCs w:val="20"/>
          <w:lang w:val="es-ES"/>
        </w:rPr>
        <w:t>,</w:t>
      </w:r>
      <w:r w:rsidR="00182ABB">
        <w:rPr>
          <w:rFonts w:ascii="Cambria" w:hAnsi="Cambria" w:cs="Calibri"/>
          <w:color w:val="000000"/>
          <w:sz w:val="20"/>
          <w:szCs w:val="20"/>
          <w:lang w:val="es-ES"/>
        </w:rPr>
        <w:t xml:space="preserve"> y</w:t>
      </w:r>
      <w:r w:rsidR="005376D9" w:rsidRPr="00DF239E">
        <w:rPr>
          <w:rFonts w:ascii="Cambria" w:hAnsi="Cambria" w:cs="Calibri"/>
          <w:color w:val="000000"/>
          <w:sz w:val="20"/>
          <w:szCs w:val="20"/>
          <w:lang w:val="es-ES"/>
        </w:rPr>
        <w:t xml:space="preserve"> teniendo en cuenta </w:t>
      </w:r>
      <w:r w:rsidR="004F4E7F" w:rsidRPr="00DF239E">
        <w:rPr>
          <w:rFonts w:ascii="Cambria" w:hAnsi="Cambria" w:cs="Calibri"/>
          <w:color w:val="000000"/>
          <w:sz w:val="20"/>
          <w:szCs w:val="20"/>
          <w:lang w:val="es-ES"/>
        </w:rPr>
        <w:t xml:space="preserve">la </w:t>
      </w:r>
      <w:r w:rsidR="00DC6F3E">
        <w:rPr>
          <w:rFonts w:ascii="Cambria" w:hAnsi="Cambria" w:cs="Calibri"/>
          <w:color w:val="000000"/>
          <w:sz w:val="20"/>
          <w:szCs w:val="20"/>
          <w:lang w:val="es-ES"/>
        </w:rPr>
        <w:t xml:space="preserve">posición de la parte peticionaria, así como la </w:t>
      </w:r>
      <w:r w:rsidR="005376D9" w:rsidRPr="00DF239E">
        <w:rPr>
          <w:rFonts w:ascii="Cambria" w:hAnsi="Cambria" w:cs="Calibri"/>
          <w:color w:val="000000"/>
          <w:sz w:val="20"/>
          <w:szCs w:val="20"/>
          <w:lang w:val="es-ES"/>
        </w:rPr>
        <w:t xml:space="preserve">necesidad de obtención de justicia y reparación para las víctimas, </w:t>
      </w:r>
      <w:r w:rsidR="004F4E7F" w:rsidRPr="00DF239E">
        <w:rPr>
          <w:rFonts w:ascii="Cambria" w:hAnsi="Cambria" w:cs="Calibri"/>
          <w:color w:val="000000"/>
          <w:sz w:val="20"/>
          <w:szCs w:val="20"/>
          <w:lang w:val="es-CO"/>
        </w:rPr>
        <w:t>la Comisión decidió someter el caso a la jurisdicción de la Corte</w:t>
      </w:r>
      <w:r w:rsidR="00DC6F3E">
        <w:rPr>
          <w:rFonts w:ascii="Cambria" w:hAnsi="Cambria" w:cs="Calibri"/>
          <w:color w:val="000000"/>
          <w:sz w:val="20"/>
          <w:szCs w:val="20"/>
          <w:lang w:val="es-CO"/>
        </w:rPr>
        <w:t xml:space="preserve"> </w:t>
      </w:r>
      <w:r w:rsidR="00933F82">
        <w:rPr>
          <w:rFonts w:ascii="Cambria" w:hAnsi="Cambria" w:cs="Calibri"/>
          <w:color w:val="000000"/>
          <w:sz w:val="20"/>
          <w:szCs w:val="20"/>
          <w:lang w:val="es-CO"/>
        </w:rPr>
        <w:t>Interamericana</w:t>
      </w:r>
      <w:r w:rsidR="004F4E7F" w:rsidRPr="00DF239E">
        <w:rPr>
          <w:rFonts w:ascii="Cambria" w:hAnsi="Cambria" w:cs="Calibri"/>
          <w:color w:val="000000"/>
          <w:sz w:val="20"/>
          <w:szCs w:val="20"/>
          <w:lang w:val="es-CO"/>
        </w:rPr>
        <w:t>.</w:t>
      </w:r>
    </w:p>
    <w:p w14:paraId="0EEF5751" w14:textId="77777777" w:rsidR="00DC6F3E" w:rsidRDefault="00DC6F3E" w:rsidP="00F8734F">
      <w:pPr>
        <w:tabs>
          <w:tab w:val="left" w:pos="810"/>
        </w:tabs>
        <w:spacing w:after="0" w:line="240" w:lineRule="auto"/>
        <w:ind w:firstLine="720"/>
        <w:jc w:val="both"/>
        <w:rPr>
          <w:rFonts w:ascii="Cambria" w:hAnsi="Cambria" w:cs="Calibri"/>
          <w:color w:val="000000"/>
          <w:sz w:val="20"/>
          <w:szCs w:val="20"/>
          <w:lang w:val="es-CO"/>
        </w:rPr>
      </w:pPr>
    </w:p>
    <w:p w14:paraId="0EF56FF5" w14:textId="77777777" w:rsidR="00D60041" w:rsidRPr="003905C6" w:rsidRDefault="00D60041" w:rsidP="00D60041">
      <w:pPr>
        <w:pStyle w:val="parrafos"/>
        <w:tabs>
          <w:tab w:val="left" w:pos="360"/>
          <w:tab w:val="left" w:pos="450"/>
        </w:tabs>
        <w:rPr>
          <w:rFonts w:eastAsia="Calibri"/>
          <w:bdr w:val="none" w:sz="0" w:space="0" w:color="auto"/>
          <w:lang w:val="es-ES_tradnl"/>
        </w:rPr>
      </w:pPr>
      <w:r>
        <w:rPr>
          <w:rFonts w:cs="Calibri"/>
          <w:lang w:val="es-CO"/>
        </w:rPr>
        <w:tab/>
      </w:r>
      <w:r>
        <w:rPr>
          <w:rFonts w:cs="Calibri"/>
          <w:lang w:val="es-CO"/>
        </w:rPr>
        <w:tab/>
      </w:r>
      <w:r>
        <w:rPr>
          <w:rFonts w:cs="Calibri"/>
          <w:lang w:val="es-CO"/>
        </w:rPr>
        <w:tab/>
      </w:r>
      <w:r w:rsidR="00143EB4" w:rsidRPr="00DF239E">
        <w:rPr>
          <w:rFonts w:cs="Calibri"/>
          <w:lang w:val="es-CO"/>
        </w:rPr>
        <w:t xml:space="preserve">En ese sentido, la Comisión solicita a la </w:t>
      </w:r>
      <w:r w:rsidR="00707281" w:rsidRPr="00DF239E">
        <w:rPr>
          <w:rFonts w:cs="Calibri"/>
          <w:lang w:val="es-CO"/>
        </w:rPr>
        <w:t xml:space="preserve">Honorable </w:t>
      </w:r>
      <w:r w:rsidR="00143EB4" w:rsidRPr="00DF239E">
        <w:rPr>
          <w:rFonts w:cs="Calibri"/>
          <w:lang w:val="es-CO"/>
        </w:rPr>
        <w:t xml:space="preserve">Corte que concluya y declare que el Estado de </w:t>
      </w:r>
      <w:r w:rsidR="00232CA3">
        <w:rPr>
          <w:rFonts w:cs="Calibri"/>
          <w:lang w:val="es-CO"/>
        </w:rPr>
        <w:t>Guatemala</w:t>
      </w:r>
      <w:r w:rsidR="00143EB4" w:rsidRPr="00DF239E">
        <w:rPr>
          <w:rFonts w:cs="Calibri"/>
          <w:lang w:val="es-CO"/>
        </w:rPr>
        <w:t xml:space="preserve"> </w:t>
      </w:r>
      <w:r w:rsidR="00D902D7" w:rsidRPr="00DF239E">
        <w:rPr>
          <w:rFonts w:cs="Calibri"/>
          <w:lang w:val="es-ES"/>
        </w:rPr>
        <w:t>es responsable por la violación de los derechos</w:t>
      </w:r>
      <w:r w:rsidR="001C1D26" w:rsidRPr="00540E96">
        <w:rPr>
          <w:rFonts w:cs="Arial"/>
          <w:bCs/>
          <w:lang w:val="es-CO"/>
        </w:rPr>
        <w:t xml:space="preserve"> reconocidos en los artículos </w:t>
      </w:r>
      <w:r>
        <w:rPr>
          <w:rFonts w:eastAsia="Calibri"/>
          <w:bdr w:val="none" w:sz="0" w:space="0" w:color="auto"/>
          <w:lang w:val="es-ES_tradnl"/>
        </w:rPr>
        <w:t xml:space="preserve">3 (reconocimiento de la personalidad jurídica), 5.1 (integridad personal), </w:t>
      </w:r>
      <w:r w:rsidRPr="003905C6">
        <w:rPr>
          <w:rFonts w:eastAsia="Calibri"/>
          <w:bdr w:val="none" w:sz="0" w:space="0" w:color="auto"/>
          <w:lang w:val="es-ES_tradnl"/>
        </w:rPr>
        <w:t>8.1 (garantías judiciales), 13 (libertad de pensamiento y expresión),</w:t>
      </w:r>
      <w:r w:rsidRPr="003905C6">
        <w:rPr>
          <w:rFonts w:eastAsia="Batang" w:cs="Arial"/>
          <w:bdr w:val="none" w:sz="0" w:space="0" w:color="auto"/>
          <w:lang w:val="es-ES"/>
        </w:rPr>
        <w:t xml:space="preserve"> 21 (propiedad colectiva),</w:t>
      </w:r>
      <w:r w:rsidRPr="003905C6">
        <w:rPr>
          <w:rFonts w:eastAsia="Calibri"/>
          <w:bdr w:val="none" w:sz="0" w:space="0" w:color="auto"/>
          <w:lang w:val="es-ES_tradnl"/>
        </w:rPr>
        <w:t xml:space="preserve"> 23 (derechos políticos), </w:t>
      </w:r>
      <w:r>
        <w:rPr>
          <w:rFonts w:eastAsia="Calibri"/>
          <w:bdr w:val="none" w:sz="0" w:space="0" w:color="auto"/>
          <w:lang w:val="es-ES_tradnl"/>
        </w:rPr>
        <w:t xml:space="preserve">y </w:t>
      </w:r>
      <w:r w:rsidRPr="003905C6">
        <w:rPr>
          <w:rFonts w:eastAsia="Calibri"/>
          <w:bdr w:val="none" w:sz="0" w:space="0" w:color="auto"/>
          <w:lang w:val="es-ES_tradnl"/>
        </w:rPr>
        <w:t>25.1 (protección judicial) de la Convención Americana, en relación con los artículos 1.1 y 2 del mismo instrumento</w:t>
      </w:r>
      <w:r>
        <w:rPr>
          <w:rFonts w:eastAsia="Calibri"/>
          <w:bdr w:val="none" w:sz="0" w:space="0" w:color="auto"/>
          <w:lang w:val="es-ES_tradnl"/>
        </w:rPr>
        <w:t xml:space="preserve">, en perjuicio de la </w:t>
      </w:r>
      <w:r w:rsidRPr="000F4B43">
        <w:rPr>
          <w:rFonts w:cs="Calibri"/>
          <w:lang w:val="es-ES"/>
        </w:rPr>
        <w:t>Comunidad Maya Q’eqchi’ Agua Caliente</w:t>
      </w:r>
      <w:r w:rsidRPr="003905C6">
        <w:rPr>
          <w:rFonts w:eastAsia="Calibri"/>
          <w:bdr w:val="none" w:sz="0" w:space="0" w:color="auto"/>
          <w:lang w:val="es-ES_tradnl"/>
        </w:rPr>
        <w:t xml:space="preserve">.  </w:t>
      </w:r>
    </w:p>
    <w:p w14:paraId="78D4BFF3" w14:textId="77777777" w:rsidR="00232CA3" w:rsidRPr="00D60041" w:rsidRDefault="00232CA3" w:rsidP="00D60041">
      <w:pPr>
        <w:pStyle w:val="parrafos"/>
        <w:tabs>
          <w:tab w:val="left" w:pos="360"/>
          <w:tab w:val="left" w:pos="450"/>
        </w:tabs>
        <w:rPr>
          <w:rFonts w:cs="Arial"/>
          <w:bCs/>
          <w:lang w:val="es-ES_tradnl"/>
        </w:rPr>
      </w:pPr>
    </w:p>
    <w:p w14:paraId="14D4C517" w14:textId="77777777" w:rsidR="00670828" w:rsidRPr="00DF239E" w:rsidRDefault="00162CE1" w:rsidP="00F8734F">
      <w:pPr>
        <w:tabs>
          <w:tab w:val="left" w:pos="810"/>
        </w:tabs>
        <w:autoSpaceDE w:val="0"/>
        <w:autoSpaceDN w:val="0"/>
        <w:adjustRightInd w:val="0"/>
        <w:spacing w:after="0" w:line="240" w:lineRule="auto"/>
        <w:ind w:firstLine="720"/>
        <w:jc w:val="both"/>
        <w:rPr>
          <w:rFonts w:ascii="Cambria" w:hAnsi="Cambria" w:cs="Calibri"/>
          <w:color w:val="000000"/>
          <w:sz w:val="20"/>
          <w:szCs w:val="20"/>
          <w:lang w:val="es-CO"/>
        </w:rPr>
      </w:pPr>
      <w:r w:rsidRPr="00DF239E">
        <w:rPr>
          <w:rFonts w:ascii="Cambria" w:hAnsi="Cambria" w:cs="Calibri"/>
          <w:color w:val="000000"/>
          <w:sz w:val="20"/>
          <w:szCs w:val="20"/>
          <w:lang w:val="es-ES"/>
        </w:rPr>
        <w:t xml:space="preserve">En consecuencia, la Comisión solicita a la Corte Interamericana que </w:t>
      </w:r>
      <w:r w:rsidR="00670828" w:rsidRPr="00DF239E">
        <w:rPr>
          <w:rFonts w:ascii="Cambria" w:hAnsi="Cambria" w:cs="Calibri"/>
          <w:color w:val="000000"/>
          <w:sz w:val="20"/>
          <w:szCs w:val="20"/>
          <w:lang w:val="es-CO"/>
        </w:rPr>
        <w:t>establezca las siguientes medidas de reparación:</w:t>
      </w:r>
    </w:p>
    <w:p w14:paraId="4199C7EA" w14:textId="77777777" w:rsidR="00162CE1" w:rsidRPr="00DF239E" w:rsidRDefault="00162CE1" w:rsidP="00F8734F">
      <w:pPr>
        <w:spacing w:after="0" w:line="240" w:lineRule="auto"/>
        <w:ind w:firstLine="720"/>
        <w:jc w:val="both"/>
        <w:rPr>
          <w:rFonts w:ascii="Cambria" w:hAnsi="Cambria" w:cs="Calibri"/>
          <w:color w:val="000000"/>
          <w:sz w:val="20"/>
          <w:szCs w:val="20"/>
          <w:lang w:val="es-ES"/>
        </w:rPr>
      </w:pPr>
    </w:p>
    <w:p w14:paraId="43973D91" w14:textId="77777777" w:rsidR="00AE6051" w:rsidRPr="003905C6" w:rsidRDefault="00AE6051" w:rsidP="00AE6051">
      <w:pPr>
        <w:numPr>
          <w:ilvl w:val="3"/>
          <w:numId w:val="10"/>
        </w:numPr>
        <w:tabs>
          <w:tab w:val="clear" w:pos="3240"/>
          <w:tab w:val="num" w:pos="0"/>
          <w:tab w:val="left" w:pos="45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3905C6">
        <w:rPr>
          <w:rFonts w:ascii="Cambria" w:hAnsi="Cambria" w:cs="Arial"/>
          <w:sz w:val="20"/>
          <w:szCs w:val="20"/>
          <w:lang w:val="es-ES"/>
        </w:rPr>
        <w:t xml:space="preserve">Adoptar a la mayor brevedad posible todas las medidas necesarias para hacer efectivo el derecho a la propiedad colectiva y la posesión </w:t>
      </w:r>
      <w:r>
        <w:rPr>
          <w:rFonts w:ascii="Cambria" w:hAnsi="Cambria" w:cs="Arial"/>
          <w:sz w:val="20"/>
          <w:szCs w:val="20"/>
          <w:lang w:val="es-ES"/>
        </w:rPr>
        <w:t>de la Comunidad Maya Q’eqchi’ Agua Caliente</w:t>
      </w:r>
      <w:r w:rsidRPr="003905C6">
        <w:rPr>
          <w:rFonts w:ascii="Cambria" w:hAnsi="Cambria" w:cs="Arial"/>
          <w:sz w:val="20"/>
          <w:szCs w:val="20"/>
          <w:lang w:val="es-ES"/>
        </w:rPr>
        <w:t xml:space="preserve">, </w:t>
      </w:r>
      <w:r>
        <w:rPr>
          <w:rFonts w:ascii="Cambria" w:hAnsi="Cambria" w:cs="Arial"/>
          <w:sz w:val="20"/>
          <w:szCs w:val="20"/>
          <w:lang w:val="es-ES"/>
        </w:rPr>
        <w:t xml:space="preserve">otorgar </w:t>
      </w:r>
      <w:r w:rsidRPr="003905C6">
        <w:rPr>
          <w:rFonts w:ascii="Cambria" w:hAnsi="Cambria" w:cs="Arial"/>
          <w:sz w:val="20"/>
          <w:szCs w:val="20"/>
          <w:lang w:val="es-ES"/>
        </w:rPr>
        <w:t xml:space="preserve">la titulación completa y </w:t>
      </w:r>
      <w:r w:rsidRPr="003905C6">
        <w:rPr>
          <w:rFonts w:ascii="Cambria" w:eastAsia="Times" w:hAnsi="Cambria" w:cs="Arial"/>
          <w:sz w:val="20"/>
          <w:szCs w:val="20"/>
          <w:lang w:val="es-ES"/>
        </w:rPr>
        <w:t>el saneamiento efectivo de su territorio ancestral. El Estado deberá asegurar que estas medidas</w:t>
      </w:r>
      <w:r>
        <w:rPr>
          <w:rFonts w:ascii="Cambria" w:eastAsia="Times" w:hAnsi="Cambria" w:cs="Arial"/>
          <w:sz w:val="20"/>
          <w:szCs w:val="20"/>
          <w:lang w:val="es-ES"/>
        </w:rPr>
        <w:t xml:space="preserve"> </w:t>
      </w:r>
      <w:r w:rsidRPr="003905C6">
        <w:rPr>
          <w:rFonts w:ascii="Cambria" w:eastAsia="Times" w:hAnsi="Cambria" w:cs="Arial"/>
          <w:sz w:val="20"/>
          <w:szCs w:val="20"/>
          <w:lang w:val="es-ES"/>
        </w:rPr>
        <w:t xml:space="preserve">sean conducentes para </w:t>
      </w:r>
      <w:r>
        <w:rPr>
          <w:rFonts w:ascii="Cambria" w:hAnsi="Cambria" w:cs="Arial"/>
          <w:sz w:val="20"/>
          <w:szCs w:val="20"/>
          <w:lang w:val="es-ES"/>
        </w:rPr>
        <w:t xml:space="preserve">garantizar de manera efectiva </w:t>
      </w:r>
      <w:r w:rsidRPr="003905C6">
        <w:rPr>
          <w:rFonts w:ascii="Cambria" w:hAnsi="Cambria" w:cs="Arial"/>
          <w:sz w:val="20"/>
          <w:szCs w:val="20"/>
          <w:lang w:val="es-ES"/>
        </w:rPr>
        <w:t xml:space="preserve">la libre determinación de los miembros </w:t>
      </w:r>
      <w:r>
        <w:rPr>
          <w:rFonts w:ascii="Cambria" w:hAnsi="Cambria" w:cs="Arial"/>
          <w:sz w:val="20"/>
          <w:szCs w:val="20"/>
          <w:lang w:val="es-ES"/>
        </w:rPr>
        <w:t>de la Comunidad</w:t>
      </w:r>
      <w:r w:rsidRPr="003905C6">
        <w:rPr>
          <w:rFonts w:ascii="Cambria" w:hAnsi="Cambria" w:cs="Arial"/>
          <w:sz w:val="20"/>
          <w:szCs w:val="20"/>
          <w:lang w:val="es-ES"/>
        </w:rPr>
        <w:t xml:space="preserve"> </w:t>
      </w:r>
      <w:r>
        <w:rPr>
          <w:rFonts w:ascii="Cambria" w:hAnsi="Cambria" w:cs="Arial"/>
          <w:sz w:val="20"/>
          <w:szCs w:val="20"/>
          <w:lang w:val="es-ES"/>
        </w:rPr>
        <w:t>Maya Q’eqchi’ Agua Caliente</w:t>
      </w:r>
      <w:r w:rsidRPr="003905C6">
        <w:rPr>
          <w:rFonts w:ascii="Cambria" w:hAnsi="Cambria" w:cs="Arial"/>
          <w:sz w:val="20"/>
          <w:szCs w:val="20"/>
          <w:lang w:val="es-ES"/>
        </w:rPr>
        <w:t xml:space="preserve"> y su derecho a </w:t>
      </w:r>
      <w:r w:rsidRPr="003905C6">
        <w:rPr>
          <w:rFonts w:ascii="Cambria" w:hAnsi="Cambria"/>
          <w:sz w:val="20"/>
          <w:szCs w:val="20"/>
          <w:lang w:val="es-ES"/>
        </w:rPr>
        <w:t>vivir de manera pacífica su modo de vida tradicional, conforme a su identidad cultural, estructura social, sistema económico, costumbres, creencias y tradiciones distintivas.</w:t>
      </w:r>
    </w:p>
    <w:p w14:paraId="1C21AA30" w14:textId="77777777" w:rsidR="00AE6051" w:rsidRDefault="00AE6051" w:rsidP="00AE6051">
      <w:pPr>
        <w:tabs>
          <w:tab w:val="left" w:pos="450"/>
          <w:tab w:val="left" w:pos="1440"/>
        </w:tabs>
        <w:autoSpaceDE w:val="0"/>
        <w:autoSpaceDN w:val="0"/>
        <w:adjustRightInd w:val="0"/>
        <w:spacing w:after="0" w:line="240" w:lineRule="auto"/>
        <w:ind w:left="720" w:right="720"/>
        <w:jc w:val="both"/>
        <w:rPr>
          <w:rFonts w:ascii="Cambria" w:hAnsi="Cambria" w:cs="Arial"/>
          <w:sz w:val="20"/>
          <w:szCs w:val="20"/>
          <w:lang w:val="es-ES"/>
        </w:rPr>
      </w:pPr>
    </w:p>
    <w:p w14:paraId="528AA3FD" w14:textId="77777777" w:rsidR="00AE6051" w:rsidRPr="00AE6051" w:rsidRDefault="00AE6051" w:rsidP="00AE6051">
      <w:pPr>
        <w:numPr>
          <w:ilvl w:val="3"/>
          <w:numId w:val="10"/>
        </w:numPr>
        <w:tabs>
          <w:tab w:val="clear" w:pos="3240"/>
          <w:tab w:val="num" w:pos="0"/>
          <w:tab w:val="left" w:pos="45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3905C6">
        <w:rPr>
          <w:rFonts w:ascii="Cambria" w:hAnsi="Cambria" w:cs="Arial"/>
          <w:sz w:val="20"/>
          <w:szCs w:val="20"/>
          <w:lang w:val="es-ES"/>
        </w:rPr>
        <w:t>Reparar</w:t>
      </w:r>
      <w:r w:rsidRPr="003905C6">
        <w:rPr>
          <w:rFonts w:ascii="Cambria" w:hAnsi="Cambria"/>
          <w:sz w:val="20"/>
          <w:szCs w:val="20"/>
          <w:lang w:val="es-ES"/>
        </w:rPr>
        <w:t xml:space="preserve"> integralmente las </w:t>
      </w:r>
      <w:r w:rsidRPr="00AE6051">
        <w:rPr>
          <w:rFonts w:ascii="Cambria" w:hAnsi="Cambria"/>
          <w:sz w:val="20"/>
          <w:szCs w:val="20"/>
          <w:lang w:val="es-ES"/>
        </w:rPr>
        <w:t xml:space="preserve">consecuencias de las violaciones declaradas en el informe de fondo. En especial, los daños provocados a la Comunidad por la falta de titulación de su territorio ancestral, así como los daños causados por el proyecto minero a su territorio. </w:t>
      </w:r>
    </w:p>
    <w:p w14:paraId="2BC215BA" w14:textId="77777777" w:rsidR="00AE6051" w:rsidRPr="00AE6051" w:rsidRDefault="00AE6051" w:rsidP="00AE6051">
      <w:pPr>
        <w:tabs>
          <w:tab w:val="left" w:pos="450"/>
          <w:tab w:val="left" w:pos="1440"/>
        </w:tabs>
        <w:autoSpaceDE w:val="0"/>
        <w:autoSpaceDN w:val="0"/>
        <w:adjustRightInd w:val="0"/>
        <w:spacing w:after="0" w:line="240" w:lineRule="auto"/>
        <w:ind w:right="720"/>
        <w:jc w:val="both"/>
        <w:rPr>
          <w:rFonts w:ascii="Cambria" w:hAnsi="Cambria" w:cs="Arial"/>
          <w:sz w:val="20"/>
          <w:szCs w:val="20"/>
          <w:lang w:val="es-ES"/>
        </w:rPr>
      </w:pPr>
    </w:p>
    <w:p w14:paraId="4FC83ADD" w14:textId="77777777" w:rsidR="00AE6051" w:rsidRPr="00AE6051" w:rsidRDefault="00AE6051" w:rsidP="00AE6051">
      <w:pPr>
        <w:numPr>
          <w:ilvl w:val="3"/>
          <w:numId w:val="10"/>
        </w:numPr>
        <w:tabs>
          <w:tab w:val="clear" w:pos="3240"/>
          <w:tab w:val="num" w:pos="0"/>
          <w:tab w:val="left" w:pos="45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AE6051">
        <w:rPr>
          <w:rFonts w:ascii="Cambria" w:hAnsi="Cambria" w:cs="Arial"/>
          <w:sz w:val="20"/>
          <w:szCs w:val="20"/>
          <w:lang w:val="es-ES"/>
        </w:rPr>
        <w:t>Asegurar que toda medida legislativa o administrativa o proyecto, incluyendo aquellos relacionados con concesiones y actividades empresariales, susceptible de afectar a la Comunidad Maya Q’eqchi’ Agua Caliente no inicie o se continúe ejecutando mientras no se haya cumplido con los estándares interamericanos en materia de consulta y consentimiento previo, libre e informado</w:t>
      </w:r>
      <w:r w:rsidRPr="00AE6051">
        <w:rPr>
          <w:rFonts w:ascii="Cambria" w:hAnsi="Cambria"/>
          <w:sz w:val="20"/>
          <w:szCs w:val="20"/>
          <w:lang w:val="es-US"/>
        </w:rPr>
        <w:t>.</w:t>
      </w:r>
    </w:p>
    <w:p w14:paraId="4F871643" w14:textId="77777777" w:rsidR="00AE6051" w:rsidRPr="00AE6051" w:rsidRDefault="00AE6051" w:rsidP="00AE6051">
      <w:pPr>
        <w:tabs>
          <w:tab w:val="left" w:pos="450"/>
          <w:tab w:val="left" w:pos="1440"/>
        </w:tabs>
        <w:autoSpaceDE w:val="0"/>
        <w:autoSpaceDN w:val="0"/>
        <w:adjustRightInd w:val="0"/>
        <w:spacing w:after="0" w:line="240" w:lineRule="auto"/>
        <w:ind w:left="720" w:right="720"/>
        <w:jc w:val="both"/>
        <w:rPr>
          <w:rFonts w:ascii="Cambria" w:hAnsi="Cambria" w:cs="Arial"/>
          <w:sz w:val="20"/>
          <w:szCs w:val="20"/>
          <w:lang w:val="es-ES"/>
        </w:rPr>
      </w:pPr>
    </w:p>
    <w:p w14:paraId="0C6DEA59" w14:textId="77777777" w:rsidR="00AE6051" w:rsidRPr="00AE6051" w:rsidRDefault="00AE6051" w:rsidP="00AE6051">
      <w:pPr>
        <w:numPr>
          <w:ilvl w:val="3"/>
          <w:numId w:val="10"/>
        </w:numPr>
        <w:tabs>
          <w:tab w:val="clear" w:pos="3240"/>
          <w:tab w:val="num" w:pos="0"/>
          <w:tab w:val="left" w:pos="45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AE6051">
        <w:rPr>
          <w:rFonts w:ascii="Cambria" w:hAnsi="Cambria" w:cs="Arial"/>
          <w:sz w:val="20"/>
          <w:szCs w:val="20"/>
          <w:lang w:val="es-ES"/>
        </w:rPr>
        <w:t xml:space="preserve">Asegurar que de existir recursos judiciales pendientes interpuestos por la Comunidad Maya Q’eqchi’ Agua Caliente, los mismos sean resueltos de manera pronta y efectuando un control de convencionalidad conforme a las obligaciones internacionales del Estado bajo la Convención Americana. </w:t>
      </w:r>
    </w:p>
    <w:p w14:paraId="6FC42249" w14:textId="77777777" w:rsidR="00AE6051" w:rsidRPr="00AE6051" w:rsidRDefault="00AE6051" w:rsidP="00AE6051">
      <w:pPr>
        <w:tabs>
          <w:tab w:val="left" w:pos="450"/>
          <w:tab w:val="left" w:pos="1440"/>
          <w:tab w:val="num" w:pos="3240"/>
        </w:tabs>
        <w:autoSpaceDE w:val="0"/>
        <w:autoSpaceDN w:val="0"/>
        <w:adjustRightInd w:val="0"/>
        <w:spacing w:after="0" w:line="240" w:lineRule="auto"/>
        <w:ind w:left="720" w:right="720"/>
        <w:jc w:val="both"/>
        <w:rPr>
          <w:rFonts w:ascii="Cambria" w:hAnsi="Cambria" w:cs="Arial"/>
          <w:sz w:val="20"/>
          <w:szCs w:val="20"/>
          <w:lang w:val="es-ES"/>
        </w:rPr>
      </w:pPr>
    </w:p>
    <w:p w14:paraId="52642F13" w14:textId="77777777" w:rsidR="00AE6051" w:rsidRPr="00AE6051" w:rsidRDefault="00AE6051" w:rsidP="00AE6051">
      <w:pPr>
        <w:numPr>
          <w:ilvl w:val="3"/>
          <w:numId w:val="10"/>
        </w:numPr>
        <w:tabs>
          <w:tab w:val="num" w:pos="0"/>
          <w:tab w:val="left" w:pos="45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AE6051">
        <w:rPr>
          <w:rFonts w:ascii="Cambria" w:hAnsi="Cambria"/>
          <w:sz w:val="20"/>
          <w:szCs w:val="20"/>
          <w:lang w:val="es-ES"/>
        </w:rPr>
        <w:t>Adoptar las medidas legislativas, administrativas o de otra índole necesarias para evitar que en el futuro se produzcan hechos similares; en particular para asegurar contar con:</w:t>
      </w:r>
    </w:p>
    <w:p w14:paraId="686EBCBF" w14:textId="77777777" w:rsidR="00AE6051" w:rsidRPr="00AE6051" w:rsidRDefault="00AE6051" w:rsidP="00AE6051">
      <w:pPr>
        <w:pStyle w:val="Prrafodelista"/>
        <w:tabs>
          <w:tab w:val="left" w:pos="450"/>
          <w:tab w:val="left" w:pos="1440"/>
        </w:tabs>
        <w:rPr>
          <w:rFonts w:eastAsia="Calibri"/>
          <w:sz w:val="20"/>
          <w:szCs w:val="20"/>
          <w:bdr w:val="none" w:sz="0" w:space="0" w:color="auto"/>
          <w:lang w:val="es-ES"/>
        </w:rPr>
      </w:pPr>
    </w:p>
    <w:p w14:paraId="7B4BEB36" w14:textId="77777777" w:rsidR="00AE6051" w:rsidRPr="00AE6051" w:rsidRDefault="00AE6051" w:rsidP="00AE6051">
      <w:pPr>
        <w:numPr>
          <w:ilvl w:val="0"/>
          <w:numId w:val="11"/>
        </w:numPr>
        <w:tabs>
          <w:tab w:val="left" w:pos="450"/>
          <w:tab w:val="left" w:pos="1080"/>
          <w:tab w:val="left" w:pos="1440"/>
          <w:tab w:val="left" w:pos="1800"/>
          <w:tab w:val="left" w:pos="2160"/>
          <w:tab w:val="num" w:pos="3240"/>
        </w:tabs>
        <w:autoSpaceDE w:val="0"/>
        <w:autoSpaceDN w:val="0"/>
        <w:adjustRightInd w:val="0"/>
        <w:spacing w:after="0" w:line="240" w:lineRule="auto"/>
        <w:ind w:left="1440" w:right="1440" w:firstLine="0"/>
        <w:jc w:val="both"/>
        <w:rPr>
          <w:rFonts w:ascii="Cambria" w:hAnsi="Cambria" w:cs="Arial"/>
          <w:sz w:val="20"/>
          <w:szCs w:val="20"/>
          <w:lang w:val="es-ES"/>
        </w:rPr>
      </w:pPr>
      <w:r w:rsidRPr="00AE6051">
        <w:rPr>
          <w:rFonts w:ascii="Cambria" w:hAnsi="Cambria" w:cs="Arial"/>
          <w:sz w:val="20"/>
          <w:szCs w:val="20"/>
          <w:lang w:val="es-ES"/>
        </w:rPr>
        <w:t xml:space="preserve">mecanismos rápidos y efectivos que garanticen el derecho de los pueblos indígenas a reivindicar sus territorios ancestrales y a ejercer </w:t>
      </w:r>
      <w:r w:rsidRPr="00AE6051">
        <w:rPr>
          <w:rFonts w:ascii="Cambria" w:hAnsi="Cambria" w:cs="Arial"/>
          <w:sz w:val="20"/>
          <w:szCs w:val="20"/>
          <w:lang w:val="es-ES"/>
        </w:rPr>
        <w:lastRenderedPageBreak/>
        <w:t xml:space="preserve">pacíficamente su propiedad colectiva, mediante la titulación, demarcación, delimitación y saneamiento. </w:t>
      </w:r>
    </w:p>
    <w:p w14:paraId="2A8B722D" w14:textId="77777777" w:rsidR="00AE6051" w:rsidRPr="00AE6051" w:rsidRDefault="00AE6051" w:rsidP="00AE6051">
      <w:pPr>
        <w:numPr>
          <w:ilvl w:val="0"/>
          <w:numId w:val="11"/>
        </w:numPr>
        <w:tabs>
          <w:tab w:val="left" w:pos="450"/>
          <w:tab w:val="left" w:pos="1080"/>
          <w:tab w:val="left" w:pos="1440"/>
          <w:tab w:val="left" w:pos="1800"/>
          <w:tab w:val="left" w:pos="2160"/>
          <w:tab w:val="num" w:pos="3240"/>
        </w:tabs>
        <w:autoSpaceDE w:val="0"/>
        <w:autoSpaceDN w:val="0"/>
        <w:adjustRightInd w:val="0"/>
        <w:spacing w:after="0" w:line="240" w:lineRule="auto"/>
        <w:ind w:left="1440" w:right="1440" w:firstLine="0"/>
        <w:jc w:val="both"/>
        <w:rPr>
          <w:rFonts w:ascii="Cambria" w:hAnsi="Cambria" w:cs="Arial"/>
          <w:sz w:val="20"/>
          <w:szCs w:val="20"/>
          <w:lang w:val="es-ES"/>
        </w:rPr>
      </w:pPr>
      <w:r w:rsidRPr="00AE6051">
        <w:rPr>
          <w:rFonts w:ascii="Cambria" w:hAnsi="Cambria" w:cs="Arial"/>
          <w:sz w:val="20"/>
          <w:szCs w:val="20"/>
          <w:lang w:val="es-ES"/>
        </w:rPr>
        <w:t xml:space="preserve">mecanismos que garanticen la consulta previa, con la debida participación de la comunidad indígena guatemalteca y </w:t>
      </w:r>
      <w:r w:rsidRPr="00AE6051">
        <w:rPr>
          <w:rFonts w:ascii="Cambria" w:hAnsi="Cambria"/>
          <w:sz w:val="20"/>
          <w:szCs w:val="20"/>
          <w:lang w:val="es-US"/>
        </w:rPr>
        <w:t>que incorporen lo establecido en el Convenio 169 y los estándares internacionales en la materia.</w:t>
      </w:r>
    </w:p>
    <w:p w14:paraId="42A7F00E" w14:textId="77777777" w:rsidR="00D902D7" w:rsidRPr="00AE6051" w:rsidRDefault="00D902D7" w:rsidP="007E4D01">
      <w:pPr>
        <w:tabs>
          <w:tab w:val="left" w:pos="1080"/>
        </w:tabs>
        <w:spacing w:after="0" w:line="240" w:lineRule="auto"/>
        <w:ind w:left="720" w:right="720"/>
        <w:jc w:val="both"/>
        <w:rPr>
          <w:rFonts w:ascii="Cambria" w:hAnsi="Cambria" w:cs="Calibri"/>
          <w:color w:val="000000"/>
          <w:sz w:val="20"/>
          <w:szCs w:val="20"/>
          <w:lang w:val="es-ES"/>
        </w:rPr>
      </w:pPr>
    </w:p>
    <w:p w14:paraId="3FB11C68" w14:textId="77777777" w:rsidR="00793825" w:rsidRDefault="00E16ED1" w:rsidP="00793825">
      <w:pPr>
        <w:pStyle w:val="Encabezado"/>
        <w:tabs>
          <w:tab w:val="left" w:pos="720"/>
        </w:tabs>
        <w:jc w:val="both"/>
        <w:rPr>
          <w:rFonts w:ascii="Cambria" w:hAnsi="Cambria"/>
          <w:sz w:val="20"/>
          <w:szCs w:val="20"/>
          <w:lang w:val="es-ES_tradnl"/>
        </w:rPr>
      </w:pPr>
      <w:r w:rsidRPr="00DF239E">
        <w:rPr>
          <w:rFonts w:ascii="Cambria" w:hAnsi="Cambria" w:cs="Calibri"/>
          <w:color w:val="000000"/>
          <w:sz w:val="20"/>
          <w:szCs w:val="20"/>
          <w:lang w:val="es-ES"/>
        </w:rPr>
        <w:tab/>
      </w:r>
      <w:r w:rsidRPr="00DF239E">
        <w:rPr>
          <w:rFonts w:ascii="Cambria" w:hAnsi="Cambria" w:cs="Calibri"/>
          <w:color w:val="000000"/>
          <w:sz w:val="20"/>
          <w:szCs w:val="20"/>
          <w:lang w:val="es-ES"/>
        </w:rPr>
        <w:tab/>
      </w:r>
      <w:r w:rsidR="00162CE1" w:rsidRPr="00DF239E">
        <w:rPr>
          <w:rFonts w:ascii="Cambria" w:hAnsi="Cambria" w:cs="Calibri"/>
          <w:color w:val="000000"/>
          <w:sz w:val="20"/>
          <w:szCs w:val="20"/>
          <w:lang w:val="es-ES"/>
        </w:rPr>
        <w:t>Además de la necesidad de obtención de justicia</w:t>
      </w:r>
      <w:r w:rsidR="00377262" w:rsidRPr="00DF239E">
        <w:rPr>
          <w:rFonts w:ascii="Cambria" w:hAnsi="Cambria" w:cs="Calibri"/>
          <w:color w:val="000000"/>
          <w:sz w:val="20"/>
          <w:szCs w:val="20"/>
          <w:lang w:val="es-ES"/>
        </w:rPr>
        <w:t xml:space="preserve"> y reparación</w:t>
      </w:r>
      <w:r w:rsidR="00162CE1" w:rsidRPr="00DF239E">
        <w:rPr>
          <w:rFonts w:ascii="Cambria" w:hAnsi="Cambria" w:cs="Calibri"/>
          <w:color w:val="000000"/>
          <w:sz w:val="20"/>
          <w:szCs w:val="20"/>
          <w:lang w:val="es-ES"/>
        </w:rPr>
        <w:t xml:space="preserve"> por la falta de cumplimie</w:t>
      </w:r>
      <w:r w:rsidR="009A0E8E" w:rsidRPr="00DF239E">
        <w:rPr>
          <w:rFonts w:ascii="Cambria" w:hAnsi="Cambria" w:cs="Calibri"/>
          <w:color w:val="000000"/>
          <w:sz w:val="20"/>
          <w:szCs w:val="20"/>
          <w:lang w:val="es-ES"/>
        </w:rPr>
        <w:t>nto de las recomendaciones del Informe de F</w:t>
      </w:r>
      <w:r w:rsidR="00162CE1" w:rsidRPr="00DF239E">
        <w:rPr>
          <w:rFonts w:ascii="Cambria" w:hAnsi="Cambria" w:cs="Calibri"/>
          <w:color w:val="000000"/>
          <w:sz w:val="20"/>
          <w:szCs w:val="20"/>
          <w:lang w:val="es-ES"/>
        </w:rPr>
        <w:t>ondo, la Comisión considera que el caso presenta cuestiones de orden público interamericano.</w:t>
      </w:r>
      <w:r w:rsidR="00245F50" w:rsidRPr="00DF239E">
        <w:rPr>
          <w:rFonts w:ascii="Cambria" w:hAnsi="Cambria" w:cs="Calibri"/>
          <w:color w:val="000000"/>
          <w:sz w:val="20"/>
          <w:szCs w:val="20"/>
          <w:lang w:val="es-ES"/>
        </w:rPr>
        <w:t xml:space="preserve"> </w:t>
      </w:r>
      <w:r w:rsidR="00B84F1F">
        <w:rPr>
          <w:rFonts w:ascii="Cambria" w:hAnsi="Cambria" w:cs="Calibri"/>
          <w:color w:val="000000"/>
          <w:sz w:val="20"/>
          <w:szCs w:val="20"/>
          <w:lang w:val="es-ES"/>
        </w:rPr>
        <w:t xml:space="preserve">El mismo permitirá </w:t>
      </w:r>
      <w:r w:rsidR="00B84F1F" w:rsidRPr="00BF0A7B">
        <w:rPr>
          <w:rFonts w:ascii="Cambria" w:hAnsi="Cambria"/>
          <w:sz w:val="20"/>
          <w:szCs w:val="20"/>
          <w:lang w:val="es-CO"/>
        </w:rPr>
        <w:t xml:space="preserve">a la </w:t>
      </w:r>
      <w:r w:rsidR="00B84F1F">
        <w:rPr>
          <w:rFonts w:ascii="Cambria" w:hAnsi="Cambria"/>
          <w:sz w:val="20"/>
          <w:szCs w:val="20"/>
          <w:lang w:val="es-CO"/>
        </w:rPr>
        <w:t xml:space="preserve">Honorable </w:t>
      </w:r>
      <w:r w:rsidR="00B84F1F" w:rsidRPr="00BF0A7B">
        <w:rPr>
          <w:rFonts w:ascii="Cambria" w:hAnsi="Cambria"/>
          <w:sz w:val="20"/>
          <w:szCs w:val="20"/>
          <w:lang w:val="es-CO"/>
        </w:rPr>
        <w:t xml:space="preserve">Corte </w:t>
      </w:r>
      <w:r w:rsidR="00331FB1">
        <w:rPr>
          <w:rFonts w:ascii="Cambria" w:hAnsi="Cambria" w:cs="Calibri"/>
          <w:sz w:val="20"/>
          <w:szCs w:val="20"/>
          <w:lang w:val="es-ES"/>
        </w:rPr>
        <w:t>profundizar</w:t>
      </w:r>
      <w:r w:rsidR="00793825">
        <w:rPr>
          <w:rFonts w:ascii="Cambria" w:hAnsi="Cambria" w:cs="Calibri"/>
          <w:sz w:val="20"/>
          <w:szCs w:val="20"/>
          <w:lang w:val="es-ES"/>
        </w:rPr>
        <w:t xml:space="preserve"> su jurisprudencia </w:t>
      </w:r>
      <w:r w:rsidR="00793825" w:rsidRPr="00056729">
        <w:rPr>
          <w:rFonts w:ascii="Cambria" w:eastAsia="Times New Roman" w:hAnsi="Cambria" w:cs="Cambria"/>
          <w:sz w:val="20"/>
          <w:szCs w:val="20"/>
          <w:lang w:val="es-CO"/>
        </w:rPr>
        <w:t>sobre</w:t>
      </w:r>
      <w:r w:rsidR="00A9602D">
        <w:rPr>
          <w:rFonts w:ascii="Cambria" w:eastAsia="Times New Roman" w:hAnsi="Cambria" w:cs="Cambria"/>
          <w:sz w:val="20"/>
          <w:szCs w:val="20"/>
          <w:lang w:val="es-CO"/>
        </w:rPr>
        <w:t xml:space="preserve"> los derechos territoriales de los pueblos indígenas</w:t>
      </w:r>
      <w:r w:rsidR="00793825">
        <w:rPr>
          <w:rFonts w:ascii="Cambria" w:eastAsia="Times New Roman" w:hAnsi="Cambria" w:cs="Cambria"/>
          <w:sz w:val="20"/>
          <w:szCs w:val="20"/>
          <w:lang w:val="es-CO"/>
        </w:rPr>
        <w:t xml:space="preserve">. En particular, la Corte podrá continuar desarrollando </w:t>
      </w:r>
      <w:r w:rsidR="00331FB1">
        <w:rPr>
          <w:rFonts w:ascii="Cambria" w:eastAsia="Times New Roman" w:hAnsi="Cambria" w:cs="Cambria"/>
          <w:sz w:val="20"/>
          <w:szCs w:val="20"/>
          <w:lang w:val="es-CO"/>
        </w:rPr>
        <w:t xml:space="preserve">el alcance de </w:t>
      </w:r>
      <w:r w:rsidR="00793825">
        <w:rPr>
          <w:rFonts w:ascii="Cambria" w:eastAsia="Times New Roman" w:hAnsi="Cambria" w:cs="Cambria"/>
          <w:sz w:val="20"/>
          <w:szCs w:val="20"/>
          <w:lang w:val="es-CO"/>
        </w:rPr>
        <w:t>la obligación internacional de los Estados en materia de adopción de m</w:t>
      </w:r>
      <w:r w:rsidR="00793825" w:rsidRPr="00056729">
        <w:rPr>
          <w:rFonts w:ascii="Cambria" w:eastAsia="Times New Roman" w:hAnsi="Cambria" w:cs="Cambria"/>
          <w:sz w:val="20"/>
          <w:szCs w:val="20"/>
          <w:lang w:val="es-CO"/>
        </w:rPr>
        <w:t>ecanismos internos para hacer efectivo el carácter colectivo de las tierras y territorios indígenas</w:t>
      </w:r>
      <w:r w:rsidR="002470B4">
        <w:rPr>
          <w:rFonts w:ascii="Cambria" w:eastAsia="Times New Roman" w:hAnsi="Cambria" w:cs="Cambria"/>
          <w:sz w:val="20"/>
          <w:szCs w:val="20"/>
          <w:lang w:val="es-CO"/>
        </w:rPr>
        <w:t>, y para asegurar</w:t>
      </w:r>
      <w:r w:rsidR="002470B4" w:rsidRPr="002470B4">
        <w:rPr>
          <w:rFonts w:ascii="Cambria" w:hAnsi="Cambria" w:cs="Calibri"/>
          <w:color w:val="000000"/>
          <w:sz w:val="20"/>
          <w:szCs w:val="20"/>
          <w:lang w:val="es-ES"/>
        </w:rPr>
        <w:t xml:space="preserve"> el derecho a la consulta de los pueblos indígenas</w:t>
      </w:r>
      <w:r w:rsidR="00793825" w:rsidRPr="00056729">
        <w:rPr>
          <w:rFonts w:ascii="Cambria" w:eastAsia="Times New Roman" w:hAnsi="Cambria" w:cs="Cambria"/>
          <w:sz w:val="20"/>
          <w:szCs w:val="20"/>
          <w:lang w:val="es-CO"/>
        </w:rPr>
        <w:t>.</w:t>
      </w:r>
      <w:r w:rsidR="00793825">
        <w:rPr>
          <w:rFonts w:eastAsia="Times New Roman"/>
          <w:lang w:val="es-ES_tradnl"/>
        </w:rPr>
        <w:t xml:space="preserve"> </w:t>
      </w:r>
      <w:r w:rsidR="00793825">
        <w:rPr>
          <w:rFonts w:ascii="Cambria" w:eastAsia="Times New Roman" w:hAnsi="Cambria" w:cs="Cambria"/>
          <w:sz w:val="20"/>
          <w:szCs w:val="20"/>
          <w:lang w:val="es-CO"/>
        </w:rPr>
        <w:t xml:space="preserve"> </w:t>
      </w:r>
    </w:p>
    <w:p w14:paraId="089B9B06" w14:textId="77777777" w:rsidR="00793825" w:rsidRPr="00793825" w:rsidRDefault="00793825" w:rsidP="00B84F1F">
      <w:pPr>
        <w:tabs>
          <w:tab w:val="left" w:pos="360"/>
          <w:tab w:val="left" w:pos="720"/>
          <w:tab w:val="left" w:pos="2880"/>
        </w:tabs>
        <w:spacing w:after="0" w:line="240" w:lineRule="auto"/>
        <w:jc w:val="both"/>
        <w:rPr>
          <w:rFonts w:ascii="Cambria" w:hAnsi="Cambria"/>
          <w:sz w:val="20"/>
          <w:szCs w:val="20"/>
          <w:lang w:val="es-ES_tradnl"/>
        </w:rPr>
      </w:pPr>
    </w:p>
    <w:p w14:paraId="5496F578" w14:textId="77777777" w:rsidR="00162CE1" w:rsidRPr="00DF239E" w:rsidRDefault="00162CE1" w:rsidP="00F8734F">
      <w:pPr>
        <w:spacing w:after="0" w:line="240" w:lineRule="auto"/>
        <w:ind w:firstLine="720"/>
        <w:jc w:val="both"/>
        <w:rPr>
          <w:rFonts w:ascii="Cambria" w:hAnsi="Cambria" w:cs="Calibri"/>
          <w:color w:val="000000"/>
          <w:sz w:val="20"/>
          <w:szCs w:val="20"/>
          <w:lang w:val="es-ES"/>
        </w:rPr>
      </w:pPr>
      <w:r w:rsidRPr="00DF239E">
        <w:rPr>
          <w:rFonts w:ascii="Cambria" w:hAnsi="Cambria" w:cs="Calibri"/>
          <w:color w:val="000000"/>
          <w:sz w:val="20"/>
          <w:szCs w:val="20"/>
          <w:lang w:val="es-ES"/>
        </w:rPr>
        <w:t>En virtud de que estas cuestiones afectan de manera relevante el orden público interamericano, de conformidad con el artículo 35.1 f) del Reglamento de la Corte Interamericana, la Comisión se permite ofrecer la siguiente declaraci</w:t>
      </w:r>
      <w:r w:rsidR="009A0971" w:rsidRPr="00DF239E">
        <w:rPr>
          <w:rFonts w:ascii="Cambria" w:hAnsi="Cambria" w:cs="Calibri"/>
          <w:color w:val="000000"/>
          <w:sz w:val="20"/>
          <w:szCs w:val="20"/>
          <w:lang w:val="es-ES"/>
        </w:rPr>
        <w:t>ón</w:t>
      </w:r>
      <w:r w:rsidRPr="00DF239E">
        <w:rPr>
          <w:rFonts w:ascii="Cambria" w:hAnsi="Cambria" w:cs="Calibri"/>
          <w:color w:val="000000"/>
          <w:sz w:val="20"/>
          <w:szCs w:val="20"/>
          <w:lang w:val="es-ES"/>
        </w:rPr>
        <w:t xml:space="preserve"> pericial: </w:t>
      </w:r>
    </w:p>
    <w:p w14:paraId="3E53D097" w14:textId="77777777" w:rsidR="0014432C" w:rsidRPr="00DF239E" w:rsidRDefault="0014432C" w:rsidP="00F8734F">
      <w:pPr>
        <w:spacing w:after="0" w:line="240" w:lineRule="auto"/>
        <w:ind w:firstLine="720"/>
        <w:jc w:val="both"/>
        <w:rPr>
          <w:rFonts w:ascii="Cambria" w:hAnsi="Cambria" w:cs="Calibri"/>
          <w:color w:val="000000"/>
          <w:sz w:val="20"/>
          <w:szCs w:val="20"/>
          <w:lang w:val="es-ES"/>
        </w:rPr>
      </w:pPr>
    </w:p>
    <w:p w14:paraId="3075FC16" w14:textId="77777777" w:rsidR="0082191F" w:rsidRPr="00FC1DF0" w:rsidRDefault="000430EE" w:rsidP="00FC1DF0">
      <w:pPr>
        <w:tabs>
          <w:tab w:val="left" w:pos="720"/>
          <w:tab w:val="left" w:pos="2880"/>
        </w:tabs>
        <w:spacing w:after="0" w:line="240" w:lineRule="auto"/>
        <w:jc w:val="both"/>
        <w:rPr>
          <w:rFonts w:ascii="Cambria" w:hAnsi="Cambria"/>
          <w:sz w:val="20"/>
          <w:szCs w:val="20"/>
          <w:lang w:val="es-CO"/>
        </w:rPr>
      </w:pPr>
      <w:r>
        <w:rPr>
          <w:rFonts w:ascii="Cambria" w:hAnsi="Cambria" w:cs="Calibri"/>
          <w:b/>
          <w:color w:val="000000"/>
          <w:sz w:val="20"/>
          <w:szCs w:val="20"/>
          <w:lang w:val="es-ES"/>
        </w:rPr>
        <w:tab/>
      </w:r>
      <w:r w:rsidR="008F7152" w:rsidRPr="00DF239E">
        <w:rPr>
          <w:rFonts w:ascii="Cambria" w:hAnsi="Cambria" w:cs="Calibri"/>
          <w:b/>
          <w:color w:val="000000"/>
          <w:sz w:val="20"/>
          <w:szCs w:val="20"/>
          <w:lang w:val="es-ES"/>
        </w:rPr>
        <w:t>Perito/a, cuyo nombre será informado a la brevedad</w:t>
      </w:r>
      <w:r w:rsidR="008F7152" w:rsidRPr="00DF239E">
        <w:rPr>
          <w:rFonts w:ascii="Cambria" w:hAnsi="Cambria" w:cs="Calibri"/>
          <w:color w:val="000000"/>
          <w:sz w:val="20"/>
          <w:szCs w:val="20"/>
          <w:lang w:val="es-ES"/>
        </w:rPr>
        <w:t xml:space="preserve">, quien declarará </w:t>
      </w:r>
      <w:r w:rsidR="00694376" w:rsidRPr="00DF239E">
        <w:rPr>
          <w:rFonts w:ascii="Cambria" w:hAnsi="Cambria" w:cs="Calibri"/>
          <w:color w:val="000000"/>
          <w:sz w:val="20"/>
          <w:szCs w:val="20"/>
          <w:lang w:val="es-ES"/>
        </w:rPr>
        <w:t xml:space="preserve">sobre </w:t>
      </w:r>
      <w:r w:rsidR="00A9602D">
        <w:rPr>
          <w:rFonts w:ascii="Cambria" w:hAnsi="Cambria" w:cs="Calibri"/>
          <w:color w:val="000000"/>
          <w:sz w:val="20"/>
          <w:szCs w:val="20"/>
          <w:lang w:val="es-ES"/>
        </w:rPr>
        <w:t xml:space="preserve">las obligaciones de los </w:t>
      </w:r>
      <w:r w:rsidR="00A9602D" w:rsidRPr="00A9602D">
        <w:rPr>
          <w:rFonts w:ascii="Cambria" w:hAnsi="Cambria" w:cs="Calibri"/>
          <w:color w:val="000000"/>
          <w:sz w:val="20"/>
          <w:szCs w:val="20"/>
          <w:lang w:val="es-ES"/>
        </w:rPr>
        <w:t>Estados respecto al derecho a la propiedad colectiva de los pueblos indígenas sobre sus territorios ancestrales y el deber de protección que emana del artículo 21 de la Convención Americana. En particular, el/la perito/a se referirá a la obligación de</w:t>
      </w:r>
      <w:r w:rsidR="00871B9B">
        <w:rPr>
          <w:rFonts w:ascii="Cambria" w:hAnsi="Cambria" w:cs="Calibri"/>
          <w:color w:val="000000"/>
          <w:sz w:val="20"/>
          <w:szCs w:val="20"/>
          <w:lang w:val="es-ES"/>
        </w:rPr>
        <w:t xml:space="preserve"> </w:t>
      </w:r>
      <w:r w:rsidR="00A9602D" w:rsidRPr="00A9602D">
        <w:rPr>
          <w:rFonts w:ascii="Cambria" w:hAnsi="Cambria" w:cs="Calibri"/>
          <w:color w:val="000000"/>
          <w:sz w:val="20"/>
          <w:szCs w:val="20"/>
          <w:lang w:val="es-ES"/>
        </w:rPr>
        <w:t>l</w:t>
      </w:r>
      <w:r w:rsidR="00871B9B">
        <w:rPr>
          <w:rFonts w:ascii="Cambria" w:hAnsi="Cambria" w:cs="Calibri"/>
          <w:color w:val="000000"/>
          <w:sz w:val="20"/>
          <w:szCs w:val="20"/>
          <w:lang w:val="es-ES"/>
        </w:rPr>
        <w:t>os</w:t>
      </w:r>
      <w:r w:rsidR="00A9602D" w:rsidRPr="00A9602D">
        <w:rPr>
          <w:rFonts w:ascii="Cambria" w:hAnsi="Cambria" w:cs="Calibri"/>
          <w:color w:val="000000"/>
          <w:sz w:val="20"/>
          <w:szCs w:val="20"/>
          <w:lang w:val="es-ES"/>
        </w:rPr>
        <w:t xml:space="preserve"> Estado</w:t>
      </w:r>
      <w:r w:rsidR="00871B9B">
        <w:rPr>
          <w:rFonts w:ascii="Cambria" w:hAnsi="Cambria" w:cs="Calibri"/>
          <w:color w:val="000000"/>
          <w:sz w:val="20"/>
          <w:szCs w:val="20"/>
          <w:lang w:val="es-ES"/>
        </w:rPr>
        <w:t>s</w:t>
      </w:r>
      <w:r w:rsidR="00A9602D" w:rsidRPr="00A9602D">
        <w:rPr>
          <w:rFonts w:ascii="Cambria" w:hAnsi="Cambria" w:cs="Calibri"/>
          <w:color w:val="000000"/>
          <w:sz w:val="20"/>
          <w:szCs w:val="20"/>
          <w:lang w:val="es-ES"/>
        </w:rPr>
        <w:t xml:space="preserve"> de adoptar medidas especiales para garantizar a los pueblos indígenas el goce efectivo de sus territorios y otorgar seguridad jurídica a la tenencia indígena de la tierra frente a la acción de terceros o de los agentes del propio Estado.</w:t>
      </w:r>
      <w:r w:rsidRPr="00A9602D">
        <w:rPr>
          <w:rFonts w:ascii="Cambria" w:hAnsi="Cambria" w:cs="Calibri"/>
          <w:color w:val="000000"/>
          <w:sz w:val="20"/>
          <w:szCs w:val="20"/>
          <w:lang w:val="es-ES"/>
        </w:rPr>
        <w:t xml:space="preserve"> </w:t>
      </w:r>
      <w:r w:rsidR="002470B4">
        <w:rPr>
          <w:rFonts w:ascii="Cambria" w:hAnsi="Cambria" w:cs="Calibri"/>
          <w:color w:val="000000"/>
          <w:sz w:val="20"/>
          <w:szCs w:val="20"/>
          <w:lang w:val="es-ES"/>
        </w:rPr>
        <w:t xml:space="preserve">Asimismo, </w:t>
      </w:r>
      <w:r w:rsidR="002470B4" w:rsidRPr="00A9602D">
        <w:rPr>
          <w:rFonts w:ascii="Cambria" w:hAnsi="Cambria" w:cs="Calibri"/>
          <w:color w:val="000000"/>
          <w:sz w:val="20"/>
          <w:szCs w:val="20"/>
          <w:lang w:val="es-ES"/>
        </w:rPr>
        <w:t>el/la perito/a se referirá a la obligación de</w:t>
      </w:r>
      <w:r w:rsidR="002470B4">
        <w:rPr>
          <w:rFonts w:ascii="Cambria" w:hAnsi="Cambria" w:cs="Calibri"/>
          <w:color w:val="000000"/>
          <w:sz w:val="20"/>
          <w:szCs w:val="20"/>
          <w:lang w:val="es-ES"/>
        </w:rPr>
        <w:t xml:space="preserve"> </w:t>
      </w:r>
      <w:r w:rsidR="002470B4" w:rsidRPr="00A9602D">
        <w:rPr>
          <w:rFonts w:ascii="Cambria" w:hAnsi="Cambria" w:cs="Calibri"/>
          <w:color w:val="000000"/>
          <w:sz w:val="20"/>
          <w:szCs w:val="20"/>
          <w:lang w:val="es-ES"/>
        </w:rPr>
        <w:t>l</w:t>
      </w:r>
      <w:r w:rsidR="002470B4">
        <w:rPr>
          <w:rFonts w:ascii="Cambria" w:hAnsi="Cambria" w:cs="Calibri"/>
          <w:color w:val="000000"/>
          <w:sz w:val="20"/>
          <w:szCs w:val="20"/>
          <w:lang w:val="es-ES"/>
        </w:rPr>
        <w:t>os</w:t>
      </w:r>
      <w:r w:rsidR="002470B4" w:rsidRPr="00A9602D">
        <w:rPr>
          <w:rFonts w:ascii="Cambria" w:hAnsi="Cambria" w:cs="Calibri"/>
          <w:color w:val="000000"/>
          <w:sz w:val="20"/>
          <w:szCs w:val="20"/>
          <w:lang w:val="es-ES"/>
        </w:rPr>
        <w:t xml:space="preserve"> Estado</w:t>
      </w:r>
      <w:r w:rsidR="002470B4">
        <w:rPr>
          <w:rFonts w:ascii="Cambria" w:hAnsi="Cambria" w:cs="Calibri"/>
          <w:color w:val="000000"/>
          <w:sz w:val="20"/>
          <w:szCs w:val="20"/>
          <w:lang w:val="es-ES"/>
        </w:rPr>
        <w:t>s de establecer m</w:t>
      </w:r>
      <w:r w:rsidR="002470B4" w:rsidRPr="002470B4">
        <w:rPr>
          <w:rFonts w:ascii="Cambria" w:hAnsi="Cambria" w:cs="Calibri"/>
          <w:color w:val="000000"/>
          <w:sz w:val="20"/>
          <w:szCs w:val="20"/>
          <w:lang w:val="es-ES"/>
        </w:rPr>
        <w:t xml:space="preserve">ecanismos legales que aseguren plenamente el derecho a la consulta de los pueblos indígenas </w:t>
      </w:r>
      <w:r w:rsidR="002470B4">
        <w:rPr>
          <w:rFonts w:ascii="Cambria" w:hAnsi="Cambria" w:cs="Calibri"/>
          <w:color w:val="000000"/>
          <w:sz w:val="20"/>
          <w:szCs w:val="20"/>
          <w:lang w:val="es-ES"/>
        </w:rPr>
        <w:t>respecto</w:t>
      </w:r>
      <w:r w:rsidR="002470B4" w:rsidRPr="002470B4">
        <w:rPr>
          <w:rFonts w:ascii="Cambria" w:hAnsi="Cambria" w:cs="Calibri"/>
          <w:color w:val="000000"/>
          <w:sz w:val="20"/>
          <w:szCs w:val="20"/>
          <w:lang w:val="es-ES"/>
        </w:rPr>
        <w:t xml:space="preserve"> de actividades realizadas por el Estado, o bajo su autorización, en territorio indígena. </w:t>
      </w:r>
      <w:r w:rsidR="0082191F" w:rsidRPr="00A9602D">
        <w:rPr>
          <w:rFonts w:ascii="Cambria" w:hAnsi="Cambria" w:cs="Calibri"/>
          <w:color w:val="000000"/>
          <w:sz w:val="20"/>
          <w:szCs w:val="20"/>
          <w:lang w:val="es-ES"/>
        </w:rPr>
        <w:t xml:space="preserve">En la medida de lo pertinente, el/la perito/a se referirá a otros sistemas internacionales de protección de derechos humanos y al derecho comparado. Para ejemplificar el desarrollo de su peritaje, el/la perito/a podrá </w:t>
      </w:r>
      <w:r w:rsidR="00910C01" w:rsidRPr="00A9602D">
        <w:rPr>
          <w:rFonts w:ascii="Cambria" w:hAnsi="Cambria" w:cs="Calibri"/>
          <w:color w:val="000000"/>
          <w:sz w:val="20"/>
          <w:szCs w:val="20"/>
          <w:lang w:val="es-ES"/>
        </w:rPr>
        <w:t>referirse a los hechos del caso.</w:t>
      </w:r>
    </w:p>
    <w:p w14:paraId="3954998E" w14:textId="77777777" w:rsidR="0082191F" w:rsidRDefault="0082191F" w:rsidP="00F8734F">
      <w:pPr>
        <w:spacing w:after="0" w:line="240" w:lineRule="auto"/>
        <w:ind w:firstLine="720"/>
        <w:jc w:val="both"/>
        <w:rPr>
          <w:rFonts w:ascii="Cambria" w:hAnsi="Cambria" w:cs="Calibri"/>
          <w:color w:val="000000"/>
          <w:sz w:val="20"/>
          <w:szCs w:val="20"/>
          <w:lang w:val="es-PE"/>
        </w:rPr>
      </w:pPr>
    </w:p>
    <w:p w14:paraId="7D93B3F3" w14:textId="77777777" w:rsidR="00162CE1" w:rsidRPr="00DF239E" w:rsidRDefault="00162CE1" w:rsidP="00F8734F">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ab/>
      </w:r>
      <w:r w:rsidR="009A0971" w:rsidRPr="00DF239E">
        <w:rPr>
          <w:rFonts w:ascii="Cambria" w:hAnsi="Cambria" w:cs="Calibri"/>
          <w:color w:val="000000"/>
          <w:sz w:val="20"/>
          <w:szCs w:val="20"/>
          <w:lang w:val="es-ES"/>
        </w:rPr>
        <w:t xml:space="preserve">El </w:t>
      </w:r>
      <w:r w:rsidRPr="00DF239E">
        <w:rPr>
          <w:rFonts w:ascii="Cambria" w:hAnsi="Cambria" w:cs="Calibri"/>
          <w:color w:val="000000"/>
          <w:sz w:val="20"/>
          <w:szCs w:val="20"/>
          <w:lang w:val="es-ES"/>
        </w:rPr>
        <w:t xml:space="preserve">CV del/a perito/a propuesto/a será incluido en los anexos al </w:t>
      </w:r>
      <w:r w:rsidR="00E6263B" w:rsidRPr="00DF239E">
        <w:rPr>
          <w:rFonts w:ascii="Cambria" w:hAnsi="Cambria" w:cs="Calibri"/>
          <w:color w:val="000000"/>
          <w:sz w:val="20"/>
          <w:szCs w:val="20"/>
          <w:lang w:val="es-ES"/>
        </w:rPr>
        <w:t xml:space="preserve">Informe de Fondo No. </w:t>
      </w:r>
      <w:r w:rsidR="0099038C" w:rsidRPr="00DF239E">
        <w:rPr>
          <w:rFonts w:ascii="Cambria" w:hAnsi="Cambria" w:cs="Calibri"/>
          <w:color w:val="000000"/>
          <w:sz w:val="20"/>
          <w:szCs w:val="20"/>
          <w:lang w:val="es-ES"/>
        </w:rPr>
        <w:t>1</w:t>
      </w:r>
      <w:r w:rsidR="00F006AD">
        <w:rPr>
          <w:rFonts w:ascii="Cambria" w:hAnsi="Cambria" w:cs="Calibri"/>
          <w:color w:val="000000"/>
          <w:sz w:val="20"/>
          <w:szCs w:val="20"/>
          <w:lang w:val="es-ES"/>
        </w:rPr>
        <w:t>1/20</w:t>
      </w:r>
      <w:r w:rsidRPr="00DF239E">
        <w:rPr>
          <w:rFonts w:ascii="Cambria" w:hAnsi="Cambria" w:cs="Calibri"/>
          <w:color w:val="000000"/>
          <w:sz w:val="20"/>
          <w:szCs w:val="20"/>
          <w:lang w:val="es-ES"/>
        </w:rPr>
        <w:t xml:space="preserve">. </w:t>
      </w:r>
    </w:p>
    <w:p w14:paraId="266B698A" w14:textId="77777777" w:rsidR="00162CE1" w:rsidRPr="00DF239E" w:rsidRDefault="00162CE1" w:rsidP="00F8734F">
      <w:pPr>
        <w:spacing w:after="0" w:line="240" w:lineRule="auto"/>
        <w:jc w:val="both"/>
        <w:rPr>
          <w:rFonts w:ascii="Cambria" w:hAnsi="Cambria" w:cs="Calibri"/>
          <w:color w:val="000000"/>
          <w:sz w:val="20"/>
          <w:szCs w:val="20"/>
          <w:lang w:val="es-ES"/>
        </w:rPr>
      </w:pPr>
    </w:p>
    <w:p w14:paraId="01BC9B25" w14:textId="77777777" w:rsidR="002E628E" w:rsidRPr="00DF239E" w:rsidRDefault="002E628E" w:rsidP="002E628E">
      <w:pPr>
        <w:spacing w:after="0" w:line="240" w:lineRule="auto"/>
        <w:jc w:val="both"/>
        <w:rPr>
          <w:rFonts w:ascii="Cambria" w:hAnsi="Cambria" w:cs="Calibri"/>
          <w:color w:val="000000"/>
          <w:sz w:val="20"/>
          <w:szCs w:val="20"/>
          <w:lang w:val="es-ES"/>
        </w:rPr>
      </w:pPr>
      <w:r w:rsidRPr="00DF239E">
        <w:rPr>
          <w:rFonts w:ascii="Cambria" w:hAnsi="Cambria" w:cs="Calibri"/>
          <w:color w:val="000000"/>
          <w:sz w:val="20"/>
          <w:szCs w:val="20"/>
          <w:lang w:val="es-ES"/>
        </w:rPr>
        <w:tab/>
        <w:t>La Comisión pone en conocimiento de la Honorable Corte la siguiente información de quienes actúan como parte peticionaria en el trámite ante la CIDH conforme a la información más reciente:</w:t>
      </w:r>
    </w:p>
    <w:p w14:paraId="3B987CE9" w14:textId="77777777" w:rsidR="00F006AD" w:rsidRDefault="00F006AD" w:rsidP="00223D6C">
      <w:pPr>
        <w:spacing w:after="0" w:line="240" w:lineRule="auto"/>
        <w:jc w:val="center"/>
        <w:rPr>
          <w:rFonts w:ascii="Cambria" w:hAnsi="Cambria" w:cs="Calibri"/>
          <w:color w:val="000000"/>
          <w:sz w:val="20"/>
          <w:szCs w:val="20"/>
          <w:lang w:val="es-ES"/>
        </w:rPr>
      </w:pPr>
    </w:p>
    <w:p w14:paraId="63FCBF66" w14:textId="77777777" w:rsidR="00223D6C" w:rsidRPr="00223D6C" w:rsidRDefault="00F006AD" w:rsidP="00223D6C">
      <w:pPr>
        <w:spacing w:after="0" w:line="240" w:lineRule="auto"/>
        <w:jc w:val="center"/>
        <w:rPr>
          <w:rFonts w:ascii="Cambria" w:hAnsi="Cambria"/>
          <w:bCs/>
          <w:iCs/>
          <w:sz w:val="20"/>
          <w:szCs w:val="20"/>
          <w:lang w:val="es-ES"/>
        </w:rPr>
      </w:pPr>
      <w:r>
        <w:rPr>
          <w:rFonts w:ascii="Cambria" w:hAnsi="Cambria" w:cs="Calibri"/>
          <w:color w:val="000000"/>
          <w:sz w:val="20"/>
          <w:szCs w:val="20"/>
          <w:lang w:val="es-ES"/>
        </w:rPr>
        <w:t>XXX</w:t>
      </w:r>
    </w:p>
    <w:p w14:paraId="7247AB35" w14:textId="77777777" w:rsidR="00223D6C" w:rsidRDefault="00223D6C" w:rsidP="00223D6C">
      <w:pPr>
        <w:spacing w:after="0" w:line="240" w:lineRule="auto"/>
        <w:ind w:firstLine="720"/>
        <w:jc w:val="both"/>
        <w:rPr>
          <w:rFonts w:ascii="Cambria" w:hAnsi="Cambria" w:cs="Calibri"/>
          <w:color w:val="000000"/>
          <w:sz w:val="20"/>
          <w:szCs w:val="20"/>
          <w:lang w:val="es-ES"/>
        </w:rPr>
      </w:pPr>
    </w:p>
    <w:p w14:paraId="427FF376" w14:textId="77777777" w:rsidR="002E628E" w:rsidRDefault="002E628E" w:rsidP="00223D6C">
      <w:pPr>
        <w:spacing w:after="0" w:line="240" w:lineRule="auto"/>
        <w:ind w:firstLine="720"/>
        <w:jc w:val="both"/>
        <w:rPr>
          <w:rFonts w:ascii="Cambria" w:hAnsi="Cambria" w:cs="Calibri"/>
          <w:color w:val="000000"/>
          <w:sz w:val="20"/>
          <w:szCs w:val="20"/>
          <w:lang w:val="es-ES"/>
        </w:rPr>
      </w:pPr>
      <w:r w:rsidRPr="00DF239E">
        <w:rPr>
          <w:rFonts w:ascii="Cambria" w:hAnsi="Cambria" w:cs="Calibri"/>
          <w:color w:val="000000"/>
          <w:sz w:val="20"/>
          <w:szCs w:val="20"/>
          <w:lang w:val="es-ES"/>
        </w:rPr>
        <w:t>Aprovecho la oportunidad para saludar a usted muy atentamente,</w:t>
      </w:r>
    </w:p>
    <w:p w14:paraId="41ABBC3A" w14:textId="77777777" w:rsidR="00FC1DF0" w:rsidRDefault="00FC1DF0" w:rsidP="002E628E">
      <w:pPr>
        <w:spacing w:after="0" w:line="240" w:lineRule="auto"/>
        <w:ind w:firstLine="720"/>
        <w:jc w:val="both"/>
        <w:rPr>
          <w:rFonts w:ascii="Cambria" w:hAnsi="Cambria" w:cs="Calibri"/>
          <w:color w:val="000000"/>
          <w:sz w:val="20"/>
          <w:szCs w:val="20"/>
          <w:lang w:val="es-ES"/>
        </w:rPr>
      </w:pPr>
    </w:p>
    <w:p w14:paraId="7460C60C" w14:textId="77777777" w:rsidR="00223D6C" w:rsidRDefault="00223D6C" w:rsidP="00223D6C">
      <w:pPr>
        <w:tabs>
          <w:tab w:val="left" w:pos="0"/>
        </w:tabs>
        <w:spacing w:after="0" w:line="240" w:lineRule="auto"/>
        <w:jc w:val="center"/>
        <w:rPr>
          <w:rFonts w:ascii="Verdana" w:hAnsi="Verdana"/>
          <w:noProof/>
          <w:sz w:val="20"/>
          <w:szCs w:val="20"/>
        </w:rPr>
      </w:pPr>
    </w:p>
    <w:p w14:paraId="3F9AB76A" w14:textId="77777777" w:rsidR="00F006AD" w:rsidRDefault="00F006AD" w:rsidP="00223D6C">
      <w:pPr>
        <w:tabs>
          <w:tab w:val="left" w:pos="0"/>
        </w:tabs>
        <w:spacing w:after="0" w:line="240" w:lineRule="auto"/>
        <w:jc w:val="center"/>
        <w:rPr>
          <w:rFonts w:cs="Calibri"/>
          <w:lang w:val="pt-BR"/>
        </w:rPr>
      </w:pPr>
    </w:p>
    <w:p w14:paraId="2D7B3D7E" w14:textId="77777777" w:rsidR="002E628E" w:rsidRPr="00DF239E" w:rsidRDefault="002E628E" w:rsidP="002E628E">
      <w:pPr>
        <w:tabs>
          <w:tab w:val="left" w:pos="0"/>
        </w:tabs>
        <w:spacing w:after="0" w:line="240" w:lineRule="auto"/>
        <w:jc w:val="center"/>
        <w:rPr>
          <w:rFonts w:ascii="Cambria" w:hAnsi="Cambria" w:cs="Calibri"/>
          <w:color w:val="000000"/>
          <w:sz w:val="20"/>
          <w:szCs w:val="20"/>
          <w:lang w:val="pt-BR"/>
        </w:rPr>
      </w:pPr>
    </w:p>
    <w:p w14:paraId="6BF2D866" w14:textId="77777777" w:rsidR="002E628E" w:rsidRPr="00DF239E" w:rsidRDefault="002E628E" w:rsidP="002E628E">
      <w:pPr>
        <w:tabs>
          <w:tab w:val="left" w:pos="0"/>
        </w:tabs>
        <w:spacing w:after="0" w:line="240" w:lineRule="auto"/>
        <w:jc w:val="center"/>
        <w:rPr>
          <w:rFonts w:ascii="Cambria" w:hAnsi="Cambria" w:cs="Calibri"/>
          <w:i/>
          <w:color w:val="000000"/>
          <w:sz w:val="20"/>
          <w:szCs w:val="20"/>
          <w:lang w:val="pt-BR"/>
        </w:rPr>
      </w:pPr>
      <w:r w:rsidRPr="00DF239E">
        <w:rPr>
          <w:rFonts w:ascii="Cambria" w:hAnsi="Cambria" w:cs="Calibri"/>
          <w:color w:val="000000"/>
          <w:sz w:val="20"/>
          <w:szCs w:val="20"/>
          <w:lang w:val="pt-BR"/>
        </w:rPr>
        <w:t>Marisol Blanchard</w:t>
      </w:r>
    </w:p>
    <w:p w14:paraId="5E64A1C9" w14:textId="77777777" w:rsidR="002E628E" w:rsidRPr="00DF239E" w:rsidRDefault="002E628E" w:rsidP="002E628E">
      <w:pPr>
        <w:tabs>
          <w:tab w:val="left" w:pos="810"/>
        </w:tabs>
        <w:suppressAutoHyphens/>
        <w:spacing w:after="0" w:line="240" w:lineRule="auto"/>
        <w:jc w:val="center"/>
        <w:rPr>
          <w:rFonts w:ascii="Cambria" w:hAnsi="Cambria" w:cs="Calibri"/>
          <w:color w:val="000000"/>
          <w:sz w:val="20"/>
          <w:szCs w:val="20"/>
          <w:lang w:val="pt-BR"/>
        </w:rPr>
      </w:pPr>
      <w:r w:rsidRPr="00DF239E">
        <w:rPr>
          <w:rFonts w:ascii="Cambria" w:hAnsi="Cambria" w:cs="Calibri"/>
          <w:color w:val="000000"/>
          <w:sz w:val="20"/>
          <w:szCs w:val="20"/>
          <w:lang w:val="pt-BR"/>
        </w:rPr>
        <w:t>Secretaria Ejecutiva Adjunta</w:t>
      </w:r>
    </w:p>
    <w:p w14:paraId="559F890A" w14:textId="77777777" w:rsidR="002E628E" w:rsidRDefault="002E628E" w:rsidP="002E628E">
      <w:pPr>
        <w:spacing w:after="0" w:line="240" w:lineRule="auto"/>
        <w:jc w:val="both"/>
        <w:rPr>
          <w:rFonts w:ascii="Cambria" w:hAnsi="Cambria" w:cs="Calibri"/>
          <w:color w:val="000000"/>
          <w:sz w:val="20"/>
          <w:szCs w:val="20"/>
          <w:lang w:val="pt-BR"/>
        </w:rPr>
      </w:pPr>
      <w:bookmarkStart w:id="2" w:name="ministro"/>
      <w:bookmarkEnd w:id="2"/>
    </w:p>
    <w:p w14:paraId="6459297C" w14:textId="77777777" w:rsidR="00223D6C" w:rsidRPr="00DF239E" w:rsidRDefault="00223D6C" w:rsidP="002E628E">
      <w:pPr>
        <w:spacing w:after="0" w:line="240" w:lineRule="auto"/>
        <w:jc w:val="both"/>
        <w:rPr>
          <w:rFonts w:ascii="Cambria" w:hAnsi="Cambria" w:cs="Calibri"/>
          <w:color w:val="000000"/>
          <w:sz w:val="20"/>
          <w:szCs w:val="20"/>
          <w:lang w:val="pt-BR"/>
        </w:rPr>
      </w:pPr>
    </w:p>
    <w:p w14:paraId="4B99669E" w14:textId="77777777" w:rsidR="00237ECE" w:rsidRPr="00DF239E" w:rsidRDefault="002E628E" w:rsidP="00FC1DF0">
      <w:pPr>
        <w:spacing w:after="0" w:line="240" w:lineRule="auto"/>
        <w:jc w:val="both"/>
        <w:rPr>
          <w:rFonts w:ascii="Cambria" w:hAnsi="Cambria" w:cs="Calibri"/>
          <w:color w:val="000000"/>
          <w:sz w:val="20"/>
          <w:szCs w:val="20"/>
          <w:lang w:val="pt-BR"/>
        </w:rPr>
      </w:pPr>
      <w:r w:rsidRPr="00DF239E">
        <w:rPr>
          <w:rFonts w:ascii="Cambria" w:hAnsi="Cambria" w:cs="Calibri"/>
          <w:color w:val="000000"/>
          <w:sz w:val="20"/>
          <w:szCs w:val="20"/>
          <w:lang w:val="pt-BR"/>
        </w:rPr>
        <w:t>Anexo</w:t>
      </w:r>
    </w:p>
    <w:sectPr w:rsidR="00237ECE" w:rsidRPr="00DF239E"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21370" w14:textId="77777777" w:rsidR="00AF56F7" w:rsidRDefault="00AF56F7">
      <w:pPr>
        <w:spacing w:after="0" w:line="240" w:lineRule="auto"/>
      </w:pPr>
      <w:r>
        <w:separator/>
      </w:r>
    </w:p>
  </w:endnote>
  <w:endnote w:type="continuationSeparator" w:id="0">
    <w:p w14:paraId="75F2B6B3" w14:textId="77777777" w:rsidR="00AF56F7" w:rsidRDefault="00AF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00000001" w:usb1="09060000" w:usb2="00000010" w:usb3="00000000" w:csb0="00080000" w:csb1="00000000"/>
  </w:font>
  <w:font w:name="Times">
    <w:panose1 w:val="02020603050405020304"/>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AC16A"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2470B4">
      <w:rPr>
        <w:noProof/>
        <w:sz w:val="18"/>
        <w:szCs w:val="18"/>
      </w:rPr>
      <w:t>3</w:t>
    </w:r>
    <w:r w:rsidRPr="0060615D">
      <w:rPr>
        <w:noProof/>
        <w:sz w:val="18"/>
        <w:szCs w:val="18"/>
      </w:rPr>
      <w:fldChar w:fldCharType="end"/>
    </w:r>
  </w:p>
  <w:p w14:paraId="3E9AD84C" w14:textId="77777777" w:rsidR="002E628E" w:rsidRDefault="002E628E" w:rsidP="002E628E">
    <w:pPr>
      <w:pStyle w:val="Piedepgina"/>
      <w:spacing w:line="360" w:lineRule="auto"/>
    </w:pPr>
    <w:r>
      <w:pict w14:anchorId="65E35AA1">
        <v:rect id="_x0000_i1028" style="width:0;height:1.5pt" o:hralign="center" o:hrstd="t" o:hr="t" fillcolor="#a0a0a0" stroked="f"/>
      </w:pict>
    </w:r>
  </w:p>
  <w:p w14:paraId="5568BED0" w14:textId="64440A3B" w:rsidR="00162CE1" w:rsidRDefault="00F63481" w:rsidP="00F8734F">
    <w:pPr>
      <w:pStyle w:val="Piedepgina"/>
      <w:jc w:val="center"/>
    </w:pPr>
    <w:r w:rsidRPr="008A5CB5">
      <w:rPr>
        <w:noProof/>
      </w:rPr>
      <w:drawing>
        <wp:inline distT="0" distB="0" distL="0" distR="0" wp14:anchorId="5E18BA30" wp14:editId="002D4887">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50FC7" w14:textId="77777777" w:rsidR="00162CE1" w:rsidRDefault="00162CE1" w:rsidP="00162CE1">
    <w:pPr>
      <w:pStyle w:val="Piedepgina"/>
      <w:spacing w:line="360" w:lineRule="auto"/>
    </w:pPr>
    <w:r>
      <w:pict w14:anchorId="3E902E48">
        <v:rect id="_x0000_i1026" style="width:0;height:1.5pt" o:hralign="center" o:hrstd="t" o:hr="t" fillcolor="#a0a0a0" stroked="f"/>
      </w:pict>
    </w:r>
  </w:p>
  <w:p w14:paraId="185B03C9" w14:textId="360E48EB" w:rsidR="00162CE1" w:rsidRDefault="00F63481" w:rsidP="00162CE1">
    <w:pPr>
      <w:pStyle w:val="Piedepgina"/>
      <w:jc w:val="center"/>
    </w:pPr>
    <w:r w:rsidRPr="008A5CB5">
      <w:rPr>
        <w:noProof/>
      </w:rPr>
      <w:drawing>
        <wp:inline distT="0" distB="0" distL="0" distR="0" wp14:anchorId="3C4C5C3E" wp14:editId="1C81AE74">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EDE54" w14:textId="77777777" w:rsidR="00AF56F7" w:rsidRDefault="00AF56F7">
      <w:pPr>
        <w:spacing w:after="0" w:line="240" w:lineRule="auto"/>
      </w:pPr>
      <w:r>
        <w:separator/>
      </w:r>
    </w:p>
  </w:footnote>
  <w:footnote w:type="continuationSeparator" w:id="0">
    <w:p w14:paraId="69CFF68E" w14:textId="77777777" w:rsidR="00AF56F7" w:rsidRDefault="00AF5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1C172" w14:textId="5C0DC468" w:rsidR="00162CE1" w:rsidRPr="0058688A" w:rsidRDefault="00F63481" w:rsidP="00162CE1">
    <w:pPr>
      <w:pStyle w:val="Encabezado"/>
      <w:jc w:val="center"/>
      <w:rPr>
        <w:lang w:val="es-ES_tradnl"/>
      </w:rPr>
    </w:pPr>
    <w:r>
      <w:rPr>
        <w:noProof/>
        <w:lang w:val="es-ES_tradnl"/>
      </w:rPr>
      <w:drawing>
        <wp:inline distT="0" distB="0" distL="0" distR="0" wp14:anchorId="0D7F0D42" wp14:editId="61DFA6C5">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4516F759" w14:textId="77777777" w:rsidR="00162CE1" w:rsidRDefault="00162CE1">
    <w:pPr>
      <w:pStyle w:val="Encabezado"/>
    </w:pPr>
    <w:r>
      <w:pict w14:anchorId="5E2C55C5">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F9F80" w14:textId="6EDEC491" w:rsidR="00162CE1" w:rsidRDefault="00F63481" w:rsidP="00162CE1">
    <w:pPr>
      <w:pStyle w:val="Encabezado"/>
    </w:pPr>
    <w:r w:rsidRPr="008A5CB5">
      <w:rPr>
        <w:noProof/>
      </w:rPr>
      <w:drawing>
        <wp:inline distT="0" distB="0" distL="0" distR="0" wp14:anchorId="75ABAC42" wp14:editId="29604FB6">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55FC6499" wp14:editId="268E5368">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5D06C831" w14:textId="77777777" w:rsidR="00162CE1" w:rsidRDefault="00162CE1" w:rsidP="00162CE1">
    <w:pPr>
      <w:pStyle w:val="Encabezado"/>
    </w:pPr>
    <w:r>
      <w:pict w14:anchorId="4EAC2EE7">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8C67FFA"/>
    <w:multiLevelType w:val="hybridMultilevel"/>
    <w:tmpl w:val="3B324E06"/>
    <w:lvl w:ilvl="0" w:tplc="5D921E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195813"/>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7D4B9D"/>
    <w:multiLevelType w:val="hybridMultilevel"/>
    <w:tmpl w:val="4606C120"/>
    <w:lvl w:ilvl="0" w:tplc="877C2DEC">
      <w:start w:val="1"/>
      <w:numFmt w:val="decimal"/>
      <w:lvlText w:val="%1."/>
      <w:lvlJc w:val="left"/>
      <w:pPr>
        <w:ind w:left="360" w:hanging="360"/>
      </w:pPr>
      <w:rPr>
        <w:rFonts w:ascii="Cambria" w:hAnsi="Cambria" w:hint="default"/>
        <w:b w:val="0"/>
        <w:color w:val="auto"/>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2"/>
  </w:num>
  <w:num w:numId="6">
    <w:abstractNumId w:val="5"/>
  </w:num>
  <w:num w:numId="7">
    <w:abstractNumId w:val="3"/>
  </w:num>
  <w:num w:numId="8">
    <w:abstractNumId w:val="0"/>
  </w:num>
  <w:num w:numId="9">
    <w:abstractNumId w:val="6"/>
  </w:num>
  <w:num w:numId="10">
    <w:abstractNumId w:val="4"/>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44C7"/>
    <w:rsid w:val="00017E7A"/>
    <w:rsid w:val="00031EB1"/>
    <w:rsid w:val="00036FC7"/>
    <w:rsid w:val="000430EE"/>
    <w:rsid w:val="00072779"/>
    <w:rsid w:val="000751DF"/>
    <w:rsid w:val="00076DBF"/>
    <w:rsid w:val="00077DE5"/>
    <w:rsid w:val="00077FF7"/>
    <w:rsid w:val="00082F42"/>
    <w:rsid w:val="00084078"/>
    <w:rsid w:val="000A2C28"/>
    <w:rsid w:val="000A45AD"/>
    <w:rsid w:val="000A4754"/>
    <w:rsid w:val="000A4B14"/>
    <w:rsid w:val="000B1138"/>
    <w:rsid w:val="000B3053"/>
    <w:rsid w:val="000C140C"/>
    <w:rsid w:val="000C5BFC"/>
    <w:rsid w:val="000D164E"/>
    <w:rsid w:val="000D1B18"/>
    <w:rsid w:val="000D2623"/>
    <w:rsid w:val="000D26A9"/>
    <w:rsid w:val="000D4633"/>
    <w:rsid w:val="000D4AE6"/>
    <w:rsid w:val="000E0F2F"/>
    <w:rsid w:val="000E2431"/>
    <w:rsid w:val="000F23FB"/>
    <w:rsid w:val="000F291B"/>
    <w:rsid w:val="000F4B43"/>
    <w:rsid w:val="00107B94"/>
    <w:rsid w:val="00114CA9"/>
    <w:rsid w:val="001217D9"/>
    <w:rsid w:val="00127C52"/>
    <w:rsid w:val="00131B3B"/>
    <w:rsid w:val="00134CFC"/>
    <w:rsid w:val="00140652"/>
    <w:rsid w:val="00141387"/>
    <w:rsid w:val="00141711"/>
    <w:rsid w:val="00143EB4"/>
    <w:rsid w:val="0014432C"/>
    <w:rsid w:val="00146EE3"/>
    <w:rsid w:val="0015496C"/>
    <w:rsid w:val="00157476"/>
    <w:rsid w:val="00162CE1"/>
    <w:rsid w:val="001648FF"/>
    <w:rsid w:val="00170E12"/>
    <w:rsid w:val="00176C72"/>
    <w:rsid w:val="001770EE"/>
    <w:rsid w:val="00182ABB"/>
    <w:rsid w:val="001904F6"/>
    <w:rsid w:val="001942E2"/>
    <w:rsid w:val="00196D6F"/>
    <w:rsid w:val="001A7EDF"/>
    <w:rsid w:val="001B08B2"/>
    <w:rsid w:val="001B08F9"/>
    <w:rsid w:val="001B5941"/>
    <w:rsid w:val="001C1D26"/>
    <w:rsid w:val="001C2AED"/>
    <w:rsid w:val="001D0C4D"/>
    <w:rsid w:val="001D5161"/>
    <w:rsid w:val="001E5256"/>
    <w:rsid w:val="001E59D8"/>
    <w:rsid w:val="00206412"/>
    <w:rsid w:val="002219A9"/>
    <w:rsid w:val="00223D6C"/>
    <w:rsid w:val="00226BCD"/>
    <w:rsid w:val="00232CA3"/>
    <w:rsid w:val="00234AC6"/>
    <w:rsid w:val="00237ECE"/>
    <w:rsid w:val="002426D8"/>
    <w:rsid w:val="00245F50"/>
    <w:rsid w:val="002470B4"/>
    <w:rsid w:val="002534CD"/>
    <w:rsid w:val="002568CD"/>
    <w:rsid w:val="0027604A"/>
    <w:rsid w:val="002A19E1"/>
    <w:rsid w:val="002B5C66"/>
    <w:rsid w:val="002B64DC"/>
    <w:rsid w:val="002D2985"/>
    <w:rsid w:val="002E3E82"/>
    <w:rsid w:val="002E48D6"/>
    <w:rsid w:val="002E628E"/>
    <w:rsid w:val="002E780D"/>
    <w:rsid w:val="002F6526"/>
    <w:rsid w:val="0030700B"/>
    <w:rsid w:val="00312151"/>
    <w:rsid w:val="00316C30"/>
    <w:rsid w:val="00316E75"/>
    <w:rsid w:val="003254D3"/>
    <w:rsid w:val="00325553"/>
    <w:rsid w:val="00331129"/>
    <w:rsid w:val="00331FB1"/>
    <w:rsid w:val="00333497"/>
    <w:rsid w:val="0033372D"/>
    <w:rsid w:val="00336D34"/>
    <w:rsid w:val="003406ED"/>
    <w:rsid w:val="00343EDF"/>
    <w:rsid w:val="0035292C"/>
    <w:rsid w:val="00362BCC"/>
    <w:rsid w:val="00363DA9"/>
    <w:rsid w:val="0036640D"/>
    <w:rsid w:val="00374F28"/>
    <w:rsid w:val="00377262"/>
    <w:rsid w:val="00387D83"/>
    <w:rsid w:val="003904CF"/>
    <w:rsid w:val="00394820"/>
    <w:rsid w:val="003968A2"/>
    <w:rsid w:val="003A6DEC"/>
    <w:rsid w:val="003A71C5"/>
    <w:rsid w:val="003A7B52"/>
    <w:rsid w:val="003D3F6E"/>
    <w:rsid w:val="003D4DD9"/>
    <w:rsid w:val="003E14A3"/>
    <w:rsid w:val="003F1B9C"/>
    <w:rsid w:val="00403967"/>
    <w:rsid w:val="004051B3"/>
    <w:rsid w:val="00407877"/>
    <w:rsid w:val="004103EC"/>
    <w:rsid w:val="00412ABB"/>
    <w:rsid w:val="00415488"/>
    <w:rsid w:val="004173F3"/>
    <w:rsid w:val="00420923"/>
    <w:rsid w:val="0042403B"/>
    <w:rsid w:val="00452270"/>
    <w:rsid w:val="00456DAA"/>
    <w:rsid w:val="00475C19"/>
    <w:rsid w:val="0047698B"/>
    <w:rsid w:val="004825F5"/>
    <w:rsid w:val="00491AB8"/>
    <w:rsid w:val="00495F11"/>
    <w:rsid w:val="00496C45"/>
    <w:rsid w:val="004A2758"/>
    <w:rsid w:val="004A2CAE"/>
    <w:rsid w:val="004C11AF"/>
    <w:rsid w:val="004C5616"/>
    <w:rsid w:val="004D15E1"/>
    <w:rsid w:val="004D7DF0"/>
    <w:rsid w:val="004D7F1C"/>
    <w:rsid w:val="004E0C4F"/>
    <w:rsid w:val="004E0F5A"/>
    <w:rsid w:val="004E6A6C"/>
    <w:rsid w:val="004F13CD"/>
    <w:rsid w:val="004F3366"/>
    <w:rsid w:val="004F475F"/>
    <w:rsid w:val="004F4E7F"/>
    <w:rsid w:val="004F651D"/>
    <w:rsid w:val="00501326"/>
    <w:rsid w:val="00506DE4"/>
    <w:rsid w:val="00517525"/>
    <w:rsid w:val="005266C2"/>
    <w:rsid w:val="00526C8F"/>
    <w:rsid w:val="00530164"/>
    <w:rsid w:val="005306F3"/>
    <w:rsid w:val="005319E3"/>
    <w:rsid w:val="005334BE"/>
    <w:rsid w:val="005376D9"/>
    <w:rsid w:val="00550822"/>
    <w:rsid w:val="00551DD6"/>
    <w:rsid w:val="005570AA"/>
    <w:rsid w:val="00557B7E"/>
    <w:rsid w:val="00560F49"/>
    <w:rsid w:val="00563E22"/>
    <w:rsid w:val="00563EFC"/>
    <w:rsid w:val="00564608"/>
    <w:rsid w:val="0056481D"/>
    <w:rsid w:val="005668C4"/>
    <w:rsid w:val="0057349A"/>
    <w:rsid w:val="0057354D"/>
    <w:rsid w:val="00590486"/>
    <w:rsid w:val="0059345A"/>
    <w:rsid w:val="005A4E07"/>
    <w:rsid w:val="005A621F"/>
    <w:rsid w:val="005A7321"/>
    <w:rsid w:val="005B4F61"/>
    <w:rsid w:val="005B6610"/>
    <w:rsid w:val="005C5C37"/>
    <w:rsid w:val="005C7C22"/>
    <w:rsid w:val="005C7F13"/>
    <w:rsid w:val="005D2B11"/>
    <w:rsid w:val="005E0E8D"/>
    <w:rsid w:val="005E7AE9"/>
    <w:rsid w:val="005F109F"/>
    <w:rsid w:val="005F3FF9"/>
    <w:rsid w:val="0060615D"/>
    <w:rsid w:val="00607CA5"/>
    <w:rsid w:val="00612A1C"/>
    <w:rsid w:val="006238C4"/>
    <w:rsid w:val="006253E4"/>
    <w:rsid w:val="00625C17"/>
    <w:rsid w:val="006344F2"/>
    <w:rsid w:val="00641E26"/>
    <w:rsid w:val="0065299A"/>
    <w:rsid w:val="00661062"/>
    <w:rsid w:val="006634BE"/>
    <w:rsid w:val="00665353"/>
    <w:rsid w:val="00667D8A"/>
    <w:rsid w:val="00670828"/>
    <w:rsid w:val="00681D50"/>
    <w:rsid w:val="00691A97"/>
    <w:rsid w:val="00693CBB"/>
    <w:rsid w:val="00694376"/>
    <w:rsid w:val="006943A7"/>
    <w:rsid w:val="006A0DDA"/>
    <w:rsid w:val="006C079D"/>
    <w:rsid w:val="006C3E16"/>
    <w:rsid w:val="006D45B0"/>
    <w:rsid w:val="006D7A02"/>
    <w:rsid w:val="006F46B8"/>
    <w:rsid w:val="006F4B0C"/>
    <w:rsid w:val="006F5300"/>
    <w:rsid w:val="006F539D"/>
    <w:rsid w:val="00707281"/>
    <w:rsid w:val="00730B2B"/>
    <w:rsid w:val="00732348"/>
    <w:rsid w:val="007401E2"/>
    <w:rsid w:val="00743959"/>
    <w:rsid w:val="0074602A"/>
    <w:rsid w:val="00746A42"/>
    <w:rsid w:val="00760449"/>
    <w:rsid w:val="00770267"/>
    <w:rsid w:val="00775598"/>
    <w:rsid w:val="00777515"/>
    <w:rsid w:val="00782AEB"/>
    <w:rsid w:val="00786CE1"/>
    <w:rsid w:val="00793825"/>
    <w:rsid w:val="007940B2"/>
    <w:rsid w:val="00795EEE"/>
    <w:rsid w:val="00796DD9"/>
    <w:rsid w:val="007A20BB"/>
    <w:rsid w:val="007B1E42"/>
    <w:rsid w:val="007B22B5"/>
    <w:rsid w:val="007B7696"/>
    <w:rsid w:val="007C15AB"/>
    <w:rsid w:val="007C42F0"/>
    <w:rsid w:val="007D3DF3"/>
    <w:rsid w:val="007E375B"/>
    <w:rsid w:val="007E3EF7"/>
    <w:rsid w:val="007E4D01"/>
    <w:rsid w:val="007F06EC"/>
    <w:rsid w:val="007F625D"/>
    <w:rsid w:val="00813AB0"/>
    <w:rsid w:val="0082191F"/>
    <w:rsid w:val="00824F41"/>
    <w:rsid w:val="00837A17"/>
    <w:rsid w:val="0084002E"/>
    <w:rsid w:val="0084069E"/>
    <w:rsid w:val="00847BDC"/>
    <w:rsid w:val="00860B4C"/>
    <w:rsid w:val="00862AD4"/>
    <w:rsid w:val="00863302"/>
    <w:rsid w:val="00864343"/>
    <w:rsid w:val="00864E93"/>
    <w:rsid w:val="00871B9B"/>
    <w:rsid w:val="0088196F"/>
    <w:rsid w:val="00883E7F"/>
    <w:rsid w:val="0088431B"/>
    <w:rsid w:val="00893093"/>
    <w:rsid w:val="00893594"/>
    <w:rsid w:val="008A11E8"/>
    <w:rsid w:val="008A143D"/>
    <w:rsid w:val="008A1F21"/>
    <w:rsid w:val="008A422D"/>
    <w:rsid w:val="008A6113"/>
    <w:rsid w:val="008B3A73"/>
    <w:rsid w:val="008B6CC8"/>
    <w:rsid w:val="008C0E95"/>
    <w:rsid w:val="008C0ECE"/>
    <w:rsid w:val="008C7EBA"/>
    <w:rsid w:val="008D07A3"/>
    <w:rsid w:val="008D5226"/>
    <w:rsid w:val="008D53E2"/>
    <w:rsid w:val="008D72C2"/>
    <w:rsid w:val="008E006A"/>
    <w:rsid w:val="008E30DF"/>
    <w:rsid w:val="008E3768"/>
    <w:rsid w:val="008F34BF"/>
    <w:rsid w:val="008F7152"/>
    <w:rsid w:val="008F7250"/>
    <w:rsid w:val="009025D4"/>
    <w:rsid w:val="00906ADA"/>
    <w:rsid w:val="0090766E"/>
    <w:rsid w:val="00910C01"/>
    <w:rsid w:val="00914042"/>
    <w:rsid w:val="0091599A"/>
    <w:rsid w:val="0092092D"/>
    <w:rsid w:val="00932AD3"/>
    <w:rsid w:val="0093318E"/>
    <w:rsid w:val="00933F82"/>
    <w:rsid w:val="00934C10"/>
    <w:rsid w:val="00944E4E"/>
    <w:rsid w:val="0095543E"/>
    <w:rsid w:val="00961B44"/>
    <w:rsid w:val="00967A6F"/>
    <w:rsid w:val="00970BC7"/>
    <w:rsid w:val="00977A5C"/>
    <w:rsid w:val="0099038C"/>
    <w:rsid w:val="00990F1C"/>
    <w:rsid w:val="009914FA"/>
    <w:rsid w:val="00992286"/>
    <w:rsid w:val="0099608C"/>
    <w:rsid w:val="009A0971"/>
    <w:rsid w:val="009A0E8E"/>
    <w:rsid w:val="009B333D"/>
    <w:rsid w:val="009C1EB7"/>
    <w:rsid w:val="009E23BD"/>
    <w:rsid w:val="009E250D"/>
    <w:rsid w:val="009E2CC2"/>
    <w:rsid w:val="009E2EBC"/>
    <w:rsid w:val="009E3BC0"/>
    <w:rsid w:val="009E433A"/>
    <w:rsid w:val="009F4C73"/>
    <w:rsid w:val="009F4F6A"/>
    <w:rsid w:val="009F77AA"/>
    <w:rsid w:val="00A03F38"/>
    <w:rsid w:val="00A06FAC"/>
    <w:rsid w:val="00A07134"/>
    <w:rsid w:val="00A15067"/>
    <w:rsid w:val="00A15A9A"/>
    <w:rsid w:val="00A2631B"/>
    <w:rsid w:val="00A27809"/>
    <w:rsid w:val="00A4186A"/>
    <w:rsid w:val="00A44D63"/>
    <w:rsid w:val="00A500E8"/>
    <w:rsid w:val="00A532CA"/>
    <w:rsid w:val="00A54EEB"/>
    <w:rsid w:val="00A65452"/>
    <w:rsid w:val="00A7442D"/>
    <w:rsid w:val="00A77918"/>
    <w:rsid w:val="00A92321"/>
    <w:rsid w:val="00A9602D"/>
    <w:rsid w:val="00AB1A5D"/>
    <w:rsid w:val="00AB70F2"/>
    <w:rsid w:val="00AC403E"/>
    <w:rsid w:val="00AD5F3D"/>
    <w:rsid w:val="00AD6936"/>
    <w:rsid w:val="00AE314D"/>
    <w:rsid w:val="00AE5935"/>
    <w:rsid w:val="00AE6051"/>
    <w:rsid w:val="00AF2B73"/>
    <w:rsid w:val="00AF4B54"/>
    <w:rsid w:val="00AF56F7"/>
    <w:rsid w:val="00AF5BCC"/>
    <w:rsid w:val="00B012C4"/>
    <w:rsid w:val="00B037A3"/>
    <w:rsid w:val="00B03DD7"/>
    <w:rsid w:val="00B05FFF"/>
    <w:rsid w:val="00B20DFF"/>
    <w:rsid w:val="00B2111B"/>
    <w:rsid w:val="00B24A53"/>
    <w:rsid w:val="00B30C05"/>
    <w:rsid w:val="00B4147B"/>
    <w:rsid w:val="00B44AD6"/>
    <w:rsid w:val="00B45B3C"/>
    <w:rsid w:val="00B67019"/>
    <w:rsid w:val="00B67CD0"/>
    <w:rsid w:val="00B70B7C"/>
    <w:rsid w:val="00B8038E"/>
    <w:rsid w:val="00B82394"/>
    <w:rsid w:val="00B84F1F"/>
    <w:rsid w:val="00B96B34"/>
    <w:rsid w:val="00BB0160"/>
    <w:rsid w:val="00BB136A"/>
    <w:rsid w:val="00BB2038"/>
    <w:rsid w:val="00BB4AB9"/>
    <w:rsid w:val="00BB720B"/>
    <w:rsid w:val="00BB7D73"/>
    <w:rsid w:val="00BD2575"/>
    <w:rsid w:val="00BE21C5"/>
    <w:rsid w:val="00BE50F8"/>
    <w:rsid w:val="00BF207A"/>
    <w:rsid w:val="00BF3C98"/>
    <w:rsid w:val="00C22CBA"/>
    <w:rsid w:val="00C22D7B"/>
    <w:rsid w:val="00C23A3B"/>
    <w:rsid w:val="00C24FF7"/>
    <w:rsid w:val="00C250DE"/>
    <w:rsid w:val="00C2673B"/>
    <w:rsid w:val="00C40437"/>
    <w:rsid w:val="00C427E5"/>
    <w:rsid w:val="00C44075"/>
    <w:rsid w:val="00C44C0E"/>
    <w:rsid w:val="00C459F8"/>
    <w:rsid w:val="00C524EE"/>
    <w:rsid w:val="00C52A3C"/>
    <w:rsid w:val="00C5331A"/>
    <w:rsid w:val="00C56ABB"/>
    <w:rsid w:val="00C615C6"/>
    <w:rsid w:val="00C82F29"/>
    <w:rsid w:val="00C86746"/>
    <w:rsid w:val="00C872C8"/>
    <w:rsid w:val="00C87FDC"/>
    <w:rsid w:val="00CB0139"/>
    <w:rsid w:val="00CE18E3"/>
    <w:rsid w:val="00CE18ED"/>
    <w:rsid w:val="00CE60A3"/>
    <w:rsid w:val="00CF454F"/>
    <w:rsid w:val="00CF68B8"/>
    <w:rsid w:val="00D210E4"/>
    <w:rsid w:val="00D22DB8"/>
    <w:rsid w:val="00D30790"/>
    <w:rsid w:val="00D358CC"/>
    <w:rsid w:val="00D40531"/>
    <w:rsid w:val="00D40588"/>
    <w:rsid w:val="00D41DD9"/>
    <w:rsid w:val="00D456E1"/>
    <w:rsid w:val="00D458E2"/>
    <w:rsid w:val="00D507B2"/>
    <w:rsid w:val="00D50C53"/>
    <w:rsid w:val="00D54583"/>
    <w:rsid w:val="00D55740"/>
    <w:rsid w:val="00D60041"/>
    <w:rsid w:val="00D618E7"/>
    <w:rsid w:val="00D61BA6"/>
    <w:rsid w:val="00D66EC6"/>
    <w:rsid w:val="00D73B7B"/>
    <w:rsid w:val="00D7730D"/>
    <w:rsid w:val="00D805B3"/>
    <w:rsid w:val="00D8378B"/>
    <w:rsid w:val="00D902D7"/>
    <w:rsid w:val="00D96806"/>
    <w:rsid w:val="00D969F5"/>
    <w:rsid w:val="00DB03F6"/>
    <w:rsid w:val="00DB56E1"/>
    <w:rsid w:val="00DB5E85"/>
    <w:rsid w:val="00DC6F3E"/>
    <w:rsid w:val="00DD3DD5"/>
    <w:rsid w:val="00DD466A"/>
    <w:rsid w:val="00DE0E68"/>
    <w:rsid w:val="00DE2CA0"/>
    <w:rsid w:val="00DE7134"/>
    <w:rsid w:val="00DF239E"/>
    <w:rsid w:val="00DF3621"/>
    <w:rsid w:val="00DF3B7F"/>
    <w:rsid w:val="00DF46F3"/>
    <w:rsid w:val="00DF4A93"/>
    <w:rsid w:val="00DF7DE3"/>
    <w:rsid w:val="00E073FA"/>
    <w:rsid w:val="00E0780E"/>
    <w:rsid w:val="00E07920"/>
    <w:rsid w:val="00E12B66"/>
    <w:rsid w:val="00E16ED1"/>
    <w:rsid w:val="00E17733"/>
    <w:rsid w:val="00E21E08"/>
    <w:rsid w:val="00E23A07"/>
    <w:rsid w:val="00E25B3F"/>
    <w:rsid w:val="00E26906"/>
    <w:rsid w:val="00E26CD9"/>
    <w:rsid w:val="00E31CFC"/>
    <w:rsid w:val="00E35D60"/>
    <w:rsid w:val="00E405C0"/>
    <w:rsid w:val="00E5346E"/>
    <w:rsid w:val="00E54A1A"/>
    <w:rsid w:val="00E6263B"/>
    <w:rsid w:val="00E6441F"/>
    <w:rsid w:val="00E67F09"/>
    <w:rsid w:val="00E7198B"/>
    <w:rsid w:val="00E77DA9"/>
    <w:rsid w:val="00E828A3"/>
    <w:rsid w:val="00E83947"/>
    <w:rsid w:val="00E85ECE"/>
    <w:rsid w:val="00E939BD"/>
    <w:rsid w:val="00EC468B"/>
    <w:rsid w:val="00EC655F"/>
    <w:rsid w:val="00ED588B"/>
    <w:rsid w:val="00ED764A"/>
    <w:rsid w:val="00EE2E5E"/>
    <w:rsid w:val="00EE5095"/>
    <w:rsid w:val="00EF2CA7"/>
    <w:rsid w:val="00EF3DD1"/>
    <w:rsid w:val="00F006AD"/>
    <w:rsid w:val="00F03CCC"/>
    <w:rsid w:val="00F07EE5"/>
    <w:rsid w:val="00F11C02"/>
    <w:rsid w:val="00F21286"/>
    <w:rsid w:val="00F25856"/>
    <w:rsid w:val="00F353B3"/>
    <w:rsid w:val="00F35BB1"/>
    <w:rsid w:val="00F4501D"/>
    <w:rsid w:val="00F467D0"/>
    <w:rsid w:val="00F47068"/>
    <w:rsid w:val="00F5130E"/>
    <w:rsid w:val="00F51BAF"/>
    <w:rsid w:val="00F5749D"/>
    <w:rsid w:val="00F60D5D"/>
    <w:rsid w:val="00F616AB"/>
    <w:rsid w:val="00F63481"/>
    <w:rsid w:val="00F70939"/>
    <w:rsid w:val="00F73473"/>
    <w:rsid w:val="00F759EB"/>
    <w:rsid w:val="00F75B73"/>
    <w:rsid w:val="00F808A9"/>
    <w:rsid w:val="00F827AC"/>
    <w:rsid w:val="00F82CBA"/>
    <w:rsid w:val="00F84A74"/>
    <w:rsid w:val="00F84B4C"/>
    <w:rsid w:val="00F86E94"/>
    <w:rsid w:val="00F8734F"/>
    <w:rsid w:val="00F969DE"/>
    <w:rsid w:val="00FA5645"/>
    <w:rsid w:val="00FA576A"/>
    <w:rsid w:val="00FA6C97"/>
    <w:rsid w:val="00FB0B22"/>
    <w:rsid w:val="00FB0B99"/>
    <w:rsid w:val="00FB23F4"/>
    <w:rsid w:val="00FC0A74"/>
    <w:rsid w:val="00FC1DF0"/>
    <w:rsid w:val="00FC221D"/>
    <w:rsid w:val="00FC32E3"/>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B9E1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491339461">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FD131-89BB-45EE-9337-1FD2308C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1531</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2020-11-16T16:06:00Z</dcterms:created>
  <dcterms:modified xsi:type="dcterms:W3CDTF">2020-11-16T16:06:00Z</dcterms:modified>
</cp:coreProperties>
</file>