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4EDCD" w14:textId="77777777" w:rsidR="000007A2" w:rsidRPr="00F8734F" w:rsidRDefault="000007A2" w:rsidP="002E628E">
      <w:pPr>
        <w:spacing w:after="0" w:line="240" w:lineRule="auto"/>
        <w:jc w:val="right"/>
        <w:rPr>
          <w:rFonts w:cs="Calibri"/>
          <w:color w:val="000000"/>
          <w:sz w:val="20"/>
          <w:szCs w:val="20"/>
          <w:lang w:val="es-ES"/>
        </w:rPr>
      </w:pPr>
    </w:p>
    <w:p w14:paraId="20C384A7" w14:textId="77777777" w:rsidR="002E628E" w:rsidRPr="00F8734F" w:rsidRDefault="002E628E" w:rsidP="00B45B3C">
      <w:pPr>
        <w:spacing w:after="0" w:line="240" w:lineRule="auto"/>
        <w:jc w:val="right"/>
        <w:rPr>
          <w:rFonts w:cs="Calibri"/>
          <w:color w:val="000000"/>
          <w:sz w:val="20"/>
          <w:szCs w:val="20"/>
          <w:lang w:val="es-ES"/>
        </w:rPr>
      </w:pPr>
    </w:p>
    <w:p w14:paraId="07C4B078" w14:textId="77777777" w:rsidR="002E628E" w:rsidRPr="00F8734F" w:rsidRDefault="002E628E" w:rsidP="00B45B3C">
      <w:pPr>
        <w:spacing w:after="0" w:line="240" w:lineRule="auto"/>
        <w:jc w:val="right"/>
        <w:rPr>
          <w:rFonts w:cs="Calibri"/>
          <w:color w:val="000000"/>
          <w:sz w:val="20"/>
          <w:szCs w:val="20"/>
          <w:lang w:val="es-ES"/>
        </w:rPr>
      </w:pPr>
    </w:p>
    <w:p w14:paraId="1FB2AF1B" w14:textId="77777777" w:rsidR="00162CE1" w:rsidRPr="00F8734F" w:rsidRDefault="00333497" w:rsidP="00B45B3C">
      <w:pPr>
        <w:spacing w:after="0" w:line="240" w:lineRule="auto"/>
        <w:jc w:val="right"/>
        <w:rPr>
          <w:rFonts w:cs="Calibri"/>
          <w:color w:val="000000"/>
          <w:sz w:val="20"/>
          <w:szCs w:val="20"/>
          <w:lang w:val="es-ES"/>
        </w:rPr>
      </w:pPr>
      <w:r w:rsidRPr="00F8734F">
        <w:rPr>
          <w:rFonts w:cs="Calibri"/>
          <w:color w:val="000000"/>
          <w:sz w:val="20"/>
          <w:szCs w:val="20"/>
          <w:lang w:val="es-ES"/>
        </w:rPr>
        <w:t>1</w:t>
      </w:r>
      <w:r w:rsidR="004C5616" w:rsidRPr="00F8734F">
        <w:rPr>
          <w:rFonts w:cs="Calibri"/>
          <w:color w:val="000000"/>
          <w:sz w:val="20"/>
          <w:szCs w:val="20"/>
          <w:lang w:val="es-ES"/>
        </w:rPr>
        <w:t>9</w:t>
      </w:r>
      <w:r w:rsidRPr="00F8734F">
        <w:rPr>
          <w:rFonts w:cs="Calibri"/>
          <w:color w:val="000000"/>
          <w:sz w:val="20"/>
          <w:szCs w:val="20"/>
          <w:lang w:val="es-ES"/>
        </w:rPr>
        <w:t xml:space="preserve"> de junio</w:t>
      </w:r>
      <w:r w:rsidR="00DE2CA0" w:rsidRPr="00F8734F">
        <w:rPr>
          <w:rFonts w:cs="Calibri"/>
          <w:color w:val="000000"/>
          <w:sz w:val="20"/>
          <w:szCs w:val="20"/>
          <w:lang w:val="es-ES"/>
        </w:rPr>
        <w:t xml:space="preserve"> de 2020</w:t>
      </w:r>
    </w:p>
    <w:p w14:paraId="24F46B8A" w14:textId="77777777" w:rsidR="004C11AF" w:rsidRPr="00F8734F" w:rsidRDefault="004C11AF" w:rsidP="00F8734F">
      <w:pPr>
        <w:spacing w:after="0" w:line="240" w:lineRule="auto"/>
        <w:jc w:val="right"/>
        <w:rPr>
          <w:rFonts w:cs="Calibri"/>
          <w:color w:val="000000"/>
          <w:sz w:val="20"/>
          <w:szCs w:val="20"/>
          <w:lang w:val="es-ES"/>
        </w:rPr>
      </w:pPr>
    </w:p>
    <w:p w14:paraId="4FCE409C" w14:textId="77777777" w:rsidR="00162CE1" w:rsidRPr="00F8734F" w:rsidRDefault="0042403B" w:rsidP="002E628E">
      <w:pPr>
        <w:spacing w:after="0" w:line="240" w:lineRule="auto"/>
        <w:jc w:val="both"/>
        <w:rPr>
          <w:rFonts w:cs="Calibri"/>
          <w:b/>
          <w:color w:val="000000"/>
          <w:sz w:val="20"/>
          <w:szCs w:val="20"/>
          <w:lang w:val="es-ES"/>
        </w:rPr>
      </w:pPr>
      <w:r w:rsidRPr="00F8734F">
        <w:rPr>
          <w:rFonts w:cs="Calibri"/>
          <w:b/>
          <w:color w:val="000000"/>
          <w:sz w:val="20"/>
          <w:szCs w:val="20"/>
          <w:lang w:val="es-ES"/>
        </w:rPr>
        <w:t>REF</w:t>
      </w:r>
      <w:r w:rsidR="00162CE1" w:rsidRPr="00F8734F">
        <w:rPr>
          <w:rFonts w:cs="Calibri"/>
          <w:b/>
          <w:color w:val="000000"/>
          <w:sz w:val="20"/>
          <w:szCs w:val="20"/>
          <w:lang w:val="es-ES"/>
        </w:rPr>
        <w:t>.:</w:t>
      </w:r>
      <w:bookmarkStart w:id="0" w:name="Peticion_n"/>
      <w:bookmarkEnd w:id="0"/>
      <w:r w:rsidR="00A2631B" w:rsidRPr="00F8734F">
        <w:rPr>
          <w:rFonts w:cs="Calibri"/>
          <w:b/>
          <w:color w:val="000000"/>
          <w:sz w:val="20"/>
          <w:szCs w:val="20"/>
          <w:lang w:val="es-ES"/>
        </w:rPr>
        <w:tab/>
        <w:t>Caso Nº</w:t>
      </w:r>
      <w:r w:rsidR="00162CE1" w:rsidRPr="00F8734F">
        <w:rPr>
          <w:rFonts w:cs="Calibri"/>
          <w:b/>
          <w:color w:val="000000"/>
          <w:sz w:val="20"/>
          <w:szCs w:val="20"/>
          <w:lang w:val="es-ES"/>
        </w:rPr>
        <w:t xml:space="preserve"> </w:t>
      </w:r>
      <w:r w:rsidR="007A20BB" w:rsidRPr="00F8734F">
        <w:rPr>
          <w:rFonts w:cs="Calibri"/>
          <w:b/>
          <w:color w:val="000000"/>
          <w:sz w:val="20"/>
          <w:szCs w:val="20"/>
          <w:lang w:val="es-ES"/>
        </w:rPr>
        <w:t>12.</w:t>
      </w:r>
      <w:r w:rsidR="004C5616" w:rsidRPr="00F8734F">
        <w:rPr>
          <w:rFonts w:cs="Calibri"/>
          <w:b/>
          <w:color w:val="000000"/>
          <w:sz w:val="20"/>
          <w:szCs w:val="20"/>
          <w:lang w:val="es-ES"/>
        </w:rPr>
        <w:t>302</w:t>
      </w:r>
    </w:p>
    <w:p w14:paraId="36917258" w14:textId="77777777" w:rsidR="004C5616" w:rsidRPr="00F8734F" w:rsidRDefault="004C5616" w:rsidP="002E628E">
      <w:pPr>
        <w:spacing w:after="0" w:line="240" w:lineRule="auto"/>
        <w:ind w:firstLine="720"/>
        <w:jc w:val="both"/>
        <w:rPr>
          <w:rFonts w:cs="Calibri"/>
          <w:b/>
          <w:color w:val="000000"/>
          <w:sz w:val="20"/>
          <w:szCs w:val="20"/>
          <w:lang w:val="es-ES"/>
        </w:rPr>
      </w:pPr>
      <w:r w:rsidRPr="00F8734F">
        <w:rPr>
          <w:rFonts w:cs="Calibri"/>
          <w:b/>
          <w:color w:val="000000"/>
          <w:sz w:val="20"/>
          <w:szCs w:val="20"/>
          <w:lang w:val="es-ES"/>
        </w:rPr>
        <w:t xml:space="preserve">Hermanos Casierra y familia </w:t>
      </w:r>
    </w:p>
    <w:p w14:paraId="04DC735D" w14:textId="77777777" w:rsidR="00DE2CA0" w:rsidRPr="00F8734F" w:rsidRDefault="007A20BB" w:rsidP="002E628E">
      <w:pPr>
        <w:spacing w:after="0" w:line="240" w:lineRule="auto"/>
        <w:ind w:firstLine="720"/>
        <w:jc w:val="both"/>
        <w:rPr>
          <w:rFonts w:cs="Calibri"/>
          <w:b/>
          <w:color w:val="000000"/>
          <w:sz w:val="20"/>
          <w:szCs w:val="20"/>
          <w:lang w:val="es-CO"/>
        </w:rPr>
      </w:pPr>
      <w:r w:rsidRPr="00F8734F">
        <w:rPr>
          <w:rFonts w:cs="Calibri"/>
          <w:b/>
          <w:color w:val="000000"/>
          <w:sz w:val="20"/>
          <w:szCs w:val="20"/>
          <w:lang w:val="es-CO"/>
        </w:rPr>
        <w:t>Ecuador</w:t>
      </w:r>
    </w:p>
    <w:p w14:paraId="18425EA6" w14:textId="77777777" w:rsidR="0042403B" w:rsidRPr="00F8734F" w:rsidRDefault="0042403B" w:rsidP="00F8734F">
      <w:pPr>
        <w:spacing w:after="0" w:line="240" w:lineRule="auto"/>
        <w:jc w:val="both"/>
        <w:rPr>
          <w:rFonts w:cs="Calibri"/>
          <w:b/>
          <w:color w:val="000000"/>
          <w:sz w:val="20"/>
          <w:szCs w:val="20"/>
          <w:lang w:val="es-ES"/>
        </w:rPr>
      </w:pPr>
    </w:p>
    <w:p w14:paraId="4535D20F" w14:textId="77777777" w:rsidR="000007A2" w:rsidRPr="00F8734F" w:rsidRDefault="000007A2" w:rsidP="002E628E">
      <w:pPr>
        <w:spacing w:after="0" w:line="240" w:lineRule="auto"/>
        <w:jc w:val="both"/>
        <w:rPr>
          <w:rFonts w:cs="Calibri"/>
          <w:b/>
          <w:color w:val="000000"/>
          <w:sz w:val="20"/>
          <w:szCs w:val="20"/>
          <w:lang w:val="es-ES"/>
        </w:rPr>
      </w:pPr>
    </w:p>
    <w:p w14:paraId="3CC8556D" w14:textId="77777777" w:rsidR="00162CE1" w:rsidRPr="00F8734F" w:rsidRDefault="00162CE1" w:rsidP="002E628E">
      <w:pPr>
        <w:spacing w:after="0" w:line="240" w:lineRule="auto"/>
        <w:jc w:val="both"/>
        <w:rPr>
          <w:rFonts w:cs="Calibri"/>
          <w:color w:val="000000"/>
          <w:sz w:val="20"/>
          <w:szCs w:val="20"/>
          <w:lang w:val="es-ES"/>
        </w:rPr>
      </w:pPr>
      <w:r w:rsidRPr="00F8734F">
        <w:rPr>
          <w:rFonts w:cs="Calibri"/>
          <w:color w:val="000000"/>
          <w:sz w:val="20"/>
          <w:szCs w:val="20"/>
          <w:lang w:val="es-ES"/>
        </w:rPr>
        <w:t>Señor Secretario:</w:t>
      </w:r>
    </w:p>
    <w:p w14:paraId="6C82177A" w14:textId="77777777" w:rsidR="00162CE1" w:rsidRPr="00F8734F" w:rsidRDefault="00162CE1" w:rsidP="002E628E">
      <w:pPr>
        <w:spacing w:after="0" w:line="240" w:lineRule="auto"/>
        <w:jc w:val="both"/>
        <w:rPr>
          <w:rFonts w:cs="Calibri"/>
          <w:color w:val="000000"/>
          <w:sz w:val="20"/>
          <w:szCs w:val="20"/>
          <w:lang w:val="es-ES"/>
        </w:rPr>
      </w:pPr>
    </w:p>
    <w:p w14:paraId="55CB9E34" w14:textId="77777777" w:rsidR="004C5616" w:rsidRPr="00F8734F" w:rsidRDefault="00333497" w:rsidP="002E628E">
      <w:pPr>
        <w:tabs>
          <w:tab w:val="left" w:pos="720"/>
          <w:tab w:val="num" w:pos="2040"/>
        </w:tabs>
        <w:spacing w:after="0" w:line="240" w:lineRule="auto"/>
        <w:jc w:val="both"/>
        <w:rPr>
          <w:rFonts w:cs="Calibri"/>
          <w:color w:val="000000"/>
          <w:sz w:val="20"/>
          <w:szCs w:val="20"/>
          <w:lang w:val="es-ES"/>
        </w:rPr>
      </w:pPr>
      <w:r w:rsidRPr="00F8734F">
        <w:rPr>
          <w:rFonts w:cs="Calibri"/>
          <w:color w:val="000000"/>
          <w:sz w:val="20"/>
          <w:szCs w:val="20"/>
          <w:lang w:val="es-ES"/>
        </w:rPr>
        <w:tab/>
      </w:r>
      <w:r w:rsidR="00162CE1" w:rsidRPr="00F8734F">
        <w:rPr>
          <w:rFonts w:cs="Calibri"/>
          <w:color w:val="000000"/>
          <w:sz w:val="20"/>
          <w:szCs w:val="20"/>
          <w:lang w:val="es-ES"/>
        </w:rPr>
        <w:t>Tengo el agrado de dirigirme a usted</w:t>
      </w:r>
      <w:r w:rsidR="0042403B" w:rsidRPr="00F8734F">
        <w:rPr>
          <w:rFonts w:cs="Calibri"/>
          <w:color w:val="000000"/>
          <w:sz w:val="20"/>
          <w:szCs w:val="20"/>
          <w:lang w:val="es-ES"/>
        </w:rPr>
        <w:t>,</w:t>
      </w:r>
      <w:r w:rsidR="00162CE1" w:rsidRPr="00F8734F">
        <w:rPr>
          <w:rFonts w:cs="Calibri"/>
          <w:color w:val="000000"/>
          <w:sz w:val="20"/>
          <w:szCs w:val="20"/>
          <w:lang w:val="es-ES"/>
        </w:rPr>
        <w:t xml:space="preserve"> en nombre de la Comisión Interamericana de Derechos Humanos</w:t>
      </w:r>
      <w:r w:rsidR="0042403B" w:rsidRPr="00F8734F">
        <w:rPr>
          <w:rFonts w:cs="Calibri"/>
          <w:color w:val="000000"/>
          <w:sz w:val="20"/>
          <w:szCs w:val="20"/>
          <w:lang w:val="es-ES"/>
        </w:rPr>
        <w:t>,</w:t>
      </w:r>
      <w:r w:rsidR="00162CE1" w:rsidRPr="00F8734F">
        <w:rPr>
          <w:rFonts w:cs="Calibri"/>
          <w:color w:val="000000"/>
          <w:sz w:val="20"/>
          <w:szCs w:val="20"/>
          <w:lang w:val="es-ES"/>
        </w:rPr>
        <w:t xml:space="preserve"> con el objeto de someter a la jurisdicción de la Honorable Corte Interame</w:t>
      </w:r>
      <w:r w:rsidR="009E433A" w:rsidRPr="00F8734F">
        <w:rPr>
          <w:rFonts w:cs="Calibri"/>
          <w:color w:val="000000"/>
          <w:sz w:val="20"/>
          <w:szCs w:val="20"/>
          <w:lang w:val="es-ES"/>
        </w:rPr>
        <w:t xml:space="preserve">ricana de Derechos Humanos, el </w:t>
      </w:r>
      <w:r w:rsidR="002E628E" w:rsidRPr="00F8734F">
        <w:rPr>
          <w:rFonts w:cs="Calibri"/>
          <w:color w:val="000000"/>
          <w:sz w:val="20"/>
          <w:szCs w:val="20"/>
          <w:lang w:val="es-ES"/>
        </w:rPr>
        <w:t>C</w:t>
      </w:r>
      <w:r w:rsidR="00162CE1" w:rsidRPr="00F8734F">
        <w:rPr>
          <w:rFonts w:cs="Calibri"/>
          <w:color w:val="000000"/>
          <w:sz w:val="20"/>
          <w:szCs w:val="20"/>
          <w:lang w:val="es-ES"/>
        </w:rPr>
        <w:t xml:space="preserve">aso </w:t>
      </w:r>
      <w:bookmarkStart w:id="1" w:name="Peticion_n1"/>
      <w:bookmarkEnd w:id="1"/>
      <w:r w:rsidR="00DE2CA0" w:rsidRPr="00F8734F">
        <w:rPr>
          <w:rFonts w:cs="Calibri"/>
          <w:color w:val="000000"/>
          <w:sz w:val="20"/>
          <w:szCs w:val="20"/>
          <w:lang w:val="es-ES"/>
        </w:rPr>
        <w:t>12.</w:t>
      </w:r>
      <w:r w:rsidR="004C5616" w:rsidRPr="00F8734F">
        <w:rPr>
          <w:rFonts w:cs="Calibri"/>
          <w:color w:val="000000"/>
          <w:sz w:val="20"/>
          <w:szCs w:val="20"/>
          <w:lang w:val="es-ES"/>
        </w:rPr>
        <w:t>302</w:t>
      </w:r>
      <w:r w:rsidR="009E433A" w:rsidRPr="00F8734F">
        <w:rPr>
          <w:rFonts w:cs="Calibri"/>
          <w:color w:val="000000"/>
          <w:sz w:val="20"/>
          <w:szCs w:val="20"/>
          <w:lang w:val="es-ES"/>
        </w:rPr>
        <w:t xml:space="preserve"> </w:t>
      </w:r>
      <w:r w:rsidR="00E31CFC" w:rsidRPr="00F8734F">
        <w:rPr>
          <w:rFonts w:cs="Calibri"/>
          <w:color w:val="000000"/>
          <w:sz w:val="20"/>
          <w:szCs w:val="20"/>
          <w:lang w:val="es-ES"/>
        </w:rPr>
        <w:t>–</w:t>
      </w:r>
      <w:r w:rsidR="00162CE1" w:rsidRPr="00F8734F">
        <w:rPr>
          <w:rFonts w:cs="Calibri"/>
          <w:color w:val="000000"/>
          <w:sz w:val="20"/>
          <w:szCs w:val="20"/>
          <w:lang w:val="es-ES"/>
        </w:rPr>
        <w:t xml:space="preserve"> </w:t>
      </w:r>
      <w:r w:rsidR="004C5616" w:rsidRPr="00F8734F">
        <w:rPr>
          <w:rFonts w:cs="Calibri"/>
          <w:color w:val="000000"/>
          <w:sz w:val="20"/>
          <w:szCs w:val="20"/>
          <w:lang w:val="es-ES"/>
        </w:rPr>
        <w:t>Hermanos Casierra y familia</w:t>
      </w:r>
      <w:r w:rsidR="006634BE" w:rsidRPr="00F8734F">
        <w:rPr>
          <w:rFonts w:cs="Calibri"/>
          <w:color w:val="000000"/>
          <w:sz w:val="20"/>
          <w:szCs w:val="20"/>
          <w:lang w:val="es-ES"/>
        </w:rPr>
        <w:t>,</w:t>
      </w:r>
      <w:r w:rsidR="009E433A" w:rsidRPr="00F8734F">
        <w:rPr>
          <w:rFonts w:cs="Calibri"/>
          <w:color w:val="000000"/>
          <w:sz w:val="20"/>
          <w:szCs w:val="20"/>
          <w:lang w:val="es-ES"/>
        </w:rPr>
        <w:t xml:space="preserve"> </w:t>
      </w:r>
      <w:r w:rsidR="00CB0139" w:rsidRPr="00F8734F">
        <w:rPr>
          <w:rFonts w:cs="Calibri"/>
          <w:color w:val="000000"/>
          <w:sz w:val="20"/>
          <w:szCs w:val="20"/>
          <w:lang w:val="es-ES"/>
        </w:rPr>
        <w:t>de</w:t>
      </w:r>
      <w:r w:rsidR="004A2758" w:rsidRPr="00F8734F">
        <w:rPr>
          <w:rFonts w:cs="Calibri"/>
          <w:color w:val="000000"/>
          <w:sz w:val="20"/>
          <w:szCs w:val="20"/>
          <w:lang w:val="es-ES"/>
        </w:rPr>
        <w:t xml:space="preserve"> </w:t>
      </w:r>
      <w:r w:rsidRPr="00F8734F">
        <w:rPr>
          <w:rFonts w:cs="Calibri"/>
          <w:color w:val="000000"/>
          <w:sz w:val="20"/>
          <w:szCs w:val="20"/>
          <w:lang w:val="es-ES"/>
        </w:rPr>
        <w:t>la República de Ecuador</w:t>
      </w:r>
      <w:r w:rsidR="00162CE1" w:rsidRPr="00F8734F">
        <w:rPr>
          <w:rFonts w:cs="Calibri"/>
          <w:color w:val="000000"/>
          <w:sz w:val="20"/>
          <w:szCs w:val="20"/>
          <w:lang w:val="es-ES"/>
        </w:rPr>
        <w:t xml:space="preserve"> (en adelante “el Estado”, “el Estado </w:t>
      </w:r>
      <w:r w:rsidRPr="00F8734F">
        <w:rPr>
          <w:rFonts w:cs="Calibri"/>
          <w:color w:val="000000"/>
          <w:sz w:val="20"/>
          <w:szCs w:val="20"/>
          <w:lang w:val="es-ES"/>
        </w:rPr>
        <w:t>ecuatoriano</w:t>
      </w:r>
      <w:r w:rsidR="00162CE1" w:rsidRPr="00F8734F">
        <w:rPr>
          <w:rFonts w:cs="Calibri"/>
          <w:color w:val="000000"/>
          <w:sz w:val="20"/>
          <w:szCs w:val="20"/>
          <w:lang w:val="es-ES"/>
        </w:rPr>
        <w:t>” o “</w:t>
      </w:r>
      <w:r w:rsidRPr="00F8734F">
        <w:rPr>
          <w:rFonts w:cs="Calibri"/>
          <w:color w:val="000000"/>
          <w:sz w:val="20"/>
          <w:szCs w:val="20"/>
          <w:lang w:val="es-ES"/>
        </w:rPr>
        <w:t>Ecuador</w:t>
      </w:r>
      <w:r w:rsidR="00162CE1" w:rsidRPr="00F8734F">
        <w:rPr>
          <w:rFonts w:cs="Calibri"/>
          <w:color w:val="000000"/>
          <w:sz w:val="20"/>
          <w:szCs w:val="20"/>
          <w:lang w:val="es-ES"/>
        </w:rPr>
        <w:t>”) relacionado con</w:t>
      </w:r>
      <w:r w:rsidR="004C5616" w:rsidRPr="00F8734F">
        <w:rPr>
          <w:rFonts w:cs="Calibri"/>
          <w:color w:val="000000"/>
          <w:sz w:val="20"/>
          <w:szCs w:val="20"/>
          <w:lang w:val="es-ES"/>
        </w:rPr>
        <w:t xml:space="preserve"> la muerte de Luis Eduardo Casierra Quiñonez y las lesiones de </w:t>
      </w:r>
      <w:r w:rsidR="008E30DF" w:rsidRPr="00F8734F">
        <w:rPr>
          <w:rFonts w:cs="Calibri"/>
          <w:color w:val="000000"/>
          <w:sz w:val="20"/>
          <w:szCs w:val="20"/>
          <w:lang w:val="es-ES"/>
        </w:rPr>
        <w:t xml:space="preserve">Andrés </w:t>
      </w:r>
      <w:r w:rsidR="004C5616" w:rsidRPr="00F8734F">
        <w:rPr>
          <w:rFonts w:cs="Calibri"/>
          <w:color w:val="000000"/>
          <w:sz w:val="20"/>
          <w:szCs w:val="20"/>
          <w:lang w:val="es-ES"/>
        </w:rPr>
        <w:t xml:space="preserve">Alejandro Casierra Quiñonez por parte de agentes de la Armada Nacional en diciembre de 1999, </w:t>
      </w:r>
      <w:r w:rsidR="00DB5E85" w:rsidRPr="00F8734F">
        <w:rPr>
          <w:rFonts w:cs="Calibri"/>
          <w:color w:val="000000"/>
          <w:sz w:val="20"/>
          <w:szCs w:val="20"/>
          <w:lang w:val="es-ES"/>
        </w:rPr>
        <w:t xml:space="preserve">y </w:t>
      </w:r>
      <w:r w:rsidR="004C5616" w:rsidRPr="00F8734F">
        <w:rPr>
          <w:rFonts w:cs="Calibri"/>
          <w:color w:val="000000"/>
          <w:sz w:val="20"/>
          <w:szCs w:val="20"/>
          <w:lang w:val="es-ES"/>
        </w:rPr>
        <w:t>la situación de impunidad de lo sucedido.</w:t>
      </w:r>
    </w:p>
    <w:p w14:paraId="7F810688" w14:textId="77777777" w:rsidR="004C5616" w:rsidRPr="00F8734F" w:rsidRDefault="004C5616" w:rsidP="00B45B3C">
      <w:pPr>
        <w:tabs>
          <w:tab w:val="left" w:pos="720"/>
          <w:tab w:val="num" w:pos="2040"/>
        </w:tabs>
        <w:spacing w:after="0" w:line="240" w:lineRule="auto"/>
        <w:jc w:val="both"/>
        <w:rPr>
          <w:rFonts w:cs="Calibri"/>
          <w:color w:val="000000"/>
          <w:sz w:val="20"/>
          <w:szCs w:val="20"/>
          <w:lang w:val="es-ES"/>
        </w:rPr>
      </w:pPr>
    </w:p>
    <w:p w14:paraId="13E480DA" w14:textId="77777777" w:rsidR="004C5616" w:rsidRPr="00F8734F" w:rsidRDefault="004C5616" w:rsidP="00B45B3C">
      <w:pPr>
        <w:tabs>
          <w:tab w:val="left" w:pos="720"/>
          <w:tab w:val="left" w:pos="1170"/>
        </w:tabs>
        <w:autoSpaceDE w:val="0"/>
        <w:autoSpaceDN w:val="0"/>
        <w:adjustRightInd w:val="0"/>
        <w:spacing w:after="0" w:line="240" w:lineRule="auto"/>
        <w:jc w:val="both"/>
        <w:rPr>
          <w:rFonts w:cs="Calibri"/>
          <w:color w:val="000000"/>
          <w:sz w:val="20"/>
          <w:szCs w:val="20"/>
          <w:lang w:val="es-ES"/>
        </w:rPr>
      </w:pPr>
      <w:r w:rsidRPr="00F8734F">
        <w:rPr>
          <w:rFonts w:cs="Calibri"/>
          <w:color w:val="000000"/>
          <w:sz w:val="20"/>
          <w:szCs w:val="20"/>
          <w:lang w:val="es-ES"/>
        </w:rPr>
        <w:tab/>
      </w:r>
      <w:r w:rsidR="00C23A3B" w:rsidRPr="00F8734F">
        <w:rPr>
          <w:rFonts w:cs="Calibri"/>
          <w:color w:val="000000"/>
          <w:sz w:val="20"/>
          <w:szCs w:val="20"/>
          <w:lang w:val="es-ES"/>
        </w:rPr>
        <w:t>En su Informe de Fondo l</w:t>
      </w:r>
      <w:r w:rsidRPr="00F8734F">
        <w:rPr>
          <w:rFonts w:cs="Calibri"/>
          <w:color w:val="000000"/>
          <w:sz w:val="20"/>
          <w:szCs w:val="20"/>
          <w:lang w:val="es-ES"/>
        </w:rPr>
        <w:t xml:space="preserve">a Comisión consideró que no existe controversia respecto de que Luis Eduardo </w:t>
      </w:r>
      <w:r w:rsidR="00DB5E85" w:rsidRPr="00F8734F">
        <w:rPr>
          <w:rFonts w:cs="Calibri"/>
          <w:color w:val="000000"/>
          <w:sz w:val="20"/>
          <w:szCs w:val="20"/>
          <w:lang w:val="es-ES"/>
        </w:rPr>
        <w:t xml:space="preserve">Casierra </w:t>
      </w:r>
      <w:r w:rsidRPr="00F8734F">
        <w:rPr>
          <w:rFonts w:cs="Calibri"/>
          <w:color w:val="000000"/>
          <w:sz w:val="20"/>
          <w:szCs w:val="20"/>
          <w:lang w:val="es-ES"/>
        </w:rPr>
        <w:t>fue herido y luego falleció</w:t>
      </w:r>
      <w:r w:rsidR="00DB5E85" w:rsidRPr="00F8734F">
        <w:rPr>
          <w:rFonts w:cs="Calibri"/>
          <w:color w:val="000000"/>
          <w:sz w:val="20"/>
          <w:szCs w:val="20"/>
          <w:lang w:val="es-ES"/>
        </w:rPr>
        <w:t>,</w:t>
      </w:r>
      <w:r w:rsidRPr="00F8734F">
        <w:rPr>
          <w:rFonts w:cs="Calibri"/>
          <w:color w:val="000000"/>
          <w:sz w:val="20"/>
          <w:szCs w:val="20"/>
          <w:lang w:val="es-ES"/>
        </w:rPr>
        <w:t xml:space="preserve"> y</w:t>
      </w:r>
      <w:r w:rsidR="00A27809" w:rsidRPr="00F8734F">
        <w:rPr>
          <w:rFonts w:cs="Calibri"/>
          <w:color w:val="000000"/>
          <w:sz w:val="20"/>
          <w:szCs w:val="20"/>
          <w:lang w:val="es-ES"/>
        </w:rPr>
        <w:t xml:space="preserve"> qu</w:t>
      </w:r>
      <w:r w:rsidR="00DB5E85" w:rsidRPr="00F8734F">
        <w:rPr>
          <w:rFonts w:cs="Calibri"/>
          <w:color w:val="000000"/>
          <w:sz w:val="20"/>
          <w:szCs w:val="20"/>
          <w:lang w:val="es-ES"/>
        </w:rPr>
        <w:t>e</w:t>
      </w:r>
      <w:r w:rsidRPr="00F8734F">
        <w:rPr>
          <w:rFonts w:cs="Calibri"/>
          <w:color w:val="000000"/>
          <w:sz w:val="20"/>
          <w:szCs w:val="20"/>
          <w:lang w:val="es-ES"/>
        </w:rPr>
        <w:t xml:space="preserve"> Andrés Alejandro </w:t>
      </w:r>
      <w:r w:rsidR="00DB5E85" w:rsidRPr="00F8734F">
        <w:rPr>
          <w:rFonts w:cs="Calibri"/>
          <w:color w:val="000000"/>
          <w:sz w:val="20"/>
          <w:szCs w:val="20"/>
          <w:lang w:val="es-ES"/>
        </w:rPr>
        <w:t xml:space="preserve">Casierra </w:t>
      </w:r>
      <w:r w:rsidRPr="00F8734F">
        <w:rPr>
          <w:rFonts w:cs="Calibri"/>
          <w:color w:val="000000"/>
          <w:sz w:val="20"/>
          <w:szCs w:val="20"/>
          <w:lang w:val="es-ES"/>
        </w:rPr>
        <w:t xml:space="preserve">resultó herido como consecuencia del uso de la fuerza letal por parte agentes de la Armada Nacional. La CIDH consideró que el Estado no aportó una explicación satisfactoria sobre el uso de la fuerza letal, que fuera el resultado de una investigación independiente, imparcial y con la debida diligencia. Asimismo, la Comisión concluyó que el uso de la fuerza empleado por el Estado no tuvo una finalidad legítima, y resultó innecesario y desproporcionado. En vista de lo anterior, la Comisión concluyó que el Estado ecuatoriano </w:t>
      </w:r>
      <w:r w:rsidR="00A27809" w:rsidRPr="00F8734F">
        <w:rPr>
          <w:rFonts w:cs="Calibri"/>
          <w:color w:val="000000"/>
          <w:sz w:val="20"/>
          <w:szCs w:val="20"/>
          <w:lang w:val="es-ES"/>
        </w:rPr>
        <w:t>es</w:t>
      </w:r>
      <w:r w:rsidRPr="00F8734F">
        <w:rPr>
          <w:rFonts w:cs="Calibri"/>
          <w:color w:val="000000"/>
          <w:sz w:val="20"/>
          <w:szCs w:val="20"/>
          <w:lang w:val="es-ES"/>
        </w:rPr>
        <w:t xml:space="preserve"> responsable por la violación de los derechos a la vida e integridad personal de Luis Eduardo, y del derecho a la integridad personal de Andrés Alejandro.</w:t>
      </w:r>
    </w:p>
    <w:p w14:paraId="402FDEF9" w14:textId="77777777" w:rsidR="004C5616" w:rsidRPr="00F8734F" w:rsidRDefault="004C5616" w:rsidP="00F8734F">
      <w:pPr>
        <w:tabs>
          <w:tab w:val="left" w:pos="1170"/>
        </w:tabs>
        <w:autoSpaceDE w:val="0"/>
        <w:autoSpaceDN w:val="0"/>
        <w:adjustRightInd w:val="0"/>
        <w:spacing w:after="0" w:line="240" w:lineRule="auto"/>
        <w:jc w:val="both"/>
        <w:rPr>
          <w:rFonts w:cs="Calibri"/>
          <w:color w:val="000000"/>
          <w:sz w:val="20"/>
          <w:szCs w:val="20"/>
          <w:lang w:val="es-ES"/>
        </w:rPr>
      </w:pPr>
    </w:p>
    <w:p w14:paraId="0789BDA5" w14:textId="77777777" w:rsidR="004C5616" w:rsidRPr="00F8734F" w:rsidRDefault="004C5616" w:rsidP="00F8734F">
      <w:pPr>
        <w:tabs>
          <w:tab w:val="left" w:pos="720"/>
          <w:tab w:val="left" w:pos="1170"/>
        </w:tabs>
        <w:autoSpaceDE w:val="0"/>
        <w:autoSpaceDN w:val="0"/>
        <w:adjustRightInd w:val="0"/>
        <w:spacing w:after="0" w:line="240" w:lineRule="auto"/>
        <w:jc w:val="both"/>
        <w:rPr>
          <w:rFonts w:cs="Calibri"/>
          <w:color w:val="000000"/>
          <w:sz w:val="20"/>
          <w:szCs w:val="20"/>
          <w:lang w:val="es-ES"/>
        </w:rPr>
      </w:pPr>
      <w:r w:rsidRPr="00F8734F">
        <w:rPr>
          <w:rFonts w:cs="Calibri"/>
          <w:color w:val="000000"/>
          <w:sz w:val="20"/>
          <w:szCs w:val="20"/>
          <w:lang w:val="es-ES"/>
        </w:rPr>
        <w:tab/>
        <w:t xml:space="preserve">Adicionalmente, la Comisión </w:t>
      </w:r>
      <w:r w:rsidR="00A27809" w:rsidRPr="00F8734F">
        <w:rPr>
          <w:rFonts w:cs="Calibri"/>
          <w:color w:val="000000"/>
          <w:sz w:val="20"/>
          <w:szCs w:val="20"/>
          <w:lang w:val="es-ES"/>
        </w:rPr>
        <w:t>observó</w:t>
      </w:r>
      <w:r w:rsidRPr="00F8734F">
        <w:rPr>
          <w:rFonts w:cs="Calibri"/>
          <w:color w:val="000000"/>
          <w:sz w:val="20"/>
          <w:szCs w:val="20"/>
          <w:lang w:val="es-ES"/>
        </w:rPr>
        <w:t xml:space="preserve"> que la investigación seguida a los miembros de la Armada Nacional que participaron de la muerte y lesiones de los hermanos Casierra se </w:t>
      </w:r>
      <w:r w:rsidR="00A27809" w:rsidRPr="00F8734F">
        <w:rPr>
          <w:rFonts w:cs="Calibri"/>
          <w:color w:val="000000"/>
          <w:sz w:val="20"/>
          <w:szCs w:val="20"/>
          <w:lang w:val="es-ES"/>
        </w:rPr>
        <w:t>llevó a cabo</w:t>
      </w:r>
      <w:r w:rsidRPr="00F8734F">
        <w:rPr>
          <w:rFonts w:cs="Calibri"/>
          <w:color w:val="000000"/>
          <w:sz w:val="20"/>
          <w:szCs w:val="20"/>
          <w:lang w:val="es-ES"/>
        </w:rPr>
        <w:t xml:space="preserve"> ante la jurisdicción penal militar. La CIDH resaltó que</w:t>
      </w:r>
      <w:r w:rsidR="00A27809" w:rsidRPr="00F8734F">
        <w:rPr>
          <w:rFonts w:cs="Calibri"/>
          <w:color w:val="000000"/>
          <w:sz w:val="20"/>
          <w:szCs w:val="20"/>
          <w:lang w:val="es-ES"/>
        </w:rPr>
        <w:t>,</w:t>
      </w:r>
      <w:r w:rsidRPr="00F8734F">
        <w:rPr>
          <w:rFonts w:cs="Calibri"/>
          <w:color w:val="000000"/>
          <w:sz w:val="20"/>
          <w:szCs w:val="20"/>
          <w:lang w:val="es-ES"/>
        </w:rPr>
        <w:t xml:space="preserve"> tratándose de violaciones de derechos humanos y puntualmente de violaciones de los derechos a la vida e integridad personal, los hechos no podían ser considerados posibles delitos de función y, por lo tanto, la investigación debió adelantarse en el fuero ordinario. En virtud de lo señalado, la Comisión concluyó que, al aplicar la justicia penal militar al presente caso, el Estado ecuatoriano violó los derechos a las garantías judiciales y protección judicial, específicamente el derecho a contar con una autoridad competente, independiente e imparcial, así como a contar con un recurso judicial adecuado y efectivo.</w:t>
      </w:r>
    </w:p>
    <w:p w14:paraId="4A3D057C" w14:textId="77777777" w:rsidR="004C5616" w:rsidRPr="00F8734F" w:rsidRDefault="004C5616" w:rsidP="00F8734F">
      <w:pPr>
        <w:tabs>
          <w:tab w:val="left" w:pos="1170"/>
        </w:tabs>
        <w:autoSpaceDE w:val="0"/>
        <w:autoSpaceDN w:val="0"/>
        <w:adjustRightInd w:val="0"/>
        <w:spacing w:after="0" w:line="240" w:lineRule="auto"/>
        <w:jc w:val="both"/>
        <w:rPr>
          <w:rFonts w:cs="Calibri"/>
          <w:color w:val="000000"/>
          <w:sz w:val="20"/>
          <w:szCs w:val="20"/>
          <w:lang w:val="es-ES"/>
        </w:rPr>
      </w:pPr>
    </w:p>
    <w:p w14:paraId="220835C6" w14:textId="77777777" w:rsidR="004C5616" w:rsidRPr="00F8734F" w:rsidRDefault="004C5616" w:rsidP="00F8734F">
      <w:pPr>
        <w:tabs>
          <w:tab w:val="left" w:pos="720"/>
          <w:tab w:val="left" w:pos="1170"/>
        </w:tabs>
        <w:autoSpaceDE w:val="0"/>
        <w:autoSpaceDN w:val="0"/>
        <w:adjustRightInd w:val="0"/>
        <w:spacing w:after="0" w:line="240" w:lineRule="auto"/>
        <w:jc w:val="both"/>
        <w:rPr>
          <w:rFonts w:cs="Calibri"/>
          <w:color w:val="000000"/>
          <w:sz w:val="20"/>
          <w:szCs w:val="20"/>
          <w:lang w:val="es-ES"/>
        </w:rPr>
      </w:pPr>
      <w:r w:rsidRPr="00F8734F">
        <w:rPr>
          <w:rFonts w:cs="Calibri"/>
          <w:color w:val="000000"/>
          <w:sz w:val="20"/>
          <w:szCs w:val="20"/>
          <w:lang w:val="es-ES"/>
        </w:rPr>
        <w:tab/>
        <w:t>Finalmente, la Comisión concluyó que el Estado vulneró el derecho a la integridad personal de los familiares de los hermanos Casierra identificados en el Informe de Fondo. Ello</w:t>
      </w:r>
      <w:r w:rsidR="00A27809" w:rsidRPr="00F8734F">
        <w:rPr>
          <w:rFonts w:cs="Calibri"/>
          <w:color w:val="000000"/>
          <w:sz w:val="20"/>
          <w:szCs w:val="20"/>
          <w:lang w:val="es-ES"/>
        </w:rPr>
        <w:t>,</w:t>
      </w:r>
      <w:r w:rsidRPr="00F8734F">
        <w:rPr>
          <w:rFonts w:cs="Calibri"/>
          <w:color w:val="000000"/>
          <w:sz w:val="20"/>
          <w:szCs w:val="20"/>
          <w:lang w:val="es-ES"/>
        </w:rPr>
        <w:t xml:space="preserve"> en tanto la pérdida de un ser querido y las lesiones de otro, así como la ausencia de verdad y justicia, ocasionaron sufrimiento y angustia en perjuicio de sus familiares.</w:t>
      </w:r>
    </w:p>
    <w:p w14:paraId="3003AA99" w14:textId="77777777" w:rsidR="004C5616" w:rsidRPr="00F8734F" w:rsidRDefault="004C5616" w:rsidP="00F8734F">
      <w:pPr>
        <w:tabs>
          <w:tab w:val="left" w:pos="720"/>
          <w:tab w:val="num" w:pos="2040"/>
        </w:tabs>
        <w:spacing w:after="0" w:line="240" w:lineRule="auto"/>
        <w:jc w:val="both"/>
        <w:rPr>
          <w:rFonts w:cs="Calibri"/>
          <w:color w:val="000000"/>
          <w:sz w:val="20"/>
          <w:szCs w:val="20"/>
          <w:lang w:val="es-ES_tradnl"/>
        </w:rPr>
      </w:pPr>
    </w:p>
    <w:p w14:paraId="17B475DE" w14:textId="77777777" w:rsidR="004C5616" w:rsidRPr="00F8734F" w:rsidRDefault="004C5616" w:rsidP="00F8734F">
      <w:pPr>
        <w:tabs>
          <w:tab w:val="left" w:pos="720"/>
          <w:tab w:val="num" w:pos="2040"/>
        </w:tabs>
        <w:spacing w:after="0" w:line="240" w:lineRule="auto"/>
        <w:jc w:val="both"/>
        <w:rPr>
          <w:rFonts w:cs="Calibri"/>
          <w:color w:val="000000"/>
          <w:sz w:val="20"/>
          <w:szCs w:val="20"/>
          <w:lang w:val="es-ES"/>
        </w:rPr>
      </w:pPr>
    </w:p>
    <w:p w14:paraId="011A87AA" w14:textId="77777777" w:rsidR="007A20BB" w:rsidRPr="00F8734F" w:rsidRDefault="007A20BB" w:rsidP="00F8734F">
      <w:pPr>
        <w:tabs>
          <w:tab w:val="left" w:pos="1170"/>
        </w:tabs>
        <w:autoSpaceDE w:val="0"/>
        <w:autoSpaceDN w:val="0"/>
        <w:adjustRightInd w:val="0"/>
        <w:spacing w:after="0" w:line="240" w:lineRule="auto"/>
        <w:jc w:val="both"/>
        <w:rPr>
          <w:rFonts w:eastAsia="MS Mincho" w:cs="Calibri"/>
          <w:color w:val="000000"/>
          <w:sz w:val="20"/>
          <w:szCs w:val="20"/>
          <w:lang w:val="es-ES"/>
        </w:rPr>
      </w:pPr>
    </w:p>
    <w:p w14:paraId="71D33934" w14:textId="77777777" w:rsidR="007A20BB" w:rsidRPr="00F8734F" w:rsidRDefault="007A20BB" w:rsidP="00B45B3C">
      <w:pPr>
        <w:spacing w:after="0" w:line="240" w:lineRule="auto"/>
        <w:jc w:val="both"/>
        <w:rPr>
          <w:rFonts w:cs="Calibri"/>
          <w:color w:val="000000"/>
          <w:sz w:val="20"/>
          <w:szCs w:val="20"/>
          <w:lang w:val="es-ES"/>
        </w:rPr>
      </w:pPr>
      <w:r w:rsidRPr="00F8734F">
        <w:rPr>
          <w:rFonts w:cs="Calibri"/>
          <w:color w:val="000000"/>
          <w:sz w:val="20"/>
          <w:szCs w:val="20"/>
          <w:lang w:val="es-ES"/>
        </w:rPr>
        <w:t>Señor</w:t>
      </w:r>
    </w:p>
    <w:p w14:paraId="4F4685CA" w14:textId="77777777" w:rsidR="007A20BB" w:rsidRPr="00F8734F" w:rsidRDefault="007A20BB" w:rsidP="00B45B3C">
      <w:pPr>
        <w:spacing w:after="0" w:line="240" w:lineRule="auto"/>
        <w:jc w:val="both"/>
        <w:rPr>
          <w:rFonts w:cs="Calibri"/>
          <w:color w:val="000000"/>
          <w:sz w:val="20"/>
          <w:szCs w:val="20"/>
          <w:lang w:val="es-ES"/>
        </w:rPr>
      </w:pPr>
      <w:r w:rsidRPr="00F8734F">
        <w:rPr>
          <w:rFonts w:cs="Calibri"/>
          <w:color w:val="000000"/>
          <w:sz w:val="20"/>
          <w:szCs w:val="20"/>
          <w:lang w:val="es-ES"/>
        </w:rPr>
        <w:t>Pablo Saavedra Alessandri</w:t>
      </w:r>
    </w:p>
    <w:p w14:paraId="5F876C2D" w14:textId="77777777" w:rsidR="007A20BB" w:rsidRPr="00F8734F" w:rsidRDefault="007A20BB" w:rsidP="00F8734F">
      <w:pPr>
        <w:spacing w:after="0" w:line="240" w:lineRule="auto"/>
        <w:jc w:val="both"/>
        <w:rPr>
          <w:rFonts w:cs="Calibri"/>
          <w:color w:val="000000"/>
          <w:sz w:val="20"/>
          <w:szCs w:val="20"/>
          <w:lang w:val="es-ES"/>
        </w:rPr>
      </w:pPr>
      <w:r w:rsidRPr="00F8734F">
        <w:rPr>
          <w:rFonts w:cs="Calibri"/>
          <w:color w:val="000000"/>
          <w:sz w:val="20"/>
          <w:szCs w:val="20"/>
          <w:lang w:val="es-ES"/>
        </w:rPr>
        <w:t>Secretario</w:t>
      </w:r>
    </w:p>
    <w:p w14:paraId="694DD35C" w14:textId="77777777" w:rsidR="007A20BB" w:rsidRPr="00F8734F" w:rsidRDefault="007A20BB" w:rsidP="00F8734F">
      <w:pPr>
        <w:spacing w:after="0" w:line="240" w:lineRule="auto"/>
        <w:jc w:val="both"/>
        <w:rPr>
          <w:rFonts w:cs="Calibri"/>
          <w:color w:val="000000"/>
          <w:sz w:val="20"/>
          <w:szCs w:val="20"/>
          <w:lang w:val="es-ES"/>
        </w:rPr>
      </w:pPr>
      <w:r w:rsidRPr="00F8734F">
        <w:rPr>
          <w:rFonts w:cs="Calibri"/>
          <w:color w:val="000000"/>
          <w:sz w:val="20"/>
          <w:szCs w:val="20"/>
          <w:lang w:val="es-ES"/>
        </w:rPr>
        <w:t>Corte Interamericana de Derechos Humanos</w:t>
      </w:r>
    </w:p>
    <w:p w14:paraId="69B26888" w14:textId="77777777" w:rsidR="007A20BB" w:rsidRPr="00F8734F" w:rsidRDefault="007A20BB" w:rsidP="00F8734F">
      <w:pPr>
        <w:spacing w:after="0" w:line="240" w:lineRule="auto"/>
        <w:jc w:val="both"/>
        <w:rPr>
          <w:rFonts w:cs="Calibri"/>
          <w:color w:val="000000"/>
          <w:sz w:val="20"/>
          <w:szCs w:val="20"/>
          <w:lang w:val="es-ES"/>
        </w:rPr>
      </w:pPr>
      <w:r w:rsidRPr="00F8734F">
        <w:rPr>
          <w:rFonts w:cs="Calibri"/>
          <w:color w:val="000000"/>
          <w:sz w:val="20"/>
          <w:szCs w:val="20"/>
          <w:lang w:val="es-ES"/>
        </w:rPr>
        <w:t>San José, Costa Rica</w:t>
      </w:r>
    </w:p>
    <w:p w14:paraId="7C6109C3" w14:textId="77777777" w:rsidR="007A20BB" w:rsidRPr="00F8734F" w:rsidRDefault="007A20BB" w:rsidP="00F8734F">
      <w:pPr>
        <w:tabs>
          <w:tab w:val="left" w:pos="1170"/>
        </w:tabs>
        <w:autoSpaceDE w:val="0"/>
        <w:autoSpaceDN w:val="0"/>
        <w:adjustRightInd w:val="0"/>
        <w:spacing w:after="0" w:line="240" w:lineRule="auto"/>
        <w:jc w:val="both"/>
        <w:rPr>
          <w:rFonts w:eastAsia="MS Mincho" w:cs="Calibri"/>
          <w:color w:val="000000"/>
          <w:sz w:val="20"/>
          <w:szCs w:val="20"/>
          <w:lang w:val="es-ES"/>
        </w:rPr>
      </w:pPr>
    </w:p>
    <w:p w14:paraId="31C06E4F" w14:textId="77777777" w:rsidR="002E628E" w:rsidRPr="00F8734F" w:rsidRDefault="002E628E" w:rsidP="00F8734F">
      <w:pPr>
        <w:tabs>
          <w:tab w:val="left" w:pos="1170"/>
        </w:tabs>
        <w:autoSpaceDE w:val="0"/>
        <w:autoSpaceDN w:val="0"/>
        <w:adjustRightInd w:val="0"/>
        <w:spacing w:after="0" w:line="240" w:lineRule="auto"/>
        <w:jc w:val="both"/>
        <w:rPr>
          <w:rFonts w:eastAsia="MS Mincho" w:cs="Calibri"/>
          <w:color w:val="000000"/>
          <w:sz w:val="20"/>
          <w:szCs w:val="20"/>
          <w:lang w:val="es-ES"/>
        </w:rPr>
      </w:pPr>
    </w:p>
    <w:p w14:paraId="3E5498E7" w14:textId="77777777" w:rsidR="002E628E" w:rsidRPr="00F8734F" w:rsidRDefault="002E628E" w:rsidP="00F8734F">
      <w:pPr>
        <w:tabs>
          <w:tab w:val="left" w:pos="1170"/>
        </w:tabs>
        <w:autoSpaceDE w:val="0"/>
        <w:autoSpaceDN w:val="0"/>
        <w:adjustRightInd w:val="0"/>
        <w:spacing w:after="0" w:line="240" w:lineRule="auto"/>
        <w:jc w:val="both"/>
        <w:rPr>
          <w:rFonts w:eastAsia="MS Mincho" w:cs="Calibri"/>
          <w:color w:val="000000"/>
          <w:sz w:val="20"/>
          <w:szCs w:val="20"/>
          <w:lang w:val="es-ES"/>
        </w:rPr>
      </w:pPr>
    </w:p>
    <w:p w14:paraId="4E7AA557" w14:textId="77777777" w:rsidR="004C11AF" w:rsidRPr="00F8734F" w:rsidRDefault="008A143D" w:rsidP="00B45B3C">
      <w:pPr>
        <w:pStyle w:val="Sangradetextonormal"/>
        <w:tabs>
          <w:tab w:val="left" w:pos="720"/>
          <w:tab w:val="left" w:pos="2880"/>
        </w:tabs>
        <w:spacing w:after="0" w:line="240" w:lineRule="auto"/>
        <w:ind w:left="0"/>
        <w:jc w:val="both"/>
        <w:rPr>
          <w:rFonts w:cs="Calibri"/>
          <w:color w:val="000000"/>
          <w:sz w:val="20"/>
          <w:szCs w:val="20"/>
          <w:lang w:val="es-PE"/>
        </w:rPr>
      </w:pPr>
      <w:r w:rsidRPr="00F8734F">
        <w:rPr>
          <w:rFonts w:cs="Calibri"/>
          <w:color w:val="000000"/>
          <w:sz w:val="20"/>
          <w:szCs w:val="20"/>
          <w:lang w:val="es-ES"/>
        </w:rPr>
        <w:tab/>
        <w:t>El Estado de Ecuador ratificó la Convención Americana sobre Derechos Humanos el 28 de diciembre de 1977 y aceptó la competencia contenciosa de la Corte el 24 de julio de 1984.</w:t>
      </w:r>
    </w:p>
    <w:p w14:paraId="5225E920" w14:textId="77777777" w:rsidR="00387D83" w:rsidRPr="00F8734F" w:rsidRDefault="00387D83" w:rsidP="00F8734F">
      <w:pPr>
        <w:tabs>
          <w:tab w:val="left" w:pos="720"/>
          <w:tab w:val="left" w:pos="1440"/>
        </w:tabs>
        <w:spacing w:after="0" w:line="240" w:lineRule="auto"/>
        <w:jc w:val="both"/>
        <w:rPr>
          <w:rFonts w:cs="Calibri"/>
          <w:color w:val="000000"/>
          <w:sz w:val="20"/>
          <w:szCs w:val="20"/>
          <w:lang w:val="es-PE"/>
        </w:rPr>
      </w:pPr>
    </w:p>
    <w:p w14:paraId="136D4765" w14:textId="77777777" w:rsidR="00560F49" w:rsidRPr="00F8734F" w:rsidRDefault="00560F49" w:rsidP="00F8734F">
      <w:pPr>
        <w:spacing w:after="0" w:line="240" w:lineRule="auto"/>
        <w:ind w:firstLine="720"/>
        <w:jc w:val="both"/>
        <w:rPr>
          <w:rFonts w:cs="Calibri"/>
          <w:color w:val="000000"/>
          <w:sz w:val="20"/>
          <w:szCs w:val="20"/>
          <w:lang w:val="es-ES"/>
        </w:rPr>
      </w:pPr>
      <w:r w:rsidRPr="00F8734F">
        <w:rPr>
          <w:rFonts w:cs="Calibri"/>
          <w:color w:val="000000"/>
          <w:sz w:val="20"/>
          <w:szCs w:val="20"/>
          <w:lang w:val="es-ES"/>
        </w:rPr>
        <w:t xml:space="preserve">La Comisión ha designado </w:t>
      </w:r>
      <w:r w:rsidR="00170E12" w:rsidRPr="00F8734F">
        <w:rPr>
          <w:rFonts w:cs="Calibri"/>
          <w:color w:val="000000"/>
          <w:sz w:val="20"/>
          <w:szCs w:val="20"/>
          <w:lang w:val="es-ES"/>
        </w:rPr>
        <w:t>a</w:t>
      </w:r>
      <w:r w:rsidR="00A77918" w:rsidRPr="00F8734F">
        <w:rPr>
          <w:rFonts w:cs="Calibri"/>
          <w:color w:val="000000"/>
          <w:sz w:val="20"/>
          <w:szCs w:val="20"/>
          <w:lang w:val="es-ES"/>
        </w:rPr>
        <w:t xml:space="preserve"> </w:t>
      </w:r>
      <w:r w:rsidR="00E7198B" w:rsidRPr="00F8734F">
        <w:rPr>
          <w:rFonts w:cs="Calibri"/>
          <w:color w:val="000000"/>
          <w:sz w:val="20"/>
          <w:szCs w:val="20"/>
          <w:lang w:val="es-ES"/>
        </w:rPr>
        <w:t>l</w:t>
      </w:r>
      <w:r w:rsidR="00A77918" w:rsidRPr="00F8734F">
        <w:rPr>
          <w:rFonts w:cs="Calibri"/>
          <w:color w:val="000000"/>
          <w:sz w:val="20"/>
          <w:szCs w:val="20"/>
          <w:lang w:val="es-ES"/>
        </w:rPr>
        <w:t>a Comisionada</w:t>
      </w:r>
      <w:r w:rsidR="007940B2" w:rsidRPr="00F8734F">
        <w:rPr>
          <w:rFonts w:cs="Calibri"/>
          <w:color w:val="000000"/>
          <w:sz w:val="20"/>
          <w:szCs w:val="20"/>
          <w:lang w:val="es-ES"/>
        </w:rPr>
        <w:t xml:space="preserve"> </w:t>
      </w:r>
      <w:r w:rsidR="008A143D" w:rsidRPr="00F8734F">
        <w:rPr>
          <w:rFonts w:cs="Calibri"/>
          <w:color w:val="000000"/>
          <w:sz w:val="20"/>
          <w:szCs w:val="20"/>
          <w:lang w:val="es-ES"/>
        </w:rPr>
        <w:t>Antonia Urrejola Noguera</w:t>
      </w:r>
      <w:r w:rsidR="00036FC7" w:rsidRPr="00F8734F">
        <w:rPr>
          <w:rFonts w:cs="Calibri"/>
          <w:color w:val="000000"/>
          <w:sz w:val="20"/>
          <w:szCs w:val="20"/>
          <w:lang w:val="es-ES"/>
        </w:rPr>
        <w:t xml:space="preserve"> </w:t>
      </w:r>
      <w:r w:rsidR="00AB1A5D" w:rsidRPr="00F8734F">
        <w:rPr>
          <w:rFonts w:cs="Calibri"/>
          <w:color w:val="000000"/>
          <w:sz w:val="20"/>
          <w:szCs w:val="20"/>
          <w:lang w:val="es-ES"/>
        </w:rPr>
        <w:t>y</w:t>
      </w:r>
      <w:r w:rsidR="00E7198B" w:rsidRPr="00F8734F">
        <w:rPr>
          <w:rFonts w:cs="Calibri"/>
          <w:color w:val="000000"/>
          <w:sz w:val="20"/>
          <w:szCs w:val="20"/>
          <w:lang w:val="es-ES"/>
        </w:rPr>
        <w:t xml:space="preserve"> </w:t>
      </w:r>
      <w:r w:rsidRPr="00F8734F">
        <w:rPr>
          <w:rFonts w:cs="Calibri"/>
          <w:color w:val="000000"/>
          <w:sz w:val="20"/>
          <w:szCs w:val="20"/>
          <w:lang w:val="es-ES"/>
        </w:rPr>
        <w:t>al Secretario Ejecutivo Paulo Abrão</w:t>
      </w:r>
      <w:r w:rsidR="00E7198B" w:rsidRPr="00F8734F">
        <w:rPr>
          <w:rFonts w:cs="Calibri"/>
          <w:color w:val="000000"/>
          <w:sz w:val="20"/>
          <w:szCs w:val="20"/>
          <w:lang w:val="es-ES"/>
        </w:rPr>
        <w:t xml:space="preserve">, </w:t>
      </w:r>
      <w:r w:rsidRPr="00F8734F">
        <w:rPr>
          <w:rFonts w:cs="Calibri"/>
          <w:color w:val="000000"/>
          <w:sz w:val="20"/>
          <w:szCs w:val="20"/>
          <w:lang w:val="es-ES"/>
        </w:rPr>
        <w:t xml:space="preserve">como sus delegados. Asimismo, </w:t>
      </w:r>
      <w:r w:rsidR="000D4AE6" w:rsidRPr="00F8734F">
        <w:rPr>
          <w:rFonts w:cs="Calibri"/>
          <w:color w:val="000000"/>
          <w:sz w:val="20"/>
          <w:szCs w:val="20"/>
          <w:lang w:val="es-ES"/>
        </w:rPr>
        <w:t>Marisol Blanchard</w:t>
      </w:r>
      <w:r w:rsidR="00AB1A5D" w:rsidRPr="00F8734F">
        <w:rPr>
          <w:rFonts w:cs="Calibri"/>
          <w:color w:val="000000"/>
          <w:sz w:val="20"/>
          <w:szCs w:val="20"/>
          <w:lang w:val="es-ES"/>
        </w:rPr>
        <w:t xml:space="preserve"> Vera</w:t>
      </w:r>
      <w:r w:rsidR="000D4AE6" w:rsidRPr="00F8734F">
        <w:rPr>
          <w:rFonts w:cs="Calibri"/>
          <w:color w:val="000000"/>
          <w:sz w:val="20"/>
          <w:szCs w:val="20"/>
          <w:lang w:val="es-ES"/>
        </w:rPr>
        <w:t xml:space="preserve">, </w:t>
      </w:r>
      <w:r w:rsidR="008F7250" w:rsidRPr="00F8734F">
        <w:rPr>
          <w:rFonts w:cs="Calibri"/>
          <w:color w:val="000000"/>
          <w:sz w:val="20"/>
          <w:szCs w:val="20"/>
          <w:lang w:val="es-ES"/>
        </w:rPr>
        <w:t xml:space="preserve">Secretaria Ejecutiva Adjunta, </w:t>
      </w:r>
      <w:r w:rsidR="00362BCC" w:rsidRPr="00F8734F">
        <w:rPr>
          <w:rFonts w:cs="Calibri"/>
          <w:color w:val="000000"/>
          <w:sz w:val="20"/>
          <w:szCs w:val="20"/>
          <w:lang w:val="es-ES"/>
        </w:rPr>
        <w:t>Jorge Humberto Meza Flores</w:t>
      </w:r>
      <w:r w:rsidR="00AB1A5D" w:rsidRPr="00F8734F">
        <w:rPr>
          <w:rFonts w:cs="Calibri"/>
          <w:color w:val="000000"/>
          <w:sz w:val="20"/>
          <w:szCs w:val="20"/>
          <w:lang w:val="es-ES"/>
        </w:rPr>
        <w:t xml:space="preserve"> y</w:t>
      </w:r>
      <w:r w:rsidR="00362BCC" w:rsidRPr="00F8734F">
        <w:rPr>
          <w:rFonts w:cs="Calibri"/>
          <w:color w:val="000000"/>
          <w:sz w:val="20"/>
          <w:szCs w:val="20"/>
          <w:lang w:val="es-ES"/>
        </w:rPr>
        <w:t xml:space="preserve"> </w:t>
      </w:r>
      <w:r w:rsidR="008A143D" w:rsidRPr="00F8734F">
        <w:rPr>
          <w:rFonts w:cs="Calibri"/>
          <w:color w:val="000000"/>
          <w:sz w:val="20"/>
          <w:szCs w:val="20"/>
          <w:lang w:val="es-ES"/>
        </w:rPr>
        <w:t>Erick Acuña Pereda</w:t>
      </w:r>
      <w:r w:rsidR="00362BCC" w:rsidRPr="00F8734F">
        <w:rPr>
          <w:rFonts w:cs="Calibri"/>
          <w:color w:val="000000"/>
          <w:sz w:val="20"/>
          <w:szCs w:val="20"/>
          <w:lang w:val="es-ES"/>
        </w:rPr>
        <w:t xml:space="preserve">, especialistas </w:t>
      </w:r>
      <w:r w:rsidRPr="00F8734F">
        <w:rPr>
          <w:rFonts w:cs="Calibri"/>
          <w:color w:val="000000"/>
          <w:sz w:val="20"/>
          <w:szCs w:val="20"/>
          <w:lang w:val="es-ES"/>
        </w:rPr>
        <w:t>de la Secretaría Ejecutiva de la CIDH, actuará</w:t>
      </w:r>
      <w:r w:rsidR="00170E12" w:rsidRPr="00F8734F">
        <w:rPr>
          <w:rFonts w:cs="Calibri"/>
          <w:color w:val="000000"/>
          <w:sz w:val="20"/>
          <w:szCs w:val="20"/>
          <w:lang w:val="es-ES"/>
        </w:rPr>
        <w:t xml:space="preserve">n </w:t>
      </w:r>
      <w:r w:rsidR="00A77918" w:rsidRPr="00F8734F">
        <w:rPr>
          <w:rFonts w:cs="Calibri"/>
          <w:color w:val="000000"/>
          <w:sz w:val="20"/>
          <w:szCs w:val="20"/>
          <w:lang w:val="es-ES"/>
        </w:rPr>
        <w:t>como asesora</w:t>
      </w:r>
      <w:r w:rsidR="00036FC7" w:rsidRPr="00F8734F">
        <w:rPr>
          <w:rFonts w:cs="Calibri"/>
          <w:color w:val="000000"/>
          <w:sz w:val="20"/>
          <w:szCs w:val="20"/>
          <w:lang w:val="es-ES"/>
        </w:rPr>
        <w:t xml:space="preserve"> </w:t>
      </w:r>
      <w:r w:rsidR="00362BCC" w:rsidRPr="00F8734F">
        <w:rPr>
          <w:rFonts w:cs="Calibri"/>
          <w:color w:val="000000"/>
          <w:sz w:val="20"/>
          <w:szCs w:val="20"/>
          <w:lang w:val="es-ES"/>
        </w:rPr>
        <w:t>y asesor</w:t>
      </w:r>
      <w:r w:rsidR="00036FC7" w:rsidRPr="00F8734F">
        <w:rPr>
          <w:rFonts w:cs="Calibri"/>
          <w:color w:val="000000"/>
          <w:sz w:val="20"/>
          <w:szCs w:val="20"/>
          <w:lang w:val="es-ES"/>
        </w:rPr>
        <w:t>es</w:t>
      </w:r>
      <w:r w:rsidR="00362BCC" w:rsidRPr="00F8734F">
        <w:rPr>
          <w:rFonts w:cs="Calibri"/>
          <w:color w:val="000000"/>
          <w:sz w:val="20"/>
          <w:szCs w:val="20"/>
          <w:lang w:val="es-ES"/>
        </w:rPr>
        <w:t xml:space="preserve"> </w:t>
      </w:r>
      <w:r w:rsidRPr="00F8734F">
        <w:rPr>
          <w:rFonts w:cs="Calibri"/>
          <w:color w:val="000000"/>
          <w:sz w:val="20"/>
          <w:szCs w:val="20"/>
          <w:lang w:val="es-ES"/>
        </w:rPr>
        <w:t>legal</w:t>
      </w:r>
      <w:r w:rsidR="00170E12" w:rsidRPr="00F8734F">
        <w:rPr>
          <w:rFonts w:cs="Calibri"/>
          <w:color w:val="000000"/>
          <w:sz w:val="20"/>
          <w:szCs w:val="20"/>
          <w:lang w:val="es-ES"/>
        </w:rPr>
        <w:t>es</w:t>
      </w:r>
      <w:r w:rsidRPr="00F8734F">
        <w:rPr>
          <w:rFonts w:cs="Calibri"/>
          <w:color w:val="000000"/>
          <w:sz w:val="20"/>
          <w:szCs w:val="20"/>
          <w:lang w:val="es-ES"/>
        </w:rPr>
        <w:t>.</w:t>
      </w:r>
      <w:r w:rsidR="00C872C8" w:rsidRPr="00F8734F">
        <w:rPr>
          <w:rFonts w:cs="Calibri"/>
          <w:color w:val="000000"/>
          <w:sz w:val="20"/>
          <w:szCs w:val="20"/>
          <w:lang w:val="es-ES"/>
        </w:rPr>
        <w:t xml:space="preserve"> </w:t>
      </w:r>
    </w:p>
    <w:p w14:paraId="6258AE34" w14:textId="77777777" w:rsidR="00560F49" w:rsidRPr="00F8734F" w:rsidRDefault="00560F49" w:rsidP="00F8734F">
      <w:pPr>
        <w:spacing w:after="0" w:line="240" w:lineRule="auto"/>
        <w:ind w:firstLine="720"/>
        <w:jc w:val="both"/>
        <w:rPr>
          <w:rFonts w:cs="Calibri"/>
          <w:color w:val="000000"/>
          <w:sz w:val="20"/>
          <w:szCs w:val="20"/>
          <w:lang w:val="es-ES"/>
        </w:rPr>
      </w:pPr>
    </w:p>
    <w:p w14:paraId="7F1FE9C9" w14:textId="77777777" w:rsidR="00DF3621" w:rsidRPr="00F8734F" w:rsidRDefault="0042403B" w:rsidP="00F8734F">
      <w:pPr>
        <w:spacing w:after="0" w:line="240" w:lineRule="auto"/>
        <w:ind w:firstLine="720"/>
        <w:jc w:val="both"/>
        <w:rPr>
          <w:rFonts w:cs="Calibri"/>
          <w:color w:val="000000"/>
          <w:sz w:val="20"/>
          <w:szCs w:val="20"/>
          <w:lang w:val="es-ES"/>
        </w:rPr>
      </w:pPr>
      <w:r w:rsidRPr="00F8734F">
        <w:rPr>
          <w:rFonts w:cs="Calibri"/>
          <w:color w:val="000000"/>
          <w:sz w:val="20"/>
          <w:szCs w:val="20"/>
          <w:lang w:val="es-ES"/>
        </w:rPr>
        <w:t>De conformidad con el artículo 35 del Reglamento de la Corte Interamericana,</w:t>
      </w:r>
      <w:r w:rsidR="0090766E" w:rsidRPr="00F8734F">
        <w:rPr>
          <w:rFonts w:cs="Calibri"/>
          <w:color w:val="000000"/>
          <w:sz w:val="20"/>
          <w:szCs w:val="20"/>
          <w:lang w:val="es-ES"/>
        </w:rPr>
        <w:t xml:space="preserve"> la Comisión adjunta copia del I</w:t>
      </w:r>
      <w:r w:rsidRPr="00F8734F">
        <w:rPr>
          <w:rFonts w:cs="Calibri"/>
          <w:color w:val="000000"/>
          <w:sz w:val="20"/>
          <w:szCs w:val="20"/>
          <w:lang w:val="es-ES"/>
        </w:rPr>
        <w:t>nforme</w:t>
      </w:r>
      <w:r w:rsidR="0090766E" w:rsidRPr="00F8734F">
        <w:rPr>
          <w:rFonts w:cs="Calibri"/>
          <w:color w:val="000000"/>
          <w:sz w:val="20"/>
          <w:szCs w:val="20"/>
          <w:lang w:val="es-ES"/>
        </w:rPr>
        <w:t xml:space="preserve"> de Fondo No.</w:t>
      </w:r>
      <w:r w:rsidRPr="00F8734F">
        <w:rPr>
          <w:rFonts w:cs="Calibri"/>
          <w:color w:val="000000"/>
          <w:sz w:val="20"/>
          <w:szCs w:val="20"/>
          <w:lang w:val="es-ES"/>
        </w:rPr>
        <w:t xml:space="preserve"> </w:t>
      </w:r>
      <w:r w:rsidR="0036640D" w:rsidRPr="00F8734F">
        <w:rPr>
          <w:rFonts w:cs="Calibri"/>
          <w:color w:val="000000"/>
          <w:sz w:val="20"/>
          <w:szCs w:val="20"/>
          <w:lang w:val="es-ES"/>
        </w:rPr>
        <w:t>14</w:t>
      </w:r>
      <w:r w:rsidRPr="00F8734F">
        <w:rPr>
          <w:rFonts w:cs="Calibri"/>
          <w:color w:val="000000"/>
          <w:sz w:val="20"/>
          <w:szCs w:val="20"/>
          <w:lang w:val="es-ES"/>
        </w:rPr>
        <w:t>/1</w:t>
      </w:r>
      <w:r w:rsidR="0092092D" w:rsidRPr="00F8734F">
        <w:rPr>
          <w:rFonts w:cs="Calibri"/>
          <w:color w:val="000000"/>
          <w:sz w:val="20"/>
          <w:szCs w:val="20"/>
          <w:lang w:val="es-ES"/>
        </w:rPr>
        <w:t>9</w:t>
      </w:r>
      <w:r w:rsidRPr="00F8734F">
        <w:rPr>
          <w:rFonts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36640D" w:rsidRPr="00F8734F">
        <w:rPr>
          <w:rFonts w:cs="Calibri"/>
          <w:color w:val="000000"/>
          <w:sz w:val="20"/>
          <w:szCs w:val="20"/>
          <w:lang w:val="es-ES"/>
        </w:rPr>
        <w:t>14</w:t>
      </w:r>
      <w:r w:rsidR="0092092D" w:rsidRPr="00F8734F">
        <w:rPr>
          <w:rFonts w:cs="Calibri"/>
          <w:color w:val="000000"/>
          <w:sz w:val="20"/>
          <w:szCs w:val="20"/>
          <w:lang w:val="es-ES"/>
        </w:rPr>
        <w:t>/19</w:t>
      </w:r>
      <w:r w:rsidR="00625C17" w:rsidRPr="00F8734F">
        <w:rPr>
          <w:rFonts w:cs="Calibri"/>
          <w:color w:val="000000"/>
          <w:sz w:val="20"/>
          <w:szCs w:val="20"/>
          <w:lang w:val="es-ES"/>
        </w:rPr>
        <w:t xml:space="preserve"> </w:t>
      </w:r>
      <w:r w:rsidR="00F353B3" w:rsidRPr="00F8734F">
        <w:rPr>
          <w:rFonts w:cs="Calibri"/>
          <w:color w:val="000000"/>
          <w:sz w:val="20"/>
          <w:szCs w:val="20"/>
          <w:lang w:val="es-ES"/>
        </w:rPr>
        <w:t xml:space="preserve">(Anexos). </w:t>
      </w:r>
    </w:p>
    <w:p w14:paraId="0658CF9D" w14:textId="77777777" w:rsidR="00DF3621" w:rsidRPr="00F8734F" w:rsidRDefault="00DF3621" w:rsidP="00F8734F">
      <w:pPr>
        <w:spacing w:after="0" w:line="240" w:lineRule="auto"/>
        <w:ind w:firstLine="720"/>
        <w:jc w:val="both"/>
        <w:rPr>
          <w:rFonts w:cs="Calibri"/>
          <w:color w:val="000000"/>
          <w:sz w:val="20"/>
          <w:szCs w:val="20"/>
          <w:lang w:val="es-ES"/>
        </w:rPr>
      </w:pPr>
    </w:p>
    <w:p w14:paraId="18217CCD" w14:textId="77777777" w:rsidR="005376D9" w:rsidRPr="00F8734F" w:rsidRDefault="00F353B3" w:rsidP="00F8734F">
      <w:pPr>
        <w:tabs>
          <w:tab w:val="left" w:pos="810"/>
        </w:tabs>
        <w:spacing w:after="0" w:line="240" w:lineRule="auto"/>
        <w:ind w:firstLine="720"/>
        <w:jc w:val="both"/>
        <w:rPr>
          <w:rFonts w:cs="Calibri"/>
          <w:color w:val="000000"/>
          <w:sz w:val="20"/>
          <w:szCs w:val="20"/>
          <w:lang w:val="es-CO"/>
        </w:rPr>
      </w:pPr>
      <w:r w:rsidRPr="00F8734F">
        <w:rPr>
          <w:rFonts w:cs="Calibri"/>
          <w:color w:val="000000"/>
          <w:sz w:val="20"/>
          <w:szCs w:val="20"/>
          <w:lang w:val="es-ES"/>
        </w:rPr>
        <w:t>Dicho Informe de F</w:t>
      </w:r>
      <w:r w:rsidR="0042403B" w:rsidRPr="00F8734F">
        <w:rPr>
          <w:rFonts w:cs="Calibri"/>
          <w:color w:val="000000"/>
          <w:sz w:val="20"/>
          <w:szCs w:val="20"/>
          <w:lang w:val="es-ES"/>
        </w:rPr>
        <w:t xml:space="preserve">ondo fue notificado al Estado </w:t>
      </w:r>
      <w:r w:rsidR="00DF3621" w:rsidRPr="00F8734F">
        <w:rPr>
          <w:rFonts w:cs="Calibri"/>
          <w:color w:val="000000"/>
          <w:sz w:val="20"/>
          <w:szCs w:val="20"/>
          <w:lang w:val="es-ES"/>
        </w:rPr>
        <w:t>el</w:t>
      </w:r>
      <w:r w:rsidR="00036FC7" w:rsidRPr="00F8734F">
        <w:rPr>
          <w:rFonts w:cs="Calibri"/>
          <w:color w:val="000000"/>
          <w:sz w:val="20"/>
          <w:szCs w:val="20"/>
          <w:lang w:val="es-ES"/>
        </w:rPr>
        <w:t xml:space="preserve"> </w:t>
      </w:r>
      <w:r w:rsidR="0036640D" w:rsidRPr="00F8734F">
        <w:rPr>
          <w:rFonts w:cs="Calibri"/>
          <w:color w:val="000000"/>
          <w:sz w:val="20"/>
          <w:szCs w:val="20"/>
          <w:lang w:val="es-ES"/>
        </w:rPr>
        <w:t>19</w:t>
      </w:r>
      <w:r w:rsidR="008A143D" w:rsidRPr="00F8734F">
        <w:rPr>
          <w:rFonts w:cs="Calibri"/>
          <w:color w:val="000000"/>
          <w:sz w:val="20"/>
          <w:szCs w:val="20"/>
          <w:lang w:val="es-ES"/>
        </w:rPr>
        <w:t xml:space="preserve"> de marzo de 2019</w:t>
      </w:r>
      <w:r w:rsidR="0042403B" w:rsidRPr="00F8734F">
        <w:rPr>
          <w:rFonts w:cs="Calibri"/>
          <w:color w:val="000000"/>
          <w:sz w:val="20"/>
          <w:szCs w:val="20"/>
          <w:lang w:val="es-ES"/>
        </w:rPr>
        <w:t xml:space="preserve">, otorgándole un plazo de dos meses para informar sobre el cumplimiento de las recomendaciones. </w:t>
      </w:r>
      <w:r w:rsidR="00E21E08" w:rsidRPr="00F8734F">
        <w:rPr>
          <w:rFonts w:cs="Calibri"/>
          <w:color w:val="000000"/>
          <w:sz w:val="20"/>
          <w:szCs w:val="20"/>
          <w:lang w:val="es-AR"/>
        </w:rPr>
        <w:t xml:space="preserve">Tras el otorgamiento por parte de la CIDH de cuatro prórrogas de tres meses cada una, </w:t>
      </w:r>
      <w:r w:rsidR="00E21E08" w:rsidRPr="00F8734F">
        <w:rPr>
          <w:rFonts w:cs="Calibri"/>
          <w:color w:val="000000"/>
          <w:sz w:val="20"/>
          <w:szCs w:val="20"/>
          <w:lang w:val="es-ES"/>
        </w:rPr>
        <w:t xml:space="preserve">el </w:t>
      </w:r>
      <w:r w:rsidR="0036640D" w:rsidRPr="00F8734F">
        <w:rPr>
          <w:rFonts w:cs="Calibri"/>
          <w:color w:val="000000"/>
          <w:sz w:val="20"/>
          <w:szCs w:val="20"/>
          <w:lang w:val="es-ES"/>
        </w:rPr>
        <w:t>5 de junio</w:t>
      </w:r>
      <w:r w:rsidR="00A500E8" w:rsidRPr="00F8734F">
        <w:rPr>
          <w:rFonts w:cs="Calibri"/>
          <w:color w:val="000000"/>
          <w:sz w:val="20"/>
          <w:szCs w:val="20"/>
          <w:lang w:val="es-ES"/>
        </w:rPr>
        <w:t xml:space="preserve"> de 2020</w:t>
      </w:r>
      <w:r w:rsidR="00E21E08" w:rsidRPr="00F8734F">
        <w:rPr>
          <w:rFonts w:cs="Calibri"/>
          <w:color w:val="000000"/>
          <w:sz w:val="20"/>
          <w:szCs w:val="20"/>
          <w:lang w:val="es-ES"/>
        </w:rPr>
        <w:t xml:space="preserve"> el Estado solicitó una quinta prórroga.</w:t>
      </w:r>
      <w:r w:rsidR="00312151" w:rsidRPr="00F8734F">
        <w:rPr>
          <w:rFonts w:cs="Calibri"/>
          <w:color w:val="000000"/>
          <w:sz w:val="20"/>
          <w:szCs w:val="20"/>
          <w:lang w:val="es-ES"/>
        </w:rPr>
        <w:t xml:space="preserve"> Al evaluar dicha solicitud, la Comisión </w:t>
      </w:r>
      <w:r w:rsidR="0036640D" w:rsidRPr="00F8734F">
        <w:rPr>
          <w:rFonts w:cs="Calibri"/>
          <w:color w:val="000000"/>
          <w:sz w:val="20"/>
          <w:szCs w:val="20"/>
          <w:lang w:val="es-ES"/>
        </w:rPr>
        <w:t>observó que</w:t>
      </w:r>
      <w:r w:rsidR="004F4E7F" w:rsidRPr="00F8734F">
        <w:rPr>
          <w:rFonts w:cs="Calibri"/>
          <w:color w:val="000000"/>
          <w:sz w:val="20"/>
          <w:szCs w:val="20"/>
          <w:lang w:val="es-ES"/>
        </w:rPr>
        <w:t>,</w:t>
      </w:r>
      <w:r w:rsidR="005376D9" w:rsidRPr="00F8734F">
        <w:rPr>
          <w:rFonts w:cs="Calibri"/>
          <w:color w:val="000000"/>
          <w:sz w:val="20"/>
          <w:szCs w:val="20"/>
          <w:lang w:val="es-ES"/>
        </w:rPr>
        <w:t xml:space="preserve"> si bien el Estado ha expresado su voluntad de cumplir con las recomendaciones, a un año y tres meses de notificado el informe, aún no ha</w:t>
      </w:r>
      <w:r w:rsidR="004F4E7F" w:rsidRPr="00F8734F">
        <w:rPr>
          <w:rFonts w:cs="Calibri"/>
          <w:color w:val="000000"/>
          <w:sz w:val="20"/>
          <w:szCs w:val="20"/>
          <w:lang w:val="es-ES"/>
        </w:rPr>
        <w:t>bía</w:t>
      </w:r>
      <w:r w:rsidR="005376D9" w:rsidRPr="00F8734F">
        <w:rPr>
          <w:rFonts w:cs="Calibri"/>
          <w:color w:val="000000"/>
          <w:sz w:val="20"/>
          <w:szCs w:val="20"/>
          <w:lang w:val="es-ES"/>
        </w:rPr>
        <w:t xml:space="preserve"> presentado una propuesta de reparación material e inmaterial</w:t>
      </w:r>
      <w:r w:rsidR="002E628E" w:rsidRPr="00F8734F">
        <w:rPr>
          <w:rFonts w:cs="Calibri"/>
          <w:color w:val="000000"/>
          <w:sz w:val="20"/>
          <w:szCs w:val="20"/>
          <w:lang w:val="es-ES"/>
        </w:rPr>
        <w:t xml:space="preserve">.  </w:t>
      </w:r>
      <w:r w:rsidR="00A27809" w:rsidRPr="00F8734F">
        <w:rPr>
          <w:rFonts w:cs="Calibri"/>
          <w:color w:val="000000"/>
          <w:sz w:val="20"/>
          <w:szCs w:val="20"/>
          <w:lang w:val="es-ES"/>
        </w:rPr>
        <w:t>Asimismo</w:t>
      </w:r>
      <w:r w:rsidR="005376D9" w:rsidRPr="00F8734F">
        <w:rPr>
          <w:rFonts w:cs="Calibri"/>
          <w:color w:val="000000"/>
          <w:sz w:val="20"/>
          <w:szCs w:val="20"/>
          <w:lang w:val="es-ES"/>
        </w:rPr>
        <w:t xml:space="preserve">, la Comisión </w:t>
      </w:r>
      <w:r w:rsidR="004F4E7F" w:rsidRPr="00F8734F">
        <w:rPr>
          <w:rFonts w:cs="Calibri"/>
          <w:color w:val="000000"/>
          <w:sz w:val="20"/>
          <w:szCs w:val="20"/>
          <w:lang w:val="es-ES"/>
        </w:rPr>
        <w:t xml:space="preserve">observó la existencia de controversia entre las partes respecto a la atención </w:t>
      </w:r>
      <w:r w:rsidR="00A27809" w:rsidRPr="00F8734F">
        <w:rPr>
          <w:rFonts w:cs="Calibri"/>
          <w:color w:val="000000"/>
          <w:sz w:val="20"/>
          <w:szCs w:val="20"/>
          <w:lang w:val="es-ES"/>
        </w:rPr>
        <w:t xml:space="preserve">en </w:t>
      </w:r>
      <w:r w:rsidR="004F4E7F" w:rsidRPr="00F8734F">
        <w:rPr>
          <w:rFonts w:cs="Calibri"/>
          <w:color w:val="000000"/>
          <w:sz w:val="20"/>
          <w:szCs w:val="20"/>
          <w:lang w:val="es-ES"/>
        </w:rPr>
        <w:t>salud</w:t>
      </w:r>
      <w:r w:rsidR="00A27809" w:rsidRPr="00F8734F">
        <w:rPr>
          <w:rFonts w:cs="Calibri"/>
          <w:color w:val="000000"/>
          <w:sz w:val="20"/>
          <w:szCs w:val="20"/>
          <w:lang w:val="es-ES"/>
        </w:rPr>
        <w:t xml:space="preserve"> física</w:t>
      </w:r>
      <w:r w:rsidR="004F4E7F" w:rsidRPr="00F8734F">
        <w:rPr>
          <w:rFonts w:cs="Calibri"/>
          <w:color w:val="000000"/>
          <w:sz w:val="20"/>
          <w:szCs w:val="20"/>
          <w:lang w:val="es-ES"/>
        </w:rPr>
        <w:t xml:space="preserve"> y psicológica y notó que, si bien </w:t>
      </w:r>
      <w:r w:rsidR="005376D9" w:rsidRPr="00F8734F">
        <w:rPr>
          <w:rFonts w:cs="Calibri"/>
          <w:color w:val="000000"/>
          <w:sz w:val="20"/>
          <w:szCs w:val="20"/>
          <w:lang w:val="es-ES"/>
        </w:rPr>
        <w:t xml:space="preserve">en los últimos meses la Fiscalía ha llevado a cabo algunas diligencias en la investigación iniciada, la misma </w:t>
      </w:r>
      <w:r w:rsidR="004F4E7F" w:rsidRPr="00F8734F">
        <w:rPr>
          <w:rFonts w:cs="Calibri"/>
          <w:color w:val="000000"/>
          <w:sz w:val="20"/>
          <w:szCs w:val="20"/>
          <w:lang w:val="es-ES"/>
        </w:rPr>
        <w:t xml:space="preserve">aún </w:t>
      </w:r>
      <w:r w:rsidR="005376D9" w:rsidRPr="00F8734F">
        <w:rPr>
          <w:rFonts w:cs="Calibri"/>
          <w:color w:val="000000"/>
          <w:sz w:val="20"/>
          <w:szCs w:val="20"/>
          <w:lang w:val="es-ES"/>
        </w:rPr>
        <w:t>está en etapa preliminar. Con base en dich</w:t>
      </w:r>
      <w:r w:rsidR="004F4E7F" w:rsidRPr="00F8734F">
        <w:rPr>
          <w:rFonts w:cs="Calibri"/>
          <w:color w:val="000000"/>
          <w:sz w:val="20"/>
          <w:szCs w:val="20"/>
          <w:lang w:val="es-ES"/>
        </w:rPr>
        <w:t>as consideraciones</w:t>
      </w:r>
      <w:r w:rsidR="005376D9" w:rsidRPr="00F8734F">
        <w:rPr>
          <w:rFonts w:cs="Calibri"/>
          <w:color w:val="000000"/>
          <w:sz w:val="20"/>
          <w:szCs w:val="20"/>
          <w:lang w:val="es-ES"/>
        </w:rPr>
        <w:t xml:space="preserve">, teniendo en cuenta </w:t>
      </w:r>
      <w:r w:rsidR="004F4E7F" w:rsidRPr="00F8734F">
        <w:rPr>
          <w:rFonts w:cs="Calibri"/>
          <w:color w:val="000000"/>
          <w:sz w:val="20"/>
          <w:szCs w:val="20"/>
          <w:lang w:val="es-ES"/>
        </w:rPr>
        <w:t>la voluntad de la parte peticionaria</w:t>
      </w:r>
      <w:r w:rsidR="005376D9" w:rsidRPr="00F8734F">
        <w:rPr>
          <w:rFonts w:cs="Calibri"/>
          <w:color w:val="000000"/>
          <w:sz w:val="20"/>
          <w:szCs w:val="20"/>
          <w:lang w:val="es-ES"/>
        </w:rPr>
        <w:t xml:space="preserve"> y la necesidad de obtención de justicia y reparación para las víctimas, </w:t>
      </w:r>
      <w:r w:rsidR="004F4E7F" w:rsidRPr="00F8734F">
        <w:rPr>
          <w:rFonts w:cs="Calibri"/>
          <w:color w:val="000000"/>
          <w:sz w:val="20"/>
          <w:szCs w:val="20"/>
          <w:lang w:val="es-CO"/>
        </w:rPr>
        <w:t>la Comisión decidió someter el caso a la jurisdicción de la Corte Interamericana.</w:t>
      </w:r>
    </w:p>
    <w:p w14:paraId="57BD71E1" w14:textId="77777777" w:rsidR="0036640D" w:rsidRPr="00F8734F" w:rsidRDefault="0036640D" w:rsidP="00F8734F">
      <w:pPr>
        <w:tabs>
          <w:tab w:val="left" w:pos="810"/>
        </w:tabs>
        <w:spacing w:after="0" w:line="240" w:lineRule="auto"/>
        <w:ind w:firstLine="720"/>
        <w:jc w:val="both"/>
        <w:rPr>
          <w:rFonts w:cs="Calibri"/>
          <w:color w:val="000000"/>
          <w:sz w:val="20"/>
          <w:szCs w:val="20"/>
          <w:lang w:val="es-CO"/>
        </w:rPr>
      </w:pPr>
    </w:p>
    <w:p w14:paraId="19C6A16D" w14:textId="77777777" w:rsidR="00FA6C97" w:rsidRPr="00F8734F" w:rsidRDefault="00143EB4" w:rsidP="00F8734F">
      <w:pPr>
        <w:pBdr>
          <w:top w:val="nil"/>
          <w:left w:val="nil"/>
          <w:bottom w:val="nil"/>
          <w:right w:val="nil"/>
          <w:between w:val="nil"/>
          <w:bar w:val="nil"/>
        </w:pBdr>
        <w:spacing w:after="0" w:line="240" w:lineRule="auto"/>
        <w:ind w:firstLine="720"/>
        <w:jc w:val="both"/>
        <w:rPr>
          <w:rFonts w:cs="Calibri"/>
          <w:color w:val="000000"/>
          <w:sz w:val="20"/>
          <w:szCs w:val="20"/>
          <w:lang w:val="es-VE"/>
        </w:rPr>
      </w:pPr>
      <w:r w:rsidRPr="00F8734F">
        <w:rPr>
          <w:rFonts w:cs="Calibri"/>
          <w:color w:val="000000"/>
          <w:sz w:val="20"/>
          <w:szCs w:val="20"/>
          <w:lang w:val="es-CO"/>
        </w:rPr>
        <w:t xml:space="preserve">En ese sentido, la Comisión solicita a la </w:t>
      </w:r>
      <w:r w:rsidR="00707281" w:rsidRPr="00F8734F">
        <w:rPr>
          <w:rFonts w:cs="Calibri"/>
          <w:color w:val="000000"/>
          <w:sz w:val="20"/>
          <w:szCs w:val="20"/>
          <w:lang w:val="es-CO"/>
        </w:rPr>
        <w:t xml:space="preserve">Honorable </w:t>
      </w:r>
      <w:r w:rsidRPr="00F8734F">
        <w:rPr>
          <w:rFonts w:cs="Calibri"/>
          <w:color w:val="000000"/>
          <w:sz w:val="20"/>
          <w:szCs w:val="20"/>
          <w:lang w:val="es-CO"/>
        </w:rPr>
        <w:t xml:space="preserve">Corte que concluya y declare que el Estado de </w:t>
      </w:r>
      <w:r w:rsidR="00D902D7" w:rsidRPr="00F8734F">
        <w:rPr>
          <w:rFonts w:cs="Calibri"/>
          <w:color w:val="000000"/>
          <w:sz w:val="20"/>
          <w:szCs w:val="20"/>
          <w:lang w:val="es-CO"/>
        </w:rPr>
        <w:t>Ecuador</w:t>
      </w:r>
      <w:r w:rsidRPr="00F8734F">
        <w:rPr>
          <w:rFonts w:cs="Calibri"/>
          <w:color w:val="000000"/>
          <w:sz w:val="20"/>
          <w:szCs w:val="20"/>
          <w:lang w:val="es-CO"/>
        </w:rPr>
        <w:t xml:space="preserve"> </w:t>
      </w:r>
      <w:r w:rsidR="00D902D7" w:rsidRPr="00F8734F">
        <w:rPr>
          <w:rFonts w:cs="Calibri"/>
          <w:color w:val="000000"/>
          <w:sz w:val="20"/>
          <w:szCs w:val="20"/>
          <w:lang w:val="es-ES"/>
        </w:rPr>
        <w:t xml:space="preserve">es responsable por la violación de los derechos establecidos en los </w:t>
      </w:r>
      <w:r w:rsidR="00FA6C97" w:rsidRPr="00F8734F">
        <w:rPr>
          <w:rFonts w:cs="Calibri"/>
          <w:color w:val="000000"/>
          <w:sz w:val="20"/>
          <w:szCs w:val="20"/>
          <w:lang w:val="es-VE"/>
        </w:rPr>
        <w:t xml:space="preserve">los artículos 4.1 (vida), 5.1 (integridad personal), 8.1 (garantías judiciales) y 25.1 (protección judicial) de la Convención Americana sobre Derechos Humanos, en relación con las obligaciones establecidas en los artículos 1.1 y 2 del mismo instrumento. </w:t>
      </w:r>
    </w:p>
    <w:p w14:paraId="742BA085" w14:textId="77777777" w:rsidR="004F4E7F" w:rsidRPr="00F8734F" w:rsidRDefault="004F4E7F" w:rsidP="00F8734F">
      <w:pPr>
        <w:pStyle w:val="Default"/>
        <w:suppressAutoHyphens/>
        <w:ind w:firstLine="720"/>
        <w:jc w:val="both"/>
        <w:rPr>
          <w:rFonts w:ascii="Calibri" w:hAnsi="Calibri" w:cs="Calibri"/>
          <w:sz w:val="20"/>
          <w:szCs w:val="20"/>
          <w:lang w:val="es-VE"/>
        </w:rPr>
      </w:pPr>
    </w:p>
    <w:p w14:paraId="48BA0AEC" w14:textId="77777777" w:rsidR="00670828" w:rsidRPr="00F8734F" w:rsidRDefault="00162CE1" w:rsidP="00F8734F">
      <w:pPr>
        <w:tabs>
          <w:tab w:val="left" w:pos="810"/>
        </w:tabs>
        <w:autoSpaceDE w:val="0"/>
        <w:autoSpaceDN w:val="0"/>
        <w:adjustRightInd w:val="0"/>
        <w:spacing w:after="0" w:line="240" w:lineRule="auto"/>
        <w:ind w:firstLine="720"/>
        <w:jc w:val="both"/>
        <w:rPr>
          <w:rFonts w:cs="Calibri"/>
          <w:color w:val="000000"/>
          <w:sz w:val="20"/>
          <w:szCs w:val="20"/>
          <w:lang w:val="es-CO"/>
        </w:rPr>
      </w:pPr>
      <w:r w:rsidRPr="00F8734F">
        <w:rPr>
          <w:rFonts w:cs="Calibri"/>
          <w:color w:val="000000"/>
          <w:sz w:val="20"/>
          <w:szCs w:val="20"/>
          <w:lang w:val="es-ES"/>
        </w:rPr>
        <w:t xml:space="preserve">En consecuencia, la Comisión solicita a la Corte Interamericana que </w:t>
      </w:r>
      <w:r w:rsidR="00670828" w:rsidRPr="00F8734F">
        <w:rPr>
          <w:rFonts w:cs="Calibri"/>
          <w:color w:val="000000"/>
          <w:sz w:val="20"/>
          <w:szCs w:val="20"/>
          <w:lang w:val="es-CO"/>
        </w:rPr>
        <w:t>establezca las siguientes medidas de reparación:</w:t>
      </w:r>
    </w:p>
    <w:p w14:paraId="2441DC46" w14:textId="77777777" w:rsidR="00162CE1" w:rsidRPr="00F8734F" w:rsidRDefault="00162CE1" w:rsidP="00F8734F">
      <w:pPr>
        <w:spacing w:after="0" w:line="240" w:lineRule="auto"/>
        <w:ind w:firstLine="720"/>
        <w:jc w:val="both"/>
        <w:rPr>
          <w:rFonts w:cs="Calibri"/>
          <w:color w:val="000000"/>
          <w:sz w:val="20"/>
          <w:szCs w:val="20"/>
          <w:lang w:val="es-ES"/>
        </w:rPr>
      </w:pPr>
    </w:p>
    <w:p w14:paraId="0DAC296C" w14:textId="77777777" w:rsidR="00FA6C97" w:rsidRPr="00F8734F" w:rsidRDefault="00FA6C97" w:rsidP="00F8734F">
      <w:pPr>
        <w:numPr>
          <w:ilvl w:val="0"/>
          <w:numId w:val="4"/>
        </w:numPr>
        <w:tabs>
          <w:tab w:val="left" w:pos="1080"/>
        </w:tabs>
        <w:spacing w:after="0" w:line="240" w:lineRule="auto"/>
        <w:ind w:left="720" w:right="720" w:firstLine="0"/>
        <w:jc w:val="both"/>
        <w:rPr>
          <w:rFonts w:eastAsia="Times New Roman" w:cs="Calibri"/>
          <w:color w:val="000000"/>
          <w:sz w:val="20"/>
          <w:szCs w:val="20"/>
          <w:lang w:val="es-ES"/>
        </w:rPr>
      </w:pPr>
      <w:r w:rsidRPr="00F8734F">
        <w:rPr>
          <w:rFonts w:eastAsia="Times New Roman" w:cs="Calibri"/>
          <w:color w:val="000000"/>
          <w:sz w:val="20"/>
          <w:szCs w:val="20"/>
          <w:lang w:val="es-ES"/>
        </w:rPr>
        <w:t xml:space="preserve">Reparar integralmente las violaciones de derechos humanos declaradas en el informe tanto en el aspecto material como inmaterial, incluyendo medidas de satisfacción y una compensación económica. </w:t>
      </w:r>
    </w:p>
    <w:p w14:paraId="20BDCC5C" w14:textId="77777777" w:rsidR="00FA6C97" w:rsidRPr="00F8734F" w:rsidRDefault="00FA6C97" w:rsidP="00F8734F">
      <w:pPr>
        <w:spacing w:after="0" w:line="240" w:lineRule="auto"/>
        <w:ind w:left="720" w:right="720"/>
        <w:jc w:val="both"/>
        <w:rPr>
          <w:rFonts w:eastAsia="Times New Roman" w:cs="Calibri"/>
          <w:color w:val="000000"/>
          <w:sz w:val="20"/>
          <w:szCs w:val="20"/>
          <w:lang w:val="es-ES"/>
        </w:rPr>
      </w:pPr>
    </w:p>
    <w:p w14:paraId="2C559AC6" w14:textId="77777777" w:rsidR="00FA6C97" w:rsidRPr="00F8734F" w:rsidRDefault="00FA6C97" w:rsidP="00F8734F">
      <w:pPr>
        <w:numPr>
          <w:ilvl w:val="0"/>
          <w:numId w:val="4"/>
        </w:numPr>
        <w:tabs>
          <w:tab w:val="left" w:pos="1080"/>
        </w:tabs>
        <w:spacing w:after="0" w:line="240" w:lineRule="auto"/>
        <w:ind w:left="720" w:right="720" w:firstLine="0"/>
        <w:jc w:val="both"/>
        <w:rPr>
          <w:rFonts w:eastAsia="Times New Roman" w:cs="Calibri"/>
          <w:color w:val="000000"/>
          <w:sz w:val="20"/>
          <w:szCs w:val="20"/>
          <w:lang w:val="es-ES"/>
        </w:rPr>
      </w:pPr>
      <w:r w:rsidRPr="00F8734F">
        <w:rPr>
          <w:rFonts w:eastAsia="Times New Roman" w:cs="Calibri"/>
          <w:color w:val="000000"/>
          <w:sz w:val="20"/>
          <w:szCs w:val="20"/>
          <w:lang w:val="es-ES"/>
        </w:rPr>
        <w:t>Disponer las medidas de atención en salud física y mental necesarias para la rehabilitación de Andrés Alejandro Casierra Quiñonez y sus familiares, de ser su voluntad y de manera concertada.</w:t>
      </w:r>
    </w:p>
    <w:p w14:paraId="6B1F5DFE" w14:textId="77777777" w:rsidR="00FA6C97" w:rsidRPr="00F8734F" w:rsidRDefault="00FA6C97" w:rsidP="00F8734F">
      <w:pPr>
        <w:spacing w:after="0" w:line="240" w:lineRule="auto"/>
        <w:ind w:left="720" w:right="720"/>
        <w:jc w:val="both"/>
        <w:rPr>
          <w:rFonts w:eastAsia="Times New Roman" w:cs="Calibri"/>
          <w:color w:val="000000"/>
          <w:sz w:val="20"/>
          <w:szCs w:val="20"/>
          <w:lang w:val="es-ES"/>
        </w:rPr>
      </w:pPr>
    </w:p>
    <w:p w14:paraId="2D65BEBA" w14:textId="77777777" w:rsidR="00FA6C97" w:rsidRPr="00F8734F" w:rsidRDefault="00FA6C97" w:rsidP="00F8734F">
      <w:pPr>
        <w:numPr>
          <w:ilvl w:val="0"/>
          <w:numId w:val="4"/>
        </w:numPr>
        <w:tabs>
          <w:tab w:val="left" w:pos="1080"/>
        </w:tabs>
        <w:spacing w:after="0" w:line="240" w:lineRule="auto"/>
        <w:ind w:left="720" w:right="720" w:firstLine="0"/>
        <w:jc w:val="both"/>
        <w:rPr>
          <w:rFonts w:eastAsia="Times New Roman" w:cs="Calibri"/>
          <w:color w:val="000000"/>
          <w:sz w:val="20"/>
          <w:szCs w:val="20"/>
          <w:lang w:val="es-ES"/>
        </w:rPr>
      </w:pPr>
      <w:r w:rsidRPr="00F8734F">
        <w:rPr>
          <w:rFonts w:eastAsia="Times New Roman" w:cs="Calibri"/>
          <w:color w:val="000000"/>
          <w:sz w:val="20"/>
          <w:szCs w:val="20"/>
          <w:lang w:val="es-AR"/>
        </w:rPr>
        <w:t xml:space="preserve">Iniciar una investigación en el fuero penal ordinario de manera diligente, efectiva y dentro de un plazo razonable con el objeto de esclarecer los hechos en forma completa, identificar todas las posibles responsabilidades e imponer las sanciones que correspondan respecto de las violaciones de derechos humanos declaradas en el informe. </w:t>
      </w:r>
      <w:r w:rsidRPr="00F8734F">
        <w:rPr>
          <w:rFonts w:cs="Calibri"/>
          <w:color w:val="000000"/>
          <w:sz w:val="20"/>
          <w:szCs w:val="20"/>
          <w:lang w:val="es-US"/>
        </w:rPr>
        <w:t xml:space="preserve">Tomando en cuenta la gravedad de las violaciones declaradas y los estándares interamericanos al respecto, la Comisión destaca que el Estado no podrá oponer la garantía de </w:t>
      </w:r>
      <w:r w:rsidRPr="00F8734F">
        <w:rPr>
          <w:rFonts w:cs="Calibri"/>
          <w:i/>
          <w:color w:val="000000"/>
          <w:sz w:val="20"/>
          <w:szCs w:val="20"/>
          <w:lang w:val="es-US"/>
        </w:rPr>
        <w:t>ne bis in ídem</w:t>
      </w:r>
      <w:r w:rsidRPr="00F8734F">
        <w:rPr>
          <w:rFonts w:cs="Calibri"/>
          <w:color w:val="000000"/>
          <w:sz w:val="20"/>
          <w:szCs w:val="20"/>
          <w:lang w:val="es-US"/>
        </w:rPr>
        <w:t>, cosa juzgada o prescripción, para justificar el incumplimiento de esta recomendación.</w:t>
      </w:r>
    </w:p>
    <w:p w14:paraId="3352BD50" w14:textId="77777777" w:rsidR="00FA6C97" w:rsidRPr="00F8734F" w:rsidRDefault="00FA6C97" w:rsidP="00F8734F">
      <w:pPr>
        <w:spacing w:after="0" w:line="240" w:lineRule="auto"/>
        <w:ind w:left="720" w:right="720"/>
        <w:jc w:val="both"/>
        <w:rPr>
          <w:rFonts w:cs="Calibri"/>
          <w:color w:val="000000"/>
          <w:sz w:val="20"/>
          <w:szCs w:val="20"/>
          <w:lang w:val="es-VE"/>
        </w:rPr>
      </w:pPr>
    </w:p>
    <w:p w14:paraId="08357471" w14:textId="77777777" w:rsidR="002E628E" w:rsidRPr="00F8734F" w:rsidRDefault="002E628E" w:rsidP="00F8734F">
      <w:pPr>
        <w:spacing w:after="0" w:line="240" w:lineRule="auto"/>
        <w:ind w:left="720" w:right="720"/>
        <w:jc w:val="both"/>
        <w:rPr>
          <w:rFonts w:cs="Calibri"/>
          <w:color w:val="000000"/>
          <w:sz w:val="20"/>
          <w:szCs w:val="20"/>
          <w:lang w:val="es-VE"/>
        </w:rPr>
      </w:pPr>
    </w:p>
    <w:p w14:paraId="05C0C661" w14:textId="77777777" w:rsidR="002E628E" w:rsidRPr="00F8734F" w:rsidRDefault="002E628E" w:rsidP="00F8734F">
      <w:pPr>
        <w:spacing w:after="0" w:line="240" w:lineRule="auto"/>
        <w:ind w:left="720" w:right="720"/>
        <w:jc w:val="both"/>
        <w:rPr>
          <w:rFonts w:cs="Calibri"/>
          <w:color w:val="000000"/>
          <w:sz w:val="20"/>
          <w:szCs w:val="20"/>
          <w:lang w:val="es-VE"/>
        </w:rPr>
      </w:pPr>
    </w:p>
    <w:p w14:paraId="4F873AF9" w14:textId="77777777" w:rsidR="002E628E" w:rsidRPr="00F8734F" w:rsidRDefault="002E628E" w:rsidP="00F8734F">
      <w:pPr>
        <w:spacing w:after="0" w:line="240" w:lineRule="auto"/>
        <w:ind w:left="720" w:right="720"/>
        <w:jc w:val="both"/>
        <w:rPr>
          <w:rFonts w:cs="Calibri"/>
          <w:color w:val="000000"/>
          <w:sz w:val="20"/>
          <w:szCs w:val="20"/>
          <w:lang w:val="es-VE"/>
        </w:rPr>
      </w:pPr>
    </w:p>
    <w:p w14:paraId="11EE4417" w14:textId="77777777" w:rsidR="00FA6C97" w:rsidRPr="00F8734F" w:rsidRDefault="00FA6C97" w:rsidP="00F8734F">
      <w:pPr>
        <w:numPr>
          <w:ilvl w:val="0"/>
          <w:numId w:val="4"/>
        </w:numPr>
        <w:tabs>
          <w:tab w:val="left" w:pos="1080"/>
        </w:tabs>
        <w:spacing w:after="0" w:line="240" w:lineRule="auto"/>
        <w:ind w:left="720" w:right="720" w:firstLine="0"/>
        <w:jc w:val="both"/>
        <w:rPr>
          <w:rFonts w:cs="Calibri"/>
          <w:color w:val="000000"/>
          <w:sz w:val="20"/>
          <w:szCs w:val="20"/>
          <w:lang w:val="es-VE"/>
        </w:rPr>
      </w:pPr>
      <w:r w:rsidRPr="00F8734F">
        <w:rPr>
          <w:rFonts w:eastAsia="Times New Roman" w:cs="Calibri"/>
          <w:color w:val="000000"/>
          <w:sz w:val="20"/>
          <w:szCs w:val="20"/>
          <w:lang w:val="es-US"/>
        </w:rPr>
        <w:t xml:space="preserve">Disponer mecanismos de no repetición que incluyan: i) la capacitación de los cuerpos de la Armada del Ecuador en cuanto a estándares internacionales sobre el uso de la fuerza, incluida la fuerza letal; ii) establecer mecanismos adecuados de rendición de cuentas respecto de abusos cometidos por los miembros de tales cuerpos de seguridad; iii) fortalecer la capacidad investigativa de casos de uso de la fuerza letal, a fin de que las mismas sean compatibles con los estándares descritos en el presente informe; y iv) asegurar que la normativa interna y su interpretación sean compatibles con los estándares descritos en el informe en cuanto a la aplicación de la justicia penal militar. </w:t>
      </w:r>
    </w:p>
    <w:p w14:paraId="7CB6F3D4" w14:textId="77777777" w:rsidR="00D902D7" w:rsidRPr="00F8734F" w:rsidRDefault="00D902D7" w:rsidP="00F8734F">
      <w:pPr>
        <w:spacing w:after="0" w:line="240" w:lineRule="auto"/>
        <w:jc w:val="both"/>
        <w:rPr>
          <w:rFonts w:cs="Calibri"/>
          <w:color w:val="000000"/>
          <w:sz w:val="20"/>
          <w:szCs w:val="20"/>
          <w:lang w:val="es-VE"/>
        </w:rPr>
      </w:pPr>
    </w:p>
    <w:p w14:paraId="11B5052E" w14:textId="77777777" w:rsidR="00F808A9" w:rsidRPr="00F8734F" w:rsidRDefault="00E16ED1" w:rsidP="00F8734F">
      <w:pPr>
        <w:tabs>
          <w:tab w:val="left" w:pos="360"/>
          <w:tab w:val="left" w:pos="720"/>
          <w:tab w:val="left" w:pos="2880"/>
        </w:tabs>
        <w:spacing w:after="0" w:line="240" w:lineRule="auto"/>
        <w:jc w:val="both"/>
        <w:rPr>
          <w:rFonts w:cs="Calibri"/>
          <w:color w:val="000000"/>
          <w:sz w:val="20"/>
          <w:szCs w:val="20"/>
          <w:lang w:val="es-CO"/>
        </w:rPr>
      </w:pPr>
      <w:r w:rsidRPr="00F8734F">
        <w:rPr>
          <w:rFonts w:cs="Calibri"/>
          <w:color w:val="000000"/>
          <w:sz w:val="20"/>
          <w:szCs w:val="20"/>
          <w:lang w:val="es-ES"/>
        </w:rPr>
        <w:tab/>
      </w:r>
      <w:r w:rsidRPr="00F8734F">
        <w:rPr>
          <w:rFonts w:cs="Calibri"/>
          <w:color w:val="000000"/>
          <w:sz w:val="20"/>
          <w:szCs w:val="20"/>
          <w:lang w:val="es-ES"/>
        </w:rPr>
        <w:tab/>
      </w:r>
      <w:r w:rsidR="00162CE1" w:rsidRPr="00F8734F">
        <w:rPr>
          <w:rFonts w:cs="Calibri"/>
          <w:color w:val="000000"/>
          <w:sz w:val="20"/>
          <w:szCs w:val="20"/>
          <w:lang w:val="es-ES"/>
        </w:rPr>
        <w:t>Además de la necesidad de obtención de justicia</w:t>
      </w:r>
      <w:r w:rsidR="00377262" w:rsidRPr="00F8734F">
        <w:rPr>
          <w:rFonts w:cs="Calibri"/>
          <w:color w:val="000000"/>
          <w:sz w:val="20"/>
          <w:szCs w:val="20"/>
          <w:lang w:val="es-ES"/>
        </w:rPr>
        <w:t xml:space="preserve"> y reparación</w:t>
      </w:r>
      <w:r w:rsidR="00162CE1" w:rsidRPr="00F8734F">
        <w:rPr>
          <w:rFonts w:cs="Calibri"/>
          <w:color w:val="000000"/>
          <w:sz w:val="20"/>
          <w:szCs w:val="20"/>
          <w:lang w:val="es-ES"/>
        </w:rPr>
        <w:t xml:space="preserve"> por la falta de cumplimie</w:t>
      </w:r>
      <w:r w:rsidR="009A0E8E" w:rsidRPr="00F8734F">
        <w:rPr>
          <w:rFonts w:cs="Calibri"/>
          <w:color w:val="000000"/>
          <w:sz w:val="20"/>
          <w:szCs w:val="20"/>
          <w:lang w:val="es-ES"/>
        </w:rPr>
        <w:t>nto de las recomendaciones del Informe de F</w:t>
      </w:r>
      <w:r w:rsidR="00162CE1" w:rsidRPr="00F8734F">
        <w:rPr>
          <w:rFonts w:cs="Calibri"/>
          <w:color w:val="000000"/>
          <w:sz w:val="20"/>
          <w:szCs w:val="20"/>
          <w:lang w:val="es-ES"/>
        </w:rPr>
        <w:t>ondo, la Comisión considera que el caso presenta cuestiones de orden público interamericano.</w:t>
      </w:r>
      <w:r w:rsidR="00245F50" w:rsidRPr="00F8734F">
        <w:rPr>
          <w:rFonts w:cs="Calibri"/>
          <w:color w:val="000000"/>
          <w:sz w:val="20"/>
          <w:szCs w:val="20"/>
          <w:lang w:val="es-ES"/>
        </w:rPr>
        <w:t xml:space="preserve"> </w:t>
      </w:r>
      <w:r w:rsidR="00B037A3" w:rsidRPr="00F8734F">
        <w:rPr>
          <w:rFonts w:cs="Calibri"/>
          <w:color w:val="000000"/>
          <w:sz w:val="20"/>
          <w:szCs w:val="20"/>
          <w:lang w:val="es-ES"/>
        </w:rPr>
        <w:t>E</w:t>
      </w:r>
      <w:r w:rsidR="00B037A3" w:rsidRPr="00F8734F">
        <w:rPr>
          <w:rFonts w:cs="Calibri"/>
          <w:color w:val="000000"/>
          <w:sz w:val="20"/>
          <w:szCs w:val="20"/>
          <w:lang w:val="es-CO"/>
        </w:rPr>
        <w:t xml:space="preserve">l mismo </w:t>
      </w:r>
      <w:r w:rsidR="00B037A3" w:rsidRPr="00F8734F">
        <w:rPr>
          <w:rFonts w:eastAsia="Times New Roman" w:cs="Calibri"/>
          <w:color w:val="000000"/>
          <w:sz w:val="20"/>
          <w:szCs w:val="20"/>
          <w:lang w:val="es-CO"/>
        </w:rPr>
        <w:t xml:space="preserve">permitirá a la Honorable </w:t>
      </w:r>
      <w:r w:rsidR="00A27809" w:rsidRPr="00F8734F">
        <w:rPr>
          <w:rFonts w:eastAsia="Times New Roman" w:cs="Calibri"/>
          <w:color w:val="000000"/>
          <w:sz w:val="20"/>
          <w:szCs w:val="20"/>
          <w:lang w:val="es-CO"/>
        </w:rPr>
        <w:t xml:space="preserve">Corte </w:t>
      </w:r>
      <w:r w:rsidR="00F808A9" w:rsidRPr="00F8734F">
        <w:rPr>
          <w:rFonts w:eastAsia="Times New Roman" w:cs="Calibri"/>
          <w:color w:val="000000"/>
          <w:sz w:val="20"/>
          <w:szCs w:val="20"/>
          <w:lang w:val="es-CO"/>
        </w:rPr>
        <w:t>profundizar su jurisprudencia</w:t>
      </w:r>
      <w:r w:rsidR="00F808A9" w:rsidRPr="00F8734F">
        <w:rPr>
          <w:rFonts w:cs="Calibri"/>
          <w:color w:val="000000"/>
          <w:sz w:val="20"/>
          <w:szCs w:val="20"/>
          <w:lang w:val="es-CO"/>
        </w:rPr>
        <w:t xml:space="preserve"> sobre los estándares internaciones relacionados con el uso de la fuerza letal y los requisitos de finalidad legítima, absoluta necesidad y proporcionalidad para su aplicación. Asimismo, la Corte podrá reafirmar su jurisprudencia respecto a la aplicación de la jurisdicción penal militar en casos de violaciones de derechos humanos.</w:t>
      </w:r>
    </w:p>
    <w:p w14:paraId="68945E3F" w14:textId="77777777" w:rsidR="00F808A9" w:rsidRPr="00F8734F" w:rsidRDefault="00F808A9" w:rsidP="00F8734F">
      <w:pPr>
        <w:pStyle w:val="Encabezado"/>
        <w:tabs>
          <w:tab w:val="left" w:pos="720"/>
        </w:tabs>
        <w:jc w:val="both"/>
        <w:rPr>
          <w:rFonts w:eastAsia="Times New Roman" w:cs="Calibri"/>
          <w:color w:val="000000"/>
          <w:sz w:val="20"/>
          <w:szCs w:val="20"/>
          <w:lang w:val="es-CO"/>
        </w:rPr>
      </w:pPr>
    </w:p>
    <w:p w14:paraId="1EF07AFE" w14:textId="77777777" w:rsidR="00162CE1" w:rsidRPr="00F8734F" w:rsidRDefault="00162CE1" w:rsidP="00F8734F">
      <w:pPr>
        <w:spacing w:after="0" w:line="240" w:lineRule="auto"/>
        <w:ind w:firstLine="720"/>
        <w:jc w:val="both"/>
        <w:rPr>
          <w:rFonts w:cs="Calibri"/>
          <w:color w:val="000000"/>
          <w:sz w:val="20"/>
          <w:szCs w:val="20"/>
          <w:lang w:val="es-ES"/>
        </w:rPr>
      </w:pPr>
      <w:r w:rsidRPr="00F8734F">
        <w:rPr>
          <w:rFonts w:cs="Calibri"/>
          <w:color w:val="000000"/>
          <w:sz w:val="20"/>
          <w:szCs w:val="20"/>
          <w:lang w:val="es-ES"/>
        </w:rPr>
        <w:t>En virtud de que estas cuestiones afectan de manera relevante el orden público interamericano, de conformidad con el artículo 35.1 f) del Reglamento de la Corte Interamericana, la Comisión se permite ofrecer la siguiente declaraci</w:t>
      </w:r>
      <w:r w:rsidR="009A0971" w:rsidRPr="00F8734F">
        <w:rPr>
          <w:rFonts w:cs="Calibri"/>
          <w:color w:val="000000"/>
          <w:sz w:val="20"/>
          <w:szCs w:val="20"/>
          <w:lang w:val="es-ES"/>
        </w:rPr>
        <w:t>ón</w:t>
      </w:r>
      <w:r w:rsidRPr="00F8734F">
        <w:rPr>
          <w:rFonts w:cs="Calibri"/>
          <w:color w:val="000000"/>
          <w:sz w:val="20"/>
          <w:szCs w:val="20"/>
          <w:lang w:val="es-ES"/>
        </w:rPr>
        <w:t xml:space="preserve"> pericial: </w:t>
      </w:r>
    </w:p>
    <w:p w14:paraId="0AAB2F87" w14:textId="77777777" w:rsidR="0014432C" w:rsidRPr="00F8734F" w:rsidRDefault="0014432C" w:rsidP="00F8734F">
      <w:pPr>
        <w:spacing w:after="0" w:line="240" w:lineRule="auto"/>
        <w:ind w:firstLine="720"/>
        <w:jc w:val="both"/>
        <w:rPr>
          <w:rFonts w:cs="Calibri"/>
          <w:color w:val="000000"/>
          <w:sz w:val="20"/>
          <w:szCs w:val="20"/>
          <w:lang w:val="es-ES"/>
        </w:rPr>
      </w:pPr>
    </w:p>
    <w:p w14:paraId="644B0BEF" w14:textId="77777777" w:rsidR="0082191F" w:rsidRPr="00F8734F" w:rsidRDefault="008F7152" w:rsidP="00F8734F">
      <w:pPr>
        <w:spacing w:after="0" w:line="240" w:lineRule="auto"/>
        <w:ind w:firstLine="720"/>
        <w:jc w:val="both"/>
        <w:rPr>
          <w:rFonts w:cs="Calibri"/>
          <w:color w:val="000000"/>
          <w:sz w:val="20"/>
          <w:szCs w:val="20"/>
          <w:lang w:val="es-ES_tradnl"/>
        </w:rPr>
      </w:pPr>
      <w:r w:rsidRPr="00F8734F">
        <w:rPr>
          <w:rFonts w:cs="Calibri"/>
          <w:b/>
          <w:color w:val="000000"/>
          <w:sz w:val="20"/>
          <w:szCs w:val="20"/>
          <w:lang w:val="es-ES"/>
        </w:rPr>
        <w:t>Perito/a, cuyo nombre será informado a la brevedad</w:t>
      </w:r>
      <w:r w:rsidRPr="00F8734F">
        <w:rPr>
          <w:rFonts w:cs="Calibri"/>
          <w:color w:val="000000"/>
          <w:sz w:val="20"/>
          <w:szCs w:val="20"/>
          <w:lang w:val="es-ES"/>
        </w:rPr>
        <w:t xml:space="preserve">, quien declarará </w:t>
      </w:r>
      <w:r w:rsidR="00694376" w:rsidRPr="00F8734F">
        <w:rPr>
          <w:rFonts w:cs="Calibri"/>
          <w:color w:val="000000"/>
          <w:sz w:val="20"/>
          <w:szCs w:val="20"/>
          <w:lang w:val="es-ES"/>
        </w:rPr>
        <w:t xml:space="preserve">sobre </w:t>
      </w:r>
      <w:r w:rsidR="00563EFC" w:rsidRPr="00F8734F">
        <w:rPr>
          <w:rFonts w:cs="Calibri"/>
          <w:color w:val="000000"/>
          <w:sz w:val="20"/>
          <w:szCs w:val="20"/>
          <w:lang w:val="es-ES"/>
        </w:rPr>
        <w:t xml:space="preserve">las obligaciones del Estado en materia de </w:t>
      </w:r>
      <w:r w:rsidR="00DB5E85" w:rsidRPr="00F8734F">
        <w:rPr>
          <w:rFonts w:cs="Calibri"/>
          <w:color w:val="000000"/>
          <w:sz w:val="20"/>
          <w:szCs w:val="20"/>
          <w:lang w:val="es-ES"/>
        </w:rPr>
        <w:t>uso de la fuerza por parte de agentes estatales</w:t>
      </w:r>
      <w:r w:rsidR="00563EFC" w:rsidRPr="00F8734F">
        <w:rPr>
          <w:rFonts w:cs="Calibri"/>
          <w:color w:val="000000"/>
          <w:sz w:val="20"/>
          <w:szCs w:val="20"/>
          <w:lang w:val="es-ES"/>
        </w:rPr>
        <w:t xml:space="preserve">, en particular, en lo referente a </w:t>
      </w:r>
      <w:r w:rsidR="00DB5E85" w:rsidRPr="00F8734F">
        <w:rPr>
          <w:rFonts w:cs="Calibri"/>
          <w:color w:val="000000"/>
          <w:sz w:val="20"/>
          <w:szCs w:val="20"/>
          <w:lang w:val="es-CO"/>
        </w:rPr>
        <w:t>los requisitos de finalidad legítima, absoluta necesidad y proporcionalidad para su aplicación</w:t>
      </w:r>
      <w:r w:rsidR="00563EFC" w:rsidRPr="00F8734F">
        <w:rPr>
          <w:rFonts w:cs="Calibri"/>
          <w:color w:val="000000"/>
          <w:sz w:val="20"/>
          <w:szCs w:val="20"/>
          <w:lang w:val="es-ES"/>
        </w:rPr>
        <w:t xml:space="preserve">. Adicionalmente, el/la perito/a se referirá a </w:t>
      </w:r>
      <w:r w:rsidR="00694376" w:rsidRPr="00F8734F">
        <w:rPr>
          <w:rFonts w:cs="Calibri"/>
          <w:color w:val="000000"/>
          <w:sz w:val="20"/>
          <w:szCs w:val="20"/>
          <w:lang w:val="es-ES"/>
        </w:rPr>
        <w:t xml:space="preserve">la prohibición de la aplicación de la justicia penal militar </w:t>
      </w:r>
      <w:r w:rsidR="00DB5E85" w:rsidRPr="00F8734F">
        <w:rPr>
          <w:rFonts w:cs="Calibri"/>
          <w:color w:val="000000"/>
          <w:sz w:val="20"/>
          <w:szCs w:val="20"/>
          <w:lang w:val="es-ES"/>
        </w:rPr>
        <w:t>en casos de violaciones a derechos humanos</w:t>
      </w:r>
      <w:r w:rsidR="00FB0B22" w:rsidRPr="00F8734F">
        <w:rPr>
          <w:rFonts w:cs="Calibri"/>
          <w:color w:val="000000"/>
          <w:sz w:val="20"/>
          <w:szCs w:val="20"/>
          <w:lang w:val="es-ES"/>
        </w:rPr>
        <w:t xml:space="preserve">. </w:t>
      </w:r>
      <w:r w:rsidR="0082191F" w:rsidRPr="00F8734F">
        <w:rPr>
          <w:rFonts w:cs="Calibri"/>
          <w:color w:val="000000"/>
          <w:sz w:val="20"/>
          <w:szCs w:val="20"/>
          <w:lang w:val="es-ES_tradnl"/>
        </w:rPr>
        <w:t xml:space="preserve">En la medida de lo pertinente, el/la perito/a se referirá a otros sistemas internacionales </w:t>
      </w:r>
      <w:r w:rsidR="0082191F" w:rsidRPr="00F8734F">
        <w:rPr>
          <w:rFonts w:eastAsia="Times New Roman" w:cs="Calibri"/>
          <w:color w:val="000000"/>
          <w:sz w:val="20"/>
          <w:szCs w:val="20"/>
          <w:lang w:val="es-CO"/>
        </w:rPr>
        <w:t xml:space="preserve">de protección de derechos humanos y al derecho comparado. Para ejemplificar el desarrollo de su peritaje, el/la perito/a podrá </w:t>
      </w:r>
      <w:r w:rsidR="00910C01" w:rsidRPr="00F8734F">
        <w:rPr>
          <w:rFonts w:eastAsia="Times New Roman" w:cs="Calibri"/>
          <w:color w:val="000000"/>
          <w:sz w:val="20"/>
          <w:szCs w:val="20"/>
          <w:lang w:val="es-CO"/>
        </w:rPr>
        <w:t>referirse a los hechos del caso.</w:t>
      </w:r>
    </w:p>
    <w:p w14:paraId="2E15AB03" w14:textId="77777777" w:rsidR="0082191F" w:rsidRPr="00F8734F" w:rsidRDefault="0082191F" w:rsidP="00F8734F">
      <w:pPr>
        <w:spacing w:after="0" w:line="240" w:lineRule="auto"/>
        <w:ind w:firstLine="720"/>
        <w:jc w:val="both"/>
        <w:rPr>
          <w:rFonts w:cs="Calibri"/>
          <w:color w:val="000000"/>
          <w:sz w:val="20"/>
          <w:szCs w:val="20"/>
          <w:lang w:val="es-ES"/>
        </w:rPr>
      </w:pPr>
    </w:p>
    <w:p w14:paraId="104E6E1B" w14:textId="77777777" w:rsidR="00162CE1" w:rsidRPr="00F8734F" w:rsidRDefault="00162CE1" w:rsidP="00F8734F">
      <w:pPr>
        <w:spacing w:after="0" w:line="240" w:lineRule="auto"/>
        <w:jc w:val="both"/>
        <w:rPr>
          <w:rFonts w:cs="Calibri"/>
          <w:color w:val="000000"/>
          <w:sz w:val="20"/>
          <w:szCs w:val="20"/>
          <w:lang w:val="es-ES"/>
        </w:rPr>
      </w:pPr>
      <w:r w:rsidRPr="00F8734F">
        <w:rPr>
          <w:rFonts w:cs="Calibri"/>
          <w:color w:val="000000"/>
          <w:sz w:val="20"/>
          <w:szCs w:val="20"/>
          <w:lang w:val="es-ES"/>
        </w:rPr>
        <w:tab/>
      </w:r>
      <w:r w:rsidR="009A0971" w:rsidRPr="00F8734F">
        <w:rPr>
          <w:rFonts w:cs="Calibri"/>
          <w:color w:val="000000"/>
          <w:sz w:val="20"/>
          <w:szCs w:val="20"/>
          <w:lang w:val="es-ES"/>
        </w:rPr>
        <w:t xml:space="preserve">El </w:t>
      </w:r>
      <w:r w:rsidRPr="00F8734F">
        <w:rPr>
          <w:rFonts w:cs="Calibri"/>
          <w:color w:val="000000"/>
          <w:sz w:val="20"/>
          <w:szCs w:val="20"/>
          <w:lang w:val="es-ES"/>
        </w:rPr>
        <w:t xml:space="preserve">CV del/a perito/a propuesto/a será incluido en los anexos al </w:t>
      </w:r>
      <w:r w:rsidR="00E6263B" w:rsidRPr="00F8734F">
        <w:rPr>
          <w:rFonts w:cs="Calibri"/>
          <w:color w:val="000000"/>
          <w:sz w:val="20"/>
          <w:szCs w:val="20"/>
          <w:lang w:val="es-ES"/>
        </w:rPr>
        <w:t xml:space="preserve">Informe de Fondo No. </w:t>
      </w:r>
      <w:r w:rsidR="0099038C" w:rsidRPr="00F8734F">
        <w:rPr>
          <w:rFonts w:cs="Calibri"/>
          <w:color w:val="000000"/>
          <w:sz w:val="20"/>
          <w:szCs w:val="20"/>
          <w:lang w:val="es-ES"/>
        </w:rPr>
        <w:t>1</w:t>
      </w:r>
      <w:r w:rsidR="00DB5E85" w:rsidRPr="00F8734F">
        <w:rPr>
          <w:rFonts w:cs="Calibri"/>
          <w:color w:val="000000"/>
          <w:sz w:val="20"/>
          <w:szCs w:val="20"/>
          <w:lang w:val="es-ES"/>
        </w:rPr>
        <w:t>4</w:t>
      </w:r>
      <w:r w:rsidR="0082191F" w:rsidRPr="00F8734F">
        <w:rPr>
          <w:rFonts w:cs="Calibri"/>
          <w:color w:val="000000"/>
          <w:sz w:val="20"/>
          <w:szCs w:val="20"/>
          <w:lang w:val="es-ES"/>
        </w:rPr>
        <w:t>/19</w:t>
      </w:r>
      <w:r w:rsidRPr="00F8734F">
        <w:rPr>
          <w:rFonts w:cs="Calibri"/>
          <w:color w:val="000000"/>
          <w:sz w:val="20"/>
          <w:szCs w:val="20"/>
          <w:lang w:val="es-ES"/>
        </w:rPr>
        <w:t xml:space="preserve">. </w:t>
      </w:r>
    </w:p>
    <w:p w14:paraId="2BE2B762" w14:textId="77777777" w:rsidR="00162CE1" w:rsidRPr="00F8734F" w:rsidRDefault="00162CE1" w:rsidP="00F8734F">
      <w:pPr>
        <w:spacing w:after="0" w:line="240" w:lineRule="auto"/>
        <w:jc w:val="both"/>
        <w:rPr>
          <w:rFonts w:cs="Calibri"/>
          <w:color w:val="000000"/>
          <w:sz w:val="20"/>
          <w:szCs w:val="20"/>
          <w:lang w:val="es-ES"/>
        </w:rPr>
      </w:pPr>
    </w:p>
    <w:p w14:paraId="33A1FF92" w14:textId="77777777" w:rsidR="002E628E" w:rsidRPr="00F8734F" w:rsidRDefault="002E628E" w:rsidP="002E628E">
      <w:pPr>
        <w:spacing w:after="0" w:line="240" w:lineRule="auto"/>
        <w:jc w:val="both"/>
        <w:rPr>
          <w:rFonts w:cs="Calibri"/>
          <w:color w:val="000000"/>
          <w:sz w:val="20"/>
          <w:szCs w:val="20"/>
          <w:lang w:val="es-ES"/>
        </w:rPr>
      </w:pPr>
      <w:r w:rsidRPr="00F8734F">
        <w:rPr>
          <w:rFonts w:cs="Calibri"/>
          <w:color w:val="000000"/>
          <w:sz w:val="20"/>
          <w:szCs w:val="20"/>
          <w:lang w:val="es-ES"/>
        </w:rPr>
        <w:tab/>
        <w:t>La Comisión pone en conocimiento de la Honorable Corte la siguiente información de quienes actúan como parte peticionaria en el trámite ante la CIDH conforme a la información más reciente:</w:t>
      </w:r>
    </w:p>
    <w:p w14:paraId="68D65D20" w14:textId="77777777" w:rsidR="002E628E" w:rsidRPr="00F8734F" w:rsidRDefault="002E628E" w:rsidP="002E628E">
      <w:pPr>
        <w:spacing w:after="0" w:line="240" w:lineRule="auto"/>
        <w:jc w:val="both"/>
        <w:rPr>
          <w:rFonts w:cs="Calibri"/>
          <w:color w:val="000000"/>
          <w:sz w:val="10"/>
          <w:szCs w:val="10"/>
          <w:lang w:val="es-ES"/>
        </w:rPr>
      </w:pPr>
    </w:p>
    <w:p w14:paraId="02BF93B5" w14:textId="77777777" w:rsidR="002E628E" w:rsidRPr="00F8734F" w:rsidRDefault="002E628E" w:rsidP="002E628E">
      <w:pPr>
        <w:spacing w:after="0" w:line="240" w:lineRule="auto"/>
        <w:jc w:val="center"/>
        <w:rPr>
          <w:rFonts w:cs="Calibri"/>
          <w:bCs/>
          <w:iCs/>
          <w:color w:val="000000"/>
          <w:sz w:val="20"/>
          <w:szCs w:val="20"/>
          <w:lang w:val="es-ES"/>
        </w:rPr>
      </w:pPr>
      <w:r w:rsidRPr="00F8734F">
        <w:rPr>
          <w:rFonts w:cs="Calibri"/>
          <w:bCs/>
          <w:iCs/>
          <w:color w:val="000000"/>
          <w:sz w:val="20"/>
          <w:szCs w:val="20"/>
          <w:lang w:val="es-ES"/>
        </w:rPr>
        <w:t>Alejandro Ponce Villacís</w:t>
      </w:r>
    </w:p>
    <w:p w14:paraId="0A923CA2" w14:textId="77777777" w:rsidR="002E628E" w:rsidRPr="00CA76FC" w:rsidRDefault="00CA76FC" w:rsidP="002E628E">
      <w:pPr>
        <w:tabs>
          <w:tab w:val="left" w:pos="1455"/>
        </w:tabs>
        <w:spacing w:after="0" w:line="240" w:lineRule="auto"/>
        <w:jc w:val="center"/>
        <w:rPr>
          <w:rFonts w:cs="Calibri"/>
          <w:bCs/>
          <w:iCs/>
          <w:color w:val="000000"/>
          <w:sz w:val="20"/>
          <w:szCs w:val="20"/>
          <w:highlight w:val="black"/>
          <w:lang w:val="es-ES"/>
        </w:rPr>
      </w:pPr>
      <w:r w:rsidRPr="00CA76FC">
        <w:rPr>
          <w:rFonts w:cs="Calibri"/>
          <w:bCs/>
          <w:iCs/>
          <w:color w:val="000000"/>
          <w:sz w:val="20"/>
          <w:szCs w:val="20"/>
          <w:highlight w:val="black"/>
          <w:lang w:val="es-ES"/>
        </w:rPr>
        <w:t>XXXXXXXXXXXXXXXXXXXXXXXXXXXXXXXXXXX</w:t>
      </w:r>
    </w:p>
    <w:p w14:paraId="272CB6F9" w14:textId="77777777" w:rsidR="002E628E" w:rsidRPr="00F8734F" w:rsidRDefault="002E628E" w:rsidP="002E628E">
      <w:pPr>
        <w:spacing w:after="0" w:line="240" w:lineRule="auto"/>
        <w:jc w:val="center"/>
        <w:rPr>
          <w:rFonts w:cs="Calibri"/>
          <w:bCs/>
          <w:iCs/>
          <w:color w:val="000000"/>
          <w:sz w:val="20"/>
          <w:szCs w:val="20"/>
          <w:lang w:val="es-ES"/>
        </w:rPr>
      </w:pPr>
      <w:r w:rsidRPr="00F8734F">
        <w:rPr>
          <w:rFonts w:cs="Calibri"/>
          <w:bCs/>
          <w:iCs/>
          <w:color w:val="000000"/>
          <w:sz w:val="20"/>
          <w:szCs w:val="20"/>
          <w:lang w:val="es-ES"/>
        </w:rPr>
        <w:t>Mateo Borrero</w:t>
      </w:r>
    </w:p>
    <w:p w14:paraId="797427B1" w14:textId="77777777" w:rsidR="002E628E" w:rsidRPr="00CA76FC" w:rsidRDefault="00CA76FC" w:rsidP="002E628E">
      <w:pPr>
        <w:tabs>
          <w:tab w:val="left" w:pos="1455"/>
        </w:tabs>
        <w:spacing w:after="0" w:line="240" w:lineRule="auto"/>
        <w:jc w:val="center"/>
        <w:rPr>
          <w:rFonts w:cs="Calibri"/>
          <w:bCs/>
          <w:iCs/>
          <w:color w:val="000000"/>
          <w:sz w:val="20"/>
          <w:szCs w:val="20"/>
          <w:highlight w:val="black"/>
          <w:lang w:val="es-ES"/>
        </w:rPr>
      </w:pPr>
      <w:r w:rsidRPr="00CA76FC">
        <w:rPr>
          <w:rFonts w:cs="Calibri"/>
          <w:bCs/>
          <w:iCs/>
          <w:color w:val="000000"/>
          <w:sz w:val="20"/>
          <w:szCs w:val="20"/>
          <w:highlight w:val="black"/>
          <w:lang w:val="es-ES"/>
        </w:rPr>
        <w:t>XXXXXXXXXXXXXXXXXXXXXXXXXXXXXXXX</w:t>
      </w:r>
    </w:p>
    <w:p w14:paraId="7823998F" w14:textId="77777777" w:rsidR="002E628E" w:rsidRPr="00F8734F" w:rsidRDefault="002E628E" w:rsidP="002E628E">
      <w:pPr>
        <w:tabs>
          <w:tab w:val="left" w:pos="1455"/>
        </w:tabs>
        <w:spacing w:after="0" w:line="240" w:lineRule="auto"/>
        <w:jc w:val="center"/>
        <w:rPr>
          <w:rFonts w:cs="Calibri"/>
          <w:color w:val="000000"/>
          <w:sz w:val="20"/>
          <w:szCs w:val="20"/>
          <w:lang w:val="es-ES"/>
        </w:rPr>
      </w:pPr>
    </w:p>
    <w:p w14:paraId="08C70CE5" w14:textId="77777777" w:rsidR="002E628E" w:rsidRPr="00F8734F" w:rsidRDefault="002E628E" w:rsidP="002E628E">
      <w:pPr>
        <w:spacing w:after="0" w:line="240" w:lineRule="auto"/>
        <w:ind w:firstLine="720"/>
        <w:jc w:val="both"/>
        <w:rPr>
          <w:rFonts w:cs="Calibri"/>
          <w:color w:val="000000"/>
          <w:sz w:val="20"/>
          <w:szCs w:val="20"/>
          <w:lang w:val="es-ES"/>
        </w:rPr>
      </w:pPr>
      <w:r w:rsidRPr="00F8734F">
        <w:rPr>
          <w:rFonts w:cs="Calibri"/>
          <w:color w:val="000000"/>
          <w:sz w:val="20"/>
          <w:szCs w:val="20"/>
          <w:lang w:val="es-ES"/>
        </w:rPr>
        <w:t>Aprovecho la oportunidad para saludar a usted muy atentamente,</w:t>
      </w:r>
    </w:p>
    <w:p w14:paraId="5746701A" w14:textId="77777777" w:rsidR="002E628E" w:rsidRPr="00F8734F" w:rsidRDefault="002E628E" w:rsidP="002E628E">
      <w:pPr>
        <w:tabs>
          <w:tab w:val="left" w:pos="0"/>
        </w:tabs>
        <w:spacing w:after="0" w:line="240" w:lineRule="auto"/>
        <w:jc w:val="center"/>
        <w:rPr>
          <w:rFonts w:cs="Calibri"/>
          <w:color w:val="000000"/>
          <w:lang w:val="pt-BR"/>
        </w:rPr>
      </w:pPr>
    </w:p>
    <w:p w14:paraId="44477727" w14:textId="77777777" w:rsidR="002E628E" w:rsidRPr="00F8734F" w:rsidRDefault="002E628E" w:rsidP="002E628E">
      <w:pPr>
        <w:tabs>
          <w:tab w:val="left" w:pos="0"/>
        </w:tabs>
        <w:spacing w:after="0" w:line="240" w:lineRule="auto"/>
        <w:jc w:val="center"/>
        <w:rPr>
          <w:rFonts w:cs="Calibri"/>
          <w:i/>
          <w:color w:val="000000"/>
          <w:sz w:val="20"/>
          <w:szCs w:val="20"/>
          <w:lang w:val="pt-BR"/>
        </w:rPr>
      </w:pPr>
      <w:r w:rsidRPr="00F8734F">
        <w:rPr>
          <w:rFonts w:cs="Calibri"/>
          <w:color w:val="000000"/>
          <w:sz w:val="20"/>
          <w:szCs w:val="20"/>
          <w:lang w:val="pt-BR"/>
        </w:rPr>
        <w:t>Marisol Blanchard</w:t>
      </w:r>
    </w:p>
    <w:p w14:paraId="04B2E79E" w14:textId="77777777" w:rsidR="002E628E" w:rsidRPr="00F8734F" w:rsidRDefault="002E628E" w:rsidP="002E628E">
      <w:pPr>
        <w:tabs>
          <w:tab w:val="left" w:pos="810"/>
        </w:tabs>
        <w:suppressAutoHyphens/>
        <w:spacing w:after="0" w:line="240" w:lineRule="auto"/>
        <w:jc w:val="center"/>
        <w:rPr>
          <w:rFonts w:cs="Calibri"/>
          <w:color w:val="000000"/>
          <w:sz w:val="20"/>
          <w:szCs w:val="20"/>
          <w:lang w:val="pt-BR"/>
        </w:rPr>
      </w:pPr>
      <w:r w:rsidRPr="00F8734F">
        <w:rPr>
          <w:rFonts w:cs="Calibri"/>
          <w:color w:val="000000"/>
          <w:sz w:val="20"/>
          <w:szCs w:val="20"/>
          <w:lang w:val="pt-BR"/>
        </w:rPr>
        <w:t>Secretaria Ejecutiva Adjunta</w:t>
      </w:r>
    </w:p>
    <w:p w14:paraId="5E6C40B5" w14:textId="77777777" w:rsidR="002E628E" w:rsidRPr="00F8734F" w:rsidRDefault="002E628E" w:rsidP="002E628E">
      <w:pPr>
        <w:spacing w:after="0" w:line="240" w:lineRule="auto"/>
        <w:jc w:val="both"/>
        <w:rPr>
          <w:rFonts w:cs="Calibri"/>
          <w:color w:val="000000"/>
          <w:sz w:val="20"/>
          <w:szCs w:val="20"/>
          <w:lang w:val="pt-BR"/>
        </w:rPr>
      </w:pPr>
      <w:bookmarkStart w:id="2" w:name="ministro"/>
      <w:bookmarkEnd w:id="2"/>
    </w:p>
    <w:p w14:paraId="79FB5550" w14:textId="77777777" w:rsidR="002E628E" w:rsidRPr="00F8734F" w:rsidRDefault="002E628E" w:rsidP="002E628E">
      <w:pPr>
        <w:spacing w:after="0" w:line="240" w:lineRule="auto"/>
        <w:jc w:val="both"/>
        <w:rPr>
          <w:rFonts w:cs="Calibri"/>
          <w:color w:val="000000"/>
          <w:sz w:val="20"/>
          <w:szCs w:val="20"/>
          <w:lang w:val="pt-BR"/>
        </w:rPr>
      </w:pPr>
      <w:r w:rsidRPr="00F8734F">
        <w:rPr>
          <w:rFonts w:cs="Calibri"/>
          <w:color w:val="000000"/>
          <w:sz w:val="20"/>
          <w:szCs w:val="20"/>
          <w:lang w:val="pt-BR"/>
        </w:rPr>
        <w:t>Anexo</w:t>
      </w:r>
    </w:p>
    <w:p w14:paraId="3A04DE0A" w14:textId="77777777" w:rsidR="00237ECE" w:rsidRPr="00F8734F" w:rsidRDefault="00237ECE" w:rsidP="00F8734F">
      <w:pPr>
        <w:tabs>
          <w:tab w:val="left" w:pos="4500"/>
        </w:tabs>
        <w:spacing w:after="0" w:line="240" w:lineRule="auto"/>
        <w:rPr>
          <w:rFonts w:cs="Calibri"/>
          <w:color w:val="000000"/>
          <w:sz w:val="20"/>
          <w:szCs w:val="20"/>
          <w:lang w:val="pt-BR"/>
        </w:rPr>
      </w:pPr>
    </w:p>
    <w:sectPr w:rsidR="00237ECE" w:rsidRPr="00F8734F"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FEAFD" w14:textId="77777777" w:rsidR="00086CA0" w:rsidRDefault="00086CA0">
      <w:pPr>
        <w:spacing w:after="0" w:line="240" w:lineRule="auto"/>
      </w:pPr>
      <w:r>
        <w:separator/>
      </w:r>
    </w:p>
  </w:endnote>
  <w:endnote w:type="continuationSeparator" w:id="0">
    <w:p w14:paraId="601CD5BA" w14:textId="77777777" w:rsidR="00086CA0" w:rsidRDefault="00086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4BC6F"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93318E">
      <w:rPr>
        <w:noProof/>
        <w:sz w:val="18"/>
        <w:szCs w:val="18"/>
      </w:rPr>
      <w:t>2</w:t>
    </w:r>
    <w:r w:rsidRPr="0060615D">
      <w:rPr>
        <w:noProof/>
        <w:sz w:val="18"/>
        <w:szCs w:val="18"/>
      </w:rPr>
      <w:fldChar w:fldCharType="end"/>
    </w:r>
  </w:p>
  <w:p w14:paraId="2E2DA03A" w14:textId="77777777" w:rsidR="002E628E" w:rsidRDefault="002E628E" w:rsidP="002E628E">
    <w:pPr>
      <w:pStyle w:val="Piedepgina"/>
      <w:spacing w:line="360" w:lineRule="auto"/>
    </w:pPr>
    <w:r>
      <w:pict w14:anchorId="74D14DD4">
        <v:rect id="_x0000_i1028" style="width:0;height:1.5pt" o:hralign="center" o:hrstd="t" o:hr="t" fillcolor="#a0a0a0" stroked="f"/>
      </w:pict>
    </w:r>
  </w:p>
  <w:p w14:paraId="2768A9DD" w14:textId="47EB923F" w:rsidR="00162CE1" w:rsidRDefault="003A1B46" w:rsidP="00F8734F">
    <w:pPr>
      <w:pStyle w:val="Piedepgina"/>
      <w:jc w:val="center"/>
    </w:pPr>
    <w:r w:rsidRPr="008A5CB5">
      <w:rPr>
        <w:noProof/>
      </w:rPr>
      <w:drawing>
        <wp:inline distT="0" distB="0" distL="0" distR="0" wp14:anchorId="1CA3B800" wp14:editId="24A42351">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20C11" w14:textId="77777777" w:rsidR="00162CE1" w:rsidRDefault="00162CE1" w:rsidP="00162CE1">
    <w:pPr>
      <w:pStyle w:val="Piedepgina"/>
      <w:spacing w:line="360" w:lineRule="auto"/>
    </w:pPr>
    <w:r>
      <w:pict w14:anchorId="60654EDD">
        <v:rect id="_x0000_i1026" style="width:0;height:1.5pt" o:hralign="center" o:hrstd="t" o:hr="t" fillcolor="#a0a0a0" stroked="f"/>
      </w:pict>
    </w:r>
  </w:p>
  <w:p w14:paraId="4F2596C8" w14:textId="762C318C" w:rsidR="00162CE1" w:rsidRDefault="003A1B46" w:rsidP="00162CE1">
    <w:pPr>
      <w:pStyle w:val="Piedepgina"/>
      <w:jc w:val="center"/>
    </w:pPr>
    <w:r w:rsidRPr="008A5CB5">
      <w:rPr>
        <w:noProof/>
      </w:rPr>
      <w:drawing>
        <wp:inline distT="0" distB="0" distL="0" distR="0" wp14:anchorId="298F5D7C" wp14:editId="5DD958B0">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C2C7E" w14:textId="77777777" w:rsidR="00086CA0" w:rsidRDefault="00086CA0">
      <w:pPr>
        <w:spacing w:after="0" w:line="240" w:lineRule="auto"/>
      </w:pPr>
      <w:r>
        <w:separator/>
      </w:r>
    </w:p>
  </w:footnote>
  <w:footnote w:type="continuationSeparator" w:id="0">
    <w:p w14:paraId="4F0C85E3" w14:textId="77777777" w:rsidR="00086CA0" w:rsidRDefault="00086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FED74" w14:textId="6FD1206E" w:rsidR="00162CE1" w:rsidRPr="0058688A" w:rsidRDefault="003A1B46" w:rsidP="00162CE1">
    <w:pPr>
      <w:pStyle w:val="Encabezado"/>
      <w:jc w:val="center"/>
      <w:rPr>
        <w:lang w:val="es-ES_tradnl"/>
      </w:rPr>
    </w:pPr>
    <w:r>
      <w:rPr>
        <w:noProof/>
        <w:lang w:val="es-ES_tradnl"/>
      </w:rPr>
      <w:drawing>
        <wp:inline distT="0" distB="0" distL="0" distR="0" wp14:anchorId="0F3AD90F" wp14:editId="768BE4B0">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69D56E01" w14:textId="77777777" w:rsidR="00162CE1" w:rsidRDefault="00162CE1">
    <w:pPr>
      <w:pStyle w:val="Encabezado"/>
    </w:pPr>
    <w:r>
      <w:pict w14:anchorId="5FA5C05B">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DF859" w14:textId="72D1F3B0" w:rsidR="00162CE1" w:rsidRDefault="003A1B46" w:rsidP="00162CE1">
    <w:pPr>
      <w:pStyle w:val="Encabezado"/>
    </w:pPr>
    <w:r w:rsidRPr="008A5CB5">
      <w:rPr>
        <w:noProof/>
      </w:rPr>
      <w:drawing>
        <wp:inline distT="0" distB="0" distL="0" distR="0" wp14:anchorId="4FD6A6C0" wp14:editId="460CC442">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78C7E9EA" wp14:editId="0133E71A">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7C9D3762" w14:textId="77777777" w:rsidR="00162CE1" w:rsidRDefault="00162CE1" w:rsidP="00162CE1">
    <w:pPr>
      <w:pStyle w:val="Encabezado"/>
    </w:pPr>
    <w:r>
      <w:pict w14:anchorId="2865B1D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44C7"/>
    <w:rsid w:val="00017E7A"/>
    <w:rsid w:val="00031EB1"/>
    <w:rsid w:val="00036FC7"/>
    <w:rsid w:val="000751DF"/>
    <w:rsid w:val="00076DBF"/>
    <w:rsid w:val="00077DE5"/>
    <w:rsid w:val="00077FF7"/>
    <w:rsid w:val="00084078"/>
    <w:rsid w:val="00086CA0"/>
    <w:rsid w:val="000A2C28"/>
    <w:rsid w:val="000A45AD"/>
    <w:rsid w:val="000A4754"/>
    <w:rsid w:val="000A4B14"/>
    <w:rsid w:val="000B1138"/>
    <w:rsid w:val="000B3053"/>
    <w:rsid w:val="000C140C"/>
    <w:rsid w:val="000C5BFC"/>
    <w:rsid w:val="000D164E"/>
    <w:rsid w:val="000D2623"/>
    <w:rsid w:val="000D26A9"/>
    <w:rsid w:val="000D4633"/>
    <w:rsid w:val="000D4AE6"/>
    <w:rsid w:val="000E0F2F"/>
    <w:rsid w:val="000E2431"/>
    <w:rsid w:val="000F23FB"/>
    <w:rsid w:val="000F291B"/>
    <w:rsid w:val="00107B94"/>
    <w:rsid w:val="001217D9"/>
    <w:rsid w:val="00131B3B"/>
    <w:rsid w:val="00134CFC"/>
    <w:rsid w:val="00140652"/>
    <w:rsid w:val="00141387"/>
    <w:rsid w:val="00143EB4"/>
    <w:rsid w:val="0014432C"/>
    <w:rsid w:val="00146EE3"/>
    <w:rsid w:val="0015496C"/>
    <w:rsid w:val="00157476"/>
    <w:rsid w:val="00162CE1"/>
    <w:rsid w:val="001648FF"/>
    <w:rsid w:val="00170E12"/>
    <w:rsid w:val="00176C72"/>
    <w:rsid w:val="001770EE"/>
    <w:rsid w:val="001904F6"/>
    <w:rsid w:val="001942E2"/>
    <w:rsid w:val="00196D6F"/>
    <w:rsid w:val="001A7EDF"/>
    <w:rsid w:val="001B08B2"/>
    <w:rsid w:val="001B08F9"/>
    <w:rsid w:val="001C2AED"/>
    <w:rsid w:val="001D0C4D"/>
    <w:rsid w:val="001D5161"/>
    <w:rsid w:val="001E5256"/>
    <w:rsid w:val="001E59D8"/>
    <w:rsid w:val="00206412"/>
    <w:rsid w:val="002219A9"/>
    <w:rsid w:val="00226BCD"/>
    <w:rsid w:val="00234AC6"/>
    <w:rsid w:val="00237ECE"/>
    <w:rsid w:val="002426D8"/>
    <w:rsid w:val="00245F50"/>
    <w:rsid w:val="002534CD"/>
    <w:rsid w:val="002568CD"/>
    <w:rsid w:val="0027604A"/>
    <w:rsid w:val="002A19E1"/>
    <w:rsid w:val="002B64DC"/>
    <w:rsid w:val="002D2985"/>
    <w:rsid w:val="002E48D6"/>
    <w:rsid w:val="002E628E"/>
    <w:rsid w:val="002E780D"/>
    <w:rsid w:val="002F6526"/>
    <w:rsid w:val="0030700B"/>
    <w:rsid w:val="00312151"/>
    <w:rsid w:val="00316C30"/>
    <w:rsid w:val="00316E75"/>
    <w:rsid w:val="003254D3"/>
    <w:rsid w:val="00325553"/>
    <w:rsid w:val="00331129"/>
    <w:rsid w:val="00333497"/>
    <w:rsid w:val="0033372D"/>
    <w:rsid w:val="00336D34"/>
    <w:rsid w:val="003406ED"/>
    <w:rsid w:val="00343EDF"/>
    <w:rsid w:val="0035292C"/>
    <w:rsid w:val="00362BCC"/>
    <w:rsid w:val="00363DA9"/>
    <w:rsid w:val="0036640D"/>
    <w:rsid w:val="00374F28"/>
    <w:rsid w:val="00377262"/>
    <w:rsid w:val="00387D83"/>
    <w:rsid w:val="003904CF"/>
    <w:rsid w:val="003968A2"/>
    <w:rsid w:val="003A1B46"/>
    <w:rsid w:val="003A6DEC"/>
    <w:rsid w:val="003A71C5"/>
    <w:rsid w:val="003A7B52"/>
    <w:rsid w:val="003D3F6E"/>
    <w:rsid w:val="003D4DD9"/>
    <w:rsid w:val="003E14A3"/>
    <w:rsid w:val="003F1B9C"/>
    <w:rsid w:val="00403967"/>
    <w:rsid w:val="004051B3"/>
    <w:rsid w:val="00407877"/>
    <w:rsid w:val="004103EC"/>
    <w:rsid w:val="00415488"/>
    <w:rsid w:val="004173F3"/>
    <w:rsid w:val="0042403B"/>
    <w:rsid w:val="00452270"/>
    <w:rsid w:val="00456DAA"/>
    <w:rsid w:val="00475C19"/>
    <w:rsid w:val="0047698B"/>
    <w:rsid w:val="004825F5"/>
    <w:rsid w:val="00491AB8"/>
    <w:rsid w:val="00495F11"/>
    <w:rsid w:val="00496C45"/>
    <w:rsid w:val="004A2758"/>
    <w:rsid w:val="004C11AF"/>
    <w:rsid w:val="004C5616"/>
    <w:rsid w:val="004D15E1"/>
    <w:rsid w:val="004D7DF0"/>
    <w:rsid w:val="004D7F1C"/>
    <w:rsid w:val="004E0C4F"/>
    <w:rsid w:val="004E0F5A"/>
    <w:rsid w:val="004E6A6C"/>
    <w:rsid w:val="004F13CD"/>
    <w:rsid w:val="004F3366"/>
    <w:rsid w:val="004F475F"/>
    <w:rsid w:val="004F4E7F"/>
    <w:rsid w:val="004F651D"/>
    <w:rsid w:val="00501326"/>
    <w:rsid w:val="00506DE4"/>
    <w:rsid w:val="00517525"/>
    <w:rsid w:val="005266C2"/>
    <w:rsid w:val="00526C8F"/>
    <w:rsid w:val="00530164"/>
    <w:rsid w:val="005306F3"/>
    <w:rsid w:val="005319E3"/>
    <w:rsid w:val="005334BE"/>
    <w:rsid w:val="005376D9"/>
    <w:rsid w:val="00550822"/>
    <w:rsid w:val="00551DD6"/>
    <w:rsid w:val="005570AA"/>
    <w:rsid w:val="00557B7E"/>
    <w:rsid w:val="00560F49"/>
    <w:rsid w:val="00563E22"/>
    <w:rsid w:val="00563EFC"/>
    <w:rsid w:val="00564608"/>
    <w:rsid w:val="005668C4"/>
    <w:rsid w:val="0057349A"/>
    <w:rsid w:val="0057354D"/>
    <w:rsid w:val="0059345A"/>
    <w:rsid w:val="005A4E07"/>
    <w:rsid w:val="005A621F"/>
    <w:rsid w:val="005A7321"/>
    <w:rsid w:val="005B4F61"/>
    <w:rsid w:val="005B6610"/>
    <w:rsid w:val="005C5C37"/>
    <w:rsid w:val="005C7C22"/>
    <w:rsid w:val="005C7F13"/>
    <w:rsid w:val="005D2B11"/>
    <w:rsid w:val="005E0E8D"/>
    <w:rsid w:val="005E7AE9"/>
    <w:rsid w:val="005F109F"/>
    <w:rsid w:val="005F3FF9"/>
    <w:rsid w:val="0060615D"/>
    <w:rsid w:val="00607CA5"/>
    <w:rsid w:val="00612A1C"/>
    <w:rsid w:val="006238C4"/>
    <w:rsid w:val="006253E4"/>
    <w:rsid w:val="00625C17"/>
    <w:rsid w:val="006344F2"/>
    <w:rsid w:val="00641E26"/>
    <w:rsid w:val="0065299A"/>
    <w:rsid w:val="00661062"/>
    <w:rsid w:val="006634BE"/>
    <w:rsid w:val="00667D8A"/>
    <w:rsid w:val="00670828"/>
    <w:rsid w:val="00681D50"/>
    <w:rsid w:val="00691A97"/>
    <w:rsid w:val="00693CBB"/>
    <w:rsid w:val="00694376"/>
    <w:rsid w:val="006943A7"/>
    <w:rsid w:val="006A0DDA"/>
    <w:rsid w:val="006C3E16"/>
    <w:rsid w:val="006D45B0"/>
    <w:rsid w:val="006D7A02"/>
    <w:rsid w:val="006F46B8"/>
    <w:rsid w:val="006F4B0C"/>
    <w:rsid w:val="006F5300"/>
    <w:rsid w:val="006F539D"/>
    <w:rsid w:val="00707281"/>
    <w:rsid w:val="00730B2B"/>
    <w:rsid w:val="007401E2"/>
    <w:rsid w:val="00743959"/>
    <w:rsid w:val="0074602A"/>
    <w:rsid w:val="00746A42"/>
    <w:rsid w:val="00752A03"/>
    <w:rsid w:val="00760449"/>
    <w:rsid w:val="00770267"/>
    <w:rsid w:val="00775598"/>
    <w:rsid w:val="00777515"/>
    <w:rsid w:val="00782AEB"/>
    <w:rsid w:val="007940B2"/>
    <w:rsid w:val="00795EEE"/>
    <w:rsid w:val="00796DD9"/>
    <w:rsid w:val="007A20BB"/>
    <w:rsid w:val="007B22B5"/>
    <w:rsid w:val="007B7696"/>
    <w:rsid w:val="007C15AB"/>
    <w:rsid w:val="007C42F0"/>
    <w:rsid w:val="007E3EF7"/>
    <w:rsid w:val="0082191F"/>
    <w:rsid w:val="00837A17"/>
    <w:rsid w:val="0084002E"/>
    <w:rsid w:val="0084069E"/>
    <w:rsid w:val="00847BDC"/>
    <w:rsid w:val="00862AD4"/>
    <w:rsid w:val="00863302"/>
    <w:rsid w:val="00864E93"/>
    <w:rsid w:val="0088196F"/>
    <w:rsid w:val="00883E7F"/>
    <w:rsid w:val="00893093"/>
    <w:rsid w:val="00893594"/>
    <w:rsid w:val="008A11E8"/>
    <w:rsid w:val="008A143D"/>
    <w:rsid w:val="008A1F21"/>
    <w:rsid w:val="008A422D"/>
    <w:rsid w:val="008A6113"/>
    <w:rsid w:val="008B3A73"/>
    <w:rsid w:val="008C0E95"/>
    <w:rsid w:val="008C0ECE"/>
    <w:rsid w:val="008C7EBA"/>
    <w:rsid w:val="008D07A3"/>
    <w:rsid w:val="008D5226"/>
    <w:rsid w:val="008D53E2"/>
    <w:rsid w:val="008D72C2"/>
    <w:rsid w:val="008E006A"/>
    <w:rsid w:val="008E30DF"/>
    <w:rsid w:val="008E3768"/>
    <w:rsid w:val="008F34BF"/>
    <w:rsid w:val="008F7152"/>
    <w:rsid w:val="008F7250"/>
    <w:rsid w:val="009025D4"/>
    <w:rsid w:val="00906ADA"/>
    <w:rsid w:val="0090766E"/>
    <w:rsid w:val="00910C01"/>
    <w:rsid w:val="00914042"/>
    <w:rsid w:val="0092092D"/>
    <w:rsid w:val="00932AD3"/>
    <w:rsid w:val="0093318E"/>
    <w:rsid w:val="00944E4E"/>
    <w:rsid w:val="0095543E"/>
    <w:rsid w:val="00961B44"/>
    <w:rsid w:val="00967A6F"/>
    <w:rsid w:val="00970BC7"/>
    <w:rsid w:val="00977A5C"/>
    <w:rsid w:val="0099038C"/>
    <w:rsid w:val="00990F1C"/>
    <w:rsid w:val="009914FA"/>
    <w:rsid w:val="00992286"/>
    <w:rsid w:val="009A0971"/>
    <w:rsid w:val="009A0E8E"/>
    <w:rsid w:val="009B333D"/>
    <w:rsid w:val="009C1EB7"/>
    <w:rsid w:val="009E23BD"/>
    <w:rsid w:val="009E2CC2"/>
    <w:rsid w:val="009E2EBC"/>
    <w:rsid w:val="009E3BC0"/>
    <w:rsid w:val="009E433A"/>
    <w:rsid w:val="009F4C73"/>
    <w:rsid w:val="009F4F6A"/>
    <w:rsid w:val="009F77AA"/>
    <w:rsid w:val="00A03F38"/>
    <w:rsid w:val="00A06FAC"/>
    <w:rsid w:val="00A07134"/>
    <w:rsid w:val="00A15067"/>
    <w:rsid w:val="00A15A9A"/>
    <w:rsid w:val="00A2631B"/>
    <w:rsid w:val="00A27809"/>
    <w:rsid w:val="00A4186A"/>
    <w:rsid w:val="00A44D63"/>
    <w:rsid w:val="00A500E8"/>
    <w:rsid w:val="00A532CA"/>
    <w:rsid w:val="00A54EEB"/>
    <w:rsid w:val="00A65452"/>
    <w:rsid w:val="00A7442D"/>
    <w:rsid w:val="00A77918"/>
    <w:rsid w:val="00A92321"/>
    <w:rsid w:val="00AB1A5D"/>
    <w:rsid w:val="00AB70F2"/>
    <w:rsid w:val="00AC403E"/>
    <w:rsid w:val="00AD5F3D"/>
    <w:rsid w:val="00AD6936"/>
    <w:rsid w:val="00AE314D"/>
    <w:rsid w:val="00AE5935"/>
    <w:rsid w:val="00AF2B73"/>
    <w:rsid w:val="00AF4B54"/>
    <w:rsid w:val="00AF5BCC"/>
    <w:rsid w:val="00B012C4"/>
    <w:rsid w:val="00B037A3"/>
    <w:rsid w:val="00B03DD7"/>
    <w:rsid w:val="00B05FFF"/>
    <w:rsid w:val="00B2111B"/>
    <w:rsid w:val="00B24A53"/>
    <w:rsid w:val="00B30C05"/>
    <w:rsid w:val="00B4147B"/>
    <w:rsid w:val="00B44AD6"/>
    <w:rsid w:val="00B45B3C"/>
    <w:rsid w:val="00B67019"/>
    <w:rsid w:val="00B67CD0"/>
    <w:rsid w:val="00B70B7C"/>
    <w:rsid w:val="00B8038E"/>
    <w:rsid w:val="00B82394"/>
    <w:rsid w:val="00B96B34"/>
    <w:rsid w:val="00BB0160"/>
    <w:rsid w:val="00BB136A"/>
    <w:rsid w:val="00BB2038"/>
    <w:rsid w:val="00BB4AB9"/>
    <w:rsid w:val="00BB720B"/>
    <w:rsid w:val="00BD2575"/>
    <w:rsid w:val="00BE21C5"/>
    <w:rsid w:val="00BE50F8"/>
    <w:rsid w:val="00BF207A"/>
    <w:rsid w:val="00BF3C98"/>
    <w:rsid w:val="00C22D7B"/>
    <w:rsid w:val="00C23A3B"/>
    <w:rsid w:val="00C24FF7"/>
    <w:rsid w:val="00C250DE"/>
    <w:rsid w:val="00C2673B"/>
    <w:rsid w:val="00C40437"/>
    <w:rsid w:val="00C427E5"/>
    <w:rsid w:val="00C44075"/>
    <w:rsid w:val="00C44C0E"/>
    <w:rsid w:val="00C459F8"/>
    <w:rsid w:val="00C524EE"/>
    <w:rsid w:val="00C52A3C"/>
    <w:rsid w:val="00C5331A"/>
    <w:rsid w:val="00C615C6"/>
    <w:rsid w:val="00C82F29"/>
    <w:rsid w:val="00C86746"/>
    <w:rsid w:val="00C872C8"/>
    <w:rsid w:val="00CA76FC"/>
    <w:rsid w:val="00CB0139"/>
    <w:rsid w:val="00CE18E3"/>
    <w:rsid w:val="00CE18ED"/>
    <w:rsid w:val="00CE60A3"/>
    <w:rsid w:val="00CF68B8"/>
    <w:rsid w:val="00D210E4"/>
    <w:rsid w:val="00D30790"/>
    <w:rsid w:val="00D358CC"/>
    <w:rsid w:val="00D40531"/>
    <w:rsid w:val="00D41DD9"/>
    <w:rsid w:val="00D456E1"/>
    <w:rsid w:val="00D458E2"/>
    <w:rsid w:val="00D507B2"/>
    <w:rsid w:val="00D50C53"/>
    <w:rsid w:val="00D54583"/>
    <w:rsid w:val="00D55740"/>
    <w:rsid w:val="00D618E7"/>
    <w:rsid w:val="00D61BA6"/>
    <w:rsid w:val="00D66EC6"/>
    <w:rsid w:val="00D73B7B"/>
    <w:rsid w:val="00D7730D"/>
    <w:rsid w:val="00D805B3"/>
    <w:rsid w:val="00D8378B"/>
    <w:rsid w:val="00D902D7"/>
    <w:rsid w:val="00D96806"/>
    <w:rsid w:val="00DB03F6"/>
    <w:rsid w:val="00DB56E1"/>
    <w:rsid w:val="00DB5E85"/>
    <w:rsid w:val="00DD3DD5"/>
    <w:rsid w:val="00DD466A"/>
    <w:rsid w:val="00DE0E68"/>
    <w:rsid w:val="00DE2CA0"/>
    <w:rsid w:val="00DE7134"/>
    <w:rsid w:val="00DF3621"/>
    <w:rsid w:val="00DF3B7F"/>
    <w:rsid w:val="00DF46F3"/>
    <w:rsid w:val="00DF4A93"/>
    <w:rsid w:val="00DF7DE3"/>
    <w:rsid w:val="00E073FA"/>
    <w:rsid w:val="00E0780E"/>
    <w:rsid w:val="00E12B66"/>
    <w:rsid w:val="00E16ED1"/>
    <w:rsid w:val="00E17733"/>
    <w:rsid w:val="00E21E08"/>
    <w:rsid w:val="00E25B3F"/>
    <w:rsid w:val="00E26906"/>
    <w:rsid w:val="00E26CD9"/>
    <w:rsid w:val="00E31CFC"/>
    <w:rsid w:val="00E35D60"/>
    <w:rsid w:val="00E405C0"/>
    <w:rsid w:val="00E5346E"/>
    <w:rsid w:val="00E54A1A"/>
    <w:rsid w:val="00E6263B"/>
    <w:rsid w:val="00E6441F"/>
    <w:rsid w:val="00E67F09"/>
    <w:rsid w:val="00E7198B"/>
    <w:rsid w:val="00E828A3"/>
    <w:rsid w:val="00E83947"/>
    <w:rsid w:val="00E85ECE"/>
    <w:rsid w:val="00E939BD"/>
    <w:rsid w:val="00EC468B"/>
    <w:rsid w:val="00EC655F"/>
    <w:rsid w:val="00ED588B"/>
    <w:rsid w:val="00ED764A"/>
    <w:rsid w:val="00EE2E5E"/>
    <w:rsid w:val="00EE5095"/>
    <w:rsid w:val="00EF2CA7"/>
    <w:rsid w:val="00EF3DD1"/>
    <w:rsid w:val="00F07EE5"/>
    <w:rsid w:val="00F11C02"/>
    <w:rsid w:val="00F25856"/>
    <w:rsid w:val="00F353B3"/>
    <w:rsid w:val="00F35BB1"/>
    <w:rsid w:val="00F4501D"/>
    <w:rsid w:val="00F467D0"/>
    <w:rsid w:val="00F47068"/>
    <w:rsid w:val="00F5130E"/>
    <w:rsid w:val="00F51BAF"/>
    <w:rsid w:val="00F5749D"/>
    <w:rsid w:val="00F616AB"/>
    <w:rsid w:val="00F70939"/>
    <w:rsid w:val="00F73473"/>
    <w:rsid w:val="00F759EB"/>
    <w:rsid w:val="00F75B73"/>
    <w:rsid w:val="00F808A9"/>
    <w:rsid w:val="00F827AC"/>
    <w:rsid w:val="00F84A74"/>
    <w:rsid w:val="00F84B4C"/>
    <w:rsid w:val="00F86E94"/>
    <w:rsid w:val="00F8734F"/>
    <w:rsid w:val="00F969DE"/>
    <w:rsid w:val="00FA5645"/>
    <w:rsid w:val="00FA576A"/>
    <w:rsid w:val="00FA6C97"/>
    <w:rsid w:val="00FB0B22"/>
    <w:rsid w:val="00FB0B99"/>
    <w:rsid w:val="00FB23F4"/>
    <w:rsid w:val="00FC0A74"/>
    <w:rsid w:val="00FC221D"/>
    <w:rsid w:val="00FC32E3"/>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C494F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111E2-1E60-4772-99C5-D8748753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1406</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2020-11-17T20:18:00Z</dcterms:created>
  <dcterms:modified xsi:type="dcterms:W3CDTF">2020-11-17T20:18:00Z</dcterms:modified>
</cp:coreProperties>
</file>