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7CD05" w14:textId="77777777" w:rsidR="000007A2" w:rsidRPr="00333497" w:rsidRDefault="000007A2" w:rsidP="0042403B">
      <w:pPr>
        <w:spacing w:after="0" w:line="240" w:lineRule="auto"/>
        <w:jc w:val="right"/>
        <w:rPr>
          <w:rFonts w:ascii="Cambria" w:hAnsi="Cambria" w:cs="Calibri"/>
          <w:sz w:val="20"/>
          <w:szCs w:val="20"/>
          <w:lang w:val="es-ES"/>
        </w:rPr>
      </w:pPr>
    </w:p>
    <w:p w14:paraId="102115F5" w14:textId="77777777" w:rsidR="00162CE1" w:rsidRPr="00333497" w:rsidRDefault="00333497" w:rsidP="0042403B">
      <w:pPr>
        <w:spacing w:after="0" w:line="240" w:lineRule="auto"/>
        <w:jc w:val="right"/>
        <w:rPr>
          <w:rFonts w:ascii="Cambria" w:hAnsi="Cambria" w:cs="Calibri"/>
          <w:sz w:val="20"/>
          <w:szCs w:val="20"/>
          <w:lang w:val="es-ES"/>
        </w:rPr>
      </w:pPr>
      <w:r w:rsidRPr="00333497">
        <w:rPr>
          <w:rFonts w:ascii="Cambria" w:hAnsi="Cambria" w:cs="Calibri"/>
          <w:sz w:val="20"/>
          <w:szCs w:val="20"/>
          <w:lang w:val="es-ES"/>
        </w:rPr>
        <w:t>14 de junio</w:t>
      </w:r>
      <w:r w:rsidR="00DE2CA0" w:rsidRPr="00333497">
        <w:rPr>
          <w:rFonts w:ascii="Cambria" w:hAnsi="Cambria" w:cs="Calibri"/>
          <w:sz w:val="20"/>
          <w:szCs w:val="20"/>
          <w:lang w:val="es-ES"/>
        </w:rPr>
        <w:t xml:space="preserve"> de 2020</w:t>
      </w:r>
    </w:p>
    <w:p w14:paraId="60540303" w14:textId="77777777" w:rsidR="004C11AF" w:rsidRPr="00333497" w:rsidRDefault="004C11AF" w:rsidP="0042403B">
      <w:pPr>
        <w:spacing w:after="0" w:line="240" w:lineRule="auto"/>
        <w:jc w:val="right"/>
        <w:rPr>
          <w:rFonts w:ascii="Cambria" w:hAnsi="Cambria" w:cs="Calibri"/>
          <w:sz w:val="20"/>
          <w:szCs w:val="20"/>
          <w:lang w:val="es-ES"/>
        </w:rPr>
      </w:pPr>
    </w:p>
    <w:p w14:paraId="12046DF9" w14:textId="77777777" w:rsidR="000007A2" w:rsidRPr="00333497" w:rsidRDefault="000007A2" w:rsidP="0042403B">
      <w:pPr>
        <w:spacing w:after="0" w:line="240" w:lineRule="auto"/>
        <w:jc w:val="right"/>
        <w:rPr>
          <w:rFonts w:ascii="Cambria" w:hAnsi="Cambria" w:cs="Calibri"/>
          <w:sz w:val="20"/>
          <w:szCs w:val="20"/>
          <w:lang w:val="es-ES"/>
        </w:rPr>
      </w:pPr>
    </w:p>
    <w:p w14:paraId="4EFBA1CD" w14:textId="77777777" w:rsidR="00162CE1" w:rsidRPr="00333497" w:rsidRDefault="0042403B" w:rsidP="0042403B">
      <w:pPr>
        <w:spacing w:after="0" w:line="240" w:lineRule="auto"/>
        <w:jc w:val="both"/>
        <w:rPr>
          <w:rFonts w:ascii="Cambria" w:hAnsi="Cambria" w:cs="Calibri"/>
          <w:b/>
          <w:sz w:val="20"/>
          <w:szCs w:val="20"/>
          <w:lang w:val="es-ES"/>
        </w:rPr>
      </w:pPr>
      <w:r w:rsidRPr="00333497">
        <w:rPr>
          <w:rFonts w:ascii="Cambria" w:hAnsi="Cambria" w:cs="Calibri"/>
          <w:b/>
          <w:sz w:val="20"/>
          <w:szCs w:val="20"/>
          <w:lang w:val="es-ES"/>
        </w:rPr>
        <w:t>REF</w:t>
      </w:r>
      <w:r w:rsidR="00162CE1" w:rsidRPr="00333497">
        <w:rPr>
          <w:rFonts w:ascii="Cambria" w:hAnsi="Cambria" w:cs="Calibri"/>
          <w:b/>
          <w:sz w:val="20"/>
          <w:szCs w:val="20"/>
          <w:lang w:val="es-ES"/>
        </w:rPr>
        <w:t>.:</w:t>
      </w:r>
      <w:bookmarkStart w:id="0" w:name="Peticion_n"/>
      <w:bookmarkEnd w:id="0"/>
      <w:r w:rsidR="00A2631B" w:rsidRPr="00333497">
        <w:rPr>
          <w:rFonts w:ascii="Cambria" w:hAnsi="Cambria" w:cs="Calibri"/>
          <w:b/>
          <w:sz w:val="20"/>
          <w:szCs w:val="20"/>
          <w:lang w:val="es-ES"/>
        </w:rPr>
        <w:tab/>
        <w:t>Caso Nº</w:t>
      </w:r>
      <w:r w:rsidR="00162CE1" w:rsidRPr="00333497">
        <w:rPr>
          <w:rFonts w:ascii="Cambria" w:hAnsi="Cambria" w:cs="Calibri"/>
          <w:b/>
          <w:sz w:val="20"/>
          <w:szCs w:val="20"/>
          <w:lang w:val="es-ES"/>
        </w:rPr>
        <w:t xml:space="preserve"> </w:t>
      </w:r>
      <w:r w:rsidR="007A20BB">
        <w:rPr>
          <w:rFonts w:ascii="Cambria" w:hAnsi="Cambria" w:cs="Calibri"/>
          <w:b/>
          <w:sz w:val="20"/>
          <w:szCs w:val="20"/>
          <w:lang w:val="es-ES"/>
        </w:rPr>
        <w:t>12.268</w:t>
      </w:r>
    </w:p>
    <w:p w14:paraId="267B2617" w14:textId="77777777" w:rsidR="007A20BB" w:rsidRPr="007A20BB" w:rsidRDefault="007A20BB" w:rsidP="00DE2CA0">
      <w:pPr>
        <w:spacing w:after="0" w:line="240" w:lineRule="auto"/>
        <w:ind w:firstLine="720"/>
        <w:jc w:val="both"/>
        <w:rPr>
          <w:rFonts w:ascii="Cambria" w:hAnsi="Cambria" w:cs="Calibri"/>
          <w:b/>
          <w:sz w:val="20"/>
          <w:szCs w:val="20"/>
          <w:lang w:val="es-ES"/>
        </w:rPr>
      </w:pPr>
      <w:r w:rsidRPr="007A20BB">
        <w:rPr>
          <w:rFonts w:ascii="Cambria" w:hAnsi="Cambria" w:cs="Calibri"/>
          <w:b/>
          <w:sz w:val="20"/>
          <w:szCs w:val="20"/>
          <w:lang w:val="es-ES"/>
        </w:rPr>
        <w:t xml:space="preserve">Gonzalo </w:t>
      </w:r>
      <w:r w:rsidR="008C0E95">
        <w:rPr>
          <w:rFonts w:ascii="Cambria" w:hAnsi="Cambria" w:cs="Calibri"/>
          <w:b/>
          <w:sz w:val="20"/>
          <w:szCs w:val="20"/>
          <w:lang w:val="es-ES"/>
        </w:rPr>
        <w:t xml:space="preserve">Orlando </w:t>
      </w:r>
      <w:r w:rsidRPr="007A20BB">
        <w:rPr>
          <w:rFonts w:ascii="Cambria" w:hAnsi="Cambria" w:cs="Calibri"/>
          <w:b/>
          <w:sz w:val="20"/>
          <w:szCs w:val="20"/>
          <w:lang w:val="es-ES"/>
        </w:rPr>
        <w:t xml:space="preserve">Cortez Espinoza </w:t>
      </w:r>
    </w:p>
    <w:p w14:paraId="5D711A6B" w14:textId="77777777" w:rsidR="00DE2CA0" w:rsidRPr="00333497" w:rsidRDefault="007A20BB" w:rsidP="00DE2CA0">
      <w:pPr>
        <w:spacing w:after="0" w:line="240" w:lineRule="auto"/>
        <w:ind w:firstLine="720"/>
        <w:jc w:val="both"/>
        <w:rPr>
          <w:rFonts w:ascii="Cambria" w:hAnsi="Cambria"/>
          <w:b/>
          <w:sz w:val="20"/>
          <w:szCs w:val="20"/>
          <w:lang w:val="es-CO"/>
        </w:rPr>
      </w:pPr>
      <w:r>
        <w:rPr>
          <w:rFonts w:ascii="Cambria" w:hAnsi="Cambria"/>
          <w:b/>
          <w:sz w:val="20"/>
          <w:szCs w:val="20"/>
          <w:lang w:val="es-CO"/>
        </w:rPr>
        <w:t>Ecuador</w:t>
      </w:r>
    </w:p>
    <w:p w14:paraId="570F6172" w14:textId="77777777" w:rsidR="0042403B" w:rsidRPr="00333497" w:rsidRDefault="004A2758" w:rsidP="00DE2CA0">
      <w:pPr>
        <w:spacing w:after="0" w:line="240" w:lineRule="auto"/>
        <w:ind w:firstLine="720"/>
        <w:jc w:val="both"/>
        <w:rPr>
          <w:rFonts w:ascii="Cambria" w:hAnsi="Cambria" w:cs="Calibri"/>
          <w:b/>
          <w:sz w:val="20"/>
          <w:szCs w:val="20"/>
          <w:lang w:val="es-ES"/>
        </w:rPr>
      </w:pPr>
      <w:r w:rsidRPr="00333497">
        <w:rPr>
          <w:rFonts w:ascii="Cambria" w:hAnsi="Cambria" w:cs="Calibri"/>
          <w:b/>
          <w:sz w:val="20"/>
          <w:szCs w:val="20"/>
          <w:lang w:val="es-ES"/>
        </w:rPr>
        <w:tab/>
      </w:r>
    </w:p>
    <w:p w14:paraId="041A45CF" w14:textId="77777777" w:rsidR="000007A2" w:rsidRPr="00333497" w:rsidRDefault="000007A2" w:rsidP="0042403B">
      <w:pPr>
        <w:spacing w:after="0" w:line="240" w:lineRule="auto"/>
        <w:jc w:val="both"/>
        <w:rPr>
          <w:rFonts w:ascii="Cambria" w:hAnsi="Cambria" w:cs="Calibri"/>
          <w:b/>
          <w:sz w:val="20"/>
          <w:szCs w:val="20"/>
          <w:lang w:val="es-ES"/>
        </w:rPr>
      </w:pPr>
    </w:p>
    <w:p w14:paraId="7EF4BF2E" w14:textId="77777777" w:rsidR="00162CE1" w:rsidRPr="00333497" w:rsidRDefault="00162CE1" w:rsidP="0042403B">
      <w:pPr>
        <w:spacing w:after="0" w:line="240" w:lineRule="auto"/>
        <w:jc w:val="both"/>
        <w:rPr>
          <w:rFonts w:ascii="Cambria" w:hAnsi="Cambria" w:cs="Calibri"/>
          <w:sz w:val="20"/>
          <w:szCs w:val="20"/>
          <w:lang w:val="es-ES"/>
        </w:rPr>
      </w:pPr>
      <w:r w:rsidRPr="00333497">
        <w:rPr>
          <w:rFonts w:ascii="Cambria" w:hAnsi="Cambria" w:cs="Calibri"/>
          <w:sz w:val="20"/>
          <w:szCs w:val="20"/>
          <w:lang w:val="es-ES"/>
        </w:rPr>
        <w:t>Señor Secretario:</w:t>
      </w:r>
    </w:p>
    <w:p w14:paraId="0E5755A1" w14:textId="77777777" w:rsidR="00162CE1" w:rsidRPr="00333497" w:rsidRDefault="00162CE1" w:rsidP="0042403B">
      <w:pPr>
        <w:spacing w:after="0" w:line="240" w:lineRule="auto"/>
        <w:jc w:val="both"/>
        <w:rPr>
          <w:rFonts w:ascii="Cambria" w:hAnsi="Cambria" w:cs="Calibri"/>
          <w:sz w:val="20"/>
          <w:szCs w:val="20"/>
          <w:lang w:val="es-ES"/>
        </w:rPr>
      </w:pPr>
    </w:p>
    <w:p w14:paraId="477CB62A" w14:textId="77777777" w:rsidR="00206412" w:rsidRPr="00333497" w:rsidRDefault="00333497" w:rsidP="007A20BB">
      <w:pPr>
        <w:tabs>
          <w:tab w:val="left" w:pos="720"/>
          <w:tab w:val="num" w:pos="2040"/>
        </w:tabs>
        <w:spacing w:after="0" w:line="240" w:lineRule="auto"/>
        <w:jc w:val="both"/>
        <w:rPr>
          <w:rFonts w:ascii="Cambria" w:hAnsi="Cambria"/>
          <w:sz w:val="20"/>
          <w:szCs w:val="20"/>
          <w:lang w:val="es-ES_tradnl"/>
        </w:rPr>
      </w:pPr>
      <w:r>
        <w:rPr>
          <w:rFonts w:ascii="Cambria" w:hAnsi="Cambria" w:cs="Calibri"/>
          <w:sz w:val="20"/>
          <w:szCs w:val="20"/>
          <w:lang w:val="es-ES"/>
        </w:rPr>
        <w:tab/>
      </w:r>
      <w:r w:rsidR="00162CE1" w:rsidRPr="00333497">
        <w:rPr>
          <w:rFonts w:ascii="Cambria" w:hAnsi="Cambria" w:cs="Calibri"/>
          <w:sz w:val="20"/>
          <w:szCs w:val="20"/>
          <w:lang w:val="es-ES"/>
        </w:rPr>
        <w:t>Tengo el agrado de dirigirme a usted</w:t>
      </w:r>
      <w:r w:rsidR="0042403B" w:rsidRPr="00333497">
        <w:rPr>
          <w:rFonts w:ascii="Cambria" w:hAnsi="Cambria" w:cs="Calibri"/>
          <w:sz w:val="20"/>
          <w:szCs w:val="20"/>
          <w:lang w:val="es-ES"/>
        </w:rPr>
        <w:t>,</w:t>
      </w:r>
      <w:r w:rsidR="00162CE1" w:rsidRPr="00333497">
        <w:rPr>
          <w:rFonts w:ascii="Cambria" w:hAnsi="Cambria" w:cs="Calibri"/>
          <w:sz w:val="20"/>
          <w:szCs w:val="20"/>
          <w:lang w:val="es-ES"/>
        </w:rPr>
        <w:t xml:space="preserve"> en nombre de la Comisión Interamericana de Derechos Humanos</w:t>
      </w:r>
      <w:r w:rsidR="0042403B" w:rsidRPr="00333497">
        <w:rPr>
          <w:rFonts w:ascii="Cambria" w:hAnsi="Cambria" w:cs="Calibri"/>
          <w:sz w:val="20"/>
          <w:szCs w:val="20"/>
          <w:lang w:val="es-ES"/>
        </w:rPr>
        <w:t>,</w:t>
      </w:r>
      <w:r w:rsidR="00162CE1" w:rsidRPr="00333497">
        <w:rPr>
          <w:rFonts w:ascii="Cambria" w:hAnsi="Cambria" w:cs="Calibri"/>
          <w:sz w:val="20"/>
          <w:szCs w:val="20"/>
          <w:lang w:val="es-ES"/>
        </w:rPr>
        <w:t xml:space="preserve"> con el objeto de someter a la jurisdicción de la Honorable Corte Interame</w:t>
      </w:r>
      <w:r w:rsidR="009E433A" w:rsidRPr="00333497">
        <w:rPr>
          <w:rFonts w:ascii="Cambria" w:hAnsi="Cambria" w:cs="Calibri"/>
          <w:sz w:val="20"/>
          <w:szCs w:val="20"/>
          <w:lang w:val="es-ES"/>
        </w:rPr>
        <w:t>ricana de Derechos Humanos, el c</w:t>
      </w:r>
      <w:r w:rsidR="00162CE1" w:rsidRPr="00333497">
        <w:rPr>
          <w:rFonts w:ascii="Cambria" w:hAnsi="Cambria" w:cs="Calibri"/>
          <w:sz w:val="20"/>
          <w:szCs w:val="20"/>
          <w:lang w:val="es-ES"/>
        </w:rPr>
        <w:t xml:space="preserve">aso No. </w:t>
      </w:r>
      <w:bookmarkStart w:id="1" w:name="Peticion_n1"/>
      <w:bookmarkEnd w:id="1"/>
      <w:r w:rsidR="00DE2CA0" w:rsidRPr="00333497">
        <w:rPr>
          <w:rFonts w:ascii="Cambria" w:hAnsi="Cambria" w:cs="Calibri"/>
          <w:sz w:val="20"/>
          <w:szCs w:val="20"/>
          <w:lang w:val="es-ES"/>
        </w:rPr>
        <w:t>12.</w:t>
      </w:r>
      <w:r w:rsidRPr="00333497">
        <w:rPr>
          <w:rFonts w:ascii="Cambria" w:hAnsi="Cambria" w:cs="Calibri"/>
          <w:sz w:val="20"/>
          <w:szCs w:val="20"/>
          <w:lang w:val="es-ES"/>
        </w:rPr>
        <w:t>268</w:t>
      </w:r>
      <w:r w:rsidR="009E433A" w:rsidRPr="00333497">
        <w:rPr>
          <w:rFonts w:ascii="Cambria" w:hAnsi="Cambria" w:cs="Calibri"/>
          <w:sz w:val="20"/>
          <w:szCs w:val="20"/>
          <w:lang w:val="es-ES"/>
        </w:rPr>
        <w:t xml:space="preserve"> </w:t>
      </w:r>
      <w:r w:rsidR="00E31CFC" w:rsidRPr="00333497">
        <w:rPr>
          <w:rFonts w:ascii="Cambria" w:hAnsi="Cambria" w:cs="Calibri"/>
          <w:sz w:val="20"/>
          <w:szCs w:val="20"/>
          <w:lang w:val="es-ES"/>
        </w:rPr>
        <w:t>–</w:t>
      </w:r>
      <w:r w:rsidR="00162CE1" w:rsidRPr="00333497">
        <w:rPr>
          <w:rFonts w:ascii="Cambria" w:hAnsi="Cambria" w:cs="Calibri"/>
          <w:sz w:val="20"/>
          <w:szCs w:val="20"/>
          <w:lang w:val="es-ES"/>
        </w:rPr>
        <w:t xml:space="preserve"> </w:t>
      </w:r>
      <w:r w:rsidRPr="00333497">
        <w:rPr>
          <w:rFonts w:ascii="Cambria" w:hAnsi="Cambria"/>
          <w:sz w:val="20"/>
          <w:szCs w:val="20"/>
          <w:lang w:val="es-ES"/>
        </w:rPr>
        <w:t>Gonzalo</w:t>
      </w:r>
      <w:r w:rsidR="008C0E95">
        <w:rPr>
          <w:rFonts w:ascii="Cambria" w:hAnsi="Cambria"/>
          <w:sz w:val="20"/>
          <w:szCs w:val="20"/>
          <w:lang w:val="es-ES"/>
        </w:rPr>
        <w:t xml:space="preserve"> Orlando</w:t>
      </w:r>
      <w:r w:rsidRPr="00333497">
        <w:rPr>
          <w:rFonts w:ascii="Cambria" w:hAnsi="Cambria"/>
          <w:sz w:val="20"/>
          <w:szCs w:val="20"/>
          <w:lang w:val="es-ES"/>
        </w:rPr>
        <w:t xml:space="preserve"> Cortez Espinoza</w:t>
      </w:r>
      <w:r w:rsidR="006634BE" w:rsidRPr="00333497">
        <w:rPr>
          <w:rFonts w:ascii="Cambria" w:hAnsi="Cambria" w:cs="Calibri"/>
          <w:sz w:val="20"/>
          <w:szCs w:val="20"/>
          <w:lang w:val="es-ES"/>
        </w:rPr>
        <w:t>,</w:t>
      </w:r>
      <w:r w:rsidR="009E433A" w:rsidRPr="00333497">
        <w:rPr>
          <w:rFonts w:ascii="Cambria" w:hAnsi="Cambria" w:cs="Calibri"/>
          <w:sz w:val="20"/>
          <w:szCs w:val="20"/>
          <w:lang w:val="es-ES"/>
        </w:rPr>
        <w:t xml:space="preserve"> </w:t>
      </w:r>
      <w:r w:rsidR="00CB0139" w:rsidRPr="00333497">
        <w:rPr>
          <w:rFonts w:ascii="Cambria" w:hAnsi="Cambria" w:cs="Calibri"/>
          <w:sz w:val="20"/>
          <w:szCs w:val="20"/>
          <w:lang w:val="es-ES"/>
        </w:rPr>
        <w:t>de</w:t>
      </w:r>
      <w:r w:rsidR="004A2758" w:rsidRPr="00333497">
        <w:rPr>
          <w:rFonts w:ascii="Cambria" w:hAnsi="Cambria" w:cs="Calibri"/>
          <w:sz w:val="20"/>
          <w:szCs w:val="20"/>
          <w:lang w:val="es-ES"/>
        </w:rPr>
        <w:t xml:space="preserve"> </w:t>
      </w:r>
      <w:r w:rsidRPr="00333497">
        <w:rPr>
          <w:rFonts w:ascii="Cambria" w:hAnsi="Cambria" w:cs="Calibri"/>
          <w:sz w:val="20"/>
          <w:szCs w:val="20"/>
          <w:lang w:val="es-ES"/>
        </w:rPr>
        <w:t>la República de Ecuador</w:t>
      </w:r>
      <w:r w:rsidR="00162CE1" w:rsidRPr="00333497">
        <w:rPr>
          <w:rFonts w:ascii="Cambria" w:hAnsi="Cambria" w:cs="Calibri"/>
          <w:sz w:val="20"/>
          <w:szCs w:val="20"/>
          <w:lang w:val="es-ES"/>
        </w:rPr>
        <w:t xml:space="preserve"> (en adelante “el Estado”, “el Estado </w:t>
      </w:r>
      <w:r w:rsidRPr="00333497">
        <w:rPr>
          <w:rFonts w:ascii="Cambria" w:hAnsi="Cambria" w:cs="Calibri"/>
          <w:sz w:val="20"/>
          <w:szCs w:val="20"/>
          <w:lang w:val="es-ES"/>
        </w:rPr>
        <w:t>ecuatoriano</w:t>
      </w:r>
      <w:r w:rsidR="00162CE1" w:rsidRPr="00333497">
        <w:rPr>
          <w:rFonts w:ascii="Cambria" w:hAnsi="Cambria" w:cs="Calibri"/>
          <w:sz w:val="20"/>
          <w:szCs w:val="20"/>
          <w:lang w:val="es-ES"/>
        </w:rPr>
        <w:t>” o “</w:t>
      </w:r>
      <w:r w:rsidRPr="00333497">
        <w:rPr>
          <w:rFonts w:ascii="Cambria" w:hAnsi="Cambria" w:cs="Calibri"/>
          <w:sz w:val="20"/>
          <w:szCs w:val="20"/>
          <w:lang w:val="es-ES"/>
        </w:rPr>
        <w:t>Ecuador</w:t>
      </w:r>
      <w:r w:rsidR="00162CE1" w:rsidRPr="00333497">
        <w:rPr>
          <w:rFonts w:ascii="Cambria" w:hAnsi="Cambria" w:cs="Calibri"/>
          <w:sz w:val="20"/>
          <w:szCs w:val="20"/>
          <w:lang w:val="es-ES"/>
        </w:rPr>
        <w:t xml:space="preserve">”) relacionado con </w:t>
      </w:r>
      <w:r w:rsidR="007A20BB" w:rsidRPr="00333497">
        <w:rPr>
          <w:rFonts w:ascii="Cambria" w:hAnsi="Cambria"/>
          <w:sz w:val="20"/>
          <w:szCs w:val="20"/>
          <w:lang w:val="es-ES"/>
        </w:rPr>
        <w:t xml:space="preserve">la ilegalidad y arbitrariedad de tres detenciones </w:t>
      </w:r>
      <w:r w:rsidR="007A20BB">
        <w:rPr>
          <w:rFonts w:ascii="Cambria" w:hAnsi="Cambria"/>
          <w:sz w:val="20"/>
          <w:szCs w:val="20"/>
          <w:lang w:val="es-ES"/>
        </w:rPr>
        <w:t xml:space="preserve">llevadas a cabo </w:t>
      </w:r>
      <w:r w:rsidR="007A20BB" w:rsidRPr="00333497">
        <w:rPr>
          <w:rFonts w:ascii="Cambria" w:hAnsi="Cambria"/>
          <w:sz w:val="20"/>
          <w:szCs w:val="20"/>
          <w:lang w:val="es-ES"/>
        </w:rPr>
        <w:t xml:space="preserve">en contra </w:t>
      </w:r>
      <w:r w:rsidR="007A20BB">
        <w:rPr>
          <w:rFonts w:ascii="Cambria" w:hAnsi="Cambria"/>
          <w:sz w:val="20"/>
          <w:szCs w:val="20"/>
          <w:lang w:val="es-ES"/>
        </w:rPr>
        <w:t>de</w:t>
      </w:r>
      <w:r w:rsidR="008A143D">
        <w:rPr>
          <w:rFonts w:ascii="Cambria" w:hAnsi="Cambria"/>
          <w:sz w:val="20"/>
          <w:szCs w:val="20"/>
          <w:lang w:val="es-ES"/>
        </w:rPr>
        <w:t>l militar retirado</w:t>
      </w:r>
      <w:r w:rsidR="007A20BB">
        <w:rPr>
          <w:rFonts w:ascii="Cambria" w:hAnsi="Cambria"/>
          <w:sz w:val="20"/>
          <w:szCs w:val="20"/>
          <w:lang w:val="es-ES"/>
        </w:rPr>
        <w:t xml:space="preserve"> </w:t>
      </w:r>
      <w:r w:rsidR="007A20BB" w:rsidRPr="00333497">
        <w:rPr>
          <w:rFonts w:ascii="Cambria" w:hAnsi="Cambria"/>
          <w:sz w:val="20"/>
          <w:szCs w:val="20"/>
          <w:lang w:val="es-ES"/>
        </w:rPr>
        <w:t>Gonzalo Cortez Espinoza en 1997 y 2000, afectaciones a su integridad física y vulneraciones al debido proceso en el marco de un proceso penal que se le siguió por “infracciones contra la propiedad”.</w:t>
      </w:r>
    </w:p>
    <w:p w14:paraId="16653756" w14:textId="77777777" w:rsidR="00206412" w:rsidRPr="00333497" w:rsidRDefault="00206412" w:rsidP="00206412">
      <w:pPr>
        <w:tabs>
          <w:tab w:val="num" w:pos="2040"/>
        </w:tabs>
        <w:spacing w:after="0" w:line="240" w:lineRule="auto"/>
        <w:jc w:val="both"/>
        <w:rPr>
          <w:rFonts w:ascii="Cambria" w:hAnsi="Cambria"/>
          <w:sz w:val="20"/>
          <w:szCs w:val="20"/>
          <w:lang w:val="es-ES_tradnl"/>
        </w:rPr>
      </w:pPr>
    </w:p>
    <w:p w14:paraId="44089C0F" w14:textId="77777777" w:rsidR="00333497" w:rsidRPr="00333497" w:rsidRDefault="007A20BB" w:rsidP="00333497">
      <w:pPr>
        <w:pBdr>
          <w:top w:val="nil"/>
          <w:left w:val="nil"/>
          <w:bottom w:val="nil"/>
          <w:right w:val="nil"/>
          <w:between w:val="nil"/>
          <w:bar w:val="nil"/>
        </w:pBdr>
        <w:tabs>
          <w:tab w:val="left" w:pos="540"/>
        </w:tabs>
        <w:spacing w:after="0" w:line="240" w:lineRule="auto"/>
        <w:jc w:val="both"/>
        <w:rPr>
          <w:rFonts w:ascii="Cambria" w:hAnsi="Cambria"/>
          <w:sz w:val="20"/>
          <w:szCs w:val="20"/>
          <w:lang w:val="es-ES"/>
        </w:rPr>
      </w:pPr>
      <w:r>
        <w:rPr>
          <w:rFonts w:ascii="Cambria" w:hAnsi="Cambria"/>
          <w:sz w:val="20"/>
          <w:szCs w:val="20"/>
          <w:lang w:val="es-ES"/>
        </w:rPr>
        <w:tab/>
        <w:t>En su Informe de Fondo l</w:t>
      </w:r>
      <w:r w:rsidR="00333497" w:rsidRPr="00333497">
        <w:rPr>
          <w:rFonts w:ascii="Cambria" w:hAnsi="Cambria"/>
          <w:sz w:val="20"/>
          <w:szCs w:val="20"/>
          <w:lang w:val="es-ES"/>
        </w:rPr>
        <w:t xml:space="preserve">a Comisión </w:t>
      </w:r>
      <w:r>
        <w:rPr>
          <w:rFonts w:ascii="Cambria" w:hAnsi="Cambria"/>
          <w:sz w:val="20"/>
          <w:szCs w:val="20"/>
          <w:lang w:val="es-ES"/>
        </w:rPr>
        <w:t>determinó</w:t>
      </w:r>
      <w:r w:rsidR="00333497" w:rsidRPr="00333497">
        <w:rPr>
          <w:rFonts w:ascii="Cambria" w:hAnsi="Cambria"/>
          <w:sz w:val="20"/>
          <w:szCs w:val="20"/>
          <w:lang w:val="es-ES"/>
        </w:rPr>
        <w:t xml:space="preserve"> que la primera detención fue ilegal en tanto el Estado no explicó las razones por las cuales la Fiscalía Militar tenía competencia para emitir la orden de arresto del señor Cortez, especialmente tomando en cuenta su calidad de militar retirado. En cuento a la segunda y tercera detención, la CIDH consideró que éstas también fueron ilegales en tanto no se le exhibió una orden de detención y no fue informado de los motivos de su detención. La Comisión también identificó que el señor Cortez estuvo bajo detención preventiva entre el 30 de julio y el 19 de diciembre de 1997, y entre el 28 de febrero y el 11 de mayo de 2000. La CIDH concluyó que ninguna de estas detenciones preventivas contó con una motivación individualizada sobre los fines procesales que se pretendían perseguir. La Comisión identificó que se desprende que la fundamentación de las mismas fue la existencia de indicios de responsabilidad. En consecuencia, la Comisión concluyó que ambas detenciones preventivas fueron arbitrarias. </w:t>
      </w:r>
    </w:p>
    <w:p w14:paraId="1957BFAC" w14:textId="77777777" w:rsidR="00333497" w:rsidRPr="00333497" w:rsidRDefault="00333497" w:rsidP="00333497">
      <w:pPr>
        <w:pBdr>
          <w:top w:val="nil"/>
          <w:left w:val="nil"/>
          <w:bottom w:val="nil"/>
          <w:right w:val="nil"/>
          <w:between w:val="nil"/>
          <w:bar w:val="nil"/>
        </w:pBdr>
        <w:tabs>
          <w:tab w:val="left" w:pos="540"/>
        </w:tabs>
        <w:spacing w:after="0" w:line="240" w:lineRule="auto"/>
        <w:jc w:val="both"/>
        <w:rPr>
          <w:rFonts w:ascii="Cambria" w:hAnsi="Cambria"/>
          <w:sz w:val="20"/>
          <w:szCs w:val="20"/>
          <w:lang w:val="es-ES"/>
        </w:rPr>
      </w:pPr>
    </w:p>
    <w:p w14:paraId="5660E341" w14:textId="77777777" w:rsidR="00333497" w:rsidRPr="00333497" w:rsidRDefault="008A143D" w:rsidP="00333497">
      <w:pPr>
        <w:pBdr>
          <w:top w:val="nil"/>
          <w:left w:val="nil"/>
          <w:bottom w:val="nil"/>
          <w:right w:val="nil"/>
          <w:between w:val="nil"/>
          <w:bar w:val="nil"/>
        </w:pBdr>
        <w:tabs>
          <w:tab w:val="left" w:pos="540"/>
        </w:tabs>
        <w:spacing w:after="0" w:line="240" w:lineRule="auto"/>
        <w:jc w:val="both"/>
        <w:rPr>
          <w:rFonts w:ascii="Cambria" w:hAnsi="Cambria"/>
          <w:sz w:val="20"/>
          <w:szCs w:val="20"/>
          <w:lang w:val="es-ES"/>
        </w:rPr>
      </w:pPr>
      <w:r>
        <w:rPr>
          <w:rFonts w:ascii="Cambria" w:hAnsi="Cambria"/>
          <w:sz w:val="20"/>
          <w:szCs w:val="20"/>
          <w:lang w:val="es-ES"/>
        </w:rPr>
        <w:tab/>
      </w:r>
      <w:r w:rsidR="00333497" w:rsidRPr="00333497">
        <w:rPr>
          <w:rFonts w:ascii="Cambria" w:hAnsi="Cambria"/>
          <w:sz w:val="20"/>
          <w:szCs w:val="20"/>
          <w:lang w:val="es-ES"/>
        </w:rPr>
        <w:t>Asimismo, en relación con la detención que inicio en julio de 1997, la Comisión observó que el señor Cortez no interpuso un recurso de habeas corpus. Sin embargo, la Comisión recordó que, conforme a la legislación vigente al momento de los hechos, tal recurso debía interponerse ante el Alcalde. Al respecto, la CIDH resaltó que un hábeas corpus ante una autoridad administrativa no constituye un recurso efectivo bajo los estándares de la Convención Americana. En consecuencia, la CIDH consideró que el señor Cortez no contó con la posibilidad de interponer un recurso judicial que cumpliera con las características requeridas por la Convención Americana para revisar la legalidad de la detención. Respecto de la detención de 28 de febrero de 2000, la Comisión observó que, si bien el señor Cortez fue liberado el 11 de mayo del mismo año como consecuencia de una decisión del Tribunal Constitucional, esto ocurrió tras haber interpuesto dos recursos de habeas corpus rechazados por el Alcalde y más de dos meses después de la detención. En ese sentido, la Comisión concluyó que el recurso de habeas corpus respecto de la detención del año 2000 no cumplió con los estándares de sencillez y rapidez.</w:t>
      </w:r>
    </w:p>
    <w:p w14:paraId="5DFB102D" w14:textId="77777777" w:rsidR="00333497" w:rsidRDefault="00333497" w:rsidP="00333497">
      <w:pPr>
        <w:tabs>
          <w:tab w:val="left" w:pos="1170"/>
        </w:tabs>
        <w:autoSpaceDE w:val="0"/>
        <w:autoSpaceDN w:val="0"/>
        <w:adjustRightInd w:val="0"/>
        <w:jc w:val="both"/>
        <w:rPr>
          <w:rFonts w:ascii="Cambria" w:eastAsia="MS Mincho" w:hAnsi="Cambria"/>
          <w:sz w:val="20"/>
          <w:szCs w:val="20"/>
          <w:lang w:val="es-ES"/>
        </w:rPr>
      </w:pPr>
    </w:p>
    <w:p w14:paraId="03A866D8" w14:textId="77777777" w:rsidR="007A20BB" w:rsidRDefault="007A20BB" w:rsidP="00333497">
      <w:pPr>
        <w:tabs>
          <w:tab w:val="left" w:pos="1170"/>
        </w:tabs>
        <w:autoSpaceDE w:val="0"/>
        <w:autoSpaceDN w:val="0"/>
        <w:adjustRightInd w:val="0"/>
        <w:jc w:val="both"/>
        <w:rPr>
          <w:rFonts w:ascii="Cambria" w:eastAsia="MS Mincho" w:hAnsi="Cambria"/>
          <w:sz w:val="20"/>
          <w:szCs w:val="20"/>
          <w:lang w:val="es-ES"/>
        </w:rPr>
      </w:pPr>
    </w:p>
    <w:p w14:paraId="6E7E0D6F" w14:textId="77777777" w:rsidR="007A20BB" w:rsidRPr="00333497" w:rsidRDefault="007A20BB" w:rsidP="007A20BB">
      <w:pPr>
        <w:spacing w:after="0" w:line="240" w:lineRule="auto"/>
        <w:jc w:val="both"/>
        <w:rPr>
          <w:rFonts w:ascii="Cambria" w:hAnsi="Cambria" w:cs="Calibri"/>
          <w:sz w:val="20"/>
          <w:szCs w:val="20"/>
          <w:lang w:val="es-ES"/>
        </w:rPr>
      </w:pPr>
      <w:r w:rsidRPr="00333497">
        <w:rPr>
          <w:rFonts w:ascii="Cambria" w:hAnsi="Cambria" w:cs="Calibri"/>
          <w:sz w:val="20"/>
          <w:szCs w:val="20"/>
          <w:lang w:val="es-ES"/>
        </w:rPr>
        <w:t>Señor</w:t>
      </w:r>
    </w:p>
    <w:p w14:paraId="74D65887" w14:textId="77777777" w:rsidR="007A20BB" w:rsidRPr="00333497" w:rsidRDefault="007A20BB" w:rsidP="007A20BB">
      <w:pPr>
        <w:spacing w:after="0" w:line="240" w:lineRule="auto"/>
        <w:jc w:val="both"/>
        <w:rPr>
          <w:rFonts w:ascii="Cambria" w:hAnsi="Cambria" w:cs="Calibri"/>
          <w:sz w:val="20"/>
          <w:szCs w:val="20"/>
          <w:lang w:val="es-ES"/>
        </w:rPr>
      </w:pPr>
      <w:r w:rsidRPr="00333497">
        <w:rPr>
          <w:rFonts w:ascii="Cambria" w:hAnsi="Cambria" w:cs="Calibri"/>
          <w:sz w:val="20"/>
          <w:szCs w:val="20"/>
          <w:lang w:val="es-ES"/>
        </w:rPr>
        <w:t>Pablo Saavedra Alessandri</w:t>
      </w:r>
    </w:p>
    <w:p w14:paraId="5E0F20F6" w14:textId="77777777" w:rsidR="007A20BB" w:rsidRPr="00333497" w:rsidRDefault="007A20BB" w:rsidP="007A20BB">
      <w:pPr>
        <w:spacing w:after="0" w:line="240" w:lineRule="auto"/>
        <w:jc w:val="both"/>
        <w:rPr>
          <w:rFonts w:ascii="Cambria" w:hAnsi="Cambria" w:cs="Calibri"/>
          <w:sz w:val="20"/>
          <w:szCs w:val="20"/>
          <w:lang w:val="es-ES"/>
        </w:rPr>
      </w:pPr>
      <w:r w:rsidRPr="00333497">
        <w:rPr>
          <w:rFonts w:ascii="Cambria" w:hAnsi="Cambria" w:cs="Calibri"/>
          <w:sz w:val="20"/>
          <w:szCs w:val="20"/>
          <w:lang w:val="es-ES"/>
        </w:rPr>
        <w:t>Secretario</w:t>
      </w:r>
    </w:p>
    <w:p w14:paraId="05706931" w14:textId="77777777" w:rsidR="007A20BB" w:rsidRPr="00333497" w:rsidRDefault="007A20BB" w:rsidP="007A20BB">
      <w:pPr>
        <w:spacing w:after="0" w:line="240" w:lineRule="auto"/>
        <w:jc w:val="both"/>
        <w:rPr>
          <w:rFonts w:ascii="Cambria" w:hAnsi="Cambria" w:cs="Calibri"/>
          <w:sz w:val="20"/>
          <w:szCs w:val="20"/>
          <w:lang w:val="es-ES"/>
        </w:rPr>
      </w:pPr>
      <w:r w:rsidRPr="00333497">
        <w:rPr>
          <w:rFonts w:ascii="Cambria" w:hAnsi="Cambria" w:cs="Calibri"/>
          <w:sz w:val="20"/>
          <w:szCs w:val="20"/>
          <w:lang w:val="es-ES"/>
        </w:rPr>
        <w:t>Corte Interamericana de Derechos Humanos</w:t>
      </w:r>
    </w:p>
    <w:p w14:paraId="44803EE3" w14:textId="77777777" w:rsidR="007A20BB" w:rsidRPr="00333497" w:rsidRDefault="007A20BB" w:rsidP="007A20BB">
      <w:pPr>
        <w:spacing w:after="0" w:line="240" w:lineRule="auto"/>
        <w:jc w:val="both"/>
        <w:rPr>
          <w:rFonts w:ascii="Cambria" w:hAnsi="Cambria" w:cs="Calibri"/>
          <w:sz w:val="20"/>
          <w:szCs w:val="20"/>
          <w:lang w:val="es-ES"/>
        </w:rPr>
      </w:pPr>
      <w:r w:rsidRPr="00333497">
        <w:rPr>
          <w:rFonts w:ascii="Cambria" w:hAnsi="Cambria" w:cs="Calibri"/>
          <w:sz w:val="20"/>
          <w:szCs w:val="20"/>
          <w:lang w:val="es-ES"/>
        </w:rPr>
        <w:t>San José, Costa Rica</w:t>
      </w:r>
    </w:p>
    <w:p w14:paraId="06F96C40" w14:textId="77777777" w:rsidR="007A20BB" w:rsidRDefault="007A20BB" w:rsidP="00333497">
      <w:pPr>
        <w:tabs>
          <w:tab w:val="left" w:pos="1170"/>
        </w:tabs>
        <w:autoSpaceDE w:val="0"/>
        <w:autoSpaceDN w:val="0"/>
        <w:adjustRightInd w:val="0"/>
        <w:jc w:val="both"/>
        <w:rPr>
          <w:rFonts w:ascii="Cambria" w:eastAsia="MS Mincho" w:hAnsi="Cambria"/>
          <w:sz w:val="20"/>
          <w:szCs w:val="20"/>
          <w:lang w:val="es-ES"/>
        </w:rPr>
      </w:pPr>
    </w:p>
    <w:p w14:paraId="29BA884D" w14:textId="77777777" w:rsidR="008A143D" w:rsidRDefault="008A143D" w:rsidP="008A143D">
      <w:pPr>
        <w:pStyle w:val="Sangradetextonormal"/>
        <w:tabs>
          <w:tab w:val="left" w:pos="720"/>
          <w:tab w:val="left" w:pos="2880"/>
        </w:tabs>
        <w:spacing w:after="0" w:line="240" w:lineRule="auto"/>
        <w:ind w:left="0"/>
        <w:jc w:val="both"/>
        <w:rPr>
          <w:rFonts w:ascii="Cambria" w:hAnsi="Cambria"/>
          <w:sz w:val="20"/>
          <w:szCs w:val="20"/>
          <w:lang w:val="es-ES"/>
        </w:rPr>
      </w:pPr>
      <w:r>
        <w:rPr>
          <w:rFonts w:ascii="Cambria" w:hAnsi="Cambria"/>
          <w:sz w:val="20"/>
          <w:szCs w:val="20"/>
          <w:lang w:val="es-ES"/>
        </w:rPr>
        <w:lastRenderedPageBreak/>
        <w:tab/>
      </w:r>
      <w:r w:rsidR="00333497" w:rsidRPr="00333497">
        <w:rPr>
          <w:rFonts w:ascii="Cambria" w:hAnsi="Cambria"/>
          <w:sz w:val="20"/>
          <w:szCs w:val="20"/>
          <w:lang w:val="es-ES"/>
        </w:rPr>
        <w:t>Adicionalmente, la Comisión dio por establecida la incomunicación durante 19 días que sufrió el señor Cortez mientras estaba privado de libertad. La CIDH consideró que ello resultó violatorio del derecho a la integridad personal y constituyó una amenaza de que se cometan otras violaciones de derechos humanos en situación de total indefensión, tales como los maltratos alegados por el señor Cortez. En ese sentido, aunque no resultó posible establecer en detalle los maltratos sufridos por la víctima, la CIDH consideró que la situación de incomunicación y la exposición a maltratos adicionales sin control judicial alguno por un periodo como el descrito constituyó una afectación a la integridad personal.</w:t>
      </w:r>
    </w:p>
    <w:p w14:paraId="740BBC86" w14:textId="77777777" w:rsidR="008A143D" w:rsidRDefault="008A143D" w:rsidP="008A143D">
      <w:pPr>
        <w:pStyle w:val="Sangradetextonormal"/>
        <w:tabs>
          <w:tab w:val="left" w:pos="720"/>
          <w:tab w:val="left" w:pos="2880"/>
        </w:tabs>
        <w:spacing w:after="0" w:line="240" w:lineRule="auto"/>
        <w:ind w:left="0"/>
        <w:jc w:val="both"/>
        <w:rPr>
          <w:rFonts w:ascii="Cambria" w:hAnsi="Cambria"/>
          <w:sz w:val="20"/>
          <w:szCs w:val="20"/>
          <w:lang w:val="es-ES"/>
        </w:rPr>
      </w:pPr>
    </w:p>
    <w:p w14:paraId="014C569F" w14:textId="77777777" w:rsidR="008A143D" w:rsidRDefault="008A143D" w:rsidP="008A143D">
      <w:pPr>
        <w:pStyle w:val="Sangradetextonormal"/>
        <w:tabs>
          <w:tab w:val="left" w:pos="360"/>
          <w:tab w:val="left" w:pos="720"/>
          <w:tab w:val="left" w:pos="2880"/>
        </w:tabs>
        <w:spacing w:after="0" w:line="240" w:lineRule="auto"/>
        <w:ind w:left="0"/>
        <w:jc w:val="both"/>
        <w:rPr>
          <w:rFonts w:ascii="Cambria" w:hAnsi="Cambria" w:cs="TimesNewRoman"/>
          <w:sz w:val="20"/>
          <w:szCs w:val="20"/>
          <w:lang w:val="es-ES" w:eastAsia="es-ES_tradnl"/>
        </w:rPr>
      </w:pPr>
      <w:r>
        <w:rPr>
          <w:rFonts w:ascii="Cambria" w:hAnsi="Cambria"/>
          <w:sz w:val="20"/>
          <w:szCs w:val="20"/>
          <w:lang w:val="es-ES"/>
        </w:rPr>
        <w:tab/>
      </w:r>
      <w:r>
        <w:rPr>
          <w:rFonts w:ascii="Cambria" w:hAnsi="Cambria"/>
          <w:sz w:val="20"/>
          <w:szCs w:val="20"/>
          <w:lang w:val="es-ES"/>
        </w:rPr>
        <w:tab/>
      </w:r>
      <w:r w:rsidR="00333497" w:rsidRPr="00333497">
        <w:rPr>
          <w:rFonts w:ascii="Cambria" w:hAnsi="Cambria"/>
          <w:sz w:val="20"/>
          <w:szCs w:val="20"/>
          <w:lang w:val="es-ES"/>
        </w:rPr>
        <w:t xml:space="preserve">La Comisión identificó las siguientes vulneraciones a las garantías judiciales y protección judicial cometidas por el Estado en el marco del proceso penal seguido en contra del señor Cortez: i) violación del derecho a ser juzgado por autoridad competente en tanto el señor Cortez fue juzgado por la justicia penal militar durante dos años y nueve meses, no obstante era un militar retirado; ii) violación del derecho de defensa en tanto las declaraciones indagatorias del señor Cortez se realizaron sin defensa técnica y sin conocer los cargos que se le imputaban; iii) violación del principio de presunción de inocencia en tanto el Estado no fundamentó sobre las razones con base en las cuales era procedente continuar el proceso penal en contra del señor Cortez y no dar lugar a la solicitud de sobreseimiento incluida en el dictamen de la parte acusadora; y iv) violación del plazo razonable debido a la duración </w:t>
      </w:r>
      <w:r w:rsidR="00333497" w:rsidRPr="00333497">
        <w:rPr>
          <w:rFonts w:ascii="Cambria" w:hAnsi="Cambria" w:cs="TimesNewRoman"/>
          <w:sz w:val="20"/>
          <w:szCs w:val="20"/>
          <w:lang w:val="es-ES" w:eastAsia="es-ES_tradnl"/>
        </w:rPr>
        <w:t>12 años y seis meses del proceso penal.</w:t>
      </w:r>
    </w:p>
    <w:p w14:paraId="68A3C1A4" w14:textId="77777777" w:rsidR="008A143D" w:rsidRDefault="008A143D" w:rsidP="008A143D">
      <w:pPr>
        <w:pStyle w:val="Sangradetextonormal"/>
        <w:tabs>
          <w:tab w:val="left" w:pos="360"/>
          <w:tab w:val="left" w:pos="720"/>
          <w:tab w:val="left" w:pos="2880"/>
        </w:tabs>
        <w:spacing w:after="0" w:line="240" w:lineRule="auto"/>
        <w:ind w:left="0"/>
        <w:jc w:val="both"/>
        <w:rPr>
          <w:rFonts w:ascii="Cambria" w:hAnsi="Cambria" w:cs="TimesNewRoman"/>
          <w:sz w:val="20"/>
          <w:szCs w:val="20"/>
          <w:lang w:val="es-ES" w:eastAsia="es-ES_tradnl"/>
        </w:rPr>
      </w:pPr>
    </w:p>
    <w:p w14:paraId="6D488D0A" w14:textId="77777777" w:rsidR="00333497" w:rsidRPr="008A143D" w:rsidRDefault="008A143D" w:rsidP="008A143D">
      <w:pPr>
        <w:pStyle w:val="Sangradetextonormal"/>
        <w:tabs>
          <w:tab w:val="left" w:pos="360"/>
          <w:tab w:val="left" w:pos="720"/>
          <w:tab w:val="left" w:pos="2880"/>
        </w:tabs>
        <w:spacing w:after="0" w:line="240" w:lineRule="auto"/>
        <w:ind w:left="0"/>
        <w:jc w:val="both"/>
        <w:rPr>
          <w:rFonts w:ascii="Cambria" w:hAnsi="Cambria" w:cs="TimesNewRoman"/>
          <w:sz w:val="20"/>
          <w:szCs w:val="20"/>
          <w:lang w:val="es-ES" w:eastAsia="es-ES_tradnl"/>
        </w:rPr>
      </w:pPr>
      <w:r>
        <w:rPr>
          <w:rFonts w:ascii="Cambria" w:hAnsi="Cambria" w:cs="TimesNewRoman"/>
          <w:sz w:val="20"/>
          <w:szCs w:val="20"/>
          <w:lang w:val="es-ES" w:eastAsia="es-ES_tradnl"/>
        </w:rPr>
        <w:tab/>
      </w:r>
      <w:r>
        <w:rPr>
          <w:rFonts w:ascii="Cambria" w:hAnsi="Cambria" w:cs="TimesNewRoman"/>
          <w:sz w:val="20"/>
          <w:szCs w:val="20"/>
          <w:lang w:val="es-ES" w:eastAsia="es-ES_tradnl"/>
        </w:rPr>
        <w:tab/>
      </w:r>
      <w:r w:rsidR="00333497" w:rsidRPr="00333497">
        <w:rPr>
          <w:rFonts w:ascii="Cambria" w:hAnsi="Cambria" w:cs="TimesNewRoman"/>
          <w:sz w:val="20"/>
          <w:szCs w:val="20"/>
          <w:lang w:val="es-ES" w:eastAsia="es-ES_tradnl"/>
        </w:rPr>
        <w:t xml:space="preserve">Finalmente, la Comisión concluyó que el Estado vulneró el derecho a la propiedad privada del señor Cortez debido al pago de una fianza </w:t>
      </w:r>
      <w:r w:rsidR="00333497" w:rsidRPr="00333497">
        <w:rPr>
          <w:rFonts w:ascii="Cambria" w:hAnsi="Cambria"/>
          <w:sz w:val="20"/>
          <w:szCs w:val="20"/>
          <w:lang w:val="es-ES"/>
        </w:rPr>
        <w:t>de 1500 dólares estadounidenses a efectos de obtener su libertad. La Comisión consideró que ya estableció que i) la detención dictada en dicha oportunidad fue arbitraria y constituyó una violación a la presunción de inocencia por no basarse en fines procesales; y ii) que el señor Cortez no debió ser procesado en la jurisdicción penal militar, por lo que todas las decisiones adoptadas en el marco de dicha jurisdicción que afectaron sus derechos, deben entenderse inconvencionales.</w:t>
      </w:r>
    </w:p>
    <w:p w14:paraId="1357A37C" w14:textId="77777777" w:rsidR="00E26CD9" w:rsidRPr="00333497" w:rsidRDefault="00E26CD9" w:rsidP="00E26CD9">
      <w:pPr>
        <w:pBdr>
          <w:top w:val="nil"/>
          <w:left w:val="nil"/>
          <w:bottom w:val="nil"/>
          <w:right w:val="nil"/>
          <w:between w:val="nil"/>
          <w:bar w:val="nil"/>
        </w:pBdr>
        <w:tabs>
          <w:tab w:val="left" w:pos="567"/>
        </w:tabs>
        <w:spacing w:after="0" w:line="240" w:lineRule="auto"/>
        <w:jc w:val="both"/>
        <w:rPr>
          <w:rFonts w:ascii="Cambria" w:eastAsia="Times New Roman" w:hAnsi="Cambria"/>
          <w:sz w:val="20"/>
          <w:szCs w:val="20"/>
          <w:lang w:val="es-ES" w:eastAsia="es-ES"/>
        </w:rPr>
      </w:pPr>
    </w:p>
    <w:p w14:paraId="2427806C" w14:textId="77777777" w:rsidR="004C11AF" w:rsidRPr="00333497" w:rsidRDefault="00E26CD9" w:rsidP="008A143D">
      <w:pPr>
        <w:pBdr>
          <w:top w:val="nil"/>
          <w:left w:val="nil"/>
          <w:bottom w:val="nil"/>
          <w:right w:val="nil"/>
          <w:between w:val="nil"/>
          <w:bar w:val="nil"/>
        </w:pBdr>
        <w:tabs>
          <w:tab w:val="left" w:pos="567"/>
        </w:tabs>
        <w:spacing w:after="0" w:line="240" w:lineRule="auto"/>
        <w:jc w:val="both"/>
        <w:rPr>
          <w:rFonts w:ascii="Cambria" w:hAnsi="Cambria"/>
          <w:sz w:val="20"/>
          <w:szCs w:val="20"/>
          <w:lang w:val="es-PE"/>
        </w:rPr>
      </w:pPr>
      <w:r w:rsidRPr="00333497">
        <w:rPr>
          <w:rFonts w:ascii="Cambria" w:eastAsia="Times New Roman" w:hAnsi="Cambria"/>
          <w:sz w:val="20"/>
          <w:szCs w:val="20"/>
          <w:lang w:val="es-VE" w:eastAsia="es-ES"/>
        </w:rPr>
        <w:tab/>
      </w:r>
      <w:r w:rsidRPr="00333497">
        <w:rPr>
          <w:rFonts w:ascii="Cambria" w:eastAsia="Times New Roman" w:hAnsi="Cambria"/>
          <w:sz w:val="20"/>
          <w:szCs w:val="20"/>
          <w:lang w:val="es-VE" w:eastAsia="es-ES"/>
        </w:rPr>
        <w:tab/>
      </w:r>
      <w:r w:rsidR="008A143D" w:rsidRPr="00496EBF">
        <w:rPr>
          <w:rFonts w:ascii="Cambria" w:hAnsi="Cambria" w:cs="Arial"/>
          <w:sz w:val="20"/>
          <w:szCs w:val="20"/>
          <w:lang w:val="es-ES"/>
        </w:rPr>
        <w:t>El Estado de Ecuador ratificó la Convención Americana sobre Derechos Humanos el 28 de diciembre de 1977 y aceptó la competencia contenciosa de la Corte el 24 de julio de 1984.</w:t>
      </w:r>
    </w:p>
    <w:p w14:paraId="1A7687CD" w14:textId="77777777" w:rsidR="00387D83" w:rsidRPr="00333497" w:rsidRDefault="00387D83" w:rsidP="00157476">
      <w:pPr>
        <w:tabs>
          <w:tab w:val="left" w:pos="720"/>
          <w:tab w:val="left" w:pos="1440"/>
        </w:tabs>
        <w:spacing w:after="0" w:line="240" w:lineRule="auto"/>
        <w:jc w:val="both"/>
        <w:rPr>
          <w:rFonts w:ascii="Cambria" w:hAnsi="Cambria" w:cs="Calibri"/>
          <w:sz w:val="20"/>
          <w:szCs w:val="20"/>
          <w:lang w:val="es-PE"/>
        </w:rPr>
      </w:pPr>
    </w:p>
    <w:p w14:paraId="504491C6" w14:textId="77777777" w:rsidR="00560F49" w:rsidRPr="00333497" w:rsidRDefault="00560F49" w:rsidP="00560F49">
      <w:pPr>
        <w:spacing w:after="0" w:line="240" w:lineRule="auto"/>
        <w:ind w:firstLine="720"/>
        <w:jc w:val="both"/>
        <w:rPr>
          <w:rFonts w:ascii="Cambria" w:hAnsi="Cambria" w:cs="Calibri"/>
          <w:sz w:val="20"/>
          <w:szCs w:val="20"/>
          <w:lang w:val="es-ES"/>
        </w:rPr>
      </w:pPr>
      <w:r w:rsidRPr="00333497">
        <w:rPr>
          <w:rFonts w:ascii="Cambria" w:hAnsi="Cambria" w:cs="Calibri"/>
          <w:sz w:val="20"/>
          <w:szCs w:val="20"/>
          <w:lang w:val="es-ES"/>
        </w:rPr>
        <w:t xml:space="preserve">La Comisión ha designado </w:t>
      </w:r>
      <w:r w:rsidR="00170E12" w:rsidRPr="00333497">
        <w:rPr>
          <w:rFonts w:ascii="Cambria" w:hAnsi="Cambria" w:cs="Calibri"/>
          <w:sz w:val="20"/>
          <w:szCs w:val="20"/>
          <w:lang w:val="es-ES"/>
        </w:rPr>
        <w:t>a</w:t>
      </w:r>
      <w:r w:rsidR="00A77918" w:rsidRPr="00333497">
        <w:rPr>
          <w:rFonts w:ascii="Cambria" w:hAnsi="Cambria" w:cs="Calibri"/>
          <w:sz w:val="20"/>
          <w:szCs w:val="20"/>
          <w:lang w:val="es-ES"/>
        </w:rPr>
        <w:t xml:space="preserve"> </w:t>
      </w:r>
      <w:r w:rsidR="00E7198B" w:rsidRPr="00333497">
        <w:rPr>
          <w:rFonts w:ascii="Cambria" w:hAnsi="Cambria" w:cs="Calibri"/>
          <w:sz w:val="20"/>
          <w:szCs w:val="20"/>
          <w:lang w:val="es-ES"/>
        </w:rPr>
        <w:t>l</w:t>
      </w:r>
      <w:r w:rsidR="00A77918" w:rsidRPr="00333497">
        <w:rPr>
          <w:rFonts w:ascii="Cambria" w:hAnsi="Cambria" w:cs="Calibri"/>
          <w:sz w:val="20"/>
          <w:szCs w:val="20"/>
          <w:lang w:val="es-ES"/>
        </w:rPr>
        <w:t>a Comisionada</w:t>
      </w:r>
      <w:r w:rsidR="007940B2" w:rsidRPr="00333497">
        <w:rPr>
          <w:rFonts w:ascii="Cambria" w:hAnsi="Cambria" w:cs="Calibri"/>
          <w:sz w:val="20"/>
          <w:szCs w:val="20"/>
          <w:lang w:val="es-ES"/>
        </w:rPr>
        <w:t xml:space="preserve"> </w:t>
      </w:r>
      <w:r w:rsidR="008A143D">
        <w:rPr>
          <w:rFonts w:ascii="Cambria" w:hAnsi="Cambria" w:cs="Calibri"/>
          <w:sz w:val="20"/>
          <w:szCs w:val="20"/>
          <w:lang w:val="es-ES"/>
        </w:rPr>
        <w:t>Antonia Urrejola Noguera</w:t>
      </w:r>
      <w:r w:rsidR="00036FC7" w:rsidRPr="00333497">
        <w:rPr>
          <w:rFonts w:ascii="Cambria" w:hAnsi="Cambria" w:cs="Calibri"/>
          <w:sz w:val="20"/>
          <w:szCs w:val="20"/>
          <w:lang w:val="es-ES"/>
        </w:rPr>
        <w:t xml:space="preserve"> </w:t>
      </w:r>
      <w:r w:rsidR="00AB1A5D" w:rsidRPr="00333497">
        <w:rPr>
          <w:rFonts w:ascii="Cambria" w:hAnsi="Cambria" w:cs="Calibri"/>
          <w:sz w:val="20"/>
          <w:szCs w:val="20"/>
          <w:lang w:val="es-ES"/>
        </w:rPr>
        <w:t>y</w:t>
      </w:r>
      <w:r w:rsidR="00E7198B" w:rsidRPr="00333497">
        <w:rPr>
          <w:rFonts w:ascii="Cambria" w:hAnsi="Cambria" w:cs="Calibri"/>
          <w:sz w:val="20"/>
          <w:szCs w:val="20"/>
          <w:lang w:val="es-ES"/>
        </w:rPr>
        <w:t xml:space="preserve"> </w:t>
      </w:r>
      <w:r w:rsidRPr="00333497">
        <w:rPr>
          <w:rFonts w:ascii="Cambria" w:hAnsi="Cambria" w:cs="Calibri"/>
          <w:sz w:val="20"/>
          <w:szCs w:val="20"/>
          <w:lang w:val="es-ES"/>
        </w:rPr>
        <w:t>al Secretario Ejecutivo Paulo Abrão</w:t>
      </w:r>
      <w:r w:rsidR="00E7198B" w:rsidRPr="00333497">
        <w:rPr>
          <w:rFonts w:ascii="Cambria" w:hAnsi="Cambria" w:cs="Calibri"/>
          <w:sz w:val="20"/>
          <w:szCs w:val="20"/>
          <w:lang w:val="es-ES"/>
        </w:rPr>
        <w:t xml:space="preserve">, </w:t>
      </w:r>
      <w:r w:rsidRPr="00333497">
        <w:rPr>
          <w:rFonts w:ascii="Cambria" w:hAnsi="Cambria" w:cs="Calibri"/>
          <w:sz w:val="20"/>
          <w:szCs w:val="20"/>
          <w:lang w:val="es-ES"/>
        </w:rPr>
        <w:t xml:space="preserve">como sus delegados. Asimismo, </w:t>
      </w:r>
      <w:r w:rsidR="000D4AE6" w:rsidRPr="00333497">
        <w:rPr>
          <w:rFonts w:ascii="Cambria" w:hAnsi="Cambria" w:cs="Calibri"/>
          <w:sz w:val="20"/>
          <w:szCs w:val="20"/>
          <w:lang w:val="es-ES"/>
        </w:rPr>
        <w:t>Marisol Blanchard</w:t>
      </w:r>
      <w:r w:rsidR="00AB1A5D" w:rsidRPr="00333497">
        <w:rPr>
          <w:rFonts w:ascii="Cambria" w:hAnsi="Cambria" w:cs="Calibri"/>
          <w:sz w:val="20"/>
          <w:szCs w:val="20"/>
          <w:lang w:val="es-ES"/>
        </w:rPr>
        <w:t xml:space="preserve"> Vera</w:t>
      </w:r>
      <w:r w:rsidR="000D4AE6" w:rsidRPr="00333497">
        <w:rPr>
          <w:rFonts w:ascii="Cambria" w:hAnsi="Cambria" w:cs="Calibri"/>
          <w:sz w:val="20"/>
          <w:szCs w:val="20"/>
          <w:lang w:val="es-ES"/>
        </w:rPr>
        <w:t xml:space="preserve">, </w:t>
      </w:r>
      <w:r w:rsidR="008F7250" w:rsidRPr="00333497">
        <w:rPr>
          <w:rFonts w:ascii="Cambria" w:hAnsi="Cambria" w:cs="Calibri"/>
          <w:sz w:val="20"/>
          <w:szCs w:val="20"/>
          <w:lang w:val="es-ES"/>
        </w:rPr>
        <w:t xml:space="preserve">Secretaria Ejecutiva Adjunta, </w:t>
      </w:r>
      <w:r w:rsidR="00362BCC" w:rsidRPr="00333497">
        <w:rPr>
          <w:rFonts w:ascii="Cambria" w:hAnsi="Cambria" w:cs="Calibri"/>
          <w:sz w:val="20"/>
          <w:szCs w:val="20"/>
          <w:lang w:val="es-ES"/>
        </w:rPr>
        <w:t>Jorge Humberto Meza Flores</w:t>
      </w:r>
      <w:r w:rsidR="00AB1A5D" w:rsidRPr="00333497">
        <w:rPr>
          <w:rFonts w:ascii="Cambria" w:hAnsi="Cambria" w:cs="Calibri"/>
          <w:sz w:val="20"/>
          <w:szCs w:val="20"/>
          <w:lang w:val="es-ES"/>
        </w:rPr>
        <w:t xml:space="preserve"> y</w:t>
      </w:r>
      <w:r w:rsidR="00362BCC" w:rsidRPr="00333497">
        <w:rPr>
          <w:rFonts w:ascii="Cambria" w:hAnsi="Cambria" w:cs="Calibri"/>
          <w:sz w:val="20"/>
          <w:szCs w:val="20"/>
          <w:lang w:val="es-ES"/>
        </w:rPr>
        <w:t xml:space="preserve"> </w:t>
      </w:r>
      <w:r w:rsidR="008A143D">
        <w:rPr>
          <w:rFonts w:ascii="Cambria" w:hAnsi="Cambria" w:cs="Calibri"/>
          <w:sz w:val="20"/>
          <w:szCs w:val="20"/>
          <w:lang w:val="es-ES"/>
        </w:rPr>
        <w:t>Erick Acuña Pereda</w:t>
      </w:r>
      <w:r w:rsidR="00362BCC" w:rsidRPr="00333497">
        <w:rPr>
          <w:rFonts w:ascii="Cambria" w:hAnsi="Cambria" w:cs="Calibri"/>
          <w:sz w:val="20"/>
          <w:szCs w:val="20"/>
          <w:lang w:val="es-ES"/>
        </w:rPr>
        <w:t xml:space="preserve">, especialistas </w:t>
      </w:r>
      <w:r w:rsidRPr="00333497">
        <w:rPr>
          <w:rFonts w:ascii="Cambria" w:hAnsi="Cambria" w:cs="Calibri"/>
          <w:sz w:val="20"/>
          <w:szCs w:val="20"/>
          <w:lang w:val="es-ES"/>
        </w:rPr>
        <w:t>de la Secretaría Ejecutiva de la CIDH, actuará</w:t>
      </w:r>
      <w:r w:rsidR="00170E12" w:rsidRPr="00333497">
        <w:rPr>
          <w:rFonts w:ascii="Cambria" w:hAnsi="Cambria" w:cs="Calibri"/>
          <w:sz w:val="20"/>
          <w:szCs w:val="20"/>
          <w:lang w:val="es-ES"/>
        </w:rPr>
        <w:t xml:space="preserve">n </w:t>
      </w:r>
      <w:r w:rsidR="00A77918" w:rsidRPr="00333497">
        <w:rPr>
          <w:rFonts w:ascii="Cambria" w:hAnsi="Cambria" w:cs="Calibri"/>
          <w:sz w:val="20"/>
          <w:szCs w:val="20"/>
          <w:lang w:val="es-ES"/>
        </w:rPr>
        <w:t>como asesora</w:t>
      </w:r>
      <w:r w:rsidR="00036FC7" w:rsidRPr="00333497">
        <w:rPr>
          <w:rFonts w:ascii="Cambria" w:hAnsi="Cambria" w:cs="Calibri"/>
          <w:sz w:val="20"/>
          <w:szCs w:val="20"/>
          <w:lang w:val="es-ES"/>
        </w:rPr>
        <w:t xml:space="preserve"> </w:t>
      </w:r>
      <w:r w:rsidR="00362BCC" w:rsidRPr="00333497">
        <w:rPr>
          <w:rFonts w:ascii="Cambria" w:hAnsi="Cambria" w:cs="Calibri"/>
          <w:sz w:val="20"/>
          <w:szCs w:val="20"/>
          <w:lang w:val="es-ES"/>
        </w:rPr>
        <w:t>y asesor</w:t>
      </w:r>
      <w:r w:rsidR="00036FC7" w:rsidRPr="00333497">
        <w:rPr>
          <w:rFonts w:ascii="Cambria" w:hAnsi="Cambria" w:cs="Calibri"/>
          <w:sz w:val="20"/>
          <w:szCs w:val="20"/>
          <w:lang w:val="es-ES"/>
        </w:rPr>
        <w:t>es</w:t>
      </w:r>
      <w:r w:rsidR="00362BCC" w:rsidRPr="00333497">
        <w:rPr>
          <w:rFonts w:ascii="Cambria" w:hAnsi="Cambria" w:cs="Calibri"/>
          <w:sz w:val="20"/>
          <w:szCs w:val="20"/>
          <w:lang w:val="es-ES"/>
        </w:rPr>
        <w:t xml:space="preserve"> </w:t>
      </w:r>
      <w:r w:rsidRPr="00333497">
        <w:rPr>
          <w:rFonts w:ascii="Cambria" w:hAnsi="Cambria" w:cs="Calibri"/>
          <w:sz w:val="20"/>
          <w:szCs w:val="20"/>
          <w:lang w:val="es-ES"/>
        </w:rPr>
        <w:t>legal</w:t>
      </w:r>
      <w:r w:rsidR="00170E12" w:rsidRPr="00333497">
        <w:rPr>
          <w:rFonts w:ascii="Cambria" w:hAnsi="Cambria" w:cs="Calibri"/>
          <w:sz w:val="20"/>
          <w:szCs w:val="20"/>
          <w:lang w:val="es-ES"/>
        </w:rPr>
        <w:t>es</w:t>
      </w:r>
      <w:r w:rsidRPr="00333497">
        <w:rPr>
          <w:rFonts w:ascii="Cambria" w:hAnsi="Cambria" w:cs="Calibri"/>
          <w:sz w:val="20"/>
          <w:szCs w:val="20"/>
          <w:lang w:val="es-ES"/>
        </w:rPr>
        <w:t>.</w:t>
      </w:r>
      <w:r w:rsidR="00C872C8" w:rsidRPr="00333497">
        <w:rPr>
          <w:rFonts w:ascii="Cambria" w:hAnsi="Cambria" w:cs="Calibri"/>
          <w:sz w:val="20"/>
          <w:szCs w:val="20"/>
          <w:lang w:val="es-ES"/>
        </w:rPr>
        <w:t xml:space="preserve"> </w:t>
      </w:r>
    </w:p>
    <w:p w14:paraId="71992BA6" w14:textId="77777777" w:rsidR="00560F49" w:rsidRPr="00333497" w:rsidRDefault="00560F49" w:rsidP="0042403B">
      <w:pPr>
        <w:spacing w:after="0" w:line="240" w:lineRule="auto"/>
        <w:ind w:firstLine="720"/>
        <w:jc w:val="both"/>
        <w:rPr>
          <w:rFonts w:ascii="Cambria" w:hAnsi="Cambria" w:cs="Calibri"/>
          <w:sz w:val="20"/>
          <w:szCs w:val="20"/>
          <w:lang w:val="es-ES"/>
        </w:rPr>
      </w:pPr>
    </w:p>
    <w:p w14:paraId="1C2C6D87" w14:textId="77777777" w:rsidR="00DF3621" w:rsidRPr="00333497" w:rsidRDefault="0042403B" w:rsidP="0042403B">
      <w:pPr>
        <w:spacing w:after="0" w:line="240" w:lineRule="auto"/>
        <w:ind w:firstLine="720"/>
        <w:jc w:val="both"/>
        <w:rPr>
          <w:rFonts w:ascii="Cambria" w:hAnsi="Cambria" w:cs="Calibri"/>
          <w:sz w:val="20"/>
          <w:szCs w:val="20"/>
          <w:lang w:val="es-ES"/>
        </w:rPr>
      </w:pPr>
      <w:r w:rsidRPr="00333497">
        <w:rPr>
          <w:rFonts w:ascii="Cambria" w:hAnsi="Cambria" w:cs="Calibri"/>
          <w:sz w:val="20"/>
          <w:szCs w:val="20"/>
          <w:lang w:val="es-ES"/>
        </w:rPr>
        <w:t>De conformidad con el artículo 35 del Reglamento de la Corte Interamericana,</w:t>
      </w:r>
      <w:r w:rsidR="0090766E" w:rsidRPr="00333497">
        <w:rPr>
          <w:rFonts w:ascii="Cambria" w:hAnsi="Cambria" w:cs="Calibri"/>
          <w:sz w:val="20"/>
          <w:szCs w:val="20"/>
          <w:lang w:val="es-ES"/>
        </w:rPr>
        <w:t xml:space="preserve"> la Comisión adjunta copia del I</w:t>
      </w:r>
      <w:r w:rsidRPr="00333497">
        <w:rPr>
          <w:rFonts w:ascii="Cambria" w:hAnsi="Cambria" w:cs="Calibri"/>
          <w:sz w:val="20"/>
          <w:szCs w:val="20"/>
          <w:lang w:val="es-ES"/>
        </w:rPr>
        <w:t>nforme</w:t>
      </w:r>
      <w:r w:rsidR="0090766E" w:rsidRPr="00333497">
        <w:rPr>
          <w:rFonts w:ascii="Cambria" w:hAnsi="Cambria" w:cs="Calibri"/>
          <w:sz w:val="20"/>
          <w:szCs w:val="20"/>
          <w:lang w:val="es-ES"/>
        </w:rPr>
        <w:t xml:space="preserve"> de Fondo No.</w:t>
      </w:r>
      <w:r w:rsidRPr="00333497">
        <w:rPr>
          <w:rFonts w:ascii="Cambria" w:hAnsi="Cambria" w:cs="Calibri"/>
          <w:sz w:val="20"/>
          <w:szCs w:val="20"/>
          <w:lang w:val="es-ES"/>
        </w:rPr>
        <w:t xml:space="preserve"> </w:t>
      </w:r>
      <w:r w:rsidR="008A143D">
        <w:rPr>
          <w:rFonts w:ascii="Cambria" w:hAnsi="Cambria" w:cs="Calibri"/>
          <w:sz w:val="20"/>
          <w:szCs w:val="20"/>
          <w:lang w:val="es-ES"/>
        </w:rPr>
        <w:t>13</w:t>
      </w:r>
      <w:r w:rsidRPr="00333497">
        <w:rPr>
          <w:rFonts w:ascii="Cambria" w:hAnsi="Cambria" w:cs="Calibri"/>
          <w:sz w:val="20"/>
          <w:szCs w:val="20"/>
          <w:lang w:val="es-ES"/>
        </w:rPr>
        <w:t>/1</w:t>
      </w:r>
      <w:r w:rsidR="0092092D" w:rsidRPr="00333497">
        <w:rPr>
          <w:rFonts w:ascii="Cambria" w:hAnsi="Cambria" w:cs="Calibri"/>
          <w:sz w:val="20"/>
          <w:szCs w:val="20"/>
          <w:lang w:val="es-ES"/>
        </w:rPr>
        <w:t>9</w:t>
      </w:r>
      <w:r w:rsidRPr="00333497">
        <w:rPr>
          <w:rFonts w:ascii="Cambria" w:hAnsi="Cambria" w:cs="Calibri"/>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8A143D">
        <w:rPr>
          <w:rFonts w:ascii="Cambria" w:hAnsi="Cambria" w:cs="Calibri"/>
          <w:sz w:val="20"/>
          <w:szCs w:val="20"/>
          <w:lang w:val="es-ES"/>
        </w:rPr>
        <w:t>13</w:t>
      </w:r>
      <w:r w:rsidR="0092092D" w:rsidRPr="00333497">
        <w:rPr>
          <w:rFonts w:ascii="Cambria" w:hAnsi="Cambria" w:cs="Calibri"/>
          <w:sz w:val="20"/>
          <w:szCs w:val="20"/>
          <w:lang w:val="es-ES"/>
        </w:rPr>
        <w:t>/19</w:t>
      </w:r>
      <w:r w:rsidR="00625C17" w:rsidRPr="00333497">
        <w:rPr>
          <w:rFonts w:ascii="Cambria" w:hAnsi="Cambria" w:cs="Calibri"/>
          <w:sz w:val="20"/>
          <w:szCs w:val="20"/>
          <w:lang w:val="es-ES"/>
        </w:rPr>
        <w:t xml:space="preserve"> </w:t>
      </w:r>
      <w:r w:rsidR="00F353B3" w:rsidRPr="00333497">
        <w:rPr>
          <w:rFonts w:ascii="Cambria" w:hAnsi="Cambria" w:cs="Calibri"/>
          <w:sz w:val="20"/>
          <w:szCs w:val="20"/>
          <w:lang w:val="es-ES"/>
        </w:rPr>
        <w:t xml:space="preserve">(Anexos). </w:t>
      </w:r>
    </w:p>
    <w:p w14:paraId="6F728F02" w14:textId="77777777" w:rsidR="00DF3621" w:rsidRPr="00333497" w:rsidRDefault="00DF3621" w:rsidP="0042403B">
      <w:pPr>
        <w:spacing w:after="0" w:line="240" w:lineRule="auto"/>
        <w:ind w:firstLine="720"/>
        <w:jc w:val="both"/>
        <w:rPr>
          <w:rFonts w:ascii="Cambria" w:hAnsi="Cambria" w:cs="Calibri"/>
          <w:sz w:val="20"/>
          <w:szCs w:val="20"/>
          <w:lang w:val="es-ES"/>
        </w:rPr>
      </w:pPr>
    </w:p>
    <w:p w14:paraId="18E53E0F" w14:textId="77777777" w:rsidR="00FC32E3" w:rsidRPr="00312151" w:rsidRDefault="00F353B3" w:rsidP="00312151">
      <w:pPr>
        <w:tabs>
          <w:tab w:val="left" w:pos="810"/>
        </w:tabs>
        <w:spacing w:after="0" w:line="240" w:lineRule="auto"/>
        <w:ind w:firstLine="720"/>
        <w:jc w:val="both"/>
        <w:rPr>
          <w:rFonts w:ascii="Cambria" w:hAnsi="Cambria"/>
          <w:sz w:val="20"/>
          <w:szCs w:val="20"/>
          <w:lang w:val="es-AR"/>
        </w:rPr>
      </w:pPr>
      <w:r w:rsidRPr="00333497">
        <w:rPr>
          <w:rFonts w:ascii="Cambria" w:hAnsi="Cambria" w:cs="Calibri"/>
          <w:sz w:val="20"/>
          <w:szCs w:val="20"/>
          <w:lang w:val="es-ES"/>
        </w:rPr>
        <w:t>Dicho Informe de F</w:t>
      </w:r>
      <w:r w:rsidR="0042403B" w:rsidRPr="00333497">
        <w:rPr>
          <w:rFonts w:ascii="Cambria" w:hAnsi="Cambria" w:cs="Calibri"/>
          <w:sz w:val="20"/>
          <w:szCs w:val="20"/>
          <w:lang w:val="es-ES"/>
        </w:rPr>
        <w:t xml:space="preserve">ondo fue notificado al Estado </w:t>
      </w:r>
      <w:r w:rsidR="00DF3621" w:rsidRPr="00333497">
        <w:rPr>
          <w:rFonts w:ascii="Cambria" w:hAnsi="Cambria" w:cs="Calibri"/>
          <w:sz w:val="20"/>
          <w:szCs w:val="20"/>
          <w:lang w:val="es-ES"/>
        </w:rPr>
        <w:t>el</w:t>
      </w:r>
      <w:r w:rsidR="00036FC7" w:rsidRPr="00333497">
        <w:rPr>
          <w:rFonts w:ascii="Cambria" w:hAnsi="Cambria" w:cs="Calibri"/>
          <w:sz w:val="20"/>
          <w:szCs w:val="20"/>
          <w:lang w:val="es-ES"/>
        </w:rPr>
        <w:t xml:space="preserve"> </w:t>
      </w:r>
      <w:r w:rsidR="008A143D">
        <w:rPr>
          <w:rFonts w:ascii="Cambria" w:hAnsi="Cambria" w:cs="Calibri"/>
          <w:sz w:val="20"/>
          <w:szCs w:val="20"/>
          <w:lang w:val="es-ES"/>
        </w:rPr>
        <w:t>14 de marzo de 2019</w:t>
      </w:r>
      <w:r w:rsidR="0042403B" w:rsidRPr="00333497">
        <w:rPr>
          <w:rFonts w:ascii="Cambria" w:hAnsi="Cambria" w:cs="Calibri"/>
          <w:sz w:val="20"/>
          <w:szCs w:val="20"/>
          <w:lang w:val="es-ES"/>
        </w:rPr>
        <w:t xml:space="preserve">, otorgándole un plazo de dos meses para informar sobre el cumplimiento de las recomendaciones. </w:t>
      </w:r>
      <w:r w:rsidR="00E21E08" w:rsidRPr="00496EBF">
        <w:rPr>
          <w:rFonts w:ascii="Cambria" w:hAnsi="Cambria"/>
          <w:sz w:val="20"/>
          <w:szCs w:val="20"/>
          <w:lang w:val="es-AR"/>
        </w:rPr>
        <w:t xml:space="preserve">Tras el otorgamiento por parte de la CIDH de </w:t>
      </w:r>
      <w:r w:rsidR="00E21E08">
        <w:rPr>
          <w:rFonts w:ascii="Cambria" w:hAnsi="Cambria"/>
          <w:sz w:val="20"/>
          <w:szCs w:val="20"/>
          <w:lang w:val="es-AR"/>
        </w:rPr>
        <w:t>cuatro</w:t>
      </w:r>
      <w:r w:rsidR="00E21E08" w:rsidRPr="00496EBF">
        <w:rPr>
          <w:rFonts w:ascii="Cambria" w:hAnsi="Cambria"/>
          <w:sz w:val="20"/>
          <w:szCs w:val="20"/>
          <w:lang w:val="es-AR"/>
        </w:rPr>
        <w:t xml:space="preserve"> prórrogas de tres meses</w:t>
      </w:r>
      <w:r w:rsidR="00E21E08">
        <w:rPr>
          <w:rFonts w:ascii="Cambria" w:hAnsi="Cambria"/>
          <w:sz w:val="20"/>
          <w:szCs w:val="20"/>
          <w:lang w:val="es-AR"/>
        </w:rPr>
        <w:t xml:space="preserve"> cada una, el </w:t>
      </w:r>
      <w:r w:rsidR="00A500E8">
        <w:rPr>
          <w:rFonts w:ascii="Cambria" w:hAnsi="Cambria"/>
          <w:sz w:val="20"/>
          <w:szCs w:val="20"/>
          <w:lang w:val="es-AR"/>
        </w:rPr>
        <w:t>29 de mayo de 2020</w:t>
      </w:r>
      <w:r w:rsidR="00E21E08">
        <w:rPr>
          <w:rFonts w:ascii="Cambria" w:hAnsi="Cambria"/>
          <w:sz w:val="20"/>
          <w:szCs w:val="20"/>
          <w:lang w:val="es-AR"/>
        </w:rPr>
        <w:t xml:space="preserve"> el Estado solicitó una quinta prórroga.</w:t>
      </w:r>
      <w:r w:rsidR="00312151">
        <w:rPr>
          <w:rFonts w:ascii="Cambria" w:hAnsi="Cambria"/>
          <w:sz w:val="20"/>
          <w:szCs w:val="20"/>
          <w:lang w:val="es-AR"/>
        </w:rPr>
        <w:t xml:space="preserve"> Al evaluar dicha solicitud, la Comisión tuvo en cuenta que, a un año y tres meses de notificado el Informe de Fondo, el Estado no había aún presentado una propuesta de reparación a la parte peticionaria. Asimismo, la Comisión tuvo en cuenta que ésta solicitó expresamente el envío del caso a la Corte debido a la falta de acciones claras del Estado para cumplir con la primera recomendación y a que la información brindada respecto de la segunda recomendación no responde al</w:t>
      </w:r>
      <w:r w:rsidR="00D902D7">
        <w:rPr>
          <w:rFonts w:ascii="Cambria" w:hAnsi="Cambria"/>
          <w:sz w:val="20"/>
          <w:szCs w:val="20"/>
          <w:lang w:val="es-AR"/>
        </w:rPr>
        <w:t xml:space="preserve"> I</w:t>
      </w:r>
      <w:r w:rsidR="00312151">
        <w:rPr>
          <w:rFonts w:ascii="Cambria" w:hAnsi="Cambria"/>
          <w:sz w:val="20"/>
          <w:szCs w:val="20"/>
          <w:lang w:val="es-AR"/>
        </w:rPr>
        <w:t>nforme</w:t>
      </w:r>
      <w:r w:rsidR="00D902D7">
        <w:rPr>
          <w:rFonts w:ascii="Cambria" w:hAnsi="Cambria"/>
          <w:sz w:val="20"/>
          <w:szCs w:val="20"/>
          <w:lang w:val="es-AR"/>
        </w:rPr>
        <w:t xml:space="preserve"> de Fondo</w:t>
      </w:r>
      <w:r w:rsidR="00312151">
        <w:rPr>
          <w:rFonts w:ascii="Cambria" w:hAnsi="Cambria"/>
          <w:sz w:val="20"/>
          <w:szCs w:val="20"/>
          <w:lang w:val="es-AR"/>
        </w:rPr>
        <w:t xml:space="preserve">, sino que son anteriores al mismo. </w:t>
      </w:r>
      <w:r w:rsidR="00A77918" w:rsidRPr="00333497">
        <w:rPr>
          <w:rFonts w:ascii="Cambria" w:hAnsi="Cambria" w:cs="Arial"/>
          <w:sz w:val="20"/>
          <w:szCs w:val="20"/>
          <w:lang w:val="es-ES"/>
        </w:rPr>
        <w:t>E</w:t>
      </w:r>
      <w:r w:rsidR="00312151">
        <w:rPr>
          <w:rFonts w:ascii="Cambria" w:hAnsi="Cambria" w:cs="Arial"/>
          <w:sz w:val="20"/>
          <w:szCs w:val="20"/>
          <w:lang w:val="es-ES"/>
        </w:rPr>
        <w:t>n virtud de dichas consideraciones,</w:t>
      </w:r>
      <w:r w:rsidR="00FC32E3" w:rsidRPr="00333497">
        <w:rPr>
          <w:rFonts w:ascii="Cambria" w:hAnsi="Cambria" w:cs="Arial"/>
          <w:sz w:val="20"/>
          <w:szCs w:val="20"/>
          <w:lang w:val="es-ES"/>
        </w:rPr>
        <w:t xml:space="preserve"> y </w:t>
      </w:r>
      <w:r w:rsidR="00FC32E3" w:rsidRPr="00333497">
        <w:rPr>
          <w:rFonts w:ascii="Cambria" w:hAnsi="Cambria"/>
          <w:sz w:val="20"/>
          <w:szCs w:val="20"/>
          <w:lang w:val="es-CO"/>
        </w:rPr>
        <w:t>ante la necesidad de obtenció</w:t>
      </w:r>
      <w:r w:rsidR="00A77918" w:rsidRPr="00333497">
        <w:rPr>
          <w:rFonts w:ascii="Cambria" w:hAnsi="Cambria"/>
          <w:sz w:val="20"/>
          <w:szCs w:val="20"/>
          <w:lang w:val="es-CO"/>
        </w:rPr>
        <w:t>n de justicia para la víctima</w:t>
      </w:r>
      <w:r w:rsidR="00FC32E3" w:rsidRPr="00333497">
        <w:rPr>
          <w:rFonts w:ascii="Cambria" w:hAnsi="Cambria"/>
          <w:sz w:val="20"/>
          <w:szCs w:val="20"/>
          <w:lang w:val="es-CO"/>
        </w:rPr>
        <w:t xml:space="preserve">, la Comisión decidió someter el caso a la jurisdicción de la Corte Interamericana. </w:t>
      </w:r>
    </w:p>
    <w:p w14:paraId="2D8A8284" w14:textId="77777777" w:rsidR="00FC32E3" w:rsidRPr="00333497" w:rsidRDefault="00FC32E3" w:rsidP="00FC32E3">
      <w:pPr>
        <w:autoSpaceDE w:val="0"/>
        <w:autoSpaceDN w:val="0"/>
        <w:adjustRightInd w:val="0"/>
        <w:spacing w:after="0" w:line="240" w:lineRule="auto"/>
        <w:ind w:firstLine="720"/>
        <w:jc w:val="both"/>
        <w:rPr>
          <w:rFonts w:ascii="Cambria" w:hAnsi="Cambria" w:cs="Arial"/>
          <w:sz w:val="20"/>
          <w:szCs w:val="20"/>
          <w:lang w:val="es-ES"/>
        </w:rPr>
      </w:pPr>
    </w:p>
    <w:p w14:paraId="35BDDD37" w14:textId="77777777" w:rsidR="00B05FFF" w:rsidRPr="00333497" w:rsidRDefault="00143EB4" w:rsidP="00D902D7">
      <w:pPr>
        <w:pStyle w:val="Default"/>
        <w:suppressAutoHyphens/>
        <w:ind w:firstLine="720"/>
        <w:jc w:val="both"/>
        <w:rPr>
          <w:rFonts w:ascii="Cambria" w:hAnsi="Cambria" w:cs="Calibri"/>
          <w:sz w:val="20"/>
          <w:szCs w:val="20"/>
          <w:lang w:val="es-ES"/>
        </w:rPr>
      </w:pPr>
      <w:r w:rsidRPr="00333497">
        <w:rPr>
          <w:rFonts w:ascii="Cambria" w:hAnsi="Cambria"/>
          <w:sz w:val="20"/>
          <w:szCs w:val="20"/>
          <w:lang w:val="es-CO"/>
        </w:rPr>
        <w:t xml:space="preserve">En ese sentido, la Comisión solicita a la </w:t>
      </w:r>
      <w:r w:rsidR="00707281" w:rsidRPr="00333497">
        <w:rPr>
          <w:rFonts w:ascii="Cambria" w:hAnsi="Cambria"/>
          <w:sz w:val="20"/>
          <w:szCs w:val="20"/>
          <w:lang w:val="es-CO"/>
        </w:rPr>
        <w:t xml:space="preserve">Honorable </w:t>
      </w:r>
      <w:r w:rsidRPr="00333497">
        <w:rPr>
          <w:rFonts w:ascii="Cambria" w:hAnsi="Cambria"/>
          <w:sz w:val="20"/>
          <w:szCs w:val="20"/>
          <w:lang w:val="es-CO"/>
        </w:rPr>
        <w:t xml:space="preserve">Corte que concluya y declare que el Estado de </w:t>
      </w:r>
      <w:r w:rsidR="00D902D7">
        <w:rPr>
          <w:rFonts w:ascii="Cambria" w:hAnsi="Cambria"/>
          <w:sz w:val="20"/>
          <w:szCs w:val="20"/>
          <w:lang w:val="es-CO"/>
        </w:rPr>
        <w:t>Ecuador</w:t>
      </w:r>
      <w:r w:rsidRPr="00333497">
        <w:rPr>
          <w:rFonts w:ascii="Cambria" w:hAnsi="Cambria"/>
          <w:sz w:val="20"/>
          <w:szCs w:val="20"/>
          <w:lang w:val="es-CO"/>
        </w:rPr>
        <w:t xml:space="preserve"> </w:t>
      </w:r>
      <w:r w:rsidR="00D902D7" w:rsidRPr="00F148DD">
        <w:rPr>
          <w:rFonts w:ascii="Cambria" w:hAnsi="Cambria"/>
          <w:sz w:val="20"/>
          <w:szCs w:val="20"/>
          <w:lang w:val="es-ES"/>
        </w:rPr>
        <w:t>es responsable por la violación de los derechos a la integridad personal, libertad personal, garantías judiciales y propiedad privada, establecidos en los artículos 5.1, 5.2, 7.1, 7.2, 7.3, 7.4, 7.5, 7.6, 8.1, 8.2, 8.2 b), 8.2 d) y 21 de la Convención Americana en relación con obligaciones establecidas en los artículos 1.1 y 2 del mismo instrumento, en perjuicio de Gonzalo Cortez Espinoza.</w:t>
      </w:r>
    </w:p>
    <w:p w14:paraId="4FDC69F6" w14:textId="77777777" w:rsidR="00670828" w:rsidRPr="00333497" w:rsidRDefault="00162CE1" w:rsidP="00670828">
      <w:pPr>
        <w:tabs>
          <w:tab w:val="left" w:pos="810"/>
        </w:tabs>
        <w:autoSpaceDE w:val="0"/>
        <w:autoSpaceDN w:val="0"/>
        <w:adjustRightInd w:val="0"/>
        <w:spacing w:after="0" w:line="240" w:lineRule="auto"/>
        <w:ind w:firstLine="720"/>
        <w:jc w:val="both"/>
        <w:rPr>
          <w:rFonts w:ascii="Cambria" w:hAnsi="Cambria"/>
          <w:sz w:val="20"/>
          <w:szCs w:val="20"/>
          <w:lang w:val="es-CO"/>
        </w:rPr>
      </w:pPr>
      <w:r w:rsidRPr="00333497">
        <w:rPr>
          <w:rFonts w:ascii="Cambria" w:hAnsi="Cambria" w:cs="Calibri"/>
          <w:sz w:val="20"/>
          <w:szCs w:val="20"/>
          <w:lang w:val="es-ES"/>
        </w:rPr>
        <w:lastRenderedPageBreak/>
        <w:t xml:space="preserve">En consecuencia, la Comisión solicita a la Corte Interamericana que </w:t>
      </w:r>
      <w:r w:rsidR="00670828" w:rsidRPr="00333497">
        <w:rPr>
          <w:rFonts w:ascii="Cambria" w:hAnsi="Cambria"/>
          <w:sz w:val="20"/>
          <w:szCs w:val="20"/>
          <w:lang w:val="es-CO"/>
        </w:rPr>
        <w:t>establezca las siguientes medidas de reparación:</w:t>
      </w:r>
    </w:p>
    <w:p w14:paraId="55D9DA2F" w14:textId="77777777" w:rsidR="00162CE1" w:rsidRPr="00333497" w:rsidRDefault="00162CE1" w:rsidP="00162CE1">
      <w:pPr>
        <w:spacing w:after="0" w:line="240" w:lineRule="auto"/>
        <w:ind w:firstLine="720"/>
        <w:jc w:val="both"/>
        <w:rPr>
          <w:rFonts w:ascii="Cambria" w:hAnsi="Cambria" w:cs="Calibri"/>
          <w:sz w:val="20"/>
          <w:szCs w:val="20"/>
          <w:lang w:val="es-ES"/>
        </w:rPr>
      </w:pPr>
    </w:p>
    <w:p w14:paraId="2194126B" w14:textId="77777777" w:rsidR="00D902D7" w:rsidRPr="00F148DD" w:rsidRDefault="00D902D7" w:rsidP="00D902D7">
      <w:pPr>
        <w:numPr>
          <w:ilvl w:val="0"/>
          <w:numId w:val="3"/>
        </w:numPr>
        <w:tabs>
          <w:tab w:val="clear" w:pos="720"/>
          <w:tab w:val="left" w:pos="540"/>
          <w:tab w:val="left" w:pos="1080"/>
        </w:tabs>
        <w:spacing w:after="0" w:line="240" w:lineRule="auto"/>
        <w:ind w:left="720" w:right="720" w:firstLine="0"/>
        <w:jc w:val="both"/>
        <w:rPr>
          <w:rFonts w:ascii="Cambria" w:hAnsi="Cambria"/>
          <w:sz w:val="20"/>
          <w:szCs w:val="20"/>
          <w:lang w:val="es-ES"/>
        </w:rPr>
      </w:pPr>
      <w:r w:rsidRPr="00F148DD">
        <w:rPr>
          <w:rFonts w:ascii="Cambria" w:eastAsia="Times New Roman" w:hAnsi="Cambria" w:cs="Tahoma"/>
          <w:sz w:val="20"/>
          <w:szCs w:val="20"/>
          <w:lang w:val="es-ES"/>
        </w:rPr>
        <w:t xml:space="preserve">Reparar integralmente las violaciones de derechos humanos declaradas en el </w:t>
      </w:r>
      <w:r>
        <w:rPr>
          <w:rFonts w:ascii="Cambria" w:eastAsia="Times New Roman" w:hAnsi="Cambria" w:cs="Tahoma"/>
          <w:sz w:val="20"/>
          <w:szCs w:val="20"/>
          <w:lang w:val="es-ES"/>
        </w:rPr>
        <w:t>I</w:t>
      </w:r>
      <w:r w:rsidRPr="00F148DD">
        <w:rPr>
          <w:rFonts w:ascii="Cambria" w:eastAsia="Times New Roman" w:hAnsi="Cambria" w:cs="Tahoma"/>
          <w:sz w:val="20"/>
          <w:szCs w:val="20"/>
          <w:lang w:val="es-ES"/>
        </w:rPr>
        <w:t>nforme</w:t>
      </w:r>
      <w:r>
        <w:rPr>
          <w:rFonts w:ascii="Cambria" w:eastAsia="Times New Roman" w:hAnsi="Cambria" w:cs="Tahoma"/>
          <w:sz w:val="20"/>
          <w:szCs w:val="20"/>
          <w:lang w:val="es-ES"/>
        </w:rPr>
        <w:t xml:space="preserve"> de Fondo</w:t>
      </w:r>
      <w:r w:rsidRPr="00F148DD">
        <w:rPr>
          <w:rFonts w:ascii="Cambria" w:eastAsia="Times New Roman" w:hAnsi="Cambria" w:cs="Tahoma"/>
          <w:sz w:val="20"/>
          <w:szCs w:val="20"/>
          <w:lang w:val="es-ES"/>
        </w:rPr>
        <w:t xml:space="preserve"> tanto en el aspecto material como inmaterial. El Estado deberá adoptar las medidas de compensación económica y satisfacción. </w:t>
      </w:r>
    </w:p>
    <w:p w14:paraId="48936870" w14:textId="77777777" w:rsidR="00A2631B" w:rsidRDefault="00A2631B" w:rsidP="00D902D7">
      <w:pPr>
        <w:tabs>
          <w:tab w:val="left" w:pos="1080"/>
        </w:tabs>
        <w:spacing w:after="0" w:line="240" w:lineRule="auto"/>
        <w:ind w:left="720" w:right="720"/>
        <w:jc w:val="both"/>
        <w:rPr>
          <w:rFonts w:ascii="Cambria" w:hAnsi="Cambria" w:cs="Calibri"/>
          <w:sz w:val="20"/>
          <w:szCs w:val="20"/>
          <w:lang w:val="es-ES"/>
        </w:rPr>
      </w:pPr>
    </w:p>
    <w:p w14:paraId="5A1A7B29" w14:textId="77777777" w:rsidR="00D902D7" w:rsidRDefault="00D902D7" w:rsidP="00D902D7">
      <w:pPr>
        <w:numPr>
          <w:ilvl w:val="0"/>
          <w:numId w:val="3"/>
        </w:numPr>
        <w:tabs>
          <w:tab w:val="left" w:pos="540"/>
          <w:tab w:val="left" w:pos="1080"/>
        </w:tabs>
        <w:spacing w:after="0" w:line="240" w:lineRule="auto"/>
        <w:ind w:left="720" w:right="720" w:firstLine="0"/>
        <w:jc w:val="both"/>
        <w:rPr>
          <w:rFonts w:ascii="Cambria" w:hAnsi="Cambria"/>
          <w:sz w:val="20"/>
          <w:szCs w:val="20"/>
          <w:lang w:val="es-ES"/>
        </w:rPr>
      </w:pPr>
      <w:r w:rsidRPr="00F148DD">
        <w:rPr>
          <w:rFonts w:ascii="Cambria" w:hAnsi="Cambria"/>
          <w:sz w:val="20"/>
          <w:szCs w:val="20"/>
          <w:lang w:val="es-ES"/>
        </w:rPr>
        <w:t xml:space="preserve">Disponer las medidas de no repetición necesarias para: i) asegurar que tanto la normativa aplicable como las prácticas respectivas en materia de detención preventiva, sean compatibles con los estándares establecidos en el </w:t>
      </w:r>
      <w:r>
        <w:rPr>
          <w:rFonts w:ascii="Cambria" w:eastAsia="Times New Roman" w:hAnsi="Cambria" w:cs="Tahoma"/>
          <w:sz w:val="20"/>
          <w:szCs w:val="20"/>
          <w:lang w:val="es-ES"/>
        </w:rPr>
        <w:t>I</w:t>
      </w:r>
      <w:r w:rsidRPr="00F148DD">
        <w:rPr>
          <w:rFonts w:ascii="Cambria" w:eastAsia="Times New Roman" w:hAnsi="Cambria" w:cs="Tahoma"/>
          <w:sz w:val="20"/>
          <w:szCs w:val="20"/>
          <w:lang w:val="es-ES"/>
        </w:rPr>
        <w:t>nforme</w:t>
      </w:r>
      <w:r>
        <w:rPr>
          <w:rFonts w:ascii="Cambria" w:eastAsia="Times New Roman" w:hAnsi="Cambria" w:cs="Tahoma"/>
          <w:sz w:val="20"/>
          <w:szCs w:val="20"/>
          <w:lang w:val="es-ES"/>
        </w:rPr>
        <w:t xml:space="preserve"> de Fondo</w:t>
      </w:r>
      <w:r w:rsidRPr="00F148DD">
        <w:rPr>
          <w:rFonts w:ascii="Cambria" w:hAnsi="Cambria"/>
          <w:sz w:val="20"/>
          <w:szCs w:val="20"/>
          <w:lang w:val="es-ES"/>
        </w:rPr>
        <w:t xml:space="preserve">; y ii) asegurar que la jurisdicción penal militar no sea aplicada a civiles bajo ninguna circunstancia, incluyendo a militares en retiro. </w:t>
      </w:r>
    </w:p>
    <w:p w14:paraId="44F3B201" w14:textId="77777777" w:rsidR="00D902D7" w:rsidRPr="00333497" w:rsidRDefault="00D902D7" w:rsidP="00D902D7">
      <w:pPr>
        <w:spacing w:after="0" w:line="240" w:lineRule="auto"/>
        <w:jc w:val="both"/>
        <w:rPr>
          <w:rFonts w:ascii="Cambria" w:hAnsi="Cambria" w:cs="Calibri"/>
          <w:sz w:val="20"/>
          <w:szCs w:val="20"/>
          <w:lang w:val="es-ES"/>
        </w:rPr>
      </w:pPr>
    </w:p>
    <w:p w14:paraId="5400AF99" w14:textId="77777777" w:rsidR="00B037A3" w:rsidRPr="00A87F8D" w:rsidRDefault="00E16ED1" w:rsidP="00B037A3">
      <w:pPr>
        <w:pStyle w:val="Encabezado"/>
        <w:tabs>
          <w:tab w:val="left" w:pos="720"/>
        </w:tabs>
        <w:jc w:val="both"/>
        <w:rPr>
          <w:rFonts w:ascii="Cambria" w:eastAsia="Times New Roman" w:hAnsi="Cambria" w:cs="Cambria"/>
          <w:sz w:val="20"/>
          <w:szCs w:val="20"/>
          <w:lang w:val="es-CO"/>
        </w:rPr>
      </w:pPr>
      <w:r w:rsidRPr="00333497">
        <w:rPr>
          <w:rFonts w:ascii="Cambria" w:hAnsi="Cambria" w:cs="Calibri"/>
          <w:sz w:val="20"/>
          <w:szCs w:val="20"/>
          <w:lang w:val="es-ES"/>
        </w:rPr>
        <w:tab/>
      </w:r>
      <w:r w:rsidRPr="00333497">
        <w:rPr>
          <w:rFonts w:ascii="Cambria" w:hAnsi="Cambria" w:cs="Calibri"/>
          <w:sz w:val="20"/>
          <w:szCs w:val="20"/>
          <w:lang w:val="es-ES"/>
        </w:rPr>
        <w:tab/>
      </w:r>
      <w:r w:rsidR="00162CE1" w:rsidRPr="00333497">
        <w:rPr>
          <w:rFonts w:ascii="Cambria" w:hAnsi="Cambria" w:cs="Calibri"/>
          <w:sz w:val="20"/>
          <w:szCs w:val="20"/>
          <w:lang w:val="es-ES"/>
        </w:rPr>
        <w:t>Además de la necesidad de obtención de justicia</w:t>
      </w:r>
      <w:r w:rsidR="00377262" w:rsidRPr="00333497">
        <w:rPr>
          <w:rFonts w:ascii="Cambria" w:hAnsi="Cambria" w:cs="Calibri"/>
          <w:sz w:val="20"/>
          <w:szCs w:val="20"/>
          <w:lang w:val="es-ES"/>
        </w:rPr>
        <w:t xml:space="preserve"> y reparación</w:t>
      </w:r>
      <w:r w:rsidR="00162CE1" w:rsidRPr="00333497">
        <w:rPr>
          <w:rFonts w:ascii="Cambria" w:hAnsi="Cambria" w:cs="Calibri"/>
          <w:sz w:val="20"/>
          <w:szCs w:val="20"/>
          <w:lang w:val="es-ES"/>
        </w:rPr>
        <w:t xml:space="preserve"> por la falta de cumplimie</w:t>
      </w:r>
      <w:r w:rsidR="009A0E8E" w:rsidRPr="00333497">
        <w:rPr>
          <w:rFonts w:ascii="Cambria" w:hAnsi="Cambria" w:cs="Calibri"/>
          <w:sz w:val="20"/>
          <w:szCs w:val="20"/>
          <w:lang w:val="es-ES"/>
        </w:rPr>
        <w:t>nto de las recomendaciones del Informe de F</w:t>
      </w:r>
      <w:r w:rsidR="00162CE1" w:rsidRPr="00333497">
        <w:rPr>
          <w:rFonts w:ascii="Cambria" w:hAnsi="Cambria" w:cs="Calibri"/>
          <w:sz w:val="20"/>
          <w:szCs w:val="20"/>
          <w:lang w:val="es-ES"/>
        </w:rPr>
        <w:t>ondo, la Comisión considera que el caso presenta cuestiones de orden público interamericano.</w:t>
      </w:r>
      <w:r w:rsidR="00245F50" w:rsidRPr="00333497">
        <w:rPr>
          <w:rFonts w:ascii="Cambria" w:hAnsi="Cambria" w:cs="Calibri"/>
          <w:sz w:val="20"/>
          <w:szCs w:val="20"/>
          <w:lang w:val="es-ES"/>
        </w:rPr>
        <w:t xml:space="preserve"> </w:t>
      </w:r>
      <w:r w:rsidR="00B037A3">
        <w:rPr>
          <w:rFonts w:ascii="Cambria" w:hAnsi="Cambria" w:cs="Calibri"/>
          <w:sz w:val="20"/>
          <w:szCs w:val="20"/>
          <w:lang w:val="es-ES"/>
        </w:rPr>
        <w:t>E</w:t>
      </w:r>
      <w:r w:rsidR="00B037A3" w:rsidRPr="00A87F8D">
        <w:rPr>
          <w:rFonts w:ascii="Cambria" w:hAnsi="Cambria"/>
          <w:sz w:val="20"/>
          <w:szCs w:val="20"/>
          <w:lang w:val="es-CO"/>
        </w:rPr>
        <w:t xml:space="preserve">l </w:t>
      </w:r>
      <w:r w:rsidR="00B037A3">
        <w:rPr>
          <w:rFonts w:ascii="Cambria" w:hAnsi="Cambria"/>
          <w:sz w:val="20"/>
          <w:szCs w:val="20"/>
          <w:lang w:val="es-CO"/>
        </w:rPr>
        <w:t>mismo</w:t>
      </w:r>
      <w:r w:rsidR="00B037A3" w:rsidRPr="00A87F8D">
        <w:rPr>
          <w:rFonts w:ascii="Cambria" w:hAnsi="Cambria"/>
          <w:sz w:val="20"/>
          <w:szCs w:val="20"/>
          <w:lang w:val="es-CO"/>
        </w:rPr>
        <w:t xml:space="preserve"> </w:t>
      </w:r>
      <w:r w:rsidR="00B037A3" w:rsidRPr="00A87F8D">
        <w:rPr>
          <w:rFonts w:ascii="Cambria" w:eastAsia="Times New Roman" w:hAnsi="Cambria" w:cs="Cambria"/>
          <w:sz w:val="20"/>
          <w:szCs w:val="20"/>
          <w:lang w:val="es-CO"/>
        </w:rPr>
        <w:t xml:space="preserve">permitirá a la </w:t>
      </w:r>
      <w:r w:rsidR="00B037A3">
        <w:rPr>
          <w:rFonts w:ascii="Cambria" w:eastAsia="Times New Roman" w:hAnsi="Cambria" w:cs="Cambria"/>
          <w:sz w:val="20"/>
          <w:szCs w:val="20"/>
          <w:lang w:val="es-CO"/>
        </w:rPr>
        <w:t xml:space="preserve">Honorable </w:t>
      </w:r>
      <w:r w:rsidR="00B037A3" w:rsidRPr="00A87F8D">
        <w:rPr>
          <w:rFonts w:ascii="Cambria" w:eastAsia="Times New Roman" w:hAnsi="Cambria" w:cs="Cambria"/>
          <w:sz w:val="20"/>
          <w:szCs w:val="20"/>
          <w:lang w:val="es-CO"/>
        </w:rPr>
        <w:t xml:space="preserve">Corte </w:t>
      </w:r>
      <w:r w:rsidR="00B037A3" w:rsidRPr="00A87F8D">
        <w:rPr>
          <w:rFonts w:ascii="Cambria" w:hAnsi="Cambria"/>
          <w:sz w:val="20"/>
          <w:szCs w:val="20"/>
          <w:lang w:val="es-CO"/>
        </w:rPr>
        <w:t xml:space="preserve">profundizar su jurisprudencia en materia de detención preventiva en lo relativo a los motivos que pueden sustentarla, esto es, fines procesales y no indicios de responsabilidad.  Asimismo, en lo relativo a su tiempo de duración y a la necesidad de revisarla de manera periódica. Por otra parte, </w:t>
      </w:r>
      <w:r w:rsidR="00B037A3">
        <w:rPr>
          <w:rFonts w:ascii="Cambria" w:hAnsi="Cambria"/>
          <w:sz w:val="20"/>
          <w:szCs w:val="20"/>
          <w:lang w:val="es-CO"/>
        </w:rPr>
        <w:t>la Corte</w:t>
      </w:r>
      <w:r w:rsidR="00B037A3" w:rsidRPr="00A87F8D">
        <w:rPr>
          <w:rFonts w:ascii="Cambria" w:hAnsi="Cambria"/>
          <w:sz w:val="20"/>
          <w:szCs w:val="20"/>
          <w:lang w:val="es-CO"/>
        </w:rPr>
        <w:t xml:space="preserve"> </w:t>
      </w:r>
      <w:r w:rsidR="00B037A3">
        <w:rPr>
          <w:rFonts w:ascii="Cambria" w:hAnsi="Cambria"/>
          <w:sz w:val="20"/>
          <w:szCs w:val="20"/>
          <w:lang w:val="es-CO"/>
        </w:rPr>
        <w:t xml:space="preserve">tendrá la oportunidad de </w:t>
      </w:r>
      <w:r w:rsidR="00B037A3" w:rsidRPr="00A87F8D">
        <w:rPr>
          <w:rFonts w:ascii="Cambria" w:hAnsi="Cambria"/>
          <w:sz w:val="20"/>
          <w:szCs w:val="20"/>
          <w:lang w:val="es-CO"/>
        </w:rPr>
        <w:t>continuar desarrollando los estándares interamericanos en materia de debido proceso, en particular, sobre la aplicación de la jurisdicción penal militar, el derecho de defensa, el principio de presunción de inocencia y el plazo razonable. Finalmente, el caso permitirá a la Corte pronunciarse sobre las obligaciones de los Estados a efectos de respetar y garantizar la integridad personal de las personas privadas de libertad.</w:t>
      </w:r>
    </w:p>
    <w:p w14:paraId="395D5540" w14:textId="77777777" w:rsidR="00B037A3" w:rsidRPr="00B037A3" w:rsidRDefault="00B037A3" w:rsidP="00E16ED1">
      <w:pPr>
        <w:pStyle w:val="Encabezado"/>
        <w:tabs>
          <w:tab w:val="left" w:pos="720"/>
        </w:tabs>
        <w:jc w:val="both"/>
        <w:rPr>
          <w:rFonts w:ascii="Cambria" w:hAnsi="Cambria" w:cs="Calibri"/>
          <w:sz w:val="20"/>
          <w:szCs w:val="20"/>
          <w:lang w:val="es-CO"/>
        </w:rPr>
      </w:pPr>
    </w:p>
    <w:p w14:paraId="4C9C5BD4" w14:textId="77777777" w:rsidR="00162CE1" w:rsidRPr="00333497" w:rsidRDefault="00162CE1" w:rsidP="00162CE1">
      <w:pPr>
        <w:spacing w:after="0" w:line="240" w:lineRule="auto"/>
        <w:ind w:firstLine="720"/>
        <w:jc w:val="both"/>
        <w:rPr>
          <w:rFonts w:ascii="Cambria" w:hAnsi="Cambria" w:cs="Calibri"/>
          <w:sz w:val="20"/>
          <w:szCs w:val="20"/>
          <w:lang w:val="es-ES"/>
        </w:rPr>
      </w:pPr>
      <w:r w:rsidRPr="00333497">
        <w:rPr>
          <w:rFonts w:ascii="Cambria" w:hAnsi="Cambria" w:cs="Calibri"/>
          <w:sz w:val="20"/>
          <w:szCs w:val="20"/>
          <w:lang w:val="es-ES"/>
        </w:rPr>
        <w:t>En virtud de que estas cuestiones afectan de manera relevante el orden público interamericano, de conformidad con el artículo 35.1 f) del Reglamento de la Corte Interamericana, la Comisión se permite ofrecer la siguiente declaraci</w:t>
      </w:r>
      <w:r w:rsidR="009A0971" w:rsidRPr="00333497">
        <w:rPr>
          <w:rFonts w:ascii="Cambria" w:hAnsi="Cambria" w:cs="Calibri"/>
          <w:sz w:val="20"/>
          <w:szCs w:val="20"/>
          <w:lang w:val="es-ES"/>
        </w:rPr>
        <w:t>ón</w:t>
      </w:r>
      <w:r w:rsidRPr="00333497">
        <w:rPr>
          <w:rFonts w:ascii="Cambria" w:hAnsi="Cambria" w:cs="Calibri"/>
          <w:sz w:val="20"/>
          <w:szCs w:val="20"/>
          <w:lang w:val="es-ES"/>
        </w:rPr>
        <w:t xml:space="preserve"> pericial: </w:t>
      </w:r>
    </w:p>
    <w:p w14:paraId="257BBD38" w14:textId="77777777" w:rsidR="0014432C" w:rsidRPr="00333497" w:rsidRDefault="0014432C" w:rsidP="00162CE1">
      <w:pPr>
        <w:spacing w:after="0" w:line="240" w:lineRule="auto"/>
        <w:ind w:firstLine="720"/>
        <w:jc w:val="both"/>
        <w:rPr>
          <w:rFonts w:ascii="Cambria" w:hAnsi="Cambria" w:cs="Calibri"/>
          <w:sz w:val="20"/>
          <w:szCs w:val="20"/>
          <w:lang w:val="es-ES"/>
        </w:rPr>
      </w:pPr>
    </w:p>
    <w:p w14:paraId="1716C1B9" w14:textId="77777777" w:rsidR="0082191F" w:rsidRPr="00333497" w:rsidRDefault="008F7152" w:rsidP="00563EFC">
      <w:pPr>
        <w:spacing w:after="0" w:line="240" w:lineRule="auto"/>
        <w:ind w:firstLine="720"/>
        <w:jc w:val="both"/>
        <w:rPr>
          <w:rFonts w:ascii="Cambria" w:hAnsi="Cambria"/>
          <w:sz w:val="20"/>
          <w:szCs w:val="20"/>
          <w:lang w:val="es-ES_tradnl"/>
        </w:rPr>
      </w:pPr>
      <w:r w:rsidRPr="00333497">
        <w:rPr>
          <w:rFonts w:ascii="Cambria" w:hAnsi="Cambria"/>
          <w:b/>
          <w:sz w:val="20"/>
          <w:szCs w:val="20"/>
          <w:lang w:val="es-ES"/>
        </w:rPr>
        <w:t>Perito/a, cuyo nombre será informado a la brevedad</w:t>
      </w:r>
      <w:r w:rsidRPr="00333497">
        <w:rPr>
          <w:rFonts w:ascii="Cambria" w:hAnsi="Cambria"/>
          <w:sz w:val="20"/>
          <w:szCs w:val="20"/>
          <w:lang w:val="es-ES"/>
        </w:rPr>
        <w:t>, q</w:t>
      </w:r>
      <w:r w:rsidRPr="00333497">
        <w:rPr>
          <w:rFonts w:ascii="Cambria" w:hAnsi="Cambria" w:cs="Calibri"/>
          <w:sz w:val="20"/>
          <w:szCs w:val="20"/>
          <w:lang w:val="es-ES"/>
        </w:rPr>
        <w:t xml:space="preserve">uien declarará </w:t>
      </w:r>
      <w:r w:rsidR="00694376">
        <w:rPr>
          <w:rFonts w:ascii="Cambria" w:hAnsi="Cambria" w:cs="Calibri"/>
          <w:sz w:val="20"/>
          <w:szCs w:val="20"/>
          <w:lang w:val="es-ES"/>
        </w:rPr>
        <w:t xml:space="preserve">sobre </w:t>
      </w:r>
      <w:r w:rsidR="00563EFC">
        <w:rPr>
          <w:rFonts w:ascii="Cambria" w:hAnsi="Cambria" w:cs="Calibri"/>
          <w:sz w:val="20"/>
          <w:szCs w:val="20"/>
          <w:lang w:val="es-ES"/>
        </w:rPr>
        <w:t xml:space="preserve">las obligaciones del Estado en materia de detención preventiva, en particular, en lo referente a los motivos para sustentarla, al tiempo de duración y a la revisión periódica de la misma. </w:t>
      </w:r>
      <w:r w:rsidR="00563EFC">
        <w:rPr>
          <w:rFonts w:ascii="Cambria" w:hAnsi="Cambria"/>
          <w:sz w:val="20"/>
          <w:szCs w:val="20"/>
          <w:lang w:val="es-ES"/>
        </w:rPr>
        <w:t xml:space="preserve">Adicionalmente, el/la perito/a se referirá a </w:t>
      </w:r>
      <w:r w:rsidR="00694376">
        <w:rPr>
          <w:rFonts w:ascii="Cambria" w:hAnsi="Cambria" w:cs="Calibri"/>
          <w:sz w:val="20"/>
          <w:szCs w:val="20"/>
          <w:lang w:val="es-ES"/>
        </w:rPr>
        <w:t xml:space="preserve">la prohibición de </w:t>
      </w:r>
      <w:r w:rsidR="00694376" w:rsidRPr="00F148DD">
        <w:rPr>
          <w:rFonts w:ascii="Cambria" w:hAnsi="Cambria"/>
          <w:sz w:val="20"/>
          <w:szCs w:val="20"/>
          <w:lang w:val="es-ES"/>
        </w:rPr>
        <w:t>la aplicación de la justicia</w:t>
      </w:r>
      <w:r w:rsidR="00694376">
        <w:rPr>
          <w:rFonts w:ascii="Cambria" w:hAnsi="Cambria"/>
          <w:sz w:val="20"/>
          <w:szCs w:val="20"/>
          <w:lang w:val="es-ES"/>
        </w:rPr>
        <w:t xml:space="preserve"> penal</w:t>
      </w:r>
      <w:r w:rsidR="00694376" w:rsidRPr="00F148DD">
        <w:rPr>
          <w:rFonts w:ascii="Cambria" w:hAnsi="Cambria"/>
          <w:sz w:val="20"/>
          <w:szCs w:val="20"/>
          <w:lang w:val="es-ES"/>
        </w:rPr>
        <w:t xml:space="preserve"> militar</w:t>
      </w:r>
      <w:r w:rsidR="00694376">
        <w:rPr>
          <w:rFonts w:ascii="Cambria" w:hAnsi="Cambria"/>
          <w:sz w:val="20"/>
          <w:szCs w:val="20"/>
          <w:lang w:val="es-ES"/>
        </w:rPr>
        <w:t xml:space="preserve"> </w:t>
      </w:r>
      <w:r w:rsidR="00FB0B22">
        <w:rPr>
          <w:rFonts w:ascii="Cambria" w:hAnsi="Cambria"/>
          <w:sz w:val="20"/>
          <w:szCs w:val="20"/>
          <w:lang w:val="es-ES"/>
        </w:rPr>
        <w:t xml:space="preserve">para juzgar </w:t>
      </w:r>
      <w:r w:rsidR="00694376">
        <w:rPr>
          <w:rFonts w:ascii="Cambria" w:hAnsi="Cambria"/>
          <w:sz w:val="20"/>
          <w:szCs w:val="20"/>
          <w:lang w:val="es-ES"/>
        </w:rPr>
        <w:t>a militares retirados</w:t>
      </w:r>
      <w:r w:rsidR="00FB0B22">
        <w:rPr>
          <w:rFonts w:ascii="Cambria" w:hAnsi="Cambria"/>
          <w:sz w:val="20"/>
          <w:szCs w:val="20"/>
          <w:lang w:val="es-ES"/>
        </w:rPr>
        <w:t xml:space="preserve">. </w:t>
      </w:r>
      <w:r w:rsidR="0082191F" w:rsidRPr="00333497">
        <w:rPr>
          <w:rFonts w:ascii="Cambria" w:hAnsi="Cambria"/>
          <w:sz w:val="20"/>
          <w:szCs w:val="20"/>
          <w:lang w:val="es-ES_tradnl"/>
        </w:rPr>
        <w:t xml:space="preserve">En la medida de lo pertinente, el/la perito/a se referirá a otros sistemas internacionales </w:t>
      </w:r>
      <w:r w:rsidR="0082191F" w:rsidRPr="00333497">
        <w:rPr>
          <w:rFonts w:ascii="Cambria" w:eastAsia="Times New Roman" w:hAnsi="Cambria" w:cs="Cambria"/>
          <w:sz w:val="20"/>
          <w:szCs w:val="20"/>
          <w:lang w:val="es-CO"/>
        </w:rPr>
        <w:t xml:space="preserve">de protección de derechos humanos y al derecho comparado. Para ejemplificar el desarrollo de su peritaje, el/la perito/a podrá </w:t>
      </w:r>
      <w:r w:rsidR="00910C01" w:rsidRPr="00333497">
        <w:rPr>
          <w:rFonts w:ascii="Cambria" w:eastAsia="Times New Roman" w:hAnsi="Cambria" w:cs="Cambria"/>
          <w:sz w:val="20"/>
          <w:szCs w:val="20"/>
          <w:lang w:val="es-CO"/>
        </w:rPr>
        <w:t>referirse a los hechos del caso.</w:t>
      </w:r>
    </w:p>
    <w:p w14:paraId="5F128868" w14:textId="77777777" w:rsidR="0082191F" w:rsidRPr="00333497" w:rsidRDefault="0082191F" w:rsidP="00517525">
      <w:pPr>
        <w:spacing w:after="0" w:line="240" w:lineRule="auto"/>
        <w:ind w:firstLine="720"/>
        <w:jc w:val="both"/>
        <w:rPr>
          <w:rFonts w:ascii="Cambria" w:hAnsi="Cambria" w:cs="Calibri"/>
          <w:sz w:val="20"/>
          <w:szCs w:val="20"/>
          <w:lang w:val="es-ES"/>
        </w:rPr>
      </w:pPr>
    </w:p>
    <w:p w14:paraId="6507F271" w14:textId="77777777" w:rsidR="00162CE1" w:rsidRPr="00333497" w:rsidRDefault="00162CE1" w:rsidP="00162CE1">
      <w:pPr>
        <w:spacing w:after="0" w:line="240" w:lineRule="auto"/>
        <w:jc w:val="both"/>
        <w:rPr>
          <w:rFonts w:ascii="Cambria" w:hAnsi="Cambria" w:cs="Calibri"/>
          <w:sz w:val="20"/>
          <w:szCs w:val="20"/>
          <w:lang w:val="es-ES"/>
        </w:rPr>
      </w:pPr>
      <w:r w:rsidRPr="00333497">
        <w:rPr>
          <w:rFonts w:ascii="Cambria" w:hAnsi="Cambria" w:cs="Calibri"/>
          <w:sz w:val="20"/>
          <w:szCs w:val="20"/>
          <w:lang w:val="es-ES"/>
        </w:rPr>
        <w:tab/>
      </w:r>
      <w:r w:rsidR="009A0971" w:rsidRPr="00333497">
        <w:rPr>
          <w:rFonts w:ascii="Cambria" w:hAnsi="Cambria" w:cs="Calibri"/>
          <w:sz w:val="20"/>
          <w:szCs w:val="20"/>
          <w:lang w:val="es-ES"/>
        </w:rPr>
        <w:t xml:space="preserve">El </w:t>
      </w:r>
      <w:r w:rsidRPr="00333497">
        <w:rPr>
          <w:rFonts w:ascii="Cambria" w:hAnsi="Cambria" w:cs="Calibri"/>
          <w:sz w:val="20"/>
          <w:szCs w:val="20"/>
          <w:lang w:val="es-ES"/>
        </w:rPr>
        <w:t xml:space="preserve">CV del/a perito/a propuesto/a será incluido en los anexos al </w:t>
      </w:r>
      <w:r w:rsidR="00E6263B" w:rsidRPr="00333497">
        <w:rPr>
          <w:rFonts w:ascii="Cambria" w:hAnsi="Cambria" w:cs="Calibri"/>
          <w:sz w:val="20"/>
          <w:szCs w:val="20"/>
          <w:lang w:val="es-ES"/>
        </w:rPr>
        <w:t xml:space="preserve">Informe de Fondo No. </w:t>
      </w:r>
      <w:r w:rsidR="0099038C">
        <w:rPr>
          <w:rFonts w:ascii="Cambria" w:hAnsi="Cambria" w:cs="Calibri"/>
          <w:sz w:val="20"/>
          <w:szCs w:val="20"/>
          <w:lang w:val="es-ES"/>
        </w:rPr>
        <w:t>13</w:t>
      </w:r>
      <w:r w:rsidR="0082191F" w:rsidRPr="00333497">
        <w:rPr>
          <w:rFonts w:ascii="Cambria" w:hAnsi="Cambria" w:cs="Calibri"/>
          <w:sz w:val="20"/>
          <w:szCs w:val="20"/>
          <w:lang w:val="es-ES"/>
        </w:rPr>
        <w:t>/19</w:t>
      </w:r>
      <w:r w:rsidRPr="00333497">
        <w:rPr>
          <w:rFonts w:ascii="Cambria" w:hAnsi="Cambria" w:cs="Calibri"/>
          <w:sz w:val="20"/>
          <w:szCs w:val="20"/>
          <w:lang w:val="es-ES"/>
        </w:rPr>
        <w:t xml:space="preserve">. </w:t>
      </w:r>
    </w:p>
    <w:p w14:paraId="7CECD222" w14:textId="77777777" w:rsidR="00162CE1" w:rsidRPr="00333497" w:rsidRDefault="00162CE1" w:rsidP="00162CE1">
      <w:pPr>
        <w:spacing w:after="0" w:line="240" w:lineRule="auto"/>
        <w:jc w:val="both"/>
        <w:rPr>
          <w:rFonts w:ascii="Cambria" w:hAnsi="Cambria" w:cs="Calibri"/>
          <w:sz w:val="20"/>
          <w:szCs w:val="20"/>
          <w:lang w:val="es-ES"/>
        </w:rPr>
      </w:pPr>
    </w:p>
    <w:p w14:paraId="24465093" w14:textId="77777777" w:rsidR="00162CE1" w:rsidRPr="00333497" w:rsidRDefault="00162CE1" w:rsidP="00162CE1">
      <w:pPr>
        <w:spacing w:after="0" w:line="240" w:lineRule="auto"/>
        <w:jc w:val="both"/>
        <w:rPr>
          <w:rFonts w:ascii="Cambria" w:hAnsi="Cambria" w:cs="Calibri"/>
          <w:sz w:val="20"/>
          <w:szCs w:val="20"/>
          <w:lang w:val="es-ES"/>
        </w:rPr>
      </w:pPr>
      <w:r w:rsidRPr="00333497">
        <w:rPr>
          <w:rFonts w:ascii="Cambria" w:hAnsi="Cambria" w:cs="Calibri"/>
          <w:sz w:val="20"/>
          <w:szCs w:val="20"/>
          <w:lang w:val="es-ES"/>
        </w:rPr>
        <w:tab/>
        <w:t xml:space="preserve">La Comisión pone en conocimiento de la Honorable Corte la siguiente información de quien </w:t>
      </w:r>
      <w:r w:rsidR="009A0971" w:rsidRPr="00333497">
        <w:rPr>
          <w:rFonts w:ascii="Cambria" w:hAnsi="Cambria" w:cs="Calibri"/>
          <w:sz w:val="20"/>
          <w:szCs w:val="20"/>
          <w:lang w:val="es-ES"/>
        </w:rPr>
        <w:t>actúa como parte peticionaria en el trámite ante la CIDH conforme a la información más reciente</w:t>
      </w:r>
      <w:r w:rsidR="00AB70F2" w:rsidRPr="00333497">
        <w:rPr>
          <w:rFonts w:ascii="Cambria" w:hAnsi="Cambria" w:cs="Calibri"/>
          <w:sz w:val="20"/>
          <w:szCs w:val="20"/>
          <w:lang w:val="es-ES"/>
        </w:rPr>
        <w:t>:</w:t>
      </w:r>
    </w:p>
    <w:p w14:paraId="388DD25F" w14:textId="77777777" w:rsidR="00005ED3" w:rsidRPr="00333497" w:rsidRDefault="00005ED3" w:rsidP="00162CE1">
      <w:pPr>
        <w:spacing w:after="0" w:line="240" w:lineRule="auto"/>
        <w:jc w:val="both"/>
        <w:rPr>
          <w:rFonts w:ascii="Cambria" w:hAnsi="Cambria" w:cs="Calibri"/>
          <w:sz w:val="20"/>
          <w:szCs w:val="20"/>
          <w:lang w:val="es-ES"/>
        </w:rPr>
      </w:pPr>
    </w:p>
    <w:p w14:paraId="33CC5E7B" w14:textId="77777777" w:rsidR="00005ED3" w:rsidRPr="00333497" w:rsidRDefault="00795EEE" w:rsidP="00C82F29">
      <w:pPr>
        <w:tabs>
          <w:tab w:val="left" w:pos="1455"/>
        </w:tabs>
        <w:spacing w:after="0" w:line="240" w:lineRule="auto"/>
        <w:jc w:val="center"/>
        <w:rPr>
          <w:rFonts w:ascii="Cambria" w:hAnsi="Cambria"/>
          <w:color w:val="000000"/>
          <w:sz w:val="20"/>
          <w:szCs w:val="20"/>
          <w:lang w:val="es-ES"/>
        </w:rPr>
      </w:pPr>
      <w:r w:rsidRPr="00333497">
        <w:rPr>
          <w:rFonts w:ascii="Cambria" w:hAnsi="Cambria" w:cs="Calibri"/>
          <w:sz w:val="20"/>
          <w:szCs w:val="20"/>
          <w:highlight w:val="yellow"/>
          <w:lang w:val="es-ES"/>
        </w:rPr>
        <w:t>XX</w:t>
      </w:r>
    </w:p>
    <w:p w14:paraId="4251519A" w14:textId="77777777" w:rsidR="00005ED3" w:rsidRPr="00333497" w:rsidRDefault="00005ED3" w:rsidP="00C82F29">
      <w:pPr>
        <w:tabs>
          <w:tab w:val="left" w:pos="1455"/>
        </w:tabs>
        <w:spacing w:after="0" w:line="240" w:lineRule="auto"/>
        <w:jc w:val="center"/>
        <w:rPr>
          <w:rFonts w:ascii="Cambria" w:hAnsi="Cambria" w:cs="Calibri"/>
          <w:sz w:val="20"/>
          <w:szCs w:val="20"/>
          <w:lang w:val="es-ES"/>
        </w:rPr>
      </w:pPr>
    </w:p>
    <w:p w14:paraId="44B44E45" w14:textId="77777777" w:rsidR="00C82F29" w:rsidRPr="00333497" w:rsidRDefault="00C82F29" w:rsidP="00C82F29">
      <w:pPr>
        <w:spacing w:after="0" w:line="240" w:lineRule="auto"/>
        <w:ind w:firstLine="720"/>
        <w:jc w:val="both"/>
        <w:rPr>
          <w:rFonts w:ascii="Cambria" w:hAnsi="Cambria" w:cs="Calibri"/>
          <w:sz w:val="20"/>
          <w:szCs w:val="20"/>
          <w:lang w:val="es-ES"/>
        </w:rPr>
      </w:pPr>
      <w:r w:rsidRPr="00333497">
        <w:rPr>
          <w:rFonts w:ascii="Cambria" w:hAnsi="Cambria" w:cs="Calibri"/>
          <w:sz w:val="20"/>
          <w:szCs w:val="20"/>
          <w:lang w:val="es-ES"/>
        </w:rPr>
        <w:t>Aprovecho la oportunidad para saludar a usted muy atentamente,</w:t>
      </w:r>
    </w:p>
    <w:p w14:paraId="542B984A" w14:textId="77777777" w:rsidR="00C82F29" w:rsidRPr="00333497" w:rsidRDefault="00C82F29" w:rsidP="00C82F29">
      <w:pPr>
        <w:spacing w:after="0" w:line="240" w:lineRule="auto"/>
        <w:jc w:val="both"/>
        <w:rPr>
          <w:rFonts w:ascii="Cambria" w:hAnsi="Cambria" w:cs="Calibri"/>
          <w:sz w:val="20"/>
          <w:szCs w:val="20"/>
          <w:lang w:val="es-ES"/>
        </w:rPr>
      </w:pPr>
    </w:p>
    <w:p w14:paraId="277E25F4" w14:textId="77777777" w:rsidR="00C82F29" w:rsidRPr="00333497" w:rsidRDefault="00C82F29" w:rsidP="00C82F29">
      <w:pPr>
        <w:spacing w:after="0" w:line="240" w:lineRule="auto"/>
        <w:jc w:val="both"/>
        <w:rPr>
          <w:rFonts w:ascii="Cambria" w:hAnsi="Cambria" w:cs="Calibri"/>
          <w:sz w:val="20"/>
          <w:szCs w:val="20"/>
          <w:lang w:val="es-ES"/>
        </w:rPr>
      </w:pPr>
    </w:p>
    <w:p w14:paraId="2D82B7AA" w14:textId="77777777" w:rsidR="00CF68B8" w:rsidRPr="00333497" w:rsidRDefault="00CF68B8" w:rsidP="00C82F29">
      <w:pPr>
        <w:spacing w:after="0" w:line="240" w:lineRule="auto"/>
        <w:jc w:val="both"/>
        <w:rPr>
          <w:rFonts w:ascii="Cambria" w:hAnsi="Cambria" w:cs="Calibri"/>
          <w:sz w:val="20"/>
          <w:szCs w:val="20"/>
          <w:lang w:val="es-ES"/>
        </w:rPr>
      </w:pPr>
    </w:p>
    <w:p w14:paraId="0ACCCD2D" w14:textId="77777777" w:rsidR="00CF68B8" w:rsidRDefault="00CF68B8" w:rsidP="00C82F29">
      <w:pPr>
        <w:spacing w:after="0" w:line="240" w:lineRule="auto"/>
        <w:jc w:val="both"/>
        <w:rPr>
          <w:rFonts w:ascii="Cambria" w:hAnsi="Cambria" w:cs="Calibri"/>
          <w:sz w:val="20"/>
          <w:szCs w:val="20"/>
          <w:lang w:val="es-ES"/>
        </w:rPr>
      </w:pPr>
    </w:p>
    <w:p w14:paraId="6DE7F7B5" w14:textId="77777777" w:rsidR="00563EFC" w:rsidRPr="00333497" w:rsidRDefault="00563EFC" w:rsidP="00C82F29">
      <w:pPr>
        <w:spacing w:after="0" w:line="240" w:lineRule="auto"/>
        <w:jc w:val="both"/>
        <w:rPr>
          <w:rFonts w:ascii="Cambria" w:hAnsi="Cambria" w:cs="Calibri"/>
          <w:sz w:val="20"/>
          <w:szCs w:val="20"/>
          <w:lang w:val="es-ES"/>
        </w:rPr>
      </w:pPr>
    </w:p>
    <w:p w14:paraId="7716DC14" w14:textId="77777777" w:rsidR="00C82F29" w:rsidRPr="00333497" w:rsidRDefault="00C82F29" w:rsidP="00C82F29">
      <w:pPr>
        <w:spacing w:after="0" w:line="240" w:lineRule="auto"/>
        <w:jc w:val="both"/>
        <w:rPr>
          <w:rFonts w:ascii="Cambria" w:hAnsi="Cambria" w:cs="Calibri"/>
          <w:sz w:val="20"/>
          <w:szCs w:val="20"/>
          <w:lang w:val="es-ES"/>
        </w:rPr>
      </w:pPr>
    </w:p>
    <w:p w14:paraId="4305D8E3" w14:textId="77777777" w:rsidR="00C82F29" w:rsidRPr="00333497" w:rsidRDefault="00795EEE" w:rsidP="00005ED3">
      <w:pPr>
        <w:tabs>
          <w:tab w:val="left" w:pos="4500"/>
        </w:tabs>
        <w:spacing w:after="0" w:line="240" w:lineRule="auto"/>
        <w:ind w:left="4500"/>
        <w:rPr>
          <w:rFonts w:ascii="Cambria" w:hAnsi="Cambria" w:cs="Calibri"/>
          <w:sz w:val="20"/>
          <w:szCs w:val="20"/>
          <w:lang w:val="pt-BR"/>
        </w:rPr>
      </w:pPr>
      <w:r w:rsidRPr="00333497">
        <w:rPr>
          <w:rFonts w:ascii="Cambria" w:hAnsi="Cambria" w:cs="Calibri"/>
          <w:sz w:val="20"/>
          <w:szCs w:val="20"/>
          <w:lang w:val="pt-BR"/>
        </w:rPr>
        <w:t>Marisol Blanchard Vera</w:t>
      </w:r>
    </w:p>
    <w:p w14:paraId="525E4C6A" w14:textId="77777777" w:rsidR="00C82F29" w:rsidRPr="00333497" w:rsidRDefault="00005ED3" w:rsidP="00005ED3">
      <w:pPr>
        <w:tabs>
          <w:tab w:val="left" w:pos="4500"/>
        </w:tabs>
        <w:spacing w:after="0" w:line="240" w:lineRule="auto"/>
        <w:rPr>
          <w:rFonts w:ascii="Cambria" w:hAnsi="Cambria" w:cs="Calibri"/>
          <w:sz w:val="20"/>
          <w:szCs w:val="20"/>
          <w:lang w:val="pt-BR"/>
        </w:rPr>
      </w:pPr>
      <w:r w:rsidRPr="00333497">
        <w:rPr>
          <w:rFonts w:ascii="Cambria" w:hAnsi="Cambria" w:cs="Calibri"/>
          <w:sz w:val="20"/>
          <w:szCs w:val="20"/>
          <w:lang w:val="pt-BR"/>
        </w:rPr>
        <w:t xml:space="preserve">                                                                                     </w:t>
      </w:r>
      <w:r w:rsidR="00795EEE" w:rsidRPr="00333497">
        <w:rPr>
          <w:rFonts w:ascii="Cambria" w:hAnsi="Cambria" w:cs="Calibri"/>
          <w:sz w:val="20"/>
          <w:szCs w:val="20"/>
          <w:lang w:val="pt-BR"/>
        </w:rPr>
        <w:t xml:space="preserve">            Secretaria Ejecutiva Adjunta</w:t>
      </w:r>
    </w:p>
    <w:p w14:paraId="06A65115" w14:textId="77777777" w:rsidR="00005ED3" w:rsidRPr="00333497" w:rsidRDefault="00005ED3" w:rsidP="00BB4AB9">
      <w:pPr>
        <w:spacing w:after="0" w:line="240" w:lineRule="auto"/>
        <w:jc w:val="both"/>
        <w:rPr>
          <w:rFonts w:ascii="Cambria" w:hAnsi="Cambria" w:cs="Calibri"/>
          <w:sz w:val="20"/>
          <w:szCs w:val="20"/>
          <w:lang w:val="pt-BR"/>
        </w:rPr>
      </w:pPr>
    </w:p>
    <w:p w14:paraId="35814C8D" w14:textId="77777777" w:rsidR="00005ED3" w:rsidRPr="00333497" w:rsidRDefault="00005ED3" w:rsidP="00BB4AB9">
      <w:pPr>
        <w:spacing w:after="0" w:line="240" w:lineRule="auto"/>
        <w:jc w:val="both"/>
        <w:rPr>
          <w:rFonts w:ascii="Cambria" w:hAnsi="Cambria" w:cs="Calibri"/>
          <w:sz w:val="20"/>
          <w:szCs w:val="20"/>
          <w:lang w:val="pt-BR"/>
        </w:rPr>
      </w:pPr>
    </w:p>
    <w:p w14:paraId="3C62805C" w14:textId="77777777" w:rsidR="00237ECE" w:rsidRPr="00333497" w:rsidRDefault="00C82F29" w:rsidP="00BB4AB9">
      <w:pPr>
        <w:spacing w:after="0" w:line="240" w:lineRule="auto"/>
        <w:jc w:val="both"/>
        <w:rPr>
          <w:rFonts w:ascii="Cambria" w:hAnsi="Cambria" w:cs="Calibri"/>
          <w:sz w:val="20"/>
          <w:szCs w:val="20"/>
          <w:lang w:val="pt-BR"/>
        </w:rPr>
      </w:pPr>
      <w:r w:rsidRPr="00333497">
        <w:rPr>
          <w:rFonts w:ascii="Cambria" w:hAnsi="Cambria" w:cs="Calibri"/>
          <w:sz w:val="20"/>
          <w:szCs w:val="20"/>
          <w:lang w:val="pt-BR"/>
        </w:rPr>
        <w:t>Anexo</w:t>
      </w:r>
    </w:p>
    <w:sectPr w:rsidR="00237ECE" w:rsidRPr="00333497"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A53BB9" w14:textId="77777777" w:rsidR="00311B2D" w:rsidRDefault="00311B2D">
      <w:pPr>
        <w:spacing w:after="0" w:line="240" w:lineRule="auto"/>
      </w:pPr>
      <w:r>
        <w:separator/>
      </w:r>
    </w:p>
  </w:endnote>
  <w:endnote w:type="continuationSeparator" w:id="0">
    <w:p w14:paraId="680BDB8A" w14:textId="77777777" w:rsidR="00311B2D" w:rsidRDefault="00311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mbria"/>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60C7F"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8C0E95">
      <w:rPr>
        <w:noProof/>
        <w:sz w:val="18"/>
        <w:szCs w:val="18"/>
      </w:rPr>
      <w:t>2</w:t>
    </w:r>
    <w:r w:rsidRPr="0060615D">
      <w:rPr>
        <w:noProof/>
        <w:sz w:val="18"/>
        <w:szCs w:val="18"/>
      </w:rPr>
      <w:fldChar w:fldCharType="end"/>
    </w:r>
  </w:p>
  <w:p w14:paraId="779A5906" w14:textId="77777777" w:rsidR="00162CE1" w:rsidRDefault="00162C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054FE" w14:textId="77777777" w:rsidR="00162CE1" w:rsidRDefault="00162CE1" w:rsidP="00162CE1">
    <w:pPr>
      <w:pStyle w:val="Piedepgina"/>
      <w:spacing w:line="360" w:lineRule="auto"/>
    </w:pPr>
    <w:r>
      <w:pict w14:anchorId="662EAB2F">
        <v:rect id="_x0000_i1026" style="width:0;height:1.5pt" o:hralign="center" o:hrstd="t" o:hr="t" fillcolor="#a0a0a0" stroked="f"/>
      </w:pict>
    </w:r>
  </w:p>
  <w:p w14:paraId="71D95C6E" w14:textId="42392064" w:rsidR="00162CE1" w:rsidRDefault="00C13C21" w:rsidP="00162CE1">
    <w:pPr>
      <w:pStyle w:val="Piedepgina"/>
      <w:jc w:val="center"/>
    </w:pPr>
    <w:r w:rsidRPr="008A5CB5">
      <w:rPr>
        <w:noProof/>
      </w:rPr>
      <w:drawing>
        <wp:inline distT="0" distB="0" distL="0" distR="0" wp14:anchorId="305477DF" wp14:editId="54A111EA">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39535" w14:textId="77777777" w:rsidR="00311B2D" w:rsidRDefault="00311B2D">
      <w:pPr>
        <w:spacing w:after="0" w:line="240" w:lineRule="auto"/>
      </w:pPr>
      <w:r>
        <w:separator/>
      </w:r>
    </w:p>
  </w:footnote>
  <w:footnote w:type="continuationSeparator" w:id="0">
    <w:p w14:paraId="4424E410" w14:textId="77777777" w:rsidR="00311B2D" w:rsidRDefault="00311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C9371" w14:textId="365920A7" w:rsidR="00162CE1" w:rsidRPr="0058688A" w:rsidRDefault="00C13C21" w:rsidP="00162CE1">
    <w:pPr>
      <w:pStyle w:val="Encabezado"/>
      <w:jc w:val="center"/>
      <w:rPr>
        <w:lang w:val="es-ES_tradnl"/>
      </w:rPr>
    </w:pPr>
    <w:r>
      <w:rPr>
        <w:noProof/>
        <w:lang w:val="es-ES_tradnl"/>
      </w:rPr>
      <w:drawing>
        <wp:inline distT="0" distB="0" distL="0" distR="0" wp14:anchorId="140DD5EC" wp14:editId="67D6CBE6">
          <wp:extent cx="2286000" cy="1238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72311789" w14:textId="77777777" w:rsidR="00162CE1" w:rsidRDefault="00162CE1">
    <w:pPr>
      <w:pStyle w:val="Encabezado"/>
    </w:pPr>
    <w:r>
      <w:pict w14:anchorId="35D54510">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21AC5" w14:textId="7466BC0A" w:rsidR="00162CE1" w:rsidRDefault="00C13C21" w:rsidP="00162CE1">
    <w:pPr>
      <w:pStyle w:val="Encabezado"/>
    </w:pPr>
    <w:r w:rsidRPr="008A5CB5">
      <w:rPr>
        <w:noProof/>
      </w:rPr>
      <w:drawing>
        <wp:inline distT="0" distB="0" distL="0" distR="0" wp14:anchorId="71D483AA" wp14:editId="1C1BDFD5">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00CC1529" wp14:editId="5CC8FDEC">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2049BAA1" w14:textId="77777777" w:rsidR="00162CE1" w:rsidRDefault="00162CE1" w:rsidP="00162CE1">
    <w:pPr>
      <w:pStyle w:val="Encabezado"/>
    </w:pPr>
  </w:p>
  <w:p w14:paraId="47897BC5" w14:textId="77777777" w:rsidR="00162CE1" w:rsidRDefault="00162CE1" w:rsidP="00162CE1">
    <w:pPr>
      <w:pStyle w:val="Encabezado"/>
    </w:pPr>
    <w:r>
      <w:pict w14:anchorId="51C74F01">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7E7A"/>
    <w:rsid w:val="00031EB1"/>
    <w:rsid w:val="00036FC7"/>
    <w:rsid w:val="000751DF"/>
    <w:rsid w:val="00076DBF"/>
    <w:rsid w:val="00077DE5"/>
    <w:rsid w:val="00077FF7"/>
    <w:rsid w:val="00084078"/>
    <w:rsid w:val="000A45AD"/>
    <w:rsid w:val="000A4754"/>
    <w:rsid w:val="000A4B14"/>
    <w:rsid w:val="000B1138"/>
    <w:rsid w:val="000B3053"/>
    <w:rsid w:val="000C140C"/>
    <w:rsid w:val="000C5BFC"/>
    <w:rsid w:val="000D164E"/>
    <w:rsid w:val="000D2623"/>
    <w:rsid w:val="000D26A9"/>
    <w:rsid w:val="000D4633"/>
    <w:rsid w:val="000D4AE6"/>
    <w:rsid w:val="000E0F2F"/>
    <w:rsid w:val="000E2431"/>
    <w:rsid w:val="000F23FB"/>
    <w:rsid w:val="000F291B"/>
    <w:rsid w:val="00107B94"/>
    <w:rsid w:val="001217D9"/>
    <w:rsid w:val="00131B3B"/>
    <w:rsid w:val="00134CFC"/>
    <w:rsid w:val="00140652"/>
    <w:rsid w:val="00141387"/>
    <w:rsid w:val="00143EB4"/>
    <w:rsid w:val="0014432C"/>
    <w:rsid w:val="00146EE3"/>
    <w:rsid w:val="0015496C"/>
    <w:rsid w:val="00157476"/>
    <w:rsid w:val="00162CE1"/>
    <w:rsid w:val="00170E12"/>
    <w:rsid w:val="00176C72"/>
    <w:rsid w:val="001770EE"/>
    <w:rsid w:val="001904F6"/>
    <w:rsid w:val="001942E2"/>
    <w:rsid w:val="00196D6F"/>
    <w:rsid w:val="001A7EDF"/>
    <w:rsid w:val="001B08B2"/>
    <w:rsid w:val="001B08F9"/>
    <w:rsid w:val="001C2AED"/>
    <w:rsid w:val="001D0C4D"/>
    <w:rsid w:val="001D5161"/>
    <w:rsid w:val="001E5256"/>
    <w:rsid w:val="001E59D8"/>
    <w:rsid w:val="00206412"/>
    <w:rsid w:val="002219A9"/>
    <w:rsid w:val="00226BCD"/>
    <w:rsid w:val="00234AC6"/>
    <w:rsid w:val="00237ECE"/>
    <w:rsid w:val="002426D8"/>
    <w:rsid w:val="00245F50"/>
    <w:rsid w:val="002534CD"/>
    <w:rsid w:val="002568CD"/>
    <w:rsid w:val="0027604A"/>
    <w:rsid w:val="002A19E1"/>
    <w:rsid w:val="002B64DC"/>
    <w:rsid w:val="002D2985"/>
    <w:rsid w:val="002E48D6"/>
    <w:rsid w:val="002E780D"/>
    <w:rsid w:val="002F6526"/>
    <w:rsid w:val="0030700B"/>
    <w:rsid w:val="00311B2D"/>
    <w:rsid w:val="00312151"/>
    <w:rsid w:val="00316C30"/>
    <w:rsid w:val="00316E75"/>
    <w:rsid w:val="003254D3"/>
    <w:rsid w:val="00325553"/>
    <w:rsid w:val="00331129"/>
    <w:rsid w:val="00333497"/>
    <w:rsid w:val="0033372D"/>
    <w:rsid w:val="00336D34"/>
    <w:rsid w:val="003406ED"/>
    <w:rsid w:val="00343EDF"/>
    <w:rsid w:val="0035292C"/>
    <w:rsid w:val="00362BCC"/>
    <w:rsid w:val="00363DA9"/>
    <w:rsid w:val="00374F28"/>
    <w:rsid w:val="00377262"/>
    <w:rsid w:val="00387D83"/>
    <w:rsid w:val="003904CF"/>
    <w:rsid w:val="003968A2"/>
    <w:rsid w:val="003A6DEC"/>
    <w:rsid w:val="003A71C5"/>
    <w:rsid w:val="003A7B52"/>
    <w:rsid w:val="003D3F6E"/>
    <w:rsid w:val="003D4DD9"/>
    <w:rsid w:val="003E14A3"/>
    <w:rsid w:val="004051B3"/>
    <w:rsid w:val="00407877"/>
    <w:rsid w:val="004103EC"/>
    <w:rsid w:val="00415488"/>
    <w:rsid w:val="004173F3"/>
    <w:rsid w:val="0042403B"/>
    <w:rsid w:val="00452270"/>
    <w:rsid w:val="00456DAA"/>
    <w:rsid w:val="00475C19"/>
    <w:rsid w:val="0047698B"/>
    <w:rsid w:val="004825F5"/>
    <w:rsid w:val="00491AB8"/>
    <w:rsid w:val="00495F11"/>
    <w:rsid w:val="00496C45"/>
    <w:rsid w:val="004A2758"/>
    <w:rsid w:val="004C11AF"/>
    <w:rsid w:val="004D15E1"/>
    <w:rsid w:val="004D7DF0"/>
    <w:rsid w:val="004D7F1C"/>
    <w:rsid w:val="004E0C4F"/>
    <w:rsid w:val="004E0F5A"/>
    <w:rsid w:val="004E6A6C"/>
    <w:rsid w:val="004F13CD"/>
    <w:rsid w:val="004F3366"/>
    <w:rsid w:val="004F475F"/>
    <w:rsid w:val="004F651D"/>
    <w:rsid w:val="00501326"/>
    <w:rsid w:val="00506DE4"/>
    <w:rsid w:val="00517525"/>
    <w:rsid w:val="005266C2"/>
    <w:rsid w:val="00526C8F"/>
    <w:rsid w:val="00530164"/>
    <w:rsid w:val="005306F3"/>
    <w:rsid w:val="005319E3"/>
    <w:rsid w:val="005334BE"/>
    <w:rsid w:val="00550822"/>
    <w:rsid w:val="00551DD6"/>
    <w:rsid w:val="005570AA"/>
    <w:rsid w:val="00557B7E"/>
    <w:rsid w:val="00560F49"/>
    <w:rsid w:val="00563E22"/>
    <w:rsid w:val="00563EFC"/>
    <w:rsid w:val="00564608"/>
    <w:rsid w:val="005668C4"/>
    <w:rsid w:val="0057349A"/>
    <w:rsid w:val="0057354D"/>
    <w:rsid w:val="0059345A"/>
    <w:rsid w:val="005A4E07"/>
    <w:rsid w:val="005A621F"/>
    <w:rsid w:val="005A7321"/>
    <w:rsid w:val="005B4F61"/>
    <w:rsid w:val="005B6610"/>
    <w:rsid w:val="005C5C37"/>
    <w:rsid w:val="005C693F"/>
    <w:rsid w:val="005C7C22"/>
    <w:rsid w:val="005C7F13"/>
    <w:rsid w:val="005D2B11"/>
    <w:rsid w:val="005E0E8D"/>
    <w:rsid w:val="005E7AE9"/>
    <w:rsid w:val="005F109F"/>
    <w:rsid w:val="005F3FF9"/>
    <w:rsid w:val="0060615D"/>
    <w:rsid w:val="00607CA5"/>
    <w:rsid w:val="00612A1C"/>
    <w:rsid w:val="006238C4"/>
    <w:rsid w:val="006253E4"/>
    <w:rsid w:val="00625C17"/>
    <w:rsid w:val="006344F2"/>
    <w:rsid w:val="00641E26"/>
    <w:rsid w:val="0065299A"/>
    <w:rsid w:val="00661062"/>
    <w:rsid w:val="006634BE"/>
    <w:rsid w:val="00667D8A"/>
    <w:rsid w:val="00670828"/>
    <w:rsid w:val="00681D50"/>
    <w:rsid w:val="00691A97"/>
    <w:rsid w:val="00694376"/>
    <w:rsid w:val="006943A7"/>
    <w:rsid w:val="006A0DDA"/>
    <w:rsid w:val="006C3E16"/>
    <w:rsid w:val="006D45B0"/>
    <w:rsid w:val="006D7A02"/>
    <w:rsid w:val="006F46B8"/>
    <w:rsid w:val="006F4B0C"/>
    <w:rsid w:val="006F5300"/>
    <w:rsid w:val="006F539D"/>
    <w:rsid w:val="00707281"/>
    <w:rsid w:val="00730B2B"/>
    <w:rsid w:val="007401E2"/>
    <w:rsid w:val="00743959"/>
    <w:rsid w:val="0074602A"/>
    <w:rsid w:val="00746A42"/>
    <w:rsid w:val="00770267"/>
    <w:rsid w:val="00775598"/>
    <w:rsid w:val="00777515"/>
    <w:rsid w:val="00782AEB"/>
    <w:rsid w:val="007940B2"/>
    <w:rsid w:val="00795EEE"/>
    <w:rsid w:val="00796DD9"/>
    <w:rsid w:val="007A20BB"/>
    <w:rsid w:val="007B22B5"/>
    <w:rsid w:val="007B7696"/>
    <w:rsid w:val="007C15AB"/>
    <w:rsid w:val="007C42F0"/>
    <w:rsid w:val="007E3EF7"/>
    <w:rsid w:val="0082191F"/>
    <w:rsid w:val="00837A17"/>
    <w:rsid w:val="0084002E"/>
    <w:rsid w:val="0084069E"/>
    <w:rsid w:val="00847BDC"/>
    <w:rsid w:val="00862AD4"/>
    <w:rsid w:val="00863302"/>
    <w:rsid w:val="00864E93"/>
    <w:rsid w:val="0088196F"/>
    <w:rsid w:val="00883E7F"/>
    <w:rsid w:val="00893093"/>
    <w:rsid w:val="008A11E8"/>
    <w:rsid w:val="008A143D"/>
    <w:rsid w:val="008A1F21"/>
    <w:rsid w:val="008A422D"/>
    <w:rsid w:val="008A6113"/>
    <w:rsid w:val="008B3A73"/>
    <w:rsid w:val="008C0E95"/>
    <w:rsid w:val="008C0ECE"/>
    <w:rsid w:val="008C7EBA"/>
    <w:rsid w:val="008D07A3"/>
    <w:rsid w:val="008D5226"/>
    <w:rsid w:val="008D53E2"/>
    <w:rsid w:val="008D72C2"/>
    <w:rsid w:val="008E006A"/>
    <w:rsid w:val="008E3768"/>
    <w:rsid w:val="008F34BF"/>
    <w:rsid w:val="008F7152"/>
    <w:rsid w:val="008F7250"/>
    <w:rsid w:val="009025D4"/>
    <w:rsid w:val="0090766E"/>
    <w:rsid w:val="00910C01"/>
    <w:rsid w:val="00914042"/>
    <w:rsid w:val="0092092D"/>
    <w:rsid w:val="00932AD3"/>
    <w:rsid w:val="00944E4E"/>
    <w:rsid w:val="0095543E"/>
    <w:rsid w:val="00961B44"/>
    <w:rsid w:val="00967A6F"/>
    <w:rsid w:val="00970BC7"/>
    <w:rsid w:val="00977A5C"/>
    <w:rsid w:val="0099038C"/>
    <w:rsid w:val="00990F1C"/>
    <w:rsid w:val="009914FA"/>
    <w:rsid w:val="00992286"/>
    <w:rsid w:val="009A0971"/>
    <w:rsid w:val="009A0E8E"/>
    <w:rsid w:val="009B333D"/>
    <w:rsid w:val="009C1EB7"/>
    <w:rsid w:val="009E23BD"/>
    <w:rsid w:val="009E2CC2"/>
    <w:rsid w:val="009E2EBC"/>
    <w:rsid w:val="009E3BC0"/>
    <w:rsid w:val="009E433A"/>
    <w:rsid w:val="009E6D23"/>
    <w:rsid w:val="009F4C73"/>
    <w:rsid w:val="009F4F6A"/>
    <w:rsid w:val="009F77AA"/>
    <w:rsid w:val="00A03F38"/>
    <w:rsid w:val="00A06FAC"/>
    <w:rsid w:val="00A15067"/>
    <w:rsid w:val="00A15A9A"/>
    <w:rsid w:val="00A2631B"/>
    <w:rsid w:val="00A4186A"/>
    <w:rsid w:val="00A44D63"/>
    <w:rsid w:val="00A500E8"/>
    <w:rsid w:val="00A532CA"/>
    <w:rsid w:val="00A54EEB"/>
    <w:rsid w:val="00A65452"/>
    <w:rsid w:val="00A7442D"/>
    <w:rsid w:val="00A77918"/>
    <w:rsid w:val="00A92321"/>
    <w:rsid w:val="00AB1A5D"/>
    <w:rsid w:val="00AB70F2"/>
    <w:rsid w:val="00AC403E"/>
    <w:rsid w:val="00AD5F3D"/>
    <w:rsid w:val="00AD6936"/>
    <w:rsid w:val="00AE314D"/>
    <w:rsid w:val="00AE5935"/>
    <w:rsid w:val="00AF2B73"/>
    <w:rsid w:val="00AF4B54"/>
    <w:rsid w:val="00AF5BCC"/>
    <w:rsid w:val="00B037A3"/>
    <w:rsid w:val="00B03DD7"/>
    <w:rsid w:val="00B05FFF"/>
    <w:rsid w:val="00B24A53"/>
    <w:rsid w:val="00B30C05"/>
    <w:rsid w:val="00B4147B"/>
    <w:rsid w:val="00B44AD6"/>
    <w:rsid w:val="00B67019"/>
    <w:rsid w:val="00B67CD0"/>
    <w:rsid w:val="00B70B7C"/>
    <w:rsid w:val="00B8038E"/>
    <w:rsid w:val="00B82394"/>
    <w:rsid w:val="00B96B34"/>
    <w:rsid w:val="00BB0160"/>
    <w:rsid w:val="00BB136A"/>
    <w:rsid w:val="00BB2038"/>
    <w:rsid w:val="00BB4AB9"/>
    <w:rsid w:val="00BB720B"/>
    <w:rsid w:val="00BE21C5"/>
    <w:rsid w:val="00BE50F8"/>
    <w:rsid w:val="00BF3C98"/>
    <w:rsid w:val="00C13C21"/>
    <w:rsid w:val="00C22D7B"/>
    <w:rsid w:val="00C24FF7"/>
    <w:rsid w:val="00C250DE"/>
    <w:rsid w:val="00C2673B"/>
    <w:rsid w:val="00C40437"/>
    <w:rsid w:val="00C427E5"/>
    <w:rsid w:val="00C44075"/>
    <w:rsid w:val="00C44C0E"/>
    <w:rsid w:val="00C459F8"/>
    <w:rsid w:val="00C524EE"/>
    <w:rsid w:val="00C52A3C"/>
    <w:rsid w:val="00C5331A"/>
    <w:rsid w:val="00C615C6"/>
    <w:rsid w:val="00C82F29"/>
    <w:rsid w:val="00C86746"/>
    <w:rsid w:val="00C872C8"/>
    <w:rsid w:val="00CB0139"/>
    <w:rsid w:val="00CE18E3"/>
    <w:rsid w:val="00CE18ED"/>
    <w:rsid w:val="00CE60A3"/>
    <w:rsid w:val="00CF68B8"/>
    <w:rsid w:val="00D210E4"/>
    <w:rsid w:val="00D30790"/>
    <w:rsid w:val="00D358CC"/>
    <w:rsid w:val="00D40531"/>
    <w:rsid w:val="00D41DD9"/>
    <w:rsid w:val="00D456E1"/>
    <w:rsid w:val="00D458E2"/>
    <w:rsid w:val="00D507B2"/>
    <w:rsid w:val="00D50C53"/>
    <w:rsid w:val="00D54583"/>
    <w:rsid w:val="00D55740"/>
    <w:rsid w:val="00D618E7"/>
    <w:rsid w:val="00D61BA6"/>
    <w:rsid w:val="00D66EC6"/>
    <w:rsid w:val="00D73B7B"/>
    <w:rsid w:val="00D7730D"/>
    <w:rsid w:val="00D805B3"/>
    <w:rsid w:val="00D8378B"/>
    <w:rsid w:val="00D902D7"/>
    <w:rsid w:val="00D96806"/>
    <w:rsid w:val="00DB03F6"/>
    <w:rsid w:val="00DB56E1"/>
    <w:rsid w:val="00DE0E68"/>
    <w:rsid w:val="00DE2CA0"/>
    <w:rsid w:val="00DE7134"/>
    <w:rsid w:val="00DF3621"/>
    <w:rsid w:val="00DF3B7F"/>
    <w:rsid w:val="00DF46F3"/>
    <w:rsid w:val="00DF4A93"/>
    <w:rsid w:val="00DF7DE3"/>
    <w:rsid w:val="00E073FA"/>
    <w:rsid w:val="00E0780E"/>
    <w:rsid w:val="00E12B66"/>
    <w:rsid w:val="00E16ED1"/>
    <w:rsid w:val="00E17733"/>
    <w:rsid w:val="00E21E08"/>
    <w:rsid w:val="00E25B3F"/>
    <w:rsid w:val="00E26906"/>
    <w:rsid w:val="00E26CD9"/>
    <w:rsid w:val="00E31CFC"/>
    <w:rsid w:val="00E35D60"/>
    <w:rsid w:val="00E405C0"/>
    <w:rsid w:val="00E5346E"/>
    <w:rsid w:val="00E54A1A"/>
    <w:rsid w:val="00E6263B"/>
    <w:rsid w:val="00E6441F"/>
    <w:rsid w:val="00E67F09"/>
    <w:rsid w:val="00E7198B"/>
    <w:rsid w:val="00E828A3"/>
    <w:rsid w:val="00E83947"/>
    <w:rsid w:val="00E85ECE"/>
    <w:rsid w:val="00E939BD"/>
    <w:rsid w:val="00EC655F"/>
    <w:rsid w:val="00ED588B"/>
    <w:rsid w:val="00ED764A"/>
    <w:rsid w:val="00EE2E5E"/>
    <w:rsid w:val="00EE5095"/>
    <w:rsid w:val="00EF2CA7"/>
    <w:rsid w:val="00EF3DD1"/>
    <w:rsid w:val="00F07EE5"/>
    <w:rsid w:val="00F11C02"/>
    <w:rsid w:val="00F353B3"/>
    <w:rsid w:val="00F35BB1"/>
    <w:rsid w:val="00F4501D"/>
    <w:rsid w:val="00F467D0"/>
    <w:rsid w:val="00F47068"/>
    <w:rsid w:val="00F5130E"/>
    <w:rsid w:val="00F51BAF"/>
    <w:rsid w:val="00F5749D"/>
    <w:rsid w:val="00F616AB"/>
    <w:rsid w:val="00F70939"/>
    <w:rsid w:val="00F73473"/>
    <w:rsid w:val="00F759EB"/>
    <w:rsid w:val="00F75B73"/>
    <w:rsid w:val="00F84A74"/>
    <w:rsid w:val="00F84B4C"/>
    <w:rsid w:val="00F86E94"/>
    <w:rsid w:val="00F969DE"/>
    <w:rsid w:val="00FA5645"/>
    <w:rsid w:val="00FA576A"/>
    <w:rsid w:val="00FB0B22"/>
    <w:rsid w:val="00FB0B99"/>
    <w:rsid w:val="00FB23F4"/>
    <w:rsid w:val="00FC0A74"/>
    <w:rsid w:val="00FC221D"/>
    <w:rsid w:val="00FC32E3"/>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B2A62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B8A3F-25B5-4951-8F30-7ED3A78B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1686</Words>
  <Characters>9274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2020-11-17T20:59:00Z</dcterms:created>
  <dcterms:modified xsi:type="dcterms:W3CDTF">2020-11-17T20:59:00Z</dcterms:modified>
</cp:coreProperties>
</file>