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1037B" w14:textId="77777777" w:rsidR="00213360" w:rsidRPr="00CF7A4E" w:rsidRDefault="00213360" w:rsidP="001C6081">
      <w:pPr>
        <w:spacing w:after="0" w:line="240" w:lineRule="auto"/>
        <w:jc w:val="center"/>
        <w:rPr>
          <w:rFonts w:ascii="Verdana" w:hAnsi="Verdana"/>
          <w:b/>
          <w:sz w:val="20"/>
          <w:szCs w:val="20"/>
        </w:rPr>
      </w:pPr>
    </w:p>
    <w:p w14:paraId="7EE6B3E0" w14:textId="540EB812" w:rsidR="00EE303B" w:rsidRPr="00CF7A4E" w:rsidRDefault="00EE303B" w:rsidP="001C6081">
      <w:pPr>
        <w:spacing w:after="0" w:line="240" w:lineRule="auto"/>
        <w:jc w:val="center"/>
        <w:rPr>
          <w:rFonts w:ascii="Verdana" w:hAnsi="Verdana"/>
          <w:b/>
          <w:sz w:val="20"/>
          <w:szCs w:val="20"/>
        </w:rPr>
      </w:pPr>
      <w:r w:rsidRPr="00CF7A4E">
        <w:rPr>
          <w:rFonts w:ascii="Verdana" w:hAnsi="Verdana"/>
          <w:b/>
          <w:sz w:val="20"/>
          <w:szCs w:val="20"/>
        </w:rPr>
        <w:t>RES</w:t>
      </w:r>
      <w:r w:rsidR="00FC7746" w:rsidRPr="00CF7A4E">
        <w:rPr>
          <w:rFonts w:ascii="Verdana" w:hAnsi="Verdana"/>
          <w:b/>
          <w:sz w:val="20"/>
          <w:szCs w:val="20"/>
        </w:rPr>
        <w:t>OLUCIÓN DE LA PRESIDENTA DE LA</w:t>
      </w:r>
    </w:p>
    <w:p w14:paraId="738FA0E4" w14:textId="45FA2699" w:rsidR="00EE303B" w:rsidRPr="00CF7A4E" w:rsidRDefault="00EE303B" w:rsidP="001C6081">
      <w:pPr>
        <w:spacing w:after="0" w:line="240" w:lineRule="auto"/>
        <w:jc w:val="center"/>
        <w:rPr>
          <w:rFonts w:ascii="Verdana" w:hAnsi="Verdana"/>
          <w:b/>
          <w:sz w:val="20"/>
          <w:szCs w:val="20"/>
          <w:lang w:val="es-MX"/>
        </w:rPr>
      </w:pPr>
      <w:r w:rsidRPr="00CF7A4E">
        <w:rPr>
          <w:rFonts w:ascii="Verdana" w:hAnsi="Verdana"/>
          <w:b/>
          <w:sz w:val="20"/>
          <w:szCs w:val="20"/>
        </w:rPr>
        <w:t>CORTE INTERAMERICANA DE DERECHOS HUMANOS</w:t>
      </w:r>
    </w:p>
    <w:p w14:paraId="681C493B" w14:textId="77777777" w:rsidR="00EE303B" w:rsidRPr="00CF7A4E" w:rsidRDefault="00EE303B" w:rsidP="001C6081">
      <w:pPr>
        <w:spacing w:after="0" w:line="240" w:lineRule="auto"/>
        <w:jc w:val="center"/>
        <w:rPr>
          <w:rFonts w:ascii="Verdana" w:hAnsi="Verdana"/>
          <w:b/>
          <w:sz w:val="20"/>
          <w:szCs w:val="20"/>
        </w:rPr>
      </w:pPr>
    </w:p>
    <w:p w14:paraId="203246C2" w14:textId="260DA8E5" w:rsidR="00EE303B" w:rsidRPr="00CF7A4E" w:rsidRDefault="00EE303B" w:rsidP="001C6081">
      <w:pPr>
        <w:spacing w:after="0" w:line="240" w:lineRule="auto"/>
        <w:jc w:val="center"/>
        <w:rPr>
          <w:rFonts w:ascii="Verdana" w:hAnsi="Verdana"/>
          <w:b/>
          <w:sz w:val="20"/>
          <w:szCs w:val="20"/>
        </w:rPr>
      </w:pPr>
      <w:r w:rsidRPr="00CF7A4E">
        <w:rPr>
          <w:rFonts w:ascii="Verdana" w:hAnsi="Verdana"/>
          <w:b/>
          <w:sz w:val="20"/>
          <w:szCs w:val="20"/>
        </w:rPr>
        <w:t xml:space="preserve">DE </w:t>
      </w:r>
      <w:r w:rsidR="003C7610" w:rsidRPr="00CF7A4E">
        <w:rPr>
          <w:rFonts w:ascii="Verdana" w:hAnsi="Verdana"/>
          <w:b/>
          <w:sz w:val="20"/>
          <w:szCs w:val="20"/>
        </w:rPr>
        <w:t>15</w:t>
      </w:r>
      <w:r w:rsidRPr="00CF7A4E">
        <w:rPr>
          <w:rFonts w:ascii="Verdana" w:hAnsi="Verdana"/>
          <w:b/>
          <w:sz w:val="20"/>
          <w:szCs w:val="20"/>
        </w:rPr>
        <w:t xml:space="preserve"> DE </w:t>
      </w:r>
      <w:r w:rsidR="00830BA7" w:rsidRPr="00CF7A4E">
        <w:rPr>
          <w:rFonts w:ascii="Verdana" w:hAnsi="Verdana"/>
          <w:b/>
          <w:sz w:val="20"/>
          <w:szCs w:val="20"/>
        </w:rPr>
        <w:t xml:space="preserve">DICIEMBRE </w:t>
      </w:r>
      <w:r w:rsidRPr="00CF7A4E">
        <w:rPr>
          <w:rFonts w:ascii="Verdana" w:hAnsi="Verdana"/>
          <w:b/>
          <w:sz w:val="20"/>
          <w:szCs w:val="20"/>
        </w:rPr>
        <w:t>DE 2020</w:t>
      </w:r>
    </w:p>
    <w:p w14:paraId="43D150A6" w14:textId="77777777" w:rsidR="00EE303B" w:rsidRPr="00CF7A4E" w:rsidRDefault="00EE303B" w:rsidP="001C6081">
      <w:pPr>
        <w:spacing w:after="0" w:line="240" w:lineRule="auto"/>
        <w:jc w:val="center"/>
        <w:rPr>
          <w:rFonts w:ascii="Verdana" w:hAnsi="Verdana"/>
          <w:b/>
          <w:sz w:val="20"/>
          <w:szCs w:val="20"/>
        </w:rPr>
      </w:pPr>
    </w:p>
    <w:p w14:paraId="5E02EF42" w14:textId="115F5C4D" w:rsidR="003563B5" w:rsidRPr="00CF7A4E" w:rsidRDefault="003563B5" w:rsidP="001C6081">
      <w:pPr>
        <w:spacing w:after="0" w:line="240" w:lineRule="auto"/>
        <w:jc w:val="center"/>
        <w:rPr>
          <w:rFonts w:ascii="Verdana" w:hAnsi="Verdana"/>
          <w:b/>
          <w:i/>
          <w:sz w:val="20"/>
          <w:szCs w:val="20"/>
        </w:rPr>
      </w:pPr>
      <w:r w:rsidRPr="00CF7A4E">
        <w:rPr>
          <w:rFonts w:ascii="Verdana" w:hAnsi="Verdana"/>
          <w:b/>
          <w:i/>
          <w:sz w:val="20"/>
          <w:szCs w:val="20"/>
        </w:rPr>
        <w:t>CASO ROSADIO VILLAVICENCIO VS. PERÚ</w:t>
      </w:r>
    </w:p>
    <w:p w14:paraId="0AD5E794" w14:textId="77777777" w:rsidR="00EE303B" w:rsidRPr="00CF7A4E" w:rsidRDefault="00EE303B" w:rsidP="001C6081">
      <w:pPr>
        <w:spacing w:after="0" w:line="240" w:lineRule="auto"/>
        <w:jc w:val="center"/>
        <w:rPr>
          <w:rFonts w:ascii="Verdana" w:hAnsi="Verdana"/>
          <w:b/>
          <w:i/>
          <w:sz w:val="20"/>
          <w:szCs w:val="20"/>
        </w:rPr>
      </w:pPr>
    </w:p>
    <w:p w14:paraId="4B21DD06" w14:textId="77777777" w:rsidR="00EE303B" w:rsidRPr="00CF7A4E" w:rsidRDefault="00EE303B" w:rsidP="001C6081">
      <w:pPr>
        <w:spacing w:before="120" w:after="120" w:line="240" w:lineRule="auto"/>
        <w:jc w:val="center"/>
        <w:rPr>
          <w:rFonts w:ascii="Verdana" w:hAnsi="Verdana"/>
          <w:b/>
          <w:sz w:val="20"/>
          <w:szCs w:val="20"/>
        </w:rPr>
      </w:pPr>
      <w:r w:rsidRPr="00CF7A4E">
        <w:rPr>
          <w:rFonts w:ascii="Verdana" w:hAnsi="Verdana"/>
          <w:b/>
          <w:sz w:val="20"/>
          <w:szCs w:val="20"/>
        </w:rPr>
        <w:t>REINTEGRO AL FONDO DE ASISTENCIA LEGAL DE VÍCTIMAS</w:t>
      </w:r>
      <w:r w:rsidRPr="00CF7A4E">
        <w:rPr>
          <w:rFonts w:ascii="Verdana" w:hAnsi="Verdana"/>
          <w:b/>
          <w:sz w:val="20"/>
          <w:szCs w:val="20"/>
        </w:rPr>
        <w:cr/>
      </w:r>
    </w:p>
    <w:p w14:paraId="3D658B99" w14:textId="29D7C028" w:rsidR="00213360" w:rsidRPr="00CF7A4E" w:rsidRDefault="00EE303B" w:rsidP="001C6081">
      <w:pPr>
        <w:spacing w:before="120" w:after="120" w:line="240" w:lineRule="auto"/>
        <w:jc w:val="both"/>
        <w:rPr>
          <w:rFonts w:ascii="Verdana" w:hAnsi="Verdana"/>
          <w:b/>
          <w:sz w:val="20"/>
          <w:szCs w:val="20"/>
        </w:rPr>
      </w:pPr>
      <w:r w:rsidRPr="00CF7A4E">
        <w:rPr>
          <w:rFonts w:ascii="Verdana" w:hAnsi="Verdana"/>
          <w:b/>
          <w:sz w:val="20"/>
          <w:szCs w:val="20"/>
        </w:rPr>
        <w:t>VISTO:</w:t>
      </w:r>
    </w:p>
    <w:p w14:paraId="5D065710" w14:textId="7989F24D" w:rsidR="00D56567" w:rsidRPr="00CF7A4E" w:rsidRDefault="00AA4BCB" w:rsidP="001C6081">
      <w:pPr>
        <w:pStyle w:val="Prrafodelista"/>
        <w:numPr>
          <w:ilvl w:val="0"/>
          <w:numId w:val="2"/>
        </w:numPr>
        <w:spacing w:before="120" w:after="120" w:line="240" w:lineRule="auto"/>
        <w:ind w:left="0" w:firstLine="0"/>
        <w:contextualSpacing w:val="0"/>
        <w:jc w:val="both"/>
        <w:rPr>
          <w:rFonts w:ascii="Verdana" w:hAnsi="Verdana"/>
          <w:b/>
          <w:sz w:val="20"/>
          <w:szCs w:val="20"/>
        </w:rPr>
      </w:pPr>
      <w:r w:rsidRPr="00CF7A4E">
        <w:rPr>
          <w:rFonts w:ascii="Verdana" w:hAnsi="Verdana"/>
          <w:sz w:val="20"/>
          <w:szCs w:val="20"/>
        </w:rPr>
        <w:t xml:space="preserve">La Sentencia de </w:t>
      </w:r>
      <w:r w:rsidR="003563B5" w:rsidRPr="00CF7A4E">
        <w:rPr>
          <w:rFonts w:ascii="Verdana" w:hAnsi="Verdana"/>
          <w:sz w:val="20"/>
          <w:szCs w:val="20"/>
        </w:rPr>
        <w:t xml:space="preserve">excepciones preliminares, fondo, reparaciones y costas </w:t>
      </w:r>
      <w:r w:rsidRPr="00CF7A4E">
        <w:rPr>
          <w:rFonts w:ascii="Verdana" w:hAnsi="Verdana"/>
          <w:sz w:val="20"/>
          <w:szCs w:val="20"/>
        </w:rPr>
        <w:t xml:space="preserve">(en adelante “la Sentencia” o “el Fallo”) dictada por la Corte Interamericana de Derechos Humanos (en adelante “la Corte Interamericana”, “la Corte” o “el Tribunal”) el </w:t>
      </w:r>
      <w:r w:rsidR="003563B5" w:rsidRPr="00CF7A4E">
        <w:rPr>
          <w:rFonts w:ascii="Verdana" w:hAnsi="Verdana"/>
          <w:sz w:val="20"/>
          <w:szCs w:val="20"/>
        </w:rPr>
        <w:t>14 de octubre de 2019</w:t>
      </w:r>
      <w:r w:rsidR="00D56567" w:rsidRPr="00CF7A4E">
        <w:rPr>
          <w:rStyle w:val="Refdenotaalpie"/>
          <w:rFonts w:ascii="Verdana" w:hAnsi="Verdana"/>
          <w:sz w:val="20"/>
          <w:szCs w:val="20"/>
        </w:rPr>
        <w:footnoteReference w:id="1"/>
      </w:r>
      <w:r w:rsidRPr="00CF7A4E">
        <w:rPr>
          <w:rFonts w:ascii="Verdana" w:hAnsi="Verdana"/>
          <w:sz w:val="20"/>
          <w:szCs w:val="20"/>
        </w:rPr>
        <w:t xml:space="preserve">. </w:t>
      </w:r>
    </w:p>
    <w:p w14:paraId="38BB0078" w14:textId="1C841E63" w:rsidR="00546609" w:rsidRPr="00CF7A4E" w:rsidRDefault="0038534E" w:rsidP="001C6081">
      <w:pPr>
        <w:pStyle w:val="Prrafodelista"/>
        <w:numPr>
          <w:ilvl w:val="0"/>
          <w:numId w:val="2"/>
        </w:numPr>
        <w:spacing w:before="120" w:after="120" w:line="240" w:lineRule="auto"/>
        <w:ind w:left="0" w:firstLine="0"/>
        <w:contextualSpacing w:val="0"/>
        <w:jc w:val="both"/>
        <w:rPr>
          <w:rFonts w:ascii="Verdana" w:hAnsi="Verdana"/>
          <w:sz w:val="20"/>
          <w:szCs w:val="20"/>
        </w:rPr>
      </w:pPr>
      <w:r w:rsidRPr="00CF7A4E">
        <w:rPr>
          <w:rFonts w:ascii="Verdana" w:hAnsi="Verdana"/>
          <w:sz w:val="20"/>
          <w:szCs w:val="20"/>
        </w:rPr>
        <w:t>La Sentencia de interpretación emitida por la Corte el 8 de octubre de 2020</w:t>
      </w:r>
      <w:r w:rsidRPr="00CF7A4E">
        <w:rPr>
          <w:rStyle w:val="Refdenotaalpie"/>
          <w:rFonts w:ascii="Verdana" w:hAnsi="Verdana"/>
          <w:sz w:val="20"/>
          <w:szCs w:val="20"/>
        </w:rPr>
        <w:footnoteReference w:id="2"/>
      </w:r>
      <w:r w:rsidR="00546609" w:rsidRPr="00CF7A4E">
        <w:rPr>
          <w:rFonts w:ascii="Verdana" w:hAnsi="Verdana"/>
          <w:sz w:val="20"/>
          <w:szCs w:val="20"/>
        </w:rPr>
        <w:t>.</w:t>
      </w:r>
    </w:p>
    <w:p w14:paraId="391E24D3" w14:textId="2C09CE3A" w:rsidR="00960AAA" w:rsidRPr="00CF7A4E" w:rsidRDefault="00B6411B" w:rsidP="001C6081">
      <w:pPr>
        <w:pStyle w:val="Prrafodelista"/>
        <w:numPr>
          <w:ilvl w:val="0"/>
          <w:numId w:val="2"/>
        </w:numPr>
        <w:spacing w:before="120" w:after="120" w:line="240" w:lineRule="auto"/>
        <w:ind w:left="0" w:firstLine="0"/>
        <w:contextualSpacing w:val="0"/>
        <w:jc w:val="both"/>
        <w:rPr>
          <w:rFonts w:ascii="Verdana" w:hAnsi="Verdana"/>
          <w:sz w:val="20"/>
          <w:szCs w:val="20"/>
        </w:rPr>
      </w:pPr>
      <w:r w:rsidRPr="00CF7A4E">
        <w:rPr>
          <w:rFonts w:ascii="Verdana" w:hAnsi="Verdana"/>
          <w:sz w:val="20"/>
          <w:szCs w:val="20"/>
        </w:rPr>
        <w:t>La nota de la Secretaría de la Corte Interamericana de 13 de octubre de 2020,</w:t>
      </w:r>
      <w:r w:rsidR="00A70AE6" w:rsidRPr="00CF7A4E">
        <w:rPr>
          <w:rFonts w:ascii="Verdana" w:hAnsi="Verdana"/>
          <w:sz w:val="20"/>
          <w:szCs w:val="20"/>
        </w:rPr>
        <w:t xml:space="preserve"> mediante la cual se recordó a</w:t>
      </w:r>
      <w:r w:rsidR="00912616" w:rsidRPr="00CF7A4E">
        <w:rPr>
          <w:rFonts w:ascii="Verdana" w:hAnsi="Verdana"/>
          <w:sz w:val="20"/>
          <w:szCs w:val="20"/>
        </w:rPr>
        <w:t xml:space="preserve"> </w:t>
      </w:r>
      <w:r w:rsidR="00A70AE6" w:rsidRPr="00CF7A4E">
        <w:rPr>
          <w:rFonts w:ascii="Verdana" w:hAnsi="Verdana"/>
          <w:sz w:val="20"/>
          <w:szCs w:val="20"/>
        </w:rPr>
        <w:t>l</w:t>
      </w:r>
      <w:r w:rsidR="00912616" w:rsidRPr="00CF7A4E">
        <w:rPr>
          <w:rFonts w:ascii="Verdana" w:hAnsi="Verdana"/>
          <w:sz w:val="20"/>
          <w:szCs w:val="20"/>
        </w:rPr>
        <w:t>a República del Perú (en adelante “el Estado” o “</w:t>
      </w:r>
      <w:r w:rsidR="009B0F4A" w:rsidRPr="00CF7A4E">
        <w:rPr>
          <w:rFonts w:ascii="Verdana" w:hAnsi="Verdana"/>
          <w:sz w:val="20"/>
          <w:szCs w:val="20"/>
        </w:rPr>
        <w:t xml:space="preserve">el </w:t>
      </w:r>
      <w:r w:rsidR="00912616" w:rsidRPr="00CF7A4E">
        <w:rPr>
          <w:rFonts w:ascii="Verdana" w:hAnsi="Verdana"/>
          <w:sz w:val="20"/>
          <w:szCs w:val="20"/>
        </w:rPr>
        <w:t>Perú”)</w:t>
      </w:r>
      <w:r w:rsidR="00A70AE6" w:rsidRPr="00CF7A4E">
        <w:rPr>
          <w:rFonts w:ascii="Verdana" w:hAnsi="Verdana"/>
          <w:sz w:val="20"/>
          <w:szCs w:val="20"/>
        </w:rPr>
        <w:t xml:space="preserve"> que</w:t>
      </w:r>
      <w:r w:rsidR="00960AAA" w:rsidRPr="00CF7A4E">
        <w:rPr>
          <w:rFonts w:ascii="Verdana" w:hAnsi="Verdana"/>
          <w:sz w:val="20"/>
          <w:szCs w:val="20"/>
        </w:rPr>
        <w:t xml:space="preserve"> se encontraba vencido el plazo de seis meses </w:t>
      </w:r>
      <w:r w:rsidR="00A70AE6" w:rsidRPr="00CF7A4E">
        <w:rPr>
          <w:rFonts w:ascii="Verdana" w:hAnsi="Verdana"/>
          <w:sz w:val="20"/>
          <w:szCs w:val="20"/>
        </w:rPr>
        <w:t>para efectuar el reintegro al Fondo de Asistencia Legal de Víctimas</w:t>
      </w:r>
      <w:r w:rsidR="00960AAA" w:rsidRPr="00CF7A4E">
        <w:rPr>
          <w:rFonts w:ascii="Verdana" w:hAnsi="Verdana"/>
          <w:sz w:val="20"/>
          <w:szCs w:val="20"/>
        </w:rPr>
        <w:t xml:space="preserve"> </w:t>
      </w:r>
      <w:r w:rsidR="00A70AE6" w:rsidRPr="00CF7A4E">
        <w:rPr>
          <w:rFonts w:ascii="Verdana" w:hAnsi="Verdana"/>
          <w:sz w:val="20"/>
          <w:szCs w:val="20"/>
        </w:rPr>
        <w:t xml:space="preserve">de la Corte </w:t>
      </w:r>
      <w:r w:rsidR="00912616" w:rsidRPr="00CF7A4E">
        <w:rPr>
          <w:rFonts w:ascii="Verdana" w:hAnsi="Verdana"/>
          <w:sz w:val="20"/>
          <w:szCs w:val="20"/>
        </w:rPr>
        <w:t>(en adelante “el Fondo de Asistencia”)</w:t>
      </w:r>
      <w:r w:rsidR="00960AAA" w:rsidRPr="00CF7A4E">
        <w:rPr>
          <w:rFonts w:ascii="Verdana" w:hAnsi="Verdana"/>
          <w:sz w:val="20"/>
          <w:szCs w:val="20"/>
        </w:rPr>
        <w:t>.</w:t>
      </w:r>
    </w:p>
    <w:p w14:paraId="31BCCD1A" w14:textId="306694C6" w:rsidR="00610DD9" w:rsidRPr="00CF7A4E" w:rsidRDefault="00B6411B" w:rsidP="001C6081">
      <w:pPr>
        <w:pStyle w:val="Prrafodelista"/>
        <w:numPr>
          <w:ilvl w:val="0"/>
          <w:numId w:val="2"/>
        </w:numPr>
        <w:spacing w:before="120" w:after="120" w:line="240" w:lineRule="auto"/>
        <w:ind w:left="0" w:firstLine="0"/>
        <w:contextualSpacing w:val="0"/>
        <w:jc w:val="both"/>
        <w:rPr>
          <w:rFonts w:ascii="Verdana" w:hAnsi="Verdana"/>
          <w:sz w:val="20"/>
          <w:szCs w:val="20"/>
        </w:rPr>
      </w:pPr>
      <w:r w:rsidRPr="00CF7A4E">
        <w:rPr>
          <w:rFonts w:ascii="Verdana" w:hAnsi="Verdana"/>
          <w:sz w:val="20"/>
          <w:szCs w:val="20"/>
        </w:rPr>
        <w:t>El</w:t>
      </w:r>
      <w:r w:rsidR="00610DD9" w:rsidRPr="00CF7A4E">
        <w:rPr>
          <w:rFonts w:ascii="Verdana" w:hAnsi="Verdana"/>
          <w:sz w:val="20"/>
          <w:szCs w:val="20"/>
        </w:rPr>
        <w:t xml:space="preserve"> </w:t>
      </w:r>
      <w:r w:rsidR="00CE77FF" w:rsidRPr="00CF7A4E">
        <w:rPr>
          <w:rFonts w:ascii="Verdana" w:hAnsi="Verdana"/>
          <w:sz w:val="20"/>
          <w:szCs w:val="20"/>
        </w:rPr>
        <w:t>escrito</w:t>
      </w:r>
      <w:r w:rsidR="00610DD9" w:rsidRPr="00CF7A4E">
        <w:rPr>
          <w:rFonts w:ascii="Verdana" w:hAnsi="Verdana"/>
          <w:sz w:val="20"/>
          <w:szCs w:val="20"/>
        </w:rPr>
        <w:t xml:space="preserve"> presentado por el Estado </w:t>
      </w:r>
      <w:r w:rsidRPr="00CF7A4E">
        <w:rPr>
          <w:rFonts w:ascii="Verdana" w:hAnsi="Verdana"/>
          <w:sz w:val="20"/>
          <w:szCs w:val="20"/>
        </w:rPr>
        <w:t>el 19 de noviembre de</w:t>
      </w:r>
      <w:r w:rsidR="00103F0B" w:rsidRPr="00CF7A4E">
        <w:rPr>
          <w:rFonts w:ascii="Verdana" w:hAnsi="Verdana"/>
          <w:sz w:val="20"/>
          <w:szCs w:val="20"/>
        </w:rPr>
        <w:t xml:space="preserve"> 2020</w:t>
      </w:r>
      <w:r w:rsidR="00CE77FF" w:rsidRPr="00CF7A4E">
        <w:rPr>
          <w:rFonts w:ascii="Verdana" w:hAnsi="Verdana"/>
          <w:sz w:val="20"/>
          <w:szCs w:val="20"/>
        </w:rPr>
        <w:t>, mediante el cual informó que realizó el reintegro al Fondo de Asistencia y los correspondientes intereses moratorios.</w:t>
      </w:r>
    </w:p>
    <w:p w14:paraId="3517ADF5" w14:textId="77777777" w:rsidR="000F12E0" w:rsidRPr="00CF7A4E" w:rsidRDefault="000F12E0" w:rsidP="001C6081">
      <w:pPr>
        <w:pStyle w:val="Prrafodelista"/>
        <w:spacing w:before="120" w:after="120" w:line="240" w:lineRule="auto"/>
        <w:ind w:left="0"/>
        <w:contextualSpacing w:val="0"/>
        <w:jc w:val="both"/>
        <w:rPr>
          <w:rFonts w:ascii="Verdana" w:hAnsi="Verdana"/>
          <w:b/>
          <w:sz w:val="20"/>
          <w:szCs w:val="20"/>
        </w:rPr>
      </w:pPr>
    </w:p>
    <w:p w14:paraId="0D866D3C" w14:textId="73A25159" w:rsidR="0046619D" w:rsidRPr="00CF7A4E" w:rsidRDefault="0046619D" w:rsidP="001C6081">
      <w:pPr>
        <w:pStyle w:val="Prrafodelista"/>
        <w:spacing w:before="120" w:after="120" w:line="240" w:lineRule="auto"/>
        <w:ind w:left="0"/>
        <w:contextualSpacing w:val="0"/>
        <w:jc w:val="both"/>
        <w:rPr>
          <w:rFonts w:ascii="Verdana" w:hAnsi="Verdana"/>
          <w:b/>
          <w:sz w:val="20"/>
          <w:szCs w:val="20"/>
        </w:rPr>
      </w:pPr>
      <w:r w:rsidRPr="00CF7A4E">
        <w:rPr>
          <w:rFonts w:ascii="Verdana" w:hAnsi="Verdana"/>
          <w:b/>
          <w:sz w:val="20"/>
          <w:szCs w:val="20"/>
        </w:rPr>
        <w:t xml:space="preserve">CONSIDERANDO QUE: </w:t>
      </w:r>
    </w:p>
    <w:p w14:paraId="12104146" w14:textId="11E3CCDC" w:rsidR="00DE03B6" w:rsidRDefault="009B6553" w:rsidP="0050252A">
      <w:pPr>
        <w:pStyle w:val="Prrafodelista"/>
        <w:numPr>
          <w:ilvl w:val="0"/>
          <w:numId w:val="3"/>
        </w:numPr>
        <w:spacing w:before="120" w:after="120" w:line="240" w:lineRule="auto"/>
        <w:ind w:left="0" w:firstLine="0"/>
        <w:contextualSpacing w:val="0"/>
        <w:jc w:val="both"/>
        <w:rPr>
          <w:rFonts w:ascii="Verdana" w:hAnsi="Verdana"/>
          <w:sz w:val="20"/>
          <w:szCs w:val="20"/>
        </w:rPr>
      </w:pPr>
      <w:r w:rsidRPr="00CF7A4E">
        <w:rPr>
          <w:rFonts w:ascii="Verdana" w:hAnsi="Verdana"/>
          <w:sz w:val="20"/>
          <w:szCs w:val="20"/>
        </w:rPr>
        <w:t xml:space="preserve">En el punto resolutivo </w:t>
      </w:r>
      <w:r w:rsidR="00B6411B" w:rsidRPr="00CF7A4E">
        <w:rPr>
          <w:rFonts w:ascii="Verdana" w:hAnsi="Verdana"/>
          <w:sz w:val="20"/>
          <w:szCs w:val="20"/>
        </w:rPr>
        <w:t>23</w:t>
      </w:r>
      <w:r w:rsidRPr="00CF7A4E">
        <w:rPr>
          <w:rFonts w:ascii="Verdana" w:hAnsi="Verdana"/>
          <w:sz w:val="20"/>
          <w:szCs w:val="20"/>
        </w:rPr>
        <w:t xml:space="preserve"> y </w:t>
      </w:r>
      <w:r w:rsidR="00A70AE6" w:rsidRPr="00CF7A4E">
        <w:rPr>
          <w:rFonts w:ascii="Verdana" w:hAnsi="Verdana"/>
          <w:sz w:val="20"/>
          <w:szCs w:val="20"/>
        </w:rPr>
        <w:t>los</w:t>
      </w:r>
      <w:r w:rsidR="00B6411B" w:rsidRPr="00CF7A4E">
        <w:rPr>
          <w:rFonts w:ascii="Verdana" w:hAnsi="Verdana"/>
          <w:sz w:val="20"/>
          <w:szCs w:val="20"/>
        </w:rPr>
        <w:t xml:space="preserve"> párrafo</w:t>
      </w:r>
      <w:r w:rsidR="00A70AE6" w:rsidRPr="00CF7A4E">
        <w:rPr>
          <w:rFonts w:ascii="Verdana" w:hAnsi="Verdana"/>
          <w:sz w:val="20"/>
          <w:szCs w:val="20"/>
        </w:rPr>
        <w:t>s</w:t>
      </w:r>
      <w:r w:rsidR="00B6411B" w:rsidRPr="00CF7A4E">
        <w:rPr>
          <w:rFonts w:ascii="Verdana" w:hAnsi="Verdana"/>
          <w:sz w:val="20"/>
          <w:szCs w:val="20"/>
        </w:rPr>
        <w:t xml:space="preserve"> 259</w:t>
      </w:r>
      <w:r w:rsidR="00A70AE6" w:rsidRPr="00CF7A4E">
        <w:rPr>
          <w:rFonts w:ascii="Verdana" w:hAnsi="Verdana"/>
          <w:sz w:val="20"/>
          <w:szCs w:val="20"/>
        </w:rPr>
        <w:t xml:space="preserve"> y 264</w:t>
      </w:r>
      <w:r w:rsidRPr="00CF7A4E">
        <w:rPr>
          <w:rFonts w:ascii="Verdana" w:hAnsi="Verdana"/>
          <w:sz w:val="20"/>
          <w:szCs w:val="20"/>
        </w:rPr>
        <w:t xml:space="preserve"> de la Sentencia, se ordenó al Estado el reintegro al Fondo de Asistencia Legal de Víctimas </w:t>
      </w:r>
      <w:r w:rsidR="00386955" w:rsidRPr="00CF7A4E">
        <w:rPr>
          <w:rFonts w:ascii="Verdana" w:hAnsi="Verdana"/>
          <w:sz w:val="20"/>
          <w:szCs w:val="20"/>
        </w:rPr>
        <w:t xml:space="preserve">de la Corte </w:t>
      </w:r>
      <w:r w:rsidRPr="00CF7A4E">
        <w:rPr>
          <w:rFonts w:ascii="Verdana" w:hAnsi="Verdana"/>
          <w:sz w:val="20"/>
          <w:szCs w:val="20"/>
        </w:rPr>
        <w:t xml:space="preserve">por </w:t>
      </w:r>
      <w:r w:rsidR="0050252A" w:rsidRPr="00CF7A4E">
        <w:rPr>
          <w:rFonts w:ascii="Verdana" w:hAnsi="Verdana"/>
          <w:sz w:val="20"/>
          <w:szCs w:val="20"/>
        </w:rPr>
        <w:t xml:space="preserve">“la cantidad erogada durante la tramitación del presente caso” de </w:t>
      </w:r>
      <w:r w:rsidR="00A70AE6" w:rsidRPr="00CF7A4E">
        <w:rPr>
          <w:rFonts w:ascii="Verdana" w:hAnsi="Verdana"/>
          <w:sz w:val="20"/>
          <w:szCs w:val="20"/>
        </w:rPr>
        <w:t>USD $2.283,84 (dos mil doscientos ochenta y tres dólares de los Estados Unidos de América con ochenta y cuatro centavos). Se dispuso que “[e]</w:t>
      </w:r>
      <w:proofErr w:type="spellStart"/>
      <w:r w:rsidR="00A70AE6" w:rsidRPr="00CF7A4E">
        <w:rPr>
          <w:rFonts w:ascii="Verdana" w:hAnsi="Verdana"/>
          <w:sz w:val="20"/>
          <w:szCs w:val="20"/>
        </w:rPr>
        <w:t>ste</w:t>
      </w:r>
      <w:proofErr w:type="spellEnd"/>
      <w:r w:rsidR="00A70AE6" w:rsidRPr="00CF7A4E">
        <w:rPr>
          <w:rFonts w:ascii="Verdana" w:hAnsi="Verdana"/>
          <w:sz w:val="20"/>
          <w:szCs w:val="20"/>
        </w:rPr>
        <w:t xml:space="preserve"> monto </w:t>
      </w:r>
      <w:proofErr w:type="spellStart"/>
      <w:r w:rsidR="00A70AE6" w:rsidRPr="00CF7A4E">
        <w:rPr>
          <w:rFonts w:ascii="Verdana" w:hAnsi="Verdana"/>
          <w:sz w:val="20"/>
          <w:szCs w:val="20"/>
        </w:rPr>
        <w:t>deb</w:t>
      </w:r>
      <w:proofErr w:type="spellEnd"/>
      <w:r w:rsidR="00A70AE6" w:rsidRPr="00CF7A4E">
        <w:rPr>
          <w:rFonts w:ascii="Verdana" w:hAnsi="Verdana"/>
          <w:sz w:val="20"/>
          <w:szCs w:val="20"/>
        </w:rPr>
        <w:t>[</w:t>
      </w:r>
      <w:proofErr w:type="spellStart"/>
      <w:r w:rsidR="00A70AE6" w:rsidRPr="00CF7A4E">
        <w:rPr>
          <w:rFonts w:ascii="Verdana" w:hAnsi="Verdana"/>
          <w:sz w:val="20"/>
          <w:szCs w:val="20"/>
        </w:rPr>
        <w:t>ía</w:t>
      </w:r>
      <w:proofErr w:type="spellEnd"/>
      <w:r w:rsidR="00A70AE6" w:rsidRPr="00CF7A4E">
        <w:rPr>
          <w:rFonts w:ascii="Verdana" w:hAnsi="Verdana"/>
          <w:sz w:val="20"/>
          <w:szCs w:val="20"/>
        </w:rPr>
        <w:t xml:space="preserve">] ser reintegrado en el plazo de seis meses, contados a partir de la notificación de la Sentencia”. </w:t>
      </w:r>
      <w:proofErr w:type="gramStart"/>
      <w:r w:rsidR="00A70AE6" w:rsidRPr="00CF7A4E">
        <w:rPr>
          <w:rFonts w:ascii="Verdana" w:hAnsi="Verdana"/>
          <w:sz w:val="20"/>
          <w:szCs w:val="20"/>
        </w:rPr>
        <w:t>En caso que</w:t>
      </w:r>
      <w:proofErr w:type="gramEnd"/>
      <w:r w:rsidR="00A70AE6" w:rsidRPr="00CF7A4E">
        <w:rPr>
          <w:rFonts w:ascii="Verdana" w:hAnsi="Verdana"/>
          <w:sz w:val="20"/>
          <w:szCs w:val="20"/>
        </w:rPr>
        <w:t xml:space="preserve"> incurriera en mora, el Estado debía pagar un interés sobre la cantidad adeudada, correspondiente al interés bancario moratorio en el Perú.</w:t>
      </w:r>
    </w:p>
    <w:p w14:paraId="6B36E105" w14:textId="77777777" w:rsidR="00024C1F" w:rsidRPr="00CF7A4E" w:rsidRDefault="00024C1F" w:rsidP="00024C1F">
      <w:pPr>
        <w:pStyle w:val="Prrafodelista"/>
        <w:spacing w:before="120" w:after="120" w:line="240" w:lineRule="auto"/>
        <w:ind w:left="0"/>
        <w:contextualSpacing w:val="0"/>
        <w:jc w:val="both"/>
        <w:rPr>
          <w:rFonts w:ascii="Verdana" w:hAnsi="Verdana"/>
          <w:sz w:val="20"/>
          <w:szCs w:val="20"/>
        </w:rPr>
      </w:pPr>
    </w:p>
    <w:p w14:paraId="3ED97AE4" w14:textId="36D3466A" w:rsidR="00C20444" w:rsidRPr="009C74AB" w:rsidRDefault="00213360" w:rsidP="00133800">
      <w:pPr>
        <w:pStyle w:val="Prrafodelista"/>
        <w:numPr>
          <w:ilvl w:val="0"/>
          <w:numId w:val="3"/>
        </w:numPr>
        <w:spacing w:after="0" w:line="240" w:lineRule="auto"/>
        <w:ind w:left="0" w:firstLine="0"/>
        <w:contextualSpacing w:val="0"/>
        <w:jc w:val="both"/>
        <w:rPr>
          <w:rFonts w:ascii="Verdana" w:hAnsi="Verdana"/>
          <w:sz w:val="20"/>
          <w:szCs w:val="20"/>
          <w:u w:val="single"/>
        </w:rPr>
      </w:pPr>
      <w:r w:rsidRPr="00CF7A4E">
        <w:rPr>
          <w:rFonts w:ascii="Verdana" w:hAnsi="Verdana"/>
          <w:sz w:val="20"/>
          <w:szCs w:val="20"/>
        </w:rPr>
        <w:t>E</w:t>
      </w:r>
      <w:r w:rsidR="00C20444" w:rsidRPr="00CF7A4E">
        <w:rPr>
          <w:rFonts w:ascii="Verdana" w:hAnsi="Verdana"/>
          <w:sz w:val="20"/>
          <w:szCs w:val="20"/>
        </w:rPr>
        <w:t xml:space="preserve">n el </w:t>
      </w:r>
      <w:r w:rsidRPr="00CF7A4E">
        <w:rPr>
          <w:rFonts w:ascii="Verdana" w:hAnsi="Verdana"/>
          <w:sz w:val="20"/>
          <w:szCs w:val="20"/>
        </w:rPr>
        <w:t>133°</w:t>
      </w:r>
      <w:r w:rsidR="00C20444" w:rsidRPr="00CF7A4E">
        <w:rPr>
          <w:rFonts w:ascii="Verdana" w:hAnsi="Verdana"/>
          <w:sz w:val="20"/>
          <w:szCs w:val="20"/>
        </w:rPr>
        <w:t xml:space="preserve"> </w:t>
      </w:r>
      <w:r w:rsidRPr="00CF7A4E">
        <w:rPr>
          <w:rFonts w:ascii="Verdana" w:hAnsi="Verdana"/>
          <w:sz w:val="20"/>
          <w:szCs w:val="20"/>
        </w:rPr>
        <w:t>P</w:t>
      </w:r>
      <w:r w:rsidR="00C20444" w:rsidRPr="00CF7A4E">
        <w:rPr>
          <w:rFonts w:ascii="Verdana" w:hAnsi="Verdana"/>
          <w:sz w:val="20"/>
          <w:szCs w:val="20"/>
        </w:rPr>
        <w:t xml:space="preserve">eríodo </w:t>
      </w:r>
      <w:r w:rsidRPr="00CF7A4E">
        <w:rPr>
          <w:rFonts w:ascii="Verdana" w:hAnsi="Verdana"/>
          <w:sz w:val="20"/>
          <w:szCs w:val="20"/>
        </w:rPr>
        <w:t>O</w:t>
      </w:r>
      <w:r w:rsidR="00C20444" w:rsidRPr="00CF7A4E">
        <w:rPr>
          <w:rFonts w:ascii="Verdana" w:hAnsi="Verdana"/>
          <w:sz w:val="20"/>
          <w:szCs w:val="20"/>
        </w:rPr>
        <w:t xml:space="preserve">rdinario de </w:t>
      </w:r>
      <w:r w:rsidRPr="00CF7A4E">
        <w:rPr>
          <w:rFonts w:ascii="Verdana" w:hAnsi="Verdana"/>
          <w:sz w:val="20"/>
          <w:szCs w:val="20"/>
        </w:rPr>
        <w:t>S</w:t>
      </w:r>
      <w:r w:rsidR="00C20444" w:rsidRPr="00CF7A4E">
        <w:rPr>
          <w:rFonts w:ascii="Verdana" w:hAnsi="Verdana"/>
          <w:sz w:val="20"/>
          <w:szCs w:val="20"/>
        </w:rPr>
        <w:t>esiones</w:t>
      </w:r>
      <w:r w:rsidRPr="00CF7A4E">
        <w:rPr>
          <w:rFonts w:ascii="Verdana" w:hAnsi="Verdana"/>
          <w:sz w:val="20"/>
          <w:szCs w:val="20"/>
        </w:rPr>
        <w:t xml:space="preserve"> de la Corte Interamericana</w:t>
      </w:r>
      <w:r w:rsidR="00C20444" w:rsidRPr="00CF7A4E">
        <w:rPr>
          <w:rFonts w:ascii="Verdana" w:hAnsi="Verdana"/>
          <w:sz w:val="20"/>
          <w:szCs w:val="20"/>
        </w:rPr>
        <w:t xml:space="preserve">, </w:t>
      </w:r>
      <w:r w:rsidRPr="00CF7A4E">
        <w:rPr>
          <w:rFonts w:ascii="Verdana" w:hAnsi="Verdana"/>
          <w:sz w:val="20"/>
          <w:szCs w:val="20"/>
        </w:rPr>
        <w:t xml:space="preserve">celebrado del 27 de enero al 7 de febrero de 2020, </w:t>
      </w:r>
      <w:r w:rsidR="00C20444" w:rsidRPr="00CF7A4E">
        <w:rPr>
          <w:rFonts w:ascii="Verdana" w:hAnsi="Verdana"/>
          <w:sz w:val="20"/>
          <w:szCs w:val="20"/>
        </w:rPr>
        <w:t xml:space="preserve">el pleno </w:t>
      </w:r>
      <w:r w:rsidRPr="00CF7A4E">
        <w:rPr>
          <w:rFonts w:ascii="Verdana" w:hAnsi="Verdana"/>
          <w:sz w:val="20"/>
          <w:szCs w:val="20"/>
        </w:rPr>
        <w:t xml:space="preserve">del Tribunal decidió </w:t>
      </w:r>
      <w:r w:rsidR="00C20444" w:rsidRPr="00CF7A4E">
        <w:rPr>
          <w:rFonts w:ascii="Verdana" w:hAnsi="Verdana"/>
          <w:sz w:val="20"/>
          <w:szCs w:val="20"/>
        </w:rPr>
        <w:t>deleg</w:t>
      </w:r>
      <w:r w:rsidRPr="00CF7A4E">
        <w:rPr>
          <w:rFonts w:ascii="Verdana" w:hAnsi="Verdana"/>
          <w:sz w:val="20"/>
          <w:szCs w:val="20"/>
        </w:rPr>
        <w:t>ar</w:t>
      </w:r>
      <w:r w:rsidR="00C20444" w:rsidRPr="00CF7A4E">
        <w:rPr>
          <w:rFonts w:ascii="Verdana" w:hAnsi="Verdana"/>
          <w:sz w:val="20"/>
          <w:szCs w:val="20"/>
        </w:rPr>
        <w:t xml:space="preserve"> en su Presidencia la valoración de </w:t>
      </w:r>
      <w:r w:rsidRPr="00CF7A4E">
        <w:rPr>
          <w:rFonts w:ascii="Verdana" w:hAnsi="Verdana"/>
          <w:sz w:val="20"/>
          <w:szCs w:val="20"/>
        </w:rPr>
        <w:t>aquellos asuntos relacionados con los</w:t>
      </w:r>
      <w:r w:rsidR="00C20444" w:rsidRPr="00CF7A4E">
        <w:rPr>
          <w:rFonts w:ascii="Verdana" w:hAnsi="Verdana"/>
          <w:sz w:val="20"/>
          <w:szCs w:val="20"/>
        </w:rPr>
        <w:t xml:space="preserve"> pagos de reintegros al Fondo de Asistencia </w:t>
      </w:r>
      <w:r w:rsidRPr="00CF7A4E">
        <w:rPr>
          <w:rFonts w:ascii="Verdana" w:hAnsi="Verdana"/>
          <w:sz w:val="20"/>
          <w:szCs w:val="20"/>
        </w:rPr>
        <w:t xml:space="preserve">Legal de Víctimas </w:t>
      </w:r>
      <w:r w:rsidR="00C20444" w:rsidRPr="00CF7A4E">
        <w:rPr>
          <w:rFonts w:ascii="Verdana" w:hAnsi="Verdana"/>
          <w:sz w:val="20"/>
          <w:szCs w:val="20"/>
        </w:rPr>
        <w:t>para todos los casos.</w:t>
      </w:r>
    </w:p>
    <w:p w14:paraId="19564221" w14:textId="77777777" w:rsidR="009C74AB" w:rsidRPr="00CF7A4E" w:rsidRDefault="009C74AB" w:rsidP="009C74AB">
      <w:pPr>
        <w:pStyle w:val="Prrafodelista"/>
        <w:spacing w:after="0" w:line="240" w:lineRule="auto"/>
        <w:ind w:left="0"/>
        <w:contextualSpacing w:val="0"/>
        <w:jc w:val="both"/>
        <w:rPr>
          <w:rFonts w:ascii="Verdana" w:hAnsi="Verdana"/>
          <w:sz w:val="20"/>
          <w:szCs w:val="20"/>
          <w:u w:val="single"/>
        </w:rPr>
      </w:pPr>
    </w:p>
    <w:p w14:paraId="7B3909D2" w14:textId="45799F8B" w:rsidR="006B3864" w:rsidRDefault="00CF7A4E" w:rsidP="00133800">
      <w:pPr>
        <w:pStyle w:val="Prrafodelista"/>
        <w:numPr>
          <w:ilvl w:val="0"/>
          <w:numId w:val="3"/>
        </w:numPr>
        <w:spacing w:after="0" w:line="240" w:lineRule="auto"/>
        <w:ind w:left="0" w:firstLine="0"/>
        <w:contextualSpacing w:val="0"/>
        <w:jc w:val="both"/>
        <w:rPr>
          <w:rFonts w:ascii="Verdana" w:hAnsi="Verdana"/>
          <w:sz w:val="20"/>
          <w:szCs w:val="20"/>
        </w:rPr>
      </w:pPr>
      <w:r w:rsidRPr="00CF7A4E">
        <w:rPr>
          <w:rFonts w:ascii="Verdana" w:hAnsi="Verdana" w:cs="Calibri"/>
          <w:sz w:val="20"/>
          <w:szCs w:val="20"/>
        </w:rPr>
        <w:lastRenderedPageBreak/>
        <w:t>Esta Presidencia</w:t>
      </w:r>
      <w:r w:rsidR="00F023F3" w:rsidRPr="00CF7A4E">
        <w:rPr>
          <w:rFonts w:ascii="Verdana" w:hAnsi="Verdana"/>
          <w:sz w:val="20"/>
          <w:szCs w:val="20"/>
        </w:rPr>
        <w:t xml:space="preserve"> constata, tal como fue indicado por el Estado en su informe de </w:t>
      </w:r>
      <w:r w:rsidR="00960AAA" w:rsidRPr="00CF7A4E">
        <w:rPr>
          <w:rFonts w:ascii="Verdana" w:hAnsi="Verdana"/>
          <w:sz w:val="20"/>
          <w:szCs w:val="20"/>
        </w:rPr>
        <w:t>19 de noviembre de 2020</w:t>
      </w:r>
      <w:r w:rsidR="00243987" w:rsidRPr="00CF7A4E">
        <w:rPr>
          <w:rFonts w:ascii="Verdana" w:hAnsi="Verdana"/>
          <w:sz w:val="20"/>
          <w:szCs w:val="20"/>
        </w:rPr>
        <w:t xml:space="preserve">, </w:t>
      </w:r>
      <w:r w:rsidR="00103F0B" w:rsidRPr="00CF7A4E">
        <w:rPr>
          <w:rFonts w:ascii="Verdana" w:hAnsi="Verdana"/>
          <w:sz w:val="20"/>
          <w:szCs w:val="20"/>
        </w:rPr>
        <w:t>que</w:t>
      </w:r>
      <w:r w:rsidR="005905F9" w:rsidRPr="00CF7A4E">
        <w:rPr>
          <w:rFonts w:ascii="Verdana" w:hAnsi="Verdana"/>
          <w:sz w:val="20"/>
          <w:szCs w:val="20"/>
        </w:rPr>
        <w:t xml:space="preserve">, de conformidad con lo dispuesto en la Sentencia de este caso, el </w:t>
      </w:r>
      <w:r w:rsidR="00960AAA" w:rsidRPr="00CF7A4E">
        <w:rPr>
          <w:rFonts w:ascii="Verdana" w:hAnsi="Verdana"/>
          <w:sz w:val="20"/>
          <w:szCs w:val="20"/>
        </w:rPr>
        <w:t>22</w:t>
      </w:r>
      <w:r w:rsidR="005905F9" w:rsidRPr="00CF7A4E">
        <w:rPr>
          <w:rFonts w:ascii="Verdana" w:hAnsi="Verdana"/>
          <w:sz w:val="20"/>
          <w:szCs w:val="20"/>
        </w:rPr>
        <w:t xml:space="preserve"> de </w:t>
      </w:r>
      <w:r w:rsidR="00960AAA" w:rsidRPr="00CF7A4E">
        <w:rPr>
          <w:rFonts w:ascii="Verdana" w:hAnsi="Verdana"/>
          <w:sz w:val="20"/>
          <w:szCs w:val="20"/>
        </w:rPr>
        <w:t>octubre</w:t>
      </w:r>
      <w:r w:rsidR="005905F9" w:rsidRPr="00CF7A4E">
        <w:rPr>
          <w:rFonts w:ascii="Verdana" w:hAnsi="Verdana"/>
          <w:sz w:val="20"/>
          <w:szCs w:val="20"/>
        </w:rPr>
        <w:t xml:space="preserve"> de 2020 </w:t>
      </w:r>
      <w:r w:rsidR="009B0F4A" w:rsidRPr="00CF7A4E">
        <w:rPr>
          <w:rFonts w:ascii="Verdana" w:hAnsi="Verdana"/>
          <w:sz w:val="20"/>
          <w:szCs w:val="20"/>
        </w:rPr>
        <w:t xml:space="preserve">el </w:t>
      </w:r>
      <w:r w:rsidR="00960AAA" w:rsidRPr="00CF7A4E">
        <w:rPr>
          <w:rFonts w:ascii="Verdana" w:hAnsi="Verdana"/>
          <w:sz w:val="20"/>
          <w:szCs w:val="20"/>
        </w:rPr>
        <w:t>Perú</w:t>
      </w:r>
      <w:r w:rsidR="005905F9" w:rsidRPr="00CF7A4E">
        <w:rPr>
          <w:rFonts w:ascii="Verdana" w:hAnsi="Verdana"/>
          <w:sz w:val="20"/>
          <w:szCs w:val="20"/>
        </w:rPr>
        <w:t xml:space="preserve"> realiz</w:t>
      </w:r>
      <w:r w:rsidR="00F023F3" w:rsidRPr="00CF7A4E">
        <w:rPr>
          <w:rFonts w:ascii="Verdana" w:hAnsi="Verdana"/>
          <w:sz w:val="20"/>
          <w:szCs w:val="20"/>
        </w:rPr>
        <w:t>ó</w:t>
      </w:r>
      <w:r w:rsidR="00103F0B" w:rsidRPr="00CF7A4E">
        <w:rPr>
          <w:rFonts w:ascii="Verdana" w:hAnsi="Verdana"/>
          <w:sz w:val="20"/>
          <w:szCs w:val="20"/>
        </w:rPr>
        <w:t xml:space="preserve"> </w:t>
      </w:r>
      <w:r w:rsidR="005905F9" w:rsidRPr="00CF7A4E">
        <w:rPr>
          <w:rFonts w:ascii="Verdana" w:hAnsi="Verdana"/>
          <w:sz w:val="20"/>
          <w:szCs w:val="20"/>
        </w:rPr>
        <w:t xml:space="preserve">una </w:t>
      </w:r>
      <w:r w:rsidR="00237CEA" w:rsidRPr="00CF7A4E">
        <w:rPr>
          <w:rFonts w:ascii="Verdana" w:hAnsi="Verdana"/>
          <w:sz w:val="20"/>
          <w:szCs w:val="20"/>
        </w:rPr>
        <w:t xml:space="preserve">transferencia </w:t>
      </w:r>
      <w:r w:rsidR="005905F9" w:rsidRPr="00CF7A4E">
        <w:rPr>
          <w:rFonts w:ascii="Verdana" w:hAnsi="Verdana"/>
          <w:sz w:val="20"/>
          <w:szCs w:val="20"/>
        </w:rPr>
        <w:t xml:space="preserve">a la cuenta </w:t>
      </w:r>
      <w:r w:rsidR="00237CEA" w:rsidRPr="00CF7A4E">
        <w:rPr>
          <w:rFonts w:ascii="Verdana" w:hAnsi="Verdana"/>
          <w:sz w:val="20"/>
          <w:szCs w:val="20"/>
        </w:rPr>
        <w:t>bancaria</w:t>
      </w:r>
      <w:r w:rsidR="005905F9" w:rsidRPr="00CF7A4E">
        <w:rPr>
          <w:rFonts w:ascii="Verdana" w:hAnsi="Verdana"/>
          <w:sz w:val="20"/>
          <w:szCs w:val="20"/>
        </w:rPr>
        <w:t xml:space="preserve"> de la Corte Interamericana</w:t>
      </w:r>
      <w:r w:rsidR="00237CEA" w:rsidRPr="00CF7A4E">
        <w:rPr>
          <w:rFonts w:ascii="Verdana" w:hAnsi="Verdana"/>
          <w:sz w:val="20"/>
          <w:szCs w:val="20"/>
        </w:rPr>
        <w:t xml:space="preserve"> </w:t>
      </w:r>
      <w:r w:rsidR="000F12E0" w:rsidRPr="00CF7A4E">
        <w:rPr>
          <w:rFonts w:ascii="Verdana" w:hAnsi="Verdana"/>
          <w:sz w:val="20"/>
          <w:szCs w:val="20"/>
        </w:rPr>
        <w:t>por un monto de</w:t>
      </w:r>
      <w:r w:rsidR="00CE77FF" w:rsidRPr="00CF7A4E">
        <w:rPr>
          <w:rFonts w:ascii="Verdana" w:hAnsi="Verdana"/>
          <w:sz w:val="20"/>
          <w:szCs w:val="20"/>
        </w:rPr>
        <w:t xml:space="preserve"> USD $2.286,24 (dos mil doscientos ochenta y seis dólares de los Estados Unidos de América con veinticuatro centavos)</w:t>
      </w:r>
      <w:r w:rsidR="005905F9" w:rsidRPr="00CF7A4E">
        <w:rPr>
          <w:rFonts w:ascii="Verdana" w:hAnsi="Verdana"/>
          <w:sz w:val="20"/>
          <w:szCs w:val="20"/>
        </w:rPr>
        <w:t xml:space="preserve">, por concepto del reintegro al Fondo de Asistencia </w:t>
      </w:r>
      <w:r w:rsidR="00080266" w:rsidRPr="00CF7A4E">
        <w:rPr>
          <w:rFonts w:ascii="Verdana" w:hAnsi="Verdana"/>
          <w:sz w:val="20"/>
          <w:szCs w:val="20"/>
        </w:rPr>
        <w:t xml:space="preserve">e </w:t>
      </w:r>
      <w:r w:rsidR="005905F9" w:rsidRPr="00CF7A4E">
        <w:rPr>
          <w:rFonts w:ascii="Verdana" w:hAnsi="Verdana"/>
          <w:sz w:val="20"/>
          <w:szCs w:val="20"/>
        </w:rPr>
        <w:t xml:space="preserve">intereses moratorios. </w:t>
      </w:r>
    </w:p>
    <w:p w14:paraId="1D33B8CB" w14:textId="77777777" w:rsidR="009C74AB" w:rsidRPr="00CF7A4E" w:rsidRDefault="009C74AB" w:rsidP="009C74AB">
      <w:pPr>
        <w:pStyle w:val="Prrafodelista"/>
        <w:spacing w:after="0" w:line="240" w:lineRule="auto"/>
        <w:ind w:left="0"/>
        <w:contextualSpacing w:val="0"/>
        <w:jc w:val="both"/>
        <w:rPr>
          <w:rFonts w:ascii="Verdana" w:hAnsi="Verdana"/>
          <w:sz w:val="20"/>
          <w:szCs w:val="20"/>
        </w:rPr>
      </w:pPr>
    </w:p>
    <w:p w14:paraId="258B789D" w14:textId="01F9E7F9" w:rsidR="00255EE3" w:rsidRPr="00CF7A4E" w:rsidRDefault="005905F9" w:rsidP="00133800">
      <w:pPr>
        <w:pStyle w:val="Prrafodelista"/>
        <w:numPr>
          <w:ilvl w:val="0"/>
          <w:numId w:val="3"/>
        </w:numPr>
        <w:spacing w:after="0" w:line="240" w:lineRule="auto"/>
        <w:ind w:left="0" w:firstLine="0"/>
        <w:contextualSpacing w:val="0"/>
        <w:jc w:val="both"/>
        <w:rPr>
          <w:rFonts w:ascii="Verdana" w:hAnsi="Verdana"/>
          <w:sz w:val="20"/>
          <w:szCs w:val="20"/>
        </w:rPr>
      </w:pPr>
      <w:r w:rsidRPr="00CF7A4E">
        <w:rPr>
          <w:rFonts w:ascii="Verdana" w:hAnsi="Verdana"/>
          <w:sz w:val="20"/>
          <w:szCs w:val="20"/>
        </w:rPr>
        <w:t xml:space="preserve">En virtud de lo anterior, esta Presidencia </w:t>
      </w:r>
      <w:r w:rsidR="00F023F3" w:rsidRPr="00CF7A4E">
        <w:rPr>
          <w:rFonts w:ascii="Verdana" w:hAnsi="Verdana"/>
          <w:sz w:val="20"/>
          <w:szCs w:val="20"/>
        </w:rPr>
        <w:t>declara que el Estado ha dado total cumplimiento al</w:t>
      </w:r>
      <w:r w:rsidRPr="00CF7A4E">
        <w:rPr>
          <w:rFonts w:ascii="Verdana" w:hAnsi="Verdana"/>
          <w:sz w:val="20"/>
          <w:szCs w:val="20"/>
        </w:rPr>
        <w:t xml:space="preserve"> punto resolutivo </w:t>
      </w:r>
      <w:r w:rsidR="00CE77FF" w:rsidRPr="00CF7A4E">
        <w:rPr>
          <w:rFonts w:ascii="Verdana" w:hAnsi="Verdana"/>
          <w:sz w:val="20"/>
          <w:szCs w:val="20"/>
        </w:rPr>
        <w:t>23</w:t>
      </w:r>
      <w:r w:rsidRPr="00CF7A4E">
        <w:rPr>
          <w:rFonts w:ascii="Verdana" w:hAnsi="Verdana"/>
          <w:sz w:val="20"/>
          <w:szCs w:val="20"/>
        </w:rPr>
        <w:t xml:space="preserve"> de la Sentencia del presente caso </w:t>
      </w:r>
      <w:r w:rsidR="00F023F3" w:rsidRPr="00CF7A4E">
        <w:rPr>
          <w:rFonts w:ascii="Verdana" w:hAnsi="Verdana"/>
          <w:sz w:val="20"/>
          <w:szCs w:val="20"/>
        </w:rPr>
        <w:t xml:space="preserve">en lo </w:t>
      </w:r>
      <w:r w:rsidRPr="00CF7A4E">
        <w:rPr>
          <w:rFonts w:ascii="Verdana" w:hAnsi="Verdana"/>
          <w:sz w:val="20"/>
          <w:szCs w:val="20"/>
        </w:rPr>
        <w:t>concerniente al reintegro al Fondo de Asiste</w:t>
      </w:r>
      <w:r w:rsidR="00991AE9" w:rsidRPr="00CF7A4E">
        <w:rPr>
          <w:rFonts w:ascii="Verdana" w:hAnsi="Verdana"/>
          <w:sz w:val="20"/>
          <w:szCs w:val="20"/>
        </w:rPr>
        <w:t>n</w:t>
      </w:r>
      <w:r w:rsidR="00D25583" w:rsidRPr="00CF7A4E">
        <w:rPr>
          <w:rFonts w:ascii="Verdana" w:hAnsi="Verdana"/>
          <w:sz w:val="20"/>
          <w:szCs w:val="20"/>
        </w:rPr>
        <w:t xml:space="preserve">cia Legal de Víctimas. </w:t>
      </w:r>
      <w:r w:rsidRPr="00CF7A4E">
        <w:rPr>
          <w:rFonts w:ascii="Verdana" w:hAnsi="Verdana"/>
          <w:sz w:val="20"/>
          <w:szCs w:val="20"/>
        </w:rPr>
        <w:t xml:space="preserve">Asimismo, esta Presidencia </w:t>
      </w:r>
      <w:r w:rsidR="00255EE3" w:rsidRPr="00CF7A4E">
        <w:rPr>
          <w:rFonts w:ascii="Verdana" w:hAnsi="Verdana"/>
          <w:sz w:val="20"/>
          <w:szCs w:val="20"/>
        </w:rPr>
        <w:t xml:space="preserve">resalta la voluntad de cumplimiento de sus obligaciones internacionales demostrada por </w:t>
      </w:r>
      <w:r w:rsidR="00CE77FF" w:rsidRPr="00CF7A4E">
        <w:rPr>
          <w:rFonts w:ascii="Verdana" w:hAnsi="Verdana"/>
          <w:sz w:val="20"/>
          <w:szCs w:val="20"/>
        </w:rPr>
        <w:t>el Perú</w:t>
      </w:r>
      <w:r w:rsidR="00255EE3" w:rsidRPr="00CF7A4E">
        <w:rPr>
          <w:rFonts w:ascii="Verdana" w:hAnsi="Verdana"/>
          <w:sz w:val="20"/>
          <w:szCs w:val="20"/>
        </w:rPr>
        <w:t xml:space="preserve"> al reintegrar los recursos al referido Fondo de Asistencia. Este reintegro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2A107CE7" w14:textId="77777777" w:rsidR="00F023F3" w:rsidRPr="00CF7A4E" w:rsidRDefault="00F023F3" w:rsidP="00133800">
      <w:pPr>
        <w:pStyle w:val="Prrafodelista"/>
        <w:spacing w:after="0" w:line="240" w:lineRule="auto"/>
        <w:ind w:left="0"/>
        <w:contextualSpacing w:val="0"/>
        <w:jc w:val="both"/>
        <w:rPr>
          <w:rFonts w:ascii="Verdana" w:hAnsi="Verdana"/>
          <w:sz w:val="20"/>
          <w:szCs w:val="20"/>
        </w:rPr>
      </w:pPr>
    </w:p>
    <w:p w14:paraId="6BDF76C2" w14:textId="77777777" w:rsidR="00777B2B" w:rsidRDefault="00777B2B" w:rsidP="00133800">
      <w:pPr>
        <w:pStyle w:val="Prrafodelista"/>
        <w:spacing w:after="0" w:line="240" w:lineRule="auto"/>
        <w:ind w:left="0"/>
        <w:contextualSpacing w:val="0"/>
        <w:jc w:val="both"/>
        <w:rPr>
          <w:rFonts w:ascii="Verdana" w:hAnsi="Verdana"/>
          <w:b/>
          <w:sz w:val="20"/>
          <w:szCs w:val="20"/>
        </w:rPr>
      </w:pPr>
      <w:r w:rsidRPr="00CF7A4E">
        <w:rPr>
          <w:rFonts w:ascii="Verdana" w:hAnsi="Verdana"/>
          <w:b/>
          <w:sz w:val="20"/>
          <w:szCs w:val="20"/>
        </w:rPr>
        <w:t>POR TANTO:</w:t>
      </w:r>
    </w:p>
    <w:p w14:paraId="3AC82503" w14:textId="77777777" w:rsidR="00F01953" w:rsidRDefault="00F01953" w:rsidP="00133800">
      <w:pPr>
        <w:pStyle w:val="Prrafodelista"/>
        <w:spacing w:after="0" w:line="240" w:lineRule="auto"/>
        <w:ind w:left="0"/>
        <w:contextualSpacing w:val="0"/>
        <w:jc w:val="both"/>
        <w:rPr>
          <w:rFonts w:ascii="Verdana" w:hAnsi="Verdana"/>
          <w:b/>
          <w:sz w:val="20"/>
          <w:szCs w:val="20"/>
        </w:rPr>
      </w:pPr>
    </w:p>
    <w:p w14:paraId="781F9589" w14:textId="77777777" w:rsidR="00F01953" w:rsidRPr="00CF7A4E" w:rsidRDefault="00F01953" w:rsidP="00133800">
      <w:pPr>
        <w:pStyle w:val="Prrafodelista"/>
        <w:spacing w:after="0" w:line="240" w:lineRule="auto"/>
        <w:ind w:left="0"/>
        <w:contextualSpacing w:val="0"/>
        <w:jc w:val="both"/>
        <w:rPr>
          <w:rFonts w:ascii="Verdana" w:hAnsi="Verdana"/>
          <w:b/>
          <w:sz w:val="20"/>
          <w:szCs w:val="20"/>
        </w:rPr>
      </w:pPr>
    </w:p>
    <w:p w14:paraId="6EA19579" w14:textId="77777777" w:rsidR="00777B2B" w:rsidRPr="00CF7A4E" w:rsidRDefault="00777B2B" w:rsidP="00133800">
      <w:pPr>
        <w:pStyle w:val="Prrafodelista"/>
        <w:spacing w:after="0" w:line="240" w:lineRule="auto"/>
        <w:ind w:left="0"/>
        <w:contextualSpacing w:val="0"/>
        <w:jc w:val="both"/>
        <w:rPr>
          <w:rFonts w:ascii="Verdana" w:hAnsi="Verdana"/>
          <w:b/>
          <w:sz w:val="20"/>
          <w:szCs w:val="20"/>
        </w:rPr>
      </w:pPr>
      <w:r w:rsidRPr="00CF7A4E">
        <w:rPr>
          <w:rFonts w:ascii="Verdana" w:hAnsi="Verdana"/>
          <w:b/>
          <w:sz w:val="20"/>
          <w:szCs w:val="20"/>
        </w:rPr>
        <w:t xml:space="preserve">LA </w:t>
      </w:r>
      <w:r w:rsidR="0039463D" w:rsidRPr="00CF7A4E">
        <w:rPr>
          <w:rFonts w:ascii="Verdana" w:hAnsi="Verdana"/>
          <w:b/>
          <w:sz w:val="20"/>
          <w:szCs w:val="20"/>
        </w:rPr>
        <w:t xml:space="preserve">PRESIDENTA DE LA </w:t>
      </w:r>
      <w:r w:rsidRPr="00CF7A4E">
        <w:rPr>
          <w:rFonts w:ascii="Verdana" w:hAnsi="Verdana"/>
          <w:b/>
          <w:sz w:val="20"/>
          <w:szCs w:val="20"/>
        </w:rPr>
        <w:t>CORTE INTERAMERICANA DE DERECHOS HUMANOS,</w:t>
      </w:r>
    </w:p>
    <w:p w14:paraId="47F033E0" w14:textId="32A1E37E" w:rsidR="00777B2B" w:rsidRDefault="00255EE3" w:rsidP="00133800">
      <w:pPr>
        <w:pStyle w:val="Prrafodelista"/>
        <w:spacing w:after="0" w:line="240" w:lineRule="auto"/>
        <w:ind w:left="0"/>
        <w:contextualSpacing w:val="0"/>
        <w:jc w:val="both"/>
        <w:rPr>
          <w:rFonts w:ascii="Verdana" w:hAnsi="Verdana"/>
          <w:sz w:val="20"/>
          <w:szCs w:val="20"/>
        </w:rPr>
      </w:pPr>
      <w:r w:rsidRPr="00CF7A4E">
        <w:rPr>
          <w:rFonts w:ascii="Verdana" w:hAnsi="Verdana"/>
          <w:sz w:val="20"/>
          <w:szCs w:val="20"/>
        </w:rPr>
        <w:t>en el uso de las atribuciones que le confiere el artículo 68.1 de la Convención Americana, y los artículos 4, 31.2 y 69 del Reglamento de la Corte Interamericana, así como con los artículos 1, 4 y 5 del Reglamento del Fondo de Asistencia Legal de Víctimas,</w:t>
      </w:r>
    </w:p>
    <w:p w14:paraId="2B40B0F8" w14:textId="77777777" w:rsidR="00F01953" w:rsidRPr="00CF7A4E" w:rsidRDefault="00F01953" w:rsidP="00133800">
      <w:pPr>
        <w:pStyle w:val="Prrafodelista"/>
        <w:spacing w:after="0" w:line="240" w:lineRule="auto"/>
        <w:ind w:left="0"/>
        <w:contextualSpacing w:val="0"/>
        <w:jc w:val="both"/>
        <w:rPr>
          <w:rFonts w:ascii="Verdana" w:hAnsi="Verdana"/>
          <w:sz w:val="20"/>
          <w:szCs w:val="20"/>
        </w:rPr>
      </w:pPr>
    </w:p>
    <w:p w14:paraId="3B8C0B3E" w14:textId="700E9961" w:rsidR="00777B2B" w:rsidRDefault="00777B2B" w:rsidP="00133800">
      <w:pPr>
        <w:pStyle w:val="Prrafodelista"/>
        <w:spacing w:after="0" w:line="240" w:lineRule="auto"/>
        <w:ind w:left="0"/>
        <w:contextualSpacing w:val="0"/>
        <w:jc w:val="both"/>
        <w:rPr>
          <w:rFonts w:ascii="Verdana" w:hAnsi="Verdana"/>
          <w:b/>
          <w:sz w:val="20"/>
          <w:szCs w:val="20"/>
        </w:rPr>
      </w:pPr>
      <w:r w:rsidRPr="00CF7A4E">
        <w:rPr>
          <w:rFonts w:ascii="Verdana" w:hAnsi="Verdana"/>
          <w:b/>
          <w:sz w:val="20"/>
          <w:szCs w:val="20"/>
        </w:rPr>
        <w:t>RESUELVE:</w:t>
      </w:r>
    </w:p>
    <w:p w14:paraId="2FA8C1CD" w14:textId="77777777" w:rsidR="00F01953" w:rsidRPr="00CF7A4E" w:rsidRDefault="00F01953" w:rsidP="00133800">
      <w:pPr>
        <w:pStyle w:val="Prrafodelista"/>
        <w:spacing w:after="0" w:line="240" w:lineRule="auto"/>
        <w:ind w:left="0"/>
        <w:contextualSpacing w:val="0"/>
        <w:jc w:val="both"/>
        <w:rPr>
          <w:rFonts w:ascii="Verdana" w:hAnsi="Verdana"/>
          <w:b/>
          <w:sz w:val="20"/>
          <w:szCs w:val="20"/>
        </w:rPr>
      </w:pPr>
    </w:p>
    <w:p w14:paraId="1341531A" w14:textId="6B95BC57" w:rsidR="0046619D" w:rsidRPr="00F01953" w:rsidRDefault="006B0775" w:rsidP="00133800">
      <w:pPr>
        <w:pStyle w:val="Prrafodelista"/>
        <w:numPr>
          <w:ilvl w:val="0"/>
          <w:numId w:val="6"/>
        </w:numPr>
        <w:spacing w:after="0" w:line="240" w:lineRule="auto"/>
        <w:ind w:left="0" w:firstLine="0"/>
        <w:contextualSpacing w:val="0"/>
        <w:jc w:val="both"/>
        <w:rPr>
          <w:rFonts w:ascii="Verdana" w:hAnsi="Verdana"/>
          <w:sz w:val="20"/>
          <w:szCs w:val="20"/>
        </w:rPr>
      </w:pPr>
      <w:r w:rsidRPr="00CF7A4E">
        <w:rPr>
          <w:rFonts w:ascii="Verdana" w:hAnsi="Verdana"/>
          <w:sz w:val="20"/>
          <w:szCs w:val="20"/>
        </w:rPr>
        <w:t>D</w:t>
      </w:r>
      <w:r w:rsidR="0039463D" w:rsidRPr="00CF7A4E">
        <w:rPr>
          <w:rFonts w:ascii="Verdana" w:hAnsi="Verdana"/>
          <w:sz w:val="20"/>
          <w:szCs w:val="20"/>
        </w:rPr>
        <w:t xml:space="preserve">eclarar </w:t>
      </w:r>
      <w:r w:rsidRPr="00CF7A4E">
        <w:rPr>
          <w:rFonts w:ascii="Verdana" w:hAnsi="Verdana"/>
          <w:sz w:val="20"/>
          <w:szCs w:val="20"/>
        </w:rPr>
        <w:t xml:space="preserve">que el Estado </w:t>
      </w:r>
      <w:r w:rsidR="00966137" w:rsidRPr="00CF7A4E">
        <w:rPr>
          <w:rFonts w:ascii="Verdana" w:hAnsi="Verdana"/>
          <w:sz w:val="20"/>
          <w:szCs w:val="20"/>
        </w:rPr>
        <w:t>de</w:t>
      </w:r>
      <w:r w:rsidR="00FC7746" w:rsidRPr="00CF7A4E">
        <w:rPr>
          <w:rFonts w:ascii="Verdana" w:hAnsi="Verdana"/>
          <w:sz w:val="20"/>
          <w:szCs w:val="20"/>
        </w:rPr>
        <w:t>l Perú</w:t>
      </w:r>
      <w:r w:rsidR="00966137" w:rsidRPr="00CF7A4E">
        <w:rPr>
          <w:rFonts w:ascii="Verdana" w:hAnsi="Verdana"/>
          <w:sz w:val="20"/>
          <w:szCs w:val="20"/>
        </w:rPr>
        <w:t xml:space="preserve"> </w:t>
      </w:r>
      <w:r w:rsidRPr="00CF7A4E">
        <w:rPr>
          <w:rFonts w:ascii="Verdana" w:hAnsi="Verdana"/>
          <w:sz w:val="20"/>
          <w:szCs w:val="20"/>
        </w:rPr>
        <w:t xml:space="preserve">ha </w:t>
      </w:r>
      <w:r w:rsidR="00966137" w:rsidRPr="00CF7A4E">
        <w:rPr>
          <w:rFonts w:ascii="Verdana" w:hAnsi="Verdana"/>
          <w:sz w:val="20"/>
          <w:szCs w:val="20"/>
        </w:rPr>
        <w:t xml:space="preserve">cumplido </w:t>
      </w:r>
      <w:r w:rsidRPr="00CF7A4E">
        <w:rPr>
          <w:rFonts w:ascii="Verdana" w:hAnsi="Verdana"/>
          <w:sz w:val="20"/>
          <w:szCs w:val="20"/>
        </w:rPr>
        <w:t xml:space="preserve">con </w:t>
      </w:r>
      <w:r w:rsidR="00966137" w:rsidRPr="00CF7A4E">
        <w:rPr>
          <w:rFonts w:ascii="Verdana" w:hAnsi="Verdana"/>
          <w:sz w:val="20"/>
          <w:szCs w:val="20"/>
        </w:rPr>
        <w:t xml:space="preserve">reintegrar al Fondo de Asistencia Legal de Víctimas de la Corte Interamericana de Derechos Humanos la cantidad dispuesta en </w:t>
      </w:r>
      <w:r w:rsidRPr="00CF7A4E">
        <w:rPr>
          <w:rFonts w:ascii="Verdana" w:hAnsi="Verdana"/>
          <w:sz w:val="20"/>
          <w:szCs w:val="20"/>
        </w:rPr>
        <w:t xml:space="preserve">el </w:t>
      </w:r>
      <w:r w:rsidR="00FC7746" w:rsidRPr="00CF7A4E">
        <w:rPr>
          <w:rFonts w:ascii="Verdana" w:hAnsi="Verdana"/>
          <w:sz w:val="20"/>
          <w:szCs w:val="20"/>
        </w:rPr>
        <w:t>punto resolutivo 23 y el párrafo 259 de la Sentencia de excepciones preliminares, fondo, reparaciones y costas</w:t>
      </w:r>
      <w:r w:rsidR="00966137" w:rsidRPr="00CF7A4E">
        <w:rPr>
          <w:rFonts w:ascii="Verdana" w:hAnsi="Verdana"/>
          <w:sz w:val="20"/>
          <w:szCs w:val="20"/>
        </w:rPr>
        <w:t xml:space="preserve"> del </w:t>
      </w:r>
      <w:r w:rsidR="00D25583" w:rsidRPr="00CF7A4E">
        <w:rPr>
          <w:rFonts w:ascii="Verdana" w:hAnsi="Verdana"/>
          <w:sz w:val="20"/>
          <w:szCs w:val="20"/>
        </w:rPr>
        <w:t>c</w:t>
      </w:r>
      <w:r w:rsidR="00966137" w:rsidRPr="00CF7A4E">
        <w:rPr>
          <w:rFonts w:ascii="Verdana" w:hAnsi="Verdana"/>
          <w:sz w:val="20"/>
          <w:szCs w:val="20"/>
        </w:rPr>
        <w:t xml:space="preserve">aso </w:t>
      </w:r>
      <w:r w:rsidR="00FC7746" w:rsidRPr="00CF7A4E">
        <w:rPr>
          <w:rFonts w:ascii="Verdana" w:hAnsi="Verdana"/>
          <w:sz w:val="20"/>
          <w:szCs w:val="20"/>
        </w:rPr>
        <w:t>Rosadio Villavicencio</w:t>
      </w:r>
      <w:r w:rsidR="0039463D" w:rsidRPr="00CF7A4E">
        <w:rPr>
          <w:rFonts w:ascii="Verdana" w:hAnsi="Verdana" w:cs="Times New Roman"/>
          <w:sz w:val="20"/>
          <w:szCs w:val="20"/>
        </w:rPr>
        <w:t>.</w:t>
      </w:r>
    </w:p>
    <w:p w14:paraId="2A2A310E" w14:textId="77777777" w:rsidR="00F01953" w:rsidRPr="00CF7A4E" w:rsidRDefault="00F01953" w:rsidP="00F01953">
      <w:pPr>
        <w:pStyle w:val="Prrafodelista"/>
        <w:spacing w:after="0" w:line="240" w:lineRule="auto"/>
        <w:ind w:left="0"/>
        <w:contextualSpacing w:val="0"/>
        <w:jc w:val="both"/>
        <w:rPr>
          <w:rFonts w:ascii="Verdana" w:hAnsi="Verdana"/>
          <w:sz w:val="20"/>
          <w:szCs w:val="20"/>
        </w:rPr>
      </w:pPr>
    </w:p>
    <w:p w14:paraId="03D5E694" w14:textId="19D6EEB0" w:rsidR="00C4088F" w:rsidRPr="009825E3" w:rsidRDefault="00966137" w:rsidP="00133800">
      <w:pPr>
        <w:pStyle w:val="Prrafodelista"/>
        <w:numPr>
          <w:ilvl w:val="0"/>
          <w:numId w:val="6"/>
        </w:numPr>
        <w:spacing w:after="0" w:line="240" w:lineRule="auto"/>
        <w:ind w:left="0" w:firstLine="0"/>
        <w:contextualSpacing w:val="0"/>
        <w:jc w:val="both"/>
        <w:rPr>
          <w:rFonts w:ascii="Verdana" w:hAnsi="Verdana"/>
          <w:sz w:val="20"/>
          <w:szCs w:val="20"/>
        </w:rPr>
      </w:pPr>
      <w:r w:rsidRPr="00CF7A4E">
        <w:rPr>
          <w:rFonts w:ascii="Verdana" w:hAnsi="Verdana"/>
          <w:sz w:val="20"/>
          <w:szCs w:val="20"/>
        </w:rPr>
        <w:t xml:space="preserve">Disponer que la Secretaría </w:t>
      </w:r>
      <w:r w:rsidRPr="009825E3">
        <w:rPr>
          <w:rFonts w:ascii="Verdana" w:hAnsi="Verdana"/>
          <w:sz w:val="20"/>
          <w:szCs w:val="20"/>
        </w:rPr>
        <w:t>de la Corte Interamericana de Derechos Humanos notifique la presente Resolución al Estado de</w:t>
      </w:r>
      <w:r w:rsidR="00FC7746" w:rsidRPr="009825E3">
        <w:rPr>
          <w:rFonts w:ascii="Verdana" w:hAnsi="Verdana"/>
          <w:sz w:val="20"/>
          <w:szCs w:val="20"/>
        </w:rPr>
        <w:t>l Perú</w:t>
      </w:r>
      <w:r w:rsidRPr="009825E3">
        <w:rPr>
          <w:rFonts w:ascii="Verdana" w:hAnsi="Verdana"/>
          <w:sz w:val="20"/>
          <w:szCs w:val="20"/>
        </w:rPr>
        <w:t>, a las representantes de la víctima y a la Comisión Interamericana</w:t>
      </w:r>
      <w:r w:rsidR="009825E3" w:rsidRPr="009825E3">
        <w:rPr>
          <w:rFonts w:ascii="Verdana" w:hAnsi="Verdana"/>
          <w:sz w:val="20"/>
          <w:szCs w:val="20"/>
        </w:rPr>
        <w:t xml:space="preserve"> de Derechos Humanos</w:t>
      </w:r>
      <w:r w:rsidRPr="009825E3">
        <w:rPr>
          <w:rFonts w:ascii="Verdana" w:hAnsi="Verdana"/>
          <w:sz w:val="20"/>
          <w:szCs w:val="20"/>
        </w:rPr>
        <w:t>.</w:t>
      </w:r>
    </w:p>
    <w:p w14:paraId="6CDED3A7" w14:textId="3B599358" w:rsidR="00F01953" w:rsidRDefault="00F01953" w:rsidP="00133800">
      <w:pPr>
        <w:spacing w:after="0" w:line="240" w:lineRule="auto"/>
        <w:rPr>
          <w:rFonts w:ascii="Verdana" w:eastAsia="MS Mincho" w:hAnsi="Verdana" w:cs="Times New Roman"/>
          <w:sz w:val="20"/>
          <w:szCs w:val="20"/>
          <w:lang w:val="pt-BR"/>
        </w:rPr>
      </w:pPr>
    </w:p>
    <w:p w14:paraId="34D4FC37" w14:textId="480CE480" w:rsidR="00C4088F" w:rsidRPr="00C4088F" w:rsidRDefault="00C4088F" w:rsidP="00133800">
      <w:pPr>
        <w:spacing w:after="0" w:line="240" w:lineRule="auto"/>
        <w:rPr>
          <w:rFonts w:ascii="Verdana" w:eastAsia="MS Mincho" w:hAnsi="Verdana" w:cs="Times New Roman"/>
          <w:sz w:val="20"/>
          <w:szCs w:val="20"/>
          <w:lang w:val="pt-BR"/>
        </w:rPr>
      </w:pPr>
    </w:p>
    <w:p w14:paraId="69DC8FE3" w14:textId="77777777" w:rsidR="00C4088F" w:rsidRPr="00C4088F" w:rsidRDefault="00C4088F" w:rsidP="00133800">
      <w:pPr>
        <w:spacing w:after="0" w:line="240" w:lineRule="auto"/>
        <w:ind w:left="4248" w:firstLine="5"/>
        <w:jc w:val="center"/>
        <w:rPr>
          <w:rFonts w:ascii="Verdana" w:eastAsia="MS Mincho" w:hAnsi="Verdana" w:cs="Times New Roman"/>
          <w:sz w:val="20"/>
          <w:szCs w:val="20"/>
        </w:rPr>
      </w:pPr>
      <w:r w:rsidRPr="00C4088F">
        <w:rPr>
          <w:rFonts w:ascii="Verdana" w:eastAsia="MS Mincho" w:hAnsi="Verdana" w:cs="Times New Roman"/>
          <w:sz w:val="20"/>
          <w:szCs w:val="20"/>
        </w:rPr>
        <w:t>Elizabeth Odio Benito</w:t>
      </w:r>
    </w:p>
    <w:p w14:paraId="4D88E35C" w14:textId="77777777" w:rsidR="00C4088F" w:rsidRPr="00C4088F" w:rsidRDefault="00C4088F" w:rsidP="00133800">
      <w:pPr>
        <w:spacing w:after="0" w:line="240" w:lineRule="auto"/>
        <w:ind w:left="4253"/>
        <w:jc w:val="center"/>
        <w:rPr>
          <w:rFonts w:ascii="Verdana" w:eastAsia="MS Mincho" w:hAnsi="Verdana" w:cs="Times New Roman"/>
          <w:sz w:val="20"/>
          <w:szCs w:val="20"/>
        </w:rPr>
      </w:pPr>
      <w:r w:rsidRPr="00C4088F">
        <w:rPr>
          <w:rFonts w:ascii="Verdana" w:eastAsia="MS Mincho" w:hAnsi="Verdana" w:cs="Times New Roman"/>
          <w:sz w:val="20"/>
          <w:szCs w:val="20"/>
        </w:rPr>
        <w:t>Presidenta</w:t>
      </w:r>
    </w:p>
    <w:p w14:paraId="17872FD8" w14:textId="77777777" w:rsidR="00C4088F" w:rsidRPr="00C4088F" w:rsidRDefault="00C4088F" w:rsidP="00133800">
      <w:pPr>
        <w:spacing w:after="0" w:line="240" w:lineRule="auto"/>
        <w:ind w:left="4956" w:firstLine="708"/>
        <w:jc w:val="both"/>
        <w:rPr>
          <w:rFonts w:ascii="Verdana" w:eastAsia="MS Mincho" w:hAnsi="Verdana" w:cs="Times New Roman"/>
          <w:sz w:val="20"/>
          <w:szCs w:val="20"/>
        </w:rPr>
      </w:pPr>
    </w:p>
    <w:p w14:paraId="5803FEAB" w14:textId="77777777" w:rsidR="00C4088F" w:rsidRPr="00C4088F" w:rsidRDefault="00C4088F" w:rsidP="00133800">
      <w:pPr>
        <w:spacing w:after="0" w:line="240" w:lineRule="auto"/>
        <w:ind w:left="4956" w:firstLine="708"/>
        <w:jc w:val="both"/>
        <w:rPr>
          <w:rFonts w:ascii="Verdana" w:eastAsia="MS Mincho" w:hAnsi="Verdana" w:cs="Times New Roman"/>
          <w:sz w:val="20"/>
          <w:szCs w:val="20"/>
        </w:rPr>
      </w:pPr>
    </w:p>
    <w:p w14:paraId="2C4DBE17" w14:textId="3F4F2A83" w:rsidR="00C4088F" w:rsidRPr="00C4088F" w:rsidRDefault="00C4088F" w:rsidP="00133800">
      <w:pPr>
        <w:spacing w:after="0" w:line="240" w:lineRule="auto"/>
        <w:ind w:right="6241"/>
        <w:rPr>
          <w:rFonts w:ascii="Verdana" w:eastAsia="MS Mincho" w:hAnsi="Verdana" w:cs="Times New Roman"/>
          <w:sz w:val="20"/>
          <w:szCs w:val="20"/>
        </w:rPr>
      </w:pPr>
      <w:r w:rsidRPr="00C4088F">
        <w:rPr>
          <w:rFonts w:ascii="Verdana" w:eastAsia="MS Mincho" w:hAnsi="Verdana" w:cs="Times New Roman"/>
          <w:sz w:val="20"/>
          <w:szCs w:val="20"/>
        </w:rPr>
        <w:t>Pablo Saavedra Alessandri</w:t>
      </w:r>
    </w:p>
    <w:p w14:paraId="3D823546" w14:textId="77777777" w:rsidR="00C4088F" w:rsidRPr="00C4088F" w:rsidRDefault="00C4088F" w:rsidP="00133800">
      <w:pPr>
        <w:spacing w:after="0" w:line="240" w:lineRule="auto"/>
        <w:ind w:right="6241"/>
        <w:rPr>
          <w:rFonts w:ascii="Verdana" w:eastAsia="MS Mincho" w:hAnsi="Verdana" w:cs="Times New Roman"/>
          <w:sz w:val="20"/>
          <w:szCs w:val="20"/>
        </w:rPr>
      </w:pPr>
      <w:r w:rsidRPr="00C4088F">
        <w:rPr>
          <w:rFonts w:ascii="Verdana" w:eastAsia="MS Mincho" w:hAnsi="Verdana" w:cs="Times New Roman"/>
          <w:sz w:val="20"/>
          <w:szCs w:val="20"/>
        </w:rPr>
        <w:t xml:space="preserve">            Secretario</w:t>
      </w:r>
    </w:p>
    <w:p w14:paraId="47428BC1" w14:textId="77777777" w:rsidR="00C4088F" w:rsidRPr="00C4088F" w:rsidRDefault="00C4088F" w:rsidP="00133800">
      <w:pPr>
        <w:spacing w:after="0" w:line="240" w:lineRule="auto"/>
        <w:rPr>
          <w:rFonts w:ascii="Verdana" w:eastAsia="MS Mincho" w:hAnsi="Verdana" w:cs="Times New Roman"/>
          <w:sz w:val="20"/>
          <w:szCs w:val="20"/>
        </w:rPr>
      </w:pPr>
    </w:p>
    <w:p w14:paraId="5EF85656" w14:textId="77777777" w:rsidR="00C4088F" w:rsidRPr="00C4088F" w:rsidRDefault="00C4088F" w:rsidP="00133800">
      <w:pPr>
        <w:spacing w:after="0" w:line="240" w:lineRule="auto"/>
        <w:rPr>
          <w:rFonts w:ascii="Verdana" w:eastAsia="MS Mincho" w:hAnsi="Verdana" w:cs="Times New Roman"/>
          <w:sz w:val="20"/>
          <w:szCs w:val="20"/>
        </w:rPr>
      </w:pPr>
    </w:p>
    <w:p w14:paraId="0708D362" w14:textId="77777777" w:rsidR="00C4088F" w:rsidRPr="00C4088F" w:rsidRDefault="00C4088F" w:rsidP="00133800">
      <w:pPr>
        <w:spacing w:after="0" w:line="240" w:lineRule="auto"/>
        <w:rPr>
          <w:rFonts w:ascii="Verdana" w:eastAsia="MS Mincho" w:hAnsi="Verdana" w:cs="Times New Roman"/>
          <w:sz w:val="20"/>
          <w:szCs w:val="20"/>
        </w:rPr>
      </w:pPr>
      <w:r w:rsidRPr="00C4088F">
        <w:rPr>
          <w:rFonts w:ascii="Verdana" w:eastAsia="MS Mincho" w:hAnsi="Verdana" w:cs="Times New Roman"/>
          <w:sz w:val="20"/>
          <w:szCs w:val="20"/>
        </w:rPr>
        <w:t>Comuníquese y ejecútese,</w:t>
      </w:r>
    </w:p>
    <w:p w14:paraId="4A87DF5D" w14:textId="77777777" w:rsidR="00C4088F" w:rsidRPr="00C4088F" w:rsidRDefault="00C4088F" w:rsidP="00133800">
      <w:pPr>
        <w:spacing w:after="0" w:line="240" w:lineRule="auto"/>
        <w:ind w:left="4248" w:firstLine="708"/>
        <w:jc w:val="both"/>
        <w:rPr>
          <w:rFonts w:ascii="Verdana" w:eastAsia="MS Mincho" w:hAnsi="Verdana" w:cs="Times New Roman"/>
          <w:sz w:val="20"/>
          <w:szCs w:val="20"/>
        </w:rPr>
      </w:pPr>
    </w:p>
    <w:p w14:paraId="5990BFE3" w14:textId="67EFD7D4" w:rsidR="00C4088F" w:rsidRPr="00C4088F" w:rsidRDefault="00C4088F" w:rsidP="00133800">
      <w:pPr>
        <w:spacing w:after="0" w:line="240" w:lineRule="auto"/>
        <w:ind w:left="4248" w:firstLine="708"/>
        <w:jc w:val="both"/>
        <w:rPr>
          <w:rFonts w:ascii="Verdana" w:eastAsia="MS Mincho" w:hAnsi="Verdana" w:cs="Times New Roman"/>
          <w:sz w:val="20"/>
          <w:szCs w:val="20"/>
        </w:rPr>
      </w:pPr>
    </w:p>
    <w:p w14:paraId="211E3DC9" w14:textId="0D4FE72E" w:rsidR="00C4088F" w:rsidRPr="00C4088F" w:rsidRDefault="00C4088F" w:rsidP="00133800">
      <w:pPr>
        <w:spacing w:after="0" w:line="240" w:lineRule="auto"/>
        <w:ind w:left="4956" w:firstLine="6"/>
        <w:jc w:val="center"/>
        <w:rPr>
          <w:rFonts w:ascii="Verdana" w:eastAsia="MS Mincho" w:hAnsi="Verdana" w:cs="Times New Roman"/>
          <w:sz w:val="20"/>
          <w:szCs w:val="20"/>
        </w:rPr>
      </w:pPr>
      <w:r w:rsidRPr="00C4088F">
        <w:rPr>
          <w:rFonts w:ascii="Verdana" w:eastAsia="MS Mincho" w:hAnsi="Verdana" w:cs="Times New Roman"/>
          <w:sz w:val="20"/>
          <w:szCs w:val="20"/>
        </w:rPr>
        <w:t>Elizabeth Odio Benito</w:t>
      </w:r>
    </w:p>
    <w:p w14:paraId="20350517" w14:textId="77777777" w:rsidR="00C4088F" w:rsidRPr="00C4088F" w:rsidRDefault="00C4088F" w:rsidP="00133800">
      <w:pPr>
        <w:spacing w:after="0" w:line="240" w:lineRule="auto"/>
        <w:ind w:left="4956" w:firstLine="6"/>
        <w:jc w:val="center"/>
        <w:rPr>
          <w:rFonts w:ascii="Verdana" w:eastAsia="MS Mincho" w:hAnsi="Verdana" w:cs="Times New Roman"/>
          <w:sz w:val="20"/>
          <w:szCs w:val="20"/>
        </w:rPr>
      </w:pPr>
      <w:r w:rsidRPr="00C4088F">
        <w:rPr>
          <w:rFonts w:ascii="Verdana" w:eastAsia="MS Mincho" w:hAnsi="Verdana" w:cs="Times New Roman"/>
          <w:sz w:val="20"/>
          <w:szCs w:val="20"/>
        </w:rPr>
        <w:t>Presidenta</w:t>
      </w:r>
    </w:p>
    <w:p w14:paraId="2D10F842" w14:textId="77777777" w:rsidR="00C4088F" w:rsidRPr="00C4088F" w:rsidRDefault="00C4088F" w:rsidP="00133800">
      <w:pPr>
        <w:spacing w:after="0" w:line="240" w:lineRule="auto"/>
        <w:ind w:left="4956" w:firstLine="708"/>
        <w:jc w:val="both"/>
        <w:rPr>
          <w:rFonts w:ascii="Verdana" w:eastAsia="MS Mincho" w:hAnsi="Verdana" w:cs="Times New Roman"/>
          <w:sz w:val="20"/>
          <w:szCs w:val="20"/>
        </w:rPr>
      </w:pPr>
    </w:p>
    <w:p w14:paraId="44B1DB6B" w14:textId="77777777" w:rsidR="00C4088F" w:rsidRPr="00C4088F" w:rsidRDefault="00C4088F" w:rsidP="00133800">
      <w:pPr>
        <w:spacing w:after="0" w:line="240" w:lineRule="auto"/>
        <w:ind w:right="6241"/>
        <w:jc w:val="center"/>
        <w:rPr>
          <w:rFonts w:ascii="Verdana" w:eastAsia="MS Mincho" w:hAnsi="Verdana" w:cs="Times New Roman"/>
          <w:sz w:val="20"/>
          <w:szCs w:val="20"/>
        </w:rPr>
      </w:pPr>
      <w:r w:rsidRPr="00C4088F">
        <w:rPr>
          <w:rFonts w:ascii="Verdana" w:eastAsia="MS Mincho" w:hAnsi="Verdana" w:cs="Times New Roman"/>
          <w:sz w:val="20"/>
          <w:szCs w:val="20"/>
        </w:rPr>
        <w:t>Pablo Saavedra Alessandri</w:t>
      </w:r>
    </w:p>
    <w:p w14:paraId="37CC4AC1" w14:textId="33637980" w:rsidR="00966137" w:rsidRPr="00024C1F" w:rsidRDefault="00C4088F" w:rsidP="00024C1F">
      <w:pPr>
        <w:spacing w:after="0" w:line="240" w:lineRule="auto"/>
        <w:ind w:right="6241"/>
        <w:jc w:val="center"/>
        <w:rPr>
          <w:rFonts w:ascii="Verdana" w:eastAsia="Calibri" w:hAnsi="Verdana" w:cs="Times"/>
          <w:sz w:val="20"/>
          <w:szCs w:val="20"/>
          <w:lang w:val="es-ES_tradnl" w:eastAsia="es-ES"/>
        </w:rPr>
      </w:pPr>
      <w:r w:rsidRPr="00C4088F">
        <w:rPr>
          <w:rFonts w:ascii="Verdana" w:eastAsia="MS Mincho" w:hAnsi="Verdana" w:cs="Times New Roman"/>
          <w:sz w:val="20"/>
          <w:szCs w:val="20"/>
          <w:lang w:val="es-ES_tradnl"/>
        </w:rPr>
        <w:t>Secretario</w:t>
      </w:r>
    </w:p>
    <w:sectPr w:rsidR="00966137" w:rsidRPr="00024C1F" w:rsidSect="00EE303B">
      <w:footerReference w:type="default" r:id="rId8"/>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66070" w14:textId="77777777" w:rsidR="00E55CE7" w:rsidRDefault="00E55CE7" w:rsidP="00D56567">
      <w:pPr>
        <w:spacing w:after="0" w:line="240" w:lineRule="auto"/>
      </w:pPr>
      <w:r>
        <w:separator/>
      </w:r>
    </w:p>
  </w:endnote>
  <w:endnote w:type="continuationSeparator" w:id="0">
    <w:p w14:paraId="1A70EC89" w14:textId="77777777" w:rsidR="00E55CE7" w:rsidRDefault="00E55CE7" w:rsidP="00D5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6752555"/>
      <w:docPartObj>
        <w:docPartGallery w:val="Page Numbers (Bottom of Page)"/>
        <w:docPartUnique/>
      </w:docPartObj>
    </w:sdtPr>
    <w:sdtEndPr>
      <w:rPr>
        <w:rFonts w:ascii="Verdana" w:hAnsi="Verdana"/>
        <w:sz w:val="20"/>
        <w:szCs w:val="20"/>
      </w:rPr>
    </w:sdtEndPr>
    <w:sdtContent>
      <w:p w14:paraId="70D77B4B" w14:textId="26B2467C" w:rsidR="00D25583" w:rsidRDefault="00D25583" w:rsidP="00213360">
        <w:pPr>
          <w:pStyle w:val="Piedepgina"/>
          <w:jc w:val="center"/>
        </w:pPr>
        <w:r w:rsidRPr="00D25583">
          <w:rPr>
            <w:rFonts w:ascii="Verdana" w:hAnsi="Verdana"/>
            <w:sz w:val="20"/>
            <w:szCs w:val="20"/>
          </w:rPr>
          <w:t>-</w:t>
        </w:r>
        <w:r w:rsidRPr="00D25583">
          <w:rPr>
            <w:rFonts w:ascii="Verdana" w:hAnsi="Verdana"/>
            <w:sz w:val="20"/>
            <w:szCs w:val="20"/>
          </w:rPr>
          <w:fldChar w:fldCharType="begin"/>
        </w:r>
        <w:r w:rsidRPr="00D25583">
          <w:rPr>
            <w:rFonts w:ascii="Verdana" w:hAnsi="Verdana"/>
            <w:sz w:val="20"/>
            <w:szCs w:val="20"/>
          </w:rPr>
          <w:instrText>PAGE   \* MERGEFORMAT</w:instrText>
        </w:r>
        <w:r w:rsidRPr="00D25583">
          <w:rPr>
            <w:rFonts w:ascii="Verdana" w:hAnsi="Verdana"/>
            <w:sz w:val="20"/>
            <w:szCs w:val="20"/>
          </w:rPr>
          <w:fldChar w:fldCharType="separate"/>
        </w:r>
        <w:r w:rsidR="0003104A" w:rsidRPr="0003104A">
          <w:rPr>
            <w:rFonts w:ascii="Verdana" w:hAnsi="Verdana"/>
            <w:noProof/>
            <w:sz w:val="20"/>
            <w:szCs w:val="20"/>
            <w:lang w:val="es-ES"/>
          </w:rPr>
          <w:t>2</w:t>
        </w:r>
        <w:r w:rsidRPr="00D25583">
          <w:rPr>
            <w:rFonts w:ascii="Verdana" w:hAnsi="Verdana"/>
            <w:sz w:val="20"/>
            <w:szCs w:val="20"/>
          </w:rPr>
          <w:fldChar w:fldCharType="end"/>
        </w:r>
        <w:r w:rsidRPr="00D25583">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01A60" w14:textId="77777777" w:rsidR="00E55CE7" w:rsidRDefault="00E55CE7" w:rsidP="00D56567">
      <w:pPr>
        <w:spacing w:after="0" w:line="240" w:lineRule="auto"/>
      </w:pPr>
      <w:r>
        <w:separator/>
      </w:r>
    </w:p>
  </w:footnote>
  <w:footnote w:type="continuationSeparator" w:id="0">
    <w:p w14:paraId="741C87DD" w14:textId="77777777" w:rsidR="00E55CE7" w:rsidRDefault="00E55CE7" w:rsidP="00D56567">
      <w:pPr>
        <w:spacing w:after="0" w:line="240" w:lineRule="auto"/>
      </w:pPr>
      <w:r>
        <w:continuationSeparator/>
      </w:r>
    </w:p>
  </w:footnote>
  <w:footnote w:id="1">
    <w:p w14:paraId="2F9467EB" w14:textId="1B9C9526" w:rsidR="00D56567" w:rsidRPr="00CF7A4E" w:rsidRDefault="00D56567" w:rsidP="00D56567">
      <w:pPr>
        <w:pStyle w:val="Textonotapie"/>
        <w:jc w:val="both"/>
        <w:rPr>
          <w:rFonts w:ascii="Verdana" w:hAnsi="Verdana"/>
          <w:sz w:val="16"/>
          <w:szCs w:val="16"/>
        </w:rPr>
      </w:pPr>
      <w:r w:rsidRPr="00CF7A4E">
        <w:rPr>
          <w:rStyle w:val="Refdenotaalpie"/>
          <w:rFonts w:ascii="Verdana" w:hAnsi="Verdana"/>
          <w:sz w:val="16"/>
          <w:szCs w:val="16"/>
        </w:rPr>
        <w:footnoteRef/>
      </w:r>
      <w:r w:rsidRPr="00CF7A4E">
        <w:rPr>
          <w:rFonts w:ascii="Verdana" w:hAnsi="Verdana"/>
          <w:sz w:val="16"/>
          <w:szCs w:val="16"/>
        </w:rPr>
        <w:t xml:space="preserve"> </w:t>
      </w:r>
      <w:r w:rsidR="002B71E2" w:rsidRPr="00CF7A4E">
        <w:rPr>
          <w:rFonts w:ascii="Verdana" w:hAnsi="Verdana"/>
          <w:sz w:val="16"/>
          <w:szCs w:val="16"/>
        </w:rPr>
        <w:tab/>
      </w:r>
      <w:r w:rsidRPr="00CF7A4E">
        <w:rPr>
          <w:rFonts w:ascii="Verdana" w:hAnsi="Verdana"/>
          <w:i/>
          <w:sz w:val="16"/>
          <w:szCs w:val="16"/>
        </w:rPr>
        <w:t>Cfr</w:t>
      </w:r>
      <w:r w:rsidRPr="00CF7A4E">
        <w:rPr>
          <w:rFonts w:ascii="Verdana" w:hAnsi="Verdana"/>
          <w:sz w:val="16"/>
          <w:szCs w:val="16"/>
        </w:rPr>
        <w:t xml:space="preserve">. </w:t>
      </w:r>
      <w:r w:rsidR="003563B5" w:rsidRPr="00CF7A4E">
        <w:rPr>
          <w:rFonts w:ascii="Verdana" w:hAnsi="Verdana"/>
          <w:i/>
          <w:sz w:val="16"/>
          <w:szCs w:val="16"/>
        </w:rPr>
        <w:t>Caso Rosadio Villavicencio Vs. Perú. Excepciones Preliminares, Fondo, Reparaciones y Costas</w:t>
      </w:r>
      <w:r w:rsidR="003563B5" w:rsidRPr="00CF7A4E">
        <w:rPr>
          <w:rFonts w:ascii="Verdana" w:hAnsi="Verdana"/>
          <w:sz w:val="16"/>
          <w:szCs w:val="16"/>
        </w:rPr>
        <w:t>. Sentencia de 14 de octubre de 2019. Serie C No. 388</w:t>
      </w:r>
      <w:r w:rsidRPr="00CF7A4E">
        <w:rPr>
          <w:rFonts w:ascii="Verdana" w:hAnsi="Verdana"/>
          <w:sz w:val="16"/>
          <w:szCs w:val="16"/>
        </w:rPr>
        <w:t xml:space="preserve">. Disponible en: </w:t>
      </w:r>
      <w:hyperlink r:id="rId1" w:history="1">
        <w:r w:rsidR="003563B5" w:rsidRPr="00CF7A4E">
          <w:rPr>
            <w:rStyle w:val="Hipervnculo"/>
            <w:rFonts w:ascii="Verdana" w:hAnsi="Verdana"/>
            <w:sz w:val="16"/>
            <w:szCs w:val="16"/>
          </w:rPr>
          <w:t>http://www.corteidh.or.cr/docs/casos/articulos/seriec_388_esp.pdf</w:t>
        </w:r>
      </w:hyperlink>
      <w:r w:rsidRPr="00CF7A4E">
        <w:rPr>
          <w:rFonts w:ascii="Verdana" w:hAnsi="Verdana"/>
          <w:sz w:val="16"/>
          <w:szCs w:val="16"/>
        </w:rPr>
        <w:t xml:space="preserve">. La Sentencia fue notificada el </w:t>
      </w:r>
      <w:r w:rsidR="00427F31" w:rsidRPr="00CF7A4E">
        <w:rPr>
          <w:rFonts w:ascii="Verdana" w:hAnsi="Verdana"/>
          <w:sz w:val="16"/>
          <w:szCs w:val="16"/>
        </w:rPr>
        <w:t>23 de diciembre de 2019</w:t>
      </w:r>
      <w:r w:rsidRPr="00CF7A4E">
        <w:rPr>
          <w:rFonts w:ascii="Verdana" w:hAnsi="Verdana"/>
          <w:sz w:val="16"/>
          <w:szCs w:val="16"/>
        </w:rPr>
        <w:t>.</w:t>
      </w:r>
    </w:p>
  </w:footnote>
  <w:footnote w:id="2">
    <w:p w14:paraId="0E7459A6" w14:textId="52E79256" w:rsidR="0038534E" w:rsidRPr="00CF7A4E" w:rsidRDefault="0038534E" w:rsidP="00674A1A">
      <w:pPr>
        <w:pStyle w:val="Textonotapie"/>
        <w:jc w:val="both"/>
        <w:rPr>
          <w:rFonts w:ascii="Verdana" w:hAnsi="Verdana"/>
          <w:sz w:val="16"/>
          <w:szCs w:val="16"/>
          <w:lang w:val="es-MX"/>
        </w:rPr>
      </w:pPr>
      <w:r w:rsidRPr="00CF7A4E">
        <w:rPr>
          <w:rStyle w:val="Refdenotaalpie"/>
          <w:rFonts w:ascii="Verdana" w:hAnsi="Verdana"/>
          <w:sz w:val="16"/>
          <w:szCs w:val="16"/>
        </w:rPr>
        <w:footnoteRef/>
      </w:r>
      <w:r w:rsidRPr="00CF7A4E">
        <w:rPr>
          <w:rFonts w:ascii="Verdana" w:hAnsi="Verdana"/>
          <w:sz w:val="16"/>
          <w:szCs w:val="16"/>
        </w:rPr>
        <w:t xml:space="preserve"> </w:t>
      </w:r>
      <w:r w:rsidRPr="00CF7A4E">
        <w:rPr>
          <w:rFonts w:ascii="Verdana" w:hAnsi="Verdana"/>
          <w:sz w:val="16"/>
          <w:szCs w:val="16"/>
          <w:lang w:val="es-MX"/>
        </w:rPr>
        <w:tab/>
      </w:r>
      <w:r w:rsidRPr="00CF7A4E">
        <w:rPr>
          <w:rFonts w:ascii="Verdana" w:hAnsi="Verdana"/>
          <w:i/>
          <w:sz w:val="16"/>
          <w:szCs w:val="16"/>
        </w:rPr>
        <w:t>Cfr</w:t>
      </w:r>
      <w:r w:rsidRPr="00CF7A4E">
        <w:rPr>
          <w:rFonts w:ascii="Verdana" w:hAnsi="Verdana"/>
          <w:sz w:val="16"/>
          <w:szCs w:val="16"/>
        </w:rPr>
        <w:t>.</w:t>
      </w:r>
      <w:r w:rsidRPr="00CF7A4E">
        <w:rPr>
          <w:rFonts w:ascii="Verdana" w:hAnsi="Verdana"/>
          <w:sz w:val="16"/>
          <w:szCs w:val="16"/>
          <w:lang w:val="es-MX"/>
        </w:rPr>
        <w:t xml:space="preserve"> </w:t>
      </w:r>
      <w:r w:rsidRPr="00CF7A4E">
        <w:rPr>
          <w:rFonts w:ascii="Verdana" w:hAnsi="Verdana"/>
          <w:i/>
          <w:sz w:val="16"/>
          <w:szCs w:val="16"/>
          <w:lang w:val="es-MX"/>
        </w:rPr>
        <w:t>Caso Rosadio Villavicencio Vs. Perú. Interpretación de la Sentencia de Excepciones Preliminares, Fondo, Reparaciones y Costas</w:t>
      </w:r>
      <w:r w:rsidRPr="00CF7A4E">
        <w:rPr>
          <w:rFonts w:ascii="Verdana" w:hAnsi="Verdana"/>
          <w:sz w:val="16"/>
          <w:szCs w:val="16"/>
          <w:lang w:val="es-MX"/>
        </w:rPr>
        <w:t xml:space="preserve">. Sentencia de 8 de octubre de 2020. Serie C No. 414. </w:t>
      </w:r>
      <w:r w:rsidRPr="00CF7A4E">
        <w:rPr>
          <w:rFonts w:ascii="Verdana" w:hAnsi="Verdana"/>
          <w:sz w:val="16"/>
          <w:szCs w:val="16"/>
        </w:rPr>
        <w:t>Disponible en:</w:t>
      </w:r>
      <w:r w:rsidRPr="00CF7A4E">
        <w:rPr>
          <w:rFonts w:ascii="Verdana" w:hAnsi="Verdana"/>
          <w:sz w:val="16"/>
          <w:szCs w:val="16"/>
          <w:lang w:val="es-MX"/>
        </w:rPr>
        <w:t xml:space="preserve"> </w:t>
      </w:r>
      <w:hyperlink r:id="rId2" w:history="1">
        <w:r w:rsidRPr="00CF7A4E">
          <w:rPr>
            <w:rStyle w:val="Hipervnculo"/>
            <w:rFonts w:ascii="Verdana" w:hAnsi="Verdana"/>
            <w:sz w:val="16"/>
            <w:szCs w:val="16"/>
            <w:lang w:val="es-MX"/>
          </w:rPr>
          <w:t>http://www.corteidh.or.cr/docs/casos/articulos/seriec_414_esp.pdf</w:t>
        </w:r>
      </w:hyperlink>
      <w:r w:rsidRPr="00CF7A4E">
        <w:rPr>
          <w:rFonts w:ascii="Verdana" w:hAnsi="Verdana"/>
          <w:sz w:val="16"/>
          <w:szCs w:val="16"/>
          <w:lang w:val="es-MX"/>
        </w:rPr>
        <w:t xml:space="preserve">. </w:t>
      </w:r>
      <w:r w:rsidRPr="00CF7A4E">
        <w:rPr>
          <w:rFonts w:ascii="Verdana" w:hAnsi="Verdana"/>
          <w:sz w:val="16"/>
          <w:szCs w:val="16"/>
        </w:rPr>
        <w:t>La Sentencia fue notificada el 2 de diciembre de 20</w:t>
      </w:r>
      <w:r w:rsidR="00674A1A" w:rsidRPr="00CF7A4E">
        <w:rPr>
          <w:rFonts w:ascii="Verdana" w:hAnsi="Verdana"/>
          <w:sz w:val="16"/>
          <w:szCs w:val="16"/>
        </w:rPr>
        <w:t>20</w:t>
      </w:r>
      <w:r w:rsidRPr="00CF7A4E">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192F4E0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 w15:restartNumberingAfterBreak="0">
    <w:nsid w:val="1CDB24AB"/>
    <w:multiLevelType w:val="hybridMultilevel"/>
    <w:tmpl w:val="683406B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95A1F9A"/>
    <w:multiLevelType w:val="hybridMultilevel"/>
    <w:tmpl w:val="A78A00C0"/>
    <w:lvl w:ilvl="0" w:tplc="7D468278">
      <w:start w:val="1"/>
      <w:numFmt w:val="decimal"/>
      <w:lvlText w:val="%1."/>
      <w:lvlJc w:val="left"/>
      <w:pPr>
        <w:ind w:left="76" w:hanging="360"/>
      </w:pPr>
      <w:rPr>
        <w:rFonts w:hint="default"/>
        <w:b w:val="0"/>
      </w:rPr>
    </w:lvl>
    <w:lvl w:ilvl="1" w:tplc="140A0019" w:tentative="1">
      <w:start w:val="1"/>
      <w:numFmt w:val="lowerLetter"/>
      <w:lvlText w:val="%2."/>
      <w:lvlJc w:val="left"/>
      <w:pPr>
        <w:ind w:left="796" w:hanging="360"/>
      </w:pPr>
    </w:lvl>
    <w:lvl w:ilvl="2" w:tplc="140A001B" w:tentative="1">
      <w:start w:val="1"/>
      <w:numFmt w:val="lowerRoman"/>
      <w:lvlText w:val="%3."/>
      <w:lvlJc w:val="right"/>
      <w:pPr>
        <w:ind w:left="1516" w:hanging="180"/>
      </w:pPr>
    </w:lvl>
    <w:lvl w:ilvl="3" w:tplc="140A000F" w:tentative="1">
      <w:start w:val="1"/>
      <w:numFmt w:val="decimal"/>
      <w:lvlText w:val="%4."/>
      <w:lvlJc w:val="left"/>
      <w:pPr>
        <w:ind w:left="2236" w:hanging="360"/>
      </w:pPr>
    </w:lvl>
    <w:lvl w:ilvl="4" w:tplc="140A0019" w:tentative="1">
      <w:start w:val="1"/>
      <w:numFmt w:val="lowerLetter"/>
      <w:lvlText w:val="%5."/>
      <w:lvlJc w:val="left"/>
      <w:pPr>
        <w:ind w:left="2956" w:hanging="360"/>
      </w:pPr>
    </w:lvl>
    <w:lvl w:ilvl="5" w:tplc="140A001B" w:tentative="1">
      <w:start w:val="1"/>
      <w:numFmt w:val="lowerRoman"/>
      <w:lvlText w:val="%6."/>
      <w:lvlJc w:val="right"/>
      <w:pPr>
        <w:ind w:left="3676" w:hanging="180"/>
      </w:pPr>
    </w:lvl>
    <w:lvl w:ilvl="6" w:tplc="140A000F" w:tentative="1">
      <w:start w:val="1"/>
      <w:numFmt w:val="decimal"/>
      <w:lvlText w:val="%7."/>
      <w:lvlJc w:val="left"/>
      <w:pPr>
        <w:ind w:left="4396" w:hanging="360"/>
      </w:pPr>
    </w:lvl>
    <w:lvl w:ilvl="7" w:tplc="140A0019" w:tentative="1">
      <w:start w:val="1"/>
      <w:numFmt w:val="lowerLetter"/>
      <w:lvlText w:val="%8."/>
      <w:lvlJc w:val="left"/>
      <w:pPr>
        <w:ind w:left="5116" w:hanging="360"/>
      </w:pPr>
    </w:lvl>
    <w:lvl w:ilvl="8" w:tplc="140A001B" w:tentative="1">
      <w:start w:val="1"/>
      <w:numFmt w:val="lowerRoman"/>
      <w:lvlText w:val="%9."/>
      <w:lvlJc w:val="right"/>
      <w:pPr>
        <w:ind w:left="5836" w:hanging="180"/>
      </w:pPr>
    </w:lvl>
  </w:abstractNum>
  <w:abstractNum w:abstractNumId="4" w15:restartNumberingAfterBreak="0">
    <w:nsid w:val="79D00155"/>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5" w15:restartNumberingAfterBreak="0">
    <w:nsid w:val="7C121A9D"/>
    <w:multiLevelType w:val="hybridMultilevel"/>
    <w:tmpl w:val="F17CB6A4"/>
    <w:lvl w:ilvl="0" w:tplc="6C8836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CR"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4096" w:nlCheck="1" w:checkStyle="0"/>
  <w:activeWritingStyle w:appName="MSWord" w:lang="es-C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68"/>
    <w:rsid w:val="00002FFF"/>
    <w:rsid w:val="00024C1F"/>
    <w:rsid w:val="0003104A"/>
    <w:rsid w:val="000713CB"/>
    <w:rsid w:val="00080266"/>
    <w:rsid w:val="000E5DE3"/>
    <w:rsid w:val="000F12E0"/>
    <w:rsid w:val="00103F0B"/>
    <w:rsid w:val="0010446A"/>
    <w:rsid w:val="00133800"/>
    <w:rsid w:val="001966E0"/>
    <w:rsid w:val="001C6081"/>
    <w:rsid w:val="00213360"/>
    <w:rsid w:val="00237CEA"/>
    <w:rsid w:val="00243987"/>
    <w:rsid w:val="00255EE3"/>
    <w:rsid w:val="00271031"/>
    <w:rsid w:val="00273C7F"/>
    <w:rsid w:val="0029600C"/>
    <w:rsid w:val="002B71E2"/>
    <w:rsid w:val="003547A9"/>
    <w:rsid w:val="003563B5"/>
    <w:rsid w:val="0038534E"/>
    <w:rsid w:val="00386955"/>
    <w:rsid w:val="0039463D"/>
    <w:rsid w:val="003C7610"/>
    <w:rsid w:val="00427F31"/>
    <w:rsid w:val="0045738D"/>
    <w:rsid w:val="0046619D"/>
    <w:rsid w:val="004C038C"/>
    <w:rsid w:val="004F0A94"/>
    <w:rsid w:val="0050252A"/>
    <w:rsid w:val="00546609"/>
    <w:rsid w:val="00564768"/>
    <w:rsid w:val="00583478"/>
    <w:rsid w:val="005905F9"/>
    <w:rsid w:val="005F2A88"/>
    <w:rsid w:val="00603D7D"/>
    <w:rsid w:val="006048DE"/>
    <w:rsid w:val="00610DD9"/>
    <w:rsid w:val="00674A1A"/>
    <w:rsid w:val="006B0775"/>
    <w:rsid w:val="006B3864"/>
    <w:rsid w:val="006E25A1"/>
    <w:rsid w:val="006F78AF"/>
    <w:rsid w:val="00742BD2"/>
    <w:rsid w:val="00777B2B"/>
    <w:rsid w:val="007E7BFA"/>
    <w:rsid w:val="0081709C"/>
    <w:rsid w:val="00830BA7"/>
    <w:rsid w:val="008A77E1"/>
    <w:rsid w:val="008D7EE8"/>
    <w:rsid w:val="00912616"/>
    <w:rsid w:val="00960AAA"/>
    <w:rsid w:val="00966137"/>
    <w:rsid w:val="009753A7"/>
    <w:rsid w:val="009825E3"/>
    <w:rsid w:val="00991AE9"/>
    <w:rsid w:val="009B0F4A"/>
    <w:rsid w:val="009B6553"/>
    <w:rsid w:val="009C74AB"/>
    <w:rsid w:val="009E77C8"/>
    <w:rsid w:val="00A32688"/>
    <w:rsid w:val="00A51270"/>
    <w:rsid w:val="00A659BF"/>
    <w:rsid w:val="00A70AE6"/>
    <w:rsid w:val="00A85FFA"/>
    <w:rsid w:val="00AA4BCB"/>
    <w:rsid w:val="00B076CE"/>
    <w:rsid w:val="00B6411B"/>
    <w:rsid w:val="00B64DB9"/>
    <w:rsid w:val="00B66D20"/>
    <w:rsid w:val="00B80B09"/>
    <w:rsid w:val="00B85E22"/>
    <w:rsid w:val="00BB0516"/>
    <w:rsid w:val="00BE2CDB"/>
    <w:rsid w:val="00C12E10"/>
    <w:rsid w:val="00C20444"/>
    <w:rsid w:val="00C4088F"/>
    <w:rsid w:val="00C540A6"/>
    <w:rsid w:val="00C63AE9"/>
    <w:rsid w:val="00CE77FF"/>
    <w:rsid w:val="00CF7A4E"/>
    <w:rsid w:val="00D25583"/>
    <w:rsid w:val="00D56567"/>
    <w:rsid w:val="00DC56C8"/>
    <w:rsid w:val="00DE03B6"/>
    <w:rsid w:val="00E4104D"/>
    <w:rsid w:val="00E55CE7"/>
    <w:rsid w:val="00ED1246"/>
    <w:rsid w:val="00ED567D"/>
    <w:rsid w:val="00EE303B"/>
    <w:rsid w:val="00F01953"/>
    <w:rsid w:val="00F023F3"/>
    <w:rsid w:val="00F87C69"/>
    <w:rsid w:val="00FB4A0C"/>
    <w:rsid w:val="00FC0C8D"/>
    <w:rsid w:val="00FC7746"/>
    <w:rsid w:val="00FD1E97"/>
    <w:rsid w:val="00FE27C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DE6A"/>
  <w15:docId w15:val="{84E62EA6-0745-4E27-9C4F-BD2CECA0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03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EE303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D56567"/>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rsid w:val="00D5656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D56567"/>
    <w:rPr>
      <w:vertAlign w:val="superscript"/>
    </w:rPr>
  </w:style>
  <w:style w:type="character" w:styleId="Hipervnculo">
    <w:name w:val="Hyperlink"/>
    <w:basedOn w:val="Fuentedeprrafopredeter"/>
    <w:uiPriority w:val="99"/>
    <w:unhideWhenUsed/>
    <w:rsid w:val="00D56567"/>
    <w:rPr>
      <w:color w:val="0563C1" w:themeColor="hyperlink"/>
      <w:u w:val="single"/>
    </w:rPr>
  </w:style>
  <w:style w:type="character" w:customStyle="1" w:styleId="Ttulo1Car">
    <w:name w:val="Título 1 Car"/>
    <w:basedOn w:val="Fuentedeprrafopredeter"/>
    <w:uiPriority w:val="9"/>
    <w:rsid w:val="00ED1246"/>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ED1246"/>
  </w:style>
  <w:style w:type="character" w:styleId="Refdecomentario">
    <w:name w:val="annotation reference"/>
    <w:basedOn w:val="Fuentedeprrafopredeter"/>
    <w:uiPriority w:val="99"/>
    <w:semiHidden/>
    <w:unhideWhenUsed/>
    <w:rsid w:val="00ED1246"/>
    <w:rPr>
      <w:sz w:val="16"/>
      <w:szCs w:val="16"/>
    </w:rPr>
  </w:style>
  <w:style w:type="paragraph" w:styleId="Textocomentario">
    <w:name w:val="annotation text"/>
    <w:basedOn w:val="Normal"/>
    <w:link w:val="TextocomentarioCar"/>
    <w:uiPriority w:val="99"/>
    <w:semiHidden/>
    <w:unhideWhenUsed/>
    <w:rsid w:val="00ED1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1246"/>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1246"/>
    <w:pPr>
      <w:spacing w:after="0" w:line="240" w:lineRule="auto"/>
      <w:jc w:val="both"/>
    </w:pPr>
    <w:rPr>
      <w:vertAlign w:val="superscript"/>
    </w:rPr>
  </w:style>
  <w:style w:type="paragraph" w:styleId="TDC2">
    <w:name w:val="toc 2"/>
    <w:basedOn w:val="Normal"/>
    <w:next w:val="Normal"/>
    <w:autoRedefine/>
    <w:uiPriority w:val="39"/>
    <w:unhideWhenUsed/>
    <w:rsid w:val="00ED1246"/>
    <w:pPr>
      <w:spacing w:after="100"/>
      <w:ind w:left="220"/>
    </w:pPr>
  </w:style>
  <w:style w:type="paragraph" w:styleId="Textodeglobo">
    <w:name w:val="Balloon Text"/>
    <w:basedOn w:val="Normal"/>
    <w:link w:val="TextodegloboCar"/>
    <w:uiPriority w:val="99"/>
    <w:semiHidden/>
    <w:unhideWhenUsed/>
    <w:rsid w:val="00ED12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246"/>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2B71E2"/>
    <w:rPr>
      <w:b/>
      <w:bCs/>
    </w:rPr>
  </w:style>
  <w:style w:type="character" w:customStyle="1" w:styleId="AsuntodelcomentarioCar">
    <w:name w:val="Asunto del comentario Car"/>
    <w:basedOn w:val="TextocomentarioCar"/>
    <w:link w:val="Asuntodelcomentario"/>
    <w:uiPriority w:val="99"/>
    <w:semiHidden/>
    <w:rsid w:val="002B71E2"/>
    <w:rPr>
      <w:b/>
      <w:bCs/>
      <w:sz w:val="20"/>
      <w:szCs w:val="20"/>
    </w:rPr>
  </w:style>
  <w:style w:type="paragraph" w:styleId="Encabezado">
    <w:name w:val="header"/>
    <w:basedOn w:val="Normal"/>
    <w:link w:val="EncabezadoCar"/>
    <w:uiPriority w:val="99"/>
    <w:unhideWhenUsed/>
    <w:rsid w:val="00D255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5583"/>
  </w:style>
  <w:style w:type="paragraph" w:styleId="Piedepgina">
    <w:name w:val="footer"/>
    <w:basedOn w:val="Normal"/>
    <w:link w:val="PiedepginaCar"/>
    <w:uiPriority w:val="99"/>
    <w:unhideWhenUsed/>
    <w:rsid w:val="00D255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5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190023">
      <w:bodyDiv w:val="1"/>
      <w:marLeft w:val="0"/>
      <w:marRight w:val="0"/>
      <w:marTop w:val="0"/>
      <w:marBottom w:val="0"/>
      <w:divBdr>
        <w:top w:val="none" w:sz="0" w:space="0" w:color="auto"/>
        <w:left w:val="none" w:sz="0" w:space="0" w:color="auto"/>
        <w:bottom w:val="none" w:sz="0" w:space="0" w:color="auto"/>
        <w:right w:val="none" w:sz="0" w:space="0" w:color="auto"/>
      </w:divBdr>
    </w:div>
    <w:div w:id="123647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casos/articulos/seriec_414_esp.pdf" TargetMode="External"/><Relationship Id="rId1" Type="http://schemas.openxmlformats.org/officeDocument/2006/relationships/hyperlink" Target="http://www.corteidh.or.cr/docs/casos/articulos/seriec_388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26989-8992-4157-90BC-E77752492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662</Words>
  <Characters>3645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Hannia Sanchez</dc:creator>
  <cp:keywords/>
  <dc:description/>
  <cp:lastModifiedBy>Liliana Tojo</cp:lastModifiedBy>
  <cp:revision>2</cp:revision>
  <cp:lastPrinted>2020-12-16T18:58:00Z</cp:lastPrinted>
  <dcterms:created xsi:type="dcterms:W3CDTF">2020-12-21T16:21:00Z</dcterms:created>
  <dcterms:modified xsi:type="dcterms:W3CDTF">2020-12-21T16:21:00Z</dcterms:modified>
</cp:coreProperties>
</file>